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02441" w14:textId="77777777" w:rsidR="00DE2355" w:rsidRDefault="00DE2355" w:rsidP="0076418E">
      <w:pPr>
        <w:jc w:val="center"/>
        <w:rPr>
          <w:b/>
          <w:szCs w:val="22"/>
        </w:rPr>
      </w:pPr>
    </w:p>
    <w:p w14:paraId="45CBB139" w14:textId="77777777" w:rsidR="00920419" w:rsidRPr="00512310" w:rsidRDefault="00BF7FC7" w:rsidP="0076418E">
      <w:pPr>
        <w:jc w:val="center"/>
        <w:rPr>
          <w:b/>
          <w:szCs w:val="22"/>
        </w:rPr>
      </w:pPr>
      <w:r w:rsidRPr="00512310">
        <w:rPr>
          <w:b/>
          <w:szCs w:val="22"/>
        </w:rPr>
        <w:t>SÚHRN CHARAKTERISTICKÝCH VLAST</w:t>
      </w:r>
      <w:smartTag w:uri="urn:schemas-microsoft-com:office:smarttags" w:element="PersonName">
        <w:r w:rsidRPr="00512310">
          <w:rPr>
            <w:b/>
            <w:szCs w:val="22"/>
          </w:rPr>
          <w:t>NO</w:t>
        </w:r>
      </w:smartTag>
      <w:r w:rsidRPr="00512310">
        <w:rPr>
          <w:b/>
          <w:szCs w:val="22"/>
        </w:rPr>
        <w:t>STÍ LIEKU</w:t>
      </w:r>
    </w:p>
    <w:p w14:paraId="325AA8DB" w14:textId="77777777" w:rsidR="00BF7FC7" w:rsidRPr="00512310" w:rsidRDefault="00BF7FC7" w:rsidP="00C92B0B">
      <w:pPr>
        <w:rPr>
          <w:b/>
          <w:szCs w:val="22"/>
        </w:rPr>
      </w:pPr>
    </w:p>
    <w:p w14:paraId="5B0CA888" w14:textId="77777777" w:rsidR="00350BD4" w:rsidRPr="00512310" w:rsidRDefault="00350BD4" w:rsidP="00C92B0B">
      <w:pPr>
        <w:rPr>
          <w:b/>
          <w:szCs w:val="22"/>
        </w:rPr>
      </w:pPr>
    </w:p>
    <w:p w14:paraId="0FAA547B" w14:textId="77777777" w:rsidR="00FF6BE0" w:rsidRPr="00512310" w:rsidRDefault="00FF6BE0" w:rsidP="00C92B0B">
      <w:pPr>
        <w:rPr>
          <w:szCs w:val="22"/>
        </w:rPr>
      </w:pPr>
      <w:r w:rsidRPr="00512310">
        <w:rPr>
          <w:b/>
          <w:szCs w:val="22"/>
        </w:rPr>
        <w:t>1.</w:t>
      </w:r>
      <w:r w:rsidRPr="00512310">
        <w:rPr>
          <w:b/>
          <w:szCs w:val="22"/>
        </w:rPr>
        <w:tab/>
        <w:t>NÁZOV LIEK</w:t>
      </w:r>
      <w:r w:rsidR="00810BCC" w:rsidRPr="00512310">
        <w:rPr>
          <w:b/>
          <w:szCs w:val="22"/>
        </w:rPr>
        <w:t>U</w:t>
      </w:r>
    </w:p>
    <w:p w14:paraId="1477BBD1" w14:textId="77777777" w:rsidR="00FF6BE0" w:rsidRPr="00512310" w:rsidRDefault="00FF6BE0" w:rsidP="00C92B0B">
      <w:pPr>
        <w:rPr>
          <w:szCs w:val="22"/>
        </w:rPr>
      </w:pPr>
    </w:p>
    <w:p w14:paraId="506CFF31" w14:textId="12965F09" w:rsidR="007E2418" w:rsidRPr="00512310" w:rsidRDefault="00E479B2" w:rsidP="00C92B0B">
      <w:pPr>
        <w:rPr>
          <w:szCs w:val="22"/>
        </w:rPr>
      </w:pPr>
      <w:r w:rsidRPr="00512310">
        <w:rPr>
          <w:szCs w:val="22"/>
        </w:rPr>
        <w:t>Lenalidomid</w:t>
      </w:r>
      <w:r w:rsidR="007E2418" w:rsidRPr="00512310">
        <w:rPr>
          <w:szCs w:val="22"/>
        </w:rPr>
        <w:t xml:space="preserve"> </w:t>
      </w:r>
      <w:r w:rsidR="00576DE4">
        <w:rPr>
          <w:szCs w:val="22"/>
        </w:rPr>
        <w:t>Synthon</w:t>
      </w:r>
      <w:r w:rsidR="00DE2355" w:rsidRPr="00512310">
        <w:rPr>
          <w:szCs w:val="22"/>
        </w:rPr>
        <w:t xml:space="preserve"> </w:t>
      </w:r>
      <w:r w:rsidRPr="00512310">
        <w:rPr>
          <w:szCs w:val="22"/>
        </w:rPr>
        <w:t>5</w:t>
      </w:r>
      <w:r w:rsidR="007F059D" w:rsidRPr="00512310">
        <w:rPr>
          <w:szCs w:val="22"/>
        </w:rPr>
        <w:t> </w:t>
      </w:r>
      <w:r w:rsidR="007E2418" w:rsidRPr="00512310">
        <w:rPr>
          <w:szCs w:val="22"/>
        </w:rPr>
        <w:t>mg</w:t>
      </w:r>
    </w:p>
    <w:p w14:paraId="0086D279" w14:textId="2DC8A972" w:rsidR="00DE2355" w:rsidRPr="00893070" w:rsidRDefault="00DE2355" w:rsidP="00C92B0B">
      <w:pPr>
        <w:rPr>
          <w:highlight w:val="lightGray"/>
        </w:rPr>
      </w:pPr>
      <w:r w:rsidRPr="00893070">
        <w:rPr>
          <w:highlight w:val="lightGray"/>
        </w:rPr>
        <w:t xml:space="preserve">Lenalidomid </w:t>
      </w:r>
      <w:r w:rsidR="00576DE4" w:rsidRPr="00893070">
        <w:rPr>
          <w:szCs w:val="22"/>
          <w:highlight w:val="lightGray"/>
        </w:rPr>
        <w:t>Synthon</w:t>
      </w:r>
      <w:r w:rsidR="0036015A" w:rsidRPr="00893070">
        <w:rPr>
          <w:szCs w:val="22"/>
          <w:highlight w:val="lightGray"/>
        </w:rPr>
        <w:t xml:space="preserve"> </w:t>
      </w:r>
      <w:r w:rsidR="00E479B2" w:rsidRPr="00893070">
        <w:rPr>
          <w:szCs w:val="22"/>
          <w:highlight w:val="lightGray"/>
        </w:rPr>
        <w:t>1</w:t>
      </w:r>
      <w:r w:rsidR="0036015A" w:rsidRPr="00893070">
        <w:rPr>
          <w:szCs w:val="22"/>
          <w:highlight w:val="lightGray"/>
        </w:rPr>
        <w:t>0</w:t>
      </w:r>
      <w:r w:rsidRPr="00893070">
        <w:rPr>
          <w:highlight w:val="lightGray"/>
        </w:rPr>
        <w:t> mg</w:t>
      </w:r>
    </w:p>
    <w:p w14:paraId="4F450D00" w14:textId="4511B7E1" w:rsidR="0036015A" w:rsidRPr="00893070" w:rsidRDefault="00E479B2" w:rsidP="0036015A">
      <w:pPr>
        <w:rPr>
          <w:highlight w:val="lightGray"/>
        </w:rPr>
      </w:pPr>
      <w:r w:rsidRPr="00893070">
        <w:rPr>
          <w:highlight w:val="lightGray"/>
        </w:rPr>
        <w:t xml:space="preserve">Lenalidomid </w:t>
      </w:r>
      <w:r w:rsidR="00576DE4" w:rsidRPr="00893070">
        <w:rPr>
          <w:szCs w:val="22"/>
          <w:highlight w:val="lightGray"/>
        </w:rPr>
        <w:t>Synthon</w:t>
      </w:r>
      <w:r w:rsidR="0036015A" w:rsidRPr="00893070">
        <w:rPr>
          <w:szCs w:val="22"/>
          <w:highlight w:val="lightGray"/>
        </w:rPr>
        <w:t xml:space="preserve"> </w:t>
      </w:r>
      <w:r w:rsidRPr="00893070">
        <w:rPr>
          <w:szCs w:val="22"/>
          <w:highlight w:val="lightGray"/>
        </w:rPr>
        <w:t>15</w:t>
      </w:r>
      <w:r w:rsidR="0036015A" w:rsidRPr="00893070">
        <w:rPr>
          <w:highlight w:val="lightGray"/>
        </w:rPr>
        <w:t> mg</w:t>
      </w:r>
    </w:p>
    <w:p w14:paraId="42767863" w14:textId="2D59E401" w:rsidR="0036015A" w:rsidRPr="00512310" w:rsidRDefault="00E479B2" w:rsidP="0036015A">
      <w:pPr>
        <w:rPr>
          <w:szCs w:val="22"/>
        </w:rPr>
      </w:pPr>
      <w:r w:rsidRPr="00893070">
        <w:rPr>
          <w:highlight w:val="lightGray"/>
        </w:rPr>
        <w:t>Lenalidomid</w:t>
      </w:r>
      <w:r w:rsidR="0036015A" w:rsidRPr="00893070">
        <w:rPr>
          <w:highlight w:val="lightGray"/>
        </w:rPr>
        <w:t xml:space="preserve"> </w:t>
      </w:r>
      <w:r w:rsidR="00576DE4" w:rsidRPr="00893070">
        <w:rPr>
          <w:szCs w:val="22"/>
          <w:highlight w:val="lightGray"/>
        </w:rPr>
        <w:t>Synthon</w:t>
      </w:r>
      <w:r w:rsidR="0036015A" w:rsidRPr="00893070">
        <w:rPr>
          <w:highlight w:val="lightGray"/>
        </w:rPr>
        <w:t xml:space="preserve"> </w:t>
      </w:r>
      <w:r w:rsidRPr="00893070">
        <w:rPr>
          <w:highlight w:val="lightGray"/>
        </w:rPr>
        <w:t>25</w:t>
      </w:r>
      <w:r w:rsidR="0036015A" w:rsidRPr="00893070">
        <w:rPr>
          <w:highlight w:val="lightGray"/>
        </w:rPr>
        <w:t> mg</w:t>
      </w:r>
    </w:p>
    <w:p w14:paraId="55F54B1A" w14:textId="77777777" w:rsidR="00FF6BE0" w:rsidRPr="00512310" w:rsidRDefault="00E479B2" w:rsidP="00C92B0B">
      <w:pPr>
        <w:rPr>
          <w:szCs w:val="22"/>
        </w:rPr>
      </w:pPr>
      <w:r w:rsidRPr="00512310">
        <w:rPr>
          <w:szCs w:val="22"/>
        </w:rPr>
        <w:t>tvrdé kapsuly</w:t>
      </w:r>
    </w:p>
    <w:p w14:paraId="3E4EF5D1" w14:textId="77777777" w:rsidR="00350BD4" w:rsidRPr="00512310" w:rsidRDefault="00350BD4" w:rsidP="00C92B0B">
      <w:pPr>
        <w:rPr>
          <w:szCs w:val="22"/>
        </w:rPr>
      </w:pPr>
    </w:p>
    <w:p w14:paraId="763936CD" w14:textId="77777777" w:rsidR="00FF6BE0" w:rsidRPr="00512310" w:rsidRDefault="00FF6BE0" w:rsidP="00C92B0B">
      <w:pPr>
        <w:ind w:left="0" w:firstLine="0"/>
        <w:rPr>
          <w:szCs w:val="22"/>
        </w:rPr>
      </w:pPr>
    </w:p>
    <w:p w14:paraId="0BF85B8C" w14:textId="77777777" w:rsidR="00FF6BE0" w:rsidRPr="00512310" w:rsidRDefault="00FF6BE0" w:rsidP="00C92B0B">
      <w:pPr>
        <w:rPr>
          <w:szCs w:val="22"/>
        </w:rPr>
      </w:pPr>
      <w:r w:rsidRPr="00512310">
        <w:rPr>
          <w:b/>
          <w:szCs w:val="22"/>
        </w:rPr>
        <w:t>2.</w:t>
      </w:r>
      <w:r w:rsidRPr="00512310">
        <w:rPr>
          <w:b/>
          <w:szCs w:val="22"/>
        </w:rPr>
        <w:tab/>
        <w:t>KVAL</w:t>
      </w:r>
      <w:smartTag w:uri="urn:schemas-microsoft-com:office:smarttags" w:element="PersonName">
        <w:r w:rsidRPr="00512310">
          <w:rPr>
            <w:b/>
            <w:szCs w:val="22"/>
          </w:rPr>
          <w:t>IT</w:t>
        </w:r>
      </w:smartTag>
      <w:r w:rsidRPr="00512310">
        <w:rPr>
          <w:b/>
          <w:szCs w:val="22"/>
        </w:rPr>
        <w:t>ATÍVNE A KVANT</w:t>
      </w:r>
      <w:smartTag w:uri="urn:schemas-microsoft-com:office:smarttags" w:element="PersonName">
        <w:r w:rsidRPr="00512310">
          <w:rPr>
            <w:b/>
            <w:szCs w:val="22"/>
          </w:rPr>
          <w:t>IT</w:t>
        </w:r>
      </w:smartTag>
      <w:r w:rsidRPr="00512310">
        <w:rPr>
          <w:b/>
          <w:szCs w:val="22"/>
        </w:rPr>
        <w:t>ATÍVNE ZLOŽENIE</w:t>
      </w:r>
    </w:p>
    <w:p w14:paraId="51DCD41D" w14:textId="77777777" w:rsidR="00FF6BE0" w:rsidRPr="00512310" w:rsidRDefault="00FF6BE0" w:rsidP="00C92B0B">
      <w:pPr>
        <w:ind w:left="0" w:firstLine="0"/>
        <w:rPr>
          <w:szCs w:val="22"/>
        </w:rPr>
      </w:pPr>
    </w:p>
    <w:p w14:paraId="78B57228" w14:textId="77777777" w:rsidR="00DE2355" w:rsidRPr="000932CA" w:rsidRDefault="00DE2355" w:rsidP="00B706AA">
      <w:pPr>
        <w:autoSpaceDE w:val="0"/>
        <w:autoSpaceDN w:val="0"/>
        <w:adjustRightInd w:val="0"/>
        <w:ind w:left="0" w:firstLine="0"/>
      </w:pPr>
      <w:r w:rsidRPr="000932CA">
        <w:t>Každá kapsula obsahuje 5 mg lenalidomidu.</w:t>
      </w:r>
    </w:p>
    <w:p w14:paraId="63E95BEB" w14:textId="77777777" w:rsidR="00DE2355" w:rsidRPr="00893070" w:rsidRDefault="00DE2355" w:rsidP="00B706AA">
      <w:pPr>
        <w:autoSpaceDE w:val="0"/>
        <w:autoSpaceDN w:val="0"/>
        <w:adjustRightInd w:val="0"/>
        <w:ind w:left="0" w:firstLine="0"/>
        <w:rPr>
          <w:highlight w:val="lightGray"/>
        </w:rPr>
      </w:pPr>
      <w:r w:rsidRPr="00893070">
        <w:rPr>
          <w:highlight w:val="lightGray"/>
        </w:rPr>
        <w:t>Každá kapsula obsahuje 10 mg lenalidomidu.</w:t>
      </w:r>
    </w:p>
    <w:p w14:paraId="0A783C16" w14:textId="77777777" w:rsidR="00DE2355" w:rsidRPr="00893070" w:rsidRDefault="00DE2355" w:rsidP="00B706AA">
      <w:pPr>
        <w:autoSpaceDE w:val="0"/>
        <w:autoSpaceDN w:val="0"/>
        <w:adjustRightInd w:val="0"/>
        <w:ind w:left="0" w:firstLine="0"/>
        <w:rPr>
          <w:highlight w:val="lightGray"/>
        </w:rPr>
      </w:pPr>
      <w:r w:rsidRPr="00893070">
        <w:rPr>
          <w:highlight w:val="lightGray"/>
        </w:rPr>
        <w:t>Každá kapsula obsahuje 15 mg lenalidomidu.</w:t>
      </w:r>
    </w:p>
    <w:p w14:paraId="41A5D92E" w14:textId="77777777" w:rsidR="00B706AA" w:rsidRPr="00512310" w:rsidRDefault="00DE2355" w:rsidP="00B706AA">
      <w:pPr>
        <w:autoSpaceDE w:val="0"/>
        <w:autoSpaceDN w:val="0"/>
        <w:adjustRightInd w:val="0"/>
        <w:ind w:left="0" w:firstLine="0"/>
        <w:rPr>
          <w:i/>
          <w:iCs/>
          <w:szCs w:val="22"/>
          <w:lang w:eastAsia="en-US"/>
        </w:rPr>
      </w:pPr>
      <w:r w:rsidRPr="00893070">
        <w:rPr>
          <w:highlight w:val="lightGray"/>
        </w:rPr>
        <w:t>Každá kapsula obsahuje 25 mg lenalidomidu.</w:t>
      </w:r>
    </w:p>
    <w:p w14:paraId="1289949A" w14:textId="77777777" w:rsidR="00DE2355" w:rsidRPr="00512310" w:rsidRDefault="00DE2355" w:rsidP="00B706AA">
      <w:pPr>
        <w:autoSpaceDE w:val="0"/>
        <w:autoSpaceDN w:val="0"/>
        <w:adjustRightInd w:val="0"/>
        <w:ind w:left="0" w:firstLine="0"/>
        <w:rPr>
          <w:i/>
          <w:iCs/>
          <w:szCs w:val="22"/>
          <w:u w:val="single"/>
          <w:lang w:eastAsia="en-US"/>
        </w:rPr>
      </w:pPr>
    </w:p>
    <w:p w14:paraId="43169816" w14:textId="4C8016AF" w:rsidR="00B706AA" w:rsidRPr="00512310" w:rsidRDefault="00B706AA" w:rsidP="00B706AA">
      <w:pPr>
        <w:autoSpaceDE w:val="0"/>
        <w:autoSpaceDN w:val="0"/>
        <w:adjustRightInd w:val="0"/>
        <w:ind w:left="0" w:firstLine="0"/>
        <w:rPr>
          <w:iCs/>
          <w:szCs w:val="22"/>
          <w:u w:val="single"/>
          <w:lang w:eastAsia="en-US"/>
        </w:rPr>
      </w:pPr>
      <w:r w:rsidRPr="00512310">
        <w:rPr>
          <w:iCs/>
          <w:szCs w:val="22"/>
          <w:u w:val="single"/>
          <w:lang w:eastAsia="en-US"/>
        </w:rPr>
        <w:t>Pomocná látka so známym účinkom</w:t>
      </w:r>
      <w:r w:rsidR="00576DE4">
        <w:rPr>
          <w:iCs/>
          <w:szCs w:val="22"/>
          <w:u w:val="single"/>
          <w:lang w:eastAsia="en-US"/>
        </w:rPr>
        <w:t>:</w:t>
      </w:r>
    </w:p>
    <w:p w14:paraId="1586A832" w14:textId="77777777" w:rsidR="00500713" w:rsidRPr="000932CA" w:rsidRDefault="00500713" w:rsidP="00500713">
      <w:pPr>
        <w:ind w:left="0" w:firstLine="0"/>
        <w:rPr>
          <w:rFonts w:eastAsia="TimesNewRoman"/>
        </w:rPr>
      </w:pPr>
      <w:r w:rsidRPr="000932CA">
        <w:rPr>
          <w:rFonts w:eastAsia="TimesNewRoman"/>
        </w:rPr>
        <w:t>Každá kapsula obsahuje 66,4 mg laktózy.</w:t>
      </w:r>
    </w:p>
    <w:p w14:paraId="69EF46FA" w14:textId="77777777" w:rsidR="00500713" w:rsidRPr="00893070" w:rsidRDefault="00500713" w:rsidP="00500713">
      <w:pPr>
        <w:ind w:left="0" w:firstLine="0"/>
        <w:rPr>
          <w:rFonts w:eastAsia="TimesNewRoman"/>
          <w:highlight w:val="lightGray"/>
        </w:rPr>
      </w:pPr>
      <w:r w:rsidRPr="00893070">
        <w:rPr>
          <w:rFonts w:eastAsia="TimesNewRoman"/>
          <w:highlight w:val="lightGray"/>
        </w:rPr>
        <w:t>Každá kapsula obsahuje 132,9 mg laktózy.</w:t>
      </w:r>
    </w:p>
    <w:p w14:paraId="1B82C33C" w14:textId="77777777" w:rsidR="00500713" w:rsidRPr="00893070" w:rsidRDefault="00500713" w:rsidP="00500713">
      <w:pPr>
        <w:ind w:left="0" w:firstLine="0"/>
        <w:rPr>
          <w:rFonts w:eastAsia="TimesNewRoman"/>
          <w:highlight w:val="lightGray"/>
        </w:rPr>
      </w:pPr>
      <w:r w:rsidRPr="00893070">
        <w:rPr>
          <w:rFonts w:eastAsia="TimesNewRoman"/>
          <w:highlight w:val="lightGray"/>
        </w:rPr>
        <w:t>Každá kapsula obsahuje 199,3 mg laktózy.</w:t>
      </w:r>
    </w:p>
    <w:p w14:paraId="0288832E" w14:textId="77777777" w:rsidR="00500713" w:rsidRPr="00512310" w:rsidRDefault="00500713" w:rsidP="00500713">
      <w:pPr>
        <w:ind w:left="0" w:firstLine="0"/>
        <w:rPr>
          <w:rFonts w:eastAsia="TimesNewRoman"/>
          <w:szCs w:val="22"/>
          <w:lang w:eastAsia="en-US"/>
        </w:rPr>
      </w:pPr>
      <w:r w:rsidRPr="00893070">
        <w:rPr>
          <w:rFonts w:eastAsia="TimesNewRoman"/>
          <w:highlight w:val="lightGray"/>
        </w:rPr>
        <w:t>Každá kapsula obsahuje 332,2 mg laktózy.</w:t>
      </w:r>
    </w:p>
    <w:p w14:paraId="4A1D3FE5" w14:textId="77777777" w:rsidR="00500713" w:rsidRPr="00512310" w:rsidRDefault="00500713" w:rsidP="00B706AA">
      <w:pPr>
        <w:ind w:left="0" w:firstLine="0"/>
        <w:rPr>
          <w:rFonts w:eastAsia="TimesNewRoman"/>
          <w:szCs w:val="22"/>
          <w:lang w:eastAsia="en-US"/>
        </w:rPr>
      </w:pPr>
    </w:p>
    <w:p w14:paraId="5F291945" w14:textId="77777777" w:rsidR="00500713" w:rsidRPr="00512310" w:rsidRDefault="00500713" w:rsidP="00B706AA">
      <w:pPr>
        <w:ind w:left="0" w:firstLine="0"/>
        <w:rPr>
          <w:rFonts w:eastAsia="TimesNewRoman"/>
          <w:szCs w:val="22"/>
          <w:lang w:eastAsia="en-US"/>
        </w:rPr>
      </w:pPr>
      <w:r w:rsidRPr="00512310">
        <w:rPr>
          <w:rFonts w:eastAsia="TimesNewRoman"/>
          <w:szCs w:val="22"/>
          <w:lang w:eastAsia="en-US"/>
        </w:rPr>
        <w:t>Každá kapsula obsahuje menej ako 1 mmol sodíka (23 mg).</w:t>
      </w:r>
    </w:p>
    <w:p w14:paraId="46BB5E2F" w14:textId="77777777" w:rsidR="00500713" w:rsidRPr="00512310" w:rsidRDefault="00500713" w:rsidP="00B706AA">
      <w:pPr>
        <w:ind w:left="0" w:firstLine="0"/>
        <w:rPr>
          <w:rFonts w:eastAsia="TimesNewRoman"/>
          <w:szCs w:val="22"/>
          <w:lang w:eastAsia="en-US"/>
        </w:rPr>
      </w:pPr>
    </w:p>
    <w:p w14:paraId="1D18FD0E" w14:textId="77777777" w:rsidR="00FF6BE0" w:rsidRPr="00512310" w:rsidRDefault="00FF6BE0" w:rsidP="00C92B0B">
      <w:pPr>
        <w:tabs>
          <w:tab w:val="left" w:pos="567"/>
        </w:tabs>
        <w:spacing w:line="260" w:lineRule="exact"/>
        <w:ind w:left="0" w:firstLine="0"/>
        <w:rPr>
          <w:szCs w:val="22"/>
          <w:lang w:eastAsia="en-US"/>
        </w:rPr>
      </w:pPr>
      <w:r w:rsidRPr="00512310">
        <w:rPr>
          <w:szCs w:val="22"/>
          <w:lang w:eastAsia="en-US"/>
        </w:rPr>
        <w:t>Úplný zoznam pomocných látok, pozri časť 6.1.</w:t>
      </w:r>
    </w:p>
    <w:p w14:paraId="62B0BC9A" w14:textId="77777777" w:rsidR="00FF6BE0" w:rsidRPr="00512310" w:rsidRDefault="00FF6BE0" w:rsidP="00C92B0B">
      <w:pPr>
        <w:rPr>
          <w:szCs w:val="22"/>
        </w:rPr>
      </w:pPr>
    </w:p>
    <w:p w14:paraId="31405AD4" w14:textId="77777777" w:rsidR="00920419" w:rsidRPr="00512310" w:rsidRDefault="00920419" w:rsidP="00C92B0B">
      <w:pPr>
        <w:rPr>
          <w:szCs w:val="22"/>
        </w:rPr>
      </w:pPr>
    </w:p>
    <w:p w14:paraId="0CE94CA9" w14:textId="77777777" w:rsidR="00FF6BE0" w:rsidRPr="00512310" w:rsidRDefault="00FF6BE0" w:rsidP="00C92B0B">
      <w:pPr>
        <w:rPr>
          <w:caps/>
          <w:szCs w:val="22"/>
        </w:rPr>
      </w:pPr>
      <w:r w:rsidRPr="00512310">
        <w:rPr>
          <w:b/>
          <w:szCs w:val="22"/>
        </w:rPr>
        <w:t>3.</w:t>
      </w:r>
      <w:r w:rsidRPr="00512310">
        <w:rPr>
          <w:b/>
          <w:szCs w:val="22"/>
        </w:rPr>
        <w:tab/>
        <w:t>LIEKOVÁ FORMA</w:t>
      </w:r>
    </w:p>
    <w:p w14:paraId="6D2EBA78" w14:textId="77777777" w:rsidR="00FF6BE0" w:rsidRPr="00512310" w:rsidRDefault="00FF6BE0" w:rsidP="00C92B0B">
      <w:pPr>
        <w:rPr>
          <w:szCs w:val="22"/>
        </w:rPr>
      </w:pPr>
    </w:p>
    <w:p w14:paraId="34B48DF2" w14:textId="77777777" w:rsidR="00417FA3" w:rsidRPr="00512310" w:rsidRDefault="00D90818" w:rsidP="00417FA3">
      <w:pPr>
        <w:autoSpaceDE w:val="0"/>
        <w:autoSpaceDN w:val="0"/>
        <w:adjustRightInd w:val="0"/>
        <w:ind w:left="0" w:firstLine="0"/>
        <w:rPr>
          <w:rFonts w:eastAsia="TimesNewRoman"/>
          <w:szCs w:val="22"/>
          <w:lang w:eastAsia="en-US"/>
        </w:rPr>
      </w:pPr>
      <w:r w:rsidRPr="00512310">
        <w:rPr>
          <w:rFonts w:eastAsia="TimesNewRoman"/>
          <w:szCs w:val="22"/>
          <w:lang w:eastAsia="en-US"/>
        </w:rPr>
        <w:t>Tvrdá kapsula</w:t>
      </w:r>
      <w:r w:rsidR="00417FA3" w:rsidRPr="00512310">
        <w:rPr>
          <w:rFonts w:eastAsia="TimesNewRoman"/>
          <w:szCs w:val="22"/>
          <w:lang w:eastAsia="en-US"/>
        </w:rPr>
        <w:t>.</w:t>
      </w:r>
    </w:p>
    <w:p w14:paraId="0DB65C9A" w14:textId="77777777" w:rsidR="00E044A6" w:rsidRPr="00512310" w:rsidRDefault="00E044A6" w:rsidP="00417FA3">
      <w:pPr>
        <w:autoSpaceDE w:val="0"/>
        <w:autoSpaceDN w:val="0"/>
        <w:adjustRightInd w:val="0"/>
        <w:ind w:left="0" w:firstLine="0"/>
        <w:rPr>
          <w:rFonts w:eastAsia="TimesNewRoman"/>
          <w:szCs w:val="22"/>
          <w:lang w:eastAsia="en-US"/>
        </w:rPr>
      </w:pPr>
    </w:p>
    <w:p w14:paraId="507E6AE1" w14:textId="71B74BE1" w:rsidR="00D90818" w:rsidRPr="000932CA" w:rsidRDefault="00D90818" w:rsidP="00D90818">
      <w:pPr>
        <w:autoSpaceDE w:val="0"/>
        <w:autoSpaceDN w:val="0"/>
        <w:adjustRightInd w:val="0"/>
        <w:ind w:left="0" w:firstLine="0"/>
        <w:rPr>
          <w:rFonts w:eastAsia="TimesNewRoman"/>
        </w:rPr>
      </w:pPr>
      <w:r w:rsidRPr="000932CA">
        <w:rPr>
          <w:rFonts w:eastAsia="TimesNewRoman"/>
        </w:rPr>
        <w:t xml:space="preserve">Nepriehľadné biele telo kapsuly a nepriehľadný biely vrchnák kapsuly s dĺžkou približne 18,0 mm, s označením </w:t>
      </w:r>
      <w:r w:rsidR="004874A8">
        <w:rPr>
          <w:rFonts w:eastAsia="TimesNewRoman"/>
          <w:szCs w:val="22"/>
          <w:lang w:eastAsia="en-US"/>
        </w:rPr>
        <w:t>„</w:t>
      </w:r>
      <w:r w:rsidRPr="000932CA">
        <w:rPr>
          <w:rFonts w:eastAsia="TimesNewRoman"/>
        </w:rPr>
        <w:t>L9NL</w:t>
      </w:r>
      <w:r w:rsidR="004874A8">
        <w:rPr>
          <w:rFonts w:eastAsia="TimesNewRoman"/>
          <w:szCs w:val="22"/>
          <w:lang w:eastAsia="en-US"/>
        </w:rPr>
        <w:t>“</w:t>
      </w:r>
      <w:r w:rsidRPr="000932CA">
        <w:rPr>
          <w:rFonts w:eastAsia="TimesNewRoman"/>
        </w:rPr>
        <w:t xml:space="preserve"> a </w:t>
      </w:r>
      <w:r w:rsidR="004874A8">
        <w:rPr>
          <w:rFonts w:eastAsia="TimesNewRoman"/>
          <w:szCs w:val="22"/>
          <w:lang w:eastAsia="en-US"/>
        </w:rPr>
        <w:t>„</w:t>
      </w:r>
      <w:r w:rsidRPr="000932CA">
        <w:rPr>
          <w:rFonts w:eastAsia="TimesNewRoman"/>
        </w:rPr>
        <w:t>5</w:t>
      </w:r>
      <w:r w:rsidR="004874A8">
        <w:rPr>
          <w:rFonts w:eastAsia="TimesNewRoman"/>
          <w:szCs w:val="22"/>
          <w:lang w:eastAsia="en-US"/>
        </w:rPr>
        <w:t>“</w:t>
      </w:r>
      <w:r w:rsidRPr="00512310">
        <w:rPr>
          <w:rFonts w:eastAsia="TimesNewRoman"/>
          <w:szCs w:val="22"/>
          <w:lang w:eastAsia="en-US"/>
        </w:rPr>
        <w:t>.</w:t>
      </w:r>
    </w:p>
    <w:p w14:paraId="1CD72530" w14:textId="2B1CA158" w:rsidR="00D90818" w:rsidRPr="00893070" w:rsidRDefault="00D90818" w:rsidP="00D90818">
      <w:pPr>
        <w:autoSpaceDE w:val="0"/>
        <w:autoSpaceDN w:val="0"/>
        <w:adjustRightInd w:val="0"/>
        <w:ind w:left="0" w:firstLine="0"/>
        <w:rPr>
          <w:rFonts w:eastAsia="TimesNewRoman"/>
          <w:highlight w:val="lightGray"/>
        </w:rPr>
      </w:pPr>
      <w:r w:rsidRPr="00893070">
        <w:rPr>
          <w:rFonts w:eastAsia="TimesNewRoman"/>
          <w:highlight w:val="lightGray"/>
        </w:rPr>
        <w:t xml:space="preserve">Nepriehľadné žlté telo kapsuly a nepriehľadný zelený až bledozelený vrchnák kapsuly s dĺžkou približne 21,7 mm, s označením </w:t>
      </w:r>
      <w:r w:rsidR="004874A8">
        <w:rPr>
          <w:rFonts w:eastAsia="TimesNewRoman"/>
          <w:szCs w:val="22"/>
          <w:highlight w:val="lightGray"/>
          <w:lang w:eastAsia="en-US"/>
        </w:rPr>
        <w:t>„</w:t>
      </w:r>
      <w:r w:rsidRPr="00893070">
        <w:rPr>
          <w:rFonts w:eastAsia="TimesNewRoman"/>
          <w:highlight w:val="lightGray"/>
        </w:rPr>
        <w:t>L9NL</w:t>
      </w:r>
      <w:r w:rsidR="004874A8">
        <w:rPr>
          <w:rFonts w:eastAsia="TimesNewRoman"/>
          <w:szCs w:val="22"/>
          <w:highlight w:val="lightGray"/>
          <w:lang w:eastAsia="en-US"/>
        </w:rPr>
        <w:t>“</w:t>
      </w:r>
      <w:r w:rsidRPr="00893070">
        <w:rPr>
          <w:rFonts w:eastAsia="TimesNewRoman"/>
          <w:highlight w:val="lightGray"/>
        </w:rPr>
        <w:t xml:space="preserve"> a </w:t>
      </w:r>
      <w:r w:rsidR="004874A8">
        <w:rPr>
          <w:rFonts w:eastAsia="TimesNewRoman"/>
          <w:szCs w:val="22"/>
          <w:highlight w:val="lightGray"/>
          <w:lang w:eastAsia="en-US"/>
        </w:rPr>
        <w:t>„</w:t>
      </w:r>
      <w:r w:rsidRPr="00893070">
        <w:rPr>
          <w:rFonts w:eastAsia="TimesNewRoman"/>
          <w:highlight w:val="lightGray"/>
        </w:rPr>
        <w:t>10</w:t>
      </w:r>
      <w:r w:rsidR="004874A8">
        <w:rPr>
          <w:rFonts w:eastAsia="TimesNewRoman"/>
          <w:szCs w:val="22"/>
          <w:highlight w:val="lightGray"/>
          <w:lang w:eastAsia="en-US"/>
        </w:rPr>
        <w:t>“</w:t>
      </w:r>
      <w:r w:rsidRPr="00893070">
        <w:rPr>
          <w:rFonts w:eastAsia="TimesNewRoman"/>
          <w:szCs w:val="22"/>
          <w:highlight w:val="lightGray"/>
          <w:lang w:eastAsia="en-US"/>
        </w:rPr>
        <w:t>.</w:t>
      </w:r>
    </w:p>
    <w:p w14:paraId="04BA680D" w14:textId="65B0282A" w:rsidR="00D90818" w:rsidRPr="00893070" w:rsidRDefault="00D90818" w:rsidP="00D90818">
      <w:pPr>
        <w:autoSpaceDE w:val="0"/>
        <w:autoSpaceDN w:val="0"/>
        <w:adjustRightInd w:val="0"/>
        <w:ind w:left="0" w:firstLine="0"/>
        <w:rPr>
          <w:rFonts w:eastAsia="TimesNewRoman"/>
          <w:highlight w:val="lightGray"/>
        </w:rPr>
      </w:pPr>
      <w:r w:rsidRPr="00893070">
        <w:rPr>
          <w:rFonts w:eastAsia="TimesNewRoman"/>
          <w:highlight w:val="lightGray"/>
        </w:rPr>
        <w:t xml:space="preserve">Nepriehľadné biele telo kapsuly a nepriehľadný modrý až bledomodrý vrchnák kapsuly s dĺžkou približne 21,7 mm, s označením </w:t>
      </w:r>
      <w:r w:rsidR="00166ED7">
        <w:rPr>
          <w:rFonts w:eastAsia="TimesNewRoman"/>
          <w:szCs w:val="22"/>
          <w:highlight w:val="lightGray"/>
          <w:lang w:eastAsia="en-US"/>
        </w:rPr>
        <w:t>„</w:t>
      </w:r>
      <w:r w:rsidRPr="00893070">
        <w:rPr>
          <w:rFonts w:eastAsia="TimesNewRoman"/>
          <w:highlight w:val="lightGray"/>
        </w:rPr>
        <w:t>L9NL</w:t>
      </w:r>
      <w:r w:rsidR="00166ED7">
        <w:rPr>
          <w:rFonts w:eastAsia="TimesNewRoman"/>
          <w:szCs w:val="22"/>
          <w:highlight w:val="lightGray"/>
          <w:lang w:eastAsia="en-US"/>
        </w:rPr>
        <w:t>“</w:t>
      </w:r>
      <w:r w:rsidRPr="00893070">
        <w:rPr>
          <w:rFonts w:eastAsia="TimesNewRoman"/>
          <w:highlight w:val="lightGray"/>
        </w:rPr>
        <w:t xml:space="preserve"> a </w:t>
      </w:r>
      <w:r w:rsidR="00166ED7">
        <w:rPr>
          <w:rFonts w:eastAsia="TimesNewRoman"/>
          <w:szCs w:val="22"/>
          <w:highlight w:val="lightGray"/>
          <w:lang w:eastAsia="en-US"/>
        </w:rPr>
        <w:t>„</w:t>
      </w:r>
      <w:r w:rsidRPr="00893070">
        <w:rPr>
          <w:rFonts w:eastAsia="TimesNewRoman"/>
          <w:highlight w:val="lightGray"/>
        </w:rPr>
        <w:t>15</w:t>
      </w:r>
      <w:r w:rsidR="00166ED7">
        <w:rPr>
          <w:rFonts w:eastAsia="TimesNewRoman"/>
          <w:szCs w:val="22"/>
          <w:highlight w:val="lightGray"/>
          <w:lang w:eastAsia="en-US"/>
        </w:rPr>
        <w:t>“</w:t>
      </w:r>
      <w:r w:rsidRPr="00893070">
        <w:rPr>
          <w:rFonts w:eastAsia="TimesNewRoman"/>
          <w:szCs w:val="22"/>
          <w:highlight w:val="lightGray"/>
          <w:lang w:eastAsia="en-US"/>
        </w:rPr>
        <w:t>.</w:t>
      </w:r>
    </w:p>
    <w:p w14:paraId="7E366461" w14:textId="3D38B7D6" w:rsidR="00D90818" w:rsidRPr="00512310" w:rsidRDefault="00D90818" w:rsidP="00D90818">
      <w:pPr>
        <w:autoSpaceDE w:val="0"/>
        <w:autoSpaceDN w:val="0"/>
        <w:adjustRightInd w:val="0"/>
        <w:ind w:left="0" w:firstLine="0"/>
        <w:rPr>
          <w:rFonts w:eastAsia="TimesNewRoman"/>
          <w:szCs w:val="22"/>
          <w:lang w:eastAsia="en-US"/>
        </w:rPr>
      </w:pPr>
      <w:r w:rsidRPr="00893070">
        <w:rPr>
          <w:rFonts w:eastAsia="TimesNewRoman"/>
          <w:highlight w:val="lightGray"/>
        </w:rPr>
        <w:t xml:space="preserve">Nepriehľadné biele telo kapsuly a nepriehľadný biely vrchnák kapsuly s dĺžkou približne 21,7 mm, s označením </w:t>
      </w:r>
      <w:r w:rsidR="00166ED7">
        <w:rPr>
          <w:rFonts w:eastAsia="TimesNewRoman"/>
          <w:szCs w:val="22"/>
          <w:highlight w:val="lightGray"/>
          <w:lang w:eastAsia="en-US"/>
        </w:rPr>
        <w:t>„</w:t>
      </w:r>
      <w:r w:rsidRPr="00893070">
        <w:rPr>
          <w:rFonts w:eastAsia="TimesNewRoman"/>
          <w:highlight w:val="lightGray"/>
        </w:rPr>
        <w:t>L9NL</w:t>
      </w:r>
      <w:r w:rsidR="00166ED7">
        <w:rPr>
          <w:rFonts w:eastAsia="TimesNewRoman"/>
          <w:szCs w:val="22"/>
          <w:highlight w:val="lightGray"/>
          <w:lang w:eastAsia="en-US"/>
        </w:rPr>
        <w:t>“</w:t>
      </w:r>
      <w:r w:rsidRPr="00893070">
        <w:rPr>
          <w:rFonts w:eastAsia="TimesNewRoman"/>
          <w:highlight w:val="lightGray"/>
        </w:rPr>
        <w:t xml:space="preserve"> a </w:t>
      </w:r>
      <w:r w:rsidR="00166ED7">
        <w:rPr>
          <w:rFonts w:eastAsia="TimesNewRoman"/>
          <w:szCs w:val="22"/>
          <w:highlight w:val="lightGray"/>
          <w:lang w:eastAsia="en-US"/>
        </w:rPr>
        <w:t>„</w:t>
      </w:r>
      <w:r w:rsidRPr="00893070">
        <w:rPr>
          <w:rFonts w:eastAsia="TimesNewRoman"/>
          <w:highlight w:val="lightGray"/>
        </w:rPr>
        <w:t>25</w:t>
      </w:r>
      <w:r w:rsidR="00166ED7">
        <w:rPr>
          <w:rFonts w:eastAsia="TimesNewRoman"/>
          <w:szCs w:val="22"/>
          <w:highlight w:val="lightGray"/>
          <w:lang w:eastAsia="en-US"/>
        </w:rPr>
        <w:t>“</w:t>
      </w:r>
      <w:r w:rsidRPr="00893070">
        <w:rPr>
          <w:rFonts w:eastAsia="TimesNewRoman"/>
          <w:szCs w:val="22"/>
          <w:highlight w:val="lightGray"/>
          <w:lang w:eastAsia="en-US"/>
        </w:rPr>
        <w:t>.</w:t>
      </w:r>
    </w:p>
    <w:p w14:paraId="07B5DD25" w14:textId="77777777" w:rsidR="00222B5E" w:rsidRPr="00512310" w:rsidRDefault="00222B5E" w:rsidP="00222B5E">
      <w:pPr>
        <w:autoSpaceDE w:val="0"/>
        <w:autoSpaceDN w:val="0"/>
        <w:adjustRightInd w:val="0"/>
        <w:ind w:left="0" w:firstLine="0"/>
        <w:rPr>
          <w:rFonts w:eastAsia="TimesNewRoman"/>
          <w:szCs w:val="22"/>
          <w:lang w:eastAsia="en-US"/>
        </w:rPr>
      </w:pPr>
    </w:p>
    <w:p w14:paraId="66F18A50" w14:textId="77777777" w:rsidR="00FA6B80" w:rsidRPr="00512310" w:rsidRDefault="00FA6B80" w:rsidP="00C92B0B">
      <w:pPr>
        <w:ind w:left="0" w:firstLine="0"/>
        <w:rPr>
          <w:szCs w:val="22"/>
        </w:rPr>
      </w:pPr>
    </w:p>
    <w:p w14:paraId="5B540FE7" w14:textId="77777777" w:rsidR="00FF6BE0" w:rsidRPr="00512310" w:rsidRDefault="00FF6BE0" w:rsidP="00C92B0B">
      <w:pPr>
        <w:rPr>
          <w:caps/>
          <w:szCs w:val="22"/>
        </w:rPr>
      </w:pPr>
      <w:r w:rsidRPr="00512310">
        <w:rPr>
          <w:b/>
          <w:caps/>
          <w:szCs w:val="22"/>
        </w:rPr>
        <w:t>4.</w:t>
      </w:r>
      <w:r w:rsidRPr="00512310">
        <w:rPr>
          <w:b/>
          <w:caps/>
          <w:szCs w:val="22"/>
        </w:rPr>
        <w:tab/>
        <w:t>KLINICKÉ ÚDAJE</w:t>
      </w:r>
    </w:p>
    <w:p w14:paraId="42F2FFE3" w14:textId="77777777" w:rsidR="00FF6BE0" w:rsidRPr="00512310" w:rsidRDefault="00FF6BE0" w:rsidP="00C92B0B">
      <w:pPr>
        <w:rPr>
          <w:szCs w:val="22"/>
        </w:rPr>
      </w:pPr>
    </w:p>
    <w:p w14:paraId="7F4F81AD" w14:textId="77777777" w:rsidR="00FF6BE0" w:rsidRPr="00512310" w:rsidRDefault="00FF6BE0" w:rsidP="00C92B0B">
      <w:pPr>
        <w:rPr>
          <w:szCs w:val="22"/>
        </w:rPr>
      </w:pPr>
      <w:r w:rsidRPr="00512310">
        <w:rPr>
          <w:b/>
          <w:szCs w:val="22"/>
        </w:rPr>
        <w:t>4.1</w:t>
      </w:r>
      <w:r w:rsidRPr="00512310">
        <w:rPr>
          <w:b/>
          <w:szCs w:val="22"/>
        </w:rPr>
        <w:tab/>
        <w:t>Terapeutické indikácie</w:t>
      </w:r>
    </w:p>
    <w:p w14:paraId="282EBE5D" w14:textId="77777777" w:rsidR="00FF6BE0" w:rsidRPr="00512310" w:rsidRDefault="00FF6BE0" w:rsidP="00C92B0B">
      <w:pPr>
        <w:rPr>
          <w:szCs w:val="22"/>
        </w:rPr>
      </w:pPr>
    </w:p>
    <w:p w14:paraId="2449BAA5" w14:textId="77777777" w:rsidR="00D90818" w:rsidRPr="00512310" w:rsidRDefault="00D90818" w:rsidP="00D90818">
      <w:pPr>
        <w:autoSpaceDE w:val="0"/>
        <w:autoSpaceDN w:val="0"/>
        <w:adjustRightInd w:val="0"/>
        <w:ind w:left="0" w:firstLine="0"/>
        <w:rPr>
          <w:rFonts w:eastAsia="TimesNewRomanPSMT"/>
          <w:szCs w:val="22"/>
          <w:u w:val="single"/>
          <w:lang w:eastAsia="en-US"/>
        </w:rPr>
      </w:pPr>
      <w:r w:rsidRPr="00512310">
        <w:rPr>
          <w:rFonts w:eastAsia="TimesNewRomanPSMT"/>
          <w:szCs w:val="22"/>
          <w:u w:val="single"/>
          <w:lang w:eastAsia="en-US"/>
        </w:rPr>
        <w:t>Mnohopočetný myelóm</w:t>
      </w:r>
    </w:p>
    <w:p w14:paraId="3B8A2302" w14:textId="43F163CF" w:rsidR="00D90818" w:rsidRPr="00512310" w:rsidRDefault="00F905EA" w:rsidP="00D90818">
      <w:pPr>
        <w:autoSpaceDE w:val="0"/>
        <w:autoSpaceDN w:val="0"/>
        <w:adjustRightInd w:val="0"/>
        <w:ind w:left="0" w:firstLine="0"/>
        <w:rPr>
          <w:rFonts w:eastAsia="TimesNewRomanPSMT"/>
          <w:szCs w:val="22"/>
          <w:lang w:eastAsia="en-US"/>
        </w:rPr>
      </w:pPr>
      <w:r w:rsidRPr="00512310">
        <w:rPr>
          <w:rFonts w:eastAsia="TimesNewRomanPSMT"/>
          <w:szCs w:val="22"/>
          <w:lang w:eastAsia="en-US"/>
        </w:rPr>
        <w:t xml:space="preserve">Lenalidomid </w:t>
      </w:r>
      <w:r w:rsidR="00576DE4">
        <w:rPr>
          <w:rFonts w:eastAsia="TimesNewRomanPSMT"/>
          <w:szCs w:val="22"/>
          <w:lang w:eastAsia="en-US"/>
        </w:rPr>
        <w:t>Synthon</w:t>
      </w:r>
      <w:r w:rsidR="00D90818" w:rsidRPr="00512310">
        <w:rPr>
          <w:rFonts w:eastAsia="TimesNewRomanPSMT"/>
          <w:szCs w:val="22"/>
          <w:lang w:eastAsia="en-US"/>
        </w:rPr>
        <w:t xml:space="preserve"> ako monoterapia je indikovaný na udržiavaciu liečbu dospelých pacientov s novodiagnostikovaným mnohopočetným myelómom, ktorí podstúpili autológnu transplantáciu kmeňových</w:t>
      </w:r>
      <w:r w:rsidRPr="00512310">
        <w:rPr>
          <w:rFonts w:eastAsia="TimesNewRomanPSMT"/>
          <w:szCs w:val="22"/>
          <w:lang w:eastAsia="en-US"/>
        </w:rPr>
        <w:t xml:space="preserve"> </w:t>
      </w:r>
      <w:r w:rsidR="00D90818" w:rsidRPr="00512310">
        <w:rPr>
          <w:rFonts w:eastAsia="TimesNewRomanPSMT"/>
          <w:szCs w:val="22"/>
          <w:lang w:eastAsia="en-US"/>
        </w:rPr>
        <w:t>buniek.</w:t>
      </w:r>
    </w:p>
    <w:p w14:paraId="3D6DE01D" w14:textId="77777777" w:rsidR="00F905EA" w:rsidRPr="00512310" w:rsidRDefault="00F905EA" w:rsidP="00D90818">
      <w:pPr>
        <w:autoSpaceDE w:val="0"/>
        <w:autoSpaceDN w:val="0"/>
        <w:adjustRightInd w:val="0"/>
        <w:ind w:left="0" w:firstLine="0"/>
        <w:rPr>
          <w:rFonts w:eastAsia="TimesNewRomanPSMT"/>
          <w:szCs w:val="22"/>
          <w:lang w:eastAsia="en-US"/>
        </w:rPr>
      </w:pPr>
    </w:p>
    <w:p w14:paraId="3B3B90F3" w14:textId="647ACC9D" w:rsidR="00D90818" w:rsidRPr="00512310" w:rsidRDefault="00F905EA" w:rsidP="00D90818">
      <w:pPr>
        <w:autoSpaceDE w:val="0"/>
        <w:autoSpaceDN w:val="0"/>
        <w:adjustRightInd w:val="0"/>
        <w:ind w:left="0" w:firstLine="0"/>
        <w:rPr>
          <w:rFonts w:eastAsia="TimesNewRomanPSMT"/>
          <w:szCs w:val="22"/>
          <w:lang w:eastAsia="en-US"/>
        </w:rPr>
      </w:pPr>
      <w:r w:rsidRPr="00512310">
        <w:rPr>
          <w:rFonts w:eastAsia="TimesNewRomanPSMT"/>
          <w:szCs w:val="22"/>
          <w:lang w:eastAsia="en-US"/>
        </w:rPr>
        <w:t xml:space="preserve">Lenalidomid </w:t>
      </w:r>
      <w:r w:rsidR="00576DE4">
        <w:rPr>
          <w:rFonts w:eastAsia="TimesNewRomanPSMT"/>
          <w:szCs w:val="22"/>
          <w:lang w:eastAsia="en-US"/>
        </w:rPr>
        <w:t>Synthon</w:t>
      </w:r>
      <w:r w:rsidR="00D90818" w:rsidRPr="00512310">
        <w:rPr>
          <w:rFonts w:eastAsia="TimesNewRomanPSMT"/>
          <w:szCs w:val="22"/>
          <w:lang w:eastAsia="en-US"/>
        </w:rPr>
        <w:t xml:space="preserve"> ako kombinovaná terapia (pozri časť 4.2) je indikovaný na liečbu dospelých pacientov s doteraz</w:t>
      </w:r>
      <w:r w:rsidRPr="00512310">
        <w:rPr>
          <w:rFonts w:eastAsia="TimesNewRomanPSMT"/>
          <w:szCs w:val="22"/>
          <w:lang w:eastAsia="en-US"/>
        </w:rPr>
        <w:t xml:space="preserve"> </w:t>
      </w:r>
      <w:r w:rsidR="00D90818" w:rsidRPr="00512310">
        <w:rPr>
          <w:rFonts w:eastAsia="TimesNewRomanPSMT"/>
          <w:szCs w:val="22"/>
          <w:lang w:eastAsia="en-US"/>
        </w:rPr>
        <w:t>neliečeným mnohopočetným myelómom, ktorí nie sú spôsobilí na transplantáciu.</w:t>
      </w:r>
    </w:p>
    <w:p w14:paraId="7734A100" w14:textId="77777777" w:rsidR="00F905EA" w:rsidRPr="00512310" w:rsidRDefault="00F905EA" w:rsidP="00D90818">
      <w:pPr>
        <w:autoSpaceDE w:val="0"/>
        <w:autoSpaceDN w:val="0"/>
        <w:adjustRightInd w:val="0"/>
        <w:ind w:left="0" w:firstLine="0"/>
        <w:rPr>
          <w:rFonts w:eastAsia="TimesNewRomanPSMT"/>
          <w:szCs w:val="22"/>
          <w:lang w:eastAsia="en-US"/>
        </w:rPr>
      </w:pPr>
    </w:p>
    <w:p w14:paraId="39117E54" w14:textId="56088FC1" w:rsidR="00D90818" w:rsidRPr="00512310" w:rsidRDefault="00F905EA" w:rsidP="00D90818">
      <w:pPr>
        <w:autoSpaceDE w:val="0"/>
        <w:autoSpaceDN w:val="0"/>
        <w:adjustRightInd w:val="0"/>
        <w:ind w:left="0" w:firstLine="0"/>
        <w:rPr>
          <w:rFonts w:eastAsia="TimesNewRomanPSMT"/>
          <w:szCs w:val="22"/>
          <w:lang w:eastAsia="en-US"/>
        </w:rPr>
      </w:pPr>
      <w:r w:rsidRPr="00512310">
        <w:rPr>
          <w:rFonts w:eastAsia="TimesNewRomanPSMT"/>
          <w:szCs w:val="22"/>
          <w:lang w:eastAsia="en-US"/>
        </w:rPr>
        <w:t xml:space="preserve">Lenalidomid </w:t>
      </w:r>
      <w:r w:rsidR="00576DE4">
        <w:rPr>
          <w:rFonts w:eastAsia="TimesNewRomanPSMT"/>
          <w:szCs w:val="22"/>
          <w:lang w:eastAsia="en-US"/>
        </w:rPr>
        <w:t>Synthon</w:t>
      </w:r>
      <w:r w:rsidRPr="00512310">
        <w:rPr>
          <w:rFonts w:eastAsia="TimesNewRomanPSMT"/>
          <w:szCs w:val="22"/>
          <w:lang w:eastAsia="en-US"/>
        </w:rPr>
        <w:t xml:space="preserve"> </w:t>
      </w:r>
      <w:r w:rsidR="00D90818" w:rsidRPr="00512310">
        <w:rPr>
          <w:rFonts w:eastAsia="TimesNewRomanPSMT"/>
          <w:szCs w:val="22"/>
          <w:lang w:eastAsia="en-US"/>
        </w:rPr>
        <w:t>v kombinácii s dexametazónom je indikovaný na liečbu dospelých pacientov s</w:t>
      </w:r>
      <w:r w:rsidRPr="00512310">
        <w:rPr>
          <w:rFonts w:eastAsia="TimesNewRomanPSMT"/>
          <w:szCs w:val="22"/>
          <w:lang w:eastAsia="en-US"/>
        </w:rPr>
        <w:t> </w:t>
      </w:r>
      <w:r w:rsidR="00D90818" w:rsidRPr="00512310">
        <w:rPr>
          <w:rFonts w:eastAsia="TimesNewRomanPSMT"/>
          <w:szCs w:val="22"/>
          <w:lang w:eastAsia="en-US"/>
        </w:rPr>
        <w:t>mnohopočetným</w:t>
      </w:r>
      <w:r w:rsidRPr="00512310">
        <w:rPr>
          <w:rFonts w:eastAsia="TimesNewRomanPSMT"/>
          <w:szCs w:val="22"/>
          <w:lang w:eastAsia="en-US"/>
        </w:rPr>
        <w:t xml:space="preserve"> </w:t>
      </w:r>
      <w:r w:rsidR="00D90818" w:rsidRPr="00512310">
        <w:rPr>
          <w:rFonts w:eastAsia="TimesNewRomanPSMT"/>
          <w:szCs w:val="22"/>
          <w:lang w:eastAsia="en-US"/>
        </w:rPr>
        <w:t>myelómom, ktorí sa predtým podrobili najmenej jednej terapii.</w:t>
      </w:r>
    </w:p>
    <w:p w14:paraId="6F2823C5" w14:textId="77777777" w:rsidR="00323DDD" w:rsidRPr="00512310" w:rsidRDefault="00323DDD" w:rsidP="0036015A">
      <w:pPr>
        <w:autoSpaceDE w:val="0"/>
        <w:autoSpaceDN w:val="0"/>
        <w:adjustRightInd w:val="0"/>
        <w:ind w:left="0" w:firstLine="0"/>
        <w:rPr>
          <w:rFonts w:eastAsia="TimesNewRoman"/>
          <w:color w:val="000000"/>
          <w:szCs w:val="22"/>
          <w:lang w:eastAsia="en-US"/>
        </w:rPr>
      </w:pPr>
    </w:p>
    <w:p w14:paraId="71F132CD" w14:textId="77777777" w:rsidR="00FF6BE0" w:rsidRPr="00512310" w:rsidRDefault="00FF6BE0" w:rsidP="00C92B0B">
      <w:pPr>
        <w:rPr>
          <w:b/>
          <w:szCs w:val="22"/>
        </w:rPr>
      </w:pPr>
      <w:r w:rsidRPr="00512310">
        <w:rPr>
          <w:b/>
          <w:szCs w:val="22"/>
        </w:rPr>
        <w:t>4.2</w:t>
      </w:r>
      <w:r w:rsidRPr="00512310">
        <w:rPr>
          <w:b/>
          <w:szCs w:val="22"/>
        </w:rPr>
        <w:tab/>
        <w:t>Dávkovanie a spôsob podávania</w:t>
      </w:r>
    </w:p>
    <w:p w14:paraId="4D36D497" w14:textId="77777777" w:rsidR="00FF60EF" w:rsidRPr="00512310" w:rsidRDefault="00FF60EF" w:rsidP="00C92B0B">
      <w:pPr>
        <w:rPr>
          <w:szCs w:val="22"/>
          <w:u w:val="single"/>
        </w:rPr>
      </w:pPr>
    </w:p>
    <w:p w14:paraId="4B8670E8" w14:textId="217FCE75" w:rsidR="00EC0C9E" w:rsidRPr="00512310" w:rsidRDefault="00EC0C9E" w:rsidP="00EC0C9E">
      <w:pPr>
        <w:autoSpaceDE w:val="0"/>
        <w:autoSpaceDN w:val="0"/>
        <w:adjustRightInd w:val="0"/>
        <w:ind w:left="0" w:firstLine="0"/>
        <w:rPr>
          <w:rFonts w:eastAsia="TimesNewRomanPSMT"/>
          <w:szCs w:val="22"/>
          <w:lang w:eastAsia="en-US"/>
        </w:rPr>
      </w:pPr>
      <w:r w:rsidRPr="00512310">
        <w:rPr>
          <w:rFonts w:eastAsia="TimesNewRomanPSMT"/>
          <w:szCs w:val="22"/>
          <w:lang w:eastAsia="en-US"/>
        </w:rPr>
        <w:t xml:space="preserve">Liečba Lenalidomidom </w:t>
      </w:r>
      <w:r w:rsidR="00576DE4">
        <w:rPr>
          <w:rFonts w:eastAsia="TimesNewRomanPSMT"/>
          <w:szCs w:val="22"/>
          <w:lang w:eastAsia="en-US"/>
        </w:rPr>
        <w:t>Synthon</w:t>
      </w:r>
      <w:r w:rsidRPr="00512310">
        <w:rPr>
          <w:rFonts w:eastAsia="TimesNewRomanPSMT"/>
          <w:szCs w:val="22"/>
          <w:lang w:eastAsia="en-US"/>
        </w:rPr>
        <w:t xml:space="preserve"> má prebiehať pod dohľadom lekára so skúsenosťami s používaním onkologickej liečby.</w:t>
      </w:r>
    </w:p>
    <w:p w14:paraId="7FA65C21" w14:textId="77777777" w:rsidR="00EC0C9E" w:rsidRPr="00512310" w:rsidRDefault="00EC0C9E" w:rsidP="00EC0C9E">
      <w:pPr>
        <w:autoSpaceDE w:val="0"/>
        <w:autoSpaceDN w:val="0"/>
        <w:adjustRightInd w:val="0"/>
        <w:ind w:left="0" w:firstLine="0"/>
        <w:rPr>
          <w:rFonts w:eastAsia="TimesNewRomanPSMT"/>
          <w:szCs w:val="22"/>
          <w:lang w:eastAsia="en-US"/>
        </w:rPr>
      </w:pPr>
    </w:p>
    <w:p w14:paraId="2C2954C0" w14:textId="77777777" w:rsidR="00EC0C9E" w:rsidRPr="00512310" w:rsidRDefault="00EC0C9E" w:rsidP="00EC0C9E">
      <w:pPr>
        <w:autoSpaceDE w:val="0"/>
        <w:autoSpaceDN w:val="0"/>
        <w:adjustRightInd w:val="0"/>
        <w:ind w:left="0" w:firstLine="0"/>
        <w:rPr>
          <w:rFonts w:eastAsia="TimesNewRomanPSMT"/>
          <w:szCs w:val="22"/>
          <w:lang w:eastAsia="en-US"/>
        </w:rPr>
      </w:pPr>
      <w:r w:rsidRPr="00512310">
        <w:rPr>
          <w:rFonts w:eastAsia="TimesNewRomanPSMT"/>
          <w:szCs w:val="22"/>
          <w:lang w:eastAsia="en-US"/>
        </w:rPr>
        <w:t>Pre všetky indikácie uvedené nižšie:</w:t>
      </w:r>
    </w:p>
    <w:p w14:paraId="48A51FD8" w14:textId="77777777" w:rsidR="00EC0C9E" w:rsidRPr="00512310" w:rsidRDefault="00EC0C9E" w:rsidP="00EC0C9E">
      <w:pPr>
        <w:tabs>
          <w:tab w:val="left" w:pos="851"/>
        </w:tabs>
        <w:autoSpaceDE w:val="0"/>
        <w:autoSpaceDN w:val="0"/>
        <w:adjustRightInd w:val="0"/>
        <w:ind w:left="0" w:firstLine="284"/>
        <w:rPr>
          <w:rFonts w:eastAsia="TimesNewRomanPSMT"/>
          <w:szCs w:val="22"/>
          <w:lang w:eastAsia="en-US"/>
        </w:rPr>
      </w:pPr>
      <w:r w:rsidRPr="00512310">
        <w:rPr>
          <w:rFonts w:eastAsia="SymbolMT"/>
          <w:szCs w:val="22"/>
          <w:lang w:eastAsia="en-US"/>
        </w:rPr>
        <w:t>•</w:t>
      </w:r>
      <w:r w:rsidRPr="00512310">
        <w:rPr>
          <w:rFonts w:eastAsia="SymbolMT"/>
          <w:szCs w:val="22"/>
          <w:lang w:eastAsia="en-US"/>
        </w:rPr>
        <w:tab/>
      </w:r>
      <w:r w:rsidRPr="00512310">
        <w:rPr>
          <w:rFonts w:eastAsia="TimesNewRomanPSMT"/>
          <w:szCs w:val="22"/>
          <w:lang w:eastAsia="en-US"/>
        </w:rPr>
        <w:t>Dávka sa upravuje na základe klinických a laboratórnych nálezov (pozri časť 4.4).</w:t>
      </w:r>
    </w:p>
    <w:p w14:paraId="01C36FFF" w14:textId="77777777" w:rsidR="00EC0C9E" w:rsidRPr="00512310" w:rsidRDefault="00EC0C9E" w:rsidP="00EC0C9E">
      <w:pPr>
        <w:tabs>
          <w:tab w:val="left" w:pos="851"/>
        </w:tabs>
        <w:autoSpaceDE w:val="0"/>
        <w:autoSpaceDN w:val="0"/>
        <w:adjustRightInd w:val="0"/>
        <w:ind w:left="851"/>
        <w:rPr>
          <w:rFonts w:eastAsia="TimesNewRomanPSMT"/>
          <w:szCs w:val="22"/>
          <w:lang w:eastAsia="en-US"/>
        </w:rPr>
      </w:pPr>
      <w:r w:rsidRPr="00512310">
        <w:rPr>
          <w:rFonts w:eastAsia="SymbolMT"/>
          <w:szCs w:val="22"/>
          <w:lang w:eastAsia="en-US"/>
        </w:rPr>
        <w:t>•</w:t>
      </w:r>
      <w:r w:rsidRPr="00512310">
        <w:rPr>
          <w:rFonts w:eastAsia="SymbolMT"/>
          <w:szCs w:val="22"/>
          <w:lang w:eastAsia="en-US"/>
        </w:rPr>
        <w:tab/>
      </w:r>
      <w:r w:rsidRPr="00512310">
        <w:rPr>
          <w:rFonts w:eastAsia="TimesNewRomanPSMT"/>
          <w:szCs w:val="22"/>
          <w:lang w:eastAsia="en-US"/>
        </w:rPr>
        <w:t>Úpravy dávky počas liečby a pri opätovnom začatí liečby sa odporúčajú na kontrolu trombocytopénie 3. alebo 4. stupňa, neutropénie alebo inej toxicity 3. alebo 4. stupňa ohodnotenej ako súvisiacej s lenalidomidom.</w:t>
      </w:r>
    </w:p>
    <w:p w14:paraId="41AC4AE6" w14:textId="77777777" w:rsidR="00EC0C9E" w:rsidRPr="00512310" w:rsidRDefault="00EC0C9E" w:rsidP="00EC0C9E">
      <w:pPr>
        <w:tabs>
          <w:tab w:val="left" w:pos="851"/>
        </w:tabs>
        <w:autoSpaceDE w:val="0"/>
        <w:autoSpaceDN w:val="0"/>
        <w:adjustRightInd w:val="0"/>
        <w:ind w:left="0" w:firstLine="284"/>
        <w:rPr>
          <w:rFonts w:eastAsia="TimesNewRomanPSMT"/>
          <w:szCs w:val="22"/>
          <w:lang w:eastAsia="en-US"/>
        </w:rPr>
      </w:pPr>
      <w:r w:rsidRPr="00512310">
        <w:rPr>
          <w:rFonts w:eastAsia="SymbolMT"/>
          <w:szCs w:val="22"/>
          <w:lang w:eastAsia="en-US"/>
        </w:rPr>
        <w:t>•</w:t>
      </w:r>
      <w:r w:rsidRPr="00512310">
        <w:rPr>
          <w:rFonts w:eastAsia="SymbolMT"/>
          <w:szCs w:val="22"/>
          <w:lang w:eastAsia="en-US"/>
        </w:rPr>
        <w:tab/>
      </w:r>
      <w:r w:rsidRPr="00512310">
        <w:rPr>
          <w:rFonts w:eastAsia="TimesNewRomanPSMT"/>
          <w:szCs w:val="22"/>
          <w:lang w:eastAsia="en-US"/>
        </w:rPr>
        <w:t>V prípade neutropénie sa má pri liečbe pacienta zvážiť použitie rastových faktorov.</w:t>
      </w:r>
    </w:p>
    <w:p w14:paraId="09C23B6B" w14:textId="77777777" w:rsidR="00EC0C9E" w:rsidRPr="00512310" w:rsidRDefault="00EC0C9E" w:rsidP="00EC0C9E">
      <w:pPr>
        <w:tabs>
          <w:tab w:val="left" w:pos="851"/>
        </w:tabs>
        <w:autoSpaceDE w:val="0"/>
        <w:autoSpaceDN w:val="0"/>
        <w:adjustRightInd w:val="0"/>
        <w:ind w:left="851"/>
        <w:rPr>
          <w:rFonts w:eastAsia="TimesNewRomanPSMT"/>
          <w:szCs w:val="22"/>
          <w:lang w:eastAsia="en-US"/>
        </w:rPr>
      </w:pPr>
      <w:r w:rsidRPr="00512310">
        <w:rPr>
          <w:rFonts w:eastAsia="SymbolMT"/>
          <w:szCs w:val="22"/>
          <w:lang w:eastAsia="en-US"/>
        </w:rPr>
        <w:t>•</w:t>
      </w:r>
      <w:r w:rsidRPr="00512310">
        <w:rPr>
          <w:rFonts w:eastAsia="SymbolMT"/>
          <w:szCs w:val="22"/>
          <w:lang w:eastAsia="en-US"/>
        </w:rPr>
        <w:tab/>
      </w:r>
      <w:r w:rsidRPr="00512310">
        <w:rPr>
          <w:rFonts w:eastAsia="TimesNewRomanPSMT"/>
          <w:szCs w:val="22"/>
          <w:lang w:eastAsia="en-US"/>
        </w:rPr>
        <w:t>Ak uplynulo menej ako 12 hodín od vynechanej dávky, pacient túto dávku môže užiť. Ak uplynulo viac ako 12 hodín od vynechanej dávky, pacient nemá užiť túto dávku, ale má užiť až ďalšiu dávku v obvyklom čase nasledujúci deň.</w:t>
      </w:r>
    </w:p>
    <w:p w14:paraId="7B6E2486" w14:textId="77777777" w:rsidR="00EC0C9E" w:rsidRPr="00512310" w:rsidRDefault="00EC0C9E" w:rsidP="00EC0C9E">
      <w:pPr>
        <w:autoSpaceDE w:val="0"/>
        <w:autoSpaceDN w:val="0"/>
        <w:adjustRightInd w:val="0"/>
        <w:ind w:left="0" w:firstLine="0"/>
        <w:rPr>
          <w:color w:val="000000"/>
          <w:szCs w:val="22"/>
          <w:u w:val="single"/>
        </w:rPr>
      </w:pPr>
    </w:p>
    <w:p w14:paraId="4B7C32C6" w14:textId="77777777" w:rsidR="00EC0C9E" w:rsidRPr="00512310" w:rsidRDefault="00EC0C9E" w:rsidP="00EC0C9E">
      <w:pPr>
        <w:autoSpaceDE w:val="0"/>
        <w:autoSpaceDN w:val="0"/>
        <w:adjustRightInd w:val="0"/>
        <w:ind w:left="0" w:firstLine="0"/>
        <w:rPr>
          <w:rFonts w:eastAsia="TimesNewRoman"/>
          <w:szCs w:val="22"/>
          <w:lang w:eastAsia="en-US"/>
        </w:rPr>
      </w:pPr>
      <w:r w:rsidRPr="00512310">
        <w:rPr>
          <w:color w:val="000000"/>
          <w:szCs w:val="22"/>
          <w:u w:val="single"/>
        </w:rPr>
        <w:t>Dávkovanie</w:t>
      </w:r>
    </w:p>
    <w:p w14:paraId="76B4A6C6" w14:textId="77777777" w:rsidR="00EC0C9E" w:rsidRPr="00512310" w:rsidRDefault="00EC0C9E" w:rsidP="00EC0C9E">
      <w:pPr>
        <w:autoSpaceDE w:val="0"/>
        <w:autoSpaceDN w:val="0"/>
        <w:adjustRightInd w:val="0"/>
        <w:ind w:left="0" w:firstLine="0"/>
        <w:rPr>
          <w:rFonts w:eastAsia="TimesNewRomanPSMT"/>
          <w:i/>
          <w:iCs/>
          <w:szCs w:val="22"/>
          <w:lang w:eastAsia="en-US"/>
        </w:rPr>
      </w:pPr>
    </w:p>
    <w:p w14:paraId="0B6EF9C3" w14:textId="1E8ED897" w:rsidR="00EC0C9E" w:rsidRPr="00512310" w:rsidRDefault="00EC0C9E" w:rsidP="00EC0C9E">
      <w:pPr>
        <w:autoSpaceDE w:val="0"/>
        <w:autoSpaceDN w:val="0"/>
        <w:adjustRightInd w:val="0"/>
        <w:ind w:left="0" w:firstLine="0"/>
        <w:rPr>
          <w:rFonts w:eastAsia="TimesNewRomanPSMT"/>
          <w:b/>
          <w:iCs/>
          <w:szCs w:val="22"/>
          <w:lang w:eastAsia="en-US"/>
        </w:rPr>
      </w:pPr>
      <w:r w:rsidRPr="00512310">
        <w:rPr>
          <w:rFonts w:eastAsia="TimesNewRomanPSMT"/>
          <w:b/>
          <w:iCs/>
          <w:szCs w:val="22"/>
          <w:lang w:eastAsia="en-US"/>
        </w:rPr>
        <w:t>Novodiagnostikovaný mnohopočetný myelóm (newly diagnosed multiple myeloma, NDMM)</w:t>
      </w:r>
    </w:p>
    <w:p w14:paraId="3B705CD2" w14:textId="77777777" w:rsidR="000D5CD0" w:rsidRPr="00512310" w:rsidRDefault="000D5CD0" w:rsidP="00EC0C9E">
      <w:pPr>
        <w:autoSpaceDE w:val="0"/>
        <w:autoSpaceDN w:val="0"/>
        <w:adjustRightInd w:val="0"/>
        <w:ind w:left="0" w:firstLine="0"/>
        <w:rPr>
          <w:rFonts w:eastAsia="TimesNewRomanPSMT"/>
          <w:szCs w:val="22"/>
          <w:lang w:eastAsia="en-US"/>
        </w:rPr>
      </w:pPr>
    </w:p>
    <w:p w14:paraId="60A5B9DB" w14:textId="77777777" w:rsidR="00EC0C9E" w:rsidRPr="00512310" w:rsidRDefault="00EC0C9E" w:rsidP="00EC0C9E">
      <w:pPr>
        <w:autoSpaceDE w:val="0"/>
        <w:autoSpaceDN w:val="0"/>
        <w:adjustRightInd w:val="0"/>
        <w:ind w:left="0" w:firstLine="0"/>
        <w:rPr>
          <w:rFonts w:eastAsia="TimesNewRomanPSMT"/>
          <w:szCs w:val="22"/>
          <w:lang w:eastAsia="en-US"/>
        </w:rPr>
      </w:pPr>
      <w:r w:rsidRPr="00512310">
        <w:rPr>
          <w:rFonts w:eastAsia="TimesNewRomanPSMT"/>
          <w:i/>
          <w:szCs w:val="22"/>
          <w:lang w:eastAsia="en-US"/>
        </w:rPr>
        <w:t>Udržiavacia terapia lenalidomidom u pacientov, ktorí podstúpili autológnu transplantáciu</w:t>
      </w:r>
      <w:r w:rsidR="000D5CD0" w:rsidRPr="00512310">
        <w:rPr>
          <w:rFonts w:eastAsia="TimesNewRomanPSMT"/>
          <w:i/>
          <w:szCs w:val="22"/>
          <w:lang w:eastAsia="en-US"/>
        </w:rPr>
        <w:t xml:space="preserve"> </w:t>
      </w:r>
      <w:r w:rsidRPr="00512310">
        <w:rPr>
          <w:rFonts w:eastAsia="TimesNewRomanPSMT"/>
          <w:i/>
          <w:szCs w:val="22"/>
          <w:lang w:eastAsia="en-US"/>
        </w:rPr>
        <w:t>kmeňových buniek (</w:t>
      </w:r>
      <w:r w:rsidR="000D5CD0" w:rsidRPr="00512310">
        <w:rPr>
          <w:rFonts w:eastAsia="TimesNewRomanPSMT"/>
          <w:i/>
          <w:szCs w:val="22"/>
          <w:lang w:eastAsia="en-US"/>
        </w:rPr>
        <w:t xml:space="preserve">autologous stem cell transplantation, </w:t>
      </w:r>
      <w:r w:rsidRPr="00512310">
        <w:rPr>
          <w:rFonts w:eastAsia="TimesNewRomanPSMT"/>
          <w:i/>
          <w:szCs w:val="22"/>
          <w:lang w:eastAsia="en-US"/>
        </w:rPr>
        <w:t>ASCT)</w:t>
      </w:r>
    </w:p>
    <w:p w14:paraId="50D7F108" w14:textId="77777777" w:rsidR="000D5CD0" w:rsidRPr="00512310" w:rsidRDefault="000D5CD0" w:rsidP="00EC0C9E">
      <w:pPr>
        <w:autoSpaceDE w:val="0"/>
        <w:autoSpaceDN w:val="0"/>
        <w:adjustRightInd w:val="0"/>
        <w:ind w:left="0" w:firstLine="0"/>
        <w:rPr>
          <w:rFonts w:eastAsia="TimesNewRomanPSMT"/>
          <w:szCs w:val="22"/>
          <w:lang w:eastAsia="en-US"/>
        </w:rPr>
      </w:pPr>
    </w:p>
    <w:p w14:paraId="07469E05" w14:textId="6917CAE8" w:rsidR="00EC0C9E" w:rsidRPr="00512310" w:rsidRDefault="00EC0C9E" w:rsidP="00EC0C9E">
      <w:pPr>
        <w:autoSpaceDE w:val="0"/>
        <w:autoSpaceDN w:val="0"/>
        <w:adjustRightInd w:val="0"/>
        <w:ind w:left="0" w:firstLine="0"/>
        <w:rPr>
          <w:rFonts w:eastAsia="TimesNewRomanPSMT"/>
          <w:szCs w:val="22"/>
          <w:lang w:eastAsia="en-US"/>
        </w:rPr>
      </w:pPr>
      <w:r w:rsidRPr="00512310">
        <w:rPr>
          <w:rFonts w:eastAsia="TimesNewRomanPSMT"/>
          <w:szCs w:val="22"/>
          <w:lang w:eastAsia="en-US"/>
        </w:rPr>
        <w:t xml:space="preserve">Udržiavacia terapia lenalidomidom má začať po primeranom obnovení </w:t>
      </w:r>
      <w:r w:rsidR="00AC7514">
        <w:rPr>
          <w:rFonts w:eastAsia="TimesNewRomanPSMT"/>
          <w:szCs w:val="22"/>
          <w:lang w:eastAsia="en-US"/>
        </w:rPr>
        <w:t>hematologických parametrov</w:t>
      </w:r>
      <w:r w:rsidRPr="00512310">
        <w:rPr>
          <w:rFonts w:eastAsia="TimesNewRomanPSMT"/>
          <w:szCs w:val="22"/>
          <w:lang w:eastAsia="en-US"/>
        </w:rPr>
        <w:t xml:space="preserve"> po</w:t>
      </w:r>
      <w:r w:rsidR="000D5CD0" w:rsidRPr="00512310">
        <w:rPr>
          <w:rFonts w:eastAsia="TimesNewRomanPSMT"/>
          <w:szCs w:val="22"/>
          <w:lang w:eastAsia="en-US"/>
        </w:rPr>
        <w:t xml:space="preserve"> </w:t>
      </w:r>
      <w:r w:rsidRPr="00512310">
        <w:rPr>
          <w:rFonts w:eastAsia="TimesNewRomanPSMT"/>
          <w:szCs w:val="22"/>
          <w:lang w:eastAsia="en-US"/>
        </w:rPr>
        <w:t xml:space="preserve">predchádzajúcej ASCT </w:t>
      </w:r>
      <w:r w:rsidR="00AC7514">
        <w:rPr>
          <w:rFonts w:eastAsia="TimesNewRomanPSMT"/>
          <w:szCs w:val="22"/>
          <w:lang w:eastAsia="en-US"/>
        </w:rPr>
        <w:t xml:space="preserve">u pacientov </w:t>
      </w:r>
      <w:r w:rsidRPr="00512310">
        <w:rPr>
          <w:rFonts w:eastAsia="TimesNewRomanPSMT"/>
          <w:szCs w:val="22"/>
          <w:lang w:eastAsia="en-US"/>
        </w:rPr>
        <w:t>bez príznakov progresie. Liečba lenalidomidom sa nesmie začať, pokiaľ je</w:t>
      </w:r>
      <w:r w:rsidR="000D5CD0" w:rsidRPr="00512310">
        <w:rPr>
          <w:rFonts w:eastAsia="TimesNewRomanPSMT"/>
          <w:szCs w:val="22"/>
          <w:lang w:eastAsia="en-US"/>
        </w:rPr>
        <w:t xml:space="preserve"> </w:t>
      </w:r>
      <w:r w:rsidRPr="00512310">
        <w:rPr>
          <w:rFonts w:eastAsia="TimesNewRomanPSMT"/>
          <w:szCs w:val="22"/>
          <w:lang w:eastAsia="en-US"/>
        </w:rPr>
        <w:t>absolútny počet neutrofilov (ANC) &lt;</w:t>
      </w:r>
      <w:r w:rsidR="000D5CD0" w:rsidRPr="00512310">
        <w:rPr>
          <w:rFonts w:eastAsia="TimesNewRomanPSMT"/>
          <w:szCs w:val="22"/>
          <w:lang w:eastAsia="en-US"/>
        </w:rPr>
        <w:t> </w:t>
      </w:r>
      <w:r w:rsidRPr="00512310">
        <w:rPr>
          <w:rFonts w:eastAsia="TimesNewRomanPSMT"/>
          <w:szCs w:val="22"/>
          <w:lang w:eastAsia="en-US"/>
        </w:rPr>
        <w:t>1,0</w:t>
      </w:r>
      <w:r w:rsidR="000D5CD0" w:rsidRPr="00512310">
        <w:rPr>
          <w:rFonts w:eastAsia="TimesNewRomanPSMT"/>
          <w:szCs w:val="22"/>
          <w:lang w:eastAsia="en-US"/>
        </w:rPr>
        <w:t> </w:t>
      </w:r>
      <w:r w:rsidRPr="00512310">
        <w:rPr>
          <w:rFonts w:eastAsia="TimesNewRomanPSMT"/>
          <w:szCs w:val="22"/>
          <w:lang w:eastAsia="en-US"/>
        </w:rPr>
        <w:t>x</w:t>
      </w:r>
      <w:r w:rsidR="000D5CD0" w:rsidRPr="00512310">
        <w:rPr>
          <w:rFonts w:eastAsia="TimesNewRomanPSMT"/>
          <w:szCs w:val="22"/>
          <w:lang w:eastAsia="en-US"/>
        </w:rPr>
        <w:t> </w:t>
      </w:r>
      <w:r w:rsidRPr="00512310">
        <w:rPr>
          <w:rFonts w:eastAsia="TimesNewRomanPSMT"/>
          <w:szCs w:val="22"/>
          <w:lang w:eastAsia="en-US"/>
        </w:rPr>
        <w:t>10</w:t>
      </w:r>
      <w:r w:rsidRPr="00512310">
        <w:rPr>
          <w:rFonts w:eastAsia="TimesNewRomanPSMT"/>
          <w:szCs w:val="22"/>
          <w:vertAlign w:val="superscript"/>
          <w:lang w:eastAsia="en-US"/>
        </w:rPr>
        <w:t>9</w:t>
      </w:r>
      <w:r w:rsidRPr="00512310">
        <w:rPr>
          <w:rFonts w:eastAsia="TimesNewRomanPSMT"/>
          <w:szCs w:val="22"/>
          <w:lang w:eastAsia="en-US"/>
        </w:rPr>
        <w:t>/l, a/alebo počet trombocytov &lt;</w:t>
      </w:r>
      <w:r w:rsidR="000D5CD0" w:rsidRPr="00512310">
        <w:rPr>
          <w:rFonts w:eastAsia="TimesNewRomanPSMT"/>
          <w:szCs w:val="22"/>
          <w:lang w:eastAsia="en-US"/>
        </w:rPr>
        <w:t> </w:t>
      </w:r>
      <w:r w:rsidRPr="00512310">
        <w:rPr>
          <w:rFonts w:eastAsia="TimesNewRomanPSMT"/>
          <w:szCs w:val="22"/>
          <w:lang w:eastAsia="en-US"/>
        </w:rPr>
        <w:t>75</w:t>
      </w:r>
      <w:r w:rsidR="000D5CD0" w:rsidRPr="00512310">
        <w:rPr>
          <w:rFonts w:eastAsia="TimesNewRomanPSMT"/>
          <w:szCs w:val="22"/>
          <w:lang w:eastAsia="en-US"/>
        </w:rPr>
        <w:t> </w:t>
      </w:r>
      <w:r w:rsidRPr="00512310">
        <w:rPr>
          <w:rFonts w:eastAsia="TimesNewRomanPSMT"/>
          <w:szCs w:val="22"/>
          <w:lang w:eastAsia="en-US"/>
        </w:rPr>
        <w:t>x</w:t>
      </w:r>
      <w:r w:rsidR="000D5CD0" w:rsidRPr="00512310">
        <w:rPr>
          <w:rFonts w:eastAsia="TimesNewRomanPSMT"/>
          <w:szCs w:val="22"/>
          <w:lang w:eastAsia="en-US"/>
        </w:rPr>
        <w:t> </w:t>
      </w:r>
      <w:r w:rsidRPr="00512310">
        <w:rPr>
          <w:rFonts w:eastAsia="TimesNewRomanPSMT"/>
          <w:szCs w:val="22"/>
          <w:lang w:eastAsia="en-US"/>
        </w:rPr>
        <w:t>10</w:t>
      </w:r>
      <w:r w:rsidRPr="00512310">
        <w:rPr>
          <w:rFonts w:eastAsia="TimesNewRomanPSMT"/>
          <w:szCs w:val="22"/>
          <w:vertAlign w:val="superscript"/>
          <w:lang w:eastAsia="en-US"/>
        </w:rPr>
        <w:t>9</w:t>
      </w:r>
      <w:r w:rsidRPr="00512310">
        <w:rPr>
          <w:rFonts w:eastAsia="TimesNewRomanPSMT"/>
          <w:szCs w:val="22"/>
          <w:lang w:eastAsia="en-US"/>
        </w:rPr>
        <w:t>/l.</w:t>
      </w:r>
    </w:p>
    <w:p w14:paraId="3B28DEB0" w14:textId="77777777" w:rsidR="000D5CD0" w:rsidRPr="00512310" w:rsidRDefault="000D5CD0" w:rsidP="00EC0C9E">
      <w:pPr>
        <w:autoSpaceDE w:val="0"/>
        <w:autoSpaceDN w:val="0"/>
        <w:adjustRightInd w:val="0"/>
        <w:ind w:left="0" w:firstLine="0"/>
        <w:rPr>
          <w:rFonts w:eastAsia="TimesNewRomanPSMT"/>
          <w:i/>
          <w:iCs/>
          <w:szCs w:val="22"/>
          <w:lang w:eastAsia="en-US"/>
        </w:rPr>
      </w:pPr>
    </w:p>
    <w:p w14:paraId="29F3DA9C" w14:textId="77777777" w:rsidR="00EC0C9E" w:rsidRPr="00512310" w:rsidRDefault="00EC0C9E" w:rsidP="00EC0C9E">
      <w:pPr>
        <w:autoSpaceDE w:val="0"/>
        <w:autoSpaceDN w:val="0"/>
        <w:adjustRightInd w:val="0"/>
        <w:ind w:left="0" w:firstLine="0"/>
        <w:rPr>
          <w:rFonts w:eastAsia="TimesNewRomanPSMT"/>
          <w:iCs/>
          <w:szCs w:val="22"/>
          <w:u w:val="single"/>
          <w:lang w:eastAsia="en-US"/>
        </w:rPr>
      </w:pPr>
      <w:r w:rsidRPr="00512310">
        <w:rPr>
          <w:rFonts w:eastAsia="TimesNewRomanPSMT"/>
          <w:iCs/>
          <w:szCs w:val="22"/>
          <w:u w:val="single"/>
          <w:lang w:eastAsia="en-US"/>
        </w:rPr>
        <w:t>Odporúčaná dávka</w:t>
      </w:r>
    </w:p>
    <w:p w14:paraId="0B164FE4" w14:textId="77777777" w:rsidR="000D5CD0" w:rsidRPr="00512310" w:rsidRDefault="00EC0C9E" w:rsidP="00EC0C9E">
      <w:pPr>
        <w:autoSpaceDE w:val="0"/>
        <w:autoSpaceDN w:val="0"/>
        <w:adjustRightInd w:val="0"/>
        <w:ind w:left="0" w:firstLine="0"/>
        <w:rPr>
          <w:rFonts w:eastAsia="TimesNewRomanPSMT"/>
          <w:szCs w:val="22"/>
          <w:lang w:eastAsia="en-US"/>
        </w:rPr>
      </w:pPr>
      <w:r w:rsidRPr="00512310">
        <w:rPr>
          <w:rFonts w:eastAsia="TimesNewRomanPSMT"/>
          <w:szCs w:val="22"/>
          <w:lang w:eastAsia="en-US"/>
        </w:rPr>
        <w:t>Odporúčaná začiatočná dávka lenalidomidu je 10</w:t>
      </w:r>
      <w:r w:rsidR="000D5CD0" w:rsidRPr="00512310">
        <w:rPr>
          <w:rFonts w:eastAsia="TimesNewRomanPSMT"/>
          <w:szCs w:val="22"/>
          <w:lang w:eastAsia="en-US"/>
        </w:rPr>
        <w:t> </w:t>
      </w:r>
      <w:r w:rsidRPr="00512310">
        <w:rPr>
          <w:rFonts w:eastAsia="TimesNewRomanPSMT"/>
          <w:szCs w:val="22"/>
          <w:lang w:eastAsia="en-US"/>
        </w:rPr>
        <w:t>mg perorálne jedenkrát denne kontinuálne (v 1. až 28.</w:t>
      </w:r>
      <w:r w:rsidR="000D5CD0" w:rsidRPr="00512310">
        <w:rPr>
          <w:rFonts w:eastAsia="TimesNewRomanPSMT"/>
          <w:szCs w:val="22"/>
          <w:lang w:eastAsia="en-US"/>
        </w:rPr>
        <w:t xml:space="preserve"> </w:t>
      </w:r>
      <w:r w:rsidRPr="00512310">
        <w:rPr>
          <w:rFonts w:eastAsia="TimesNewRomanPSMT"/>
          <w:szCs w:val="22"/>
          <w:lang w:eastAsia="en-US"/>
        </w:rPr>
        <w:t>deň opakovaných 28-dňových cyklov) podávaná až do progresie ochorenia alebo intolerancie. Po 3</w:t>
      </w:r>
      <w:r w:rsidR="000D5CD0" w:rsidRPr="00512310">
        <w:rPr>
          <w:rFonts w:eastAsia="TimesNewRomanPSMT"/>
          <w:szCs w:val="22"/>
          <w:lang w:eastAsia="en-US"/>
        </w:rPr>
        <w:t xml:space="preserve"> </w:t>
      </w:r>
      <w:r w:rsidRPr="00512310">
        <w:rPr>
          <w:rFonts w:eastAsia="TimesNewRomanPSMT"/>
          <w:szCs w:val="22"/>
          <w:lang w:eastAsia="en-US"/>
        </w:rPr>
        <w:t>cykloch udržiavacej terapie lenalidomidom sa môže dávka zvýšiť na 15</w:t>
      </w:r>
      <w:r w:rsidR="000D5CD0" w:rsidRPr="00512310">
        <w:rPr>
          <w:rFonts w:eastAsia="TimesNewRomanPSMT"/>
          <w:szCs w:val="22"/>
          <w:lang w:eastAsia="en-US"/>
        </w:rPr>
        <w:t> </w:t>
      </w:r>
      <w:r w:rsidRPr="00512310">
        <w:rPr>
          <w:rFonts w:eastAsia="TimesNewRomanPSMT"/>
          <w:szCs w:val="22"/>
          <w:lang w:eastAsia="en-US"/>
        </w:rPr>
        <w:t>mg perorálne jedenkrát denne v</w:t>
      </w:r>
      <w:r w:rsidR="000D5CD0" w:rsidRPr="00512310">
        <w:rPr>
          <w:rFonts w:eastAsia="TimesNewRomanPSMT"/>
          <w:szCs w:val="22"/>
          <w:lang w:eastAsia="en-US"/>
        </w:rPr>
        <w:t xml:space="preserve"> </w:t>
      </w:r>
      <w:r w:rsidRPr="00512310">
        <w:rPr>
          <w:rFonts w:eastAsia="TimesNewRomanPSMT"/>
          <w:szCs w:val="22"/>
          <w:lang w:eastAsia="en-US"/>
        </w:rPr>
        <w:t>prípade, že je tolerovaná.</w:t>
      </w:r>
    </w:p>
    <w:p w14:paraId="7203A0A9" w14:textId="77777777" w:rsidR="000D5CD0" w:rsidRPr="00512310" w:rsidRDefault="000D5CD0" w:rsidP="00EC0C9E">
      <w:pPr>
        <w:autoSpaceDE w:val="0"/>
        <w:autoSpaceDN w:val="0"/>
        <w:adjustRightInd w:val="0"/>
        <w:ind w:left="0" w:firstLine="0"/>
        <w:rPr>
          <w:rFonts w:eastAsia="TimesNewRomanPSMT"/>
          <w:szCs w:val="22"/>
          <w:lang w:eastAsia="en-US"/>
        </w:rPr>
      </w:pPr>
    </w:p>
    <w:p w14:paraId="10377480" w14:textId="77777777" w:rsidR="000D5CD0" w:rsidRPr="00512310" w:rsidRDefault="00C05F26" w:rsidP="008A650F">
      <w:pPr>
        <w:pStyle w:val="Odsekzoznamu"/>
        <w:widowControl/>
        <w:numPr>
          <w:ilvl w:val="0"/>
          <w:numId w:val="3"/>
        </w:numPr>
        <w:spacing w:after="0" w:line="240" w:lineRule="auto"/>
        <w:rPr>
          <w:rFonts w:ascii="Times New Roman" w:hAnsi="Times New Roman"/>
          <w:i/>
          <w:lang w:val="sk-SK"/>
        </w:rPr>
      </w:pPr>
      <w:r w:rsidRPr="00512310">
        <w:rPr>
          <w:rFonts w:ascii="Times New Roman" w:hAnsi="Times New Roman"/>
          <w:i/>
          <w:lang w:val="sk-SK"/>
        </w:rPr>
        <w:t>Kroky pri znižovaní dávky</w:t>
      </w:r>
    </w:p>
    <w:tbl>
      <w:tblPr>
        <w:tblW w:w="9855" w:type="dxa"/>
        <w:tblInd w:w="6" w:type="dxa"/>
        <w:tblLayout w:type="fixed"/>
        <w:tblCellMar>
          <w:left w:w="0" w:type="dxa"/>
          <w:right w:w="0" w:type="dxa"/>
        </w:tblCellMar>
        <w:tblLook w:val="01E0" w:firstRow="1" w:lastRow="1" w:firstColumn="1" w:lastColumn="1" w:noHBand="0" w:noVBand="0"/>
      </w:tblPr>
      <w:tblGrid>
        <w:gridCol w:w="1985"/>
        <w:gridCol w:w="3809"/>
        <w:gridCol w:w="4061"/>
      </w:tblGrid>
      <w:tr w:rsidR="000D5CD0" w:rsidRPr="00512310" w14:paraId="1792A63E" w14:textId="77777777" w:rsidTr="00C05F26">
        <w:trPr>
          <w:trHeight w:hRule="exact" w:val="264"/>
        </w:trPr>
        <w:tc>
          <w:tcPr>
            <w:tcW w:w="1985" w:type="dxa"/>
            <w:tcBorders>
              <w:top w:val="single" w:sz="5" w:space="0" w:color="000000"/>
              <w:left w:val="single" w:sz="5" w:space="0" w:color="000000"/>
              <w:bottom w:val="single" w:sz="5" w:space="0" w:color="000000"/>
              <w:right w:val="single" w:sz="5" w:space="0" w:color="000000"/>
            </w:tcBorders>
          </w:tcPr>
          <w:p w14:paraId="3A7D04C7" w14:textId="77777777" w:rsidR="000D5CD0" w:rsidRPr="00512310" w:rsidRDefault="000D5CD0" w:rsidP="00FE4C88">
            <w:pPr>
              <w:rPr>
                <w:szCs w:val="22"/>
              </w:rPr>
            </w:pPr>
          </w:p>
        </w:tc>
        <w:tc>
          <w:tcPr>
            <w:tcW w:w="3809" w:type="dxa"/>
            <w:tcBorders>
              <w:top w:val="single" w:sz="5" w:space="0" w:color="000000"/>
              <w:left w:val="single" w:sz="5" w:space="0" w:color="000000"/>
              <w:bottom w:val="single" w:sz="5" w:space="0" w:color="000000"/>
              <w:right w:val="single" w:sz="5" w:space="0" w:color="000000"/>
            </w:tcBorders>
          </w:tcPr>
          <w:p w14:paraId="692D1B8F" w14:textId="77777777" w:rsidR="000D5CD0" w:rsidRPr="00512310" w:rsidRDefault="00C05F26" w:rsidP="00C05F26">
            <w:pPr>
              <w:pStyle w:val="TableParagraph"/>
              <w:ind w:left="1067"/>
              <w:rPr>
                <w:sz w:val="22"/>
                <w:szCs w:val="22"/>
                <w:lang w:val="sk-SK"/>
              </w:rPr>
            </w:pPr>
            <w:r w:rsidRPr="00512310">
              <w:rPr>
                <w:spacing w:val="-1"/>
                <w:sz w:val="22"/>
                <w:szCs w:val="22"/>
                <w:lang w:val="sk-SK"/>
              </w:rPr>
              <w:t>Začiatočná dávka</w:t>
            </w:r>
            <w:r w:rsidR="000D5CD0" w:rsidRPr="00512310">
              <w:rPr>
                <w:sz w:val="22"/>
                <w:szCs w:val="22"/>
                <w:lang w:val="sk-SK"/>
              </w:rPr>
              <w:t xml:space="preserve"> </w:t>
            </w:r>
            <w:r w:rsidR="000D5CD0" w:rsidRPr="00512310">
              <w:rPr>
                <w:spacing w:val="-1"/>
                <w:sz w:val="22"/>
                <w:szCs w:val="22"/>
                <w:lang w:val="sk-SK"/>
              </w:rPr>
              <w:t>(10</w:t>
            </w:r>
            <w:r w:rsidRPr="00512310">
              <w:rPr>
                <w:spacing w:val="-1"/>
                <w:sz w:val="22"/>
                <w:szCs w:val="22"/>
                <w:lang w:val="sk-SK"/>
              </w:rPr>
              <w:t> </w:t>
            </w:r>
            <w:r w:rsidR="000D5CD0" w:rsidRPr="00512310">
              <w:rPr>
                <w:spacing w:val="-3"/>
                <w:sz w:val="22"/>
                <w:szCs w:val="22"/>
                <w:lang w:val="sk-SK"/>
              </w:rPr>
              <w:t>mg)</w:t>
            </w:r>
          </w:p>
        </w:tc>
        <w:tc>
          <w:tcPr>
            <w:tcW w:w="4061" w:type="dxa"/>
            <w:tcBorders>
              <w:top w:val="single" w:sz="5" w:space="0" w:color="000000"/>
              <w:left w:val="single" w:sz="5" w:space="0" w:color="000000"/>
              <w:bottom w:val="single" w:sz="5" w:space="0" w:color="000000"/>
              <w:right w:val="single" w:sz="5" w:space="0" w:color="000000"/>
            </w:tcBorders>
          </w:tcPr>
          <w:p w14:paraId="028731EB" w14:textId="588FE0B0" w:rsidR="000D5CD0" w:rsidRPr="00512310" w:rsidRDefault="00C05F26" w:rsidP="00C05F26">
            <w:pPr>
              <w:pStyle w:val="TableParagraph"/>
              <w:ind w:left="853"/>
              <w:rPr>
                <w:sz w:val="22"/>
                <w:szCs w:val="22"/>
                <w:lang w:val="sk-SK"/>
              </w:rPr>
            </w:pPr>
            <w:r w:rsidRPr="00512310">
              <w:rPr>
                <w:spacing w:val="-2"/>
                <w:sz w:val="22"/>
                <w:szCs w:val="22"/>
                <w:lang w:val="sk-SK"/>
              </w:rPr>
              <w:t xml:space="preserve">Ak </w:t>
            </w:r>
            <w:r w:rsidR="00AC7514">
              <w:rPr>
                <w:spacing w:val="-2"/>
                <w:sz w:val="22"/>
                <w:szCs w:val="22"/>
                <w:lang w:val="sk-SK"/>
              </w:rPr>
              <w:t xml:space="preserve">je dávka </w:t>
            </w:r>
            <w:r w:rsidRPr="00512310">
              <w:rPr>
                <w:spacing w:val="-2"/>
                <w:sz w:val="22"/>
                <w:szCs w:val="22"/>
                <w:lang w:val="sk-SK"/>
              </w:rPr>
              <w:t>zvýšená</w:t>
            </w:r>
            <w:r w:rsidR="000D5CD0" w:rsidRPr="00512310">
              <w:rPr>
                <w:spacing w:val="-2"/>
                <w:sz w:val="22"/>
                <w:szCs w:val="22"/>
                <w:lang w:val="sk-SK"/>
              </w:rPr>
              <w:t xml:space="preserve"> </w:t>
            </w:r>
            <w:r w:rsidR="000D5CD0" w:rsidRPr="00512310">
              <w:rPr>
                <w:sz w:val="22"/>
                <w:szCs w:val="22"/>
                <w:lang w:val="sk-SK"/>
              </w:rPr>
              <w:t>(15</w:t>
            </w:r>
            <w:r w:rsidRPr="00512310">
              <w:rPr>
                <w:sz w:val="22"/>
                <w:szCs w:val="22"/>
                <w:lang w:val="sk-SK"/>
              </w:rPr>
              <w:t> </w:t>
            </w:r>
            <w:r w:rsidR="000D5CD0" w:rsidRPr="00512310">
              <w:rPr>
                <w:spacing w:val="-3"/>
                <w:sz w:val="22"/>
                <w:szCs w:val="22"/>
                <w:lang w:val="sk-SK"/>
              </w:rPr>
              <w:t>mg)</w:t>
            </w:r>
            <w:r w:rsidRPr="00512310">
              <w:rPr>
                <w:spacing w:val="-3"/>
                <w:sz w:val="22"/>
                <w:szCs w:val="22"/>
                <w:vertAlign w:val="superscript"/>
                <w:lang w:val="sk-SK"/>
              </w:rPr>
              <w:t>a</w:t>
            </w:r>
          </w:p>
        </w:tc>
      </w:tr>
      <w:tr w:rsidR="000D5CD0" w:rsidRPr="00512310" w14:paraId="4F82DE73" w14:textId="77777777" w:rsidTr="00C05F26">
        <w:trPr>
          <w:trHeight w:hRule="exact" w:val="261"/>
        </w:trPr>
        <w:tc>
          <w:tcPr>
            <w:tcW w:w="1985" w:type="dxa"/>
            <w:tcBorders>
              <w:top w:val="single" w:sz="5" w:space="0" w:color="000000"/>
              <w:left w:val="single" w:sz="5" w:space="0" w:color="000000"/>
              <w:bottom w:val="single" w:sz="5" w:space="0" w:color="000000"/>
              <w:right w:val="single" w:sz="5" w:space="0" w:color="000000"/>
            </w:tcBorders>
          </w:tcPr>
          <w:p w14:paraId="70004FE5" w14:textId="77777777" w:rsidR="000D5CD0" w:rsidRPr="00512310" w:rsidRDefault="00C05F26" w:rsidP="00FE4C88">
            <w:pPr>
              <w:pStyle w:val="TableParagraph"/>
              <w:ind w:left="102"/>
              <w:rPr>
                <w:sz w:val="22"/>
                <w:szCs w:val="22"/>
                <w:lang w:val="sk-SK"/>
              </w:rPr>
            </w:pPr>
            <w:r w:rsidRPr="00512310">
              <w:rPr>
                <w:sz w:val="22"/>
                <w:szCs w:val="22"/>
                <w:lang w:val="sk-SK"/>
              </w:rPr>
              <w:t>Dávka na úrovni -1</w:t>
            </w:r>
          </w:p>
        </w:tc>
        <w:tc>
          <w:tcPr>
            <w:tcW w:w="3809" w:type="dxa"/>
            <w:tcBorders>
              <w:top w:val="single" w:sz="5" w:space="0" w:color="000000"/>
              <w:left w:val="single" w:sz="5" w:space="0" w:color="000000"/>
              <w:bottom w:val="single" w:sz="5" w:space="0" w:color="000000"/>
              <w:right w:val="single" w:sz="5" w:space="0" w:color="000000"/>
            </w:tcBorders>
          </w:tcPr>
          <w:p w14:paraId="5705FDF3" w14:textId="77777777" w:rsidR="000D5CD0" w:rsidRPr="00512310" w:rsidRDefault="000D5CD0" w:rsidP="00C05F26">
            <w:pPr>
              <w:pStyle w:val="TableParagraph"/>
              <w:jc w:val="center"/>
              <w:rPr>
                <w:sz w:val="22"/>
                <w:szCs w:val="22"/>
                <w:lang w:val="sk-SK"/>
              </w:rPr>
            </w:pPr>
            <w:r w:rsidRPr="00512310">
              <w:rPr>
                <w:sz w:val="22"/>
                <w:szCs w:val="22"/>
                <w:lang w:val="sk-SK"/>
              </w:rPr>
              <w:t>5</w:t>
            </w:r>
            <w:r w:rsidR="00C05F26" w:rsidRPr="00512310">
              <w:rPr>
                <w:sz w:val="22"/>
                <w:szCs w:val="22"/>
                <w:lang w:val="sk-SK"/>
              </w:rPr>
              <w:t> </w:t>
            </w:r>
            <w:r w:rsidRPr="00512310">
              <w:rPr>
                <w:spacing w:val="-1"/>
                <w:sz w:val="22"/>
                <w:szCs w:val="22"/>
                <w:lang w:val="sk-SK"/>
              </w:rPr>
              <w:t>mg</w:t>
            </w:r>
          </w:p>
        </w:tc>
        <w:tc>
          <w:tcPr>
            <w:tcW w:w="4061" w:type="dxa"/>
            <w:tcBorders>
              <w:top w:val="single" w:sz="5" w:space="0" w:color="000000"/>
              <w:left w:val="single" w:sz="5" w:space="0" w:color="000000"/>
              <w:bottom w:val="single" w:sz="5" w:space="0" w:color="000000"/>
              <w:right w:val="single" w:sz="5" w:space="0" w:color="000000"/>
            </w:tcBorders>
          </w:tcPr>
          <w:p w14:paraId="1BEC3390" w14:textId="77777777" w:rsidR="000D5CD0" w:rsidRPr="00512310" w:rsidRDefault="000D5CD0" w:rsidP="00C05F26">
            <w:pPr>
              <w:pStyle w:val="TableParagraph"/>
              <w:jc w:val="center"/>
              <w:rPr>
                <w:sz w:val="22"/>
                <w:szCs w:val="22"/>
                <w:lang w:val="sk-SK"/>
              </w:rPr>
            </w:pPr>
            <w:r w:rsidRPr="00512310">
              <w:rPr>
                <w:sz w:val="22"/>
                <w:szCs w:val="22"/>
                <w:lang w:val="sk-SK"/>
              </w:rPr>
              <w:t>10</w:t>
            </w:r>
            <w:r w:rsidR="00C05F26" w:rsidRPr="00512310">
              <w:rPr>
                <w:sz w:val="22"/>
                <w:szCs w:val="22"/>
                <w:lang w:val="sk-SK"/>
              </w:rPr>
              <w:t> </w:t>
            </w:r>
            <w:r w:rsidRPr="00512310">
              <w:rPr>
                <w:spacing w:val="-1"/>
                <w:sz w:val="22"/>
                <w:szCs w:val="22"/>
                <w:lang w:val="sk-SK"/>
              </w:rPr>
              <w:t>mg</w:t>
            </w:r>
          </w:p>
        </w:tc>
      </w:tr>
      <w:tr w:rsidR="000D5CD0" w:rsidRPr="00512310" w14:paraId="42E23BBB" w14:textId="77777777" w:rsidTr="00C05F26">
        <w:trPr>
          <w:trHeight w:val="113"/>
        </w:trPr>
        <w:tc>
          <w:tcPr>
            <w:tcW w:w="1985" w:type="dxa"/>
            <w:tcBorders>
              <w:top w:val="single" w:sz="5" w:space="0" w:color="000000"/>
              <w:left w:val="single" w:sz="5" w:space="0" w:color="000000"/>
              <w:bottom w:val="single" w:sz="5" w:space="0" w:color="000000"/>
              <w:right w:val="single" w:sz="5" w:space="0" w:color="000000"/>
            </w:tcBorders>
          </w:tcPr>
          <w:p w14:paraId="6A9CB206" w14:textId="77777777" w:rsidR="000D5CD0" w:rsidRPr="00512310" w:rsidRDefault="00C05F26" w:rsidP="00C05F26">
            <w:pPr>
              <w:pStyle w:val="TableParagraph"/>
              <w:ind w:left="102"/>
              <w:rPr>
                <w:sz w:val="22"/>
                <w:szCs w:val="22"/>
                <w:lang w:val="sk-SK"/>
              </w:rPr>
            </w:pPr>
            <w:r w:rsidRPr="00512310">
              <w:rPr>
                <w:sz w:val="22"/>
                <w:szCs w:val="22"/>
                <w:lang w:val="sk-SK"/>
              </w:rPr>
              <w:t>Dávka na úrovni -2</w:t>
            </w:r>
          </w:p>
        </w:tc>
        <w:tc>
          <w:tcPr>
            <w:tcW w:w="3809" w:type="dxa"/>
            <w:tcBorders>
              <w:top w:val="single" w:sz="5" w:space="0" w:color="000000"/>
              <w:left w:val="single" w:sz="5" w:space="0" w:color="000000"/>
              <w:bottom w:val="single" w:sz="5" w:space="0" w:color="000000"/>
              <w:right w:val="single" w:sz="5" w:space="0" w:color="000000"/>
            </w:tcBorders>
          </w:tcPr>
          <w:p w14:paraId="18667EA0" w14:textId="77777777" w:rsidR="000D5CD0" w:rsidRPr="00512310" w:rsidRDefault="00C05F26" w:rsidP="00C05F26">
            <w:pPr>
              <w:autoSpaceDE w:val="0"/>
              <w:autoSpaceDN w:val="0"/>
              <w:adjustRightInd w:val="0"/>
              <w:ind w:left="0" w:firstLine="0"/>
              <w:rPr>
                <w:szCs w:val="22"/>
              </w:rPr>
            </w:pPr>
            <w:r w:rsidRPr="00512310">
              <w:rPr>
                <w:szCs w:val="22"/>
              </w:rPr>
              <w:t xml:space="preserve">    </w:t>
            </w:r>
            <w:r w:rsidR="000D5CD0" w:rsidRPr="00512310">
              <w:rPr>
                <w:szCs w:val="22"/>
              </w:rPr>
              <w:t>5</w:t>
            </w:r>
            <w:r w:rsidRPr="00512310">
              <w:rPr>
                <w:szCs w:val="22"/>
              </w:rPr>
              <w:t> </w:t>
            </w:r>
            <w:r w:rsidR="000D5CD0" w:rsidRPr="00512310">
              <w:rPr>
                <w:spacing w:val="-1"/>
                <w:szCs w:val="22"/>
              </w:rPr>
              <w:t>mg</w:t>
            </w:r>
            <w:r w:rsidR="000D5CD0" w:rsidRPr="00512310">
              <w:rPr>
                <w:spacing w:val="-3"/>
                <w:szCs w:val="22"/>
              </w:rPr>
              <w:t xml:space="preserve"> </w:t>
            </w:r>
            <w:r w:rsidRPr="00512310">
              <w:rPr>
                <w:rFonts w:eastAsia="TimesNewRomanPSMT"/>
                <w:szCs w:val="22"/>
                <w:lang w:eastAsia="en-US"/>
              </w:rPr>
              <w:t>(v 1. až 21. deň každých 28 dní)</w:t>
            </w:r>
          </w:p>
        </w:tc>
        <w:tc>
          <w:tcPr>
            <w:tcW w:w="4061" w:type="dxa"/>
            <w:tcBorders>
              <w:top w:val="single" w:sz="5" w:space="0" w:color="000000"/>
              <w:left w:val="single" w:sz="5" w:space="0" w:color="000000"/>
              <w:bottom w:val="single" w:sz="5" w:space="0" w:color="000000"/>
              <w:right w:val="single" w:sz="5" w:space="0" w:color="000000"/>
            </w:tcBorders>
          </w:tcPr>
          <w:p w14:paraId="2F148FED" w14:textId="77777777" w:rsidR="000D5CD0" w:rsidRPr="00512310" w:rsidRDefault="000D5CD0" w:rsidP="00C05F26">
            <w:pPr>
              <w:pStyle w:val="TableParagraph"/>
              <w:jc w:val="center"/>
              <w:rPr>
                <w:sz w:val="22"/>
                <w:szCs w:val="22"/>
                <w:lang w:val="sk-SK"/>
              </w:rPr>
            </w:pPr>
            <w:r w:rsidRPr="00512310">
              <w:rPr>
                <w:sz w:val="22"/>
                <w:szCs w:val="22"/>
                <w:lang w:val="sk-SK"/>
              </w:rPr>
              <w:t>5</w:t>
            </w:r>
            <w:r w:rsidR="00C05F26" w:rsidRPr="00512310">
              <w:rPr>
                <w:sz w:val="22"/>
                <w:szCs w:val="22"/>
                <w:lang w:val="sk-SK"/>
              </w:rPr>
              <w:t> </w:t>
            </w:r>
            <w:r w:rsidRPr="00512310">
              <w:rPr>
                <w:spacing w:val="-1"/>
                <w:sz w:val="22"/>
                <w:szCs w:val="22"/>
                <w:lang w:val="sk-SK"/>
              </w:rPr>
              <w:t>mg</w:t>
            </w:r>
          </w:p>
        </w:tc>
      </w:tr>
      <w:tr w:rsidR="000D5CD0" w:rsidRPr="00512310" w14:paraId="0BE09CF4" w14:textId="77777777" w:rsidTr="00C05F26">
        <w:trPr>
          <w:trHeight w:val="113"/>
        </w:trPr>
        <w:tc>
          <w:tcPr>
            <w:tcW w:w="1985" w:type="dxa"/>
            <w:tcBorders>
              <w:top w:val="single" w:sz="5" w:space="0" w:color="000000"/>
              <w:left w:val="single" w:sz="5" w:space="0" w:color="000000"/>
              <w:bottom w:val="single" w:sz="5" w:space="0" w:color="000000"/>
              <w:right w:val="single" w:sz="5" w:space="0" w:color="000000"/>
            </w:tcBorders>
          </w:tcPr>
          <w:p w14:paraId="7C1A5D75" w14:textId="77777777" w:rsidR="000D5CD0" w:rsidRPr="00512310" w:rsidRDefault="00C05F26" w:rsidP="00C05F26">
            <w:pPr>
              <w:pStyle w:val="TableParagraph"/>
              <w:ind w:left="102"/>
              <w:rPr>
                <w:sz w:val="22"/>
                <w:szCs w:val="22"/>
                <w:lang w:val="sk-SK"/>
              </w:rPr>
            </w:pPr>
            <w:r w:rsidRPr="00512310">
              <w:rPr>
                <w:sz w:val="22"/>
                <w:szCs w:val="22"/>
                <w:lang w:val="sk-SK"/>
              </w:rPr>
              <w:t>Dávka na úrovni -3</w:t>
            </w:r>
          </w:p>
        </w:tc>
        <w:tc>
          <w:tcPr>
            <w:tcW w:w="3809" w:type="dxa"/>
            <w:tcBorders>
              <w:top w:val="single" w:sz="5" w:space="0" w:color="000000"/>
              <w:left w:val="single" w:sz="5" w:space="0" w:color="000000"/>
              <w:bottom w:val="single" w:sz="5" w:space="0" w:color="000000"/>
              <w:right w:val="single" w:sz="5" w:space="0" w:color="000000"/>
            </w:tcBorders>
          </w:tcPr>
          <w:p w14:paraId="1A803A42" w14:textId="77777777" w:rsidR="000D5CD0" w:rsidRPr="00512310" w:rsidRDefault="000D5CD0" w:rsidP="00C05F26">
            <w:pPr>
              <w:pStyle w:val="TableParagraph"/>
              <w:jc w:val="center"/>
              <w:rPr>
                <w:sz w:val="22"/>
                <w:szCs w:val="22"/>
                <w:lang w:val="sk-SK"/>
              </w:rPr>
            </w:pPr>
            <w:r w:rsidRPr="00512310">
              <w:rPr>
                <w:spacing w:val="-1"/>
                <w:sz w:val="22"/>
                <w:szCs w:val="22"/>
                <w:lang w:val="sk-SK"/>
              </w:rPr>
              <w:t>N</w:t>
            </w:r>
            <w:r w:rsidR="00C05F26" w:rsidRPr="00512310">
              <w:rPr>
                <w:spacing w:val="-1"/>
                <w:sz w:val="22"/>
                <w:szCs w:val="22"/>
                <w:lang w:val="sk-SK"/>
              </w:rPr>
              <w:t>evzťahuje sa</w:t>
            </w:r>
          </w:p>
        </w:tc>
        <w:tc>
          <w:tcPr>
            <w:tcW w:w="4061" w:type="dxa"/>
            <w:tcBorders>
              <w:top w:val="single" w:sz="5" w:space="0" w:color="000000"/>
              <w:left w:val="single" w:sz="5" w:space="0" w:color="000000"/>
              <w:bottom w:val="single" w:sz="5" w:space="0" w:color="000000"/>
              <w:right w:val="single" w:sz="5" w:space="0" w:color="000000"/>
            </w:tcBorders>
          </w:tcPr>
          <w:p w14:paraId="4447A70E" w14:textId="77777777" w:rsidR="000D5CD0" w:rsidRPr="00512310" w:rsidRDefault="00C05F26" w:rsidP="00C05F26">
            <w:pPr>
              <w:autoSpaceDE w:val="0"/>
              <w:autoSpaceDN w:val="0"/>
              <w:adjustRightInd w:val="0"/>
              <w:ind w:left="0" w:firstLine="0"/>
              <w:rPr>
                <w:szCs w:val="22"/>
              </w:rPr>
            </w:pPr>
            <w:r w:rsidRPr="00512310">
              <w:rPr>
                <w:rFonts w:eastAsia="TimesNewRomanPSMT"/>
                <w:szCs w:val="22"/>
                <w:lang w:eastAsia="en-US"/>
              </w:rPr>
              <w:t xml:space="preserve">       5 mg (v 1. až 21. deň každých 28 dní)</w:t>
            </w:r>
          </w:p>
        </w:tc>
      </w:tr>
      <w:tr w:rsidR="000D5CD0" w:rsidRPr="00512310" w14:paraId="28686698" w14:textId="77777777" w:rsidTr="00C05F26">
        <w:trPr>
          <w:trHeight w:hRule="exact" w:val="264"/>
        </w:trPr>
        <w:tc>
          <w:tcPr>
            <w:tcW w:w="1985" w:type="dxa"/>
            <w:tcBorders>
              <w:top w:val="single" w:sz="5" w:space="0" w:color="000000"/>
              <w:left w:val="single" w:sz="5" w:space="0" w:color="000000"/>
              <w:bottom w:val="single" w:sz="5" w:space="0" w:color="000000"/>
              <w:right w:val="single" w:sz="5" w:space="0" w:color="000000"/>
            </w:tcBorders>
          </w:tcPr>
          <w:p w14:paraId="42F20073" w14:textId="77777777" w:rsidR="000D5CD0" w:rsidRPr="00512310" w:rsidRDefault="000D5CD0" w:rsidP="00FE4C88">
            <w:pPr>
              <w:rPr>
                <w:szCs w:val="22"/>
              </w:rPr>
            </w:pPr>
          </w:p>
        </w:tc>
        <w:tc>
          <w:tcPr>
            <w:tcW w:w="7870" w:type="dxa"/>
            <w:gridSpan w:val="2"/>
            <w:tcBorders>
              <w:top w:val="single" w:sz="5" w:space="0" w:color="000000"/>
              <w:left w:val="single" w:sz="5" w:space="0" w:color="000000"/>
              <w:bottom w:val="single" w:sz="5" w:space="0" w:color="000000"/>
              <w:right w:val="single" w:sz="5" w:space="0" w:color="000000"/>
            </w:tcBorders>
          </w:tcPr>
          <w:p w14:paraId="59082460" w14:textId="22ABAD69" w:rsidR="000D5CD0" w:rsidRPr="00512310" w:rsidRDefault="00AC7514" w:rsidP="00C05F26">
            <w:pPr>
              <w:pStyle w:val="TableParagraph"/>
              <w:ind w:left="1806"/>
              <w:rPr>
                <w:sz w:val="22"/>
                <w:szCs w:val="22"/>
                <w:lang w:val="sk-SK"/>
              </w:rPr>
            </w:pPr>
            <w:r>
              <w:rPr>
                <w:rFonts w:eastAsia="TimesNewRomanPSMT"/>
                <w:sz w:val="22"/>
                <w:szCs w:val="22"/>
                <w:lang w:val="sk-SK"/>
              </w:rPr>
              <w:t>Nepodávať dávku nižšiu ako</w:t>
            </w:r>
            <w:r w:rsidR="00C05F26" w:rsidRPr="00512310">
              <w:rPr>
                <w:rFonts w:eastAsia="TimesNewRomanPSMT"/>
                <w:sz w:val="22"/>
                <w:szCs w:val="22"/>
                <w:lang w:val="sk-SK"/>
              </w:rPr>
              <w:t xml:space="preserve"> 5 mg (v 1. až 21. deň každých 28 dní)</w:t>
            </w:r>
          </w:p>
        </w:tc>
      </w:tr>
    </w:tbl>
    <w:p w14:paraId="4834A864" w14:textId="77777777" w:rsidR="000D5CD0" w:rsidRPr="003A5C41" w:rsidRDefault="00C05F26" w:rsidP="00C05F26">
      <w:pPr>
        <w:autoSpaceDE w:val="0"/>
        <w:autoSpaceDN w:val="0"/>
        <w:adjustRightInd w:val="0"/>
        <w:ind w:left="0" w:firstLine="0"/>
        <w:rPr>
          <w:sz w:val="18"/>
          <w:szCs w:val="18"/>
          <w:lang w:eastAsia="en-US"/>
        </w:rPr>
      </w:pPr>
      <w:r w:rsidRPr="003A5C41">
        <w:rPr>
          <w:rFonts w:eastAsia="TimesNewRomanPSMT"/>
          <w:sz w:val="18"/>
          <w:szCs w:val="18"/>
          <w:vertAlign w:val="superscript"/>
          <w:lang w:eastAsia="en-US"/>
        </w:rPr>
        <w:t>a</w:t>
      </w:r>
      <w:r w:rsidRPr="003A5C41">
        <w:rPr>
          <w:rFonts w:eastAsia="TimesNewRomanPSMT"/>
          <w:sz w:val="18"/>
          <w:szCs w:val="18"/>
          <w:lang w:eastAsia="en-US"/>
        </w:rPr>
        <w:t xml:space="preserve"> Po 3 cykloch udržiavacej terapie lenalidomidom sa môže dávka zvýšiť na 15 mg jedenkrát denne perorálne v prípade, že je </w:t>
      </w:r>
      <w:r w:rsidRPr="003A5C41">
        <w:rPr>
          <w:sz w:val="18"/>
          <w:szCs w:val="18"/>
          <w:lang w:eastAsia="en-US"/>
        </w:rPr>
        <w:t>tolerovaná</w:t>
      </w:r>
    </w:p>
    <w:p w14:paraId="272CCFA2" w14:textId="77777777" w:rsidR="00C05F26" w:rsidRPr="003A5C41" w:rsidRDefault="00C05F26" w:rsidP="00C05F26">
      <w:pPr>
        <w:autoSpaceDE w:val="0"/>
        <w:autoSpaceDN w:val="0"/>
        <w:adjustRightInd w:val="0"/>
        <w:ind w:left="0" w:firstLine="0"/>
        <w:rPr>
          <w:iCs/>
          <w:sz w:val="18"/>
          <w:szCs w:val="18"/>
        </w:rPr>
      </w:pPr>
    </w:p>
    <w:p w14:paraId="7D264261" w14:textId="77777777" w:rsidR="000D5CD0" w:rsidRPr="003A5C41" w:rsidRDefault="000D5CD0" w:rsidP="008A650F">
      <w:pPr>
        <w:pStyle w:val="Odsekzoznamu"/>
        <w:widowControl/>
        <w:numPr>
          <w:ilvl w:val="0"/>
          <w:numId w:val="3"/>
        </w:numPr>
        <w:spacing w:after="0" w:line="240" w:lineRule="auto"/>
        <w:rPr>
          <w:rFonts w:ascii="Times New Roman" w:hAnsi="Times New Roman"/>
          <w:i/>
          <w:lang w:val="sk-SK"/>
        </w:rPr>
      </w:pPr>
      <w:r w:rsidRPr="003A5C41">
        <w:rPr>
          <w:rFonts w:ascii="Times New Roman" w:eastAsia="Times New Roman" w:hAnsi="Times New Roman"/>
          <w:i/>
          <w:iCs/>
          <w:lang w:val="sk-SK"/>
        </w:rPr>
        <w:t>Trombocytop</w:t>
      </w:r>
      <w:r w:rsidR="00356565" w:rsidRPr="003A5C41">
        <w:rPr>
          <w:rFonts w:ascii="Times New Roman" w:eastAsia="Times New Roman" w:hAnsi="Times New Roman"/>
          <w:i/>
          <w:iCs/>
          <w:lang w:val="sk-SK"/>
        </w:rPr>
        <w:t>é</w:t>
      </w:r>
      <w:r w:rsidRPr="003A5C41">
        <w:rPr>
          <w:rFonts w:ascii="Times New Roman" w:eastAsia="Times New Roman" w:hAnsi="Times New Roman"/>
          <w:i/>
          <w:iCs/>
          <w:lang w:val="sk-SK"/>
        </w:rPr>
        <w:t>nia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4854"/>
      </w:tblGrid>
      <w:tr w:rsidR="000D5CD0" w:rsidRPr="003A5C41" w14:paraId="0658A718" w14:textId="77777777" w:rsidTr="00AC65A1">
        <w:tc>
          <w:tcPr>
            <w:tcW w:w="5069" w:type="dxa"/>
            <w:shd w:val="clear" w:color="auto" w:fill="auto"/>
          </w:tcPr>
          <w:p w14:paraId="3FCD7CD9" w14:textId="77777777" w:rsidR="000D5CD0" w:rsidRPr="003A5C41" w:rsidRDefault="00356565" w:rsidP="00F978DA">
            <w:pPr>
              <w:rPr>
                <w:szCs w:val="22"/>
              </w:rPr>
            </w:pPr>
            <w:r w:rsidRPr="003A5C41">
              <w:rPr>
                <w:szCs w:val="22"/>
              </w:rPr>
              <w:t>Ke</w:t>
            </w:r>
            <w:r w:rsidR="00F978DA" w:rsidRPr="003A5C41">
              <w:rPr>
                <w:szCs w:val="22"/>
              </w:rPr>
              <w:t>ď trombocyty</w:t>
            </w:r>
          </w:p>
        </w:tc>
        <w:tc>
          <w:tcPr>
            <w:tcW w:w="4854" w:type="dxa"/>
            <w:shd w:val="clear" w:color="auto" w:fill="auto"/>
          </w:tcPr>
          <w:p w14:paraId="493B632E" w14:textId="77777777" w:rsidR="000D5CD0" w:rsidRPr="003A5C41" w:rsidRDefault="00F978DA" w:rsidP="00F978DA">
            <w:pPr>
              <w:rPr>
                <w:szCs w:val="22"/>
              </w:rPr>
            </w:pPr>
            <w:r w:rsidRPr="003A5C41">
              <w:rPr>
                <w:szCs w:val="22"/>
              </w:rPr>
              <w:t>Odporúčaný postup</w:t>
            </w:r>
          </w:p>
        </w:tc>
      </w:tr>
      <w:tr w:rsidR="00EA3833" w:rsidRPr="003A5C41" w14:paraId="008D239A" w14:textId="77777777" w:rsidTr="00AC65A1">
        <w:trPr>
          <w:trHeight w:val="769"/>
        </w:trPr>
        <w:tc>
          <w:tcPr>
            <w:tcW w:w="5069" w:type="dxa"/>
            <w:shd w:val="clear" w:color="auto" w:fill="auto"/>
          </w:tcPr>
          <w:p w14:paraId="120EECDC" w14:textId="77777777" w:rsidR="00EA3833" w:rsidRPr="003A5C41" w:rsidRDefault="00EA3833" w:rsidP="00F978DA">
            <w:pPr>
              <w:rPr>
                <w:szCs w:val="22"/>
              </w:rPr>
            </w:pPr>
            <w:r w:rsidRPr="003A5C41">
              <w:rPr>
                <w:szCs w:val="22"/>
              </w:rPr>
              <w:t>klesnú na &lt; 30 x 10</w:t>
            </w:r>
            <w:r w:rsidRPr="003A5C41">
              <w:rPr>
                <w:szCs w:val="22"/>
                <w:vertAlign w:val="superscript"/>
              </w:rPr>
              <w:t>9</w:t>
            </w:r>
            <w:r w:rsidRPr="003A5C41">
              <w:rPr>
                <w:szCs w:val="22"/>
              </w:rPr>
              <w:t>/l</w:t>
            </w:r>
          </w:p>
          <w:p w14:paraId="61A15CAE" w14:textId="77777777" w:rsidR="00EA3833" w:rsidRPr="003A5C41" w:rsidRDefault="00EA3833" w:rsidP="00F978DA">
            <w:pPr>
              <w:rPr>
                <w:szCs w:val="22"/>
              </w:rPr>
            </w:pPr>
            <w:r w:rsidRPr="003A5C41">
              <w:rPr>
                <w:szCs w:val="22"/>
              </w:rPr>
              <w:t>vrátia sa na ≥ 30 x 10</w:t>
            </w:r>
            <w:r w:rsidRPr="003A5C41">
              <w:rPr>
                <w:szCs w:val="22"/>
                <w:vertAlign w:val="superscript"/>
              </w:rPr>
              <w:t>9</w:t>
            </w:r>
            <w:r w:rsidRPr="003A5C41">
              <w:rPr>
                <w:szCs w:val="22"/>
              </w:rPr>
              <w:t>/l</w:t>
            </w:r>
          </w:p>
        </w:tc>
        <w:tc>
          <w:tcPr>
            <w:tcW w:w="4854" w:type="dxa"/>
            <w:shd w:val="clear" w:color="auto" w:fill="auto"/>
          </w:tcPr>
          <w:p w14:paraId="066D7839" w14:textId="77777777" w:rsidR="00EA3833" w:rsidRPr="003A5C41" w:rsidRDefault="00EA3833" w:rsidP="00FE4C88">
            <w:pPr>
              <w:rPr>
                <w:szCs w:val="22"/>
              </w:rPr>
            </w:pPr>
            <w:r w:rsidRPr="003A5C41">
              <w:rPr>
                <w:rFonts w:eastAsia="TimesNewRomanPSMT"/>
                <w:szCs w:val="22"/>
                <w:lang w:eastAsia="en-US"/>
              </w:rPr>
              <w:t>Prerušenie liečby lenalidomidom</w:t>
            </w:r>
          </w:p>
          <w:p w14:paraId="30A9E399" w14:textId="77777777" w:rsidR="00EA3833" w:rsidRPr="003A5C41" w:rsidRDefault="00EA3833" w:rsidP="00AC65A1">
            <w:pPr>
              <w:autoSpaceDE w:val="0"/>
              <w:autoSpaceDN w:val="0"/>
              <w:adjustRightInd w:val="0"/>
              <w:ind w:left="0" w:firstLine="0"/>
              <w:rPr>
                <w:szCs w:val="22"/>
              </w:rPr>
            </w:pPr>
            <w:r w:rsidRPr="003A5C41">
              <w:rPr>
                <w:rFonts w:eastAsia="TimesNewRomanPSMT"/>
                <w:szCs w:val="22"/>
                <w:lang w:eastAsia="en-US"/>
              </w:rPr>
              <w:t>Pokračovanie liečby lenalidomidom v dávke na úrovni -1 jedenkrát denne</w:t>
            </w:r>
          </w:p>
        </w:tc>
      </w:tr>
      <w:tr w:rsidR="00EA3833" w:rsidRPr="003A5C41" w14:paraId="1C71C7C2" w14:textId="77777777" w:rsidTr="00AC65A1">
        <w:trPr>
          <w:trHeight w:val="769"/>
        </w:trPr>
        <w:tc>
          <w:tcPr>
            <w:tcW w:w="5069" w:type="dxa"/>
            <w:shd w:val="clear" w:color="auto" w:fill="auto"/>
          </w:tcPr>
          <w:p w14:paraId="419B7535" w14:textId="77777777" w:rsidR="00EA3833" w:rsidRPr="003A5C41" w:rsidRDefault="00EA3833" w:rsidP="00F978DA">
            <w:pPr>
              <w:rPr>
                <w:szCs w:val="22"/>
              </w:rPr>
            </w:pPr>
            <w:r w:rsidRPr="003A5C41">
              <w:rPr>
                <w:szCs w:val="22"/>
              </w:rPr>
              <w:t>každý ďalší pokles pod 30 x 10</w:t>
            </w:r>
            <w:r w:rsidRPr="003A5C41">
              <w:rPr>
                <w:szCs w:val="22"/>
                <w:vertAlign w:val="superscript"/>
              </w:rPr>
              <w:t>9</w:t>
            </w:r>
            <w:r w:rsidRPr="003A5C41">
              <w:rPr>
                <w:szCs w:val="22"/>
              </w:rPr>
              <w:t>/l</w:t>
            </w:r>
          </w:p>
          <w:p w14:paraId="03EC36D2" w14:textId="77777777" w:rsidR="00EA3833" w:rsidRPr="003A5C41" w:rsidRDefault="00EA3833" w:rsidP="00F978DA">
            <w:pPr>
              <w:rPr>
                <w:szCs w:val="22"/>
              </w:rPr>
            </w:pPr>
            <w:r w:rsidRPr="003A5C41">
              <w:rPr>
                <w:szCs w:val="22"/>
              </w:rPr>
              <w:t>vrátia sa na ≥ 30 x 10</w:t>
            </w:r>
            <w:r w:rsidRPr="003A5C41">
              <w:rPr>
                <w:szCs w:val="22"/>
                <w:vertAlign w:val="superscript"/>
              </w:rPr>
              <w:t>9</w:t>
            </w:r>
            <w:r w:rsidRPr="003A5C41">
              <w:rPr>
                <w:szCs w:val="22"/>
              </w:rPr>
              <w:t>/l</w:t>
            </w:r>
          </w:p>
        </w:tc>
        <w:tc>
          <w:tcPr>
            <w:tcW w:w="4854" w:type="dxa"/>
            <w:shd w:val="clear" w:color="auto" w:fill="auto"/>
          </w:tcPr>
          <w:p w14:paraId="17FFB696" w14:textId="77777777" w:rsidR="00EA3833" w:rsidRPr="003A5C41" w:rsidRDefault="00EA3833" w:rsidP="00FE4C88">
            <w:pPr>
              <w:rPr>
                <w:szCs w:val="22"/>
              </w:rPr>
            </w:pPr>
            <w:r w:rsidRPr="003A5C41">
              <w:rPr>
                <w:rFonts w:eastAsia="TimesNewRomanPSMT"/>
                <w:szCs w:val="22"/>
                <w:lang w:eastAsia="en-US"/>
              </w:rPr>
              <w:t>Prerušenie liečby lenalidomidom</w:t>
            </w:r>
          </w:p>
          <w:p w14:paraId="480C56FB" w14:textId="77777777" w:rsidR="00EA3833" w:rsidRPr="003A5C41" w:rsidRDefault="00EA3833" w:rsidP="00AC65A1">
            <w:pPr>
              <w:autoSpaceDE w:val="0"/>
              <w:autoSpaceDN w:val="0"/>
              <w:adjustRightInd w:val="0"/>
              <w:ind w:left="0" w:firstLine="0"/>
              <w:rPr>
                <w:szCs w:val="22"/>
              </w:rPr>
            </w:pPr>
            <w:r w:rsidRPr="003A5C41">
              <w:rPr>
                <w:rFonts w:eastAsia="TimesNewRomanPSMT"/>
                <w:szCs w:val="22"/>
                <w:lang w:eastAsia="en-US"/>
              </w:rPr>
              <w:t>Pokračovanie liečby lenalidomidom v dávke najbližšej nižšej úrovne jedenkrát denne</w:t>
            </w:r>
          </w:p>
        </w:tc>
      </w:tr>
    </w:tbl>
    <w:p w14:paraId="54091885" w14:textId="77777777" w:rsidR="000D5CD0" w:rsidRPr="003A5C41" w:rsidRDefault="000D5CD0" w:rsidP="000D5CD0">
      <w:pPr>
        <w:rPr>
          <w:szCs w:val="22"/>
        </w:rPr>
      </w:pPr>
    </w:p>
    <w:p w14:paraId="7BFE853F" w14:textId="77777777" w:rsidR="000D5CD0" w:rsidRPr="003A5C41" w:rsidRDefault="000D5CD0" w:rsidP="008A650F">
      <w:pPr>
        <w:pStyle w:val="Odsekzoznamu"/>
        <w:widowControl/>
        <w:numPr>
          <w:ilvl w:val="0"/>
          <w:numId w:val="3"/>
        </w:numPr>
        <w:tabs>
          <w:tab w:val="left" w:pos="701"/>
        </w:tabs>
        <w:spacing w:after="0" w:line="240" w:lineRule="auto"/>
        <w:rPr>
          <w:rFonts w:ascii="Times New Roman" w:hAnsi="Times New Roman"/>
          <w:lang w:val="sk-SK"/>
        </w:rPr>
      </w:pPr>
      <w:r w:rsidRPr="003A5C41">
        <w:rPr>
          <w:rFonts w:ascii="Times New Roman" w:eastAsia="Times New Roman" w:hAnsi="Times New Roman"/>
          <w:i/>
          <w:iCs/>
          <w:lang w:val="sk-SK"/>
        </w:rPr>
        <w:t>Neutrop</w:t>
      </w:r>
      <w:r w:rsidR="00F978DA" w:rsidRPr="003A5C41">
        <w:rPr>
          <w:rFonts w:ascii="Times New Roman" w:eastAsia="Times New Roman" w:hAnsi="Times New Roman"/>
          <w:i/>
          <w:iCs/>
          <w:lang w:val="sk-SK"/>
        </w:rPr>
        <w:t>énia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820"/>
      </w:tblGrid>
      <w:tr w:rsidR="00EA3833" w:rsidRPr="003A5C41" w14:paraId="778809FC" w14:textId="77777777" w:rsidTr="00AC65A1">
        <w:tc>
          <w:tcPr>
            <w:tcW w:w="5103" w:type="dxa"/>
            <w:shd w:val="clear" w:color="auto" w:fill="auto"/>
          </w:tcPr>
          <w:p w14:paraId="6E4AC768" w14:textId="77777777" w:rsidR="000D5CD0" w:rsidRPr="003A5C41" w:rsidRDefault="003325D0" w:rsidP="003325D0">
            <w:pPr>
              <w:rPr>
                <w:szCs w:val="22"/>
              </w:rPr>
            </w:pPr>
            <w:r w:rsidRPr="003A5C41">
              <w:rPr>
                <w:szCs w:val="22"/>
              </w:rPr>
              <w:lastRenderedPageBreak/>
              <w:t>Keď neutrofily</w:t>
            </w:r>
          </w:p>
        </w:tc>
        <w:tc>
          <w:tcPr>
            <w:tcW w:w="4820" w:type="dxa"/>
            <w:shd w:val="clear" w:color="auto" w:fill="auto"/>
          </w:tcPr>
          <w:p w14:paraId="45D0D4FF" w14:textId="77777777" w:rsidR="000D5CD0" w:rsidRPr="003A5C41" w:rsidRDefault="00EA3833" w:rsidP="00EA3833">
            <w:pPr>
              <w:rPr>
                <w:szCs w:val="22"/>
              </w:rPr>
            </w:pPr>
            <w:r w:rsidRPr="003A5C41">
              <w:rPr>
                <w:szCs w:val="22"/>
              </w:rPr>
              <w:t>Odporúčaný postup</w:t>
            </w:r>
            <w:r w:rsidR="000D5CD0" w:rsidRPr="003A5C41">
              <w:rPr>
                <w:szCs w:val="22"/>
                <w:vertAlign w:val="superscript"/>
              </w:rPr>
              <w:t>a</w:t>
            </w:r>
          </w:p>
        </w:tc>
      </w:tr>
      <w:tr w:rsidR="00EA3833" w:rsidRPr="003A5C41" w14:paraId="48F896EB" w14:textId="77777777" w:rsidTr="00AC65A1">
        <w:tc>
          <w:tcPr>
            <w:tcW w:w="5103" w:type="dxa"/>
            <w:shd w:val="clear" w:color="auto" w:fill="auto"/>
          </w:tcPr>
          <w:p w14:paraId="38F3F019" w14:textId="77777777" w:rsidR="000D5CD0" w:rsidRPr="003A5C41" w:rsidRDefault="00EA3833" w:rsidP="00FE4C88">
            <w:pPr>
              <w:rPr>
                <w:szCs w:val="22"/>
              </w:rPr>
            </w:pPr>
            <w:r w:rsidRPr="003A5C41">
              <w:rPr>
                <w:szCs w:val="22"/>
              </w:rPr>
              <w:t>klesnú na</w:t>
            </w:r>
            <w:r w:rsidR="000D5CD0" w:rsidRPr="003A5C41">
              <w:rPr>
                <w:szCs w:val="22"/>
              </w:rPr>
              <w:t xml:space="preserve"> &lt;</w:t>
            </w:r>
            <w:r w:rsidRPr="003A5C41">
              <w:rPr>
                <w:szCs w:val="22"/>
              </w:rPr>
              <w:t> </w:t>
            </w:r>
            <w:r w:rsidR="000D5CD0" w:rsidRPr="003A5C41">
              <w:rPr>
                <w:szCs w:val="22"/>
              </w:rPr>
              <w:t>0</w:t>
            </w:r>
            <w:r w:rsidRPr="003A5C41">
              <w:rPr>
                <w:szCs w:val="22"/>
              </w:rPr>
              <w:t>,</w:t>
            </w:r>
            <w:r w:rsidR="000D5CD0" w:rsidRPr="003A5C41">
              <w:rPr>
                <w:szCs w:val="22"/>
              </w:rPr>
              <w:t>5</w:t>
            </w:r>
            <w:r w:rsidRPr="003A5C41">
              <w:rPr>
                <w:szCs w:val="22"/>
              </w:rPr>
              <w:t> </w:t>
            </w:r>
            <w:r w:rsidR="000D5CD0" w:rsidRPr="003A5C41">
              <w:rPr>
                <w:szCs w:val="22"/>
              </w:rPr>
              <w:t>x</w:t>
            </w:r>
            <w:r w:rsidRPr="003A5C41">
              <w:rPr>
                <w:szCs w:val="22"/>
              </w:rPr>
              <w:t> </w:t>
            </w:r>
            <w:r w:rsidR="000D5CD0" w:rsidRPr="003A5C41">
              <w:rPr>
                <w:szCs w:val="22"/>
              </w:rPr>
              <w:t>10</w:t>
            </w:r>
            <w:r w:rsidR="000D5CD0" w:rsidRPr="003A5C41">
              <w:rPr>
                <w:szCs w:val="22"/>
                <w:vertAlign w:val="superscript"/>
              </w:rPr>
              <w:t>9</w:t>
            </w:r>
            <w:r w:rsidR="000D5CD0" w:rsidRPr="003A5C41">
              <w:rPr>
                <w:szCs w:val="22"/>
              </w:rPr>
              <w:t>/</w:t>
            </w:r>
            <w:r w:rsidRPr="003A5C41">
              <w:rPr>
                <w:szCs w:val="22"/>
              </w:rPr>
              <w:t>l</w:t>
            </w:r>
            <w:r w:rsidR="000D5CD0" w:rsidRPr="003A5C41">
              <w:rPr>
                <w:szCs w:val="22"/>
              </w:rPr>
              <w:t xml:space="preserve"> </w:t>
            </w:r>
          </w:p>
          <w:p w14:paraId="014ECA20" w14:textId="77777777" w:rsidR="000D5CD0" w:rsidRPr="003A5C41" w:rsidRDefault="00EA3833" w:rsidP="00EA3833">
            <w:pPr>
              <w:rPr>
                <w:szCs w:val="22"/>
              </w:rPr>
            </w:pPr>
            <w:r w:rsidRPr="003A5C41">
              <w:rPr>
                <w:szCs w:val="22"/>
              </w:rPr>
              <w:t>vrátia sa na</w:t>
            </w:r>
            <w:r w:rsidR="000D5CD0" w:rsidRPr="003A5C41">
              <w:rPr>
                <w:szCs w:val="22"/>
              </w:rPr>
              <w:t xml:space="preserve"> ≥</w:t>
            </w:r>
            <w:r w:rsidRPr="003A5C41">
              <w:rPr>
                <w:szCs w:val="22"/>
              </w:rPr>
              <w:t> </w:t>
            </w:r>
            <w:r w:rsidR="000D5CD0" w:rsidRPr="003A5C41">
              <w:rPr>
                <w:szCs w:val="22"/>
              </w:rPr>
              <w:t>0</w:t>
            </w:r>
            <w:r w:rsidRPr="003A5C41">
              <w:rPr>
                <w:szCs w:val="22"/>
              </w:rPr>
              <w:t>,</w:t>
            </w:r>
            <w:r w:rsidR="000D5CD0" w:rsidRPr="003A5C41">
              <w:rPr>
                <w:szCs w:val="22"/>
              </w:rPr>
              <w:t>5</w:t>
            </w:r>
            <w:r w:rsidRPr="003A5C41">
              <w:rPr>
                <w:szCs w:val="22"/>
              </w:rPr>
              <w:t> </w:t>
            </w:r>
            <w:r w:rsidR="000D5CD0" w:rsidRPr="003A5C41">
              <w:rPr>
                <w:szCs w:val="22"/>
              </w:rPr>
              <w:t>x</w:t>
            </w:r>
            <w:r w:rsidRPr="003A5C41">
              <w:rPr>
                <w:szCs w:val="22"/>
              </w:rPr>
              <w:t> </w:t>
            </w:r>
            <w:r w:rsidR="000D5CD0" w:rsidRPr="003A5C41">
              <w:rPr>
                <w:szCs w:val="22"/>
              </w:rPr>
              <w:t>10</w:t>
            </w:r>
            <w:r w:rsidR="000D5CD0" w:rsidRPr="003A5C41">
              <w:rPr>
                <w:szCs w:val="22"/>
                <w:vertAlign w:val="superscript"/>
              </w:rPr>
              <w:t>9</w:t>
            </w:r>
            <w:r w:rsidR="000D5CD0" w:rsidRPr="003A5C41">
              <w:rPr>
                <w:szCs w:val="22"/>
              </w:rPr>
              <w:t>/</w:t>
            </w:r>
            <w:r w:rsidRPr="003A5C41">
              <w:rPr>
                <w:szCs w:val="22"/>
              </w:rPr>
              <w:t>l</w:t>
            </w:r>
            <w:r w:rsidR="000D5CD0" w:rsidRPr="003A5C41">
              <w:rPr>
                <w:szCs w:val="22"/>
              </w:rPr>
              <w:t xml:space="preserve"> </w:t>
            </w:r>
          </w:p>
        </w:tc>
        <w:tc>
          <w:tcPr>
            <w:tcW w:w="4820" w:type="dxa"/>
            <w:shd w:val="clear" w:color="auto" w:fill="auto"/>
          </w:tcPr>
          <w:p w14:paraId="46ACD556" w14:textId="77777777" w:rsidR="00EA3833" w:rsidRPr="003A5C41" w:rsidRDefault="00EA3833" w:rsidP="00FE4C88">
            <w:pPr>
              <w:rPr>
                <w:szCs w:val="22"/>
              </w:rPr>
            </w:pPr>
            <w:r w:rsidRPr="003A5C41">
              <w:rPr>
                <w:rFonts w:eastAsia="TimesNewRomanPSMT"/>
                <w:szCs w:val="22"/>
                <w:lang w:eastAsia="en-US"/>
              </w:rPr>
              <w:t>Prerušenie liečby lenalidomidom</w:t>
            </w:r>
            <w:r w:rsidRPr="003A5C41">
              <w:rPr>
                <w:szCs w:val="22"/>
              </w:rPr>
              <w:t xml:space="preserve"> </w:t>
            </w:r>
          </w:p>
          <w:p w14:paraId="6F81286B" w14:textId="77777777" w:rsidR="000D5CD0" w:rsidRPr="003A5C41" w:rsidRDefault="00EA3833" w:rsidP="00AC65A1">
            <w:pPr>
              <w:ind w:left="0" w:firstLine="0"/>
              <w:rPr>
                <w:szCs w:val="22"/>
              </w:rPr>
            </w:pPr>
            <w:r w:rsidRPr="003A5C41">
              <w:rPr>
                <w:rFonts w:eastAsia="TimesNewRomanPSMT"/>
                <w:szCs w:val="22"/>
                <w:lang w:eastAsia="en-US"/>
              </w:rPr>
              <w:t>Pokračovanie liečby lenalidomidom v dávke na úrovni -1 jedenkrát denne</w:t>
            </w:r>
          </w:p>
        </w:tc>
      </w:tr>
      <w:tr w:rsidR="00EA3833" w:rsidRPr="003A5C41" w14:paraId="79B771AA" w14:textId="77777777" w:rsidTr="00AC65A1">
        <w:tc>
          <w:tcPr>
            <w:tcW w:w="5103" w:type="dxa"/>
            <w:shd w:val="clear" w:color="auto" w:fill="auto"/>
          </w:tcPr>
          <w:p w14:paraId="03C28D91" w14:textId="77777777" w:rsidR="000D5CD0" w:rsidRPr="003A5C41" w:rsidRDefault="00C05F0B" w:rsidP="00FE4C88">
            <w:pPr>
              <w:rPr>
                <w:szCs w:val="22"/>
              </w:rPr>
            </w:pPr>
            <w:r w:rsidRPr="003A5C41">
              <w:rPr>
                <w:szCs w:val="22"/>
              </w:rPr>
              <w:t>k</w:t>
            </w:r>
            <w:r w:rsidR="00EA3833" w:rsidRPr="003A5C41">
              <w:rPr>
                <w:szCs w:val="22"/>
              </w:rPr>
              <w:t>aždý ďalší pokles pod</w:t>
            </w:r>
            <w:r w:rsidR="000D5CD0" w:rsidRPr="003A5C41">
              <w:rPr>
                <w:szCs w:val="22"/>
              </w:rPr>
              <w:t xml:space="preserve"> &lt;</w:t>
            </w:r>
            <w:r w:rsidR="00EA3833" w:rsidRPr="003A5C41">
              <w:rPr>
                <w:szCs w:val="22"/>
              </w:rPr>
              <w:t> </w:t>
            </w:r>
            <w:r w:rsidR="000D5CD0" w:rsidRPr="003A5C41">
              <w:rPr>
                <w:szCs w:val="22"/>
              </w:rPr>
              <w:t>0</w:t>
            </w:r>
            <w:r w:rsidRPr="003A5C41">
              <w:rPr>
                <w:szCs w:val="22"/>
              </w:rPr>
              <w:t>,</w:t>
            </w:r>
            <w:r w:rsidR="000D5CD0" w:rsidRPr="003A5C41">
              <w:rPr>
                <w:szCs w:val="22"/>
              </w:rPr>
              <w:t>5</w:t>
            </w:r>
            <w:r w:rsidRPr="003A5C41">
              <w:rPr>
                <w:szCs w:val="22"/>
              </w:rPr>
              <w:t> </w:t>
            </w:r>
            <w:r w:rsidR="000D5CD0" w:rsidRPr="003A5C41">
              <w:rPr>
                <w:szCs w:val="22"/>
              </w:rPr>
              <w:t>x</w:t>
            </w:r>
            <w:r w:rsidRPr="003A5C41">
              <w:rPr>
                <w:szCs w:val="22"/>
              </w:rPr>
              <w:t> </w:t>
            </w:r>
            <w:r w:rsidR="000D5CD0" w:rsidRPr="003A5C41">
              <w:rPr>
                <w:szCs w:val="22"/>
              </w:rPr>
              <w:t>10</w:t>
            </w:r>
            <w:r w:rsidR="000D5CD0" w:rsidRPr="003A5C41">
              <w:rPr>
                <w:szCs w:val="22"/>
                <w:vertAlign w:val="superscript"/>
              </w:rPr>
              <w:t>9</w:t>
            </w:r>
            <w:r w:rsidR="000D5CD0" w:rsidRPr="003A5C41">
              <w:rPr>
                <w:szCs w:val="22"/>
              </w:rPr>
              <w:t>/</w:t>
            </w:r>
            <w:r w:rsidRPr="003A5C41">
              <w:rPr>
                <w:szCs w:val="22"/>
              </w:rPr>
              <w:t>l</w:t>
            </w:r>
          </w:p>
          <w:p w14:paraId="59BD9F22" w14:textId="77777777" w:rsidR="000D5CD0" w:rsidRPr="003A5C41" w:rsidRDefault="00C05F0B" w:rsidP="00FE4C88">
            <w:pPr>
              <w:rPr>
                <w:szCs w:val="22"/>
              </w:rPr>
            </w:pPr>
            <w:r w:rsidRPr="003A5C41">
              <w:rPr>
                <w:szCs w:val="22"/>
              </w:rPr>
              <w:t>vrátia sa na ≥ 0,5 x 10</w:t>
            </w:r>
            <w:r w:rsidRPr="003A5C41">
              <w:rPr>
                <w:szCs w:val="22"/>
                <w:vertAlign w:val="superscript"/>
              </w:rPr>
              <w:t>9</w:t>
            </w:r>
            <w:r w:rsidRPr="003A5C41">
              <w:rPr>
                <w:szCs w:val="22"/>
              </w:rPr>
              <w:t>/l</w:t>
            </w:r>
          </w:p>
        </w:tc>
        <w:tc>
          <w:tcPr>
            <w:tcW w:w="4820" w:type="dxa"/>
            <w:shd w:val="clear" w:color="auto" w:fill="auto"/>
          </w:tcPr>
          <w:p w14:paraId="5A8EC2AD" w14:textId="77777777" w:rsidR="00C05F0B" w:rsidRPr="003A5C41" w:rsidRDefault="00C05F0B" w:rsidP="00C05F0B">
            <w:pPr>
              <w:rPr>
                <w:szCs w:val="22"/>
              </w:rPr>
            </w:pPr>
            <w:r w:rsidRPr="003A5C41">
              <w:rPr>
                <w:rFonts w:eastAsia="TimesNewRomanPSMT"/>
                <w:szCs w:val="22"/>
                <w:lang w:eastAsia="en-US"/>
              </w:rPr>
              <w:t>Prerušenie liečby lenalidomidom</w:t>
            </w:r>
          </w:p>
          <w:p w14:paraId="31CF5332" w14:textId="77777777" w:rsidR="000D5CD0" w:rsidRPr="003A5C41" w:rsidRDefault="00C05F0B" w:rsidP="00AC65A1">
            <w:pPr>
              <w:ind w:left="0" w:right="1020" w:firstLine="0"/>
              <w:rPr>
                <w:szCs w:val="22"/>
              </w:rPr>
            </w:pPr>
            <w:r w:rsidRPr="003A5C41">
              <w:rPr>
                <w:rFonts w:eastAsia="TimesNewRomanPSMT"/>
                <w:szCs w:val="22"/>
                <w:lang w:eastAsia="en-US"/>
              </w:rPr>
              <w:t>Pokračovanie liečby lenalidomidom v dávke najbližšej nižšej úrovne jedenkrát denne</w:t>
            </w:r>
          </w:p>
        </w:tc>
      </w:tr>
    </w:tbl>
    <w:p w14:paraId="0D90720F" w14:textId="77777777" w:rsidR="000D5CD0" w:rsidRPr="003A5C41" w:rsidRDefault="00C05F0B" w:rsidP="00C05F0B">
      <w:pPr>
        <w:autoSpaceDE w:val="0"/>
        <w:autoSpaceDN w:val="0"/>
        <w:adjustRightInd w:val="0"/>
        <w:ind w:left="0" w:firstLine="0"/>
        <w:rPr>
          <w:i/>
          <w:iCs/>
          <w:sz w:val="18"/>
          <w:szCs w:val="18"/>
          <w:lang w:eastAsia="en-US"/>
        </w:rPr>
      </w:pPr>
      <w:r w:rsidRPr="003A5C41">
        <w:rPr>
          <w:sz w:val="18"/>
          <w:szCs w:val="18"/>
          <w:vertAlign w:val="superscript"/>
          <w:lang w:eastAsia="en-US"/>
        </w:rPr>
        <w:t>a</w:t>
      </w:r>
      <w:r w:rsidRPr="003A5C41">
        <w:rPr>
          <w:sz w:val="18"/>
          <w:szCs w:val="18"/>
          <w:lang w:eastAsia="en-US"/>
        </w:rPr>
        <w:t xml:space="preserve"> </w:t>
      </w:r>
      <w:r w:rsidRPr="003A5C41">
        <w:rPr>
          <w:rFonts w:eastAsia="TimesNewRomanPSMT"/>
          <w:sz w:val="18"/>
          <w:szCs w:val="18"/>
          <w:lang w:eastAsia="en-US"/>
        </w:rPr>
        <w:t xml:space="preserve">Ak je neutropénia jedinou toxicitou na akejkoľvek úrovni dávky, pridajte faktor stimulujúci kolónie granulocytov (Granulocyte </w:t>
      </w:r>
      <w:r w:rsidRPr="003A5C41">
        <w:rPr>
          <w:sz w:val="18"/>
          <w:szCs w:val="18"/>
          <w:lang w:eastAsia="en-US"/>
        </w:rPr>
        <w:t>colony Stimulating Factor, G-CSF), a udr</w:t>
      </w:r>
      <w:r w:rsidRPr="003A5C41">
        <w:rPr>
          <w:rFonts w:eastAsia="TimesNewRomanPSMT"/>
          <w:sz w:val="18"/>
          <w:szCs w:val="18"/>
          <w:lang w:eastAsia="en-US"/>
        </w:rPr>
        <w:t>ž</w:t>
      </w:r>
      <w:r w:rsidRPr="003A5C41">
        <w:rPr>
          <w:sz w:val="18"/>
          <w:szCs w:val="18"/>
          <w:lang w:eastAsia="en-US"/>
        </w:rPr>
        <w:t>ujte dávku lenalidomidu, na základe uvá</w:t>
      </w:r>
      <w:r w:rsidRPr="003A5C41">
        <w:rPr>
          <w:rFonts w:eastAsia="TimesNewRomanPSMT"/>
          <w:sz w:val="18"/>
          <w:szCs w:val="18"/>
          <w:lang w:eastAsia="en-US"/>
        </w:rPr>
        <w:t>ž</w:t>
      </w:r>
      <w:r w:rsidRPr="003A5C41">
        <w:rPr>
          <w:sz w:val="18"/>
          <w:szCs w:val="18"/>
          <w:lang w:eastAsia="en-US"/>
        </w:rPr>
        <w:t>enia lekára.</w:t>
      </w:r>
    </w:p>
    <w:p w14:paraId="7974611E" w14:textId="77777777" w:rsidR="000D5CD0" w:rsidRPr="003A5C41" w:rsidRDefault="000D5CD0" w:rsidP="000D5CD0">
      <w:pPr>
        <w:autoSpaceDE w:val="0"/>
        <w:autoSpaceDN w:val="0"/>
        <w:adjustRightInd w:val="0"/>
        <w:ind w:left="0" w:firstLine="0"/>
        <w:rPr>
          <w:rFonts w:eastAsia="TimesNewRomanPSMT"/>
          <w:szCs w:val="22"/>
          <w:lang w:eastAsia="en-US"/>
        </w:rPr>
      </w:pPr>
    </w:p>
    <w:p w14:paraId="00BEBA88" w14:textId="77777777" w:rsidR="00C05F0B" w:rsidRPr="003A5C41" w:rsidRDefault="00C05F0B" w:rsidP="00C05F0B">
      <w:pPr>
        <w:autoSpaceDE w:val="0"/>
        <w:autoSpaceDN w:val="0"/>
        <w:adjustRightInd w:val="0"/>
        <w:ind w:left="0" w:firstLine="0"/>
        <w:rPr>
          <w:i/>
          <w:szCs w:val="22"/>
          <w:lang w:eastAsia="en-US"/>
        </w:rPr>
      </w:pPr>
      <w:r w:rsidRPr="003A5C41">
        <w:rPr>
          <w:i/>
          <w:szCs w:val="22"/>
          <w:lang w:eastAsia="en-US"/>
        </w:rPr>
        <w:t>Lenalidomid v kombinácii s dexametazónom a</w:t>
      </w:r>
      <w:r w:rsidRPr="003A5C41">
        <w:rPr>
          <w:rFonts w:eastAsia="TimesNewRomanPSMT"/>
          <w:i/>
          <w:szCs w:val="22"/>
          <w:lang w:eastAsia="en-US"/>
        </w:rPr>
        <w:t xml:space="preserve">ž </w:t>
      </w:r>
      <w:r w:rsidRPr="003A5C41">
        <w:rPr>
          <w:i/>
          <w:szCs w:val="22"/>
          <w:lang w:eastAsia="en-US"/>
        </w:rPr>
        <w:t>do progresie ochorenia u pacientov, ktorí nie sú</w:t>
      </w:r>
      <w:r w:rsidR="00B94738" w:rsidRPr="003A5C41">
        <w:rPr>
          <w:i/>
          <w:szCs w:val="22"/>
          <w:lang w:eastAsia="en-US"/>
        </w:rPr>
        <w:t xml:space="preserve"> </w:t>
      </w:r>
      <w:r w:rsidRPr="003A5C41">
        <w:rPr>
          <w:i/>
          <w:szCs w:val="22"/>
          <w:lang w:eastAsia="en-US"/>
        </w:rPr>
        <w:t>spôsobilí na transplantáciu.</w:t>
      </w:r>
    </w:p>
    <w:p w14:paraId="3006A5FC" w14:textId="77777777" w:rsidR="00B94738" w:rsidRPr="003A5C41" w:rsidRDefault="00B94738" w:rsidP="00C05F0B">
      <w:pPr>
        <w:autoSpaceDE w:val="0"/>
        <w:autoSpaceDN w:val="0"/>
        <w:adjustRightInd w:val="0"/>
        <w:ind w:left="0" w:firstLine="0"/>
        <w:rPr>
          <w:szCs w:val="22"/>
          <w:lang w:eastAsia="en-US"/>
        </w:rPr>
      </w:pPr>
    </w:p>
    <w:p w14:paraId="0A1A7F55" w14:textId="77777777" w:rsidR="00C05F0B" w:rsidRPr="003A5C41" w:rsidRDefault="00C05F0B" w:rsidP="00C05F0B">
      <w:pPr>
        <w:autoSpaceDE w:val="0"/>
        <w:autoSpaceDN w:val="0"/>
        <w:adjustRightInd w:val="0"/>
        <w:ind w:left="0" w:firstLine="0"/>
        <w:rPr>
          <w:szCs w:val="22"/>
          <w:lang w:eastAsia="en-US"/>
        </w:rPr>
      </w:pPr>
      <w:r w:rsidRPr="003A5C41">
        <w:rPr>
          <w:rFonts w:eastAsia="TimesNewRomanPSMT"/>
          <w:szCs w:val="22"/>
          <w:lang w:eastAsia="en-US"/>
        </w:rPr>
        <w:t>Liečba lenalidomidom sa nesmie začať, pokiaľ je ANC &lt;1,0</w:t>
      </w:r>
      <w:r w:rsidR="00B94738" w:rsidRPr="003A5C41">
        <w:rPr>
          <w:rFonts w:eastAsia="TimesNewRomanPSMT"/>
          <w:szCs w:val="22"/>
          <w:lang w:eastAsia="en-US"/>
        </w:rPr>
        <w:t> </w:t>
      </w:r>
      <w:r w:rsidRPr="003A5C41">
        <w:rPr>
          <w:rFonts w:eastAsia="TimesNewRomanPSMT"/>
          <w:szCs w:val="22"/>
          <w:lang w:eastAsia="en-US"/>
        </w:rPr>
        <w:t>x</w:t>
      </w:r>
      <w:r w:rsidR="00B94738" w:rsidRPr="003A5C41">
        <w:rPr>
          <w:rFonts w:eastAsia="TimesNewRomanPSMT"/>
          <w:szCs w:val="22"/>
          <w:lang w:eastAsia="en-US"/>
        </w:rPr>
        <w:t> </w:t>
      </w:r>
      <w:r w:rsidRPr="003A5C41">
        <w:rPr>
          <w:rFonts w:eastAsia="TimesNewRomanPSMT"/>
          <w:szCs w:val="22"/>
          <w:lang w:eastAsia="en-US"/>
        </w:rPr>
        <w:t>10</w:t>
      </w:r>
      <w:r w:rsidRPr="003A5C41">
        <w:rPr>
          <w:szCs w:val="22"/>
          <w:vertAlign w:val="superscript"/>
          <w:lang w:eastAsia="en-US"/>
        </w:rPr>
        <w:t>9</w:t>
      </w:r>
      <w:r w:rsidRPr="003A5C41">
        <w:rPr>
          <w:rFonts w:eastAsia="TimesNewRomanPSMT"/>
          <w:szCs w:val="22"/>
          <w:lang w:eastAsia="en-US"/>
        </w:rPr>
        <w:t>/l, a/alebo počet trombocytov &lt;50</w:t>
      </w:r>
      <w:r w:rsidR="00B94738" w:rsidRPr="003A5C41">
        <w:rPr>
          <w:rFonts w:eastAsia="TimesNewRomanPSMT"/>
          <w:szCs w:val="22"/>
          <w:lang w:eastAsia="en-US"/>
        </w:rPr>
        <w:t> </w:t>
      </w:r>
      <w:r w:rsidRPr="003A5C41">
        <w:rPr>
          <w:rFonts w:eastAsia="TimesNewRomanPSMT"/>
          <w:szCs w:val="22"/>
          <w:lang w:eastAsia="en-US"/>
        </w:rPr>
        <w:t>x</w:t>
      </w:r>
      <w:r w:rsidR="00E75416" w:rsidRPr="003A5C41">
        <w:rPr>
          <w:rFonts w:eastAsia="TimesNewRomanPSMT"/>
          <w:szCs w:val="22"/>
          <w:lang w:eastAsia="en-US"/>
        </w:rPr>
        <w:t> </w:t>
      </w:r>
      <w:r w:rsidRPr="003A5C41">
        <w:rPr>
          <w:szCs w:val="22"/>
          <w:lang w:eastAsia="en-US"/>
        </w:rPr>
        <w:t>10</w:t>
      </w:r>
      <w:r w:rsidRPr="003A5C41">
        <w:rPr>
          <w:szCs w:val="22"/>
          <w:vertAlign w:val="superscript"/>
          <w:lang w:eastAsia="en-US"/>
        </w:rPr>
        <w:t>9</w:t>
      </w:r>
      <w:r w:rsidRPr="003A5C41">
        <w:rPr>
          <w:szCs w:val="22"/>
          <w:lang w:eastAsia="en-US"/>
        </w:rPr>
        <w:t>/l.</w:t>
      </w:r>
    </w:p>
    <w:p w14:paraId="35938322" w14:textId="77777777" w:rsidR="00E75416" w:rsidRPr="003A5C41" w:rsidRDefault="00E75416" w:rsidP="00C05F0B">
      <w:pPr>
        <w:autoSpaceDE w:val="0"/>
        <w:autoSpaceDN w:val="0"/>
        <w:adjustRightInd w:val="0"/>
        <w:ind w:left="0" w:firstLine="0"/>
        <w:rPr>
          <w:i/>
          <w:iCs/>
          <w:szCs w:val="22"/>
          <w:lang w:eastAsia="en-US"/>
        </w:rPr>
      </w:pPr>
    </w:p>
    <w:p w14:paraId="771A87BA" w14:textId="77777777" w:rsidR="00C05F0B" w:rsidRPr="003A5C41" w:rsidRDefault="00C05F0B" w:rsidP="00C05F0B">
      <w:pPr>
        <w:autoSpaceDE w:val="0"/>
        <w:autoSpaceDN w:val="0"/>
        <w:adjustRightInd w:val="0"/>
        <w:ind w:left="0" w:firstLine="0"/>
        <w:rPr>
          <w:i/>
          <w:iCs/>
          <w:szCs w:val="22"/>
          <w:lang w:eastAsia="en-US"/>
        </w:rPr>
      </w:pPr>
      <w:r w:rsidRPr="003A5C41">
        <w:rPr>
          <w:i/>
          <w:iCs/>
          <w:szCs w:val="22"/>
          <w:lang w:eastAsia="en-US"/>
        </w:rPr>
        <w:t>Odporúčaná dávka</w:t>
      </w:r>
    </w:p>
    <w:p w14:paraId="4FD5E0F5" w14:textId="77777777" w:rsidR="00CD33DD" w:rsidRPr="003A5C41" w:rsidRDefault="00CD33DD" w:rsidP="00C05F0B">
      <w:pPr>
        <w:autoSpaceDE w:val="0"/>
        <w:autoSpaceDN w:val="0"/>
        <w:adjustRightInd w:val="0"/>
        <w:ind w:left="0" w:firstLine="0"/>
        <w:rPr>
          <w:i/>
          <w:iCs/>
          <w:szCs w:val="22"/>
          <w:lang w:eastAsia="en-US"/>
        </w:rPr>
      </w:pPr>
    </w:p>
    <w:p w14:paraId="5B23F08B" w14:textId="77777777" w:rsidR="00C05F0B" w:rsidRPr="003A5C41" w:rsidRDefault="00C05F0B" w:rsidP="00C05F0B">
      <w:pPr>
        <w:autoSpaceDE w:val="0"/>
        <w:autoSpaceDN w:val="0"/>
        <w:adjustRightInd w:val="0"/>
        <w:ind w:left="0" w:firstLine="0"/>
        <w:rPr>
          <w:szCs w:val="22"/>
          <w:lang w:eastAsia="en-US"/>
        </w:rPr>
      </w:pPr>
      <w:r w:rsidRPr="003A5C41">
        <w:rPr>
          <w:rFonts w:eastAsia="TimesNewRomanPSMT"/>
          <w:szCs w:val="22"/>
          <w:lang w:eastAsia="en-US"/>
        </w:rPr>
        <w:t>Odporúčaná začiatočná dávka lenalidomidu je 25</w:t>
      </w:r>
      <w:r w:rsidR="00CD33DD" w:rsidRPr="003A5C41">
        <w:rPr>
          <w:rFonts w:eastAsia="TimesNewRomanPSMT"/>
          <w:szCs w:val="22"/>
          <w:lang w:eastAsia="en-US"/>
        </w:rPr>
        <w:t> </w:t>
      </w:r>
      <w:r w:rsidRPr="003A5C41">
        <w:rPr>
          <w:rFonts w:eastAsia="TimesNewRomanPSMT"/>
          <w:szCs w:val="22"/>
          <w:lang w:eastAsia="en-US"/>
        </w:rPr>
        <w:t>mg perorálne jedenkrát denne v 1. až 21. deň</w:t>
      </w:r>
      <w:r w:rsidR="00CD33DD" w:rsidRPr="003A5C41">
        <w:rPr>
          <w:rFonts w:eastAsia="TimesNewRomanPSMT"/>
          <w:szCs w:val="22"/>
          <w:lang w:eastAsia="en-US"/>
        </w:rPr>
        <w:t xml:space="preserve"> </w:t>
      </w:r>
      <w:r w:rsidRPr="003A5C41">
        <w:rPr>
          <w:rFonts w:eastAsia="TimesNewRomanPSMT"/>
          <w:szCs w:val="22"/>
          <w:lang w:eastAsia="en-US"/>
        </w:rPr>
        <w:t>opakovaných 28-dňových cyklov.</w:t>
      </w:r>
      <w:r w:rsidR="00CD33DD" w:rsidRPr="003A5C41">
        <w:rPr>
          <w:rFonts w:eastAsia="TimesNewRomanPSMT"/>
          <w:szCs w:val="22"/>
          <w:lang w:eastAsia="en-US"/>
        </w:rPr>
        <w:t xml:space="preserve"> </w:t>
      </w:r>
      <w:r w:rsidRPr="003A5C41">
        <w:rPr>
          <w:rFonts w:eastAsia="TimesNewRomanPSMT"/>
          <w:szCs w:val="22"/>
          <w:lang w:eastAsia="en-US"/>
        </w:rPr>
        <w:t>Odporúčaná dávka dexametazónu je 40</w:t>
      </w:r>
      <w:r w:rsidR="00CD33DD" w:rsidRPr="003A5C41">
        <w:rPr>
          <w:rFonts w:eastAsia="TimesNewRomanPSMT"/>
          <w:szCs w:val="22"/>
          <w:lang w:eastAsia="en-US"/>
        </w:rPr>
        <w:t> </w:t>
      </w:r>
      <w:r w:rsidRPr="003A5C41">
        <w:rPr>
          <w:rFonts w:eastAsia="TimesNewRomanPSMT"/>
          <w:szCs w:val="22"/>
          <w:lang w:eastAsia="en-US"/>
        </w:rPr>
        <w:t>mg perorálne jedenkrát denne v 1., 8., 15. a 22. deň opakovaných</w:t>
      </w:r>
      <w:r w:rsidR="00CD33DD" w:rsidRPr="003A5C41">
        <w:rPr>
          <w:rFonts w:eastAsia="TimesNewRomanPSMT"/>
          <w:szCs w:val="22"/>
          <w:lang w:eastAsia="en-US"/>
        </w:rPr>
        <w:t xml:space="preserve"> </w:t>
      </w:r>
      <w:r w:rsidRPr="003A5C41">
        <w:rPr>
          <w:rFonts w:eastAsia="TimesNewRomanPSMT"/>
          <w:szCs w:val="22"/>
          <w:lang w:eastAsia="en-US"/>
        </w:rPr>
        <w:t>28-dňových cyklov. Pacienti môžu pokračovať v liečbe lenalidomidom a dexametazónom až do progresie</w:t>
      </w:r>
      <w:r w:rsidR="00CD33DD" w:rsidRPr="003A5C41">
        <w:rPr>
          <w:rFonts w:eastAsia="TimesNewRomanPSMT"/>
          <w:szCs w:val="22"/>
          <w:lang w:eastAsia="en-US"/>
        </w:rPr>
        <w:t xml:space="preserve"> </w:t>
      </w:r>
      <w:r w:rsidRPr="003A5C41">
        <w:rPr>
          <w:szCs w:val="22"/>
          <w:lang w:eastAsia="en-US"/>
        </w:rPr>
        <w:t>ochorenia alebo intolerancie.</w:t>
      </w:r>
    </w:p>
    <w:p w14:paraId="0CCFE0A9" w14:textId="77777777" w:rsidR="000D5CD0" w:rsidRPr="003A5C41" w:rsidRDefault="000D5CD0" w:rsidP="00EC0C9E">
      <w:pPr>
        <w:autoSpaceDE w:val="0"/>
        <w:autoSpaceDN w:val="0"/>
        <w:adjustRightInd w:val="0"/>
        <w:ind w:left="0" w:firstLine="0"/>
        <w:rPr>
          <w:rFonts w:eastAsia="TimesNewRomanPSMT"/>
          <w:szCs w:val="22"/>
          <w:lang w:eastAsia="en-US"/>
        </w:rPr>
      </w:pPr>
    </w:p>
    <w:p w14:paraId="1DEA76E8" w14:textId="77777777" w:rsidR="00CD33DD" w:rsidRPr="003A5C41" w:rsidRDefault="00CD33DD" w:rsidP="008A650F">
      <w:pPr>
        <w:pStyle w:val="Odsekzoznamu"/>
        <w:widowControl/>
        <w:numPr>
          <w:ilvl w:val="0"/>
          <w:numId w:val="3"/>
        </w:numPr>
        <w:spacing w:after="0" w:line="240" w:lineRule="auto"/>
        <w:rPr>
          <w:rFonts w:ascii="Times New Roman" w:hAnsi="Times New Roman"/>
          <w:i/>
          <w:lang w:val="sk-SK"/>
        </w:rPr>
      </w:pPr>
      <w:r w:rsidRPr="003A5C41">
        <w:rPr>
          <w:rFonts w:ascii="Times New Roman" w:hAnsi="Times New Roman"/>
          <w:i/>
          <w:lang w:val="sk-SK"/>
        </w:rPr>
        <w:t>Kroky pri znižovaní dávky</w:t>
      </w: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3021"/>
        <w:gridCol w:w="3019"/>
      </w:tblGrid>
      <w:tr w:rsidR="00CD33DD" w:rsidRPr="003A5C41" w14:paraId="19EA0CB9" w14:textId="77777777" w:rsidTr="00AC65A1">
        <w:trPr>
          <w:jc w:val="center"/>
        </w:trPr>
        <w:tc>
          <w:tcPr>
            <w:tcW w:w="1631" w:type="pct"/>
            <w:shd w:val="clear" w:color="auto" w:fill="auto"/>
          </w:tcPr>
          <w:p w14:paraId="46E06F02" w14:textId="77777777" w:rsidR="00CD33DD" w:rsidRPr="003A5C41" w:rsidRDefault="00CD33DD" w:rsidP="00FE4C88">
            <w:pPr>
              <w:rPr>
                <w:szCs w:val="22"/>
              </w:rPr>
            </w:pPr>
          </w:p>
        </w:tc>
        <w:tc>
          <w:tcPr>
            <w:tcW w:w="1685" w:type="pct"/>
            <w:shd w:val="clear" w:color="auto" w:fill="auto"/>
            <w:vAlign w:val="bottom"/>
          </w:tcPr>
          <w:p w14:paraId="2B0F7991" w14:textId="77777777" w:rsidR="00CD33DD" w:rsidRPr="003A5C41" w:rsidRDefault="00681C1F" w:rsidP="00AC65A1">
            <w:pPr>
              <w:jc w:val="center"/>
              <w:rPr>
                <w:szCs w:val="22"/>
              </w:rPr>
            </w:pPr>
            <w:r w:rsidRPr="003A5C41">
              <w:rPr>
                <w:szCs w:val="22"/>
              </w:rPr>
              <w:t>l</w:t>
            </w:r>
            <w:r w:rsidR="00CD33DD" w:rsidRPr="003A5C41">
              <w:rPr>
                <w:szCs w:val="22"/>
              </w:rPr>
              <w:t>enalidomid</w:t>
            </w:r>
            <w:r w:rsidR="00CD33DD" w:rsidRPr="003A5C41">
              <w:rPr>
                <w:szCs w:val="22"/>
                <w:vertAlign w:val="superscript"/>
              </w:rPr>
              <w:t>a</w:t>
            </w:r>
          </w:p>
        </w:tc>
        <w:tc>
          <w:tcPr>
            <w:tcW w:w="1684" w:type="pct"/>
            <w:shd w:val="clear" w:color="auto" w:fill="auto"/>
            <w:vAlign w:val="bottom"/>
          </w:tcPr>
          <w:p w14:paraId="0BB7815A" w14:textId="77777777" w:rsidR="00CD33DD" w:rsidRPr="003A5C41" w:rsidRDefault="00681C1F" w:rsidP="00AC65A1">
            <w:pPr>
              <w:jc w:val="center"/>
              <w:rPr>
                <w:szCs w:val="22"/>
              </w:rPr>
            </w:pPr>
            <w:r w:rsidRPr="003A5C41">
              <w:rPr>
                <w:szCs w:val="22"/>
              </w:rPr>
              <w:t>d</w:t>
            </w:r>
            <w:r w:rsidR="00CD33DD" w:rsidRPr="003A5C41">
              <w:rPr>
                <w:szCs w:val="22"/>
              </w:rPr>
              <w:t>exame</w:t>
            </w:r>
            <w:r w:rsidRPr="003A5C41">
              <w:rPr>
                <w:szCs w:val="22"/>
              </w:rPr>
              <w:t>tazón</w:t>
            </w:r>
            <w:r w:rsidR="00CD33DD" w:rsidRPr="003A5C41">
              <w:rPr>
                <w:szCs w:val="22"/>
                <w:vertAlign w:val="superscript"/>
              </w:rPr>
              <w:t>a</w:t>
            </w:r>
          </w:p>
        </w:tc>
      </w:tr>
      <w:tr w:rsidR="00CD33DD" w:rsidRPr="003A5C41" w14:paraId="2770B768" w14:textId="77777777" w:rsidTr="00AC65A1">
        <w:trPr>
          <w:jc w:val="center"/>
        </w:trPr>
        <w:tc>
          <w:tcPr>
            <w:tcW w:w="1631" w:type="pct"/>
            <w:shd w:val="clear" w:color="auto" w:fill="auto"/>
            <w:vAlign w:val="bottom"/>
          </w:tcPr>
          <w:p w14:paraId="42F6E36F" w14:textId="77777777" w:rsidR="00CD33DD" w:rsidRPr="003A5C41" w:rsidRDefault="00681C1F" w:rsidP="00681C1F">
            <w:pPr>
              <w:rPr>
                <w:szCs w:val="22"/>
              </w:rPr>
            </w:pPr>
            <w:r w:rsidRPr="003A5C41">
              <w:rPr>
                <w:szCs w:val="22"/>
              </w:rPr>
              <w:t>Začiatočná dávka</w:t>
            </w:r>
          </w:p>
        </w:tc>
        <w:tc>
          <w:tcPr>
            <w:tcW w:w="1685" w:type="pct"/>
            <w:shd w:val="clear" w:color="auto" w:fill="auto"/>
            <w:vAlign w:val="bottom"/>
          </w:tcPr>
          <w:p w14:paraId="147FE514" w14:textId="77777777" w:rsidR="00CD33DD" w:rsidRPr="003A5C41" w:rsidRDefault="00CD33DD" w:rsidP="00AC65A1">
            <w:pPr>
              <w:jc w:val="center"/>
              <w:rPr>
                <w:szCs w:val="22"/>
              </w:rPr>
            </w:pPr>
            <w:r w:rsidRPr="003A5C41">
              <w:rPr>
                <w:szCs w:val="22"/>
              </w:rPr>
              <w:t>25</w:t>
            </w:r>
            <w:r w:rsidR="00681C1F" w:rsidRPr="003A5C41">
              <w:rPr>
                <w:szCs w:val="22"/>
              </w:rPr>
              <w:t> </w:t>
            </w:r>
            <w:r w:rsidRPr="003A5C41">
              <w:rPr>
                <w:szCs w:val="22"/>
              </w:rPr>
              <w:t>mg</w:t>
            </w:r>
          </w:p>
        </w:tc>
        <w:tc>
          <w:tcPr>
            <w:tcW w:w="1684" w:type="pct"/>
            <w:shd w:val="clear" w:color="auto" w:fill="auto"/>
            <w:vAlign w:val="bottom"/>
          </w:tcPr>
          <w:p w14:paraId="0983FC3F" w14:textId="77777777" w:rsidR="00CD33DD" w:rsidRPr="003A5C41" w:rsidRDefault="00CD33DD" w:rsidP="00AC65A1">
            <w:pPr>
              <w:jc w:val="center"/>
              <w:rPr>
                <w:szCs w:val="22"/>
              </w:rPr>
            </w:pPr>
            <w:r w:rsidRPr="003A5C41">
              <w:rPr>
                <w:szCs w:val="22"/>
              </w:rPr>
              <w:t>40</w:t>
            </w:r>
            <w:r w:rsidR="00681C1F" w:rsidRPr="003A5C41">
              <w:rPr>
                <w:szCs w:val="22"/>
              </w:rPr>
              <w:t> </w:t>
            </w:r>
            <w:r w:rsidRPr="003A5C41">
              <w:rPr>
                <w:szCs w:val="22"/>
              </w:rPr>
              <w:t>mg</w:t>
            </w:r>
          </w:p>
        </w:tc>
      </w:tr>
      <w:tr w:rsidR="00CD33DD" w:rsidRPr="003A5C41" w14:paraId="0B78CA50" w14:textId="77777777" w:rsidTr="00AC65A1">
        <w:trPr>
          <w:jc w:val="center"/>
        </w:trPr>
        <w:tc>
          <w:tcPr>
            <w:tcW w:w="1631" w:type="pct"/>
            <w:shd w:val="clear" w:color="auto" w:fill="auto"/>
            <w:vAlign w:val="bottom"/>
          </w:tcPr>
          <w:p w14:paraId="2A38E54D" w14:textId="77777777" w:rsidR="00CD33DD" w:rsidRPr="003A5C41" w:rsidRDefault="00681C1F" w:rsidP="00FE4C88">
            <w:pPr>
              <w:rPr>
                <w:szCs w:val="22"/>
              </w:rPr>
            </w:pPr>
            <w:r w:rsidRPr="003A5C41">
              <w:rPr>
                <w:szCs w:val="22"/>
                <w:lang w:eastAsia="en-US"/>
              </w:rPr>
              <w:t>Dávka na úrovni -1</w:t>
            </w:r>
          </w:p>
        </w:tc>
        <w:tc>
          <w:tcPr>
            <w:tcW w:w="1685" w:type="pct"/>
            <w:shd w:val="clear" w:color="auto" w:fill="auto"/>
            <w:vAlign w:val="bottom"/>
          </w:tcPr>
          <w:p w14:paraId="63C1909D" w14:textId="77777777" w:rsidR="00CD33DD" w:rsidRPr="003A5C41" w:rsidRDefault="00CD33DD" w:rsidP="00AC65A1">
            <w:pPr>
              <w:jc w:val="center"/>
              <w:rPr>
                <w:szCs w:val="22"/>
              </w:rPr>
            </w:pPr>
            <w:r w:rsidRPr="003A5C41">
              <w:rPr>
                <w:szCs w:val="22"/>
              </w:rPr>
              <w:t>20</w:t>
            </w:r>
            <w:r w:rsidR="00681C1F" w:rsidRPr="003A5C41">
              <w:rPr>
                <w:szCs w:val="22"/>
              </w:rPr>
              <w:t> </w:t>
            </w:r>
            <w:r w:rsidRPr="003A5C41">
              <w:rPr>
                <w:szCs w:val="22"/>
              </w:rPr>
              <w:t>mg</w:t>
            </w:r>
          </w:p>
        </w:tc>
        <w:tc>
          <w:tcPr>
            <w:tcW w:w="1684" w:type="pct"/>
            <w:shd w:val="clear" w:color="auto" w:fill="auto"/>
            <w:vAlign w:val="bottom"/>
          </w:tcPr>
          <w:p w14:paraId="13D5C87B" w14:textId="77777777" w:rsidR="00CD33DD" w:rsidRPr="003A5C41" w:rsidRDefault="00CD33DD" w:rsidP="00AC65A1">
            <w:pPr>
              <w:jc w:val="center"/>
              <w:rPr>
                <w:szCs w:val="22"/>
              </w:rPr>
            </w:pPr>
            <w:r w:rsidRPr="003A5C41">
              <w:rPr>
                <w:szCs w:val="22"/>
              </w:rPr>
              <w:t>20</w:t>
            </w:r>
            <w:r w:rsidR="00681C1F" w:rsidRPr="003A5C41">
              <w:rPr>
                <w:szCs w:val="22"/>
              </w:rPr>
              <w:t> </w:t>
            </w:r>
            <w:r w:rsidRPr="003A5C41">
              <w:rPr>
                <w:szCs w:val="22"/>
              </w:rPr>
              <w:t>mg</w:t>
            </w:r>
          </w:p>
        </w:tc>
      </w:tr>
      <w:tr w:rsidR="00CD33DD" w:rsidRPr="003A5C41" w14:paraId="562987E9" w14:textId="77777777" w:rsidTr="00AC65A1">
        <w:trPr>
          <w:jc w:val="center"/>
        </w:trPr>
        <w:tc>
          <w:tcPr>
            <w:tcW w:w="1631" w:type="pct"/>
            <w:shd w:val="clear" w:color="auto" w:fill="auto"/>
            <w:vAlign w:val="bottom"/>
          </w:tcPr>
          <w:p w14:paraId="33F6184F" w14:textId="77777777" w:rsidR="00CD33DD" w:rsidRPr="003A5C41" w:rsidRDefault="00681C1F" w:rsidP="00681C1F">
            <w:pPr>
              <w:rPr>
                <w:szCs w:val="22"/>
              </w:rPr>
            </w:pPr>
            <w:r w:rsidRPr="003A5C41">
              <w:rPr>
                <w:szCs w:val="22"/>
                <w:lang w:eastAsia="en-US"/>
              </w:rPr>
              <w:t>Dávka na úrovni -2</w:t>
            </w:r>
          </w:p>
        </w:tc>
        <w:tc>
          <w:tcPr>
            <w:tcW w:w="1685" w:type="pct"/>
            <w:shd w:val="clear" w:color="auto" w:fill="auto"/>
            <w:vAlign w:val="bottom"/>
          </w:tcPr>
          <w:p w14:paraId="030F5FDA" w14:textId="77777777" w:rsidR="00CD33DD" w:rsidRPr="003A5C41" w:rsidRDefault="00CD33DD" w:rsidP="00AC65A1">
            <w:pPr>
              <w:jc w:val="center"/>
              <w:rPr>
                <w:szCs w:val="22"/>
              </w:rPr>
            </w:pPr>
            <w:r w:rsidRPr="003A5C41">
              <w:rPr>
                <w:szCs w:val="22"/>
              </w:rPr>
              <w:t>15</w:t>
            </w:r>
            <w:r w:rsidR="00681C1F" w:rsidRPr="003A5C41">
              <w:rPr>
                <w:szCs w:val="22"/>
              </w:rPr>
              <w:t> </w:t>
            </w:r>
            <w:r w:rsidRPr="003A5C41">
              <w:rPr>
                <w:szCs w:val="22"/>
              </w:rPr>
              <w:t>mg</w:t>
            </w:r>
          </w:p>
        </w:tc>
        <w:tc>
          <w:tcPr>
            <w:tcW w:w="1684" w:type="pct"/>
            <w:shd w:val="clear" w:color="auto" w:fill="auto"/>
            <w:vAlign w:val="bottom"/>
          </w:tcPr>
          <w:p w14:paraId="7FDCD6CE" w14:textId="77777777" w:rsidR="00CD33DD" w:rsidRPr="003A5C41" w:rsidRDefault="00CD33DD" w:rsidP="00AC65A1">
            <w:pPr>
              <w:jc w:val="center"/>
              <w:rPr>
                <w:szCs w:val="22"/>
              </w:rPr>
            </w:pPr>
            <w:r w:rsidRPr="003A5C41">
              <w:rPr>
                <w:szCs w:val="22"/>
              </w:rPr>
              <w:t>12</w:t>
            </w:r>
            <w:r w:rsidR="00681C1F" w:rsidRPr="003A5C41">
              <w:rPr>
                <w:szCs w:val="22"/>
              </w:rPr>
              <w:t> </w:t>
            </w:r>
            <w:r w:rsidRPr="003A5C41">
              <w:rPr>
                <w:szCs w:val="22"/>
              </w:rPr>
              <w:t>mg</w:t>
            </w:r>
          </w:p>
        </w:tc>
      </w:tr>
      <w:tr w:rsidR="00CD33DD" w:rsidRPr="003A5C41" w14:paraId="74137A0D" w14:textId="77777777" w:rsidTr="00AC65A1">
        <w:trPr>
          <w:jc w:val="center"/>
        </w:trPr>
        <w:tc>
          <w:tcPr>
            <w:tcW w:w="1631" w:type="pct"/>
            <w:shd w:val="clear" w:color="auto" w:fill="auto"/>
            <w:vAlign w:val="bottom"/>
          </w:tcPr>
          <w:p w14:paraId="124FD5C8" w14:textId="77777777" w:rsidR="00CD33DD" w:rsidRPr="003A5C41" w:rsidRDefault="00681C1F" w:rsidP="00681C1F">
            <w:pPr>
              <w:rPr>
                <w:szCs w:val="22"/>
              </w:rPr>
            </w:pPr>
            <w:r w:rsidRPr="003A5C41">
              <w:rPr>
                <w:szCs w:val="22"/>
                <w:lang w:eastAsia="en-US"/>
              </w:rPr>
              <w:t>Dávka na úrovni -</w:t>
            </w:r>
            <w:r w:rsidR="00CD33DD" w:rsidRPr="003A5C41">
              <w:rPr>
                <w:szCs w:val="22"/>
              </w:rPr>
              <w:t>3</w:t>
            </w:r>
          </w:p>
        </w:tc>
        <w:tc>
          <w:tcPr>
            <w:tcW w:w="1685" w:type="pct"/>
            <w:shd w:val="clear" w:color="auto" w:fill="auto"/>
            <w:vAlign w:val="bottom"/>
          </w:tcPr>
          <w:p w14:paraId="1BC90EDC" w14:textId="77777777" w:rsidR="00CD33DD" w:rsidRPr="003A5C41" w:rsidRDefault="00CD33DD" w:rsidP="00AC65A1">
            <w:pPr>
              <w:jc w:val="center"/>
              <w:rPr>
                <w:szCs w:val="22"/>
              </w:rPr>
            </w:pPr>
            <w:r w:rsidRPr="003A5C41">
              <w:rPr>
                <w:szCs w:val="22"/>
              </w:rPr>
              <w:t>10</w:t>
            </w:r>
            <w:r w:rsidR="00681C1F" w:rsidRPr="003A5C41">
              <w:rPr>
                <w:szCs w:val="22"/>
              </w:rPr>
              <w:t> </w:t>
            </w:r>
            <w:r w:rsidRPr="003A5C41">
              <w:rPr>
                <w:szCs w:val="22"/>
              </w:rPr>
              <w:t>mg</w:t>
            </w:r>
          </w:p>
        </w:tc>
        <w:tc>
          <w:tcPr>
            <w:tcW w:w="1684" w:type="pct"/>
            <w:shd w:val="clear" w:color="auto" w:fill="auto"/>
            <w:vAlign w:val="bottom"/>
          </w:tcPr>
          <w:p w14:paraId="0B4BC00D" w14:textId="77777777" w:rsidR="00CD33DD" w:rsidRPr="003A5C41" w:rsidRDefault="00CD33DD" w:rsidP="00AC65A1">
            <w:pPr>
              <w:jc w:val="center"/>
              <w:rPr>
                <w:szCs w:val="22"/>
              </w:rPr>
            </w:pPr>
            <w:r w:rsidRPr="003A5C41">
              <w:rPr>
                <w:szCs w:val="22"/>
              </w:rPr>
              <w:t>8</w:t>
            </w:r>
            <w:r w:rsidR="00681C1F" w:rsidRPr="003A5C41">
              <w:rPr>
                <w:szCs w:val="22"/>
              </w:rPr>
              <w:t> </w:t>
            </w:r>
            <w:r w:rsidRPr="003A5C41">
              <w:rPr>
                <w:szCs w:val="22"/>
              </w:rPr>
              <w:t>mg</w:t>
            </w:r>
          </w:p>
        </w:tc>
      </w:tr>
      <w:tr w:rsidR="00CD33DD" w:rsidRPr="003A5C41" w14:paraId="24EE9E03" w14:textId="77777777" w:rsidTr="00AC65A1">
        <w:trPr>
          <w:jc w:val="center"/>
        </w:trPr>
        <w:tc>
          <w:tcPr>
            <w:tcW w:w="1631" w:type="pct"/>
            <w:shd w:val="clear" w:color="auto" w:fill="auto"/>
            <w:vAlign w:val="bottom"/>
          </w:tcPr>
          <w:p w14:paraId="2A3E41EE" w14:textId="77777777" w:rsidR="00CD33DD" w:rsidRPr="003A5C41" w:rsidRDefault="00681C1F" w:rsidP="00681C1F">
            <w:pPr>
              <w:rPr>
                <w:szCs w:val="22"/>
              </w:rPr>
            </w:pPr>
            <w:r w:rsidRPr="003A5C41">
              <w:rPr>
                <w:szCs w:val="22"/>
                <w:lang w:eastAsia="en-US"/>
              </w:rPr>
              <w:t>Dávka na úrovni -</w:t>
            </w:r>
            <w:r w:rsidR="00CD33DD" w:rsidRPr="003A5C41">
              <w:rPr>
                <w:szCs w:val="22"/>
              </w:rPr>
              <w:t>4</w:t>
            </w:r>
          </w:p>
        </w:tc>
        <w:tc>
          <w:tcPr>
            <w:tcW w:w="1685" w:type="pct"/>
            <w:shd w:val="clear" w:color="auto" w:fill="auto"/>
            <w:vAlign w:val="bottom"/>
          </w:tcPr>
          <w:p w14:paraId="31740F05" w14:textId="77777777" w:rsidR="00CD33DD" w:rsidRPr="003A5C41" w:rsidRDefault="00CD33DD" w:rsidP="00AC65A1">
            <w:pPr>
              <w:jc w:val="center"/>
              <w:rPr>
                <w:szCs w:val="22"/>
              </w:rPr>
            </w:pPr>
            <w:r w:rsidRPr="003A5C41">
              <w:rPr>
                <w:szCs w:val="22"/>
              </w:rPr>
              <w:t>5</w:t>
            </w:r>
            <w:r w:rsidR="00681C1F" w:rsidRPr="003A5C41">
              <w:rPr>
                <w:szCs w:val="22"/>
              </w:rPr>
              <w:t> </w:t>
            </w:r>
            <w:r w:rsidRPr="003A5C41">
              <w:rPr>
                <w:szCs w:val="22"/>
              </w:rPr>
              <w:t>mg</w:t>
            </w:r>
          </w:p>
        </w:tc>
        <w:tc>
          <w:tcPr>
            <w:tcW w:w="1684" w:type="pct"/>
            <w:shd w:val="clear" w:color="auto" w:fill="auto"/>
            <w:vAlign w:val="bottom"/>
          </w:tcPr>
          <w:p w14:paraId="4C70F833" w14:textId="77777777" w:rsidR="00CD33DD" w:rsidRPr="003A5C41" w:rsidRDefault="00CD33DD" w:rsidP="00AC65A1">
            <w:pPr>
              <w:jc w:val="center"/>
              <w:rPr>
                <w:szCs w:val="22"/>
              </w:rPr>
            </w:pPr>
            <w:r w:rsidRPr="003A5C41">
              <w:rPr>
                <w:szCs w:val="22"/>
              </w:rPr>
              <w:t>4</w:t>
            </w:r>
            <w:r w:rsidR="00681C1F" w:rsidRPr="003A5C41">
              <w:rPr>
                <w:szCs w:val="22"/>
              </w:rPr>
              <w:t> </w:t>
            </w:r>
            <w:r w:rsidRPr="003A5C41">
              <w:rPr>
                <w:szCs w:val="22"/>
              </w:rPr>
              <w:t>mg</w:t>
            </w:r>
          </w:p>
        </w:tc>
      </w:tr>
      <w:tr w:rsidR="00CD33DD" w:rsidRPr="003A5C41" w14:paraId="34759306" w14:textId="77777777" w:rsidTr="00AC65A1">
        <w:trPr>
          <w:jc w:val="center"/>
        </w:trPr>
        <w:tc>
          <w:tcPr>
            <w:tcW w:w="1631" w:type="pct"/>
            <w:shd w:val="clear" w:color="auto" w:fill="auto"/>
            <w:vAlign w:val="bottom"/>
          </w:tcPr>
          <w:p w14:paraId="713098A0" w14:textId="77777777" w:rsidR="00CD33DD" w:rsidRPr="003A5C41" w:rsidRDefault="00681C1F" w:rsidP="00681C1F">
            <w:pPr>
              <w:rPr>
                <w:szCs w:val="22"/>
              </w:rPr>
            </w:pPr>
            <w:r w:rsidRPr="003A5C41">
              <w:rPr>
                <w:szCs w:val="22"/>
                <w:lang w:eastAsia="en-US"/>
              </w:rPr>
              <w:t>Dávka na úrovni -</w:t>
            </w:r>
            <w:r w:rsidR="00CD33DD" w:rsidRPr="003A5C41">
              <w:rPr>
                <w:szCs w:val="22"/>
              </w:rPr>
              <w:t>5</w:t>
            </w:r>
          </w:p>
        </w:tc>
        <w:tc>
          <w:tcPr>
            <w:tcW w:w="1685" w:type="pct"/>
            <w:shd w:val="clear" w:color="auto" w:fill="auto"/>
            <w:vAlign w:val="bottom"/>
          </w:tcPr>
          <w:p w14:paraId="705C3386" w14:textId="77777777" w:rsidR="00CD33DD" w:rsidRPr="003A5C41" w:rsidRDefault="00CD33DD" w:rsidP="00AC65A1">
            <w:pPr>
              <w:jc w:val="center"/>
              <w:rPr>
                <w:szCs w:val="22"/>
              </w:rPr>
            </w:pPr>
            <w:r w:rsidRPr="003A5C41">
              <w:rPr>
                <w:szCs w:val="22"/>
              </w:rPr>
              <w:t>2</w:t>
            </w:r>
            <w:r w:rsidR="00681C1F" w:rsidRPr="003A5C41">
              <w:rPr>
                <w:szCs w:val="22"/>
              </w:rPr>
              <w:t>,</w:t>
            </w:r>
            <w:r w:rsidRPr="003A5C41">
              <w:rPr>
                <w:szCs w:val="22"/>
              </w:rPr>
              <w:t>5</w:t>
            </w:r>
            <w:r w:rsidR="00681C1F" w:rsidRPr="003A5C41">
              <w:rPr>
                <w:szCs w:val="22"/>
              </w:rPr>
              <w:t> </w:t>
            </w:r>
            <w:r w:rsidRPr="003A5C41">
              <w:rPr>
                <w:szCs w:val="22"/>
              </w:rPr>
              <w:t>mg</w:t>
            </w:r>
          </w:p>
        </w:tc>
        <w:tc>
          <w:tcPr>
            <w:tcW w:w="1684" w:type="pct"/>
            <w:shd w:val="clear" w:color="auto" w:fill="auto"/>
            <w:vAlign w:val="bottom"/>
          </w:tcPr>
          <w:p w14:paraId="1C319032" w14:textId="77777777" w:rsidR="00CD33DD" w:rsidRPr="003A5C41" w:rsidRDefault="00CD33DD" w:rsidP="00AC65A1">
            <w:pPr>
              <w:jc w:val="center"/>
              <w:rPr>
                <w:szCs w:val="22"/>
              </w:rPr>
            </w:pPr>
            <w:r w:rsidRPr="003A5C41">
              <w:rPr>
                <w:szCs w:val="22"/>
              </w:rPr>
              <w:t>N</w:t>
            </w:r>
            <w:r w:rsidR="00681C1F" w:rsidRPr="003A5C41">
              <w:rPr>
                <w:szCs w:val="22"/>
              </w:rPr>
              <w:t>euplatňuje sa</w:t>
            </w:r>
          </w:p>
        </w:tc>
      </w:tr>
    </w:tbl>
    <w:p w14:paraId="1D962440" w14:textId="77777777" w:rsidR="00CD33DD" w:rsidRPr="003A5C41" w:rsidRDefault="00681C1F" w:rsidP="00CD33DD">
      <w:pPr>
        <w:rPr>
          <w:sz w:val="18"/>
          <w:szCs w:val="18"/>
        </w:rPr>
      </w:pPr>
      <w:r w:rsidRPr="003A5C41">
        <w:rPr>
          <w:sz w:val="18"/>
          <w:szCs w:val="18"/>
          <w:vertAlign w:val="superscript"/>
          <w:lang w:eastAsia="en-US"/>
        </w:rPr>
        <w:t xml:space="preserve">a </w:t>
      </w:r>
      <w:r w:rsidRPr="003A5C41">
        <w:rPr>
          <w:rFonts w:eastAsia="TimesNewRomanPSMT"/>
          <w:sz w:val="18"/>
          <w:szCs w:val="18"/>
          <w:lang w:eastAsia="en-US"/>
        </w:rPr>
        <w:t>Znižovanie dávky môže u oboch liekov prebiehať nezávisle</w:t>
      </w:r>
    </w:p>
    <w:p w14:paraId="23F96146" w14:textId="77777777" w:rsidR="00CD33DD" w:rsidRPr="003A5C41" w:rsidRDefault="00CD33DD" w:rsidP="00CD33DD">
      <w:pPr>
        <w:ind w:left="850" w:firstLine="425"/>
        <w:rPr>
          <w:szCs w:val="22"/>
        </w:rPr>
      </w:pPr>
    </w:p>
    <w:p w14:paraId="311592D9" w14:textId="77777777" w:rsidR="00CD33DD" w:rsidRPr="003A5C41" w:rsidRDefault="00CD33DD" w:rsidP="008A650F">
      <w:pPr>
        <w:pStyle w:val="Odsekzoznamu"/>
        <w:widowControl/>
        <w:numPr>
          <w:ilvl w:val="0"/>
          <w:numId w:val="3"/>
        </w:numPr>
        <w:spacing w:after="0" w:line="240" w:lineRule="auto"/>
        <w:rPr>
          <w:rFonts w:ascii="Times New Roman" w:hAnsi="Times New Roman"/>
          <w:lang w:val="sk-SK"/>
        </w:rPr>
      </w:pPr>
      <w:r w:rsidRPr="003A5C41">
        <w:rPr>
          <w:rFonts w:ascii="Times New Roman" w:eastAsia="Times New Roman" w:hAnsi="Times New Roman"/>
          <w:i/>
          <w:iCs/>
          <w:lang w:val="sk-SK"/>
        </w:rPr>
        <w:t>Trombocytop</w:t>
      </w:r>
      <w:r w:rsidR="00681C1F" w:rsidRPr="003A5C41">
        <w:rPr>
          <w:rFonts w:ascii="Times New Roman" w:eastAsia="Times New Roman" w:hAnsi="Times New Roman"/>
          <w:i/>
          <w:iCs/>
          <w:lang w:val="sk-SK"/>
        </w:rPr>
        <w:t>é</w:t>
      </w:r>
      <w:r w:rsidRPr="003A5C41">
        <w:rPr>
          <w:rFonts w:ascii="Times New Roman" w:eastAsia="Times New Roman" w:hAnsi="Times New Roman"/>
          <w:i/>
          <w:iCs/>
          <w:lang w:val="sk-SK"/>
        </w:rPr>
        <w:t>nia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4854"/>
      </w:tblGrid>
      <w:tr w:rsidR="00B1336D" w:rsidRPr="003A5C41" w14:paraId="59A41518" w14:textId="77777777" w:rsidTr="00AC65A1">
        <w:tc>
          <w:tcPr>
            <w:tcW w:w="5069" w:type="dxa"/>
            <w:shd w:val="clear" w:color="auto" w:fill="auto"/>
          </w:tcPr>
          <w:p w14:paraId="23AF4F33" w14:textId="77777777" w:rsidR="00B1336D" w:rsidRPr="003A5C41" w:rsidRDefault="00B1336D" w:rsidP="00B1336D">
            <w:r w:rsidRPr="003A5C41">
              <w:t>Keď trombocyty</w:t>
            </w:r>
          </w:p>
        </w:tc>
        <w:tc>
          <w:tcPr>
            <w:tcW w:w="4854" w:type="dxa"/>
            <w:shd w:val="clear" w:color="auto" w:fill="auto"/>
          </w:tcPr>
          <w:p w14:paraId="177E0C21" w14:textId="77777777" w:rsidR="00B1336D" w:rsidRPr="003A5C41" w:rsidRDefault="00B1336D" w:rsidP="00B1336D">
            <w:r w:rsidRPr="003A5C41">
              <w:t>Odporúčaný postup</w:t>
            </w:r>
          </w:p>
        </w:tc>
      </w:tr>
      <w:tr w:rsidR="00B1336D" w:rsidRPr="003A5C41" w14:paraId="19CF2DAA" w14:textId="77777777" w:rsidTr="00AC65A1">
        <w:trPr>
          <w:trHeight w:val="769"/>
        </w:trPr>
        <w:tc>
          <w:tcPr>
            <w:tcW w:w="5069" w:type="dxa"/>
            <w:shd w:val="clear" w:color="auto" w:fill="auto"/>
          </w:tcPr>
          <w:p w14:paraId="06CA2206" w14:textId="77777777" w:rsidR="00B1336D" w:rsidRPr="003A5C41" w:rsidRDefault="00B1336D" w:rsidP="00B1336D">
            <w:pPr>
              <w:rPr>
                <w:szCs w:val="22"/>
              </w:rPr>
            </w:pPr>
            <w:r w:rsidRPr="003A5C41">
              <w:rPr>
                <w:szCs w:val="22"/>
              </w:rPr>
              <w:t>klesnú na &lt; 25 x 10</w:t>
            </w:r>
            <w:r w:rsidRPr="003A5C41">
              <w:rPr>
                <w:szCs w:val="22"/>
                <w:vertAlign w:val="superscript"/>
              </w:rPr>
              <w:t>9</w:t>
            </w:r>
            <w:r w:rsidRPr="003A5C41">
              <w:rPr>
                <w:szCs w:val="22"/>
              </w:rPr>
              <w:t>/l</w:t>
            </w:r>
          </w:p>
          <w:p w14:paraId="1387EDAA" w14:textId="77777777" w:rsidR="00B1336D" w:rsidRPr="003A5C41" w:rsidRDefault="00B1336D" w:rsidP="00B1336D">
            <w:r w:rsidRPr="003A5C41">
              <w:rPr>
                <w:szCs w:val="22"/>
              </w:rPr>
              <w:t>vrátia sa na ≥ 50 x 10</w:t>
            </w:r>
            <w:r w:rsidRPr="003A5C41">
              <w:rPr>
                <w:szCs w:val="22"/>
                <w:vertAlign w:val="superscript"/>
              </w:rPr>
              <w:t>9</w:t>
            </w:r>
            <w:r w:rsidRPr="003A5C41">
              <w:rPr>
                <w:szCs w:val="22"/>
              </w:rPr>
              <w:t>/l</w:t>
            </w:r>
          </w:p>
        </w:tc>
        <w:tc>
          <w:tcPr>
            <w:tcW w:w="4854" w:type="dxa"/>
            <w:shd w:val="clear" w:color="auto" w:fill="auto"/>
          </w:tcPr>
          <w:p w14:paraId="60B5500C" w14:textId="77777777" w:rsidR="00B1336D" w:rsidRPr="003A5C41" w:rsidRDefault="00B1336D" w:rsidP="00AC65A1">
            <w:pPr>
              <w:autoSpaceDE w:val="0"/>
              <w:autoSpaceDN w:val="0"/>
              <w:adjustRightInd w:val="0"/>
              <w:ind w:left="0" w:firstLine="0"/>
              <w:rPr>
                <w:rFonts w:eastAsia="TimesNewRomanPSMT"/>
                <w:szCs w:val="22"/>
                <w:lang w:eastAsia="en-US"/>
              </w:rPr>
            </w:pPr>
            <w:r w:rsidRPr="003A5C41">
              <w:rPr>
                <w:rFonts w:eastAsia="TimesNewRomanPSMT"/>
                <w:szCs w:val="22"/>
                <w:lang w:eastAsia="en-US"/>
              </w:rPr>
              <w:t>Prerušenie liečby lenalidomidom do konca cykluª</w:t>
            </w:r>
          </w:p>
          <w:p w14:paraId="26CCCC87" w14:textId="77777777" w:rsidR="00B1336D" w:rsidRPr="003A5C41" w:rsidRDefault="00B1336D" w:rsidP="00AC65A1">
            <w:pPr>
              <w:autoSpaceDE w:val="0"/>
              <w:autoSpaceDN w:val="0"/>
              <w:adjustRightInd w:val="0"/>
              <w:ind w:left="0" w:firstLine="0"/>
            </w:pPr>
            <w:r w:rsidRPr="003A5C41">
              <w:rPr>
                <w:rFonts w:eastAsia="TimesNewRomanPSMT"/>
                <w:szCs w:val="22"/>
                <w:lang w:eastAsia="en-US"/>
              </w:rPr>
              <w:t>Zníženie dávky o jednu úroveň v ďalšom cykle pri pokračovaní liečby</w:t>
            </w:r>
          </w:p>
        </w:tc>
      </w:tr>
    </w:tbl>
    <w:p w14:paraId="3C178556" w14:textId="77777777" w:rsidR="00B1336D" w:rsidRPr="003A5C41" w:rsidRDefault="00B1336D" w:rsidP="00B1336D">
      <w:pPr>
        <w:autoSpaceDE w:val="0"/>
        <w:autoSpaceDN w:val="0"/>
        <w:adjustRightInd w:val="0"/>
        <w:ind w:left="0" w:firstLine="0"/>
        <w:rPr>
          <w:rFonts w:eastAsia="TimesNewRomanPSMT"/>
          <w:sz w:val="18"/>
          <w:szCs w:val="18"/>
          <w:lang w:eastAsia="en-US"/>
        </w:rPr>
      </w:pPr>
      <w:r w:rsidRPr="003A5C41">
        <w:rPr>
          <w:rFonts w:eastAsia="TimesNewRomanPSMT"/>
          <w:sz w:val="18"/>
          <w:szCs w:val="18"/>
          <w:lang w:eastAsia="en-US"/>
        </w:rPr>
        <w:t>ª Ak sa toxicita obmedzujúca dávku (Dose limiting toxicity, DLT) vyskytne &gt; 15. deň cyklu, liečba lenalidomidom bude prerušená minimálne do konca daného 28-dňového cyklu.</w:t>
      </w:r>
    </w:p>
    <w:p w14:paraId="6D62FF05" w14:textId="77777777" w:rsidR="00B1336D" w:rsidRPr="003A5C41" w:rsidRDefault="00B1336D" w:rsidP="00B1336D">
      <w:pPr>
        <w:autoSpaceDE w:val="0"/>
        <w:autoSpaceDN w:val="0"/>
        <w:adjustRightInd w:val="0"/>
        <w:ind w:left="0" w:firstLine="0"/>
        <w:rPr>
          <w:sz w:val="18"/>
          <w:szCs w:val="18"/>
        </w:rPr>
      </w:pPr>
    </w:p>
    <w:p w14:paraId="09DE474D" w14:textId="77777777" w:rsidR="00B1336D" w:rsidRPr="00512310" w:rsidRDefault="00B1336D" w:rsidP="008A650F">
      <w:pPr>
        <w:pStyle w:val="Odsekzoznamu"/>
        <w:widowControl/>
        <w:numPr>
          <w:ilvl w:val="0"/>
          <w:numId w:val="3"/>
        </w:numPr>
        <w:tabs>
          <w:tab w:val="left" w:pos="701"/>
        </w:tabs>
        <w:spacing w:after="0" w:line="240" w:lineRule="auto"/>
        <w:rPr>
          <w:rFonts w:ascii="Times New Roman" w:hAnsi="Times New Roman"/>
          <w:lang w:val="sk-SK"/>
        </w:rPr>
      </w:pPr>
      <w:r w:rsidRPr="00512310">
        <w:rPr>
          <w:rFonts w:ascii="Times New Roman" w:eastAsia="Times New Roman" w:hAnsi="Times New Roman"/>
          <w:i/>
          <w:iCs/>
          <w:lang w:val="sk-SK"/>
        </w:rPr>
        <w:t>Neutropénia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820"/>
      </w:tblGrid>
      <w:tr w:rsidR="00B1336D" w:rsidRPr="00512310" w14:paraId="47FA9191" w14:textId="77777777" w:rsidTr="00AC65A1">
        <w:tc>
          <w:tcPr>
            <w:tcW w:w="5211" w:type="dxa"/>
            <w:shd w:val="clear" w:color="auto" w:fill="auto"/>
          </w:tcPr>
          <w:p w14:paraId="2F61F86A" w14:textId="2F285715" w:rsidR="00B1336D" w:rsidRPr="00512310" w:rsidRDefault="00C36EA0" w:rsidP="00B1336D">
            <w:pPr>
              <w:rPr>
                <w:szCs w:val="22"/>
              </w:rPr>
            </w:pPr>
            <w:r>
              <w:rPr>
                <w:szCs w:val="22"/>
              </w:rPr>
              <w:t>Keď n</w:t>
            </w:r>
            <w:r w:rsidR="00B1336D" w:rsidRPr="00512310">
              <w:rPr>
                <w:szCs w:val="22"/>
              </w:rPr>
              <w:t>eutrofily</w:t>
            </w:r>
          </w:p>
        </w:tc>
        <w:tc>
          <w:tcPr>
            <w:tcW w:w="4820" w:type="dxa"/>
            <w:shd w:val="clear" w:color="auto" w:fill="auto"/>
          </w:tcPr>
          <w:p w14:paraId="5C83D120" w14:textId="77777777" w:rsidR="00B1336D" w:rsidRPr="00512310" w:rsidRDefault="00B1336D" w:rsidP="00B1336D">
            <w:pPr>
              <w:rPr>
                <w:szCs w:val="22"/>
              </w:rPr>
            </w:pPr>
            <w:r w:rsidRPr="00512310">
              <w:rPr>
                <w:szCs w:val="22"/>
              </w:rPr>
              <w:t>Odporúčaný postup</w:t>
            </w:r>
          </w:p>
        </w:tc>
      </w:tr>
      <w:tr w:rsidR="00B1336D" w:rsidRPr="00512310" w14:paraId="5142382F" w14:textId="77777777" w:rsidTr="00AC65A1">
        <w:tc>
          <w:tcPr>
            <w:tcW w:w="5211" w:type="dxa"/>
            <w:shd w:val="clear" w:color="auto" w:fill="auto"/>
          </w:tcPr>
          <w:p w14:paraId="72AF3274" w14:textId="39A19479" w:rsidR="00B1336D" w:rsidRPr="00512310" w:rsidRDefault="00B1336D" w:rsidP="00FE4C88">
            <w:pPr>
              <w:rPr>
                <w:szCs w:val="22"/>
              </w:rPr>
            </w:pPr>
            <w:r w:rsidRPr="00512310">
              <w:rPr>
                <w:szCs w:val="22"/>
              </w:rPr>
              <w:t>prvý</w:t>
            </w:r>
            <w:r w:rsidR="00C36EA0">
              <w:rPr>
                <w:szCs w:val="22"/>
              </w:rPr>
              <w:t>krát</w:t>
            </w:r>
            <w:r w:rsidRPr="00512310">
              <w:rPr>
                <w:szCs w:val="22"/>
              </w:rPr>
              <w:t xml:space="preserve"> kles</w:t>
            </w:r>
            <w:r w:rsidR="00C36EA0">
              <w:rPr>
                <w:szCs w:val="22"/>
              </w:rPr>
              <w:t>nú</w:t>
            </w:r>
            <w:r w:rsidRPr="00512310">
              <w:rPr>
                <w:szCs w:val="22"/>
              </w:rPr>
              <w:t xml:space="preserve"> na &lt; 0,5 x 10</w:t>
            </w:r>
            <w:r w:rsidRPr="00512310">
              <w:rPr>
                <w:szCs w:val="22"/>
                <w:vertAlign w:val="superscript"/>
              </w:rPr>
              <w:t>9</w:t>
            </w:r>
            <w:r w:rsidRPr="00512310">
              <w:rPr>
                <w:szCs w:val="22"/>
              </w:rPr>
              <w:t xml:space="preserve">/l </w:t>
            </w:r>
          </w:p>
          <w:p w14:paraId="462F709F" w14:textId="06C9C99E" w:rsidR="00B1336D" w:rsidRPr="00512310" w:rsidRDefault="00C36EA0" w:rsidP="00AC65A1">
            <w:pPr>
              <w:ind w:left="0" w:firstLine="0"/>
              <w:rPr>
                <w:szCs w:val="22"/>
              </w:rPr>
            </w:pPr>
            <w:r>
              <w:rPr>
                <w:szCs w:val="22"/>
              </w:rPr>
              <w:t>vrátia sa</w:t>
            </w:r>
            <w:r w:rsidR="00B1336D" w:rsidRPr="00512310">
              <w:rPr>
                <w:szCs w:val="22"/>
              </w:rPr>
              <w:t xml:space="preserve"> na ≥ 1 x 10</w:t>
            </w:r>
            <w:r w:rsidR="00B1336D" w:rsidRPr="00512310">
              <w:rPr>
                <w:szCs w:val="22"/>
                <w:vertAlign w:val="superscript"/>
              </w:rPr>
              <w:t>9</w:t>
            </w:r>
            <w:r w:rsidR="00B1336D" w:rsidRPr="00512310">
              <w:rPr>
                <w:szCs w:val="22"/>
              </w:rPr>
              <w:t>/l</w:t>
            </w:r>
            <w:r w:rsidR="00FA49B1" w:rsidRPr="00512310">
              <w:rPr>
                <w:szCs w:val="22"/>
              </w:rPr>
              <w:t>,</w:t>
            </w:r>
            <w:r w:rsidR="00B1336D" w:rsidRPr="00512310">
              <w:rPr>
                <w:szCs w:val="22"/>
              </w:rPr>
              <w:t xml:space="preserve"> keď je neutropénia jedinou pozorovanou toxicitou</w:t>
            </w:r>
          </w:p>
        </w:tc>
        <w:tc>
          <w:tcPr>
            <w:tcW w:w="4820" w:type="dxa"/>
            <w:shd w:val="clear" w:color="auto" w:fill="auto"/>
          </w:tcPr>
          <w:p w14:paraId="25004D91" w14:textId="77777777" w:rsidR="00B1336D" w:rsidRPr="00512310" w:rsidRDefault="00B1336D" w:rsidP="00FE4C88">
            <w:pPr>
              <w:rPr>
                <w:rFonts w:eastAsia="TimesNewRomanPSMT"/>
                <w:szCs w:val="22"/>
                <w:lang w:eastAsia="en-US"/>
              </w:rPr>
            </w:pPr>
            <w:r w:rsidRPr="00512310">
              <w:rPr>
                <w:rFonts w:eastAsia="TimesNewRomanPSMT"/>
                <w:szCs w:val="22"/>
                <w:lang w:eastAsia="en-US"/>
              </w:rPr>
              <w:t xml:space="preserve">Prerušenie liečby lenalidomidom </w:t>
            </w:r>
          </w:p>
          <w:p w14:paraId="17AC8A4C" w14:textId="77777777" w:rsidR="00B1336D" w:rsidRPr="00512310" w:rsidRDefault="00B1336D" w:rsidP="00AC65A1">
            <w:pPr>
              <w:ind w:left="0" w:firstLine="0"/>
              <w:rPr>
                <w:szCs w:val="22"/>
              </w:rPr>
            </w:pPr>
            <w:r w:rsidRPr="00512310">
              <w:rPr>
                <w:rFonts w:eastAsia="TimesNewRomanPSMT"/>
                <w:szCs w:val="22"/>
                <w:lang w:eastAsia="en-US"/>
              </w:rPr>
              <w:t>Pokračovanie liečby lenalidomidom</w:t>
            </w:r>
            <w:r w:rsidR="00FC03DE" w:rsidRPr="00512310">
              <w:rPr>
                <w:rFonts w:eastAsia="TimesNewRomanPSMT"/>
                <w:szCs w:val="22"/>
                <w:lang w:eastAsia="en-US"/>
              </w:rPr>
              <w:t xml:space="preserve"> v začiatočnej dávke jedenkrát denne</w:t>
            </w:r>
          </w:p>
        </w:tc>
      </w:tr>
      <w:tr w:rsidR="00B1336D" w:rsidRPr="00512310" w14:paraId="169FC6AD" w14:textId="77777777" w:rsidTr="00AC65A1">
        <w:tc>
          <w:tcPr>
            <w:tcW w:w="5211" w:type="dxa"/>
            <w:shd w:val="clear" w:color="auto" w:fill="auto"/>
          </w:tcPr>
          <w:p w14:paraId="74725437" w14:textId="064855D8" w:rsidR="00B1336D" w:rsidRPr="00512310" w:rsidRDefault="000E6F2F" w:rsidP="00AC65A1">
            <w:pPr>
              <w:ind w:left="0" w:firstLine="0"/>
              <w:rPr>
                <w:szCs w:val="22"/>
              </w:rPr>
            </w:pPr>
            <w:r>
              <w:rPr>
                <w:szCs w:val="22"/>
              </w:rPr>
              <w:t>vrátia sa</w:t>
            </w:r>
            <w:r w:rsidR="00FC03DE" w:rsidRPr="00512310">
              <w:rPr>
                <w:szCs w:val="22"/>
              </w:rPr>
              <w:t xml:space="preserve"> na</w:t>
            </w:r>
            <w:r w:rsidR="00B1336D" w:rsidRPr="00512310">
              <w:rPr>
                <w:szCs w:val="22"/>
              </w:rPr>
              <w:t xml:space="preserve"> ≥</w:t>
            </w:r>
            <w:r w:rsidR="00FC03DE" w:rsidRPr="00512310">
              <w:rPr>
                <w:szCs w:val="22"/>
              </w:rPr>
              <w:t> </w:t>
            </w:r>
            <w:r w:rsidR="00B1336D" w:rsidRPr="00512310">
              <w:rPr>
                <w:szCs w:val="22"/>
              </w:rPr>
              <w:t>0</w:t>
            </w:r>
            <w:r w:rsidR="00FC03DE" w:rsidRPr="00512310">
              <w:rPr>
                <w:szCs w:val="22"/>
              </w:rPr>
              <w:t>,</w:t>
            </w:r>
            <w:r w:rsidR="00B1336D" w:rsidRPr="00512310">
              <w:rPr>
                <w:szCs w:val="22"/>
              </w:rPr>
              <w:t>5</w:t>
            </w:r>
            <w:r w:rsidR="00FC03DE" w:rsidRPr="00512310">
              <w:rPr>
                <w:szCs w:val="22"/>
              </w:rPr>
              <w:t> </w:t>
            </w:r>
            <w:r w:rsidR="00B1336D" w:rsidRPr="00512310">
              <w:rPr>
                <w:szCs w:val="22"/>
              </w:rPr>
              <w:t>x</w:t>
            </w:r>
            <w:r w:rsidR="00FC03DE" w:rsidRPr="00512310">
              <w:rPr>
                <w:szCs w:val="22"/>
              </w:rPr>
              <w:t> </w:t>
            </w:r>
            <w:r w:rsidR="00B1336D" w:rsidRPr="00512310">
              <w:rPr>
                <w:szCs w:val="22"/>
              </w:rPr>
              <w:t>10</w:t>
            </w:r>
            <w:r w:rsidR="00B1336D" w:rsidRPr="00512310">
              <w:rPr>
                <w:szCs w:val="22"/>
                <w:vertAlign w:val="superscript"/>
              </w:rPr>
              <w:t>9</w:t>
            </w:r>
            <w:r w:rsidR="00B1336D" w:rsidRPr="00512310">
              <w:rPr>
                <w:szCs w:val="22"/>
              </w:rPr>
              <w:t>/</w:t>
            </w:r>
            <w:r w:rsidR="00FC03DE" w:rsidRPr="00512310">
              <w:rPr>
                <w:szCs w:val="22"/>
              </w:rPr>
              <w:t>l</w:t>
            </w:r>
            <w:r w:rsidR="00FA49B1" w:rsidRPr="00512310">
              <w:rPr>
                <w:szCs w:val="22"/>
              </w:rPr>
              <w:t>,</w:t>
            </w:r>
            <w:r w:rsidR="00B1336D" w:rsidRPr="00512310">
              <w:rPr>
                <w:szCs w:val="22"/>
              </w:rPr>
              <w:t xml:space="preserve"> </w:t>
            </w:r>
            <w:r w:rsidR="00FC03DE" w:rsidRPr="00512310">
              <w:rPr>
                <w:szCs w:val="22"/>
              </w:rPr>
              <w:t>keď sa pozorujú iné, od dávky závislé hematologické toxicity ako neutropénia</w:t>
            </w:r>
          </w:p>
        </w:tc>
        <w:tc>
          <w:tcPr>
            <w:tcW w:w="4820" w:type="dxa"/>
            <w:shd w:val="clear" w:color="auto" w:fill="auto"/>
          </w:tcPr>
          <w:p w14:paraId="6115A675" w14:textId="77777777" w:rsidR="00B1336D" w:rsidRPr="00512310" w:rsidRDefault="00FC03DE" w:rsidP="00AC65A1">
            <w:pPr>
              <w:ind w:left="0" w:firstLine="0"/>
              <w:rPr>
                <w:szCs w:val="22"/>
              </w:rPr>
            </w:pPr>
            <w:r w:rsidRPr="00512310">
              <w:rPr>
                <w:rFonts w:eastAsia="TimesNewRomanPSMT"/>
                <w:szCs w:val="22"/>
                <w:lang w:eastAsia="en-US"/>
              </w:rPr>
              <w:t>Pokračovanie liečby lenalidomidom v dávke na úrovni -1 jedenkrát denne</w:t>
            </w:r>
          </w:p>
        </w:tc>
      </w:tr>
      <w:tr w:rsidR="00B1336D" w:rsidRPr="00512310" w14:paraId="0F8CB899" w14:textId="77777777" w:rsidTr="00AC65A1">
        <w:tc>
          <w:tcPr>
            <w:tcW w:w="5211" w:type="dxa"/>
            <w:shd w:val="clear" w:color="auto" w:fill="auto"/>
          </w:tcPr>
          <w:p w14:paraId="0A958B1B" w14:textId="77777777" w:rsidR="00B1336D" w:rsidRPr="00512310" w:rsidRDefault="00FC03DE" w:rsidP="00FE4C88">
            <w:pPr>
              <w:rPr>
                <w:szCs w:val="22"/>
              </w:rPr>
            </w:pPr>
            <w:r w:rsidRPr="00512310">
              <w:rPr>
                <w:szCs w:val="22"/>
              </w:rPr>
              <w:t>každý ďalší pokles pod</w:t>
            </w:r>
            <w:r w:rsidR="00B1336D" w:rsidRPr="00512310">
              <w:rPr>
                <w:szCs w:val="22"/>
              </w:rPr>
              <w:t xml:space="preserve"> &lt;</w:t>
            </w:r>
            <w:r w:rsidRPr="00512310">
              <w:rPr>
                <w:szCs w:val="22"/>
              </w:rPr>
              <w:t> </w:t>
            </w:r>
            <w:r w:rsidR="00B1336D" w:rsidRPr="00512310">
              <w:rPr>
                <w:szCs w:val="22"/>
              </w:rPr>
              <w:t>0</w:t>
            </w:r>
            <w:r w:rsidRPr="00512310">
              <w:rPr>
                <w:szCs w:val="22"/>
              </w:rPr>
              <w:t>,</w:t>
            </w:r>
            <w:r w:rsidR="00B1336D" w:rsidRPr="00512310">
              <w:rPr>
                <w:szCs w:val="22"/>
              </w:rPr>
              <w:t>5</w:t>
            </w:r>
            <w:r w:rsidRPr="00512310">
              <w:rPr>
                <w:szCs w:val="22"/>
              </w:rPr>
              <w:t> </w:t>
            </w:r>
            <w:r w:rsidR="00B1336D" w:rsidRPr="00512310">
              <w:rPr>
                <w:szCs w:val="22"/>
              </w:rPr>
              <w:t>x</w:t>
            </w:r>
            <w:r w:rsidRPr="00512310">
              <w:rPr>
                <w:szCs w:val="22"/>
              </w:rPr>
              <w:t> </w:t>
            </w:r>
            <w:r w:rsidR="00B1336D" w:rsidRPr="00512310">
              <w:rPr>
                <w:szCs w:val="22"/>
              </w:rPr>
              <w:t>10</w:t>
            </w:r>
            <w:r w:rsidR="00B1336D" w:rsidRPr="00512310">
              <w:rPr>
                <w:szCs w:val="22"/>
                <w:vertAlign w:val="superscript"/>
              </w:rPr>
              <w:t>9</w:t>
            </w:r>
            <w:r w:rsidR="00B1336D" w:rsidRPr="00512310">
              <w:rPr>
                <w:szCs w:val="22"/>
              </w:rPr>
              <w:t>/</w:t>
            </w:r>
            <w:r w:rsidRPr="00512310">
              <w:rPr>
                <w:szCs w:val="22"/>
              </w:rPr>
              <w:t>l</w:t>
            </w:r>
            <w:r w:rsidR="00B1336D" w:rsidRPr="00512310">
              <w:rPr>
                <w:szCs w:val="22"/>
              </w:rPr>
              <w:t xml:space="preserve"> </w:t>
            </w:r>
          </w:p>
          <w:p w14:paraId="26063D63" w14:textId="2011EFBA" w:rsidR="00B1336D" w:rsidRPr="00512310" w:rsidRDefault="000E6F2F" w:rsidP="00FC03DE">
            <w:pPr>
              <w:rPr>
                <w:szCs w:val="22"/>
              </w:rPr>
            </w:pPr>
            <w:r>
              <w:rPr>
                <w:szCs w:val="22"/>
              </w:rPr>
              <w:t>vrátia sa</w:t>
            </w:r>
            <w:r w:rsidR="00FC03DE" w:rsidRPr="00512310">
              <w:rPr>
                <w:szCs w:val="22"/>
              </w:rPr>
              <w:t xml:space="preserve"> na </w:t>
            </w:r>
            <w:r w:rsidR="00B1336D" w:rsidRPr="00512310">
              <w:rPr>
                <w:szCs w:val="22"/>
              </w:rPr>
              <w:t>≥</w:t>
            </w:r>
            <w:r w:rsidR="00FC03DE" w:rsidRPr="00512310">
              <w:rPr>
                <w:szCs w:val="22"/>
              </w:rPr>
              <w:t> </w:t>
            </w:r>
            <w:r w:rsidR="00B1336D" w:rsidRPr="00512310">
              <w:rPr>
                <w:szCs w:val="22"/>
              </w:rPr>
              <w:t>0</w:t>
            </w:r>
            <w:r w:rsidR="00FC03DE" w:rsidRPr="00512310">
              <w:rPr>
                <w:szCs w:val="22"/>
              </w:rPr>
              <w:t>,</w:t>
            </w:r>
            <w:r w:rsidR="00B1336D" w:rsidRPr="00512310">
              <w:rPr>
                <w:szCs w:val="22"/>
              </w:rPr>
              <w:t>5</w:t>
            </w:r>
            <w:r w:rsidR="00FC03DE" w:rsidRPr="00512310">
              <w:rPr>
                <w:szCs w:val="22"/>
              </w:rPr>
              <w:t> </w:t>
            </w:r>
            <w:r w:rsidR="00B1336D" w:rsidRPr="00512310">
              <w:rPr>
                <w:szCs w:val="22"/>
              </w:rPr>
              <w:t>x</w:t>
            </w:r>
            <w:r w:rsidR="00FC03DE" w:rsidRPr="00512310">
              <w:rPr>
                <w:szCs w:val="22"/>
              </w:rPr>
              <w:t> </w:t>
            </w:r>
            <w:r w:rsidR="00B1336D" w:rsidRPr="00512310">
              <w:rPr>
                <w:szCs w:val="22"/>
              </w:rPr>
              <w:t>10</w:t>
            </w:r>
            <w:r w:rsidR="00B1336D" w:rsidRPr="00512310">
              <w:rPr>
                <w:szCs w:val="22"/>
                <w:vertAlign w:val="superscript"/>
              </w:rPr>
              <w:t>9</w:t>
            </w:r>
            <w:r w:rsidR="00B1336D" w:rsidRPr="00512310">
              <w:rPr>
                <w:szCs w:val="22"/>
              </w:rPr>
              <w:t>/</w:t>
            </w:r>
            <w:r w:rsidR="00FC03DE" w:rsidRPr="00512310">
              <w:rPr>
                <w:szCs w:val="22"/>
              </w:rPr>
              <w:t>l</w:t>
            </w:r>
          </w:p>
        </w:tc>
        <w:tc>
          <w:tcPr>
            <w:tcW w:w="4820" w:type="dxa"/>
            <w:shd w:val="clear" w:color="auto" w:fill="auto"/>
          </w:tcPr>
          <w:p w14:paraId="586DC9BE" w14:textId="77777777" w:rsidR="00B1336D" w:rsidRPr="00512310" w:rsidRDefault="00FC03DE" w:rsidP="00FE4C88">
            <w:pPr>
              <w:rPr>
                <w:szCs w:val="22"/>
              </w:rPr>
            </w:pPr>
            <w:r w:rsidRPr="00512310">
              <w:rPr>
                <w:rFonts w:eastAsia="TimesNewRomanPSMT"/>
                <w:szCs w:val="22"/>
                <w:lang w:eastAsia="en-US"/>
              </w:rPr>
              <w:t>Prerušenie liečby lenalidomidom</w:t>
            </w:r>
          </w:p>
          <w:p w14:paraId="06E16282" w14:textId="77777777" w:rsidR="00B1336D" w:rsidRPr="00512310" w:rsidRDefault="00FC03DE" w:rsidP="00AC65A1">
            <w:pPr>
              <w:ind w:left="0" w:right="322" w:firstLine="0"/>
              <w:rPr>
                <w:szCs w:val="22"/>
              </w:rPr>
            </w:pPr>
            <w:r w:rsidRPr="00512310">
              <w:rPr>
                <w:rFonts w:eastAsia="TimesNewRomanPSMT"/>
                <w:szCs w:val="22"/>
                <w:lang w:eastAsia="en-US"/>
              </w:rPr>
              <w:t>Pokračovanie liečby lenalidomidom v dávke najbližšej nižšej úrovne jedenkrát denne</w:t>
            </w:r>
          </w:p>
        </w:tc>
      </w:tr>
    </w:tbl>
    <w:p w14:paraId="24926EDF" w14:textId="77777777" w:rsidR="00311249" w:rsidRPr="00512310" w:rsidRDefault="00311249" w:rsidP="00311249">
      <w:pPr>
        <w:autoSpaceDE w:val="0"/>
        <w:autoSpaceDN w:val="0"/>
        <w:adjustRightInd w:val="0"/>
        <w:ind w:left="0" w:firstLine="0"/>
        <w:rPr>
          <w:rFonts w:eastAsia="TimesNewRomanPSMT"/>
          <w:szCs w:val="22"/>
          <w:lang w:eastAsia="en-US"/>
        </w:rPr>
      </w:pPr>
      <w:r w:rsidRPr="00512310">
        <w:rPr>
          <w:rFonts w:eastAsia="TimesNewRomanPSMT"/>
          <w:szCs w:val="22"/>
          <w:lang w:eastAsia="en-US"/>
        </w:rPr>
        <w:t>Pri hematologickej toxicite sa môže v liečbe lenalidomidom pokračovať v najbližšej vyššej úrovni dávky (až po začiatočnú dávku), ak liečba viedla k zlepšeniu funkcie kostnej drene (bez hematologickej toxicity aspoň 2 po sebe idúce cykly: ANC ≥ 1,5 x 10</w:t>
      </w:r>
      <w:r w:rsidRPr="00512310">
        <w:rPr>
          <w:rFonts w:eastAsia="TimesNewRomanPSMT"/>
          <w:szCs w:val="22"/>
          <w:vertAlign w:val="superscript"/>
          <w:lang w:eastAsia="en-US"/>
        </w:rPr>
        <w:t>9</w:t>
      </w:r>
      <w:r w:rsidRPr="00512310">
        <w:rPr>
          <w:rFonts w:eastAsia="TimesNewRomanPSMT"/>
          <w:szCs w:val="22"/>
          <w:lang w:eastAsia="en-US"/>
        </w:rPr>
        <w:t>/l s počtom trombocytov ≥ 100 x 10</w:t>
      </w:r>
      <w:r w:rsidRPr="00512310">
        <w:rPr>
          <w:rFonts w:eastAsia="TimesNewRomanPSMT"/>
          <w:szCs w:val="22"/>
          <w:vertAlign w:val="superscript"/>
          <w:lang w:eastAsia="en-US"/>
        </w:rPr>
        <w:t>9</w:t>
      </w:r>
      <w:r w:rsidRPr="00512310">
        <w:rPr>
          <w:rFonts w:eastAsia="TimesNewRomanPSMT"/>
          <w:szCs w:val="22"/>
          <w:lang w:eastAsia="en-US"/>
        </w:rPr>
        <w:t>/l na začiatku nového cyklu).</w:t>
      </w:r>
    </w:p>
    <w:p w14:paraId="20B417B6" w14:textId="77777777" w:rsidR="00311249" w:rsidRPr="00512310" w:rsidRDefault="00311249" w:rsidP="00311249">
      <w:pPr>
        <w:autoSpaceDE w:val="0"/>
        <w:autoSpaceDN w:val="0"/>
        <w:adjustRightInd w:val="0"/>
        <w:ind w:left="0" w:firstLine="0"/>
        <w:rPr>
          <w:rFonts w:eastAsia="TimesNewRomanPSMT"/>
          <w:szCs w:val="22"/>
          <w:lang w:eastAsia="en-US"/>
        </w:rPr>
      </w:pPr>
    </w:p>
    <w:p w14:paraId="37FE6B86" w14:textId="77777777" w:rsidR="00311249" w:rsidRPr="00512310" w:rsidRDefault="00311249" w:rsidP="00311249">
      <w:pPr>
        <w:autoSpaceDE w:val="0"/>
        <w:autoSpaceDN w:val="0"/>
        <w:adjustRightInd w:val="0"/>
        <w:ind w:left="0" w:firstLine="0"/>
        <w:rPr>
          <w:rFonts w:eastAsia="TimesNewRomanPSMT"/>
          <w:i/>
          <w:szCs w:val="22"/>
          <w:lang w:eastAsia="en-US"/>
        </w:rPr>
      </w:pPr>
      <w:r w:rsidRPr="00512310">
        <w:rPr>
          <w:rFonts w:eastAsia="TimesNewRomanPSMT"/>
          <w:i/>
          <w:szCs w:val="22"/>
          <w:lang w:eastAsia="en-US"/>
        </w:rPr>
        <w:t>Lenalidomid v kombinácii s melfalánom a prednizónom nasledovaný udržiavacou dávkou lenalidomidu u pacientov, ktorí nie sú spôsobilí na transplantáciu.</w:t>
      </w:r>
    </w:p>
    <w:p w14:paraId="366FB551" w14:textId="77777777" w:rsidR="00311249" w:rsidRPr="00512310" w:rsidRDefault="00311249" w:rsidP="00311249">
      <w:pPr>
        <w:autoSpaceDE w:val="0"/>
        <w:autoSpaceDN w:val="0"/>
        <w:adjustRightInd w:val="0"/>
        <w:ind w:left="0" w:firstLine="0"/>
        <w:rPr>
          <w:rFonts w:eastAsia="TimesNewRomanPSMT"/>
          <w:i/>
          <w:szCs w:val="22"/>
          <w:lang w:eastAsia="en-US"/>
        </w:rPr>
      </w:pPr>
    </w:p>
    <w:p w14:paraId="768BC2C2" w14:textId="77777777" w:rsidR="00311249" w:rsidRPr="00512310" w:rsidRDefault="00311249" w:rsidP="00311249">
      <w:pPr>
        <w:autoSpaceDE w:val="0"/>
        <w:autoSpaceDN w:val="0"/>
        <w:adjustRightInd w:val="0"/>
        <w:ind w:left="0" w:firstLine="0"/>
        <w:rPr>
          <w:rFonts w:eastAsia="TimesNewRomanPSMT"/>
          <w:szCs w:val="22"/>
          <w:lang w:eastAsia="en-US"/>
        </w:rPr>
      </w:pPr>
      <w:r w:rsidRPr="00512310">
        <w:rPr>
          <w:rFonts w:eastAsia="TimesNewRomanPSMT"/>
          <w:szCs w:val="22"/>
          <w:lang w:eastAsia="en-US"/>
        </w:rPr>
        <w:t>Liečba lenalidomidom sa nesmie začať, ak je ANC &lt;1,5 x 10</w:t>
      </w:r>
      <w:r w:rsidRPr="00512310">
        <w:rPr>
          <w:rFonts w:eastAsia="TimesNewRomanPSMT"/>
          <w:szCs w:val="22"/>
          <w:vertAlign w:val="superscript"/>
          <w:lang w:eastAsia="en-US"/>
        </w:rPr>
        <w:t>9</w:t>
      </w:r>
      <w:r w:rsidRPr="00512310">
        <w:rPr>
          <w:rFonts w:eastAsia="TimesNewRomanPSMT"/>
          <w:szCs w:val="22"/>
          <w:lang w:eastAsia="en-US"/>
        </w:rPr>
        <w:t>/l, a/alebo je počet trombocytov &lt;75 x 10</w:t>
      </w:r>
      <w:r w:rsidRPr="00512310">
        <w:rPr>
          <w:rFonts w:eastAsia="TimesNewRomanPSMT"/>
          <w:szCs w:val="22"/>
          <w:vertAlign w:val="superscript"/>
          <w:lang w:eastAsia="en-US"/>
        </w:rPr>
        <w:t>9</w:t>
      </w:r>
      <w:r w:rsidRPr="00512310">
        <w:rPr>
          <w:rFonts w:eastAsia="TimesNewRomanPSMT"/>
          <w:szCs w:val="22"/>
          <w:lang w:eastAsia="en-US"/>
        </w:rPr>
        <w:t>/l.</w:t>
      </w:r>
    </w:p>
    <w:p w14:paraId="6ABB809D" w14:textId="77777777" w:rsidR="00311249" w:rsidRPr="00512310" w:rsidRDefault="00311249" w:rsidP="00311249">
      <w:pPr>
        <w:autoSpaceDE w:val="0"/>
        <w:autoSpaceDN w:val="0"/>
        <w:adjustRightInd w:val="0"/>
        <w:ind w:left="0" w:firstLine="0"/>
        <w:rPr>
          <w:rFonts w:eastAsia="TimesNewRomanPSMT"/>
          <w:i/>
          <w:iCs/>
          <w:szCs w:val="22"/>
          <w:lang w:eastAsia="en-US"/>
        </w:rPr>
      </w:pPr>
    </w:p>
    <w:p w14:paraId="3641F5DB" w14:textId="77777777" w:rsidR="00311249" w:rsidRPr="00512310" w:rsidRDefault="00311249" w:rsidP="00311249">
      <w:pPr>
        <w:autoSpaceDE w:val="0"/>
        <w:autoSpaceDN w:val="0"/>
        <w:adjustRightInd w:val="0"/>
        <w:ind w:left="0" w:firstLine="0"/>
        <w:rPr>
          <w:rFonts w:eastAsia="TimesNewRomanPSMT"/>
          <w:i/>
          <w:iCs/>
          <w:szCs w:val="22"/>
          <w:lang w:eastAsia="en-US"/>
        </w:rPr>
      </w:pPr>
      <w:r w:rsidRPr="00512310">
        <w:rPr>
          <w:rFonts w:eastAsia="TimesNewRomanPSMT"/>
          <w:i/>
          <w:iCs/>
          <w:szCs w:val="22"/>
          <w:lang w:eastAsia="en-US"/>
        </w:rPr>
        <w:t>Odporúčaná dávka</w:t>
      </w:r>
    </w:p>
    <w:p w14:paraId="1B819ED7" w14:textId="77777777" w:rsidR="00311249" w:rsidRPr="00512310" w:rsidRDefault="00311249" w:rsidP="00311249">
      <w:pPr>
        <w:autoSpaceDE w:val="0"/>
        <w:autoSpaceDN w:val="0"/>
        <w:adjustRightInd w:val="0"/>
        <w:ind w:left="0" w:firstLine="0"/>
        <w:rPr>
          <w:rFonts w:eastAsia="TimesNewRomanPSMT"/>
          <w:szCs w:val="22"/>
          <w:lang w:eastAsia="en-US"/>
        </w:rPr>
      </w:pPr>
      <w:r w:rsidRPr="00512310">
        <w:rPr>
          <w:rFonts w:eastAsia="TimesNewRomanPSMT"/>
          <w:szCs w:val="22"/>
          <w:lang w:eastAsia="en-US"/>
        </w:rPr>
        <w:t>Odporúčaná začiatočná dávka je 10 mg lenalidomidu perorálne jedenkrát denne v 1. až 21.deň opakovaných 28-dňových cyklov až 9 cyklov, melfalán 0,18 mg/kg perorálne v 1. až 4.deň opakovaných 28-dňových cyklov, prednizón 2 mg/kg perorálne v 1. až 4.deň opakovaných 28</w:t>
      </w:r>
      <w:r w:rsidRPr="00512310">
        <w:rPr>
          <w:rFonts w:eastAsia="TimesNewRomanPSMT"/>
          <w:szCs w:val="22"/>
          <w:lang w:eastAsia="en-US"/>
        </w:rPr>
        <w:noBreakHyphen/>
        <w:t>dňových cyklov. Pacienti, ktorí dokončia 9 cyklov, alebo ktorí nemôžu dokončiť kombinovanú liečbu z dôvodu intolerancie, sú liečení monoterapiou lenalidomidom nasledujúcim spôsobom: 10 mg perorálne jedenkrát denne v 1. až 21.deň opakovaných 28-dňových cyklov až do progresie ochorenia.</w:t>
      </w:r>
    </w:p>
    <w:p w14:paraId="56B74E22" w14:textId="77777777" w:rsidR="000D5CD0" w:rsidRPr="00512310" w:rsidRDefault="000D5CD0" w:rsidP="00EC0C9E">
      <w:pPr>
        <w:autoSpaceDE w:val="0"/>
        <w:autoSpaceDN w:val="0"/>
        <w:adjustRightInd w:val="0"/>
        <w:ind w:left="0" w:firstLine="0"/>
        <w:rPr>
          <w:rFonts w:eastAsia="TimesNewRomanPSMT"/>
          <w:szCs w:val="22"/>
          <w:lang w:eastAsia="en-US"/>
        </w:rPr>
      </w:pPr>
    </w:p>
    <w:p w14:paraId="513D58C0" w14:textId="77777777" w:rsidR="00FE4C88" w:rsidRPr="00512310" w:rsidRDefault="00FE4C88" w:rsidP="008A650F">
      <w:pPr>
        <w:pStyle w:val="Odsekzoznamu"/>
        <w:widowControl/>
        <w:numPr>
          <w:ilvl w:val="0"/>
          <w:numId w:val="3"/>
        </w:numPr>
        <w:tabs>
          <w:tab w:val="left" w:pos="341"/>
        </w:tabs>
        <w:spacing w:after="0" w:line="240" w:lineRule="auto"/>
        <w:rPr>
          <w:rFonts w:ascii="Times New Roman" w:hAnsi="Times New Roman"/>
          <w:lang w:val="sk-SK"/>
        </w:rPr>
      </w:pPr>
      <w:r w:rsidRPr="00512310">
        <w:rPr>
          <w:rFonts w:ascii="Times New Roman" w:eastAsia="Times New Roman" w:hAnsi="Times New Roman"/>
          <w:i/>
          <w:iCs/>
          <w:lang w:val="sk-SK"/>
        </w:rPr>
        <w:t>Kroky pri znižovaní dávky</w:t>
      </w:r>
    </w:p>
    <w:tbl>
      <w:tblPr>
        <w:tblW w:w="5000" w:type="pct"/>
        <w:jc w:val="center"/>
        <w:tblCellMar>
          <w:left w:w="0" w:type="dxa"/>
          <w:right w:w="0" w:type="dxa"/>
        </w:tblCellMar>
        <w:tblLook w:val="04A0" w:firstRow="1" w:lastRow="0" w:firstColumn="1" w:lastColumn="0" w:noHBand="0" w:noVBand="1"/>
      </w:tblPr>
      <w:tblGrid>
        <w:gridCol w:w="2240"/>
        <w:gridCol w:w="2648"/>
        <w:gridCol w:w="2082"/>
        <w:gridCol w:w="2080"/>
      </w:tblGrid>
      <w:tr w:rsidR="00FE4C88" w:rsidRPr="00512310" w14:paraId="16B188B2" w14:textId="77777777" w:rsidTr="0054571F">
        <w:trPr>
          <w:trHeight w:val="258"/>
          <w:jc w:val="center"/>
        </w:trPr>
        <w:tc>
          <w:tcPr>
            <w:tcW w:w="1238" w:type="pct"/>
            <w:tcBorders>
              <w:top w:val="single" w:sz="8" w:space="0" w:color="auto"/>
              <w:left w:val="single" w:sz="8" w:space="0" w:color="auto"/>
              <w:bottom w:val="single" w:sz="8" w:space="0" w:color="auto"/>
              <w:right w:val="single" w:sz="8" w:space="0" w:color="auto"/>
            </w:tcBorders>
            <w:vAlign w:val="bottom"/>
          </w:tcPr>
          <w:p w14:paraId="398294E4" w14:textId="77777777" w:rsidR="00FE4C88" w:rsidRPr="00512310" w:rsidRDefault="00FE4C88" w:rsidP="00FE4C88">
            <w:pPr>
              <w:rPr>
                <w:szCs w:val="22"/>
              </w:rPr>
            </w:pPr>
          </w:p>
        </w:tc>
        <w:tc>
          <w:tcPr>
            <w:tcW w:w="1463" w:type="pct"/>
            <w:tcBorders>
              <w:top w:val="single" w:sz="8" w:space="0" w:color="auto"/>
              <w:bottom w:val="single" w:sz="8" w:space="0" w:color="auto"/>
              <w:right w:val="single" w:sz="8" w:space="0" w:color="auto"/>
            </w:tcBorders>
            <w:vAlign w:val="bottom"/>
          </w:tcPr>
          <w:p w14:paraId="6196D22E" w14:textId="10B65B56" w:rsidR="00FE4C88" w:rsidRPr="00512310" w:rsidRDefault="00AF1F5C" w:rsidP="00FE4C88">
            <w:pPr>
              <w:jc w:val="center"/>
              <w:rPr>
                <w:szCs w:val="22"/>
              </w:rPr>
            </w:pPr>
            <w:r w:rsidRPr="00512310">
              <w:rPr>
                <w:szCs w:val="22"/>
              </w:rPr>
              <w:t>L</w:t>
            </w:r>
            <w:r w:rsidR="00FE4C88" w:rsidRPr="00512310">
              <w:rPr>
                <w:szCs w:val="22"/>
              </w:rPr>
              <w:t>enalidomid</w:t>
            </w:r>
          </w:p>
        </w:tc>
        <w:tc>
          <w:tcPr>
            <w:tcW w:w="1150" w:type="pct"/>
            <w:tcBorders>
              <w:top w:val="single" w:sz="8" w:space="0" w:color="auto"/>
              <w:bottom w:val="single" w:sz="8" w:space="0" w:color="auto"/>
              <w:right w:val="single" w:sz="8" w:space="0" w:color="auto"/>
            </w:tcBorders>
            <w:vAlign w:val="bottom"/>
          </w:tcPr>
          <w:p w14:paraId="720A295E" w14:textId="77777777" w:rsidR="00FE4C88" w:rsidRPr="00512310" w:rsidRDefault="00FE4C88" w:rsidP="00FE4C88">
            <w:pPr>
              <w:jc w:val="center"/>
              <w:rPr>
                <w:szCs w:val="22"/>
              </w:rPr>
            </w:pPr>
            <w:r w:rsidRPr="00512310">
              <w:rPr>
                <w:szCs w:val="22"/>
              </w:rPr>
              <w:t>melfalán</w:t>
            </w:r>
          </w:p>
        </w:tc>
        <w:tc>
          <w:tcPr>
            <w:tcW w:w="1149" w:type="pct"/>
            <w:tcBorders>
              <w:top w:val="single" w:sz="8" w:space="0" w:color="auto"/>
              <w:bottom w:val="single" w:sz="8" w:space="0" w:color="auto"/>
              <w:right w:val="single" w:sz="8" w:space="0" w:color="auto"/>
            </w:tcBorders>
            <w:vAlign w:val="bottom"/>
          </w:tcPr>
          <w:p w14:paraId="0AE1E241" w14:textId="77777777" w:rsidR="00FE4C88" w:rsidRPr="00512310" w:rsidRDefault="00FE4C88" w:rsidP="00FE4C88">
            <w:pPr>
              <w:jc w:val="center"/>
              <w:rPr>
                <w:szCs w:val="22"/>
              </w:rPr>
            </w:pPr>
            <w:r w:rsidRPr="00512310">
              <w:rPr>
                <w:szCs w:val="22"/>
              </w:rPr>
              <w:t>prednizón</w:t>
            </w:r>
          </w:p>
        </w:tc>
      </w:tr>
      <w:tr w:rsidR="00FE4C88" w:rsidRPr="00512310" w14:paraId="15B8404B" w14:textId="77777777" w:rsidTr="0054571F">
        <w:trPr>
          <w:trHeight w:val="243"/>
          <w:jc w:val="center"/>
        </w:trPr>
        <w:tc>
          <w:tcPr>
            <w:tcW w:w="1238" w:type="pct"/>
            <w:tcBorders>
              <w:left w:val="single" w:sz="8" w:space="0" w:color="auto"/>
              <w:bottom w:val="single" w:sz="8" w:space="0" w:color="auto"/>
              <w:right w:val="single" w:sz="8" w:space="0" w:color="auto"/>
            </w:tcBorders>
            <w:vAlign w:val="bottom"/>
          </w:tcPr>
          <w:p w14:paraId="33D5C72B" w14:textId="77777777" w:rsidR="00FE4C88" w:rsidRPr="00512310" w:rsidRDefault="00FE4C88" w:rsidP="00FE4C88">
            <w:pPr>
              <w:jc w:val="center"/>
              <w:rPr>
                <w:szCs w:val="22"/>
              </w:rPr>
            </w:pPr>
            <w:r w:rsidRPr="00512310">
              <w:rPr>
                <w:szCs w:val="22"/>
              </w:rPr>
              <w:t>Začiatočná dávka</w:t>
            </w:r>
          </w:p>
        </w:tc>
        <w:tc>
          <w:tcPr>
            <w:tcW w:w="1463" w:type="pct"/>
            <w:tcBorders>
              <w:bottom w:val="single" w:sz="8" w:space="0" w:color="auto"/>
              <w:right w:val="single" w:sz="8" w:space="0" w:color="auto"/>
            </w:tcBorders>
            <w:vAlign w:val="bottom"/>
          </w:tcPr>
          <w:p w14:paraId="2B46806F" w14:textId="77777777" w:rsidR="00FE4C88" w:rsidRPr="00512310" w:rsidRDefault="00FE4C88" w:rsidP="0054571F">
            <w:pPr>
              <w:jc w:val="center"/>
              <w:rPr>
                <w:szCs w:val="22"/>
              </w:rPr>
            </w:pPr>
            <w:r w:rsidRPr="00512310">
              <w:rPr>
                <w:szCs w:val="22"/>
              </w:rPr>
              <w:t>10</w:t>
            </w:r>
            <w:r w:rsidR="0054571F" w:rsidRPr="00512310">
              <w:rPr>
                <w:szCs w:val="22"/>
              </w:rPr>
              <w:t> </w:t>
            </w:r>
            <w:r w:rsidRPr="00512310">
              <w:rPr>
                <w:szCs w:val="22"/>
              </w:rPr>
              <w:t>mgª</w:t>
            </w:r>
          </w:p>
        </w:tc>
        <w:tc>
          <w:tcPr>
            <w:tcW w:w="1150" w:type="pct"/>
            <w:tcBorders>
              <w:bottom w:val="single" w:sz="8" w:space="0" w:color="auto"/>
              <w:right w:val="single" w:sz="8" w:space="0" w:color="auto"/>
            </w:tcBorders>
            <w:vAlign w:val="bottom"/>
          </w:tcPr>
          <w:p w14:paraId="4AB9E48F" w14:textId="77777777" w:rsidR="00FE4C88" w:rsidRPr="00512310" w:rsidRDefault="00FE4C88" w:rsidP="0054571F">
            <w:pPr>
              <w:jc w:val="center"/>
              <w:rPr>
                <w:szCs w:val="22"/>
              </w:rPr>
            </w:pPr>
            <w:r w:rsidRPr="00512310">
              <w:rPr>
                <w:szCs w:val="22"/>
              </w:rPr>
              <w:t>0</w:t>
            </w:r>
            <w:r w:rsidR="0054571F" w:rsidRPr="00512310">
              <w:rPr>
                <w:szCs w:val="22"/>
              </w:rPr>
              <w:t>,</w:t>
            </w:r>
            <w:r w:rsidRPr="00512310">
              <w:rPr>
                <w:szCs w:val="22"/>
              </w:rPr>
              <w:t>18</w:t>
            </w:r>
            <w:r w:rsidR="0054571F" w:rsidRPr="00512310">
              <w:rPr>
                <w:szCs w:val="22"/>
              </w:rPr>
              <w:t> </w:t>
            </w:r>
            <w:r w:rsidRPr="00512310">
              <w:rPr>
                <w:szCs w:val="22"/>
              </w:rPr>
              <w:t>mg/kg</w:t>
            </w:r>
          </w:p>
        </w:tc>
        <w:tc>
          <w:tcPr>
            <w:tcW w:w="1149" w:type="pct"/>
            <w:tcBorders>
              <w:bottom w:val="single" w:sz="8" w:space="0" w:color="auto"/>
              <w:right w:val="single" w:sz="8" w:space="0" w:color="auto"/>
            </w:tcBorders>
            <w:vAlign w:val="bottom"/>
          </w:tcPr>
          <w:p w14:paraId="588231AB" w14:textId="77777777" w:rsidR="00FE4C88" w:rsidRPr="00512310" w:rsidRDefault="00FE4C88" w:rsidP="0054571F">
            <w:pPr>
              <w:jc w:val="center"/>
              <w:rPr>
                <w:szCs w:val="22"/>
              </w:rPr>
            </w:pPr>
            <w:r w:rsidRPr="00512310">
              <w:rPr>
                <w:szCs w:val="22"/>
              </w:rPr>
              <w:t>2</w:t>
            </w:r>
            <w:r w:rsidR="0054571F" w:rsidRPr="00512310">
              <w:rPr>
                <w:szCs w:val="22"/>
              </w:rPr>
              <w:t> </w:t>
            </w:r>
            <w:r w:rsidRPr="00512310">
              <w:rPr>
                <w:szCs w:val="22"/>
              </w:rPr>
              <w:t>mg/kg</w:t>
            </w:r>
          </w:p>
        </w:tc>
      </w:tr>
      <w:tr w:rsidR="00FE4C88" w:rsidRPr="00512310" w14:paraId="52B90C13" w14:textId="77777777" w:rsidTr="0054571F">
        <w:trPr>
          <w:trHeight w:val="243"/>
          <w:jc w:val="center"/>
        </w:trPr>
        <w:tc>
          <w:tcPr>
            <w:tcW w:w="1238" w:type="pct"/>
            <w:tcBorders>
              <w:left w:val="single" w:sz="8" w:space="0" w:color="auto"/>
              <w:bottom w:val="single" w:sz="8" w:space="0" w:color="auto"/>
              <w:right w:val="single" w:sz="8" w:space="0" w:color="auto"/>
            </w:tcBorders>
            <w:vAlign w:val="bottom"/>
          </w:tcPr>
          <w:p w14:paraId="5887488C" w14:textId="77777777" w:rsidR="00FE4C88" w:rsidRPr="00512310" w:rsidRDefault="0054571F" w:rsidP="0054571F">
            <w:pPr>
              <w:jc w:val="center"/>
              <w:rPr>
                <w:szCs w:val="22"/>
              </w:rPr>
            </w:pPr>
            <w:r w:rsidRPr="00512310">
              <w:rPr>
                <w:szCs w:val="22"/>
              </w:rPr>
              <w:t>Dávka na úrovni</w:t>
            </w:r>
            <w:r w:rsidR="00FE4C88" w:rsidRPr="00512310">
              <w:rPr>
                <w:szCs w:val="22"/>
              </w:rPr>
              <w:t xml:space="preserve"> -1</w:t>
            </w:r>
          </w:p>
        </w:tc>
        <w:tc>
          <w:tcPr>
            <w:tcW w:w="1463" w:type="pct"/>
            <w:tcBorders>
              <w:bottom w:val="single" w:sz="8" w:space="0" w:color="auto"/>
              <w:right w:val="single" w:sz="8" w:space="0" w:color="auto"/>
            </w:tcBorders>
            <w:vAlign w:val="bottom"/>
          </w:tcPr>
          <w:p w14:paraId="58F711C1" w14:textId="77777777" w:rsidR="00FE4C88" w:rsidRPr="00512310" w:rsidRDefault="00FE4C88" w:rsidP="0054571F">
            <w:pPr>
              <w:jc w:val="center"/>
              <w:rPr>
                <w:szCs w:val="22"/>
              </w:rPr>
            </w:pPr>
            <w:r w:rsidRPr="00512310">
              <w:rPr>
                <w:szCs w:val="22"/>
              </w:rPr>
              <w:t>7</w:t>
            </w:r>
            <w:r w:rsidR="0054571F" w:rsidRPr="00512310">
              <w:rPr>
                <w:szCs w:val="22"/>
              </w:rPr>
              <w:t>,</w:t>
            </w:r>
            <w:r w:rsidRPr="00512310">
              <w:rPr>
                <w:szCs w:val="22"/>
              </w:rPr>
              <w:t>5</w:t>
            </w:r>
            <w:r w:rsidR="0054571F" w:rsidRPr="00512310">
              <w:rPr>
                <w:szCs w:val="22"/>
              </w:rPr>
              <w:t> </w:t>
            </w:r>
            <w:r w:rsidRPr="00512310">
              <w:rPr>
                <w:szCs w:val="22"/>
              </w:rPr>
              <w:t>mg</w:t>
            </w:r>
          </w:p>
        </w:tc>
        <w:tc>
          <w:tcPr>
            <w:tcW w:w="1150" w:type="pct"/>
            <w:tcBorders>
              <w:bottom w:val="single" w:sz="8" w:space="0" w:color="auto"/>
              <w:right w:val="single" w:sz="8" w:space="0" w:color="auto"/>
            </w:tcBorders>
            <w:vAlign w:val="bottom"/>
          </w:tcPr>
          <w:p w14:paraId="1970EC5C" w14:textId="77777777" w:rsidR="00FE4C88" w:rsidRPr="00512310" w:rsidRDefault="00FE4C88" w:rsidP="0054571F">
            <w:pPr>
              <w:jc w:val="center"/>
              <w:rPr>
                <w:szCs w:val="22"/>
              </w:rPr>
            </w:pPr>
            <w:r w:rsidRPr="00512310">
              <w:rPr>
                <w:szCs w:val="22"/>
              </w:rPr>
              <w:t>0</w:t>
            </w:r>
            <w:r w:rsidR="0054571F" w:rsidRPr="00512310">
              <w:rPr>
                <w:szCs w:val="22"/>
              </w:rPr>
              <w:t>,</w:t>
            </w:r>
            <w:r w:rsidRPr="00512310">
              <w:rPr>
                <w:szCs w:val="22"/>
              </w:rPr>
              <w:t>14</w:t>
            </w:r>
            <w:r w:rsidR="0054571F" w:rsidRPr="00512310">
              <w:rPr>
                <w:szCs w:val="22"/>
              </w:rPr>
              <w:t> </w:t>
            </w:r>
            <w:r w:rsidRPr="00512310">
              <w:rPr>
                <w:szCs w:val="22"/>
              </w:rPr>
              <w:t>mg/kg</w:t>
            </w:r>
          </w:p>
        </w:tc>
        <w:tc>
          <w:tcPr>
            <w:tcW w:w="1149" w:type="pct"/>
            <w:tcBorders>
              <w:bottom w:val="single" w:sz="8" w:space="0" w:color="auto"/>
              <w:right w:val="single" w:sz="8" w:space="0" w:color="auto"/>
            </w:tcBorders>
            <w:vAlign w:val="bottom"/>
          </w:tcPr>
          <w:p w14:paraId="1C2857B2" w14:textId="77777777" w:rsidR="00FE4C88" w:rsidRPr="00512310" w:rsidRDefault="00FE4C88" w:rsidP="0054571F">
            <w:pPr>
              <w:jc w:val="center"/>
              <w:rPr>
                <w:szCs w:val="22"/>
              </w:rPr>
            </w:pPr>
            <w:r w:rsidRPr="00512310">
              <w:rPr>
                <w:szCs w:val="22"/>
              </w:rPr>
              <w:t>1</w:t>
            </w:r>
            <w:r w:rsidR="0054571F" w:rsidRPr="00512310">
              <w:rPr>
                <w:szCs w:val="22"/>
              </w:rPr>
              <w:t> </w:t>
            </w:r>
            <w:r w:rsidRPr="00512310">
              <w:rPr>
                <w:szCs w:val="22"/>
              </w:rPr>
              <w:t>mg/kg</w:t>
            </w:r>
          </w:p>
        </w:tc>
      </w:tr>
      <w:tr w:rsidR="00FE4C88" w:rsidRPr="00512310" w14:paraId="0BC9F631" w14:textId="77777777" w:rsidTr="0054571F">
        <w:trPr>
          <w:trHeight w:val="243"/>
          <w:jc w:val="center"/>
        </w:trPr>
        <w:tc>
          <w:tcPr>
            <w:tcW w:w="1238" w:type="pct"/>
            <w:tcBorders>
              <w:left w:val="single" w:sz="8" w:space="0" w:color="auto"/>
              <w:bottom w:val="single" w:sz="8" w:space="0" w:color="auto"/>
              <w:right w:val="single" w:sz="8" w:space="0" w:color="auto"/>
            </w:tcBorders>
            <w:vAlign w:val="bottom"/>
          </w:tcPr>
          <w:p w14:paraId="20110886" w14:textId="77777777" w:rsidR="00FE4C88" w:rsidRPr="00512310" w:rsidRDefault="0054571F" w:rsidP="00FE4C88">
            <w:pPr>
              <w:jc w:val="center"/>
              <w:rPr>
                <w:szCs w:val="22"/>
              </w:rPr>
            </w:pPr>
            <w:r w:rsidRPr="00512310">
              <w:rPr>
                <w:szCs w:val="22"/>
              </w:rPr>
              <w:t>Dávka na úrovni</w:t>
            </w:r>
            <w:r w:rsidR="00FE4C88" w:rsidRPr="00512310">
              <w:rPr>
                <w:szCs w:val="22"/>
              </w:rPr>
              <w:t xml:space="preserve"> -2</w:t>
            </w:r>
          </w:p>
        </w:tc>
        <w:tc>
          <w:tcPr>
            <w:tcW w:w="1463" w:type="pct"/>
            <w:tcBorders>
              <w:bottom w:val="single" w:sz="8" w:space="0" w:color="auto"/>
              <w:right w:val="single" w:sz="8" w:space="0" w:color="auto"/>
            </w:tcBorders>
            <w:vAlign w:val="bottom"/>
          </w:tcPr>
          <w:p w14:paraId="4880CB6E" w14:textId="77777777" w:rsidR="00FE4C88" w:rsidRPr="00512310" w:rsidRDefault="00FE4C88" w:rsidP="0054571F">
            <w:pPr>
              <w:jc w:val="center"/>
              <w:rPr>
                <w:szCs w:val="22"/>
              </w:rPr>
            </w:pPr>
            <w:r w:rsidRPr="00512310">
              <w:rPr>
                <w:szCs w:val="22"/>
              </w:rPr>
              <w:t>5</w:t>
            </w:r>
            <w:r w:rsidR="0054571F" w:rsidRPr="00512310">
              <w:rPr>
                <w:szCs w:val="22"/>
              </w:rPr>
              <w:t> </w:t>
            </w:r>
            <w:r w:rsidRPr="00512310">
              <w:rPr>
                <w:szCs w:val="22"/>
              </w:rPr>
              <w:t>mg</w:t>
            </w:r>
          </w:p>
        </w:tc>
        <w:tc>
          <w:tcPr>
            <w:tcW w:w="1150" w:type="pct"/>
            <w:tcBorders>
              <w:bottom w:val="single" w:sz="8" w:space="0" w:color="auto"/>
              <w:right w:val="single" w:sz="8" w:space="0" w:color="auto"/>
            </w:tcBorders>
            <w:vAlign w:val="bottom"/>
          </w:tcPr>
          <w:p w14:paraId="10091122" w14:textId="77777777" w:rsidR="00FE4C88" w:rsidRPr="00512310" w:rsidRDefault="00FE4C88" w:rsidP="0054571F">
            <w:pPr>
              <w:jc w:val="center"/>
              <w:rPr>
                <w:szCs w:val="22"/>
              </w:rPr>
            </w:pPr>
            <w:r w:rsidRPr="00512310">
              <w:rPr>
                <w:szCs w:val="22"/>
              </w:rPr>
              <w:t>0</w:t>
            </w:r>
            <w:r w:rsidR="0054571F" w:rsidRPr="00512310">
              <w:rPr>
                <w:szCs w:val="22"/>
              </w:rPr>
              <w:t>,10 </w:t>
            </w:r>
            <w:r w:rsidRPr="00512310">
              <w:rPr>
                <w:szCs w:val="22"/>
              </w:rPr>
              <w:t>mg/kg</w:t>
            </w:r>
          </w:p>
        </w:tc>
        <w:tc>
          <w:tcPr>
            <w:tcW w:w="1149" w:type="pct"/>
            <w:tcBorders>
              <w:bottom w:val="single" w:sz="8" w:space="0" w:color="auto"/>
              <w:right w:val="single" w:sz="8" w:space="0" w:color="auto"/>
            </w:tcBorders>
            <w:vAlign w:val="bottom"/>
          </w:tcPr>
          <w:p w14:paraId="46E2F47B" w14:textId="77777777" w:rsidR="00FE4C88" w:rsidRPr="00512310" w:rsidRDefault="00FE4C88" w:rsidP="0054571F">
            <w:pPr>
              <w:jc w:val="center"/>
              <w:rPr>
                <w:szCs w:val="22"/>
              </w:rPr>
            </w:pPr>
            <w:r w:rsidRPr="00512310">
              <w:rPr>
                <w:szCs w:val="22"/>
              </w:rPr>
              <w:t>0</w:t>
            </w:r>
            <w:r w:rsidR="0054571F" w:rsidRPr="00512310">
              <w:rPr>
                <w:szCs w:val="22"/>
              </w:rPr>
              <w:t>,5 </w:t>
            </w:r>
            <w:r w:rsidRPr="00512310">
              <w:rPr>
                <w:szCs w:val="22"/>
              </w:rPr>
              <w:t>mg/kg</w:t>
            </w:r>
          </w:p>
        </w:tc>
      </w:tr>
      <w:tr w:rsidR="00FE4C88" w:rsidRPr="00512310" w14:paraId="559A0BFD" w14:textId="77777777" w:rsidTr="0054571F">
        <w:trPr>
          <w:trHeight w:val="244"/>
          <w:jc w:val="center"/>
        </w:trPr>
        <w:tc>
          <w:tcPr>
            <w:tcW w:w="1238" w:type="pct"/>
            <w:tcBorders>
              <w:left w:val="single" w:sz="8" w:space="0" w:color="auto"/>
              <w:bottom w:val="single" w:sz="8" w:space="0" w:color="auto"/>
              <w:right w:val="single" w:sz="8" w:space="0" w:color="auto"/>
            </w:tcBorders>
            <w:vAlign w:val="bottom"/>
          </w:tcPr>
          <w:p w14:paraId="5DF671AB" w14:textId="77777777" w:rsidR="00FE4C88" w:rsidRPr="00512310" w:rsidRDefault="0054571F" w:rsidP="00FE4C88">
            <w:pPr>
              <w:jc w:val="center"/>
              <w:rPr>
                <w:szCs w:val="22"/>
              </w:rPr>
            </w:pPr>
            <w:r w:rsidRPr="00512310">
              <w:rPr>
                <w:szCs w:val="22"/>
              </w:rPr>
              <w:t xml:space="preserve">Dávka na úrovni </w:t>
            </w:r>
            <w:r w:rsidR="00FE4C88" w:rsidRPr="00512310">
              <w:rPr>
                <w:szCs w:val="22"/>
              </w:rPr>
              <w:t>-3</w:t>
            </w:r>
          </w:p>
        </w:tc>
        <w:tc>
          <w:tcPr>
            <w:tcW w:w="1463" w:type="pct"/>
            <w:tcBorders>
              <w:bottom w:val="single" w:sz="8" w:space="0" w:color="auto"/>
              <w:right w:val="single" w:sz="8" w:space="0" w:color="auto"/>
            </w:tcBorders>
            <w:vAlign w:val="bottom"/>
          </w:tcPr>
          <w:p w14:paraId="52738BFB" w14:textId="77777777" w:rsidR="00FE4C88" w:rsidRPr="00512310" w:rsidRDefault="00FE4C88" w:rsidP="0054571F">
            <w:pPr>
              <w:jc w:val="center"/>
              <w:rPr>
                <w:szCs w:val="22"/>
              </w:rPr>
            </w:pPr>
            <w:r w:rsidRPr="00512310">
              <w:rPr>
                <w:szCs w:val="22"/>
              </w:rPr>
              <w:t>2</w:t>
            </w:r>
            <w:r w:rsidR="0054571F" w:rsidRPr="00512310">
              <w:rPr>
                <w:szCs w:val="22"/>
              </w:rPr>
              <w:t>,</w:t>
            </w:r>
            <w:r w:rsidRPr="00512310">
              <w:rPr>
                <w:szCs w:val="22"/>
              </w:rPr>
              <w:t>5</w:t>
            </w:r>
            <w:r w:rsidR="0054571F" w:rsidRPr="00512310">
              <w:rPr>
                <w:szCs w:val="22"/>
              </w:rPr>
              <w:t> </w:t>
            </w:r>
            <w:r w:rsidRPr="00512310">
              <w:rPr>
                <w:szCs w:val="22"/>
              </w:rPr>
              <w:t>mg</w:t>
            </w:r>
          </w:p>
        </w:tc>
        <w:tc>
          <w:tcPr>
            <w:tcW w:w="1150" w:type="pct"/>
            <w:tcBorders>
              <w:bottom w:val="single" w:sz="8" w:space="0" w:color="auto"/>
              <w:right w:val="single" w:sz="8" w:space="0" w:color="auto"/>
            </w:tcBorders>
            <w:vAlign w:val="bottom"/>
          </w:tcPr>
          <w:p w14:paraId="35CDF460" w14:textId="77777777" w:rsidR="00FE4C88" w:rsidRPr="00512310" w:rsidRDefault="0054571F" w:rsidP="0054571F">
            <w:pPr>
              <w:jc w:val="center"/>
              <w:rPr>
                <w:szCs w:val="22"/>
              </w:rPr>
            </w:pPr>
            <w:r w:rsidRPr="00512310">
              <w:rPr>
                <w:szCs w:val="22"/>
              </w:rPr>
              <w:t>Neuplatňuje sa</w:t>
            </w:r>
          </w:p>
        </w:tc>
        <w:tc>
          <w:tcPr>
            <w:tcW w:w="1149" w:type="pct"/>
            <w:tcBorders>
              <w:bottom w:val="single" w:sz="8" w:space="0" w:color="auto"/>
              <w:right w:val="single" w:sz="8" w:space="0" w:color="auto"/>
            </w:tcBorders>
            <w:vAlign w:val="bottom"/>
          </w:tcPr>
          <w:p w14:paraId="3924D8B3" w14:textId="77777777" w:rsidR="00FE4C88" w:rsidRPr="00512310" w:rsidRDefault="00FE4C88" w:rsidP="0054571F">
            <w:pPr>
              <w:jc w:val="center"/>
              <w:rPr>
                <w:szCs w:val="22"/>
              </w:rPr>
            </w:pPr>
            <w:r w:rsidRPr="00512310">
              <w:rPr>
                <w:szCs w:val="22"/>
              </w:rPr>
              <w:t>0</w:t>
            </w:r>
            <w:r w:rsidR="0054571F" w:rsidRPr="00512310">
              <w:rPr>
                <w:szCs w:val="22"/>
              </w:rPr>
              <w:t>,</w:t>
            </w:r>
            <w:r w:rsidRPr="00512310">
              <w:rPr>
                <w:szCs w:val="22"/>
              </w:rPr>
              <w:t>25</w:t>
            </w:r>
            <w:r w:rsidR="0054571F" w:rsidRPr="00512310">
              <w:rPr>
                <w:szCs w:val="22"/>
              </w:rPr>
              <w:t> </w:t>
            </w:r>
            <w:r w:rsidRPr="00512310">
              <w:rPr>
                <w:szCs w:val="22"/>
              </w:rPr>
              <w:t>mg/kg</w:t>
            </w:r>
          </w:p>
        </w:tc>
      </w:tr>
    </w:tbl>
    <w:p w14:paraId="11CAD542" w14:textId="77777777" w:rsidR="00FE4C88" w:rsidRPr="003A5C41" w:rsidRDefault="0054571F" w:rsidP="0054571F">
      <w:pPr>
        <w:autoSpaceDE w:val="0"/>
        <w:autoSpaceDN w:val="0"/>
        <w:adjustRightInd w:val="0"/>
        <w:ind w:left="0" w:firstLine="0"/>
        <w:rPr>
          <w:rFonts w:eastAsia="TimesNewRomanPSMT"/>
          <w:sz w:val="18"/>
          <w:szCs w:val="18"/>
          <w:lang w:eastAsia="en-US"/>
        </w:rPr>
      </w:pPr>
      <w:r w:rsidRPr="003A5C41">
        <w:rPr>
          <w:rFonts w:eastAsia="TimesNewRomanPSMT"/>
          <w:sz w:val="18"/>
          <w:szCs w:val="18"/>
          <w:lang w:eastAsia="en-US"/>
        </w:rPr>
        <w:t>ª Ak je neutropénia jedinou toxicitou na akejkoľvek úrovni dávky, pridajte faktor stimulujúci kolónie granulocytov (Granulocyte colony Stimulating Factor, G-CSF), a udržujte dávku lenalidomidu</w:t>
      </w:r>
    </w:p>
    <w:p w14:paraId="2D64117B" w14:textId="77777777" w:rsidR="0054571F" w:rsidRPr="003A5C41" w:rsidRDefault="0054571F" w:rsidP="0054571F">
      <w:pPr>
        <w:ind w:right="1020"/>
        <w:rPr>
          <w:szCs w:val="22"/>
        </w:rPr>
      </w:pPr>
    </w:p>
    <w:p w14:paraId="72FF609D" w14:textId="77777777" w:rsidR="0054571F" w:rsidRPr="003A5C41" w:rsidRDefault="0054571F" w:rsidP="008A650F">
      <w:pPr>
        <w:pStyle w:val="Odsekzoznamu"/>
        <w:widowControl/>
        <w:numPr>
          <w:ilvl w:val="0"/>
          <w:numId w:val="3"/>
        </w:numPr>
        <w:tabs>
          <w:tab w:val="left" w:pos="361"/>
        </w:tabs>
        <w:spacing w:after="0" w:line="240" w:lineRule="auto"/>
        <w:rPr>
          <w:rFonts w:ascii="Times New Roman" w:eastAsia="Symbol" w:hAnsi="Times New Roman"/>
          <w:lang w:val="sk-SK"/>
        </w:rPr>
      </w:pPr>
      <w:r w:rsidRPr="003A5C41">
        <w:rPr>
          <w:rFonts w:ascii="Times New Roman" w:eastAsia="Times New Roman" w:hAnsi="Times New Roman"/>
          <w:i/>
          <w:iCs/>
          <w:lang w:val="sk-SK"/>
        </w:rPr>
        <w:t>Trombocytopénia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5"/>
        <w:gridCol w:w="4777"/>
      </w:tblGrid>
      <w:tr w:rsidR="0054571F" w:rsidRPr="003A5C41" w14:paraId="3644AE84" w14:textId="77777777" w:rsidTr="00AC65A1">
        <w:tc>
          <w:tcPr>
            <w:tcW w:w="4637" w:type="dxa"/>
            <w:shd w:val="clear" w:color="auto" w:fill="auto"/>
          </w:tcPr>
          <w:p w14:paraId="4A2A6B6F" w14:textId="6B266525" w:rsidR="0054571F" w:rsidRPr="003A5C41" w:rsidRDefault="0086527B" w:rsidP="00AC65A1">
            <w:pPr>
              <w:ind w:left="0" w:firstLine="0"/>
              <w:rPr>
                <w:szCs w:val="22"/>
              </w:rPr>
            </w:pPr>
            <w:r>
              <w:rPr>
                <w:szCs w:val="22"/>
              </w:rPr>
              <w:t>Keď t</w:t>
            </w:r>
            <w:r w:rsidR="0054571F" w:rsidRPr="003A5C41">
              <w:rPr>
                <w:szCs w:val="22"/>
              </w:rPr>
              <w:t>rombocyty</w:t>
            </w:r>
          </w:p>
        </w:tc>
        <w:tc>
          <w:tcPr>
            <w:tcW w:w="5286" w:type="dxa"/>
            <w:shd w:val="clear" w:color="auto" w:fill="auto"/>
          </w:tcPr>
          <w:p w14:paraId="586859AA" w14:textId="77777777" w:rsidR="0054571F" w:rsidRPr="003A5C41" w:rsidRDefault="0054571F" w:rsidP="00AC65A1">
            <w:pPr>
              <w:ind w:left="0" w:firstLine="0"/>
              <w:rPr>
                <w:szCs w:val="22"/>
              </w:rPr>
            </w:pPr>
            <w:r w:rsidRPr="003A5C41">
              <w:rPr>
                <w:szCs w:val="22"/>
              </w:rPr>
              <w:t>Odporúčaný postup</w:t>
            </w:r>
          </w:p>
        </w:tc>
      </w:tr>
      <w:tr w:rsidR="0054571F" w:rsidRPr="003A5C41" w14:paraId="4F4BEC21" w14:textId="77777777" w:rsidTr="00AC65A1">
        <w:tc>
          <w:tcPr>
            <w:tcW w:w="4637" w:type="dxa"/>
            <w:shd w:val="clear" w:color="auto" w:fill="auto"/>
          </w:tcPr>
          <w:p w14:paraId="03E7DD0B" w14:textId="3B032D95" w:rsidR="0054571F" w:rsidRPr="003A5C41" w:rsidRDefault="0086527B" w:rsidP="00AC65A1">
            <w:pPr>
              <w:ind w:left="0" w:firstLine="0"/>
              <w:rPr>
                <w:szCs w:val="22"/>
              </w:rPr>
            </w:pPr>
            <w:r>
              <w:rPr>
                <w:szCs w:val="22"/>
              </w:rPr>
              <w:t>p</w:t>
            </w:r>
            <w:r w:rsidR="0054571F" w:rsidRPr="003A5C41">
              <w:rPr>
                <w:szCs w:val="22"/>
              </w:rPr>
              <w:t>rvý</w:t>
            </w:r>
            <w:r>
              <w:rPr>
                <w:szCs w:val="22"/>
              </w:rPr>
              <w:t>krát klesnú</w:t>
            </w:r>
            <w:r w:rsidR="0054571F" w:rsidRPr="003A5C41">
              <w:rPr>
                <w:szCs w:val="22"/>
              </w:rPr>
              <w:t xml:space="preserve"> na &lt; 25 x 10</w:t>
            </w:r>
            <w:r w:rsidR="0054571F" w:rsidRPr="003A5C41">
              <w:rPr>
                <w:szCs w:val="22"/>
                <w:vertAlign w:val="superscript"/>
              </w:rPr>
              <w:t>9</w:t>
            </w:r>
            <w:r w:rsidR="0054571F" w:rsidRPr="003A5C41">
              <w:rPr>
                <w:szCs w:val="22"/>
              </w:rPr>
              <w:t>/l</w:t>
            </w:r>
          </w:p>
          <w:p w14:paraId="71178F5D" w14:textId="03F891C3" w:rsidR="0054571F" w:rsidRPr="003A5C41" w:rsidRDefault="0086527B" w:rsidP="00AC65A1">
            <w:pPr>
              <w:ind w:left="0" w:firstLine="0"/>
              <w:rPr>
                <w:szCs w:val="22"/>
              </w:rPr>
            </w:pPr>
            <w:r>
              <w:rPr>
                <w:szCs w:val="22"/>
              </w:rPr>
              <w:t>vrátia sa</w:t>
            </w:r>
            <w:r w:rsidR="0054571F" w:rsidRPr="003A5C41">
              <w:rPr>
                <w:szCs w:val="22"/>
              </w:rPr>
              <w:t xml:space="preserve"> na ≥ 25 x 10</w:t>
            </w:r>
            <w:r w:rsidR="0054571F" w:rsidRPr="003A5C41">
              <w:rPr>
                <w:szCs w:val="22"/>
                <w:vertAlign w:val="superscript"/>
              </w:rPr>
              <w:t>9</w:t>
            </w:r>
            <w:r w:rsidR="0054571F" w:rsidRPr="003A5C41">
              <w:rPr>
                <w:szCs w:val="22"/>
              </w:rPr>
              <w:t>/l</w:t>
            </w:r>
          </w:p>
        </w:tc>
        <w:tc>
          <w:tcPr>
            <w:tcW w:w="5286" w:type="dxa"/>
            <w:shd w:val="clear" w:color="auto" w:fill="auto"/>
          </w:tcPr>
          <w:p w14:paraId="2FE3CE9C" w14:textId="77777777" w:rsidR="0054571F" w:rsidRPr="003A5C41" w:rsidRDefault="0054571F" w:rsidP="00AC65A1">
            <w:pPr>
              <w:ind w:left="0" w:firstLine="0"/>
              <w:rPr>
                <w:szCs w:val="22"/>
              </w:rPr>
            </w:pPr>
            <w:r w:rsidRPr="003A5C41">
              <w:rPr>
                <w:rFonts w:eastAsia="TimesNewRomanPSMT"/>
                <w:szCs w:val="22"/>
                <w:lang w:eastAsia="en-US"/>
              </w:rPr>
              <w:t>Prerušenie liečby lenalidomidom</w:t>
            </w:r>
          </w:p>
          <w:p w14:paraId="5179F8D5" w14:textId="77777777" w:rsidR="0054571F" w:rsidRPr="003A5C41" w:rsidRDefault="0054571F" w:rsidP="00AC65A1">
            <w:pPr>
              <w:ind w:left="0" w:firstLine="0"/>
              <w:rPr>
                <w:szCs w:val="22"/>
              </w:rPr>
            </w:pPr>
            <w:r w:rsidRPr="003A5C41">
              <w:rPr>
                <w:szCs w:val="22"/>
              </w:rPr>
              <w:t>Pokračovanie liečby lenalidomidom a melfalánom v dávke na úrovni -1</w:t>
            </w:r>
          </w:p>
        </w:tc>
      </w:tr>
      <w:tr w:rsidR="0054571F" w:rsidRPr="003A5C41" w14:paraId="589DC419" w14:textId="77777777" w:rsidTr="00AC65A1">
        <w:tc>
          <w:tcPr>
            <w:tcW w:w="4637" w:type="dxa"/>
            <w:shd w:val="clear" w:color="auto" w:fill="auto"/>
          </w:tcPr>
          <w:p w14:paraId="2EAE8548" w14:textId="77777777" w:rsidR="0054571F" w:rsidRPr="003A5C41" w:rsidRDefault="0054571F" w:rsidP="00AC65A1">
            <w:pPr>
              <w:ind w:left="0" w:firstLine="0"/>
              <w:rPr>
                <w:szCs w:val="22"/>
              </w:rPr>
            </w:pPr>
            <w:r w:rsidRPr="003A5C41">
              <w:rPr>
                <w:szCs w:val="22"/>
              </w:rPr>
              <w:t>každý ďalší pokles pod 30 x 10</w:t>
            </w:r>
            <w:r w:rsidRPr="003A5C41">
              <w:rPr>
                <w:szCs w:val="22"/>
                <w:vertAlign w:val="superscript"/>
              </w:rPr>
              <w:t>9</w:t>
            </w:r>
            <w:r w:rsidRPr="003A5C41">
              <w:rPr>
                <w:szCs w:val="22"/>
              </w:rPr>
              <w:t xml:space="preserve">/l </w:t>
            </w:r>
          </w:p>
          <w:p w14:paraId="783BE615" w14:textId="71FC9724" w:rsidR="0054571F" w:rsidRPr="003A5C41" w:rsidRDefault="0086527B" w:rsidP="00AC65A1">
            <w:pPr>
              <w:ind w:left="0" w:firstLine="0"/>
              <w:rPr>
                <w:szCs w:val="22"/>
              </w:rPr>
            </w:pPr>
            <w:r>
              <w:rPr>
                <w:szCs w:val="22"/>
              </w:rPr>
              <w:t>vrátia sa</w:t>
            </w:r>
            <w:r w:rsidR="0054571F" w:rsidRPr="003A5C41">
              <w:rPr>
                <w:szCs w:val="22"/>
              </w:rPr>
              <w:t xml:space="preserve"> na ≥ 30 x 10</w:t>
            </w:r>
            <w:r w:rsidR="0054571F" w:rsidRPr="003A5C41">
              <w:rPr>
                <w:szCs w:val="22"/>
                <w:vertAlign w:val="superscript"/>
              </w:rPr>
              <w:t>9</w:t>
            </w:r>
            <w:r w:rsidR="0054571F" w:rsidRPr="003A5C41">
              <w:rPr>
                <w:szCs w:val="22"/>
              </w:rPr>
              <w:t>/l</w:t>
            </w:r>
          </w:p>
        </w:tc>
        <w:tc>
          <w:tcPr>
            <w:tcW w:w="5286" w:type="dxa"/>
            <w:shd w:val="clear" w:color="auto" w:fill="auto"/>
          </w:tcPr>
          <w:p w14:paraId="2CF6A60C" w14:textId="77777777" w:rsidR="0054571F" w:rsidRPr="003A5C41" w:rsidRDefault="0054571F" w:rsidP="00AC65A1">
            <w:pPr>
              <w:ind w:left="0" w:firstLine="0"/>
              <w:rPr>
                <w:szCs w:val="22"/>
              </w:rPr>
            </w:pPr>
            <w:r w:rsidRPr="003A5C41">
              <w:rPr>
                <w:rFonts w:eastAsia="TimesNewRomanPSMT"/>
                <w:szCs w:val="22"/>
                <w:lang w:eastAsia="en-US"/>
              </w:rPr>
              <w:t>Prerušenie liečby lenalidomidom</w:t>
            </w:r>
          </w:p>
          <w:p w14:paraId="0D4CDBED" w14:textId="77777777" w:rsidR="0054571F" w:rsidRPr="003A5C41" w:rsidRDefault="0054571F" w:rsidP="00AC65A1">
            <w:pPr>
              <w:ind w:left="0" w:firstLine="0"/>
              <w:rPr>
                <w:szCs w:val="22"/>
              </w:rPr>
            </w:pPr>
            <w:r w:rsidRPr="003A5C41">
              <w:rPr>
                <w:szCs w:val="22"/>
              </w:rPr>
              <w:t xml:space="preserve">Pokračovanie liečby lenalidomidom v dávke </w:t>
            </w:r>
            <w:r w:rsidR="00EB223C" w:rsidRPr="003A5C41">
              <w:rPr>
                <w:szCs w:val="22"/>
              </w:rPr>
              <w:t>najbližšej nižšej úrovne</w:t>
            </w:r>
            <w:r w:rsidRPr="003A5C41">
              <w:rPr>
                <w:szCs w:val="22"/>
              </w:rPr>
              <w:t xml:space="preserve"> (</w:t>
            </w:r>
            <w:r w:rsidR="00EB223C" w:rsidRPr="003A5C41">
              <w:rPr>
                <w:szCs w:val="22"/>
              </w:rPr>
              <w:t>dávka na úrovni</w:t>
            </w:r>
            <w:r w:rsidRPr="003A5C41">
              <w:rPr>
                <w:szCs w:val="22"/>
              </w:rPr>
              <w:t xml:space="preserve"> -2 </w:t>
            </w:r>
            <w:r w:rsidR="00EB223C" w:rsidRPr="003A5C41">
              <w:rPr>
                <w:szCs w:val="22"/>
              </w:rPr>
              <w:t>alebo</w:t>
            </w:r>
            <w:r w:rsidRPr="003A5C41">
              <w:rPr>
                <w:szCs w:val="22"/>
              </w:rPr>
              <w:t xml:space="preserve"> </w:t>
            </w:r>
            <w:r w:rsidR="00EB223C" w:rsidRPr="003A5C41">
              <w:rPr>
                <w:szCs w:val="22"/>
              </w:rPr>
              <w:noBreakHyphen/>
            </w:r>
            <w:r w:rsidRPr="003A5C41">
              <w:rPr>
                <w:szCs w:val="22"/>
              </w:rPr>
              <w:t xml:space="preserve">3) </w:t>
            </w:r>
            <w:r w:rsidR="00EB223C" w:rsidRPr="003A5C41">
              <w:rPr>
                <w:szCs w:val="22"/>
              </w:rPr>
              <w:t>jedenkrát denne</w:t>
            </w:r>
            <w:r w:rsidRPr="003A5C41">
              <w:rPr>
                <w:szCs w:val="22"/>
              </w:rPr>
              <w:t>.</w:t>
            </w:r>
          </w:p>
        </w:tc>
      </w:tr>
    </w:tbl>
    <w:p w14:paraId="3778EB58" w14:textId="77777777" w:rsidR="0054571F" w:rsidRPr="003A5C41" w:rsidRDefault="0054571F" w:rsidP="0054571F">
      <w:pPr>
        <w:pStyle w:val="Odsekzoznamu"/>
        <w:tabs>
          <w:tab w:val="left" w:pos="340"/>
        </w:tabs>
        <w:ind w:left="0"/>
        <w:rPr>
          <w:rFonts w:ascii="Times New Roman" w:hAnsi="Times New Roman"/>
          <w:lang w:val="sk-SK"/>
        </w:rPr>
      </w:pPr>
    </w:p>
    <w:p w14:paraId="34E956E7" w14:textId="77777777" w:rsidR="0054571F" w:rsidRPr="003A5C41" w:rsidRDefault="0054571F" w:rsidP="008A650F">
      <w:pPr>
        <w:pStyle w:val="Odsekzoznamu"/>
        <w:widowControl/>
        <w:numPr>
          <w:ilvl w:val="0"/>
          <w:numId w:val="3"/>
        </w:numPr>
        <w:tabs>
          <w:tab w:val="left" w:pos="340"/>
        </w:tabs>
        <w:spacing w:after="0" w:line="240" w:lineRule="auto"/>
        <w:rPr>
          <w:rFonts w:ascii="Times New Roman" w:hAnsi="Times New Roman"/>
          <w:lang w:val="sk-SK"/>
        </w:rPr>
      </w:pPr>
      <w:r w:rsidRPr="00591275">
        <w:rPr>
          <w:rFonts w:ascii="Times New Roman" w:eastAsia="Times New Roman" w:hAnsi="Times New Roman"/>
          <w:i/>
          <w:iCs/>
          <w:lang w:val="sk-SK"/>
        </w:rPr>
        <w:t>Neu</w:t>
      </w:r>
      <w:r w:rsidRPr="003A5C41">
        <w:rPr>
          <w:rFonts w:ascii="Times New Roman" w:eastAsia="Times New Roman" w:hAnsi="Times New Roman"/>
          <w:i/>
          <w:iCs/>
          <w:lang w:val="sk-SK"/>
        </w:rPr>
        <w:t>trop</w:t>
      </w:r>
      <w:r w:rsidR="003832BE" w:rsidRPr="003A5C41">
        <w:rPr>
          <w:rFonts w:ascii="Times New Roman" w:eastAsia="Times New Roman" w:hAnsi="Times New Roman"/>
          <w:i/>
          <w:iCs/>
          <w:lang w:val="sk-SK"/>
        </w:rPr>
        <w:t>é</w:t>
      </w:r>
      <w:r w:rsidRPr="003A5C41">
        <w:rPr>
          <w:rFonts w:ascii="Times New Roman" w:eastAsia="Times New Roman" w:hAnsi="Times New Roman"/>
          <w:i/>
          <w:iCs/>
          <w:lang w:val="sk-SK"/>
        </w:rPr>
        <w:t>nia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4854"/>
      </w:tblGrid>
      <w:tr w:rsidR="0054571F" w:rsidRPr="003A5C41" w14:paraId="3AFC1F55" w14:textId="77777777" w:rsidTr="00AC65A1">
        <w:tc>
          <w:tcPr>
            <w:tcW w:w="5069" w:type="dxa"/>
            <w:shd w:val="clear" w:color="auto" w:fill="auto"/>
          </w:tcPr>
          <w:p w14:paraId="76B79DC7" w14:textId="023F2DDA" w:rsidR="0054571F" w:rsidRPr="003A5C41" w:rsidRDefault="00591275" w:rsidP="00AC65A1">
            <w:pPr>
              <w:ind w:right="1020"/>
              <w:rPr>
                <w:szCs w:val="22"/>
              </w:rPr>
            </w:pPr>
            <w:r>
              <w:rPr>
                <w:szCs w:val="22"/>
              </w:rPr>
              <w:t>Keď n</w:t>
            </w:r>
            <w:r w:rsidR="003832BE" w:rsidRPr="003A5C41">
              <w:rPr>
                <w:szCs w:val="22"/>
              </w:rPr>
              <w:t>eutrofily</w:t>
            </w:r>
          </w:p>
        </w:tc>
        <w:tc>
          <w:tcPr>
            <w:tcW w:w="4854" w:type="dxa"/>
            <w:shd w:val="clear" w:color="auto" w:fill="auto"/>
          </w:tcPr>
          <w:p w14:paraId="7D2CCE87" w14:textId="77777777" w:rsidR="0054571F" w:rsidRPr="003A5C41" w:rsidRDefault="003832BE" w:rsidP="00AC65A1">
            <w:pPr>
              <w:ind w:right="1020"/>
              <w:rPr>
                <w:szCs w:val="22"/>
              </w:rPr>
            </w:pPr>
            <w:r w:rsidRPr="003A5C41">
              <w:rPr>
                <w:szCs w:val="22"/>
              </w:rPr>
              <w:t>Odporúčaný postup</w:t>
            </w:r>
          </w:p>
        </w:tc>
      </w:tr>
      <w:tr w:rsidR="0054571F" w:rsidRPr="003A5C41" w14:paraId="5B7AFE0A" w14:textId="77777777" w:rsidTr="00AC65A1">
        <w:tc>
          <w:tcPr>
            <w:tcW w:w="5069" w:type="dxa"/>
            <w:shd w:val="clear" w:color="auto" w:fill="auto"/>
          </w:tcPr>
          <w:p w14:paraId="754AD751" w14:textId="4CCEBBB7" w:rsidR="0054571F" w:rsidRPr="003A5C41" w:rsidRDefault="005E26E2" w:rsidP="00AC65A1">
            <w:pPr>
              <w:ind w:left="0" w:firstLine="0"/>
              <w:rPr>
                <w:szCs w:val="22"/>
              </w:rPr>
            </w:pPr>
            <w:r>
              <w:rPr>
                <w:szCs w:val="22"/>
              </w:rPr>
              <w:t>p</w:t>
            </w:r>
            <w:r w:rsidR="003832BE" w:rsidRPr="003A5C41">
              <w:rPr>
                <w:szCs w:val="22"/>
              </w:rPr>
              <w:t>rvý</w:t>
            </w:r>
            <w:r>
              <w:rPr>
                <w:szCs w:val="22"/>
              </w:rPr>
              <w:t>krát klesnú</w:t>
            </w:r>
            <w:r w:rsidR="003832BE" w:rsidRPr="003A5C41">
              <w:rPr>
                <w:szCs w:val="22"/>
              </w:rPr>
              <w:t xml:space="preserve"> na</w:t>
            </w:r>
            <w:r w:rsidR="0054571F" w:rsidRPr="003A5C41">
              <w:rPr>
                <w:szCs w:val="22"/>
              </w:rPr>
              <w:t xml:space="preserve"> &lt;</w:t>
            </w:r>
            <w:r w:rsidR="003832BE" w:rsidRPr="003A5C41">
              <w:rPr>
                <w:szCs w:val="22"/>
              </w:rPr>
              <w:t> </w:t>
            </w:r>
            <w:r w:rsidR="0054571F" w:rsidRPr="003A5C41">
              <w:rPr>
                <w:szCs w:val="22"/>
              </w:rPr>
              <w:t>0</w:t>
            </w:r>
            <w:r w:rsidR="003832BE" w:rsidRPr="003A5C41">
              <w:rPr>
                <w:szCs w:val="22"/>
              </w:rPr>
              <w:t>,</w:t>
            </w:r>
            <w:r w:rsidR="0054571F" w:rsidRPr="003A5C41">
              <w:rPr>
                <w:szCs w:val="22"/>
              </w:rPr>
              <w:t>5</w:t>
            </w:r>
            <w:r w:rsidR="003832BE" w:rsidRPr="003A5C41">
              <w:rPr>
                <w:szCs w:val="22"/>
              </w:rPr>
              <w:t> </w:t>
            </w:r>
            <w:r w:rsidR="0054571F" w:rsidRPr="003A5C41">
              <w:rPr>
                <w:szCs w:val="22"/>
              </w:rPr>
              <w:t>x</w:t>
            </w:r>
            <w:r w:rsidR="003832BE" w:rsidRPr="003A5C41">
              <w:rPr>
                <w:szCs w:val="22"/>
              </w:rPr>
              <w:t> </w:t>
            </w:r>
            <w:r w:rsidR="0054571F" w:rsidRPr="003A5C41">
              <w:rPr>
                <w:szCs w:val="22"/>
              </w:rPr>
              <w:t>10</w:t>
            </w:r>
            <w:r w:rsidR="0054571F" w:rsidRPr="003A5C41">
              <w:rPr>
                <w:szCs w:val="22"/>
                <w:vertAlign w:val="superscript"/>
              </w:rPr>
              <w:t>9</w:t>
            </w:r>
            <w:r w:rsidR="0054571F" w:rsidRPr="003A5C41">
              <w:rPr>
                <w:szCs w:val="22"/>
              </w:rPr>
              <w:t>/</w:t>
            </w:r>
            <w:r w:rsidR="003832BE" w:rsidRPr="003A5C41">
              <w:rPr>
                <w:szCs w:val="22"/>
              </w:rPr>
              <w:t>l</w:t>
            </w:r>
            <w:r w:rsidR="0054571F" w:rsidRPr="003A5C41">
              <w:rPr>
                <w:szCs w:val="22"/>
              </w:rPr>
              <w:t>ª</w:t>
            </w:r>
          </w:p>
          <w:p w14:paraId="53333DA7" w14:textId="32044C2D" w:rsidR="0054571F" w:rsidRPr="003A5C41" w:rsidRDefault="005E26E2" w:rsidP="00AC65A1">
            <w:pPr>
              <w:ind w:left="0" w:firstLine="0"/>
              <w:rPr>
                <w:szCs w:val="22"/>
              </w:rPr>
            </w:pPr>
            <w:r>
              <w:rPr>
                <w:szCs w:val="22"/>
              </w:rPr>
              <w:t>vrátia sa</w:t>
            </w:r>
            <w:r w:rsidR="003832BE" w:rsidRPr="003A5C41">
              <w:rPr>
                <w:szCs w:val="22"/>
              </w:rPr>
              <w:t xml:space="preserve"> na</w:t>
            </w:r>
            <w:r w:rsidR="0054571F" w:rsidRPr="003A5C41">
              <w:rPr>
                <w:szCs w:val="22"/>
              </w:rPr>
              <w:t xml:space="preserve"> ≥</w:t>
            </w:r>
            <w:r w:rsidR="003832BE" w:rsidRPr="003A5C41">
              <w:rPr>
                <w:szCs w:val="22"/>
              </w:rPr>
              <w:t> </w:t>
            </w:r>
            <w:r w:rsidR="0054571F" w:rsidRPr="003A5C41">
              <w:rPr>
                <w:szCs w:val="22"/>
              </w:rPr>
              <w:t>0</w:t>
            </w:r>
            <w:r w:rsidR="003832BE" w:rsidRPr="003A5C41">
              <w:rPr>
                <w:szCs w:val="22"/>
              </w:rPr>
              <w:t>,</w:t>
            </w:r>
            <w:r w:rsidR="0054571F" w:rsidRPr="003A5C41">
              <w:rPr>
                <w:szCs w:val="22"/>
              </w:rPr>
              <w:t>5</w:t>
            </w:r>
            <w:r w:rsidR="003832BE" w:rsidRPr="003A5C41">
              <w:rPr>
                <w:szCs w:val="22"/>
              </w:rPr>
              <w:t> </w:t>
            </w:r>
            <w:r w:rsidR="0054571F" w:rsidRPr="003A5C41">
              <w:rPr>
                <w:szCs w:val="22"/>
              </w:rPr>
              <w:t>x</w:t>
            </w:r>
            <w:r w:rsidR="003832BE" w:rsidRPr="003A5C41">
              <w:rPr>
                <w:szCs w:val="22"/>
              </w:rPr>
              <w:t> </w:t>
            </w:r>
            <w:r w:rsidR="0054571F" w:rsidRPr="003A5C41">
              <w:rPr>
                <w:szCs w:val="22"/>
              </w:rPr>
              <w:t>10</w:t>
            </w:r>
            <w:r w:rsidR="0054571F" w:rsidRPr="003A5C41">
              <w:rPr>
                <w:szCs w:val="22"/>
                <w:vertAlign w:val="superscript"/>
              </w:rPr>
              <w:t>9</w:t>
            </w:r>
            <w:r w:rsidR="0054571F" w:rsidRPr="003A5C41">
              <w:rPr>
                <w:szCs w:val="22"/>
              </w:rPr>
              <w:t>/</w:t>
            </w:r>
            <w:r w:rsidR="003832BE" w:rsidRPr="003A5C41">
              <w:rPr>
                <w:szCs w:val="22"/>
              </w:rPr>
              <w:t>l</w:t>
            </w:r>
            <w:r w:rsidR="00FA49B1" w:rsidRPr="003A5C41">
              <w:rPr>
                <w:szCs w:val="22"/>
              </w:rPr>
              <w:t>,</w:t>
            </w:r>
            <w:r w:rsidR="0054571F" w:rsidRPr="003A5C41">
              <w:rPr>
                <w:szCs w:val="22"/>
              </w:rPr>
              <w:t xml:space="preserve"> </w:t>
            </w:r>
            <w:r w:rsidR="003832BE" w:rsidRPr="003A5C41">
              <w:rPr>
                <w:szCs w:val="22"/>
              </w:rPr>
              <w:t>keď je neutropénia jedinou pozorovanou toxicitou</w:t>
            </w:r>
          </w:p>
        </w:tc>
        <w:tc>
          <w:tcPr>
            <w:tcW w:w="4854" w:type="dxa"/>
            <w:shd w:val="clear" w:color="auto" w:fill="auto"/>
          </w:tcPr>
          <w:p w14:paraId="6FD119FD" w14:textId="77777777" w:rsidR="003832BE" w:rsidRPr="003A5C41" w:rsidRDefault="003832BE" w:rsidP="00AC65A1">
            <w:pPr>
              <w:tabs>
                <w:tab w:val="left" w:pos="0"/>
              </w:tabs>
              <w:ind w:left="0" w:firstLine="0"/>
              <w:rPr>
                <w:szCs w:val="22"/>
              </w:rPr>
            </w:pPr>
            <w:r w:rsidRPr="003A5C41">
              <w:rPr>
                <w:rFonts w:eastAsia="TimesNewRomanPSMT"/>
                <w:szCs w:val="22"/>
                <w:lang w:eastAsia="en-US"/>
              </w:rPr>
              <w:t>Prerušenie liečby lenalidomidom</w:t>
            </w:r>
          </w:p>
          <w:p w14:paraId="43DEF572" w14:textId="77777777" w:rsidR="0054571F" w:rsidRPr="003A5C41" w:rsidRDefault="003832BE" w:rsidP="00AC65A1">
            <w:pPr>
              <w:tabs>
                <w:tab w:val="left" w:pos="0"/>
                <w:tab w:val="left" w:pos="3609"/>
              </w:tabs>
              <w:ind w:left="0" w:right="1020" w:firstLine="0"/>
              <w:rPr>
                <w:szCs w:val="22"/>
              </w:rPr>
            </w:pPr>
            <w:r w:rsidRPr="003A5C41">
              <w:rPr>
                <w:szCs w:val="22"/>
              </w:rPr>
              <w:t>Pokračovanie liečby lenalidomidom v začiatočnej dávke jedenkrát denne</w:t>
            </w:r>
          </w:p>
        </w:tc>
      </w:tr>
      <w:tr w:rsidR="0054571F" w:rsidRPr="003A5C41" w14:paraId="1BB35A2E" w14:textId="77777777" w:rsidTr="00AC65A1">
        <w:tc>
          <w:tcPr>
            <w:tcW w:w="5069" w:type="dxa"/>
            <w:shd w:val="clear" w:color="auto" w:fill="auto"/>
          </w:tcPr>
          <w:p w14:paraId="1870A77E" w14:textId="69EB2C04" w:rsidR="0054571F" w:rsidRPr="003A5C41" w:rsidRDefault="005E26E2" w:rsidP="00AC65A1">
            <w:pPr>
              <w:ind w:left="0" w:firstLine="0"/>
              <w:rPr>
                <w:szCs w:val="22"/>
              </w:rPr>
            </w:pPr>
            <w:r>
              <w:rPr>
                <w:szCs w:val="22"/>
              </w:rPr>
              <w:t>vrátia sa</w:t>
            </w:r>
            <w:r w:rsidR="003832BE" w:rsidRPr="003A5C41">
              <w:rPr>
                <w:szCs w:val="22"/>
              </w:rPr>
              <w:t xml:space="preserve"> na</w:t>
            </w:r>
            <w:r w:rsidR="0054571F" w:rsidRPr="003A5C41">
              <w:rPr>
                <w:szCs w:val="22"/>
              </w:rPr>
              <w:t xml:space="preserve"> ≥</w:t>
            </w:r>
            <w:r w:rsidR="003832BE" w:rsidRPr="003A5C41">
              <w:rPr>
                <w:szCs w:val="22"/>
              </w:rPr>
              <w:t> </w:t>
            </w:r>
            <w:r w:rsidR="0054571F" w:rsidRPr="003A5C41">
              <w:rPr>
                <w:szCs w:val="22"/>
              </w:rPr>
              <w:t>0</w:t>
            </w:r>
            <w:r w:rsidR="003832BE" w:rsidRPr="003A5C41">
              <w:rPr>
                <w:szCs w:val="22"/>
              </w:rPr>
              <w:t>,</w:t>
            </w:r>
            <w:r w:rsidR="0054571F" w:rsidRPr="003A5C41">
              <w:rPr>
                <w:szCs w:val="22"/>
              </w:rPr>
              <w:t>5</w:t>
            </w:r>
            <w:r w:rsidR="003832BE" w:rsidRPr="003A5C41">
              <w:rPr>
                <w:szCs w:val="22"/>
              </w:rPr>
              <w:t> </w:t>
            </w:r>
            <w:r w:rsidR="0054571F" w:rsidRPr="003A5C41">
              <w:rPr>
                <w:szCs w:val="22"/>
              </w:rPr>
              <w:t>x</w:t>
            </w:r>
            <w:r w:rsidR="003832BE" w:rsidRPr="003A5C41">
              <w:rPr>
                <w:szCs w:val="22"/>
              </w:rPr>
              <w:t> </w:t>
            </w:r>
            <w:r w:rsidR="0054571F" w:rsidRPr="003A5C41">
              <w:rPr>
                <w:szCs w:val="22"/>
              </w:rPr>
              <w:t>10</w:t>
            </w:r>
            <w:r w:rsidR="0054571F" w:rsidRPr="003A5C41">
              <w:rPr>
                <w:szCs w:val="22"/>
                <w:vertAlign w:val="superscript"/>
              </w:rPr>
              <w:t>9</w:t>
            </w:r>
            <w:r w:rsidR="0054571F" w:rsidRPr="003A5C41">
              <w:rPr>
                <w:szCs w:val="22"/>
              </w:rPr>
              <w:t>/</w:t>
            </w:r>
            <w:r w:rsidR="003832BE" w:rsidRPr="003A5C41">
              <w:rPr>
                <w:szCs w:val="22"/>
              </w:rPr>
              <w:t>l</w:t>
            </w:r>
            <w:r w:rsidR="00FA49B1" w:rsidRPr="003A5C41">
              <w:rPr>
                <w:szCs w:val="22"/>
              </w:rPr>
              <w:t>,</w:t>
            </w:r>
            <w:r w:rsidR="0054571F" w:rsidRPr="003A5C41">
              <w:rPr>
                <w:szCs w:val="22"/>
              </w:rPr>
              <w:t xml:space="preserve"> </w:t>
            </w:r>
            <w:r w:rsidR="003832BE" w:rsidRPr="003A5C41">
              <w:rPr>
                <w:szCs w:val="22"/>
              </w:rPr>
              <w:t>keď sa pozorujú iné, od dávky závislé hematologické toxicity ako neutropénia</w:t>
            </w:r>
          </w:p>
        </w:tc>
        <w:tc>
          <w:tcPr>
            <w:tcW w:w="4854" w:type="dxa"/>
            <w:shd w:val="clear" w:color="auto" w:fill="auto"/>
          </w:tcPr>
          <w:p w14:paraId="34D648CB" w14:textId="77777777" w:rsidR="0054571F" w:rsidRPr="003A5C41" w:rsidRDefault="003832BE" w:rsidP="00AC65A1">
            <w:pPr>
              <w:tabs>
                <w:tab w:val="left" w:pos="0"/>
              </w:tabs>
              <w:ind w:left="0" w:right="1020" w:firstLine="0"/>
              <w:rPr>
                <w:szCs w:val="22"/>
              </w:rPr>
            </w:pPr>
            <w:r w:rsidRPr="003A5C41">
              <w:rPr>
                <w:rFonts w:eastAsia="TimesNewRomanPSMT"/>
                <w:szCs w:val="22"/>
                <w:lang w:eastAsia="en-US"/>
              </w:rPr>
              <w:t>Pokračovanie liečby lenalidomidom v dávke na úrovni -1 jedenkrát denne</w:t>
            </w:r>
          </w:p>
        </w:tc>
      </w:tr>
      <w:tr w:rsidR="0054571F" w:rsidRPr="003A5C41" w14:paraId="1970E01B" w14:textId="77777777" w:rsidTr="00AC65A1">
        <w:tc>
          <w:tcPr>
            <w:tcW w:w="5069" w:type="dxa"/>
            <w:shd w:val="clear" w:color="auto" w:fill="auto"/>
          </w:tcPr>
          <w:p w14:paraId="4A9766A9" w14:textId="77777777" w:rsidR="003832BE" w:rsidRPr="003A5C41" w:rsidRDefault="003832BE" w:rsidP="00AC65A1">
            <w:pPr>
              <w:ind w:left="0" w:firstLine="0"/>
              <w:rPr>
                <w:szCs w:val="22"/>
              </w:rPr>
            </w:pPr>
            <w:r w:rsidRPr="003A5C41">
              <w:rPr>
                <w:szCs w:val="22"/>
              </w:rPr>
              <w:t xml:space="preserve">každý ďalší pokles pod </w:t>
            </w:r>
            <w:r w:rsidR="0054571F" w:rsidRPr="003A5C41">
              <w:rPr>
                <w:szCs w:val="22"/>
              </w:rPr>
              <w:t>&lt;</w:t>
            </w:r>
            <w:r w:rsidRPr="003A5C41">
              <w:rPr>
                <w:szCs w:val="22"/>
              </w:rPr>
              <w:t> </w:t>
            </w:r>
            <w:r w:rsidR="0054571F" w:rsidRPr="003A5C41">
              <w:rPr>
                <w:szCs w:val="22"/>
              </w:rPr>
              <w:t>0</w:t>
            </w:r>
            <w:r w:rsidRPr="003A5C41">
              <w:rPr>
                <w:szCs w:val="22"/>
              </w:rPr>
              <w:t>,</w:t>
            </w:r>
            <w:r w:rsidR="0054571F" w:rsidRPr="003A5C41">
              <w:rPr>
                <w:szCs w:val="22"/>
              </w:rPr>
              <w:t>5</w:t>
            </w:r>
            <w:r w:rsidRPr="003A5C41">
              <w:rPr>
                <w:szCs w:val="22"/>
              </w:rPr>
              <w:t> </w:t>
            </w:r>
            <w:r w:rsidR="0054571F" w:rsidRPr="003A5C41">
              <w:rPr>
                <w:szCs w:val="22"/>
              </w:rPr>
              <w:t>x</w:t>
            </w:r>
            <w:r w:rsidRPr="003A5C41">
              <w:rPr>
                <w:szCs w:val="22"/>
              </w:rPr>
              <w:t> </w:t>
            </w:r>
            <w:r w:rsidR="0054571F" w:rsidRPr="003A5C41">
              <w:rPr>
                <w:szCs w:val="22"/>
              </w:rPr>
              <w:t>10</w:t>
            </w:r>
            <w:r w:rsidR="0054571F" w:rsidRPr="003A5C41">
              <w:rPr>
                <w:szCs w:val="22"/>
                <w:vertAlign w:val="superscript"/>
              </w:rPr>
              <w:t>9</w:t>
            </w:r>
            <w:r w:rsidR="0054571F" w:rsidRPr="003A5C41">
              <w:rPr>
                <w:szCs w:val="22"/>
              </w:rPr>
              <w:t>/</w:t>
            </w:r>
            <w:r w:rsidRPr="003A5C41">
              <w:rPr>
                <w:szCs w:val="22"/>
              </w:rPr>
              <w:t>l</w:t>
            </w:r>
          </w:p>
          <w:p w14:paraId="2D4A33F8" w14:textId="7E049534" w:rsidR="0054571F" w:rsidRPr="003A5C41" w:rsidRDefault="005E26E2" w:rsidP="00AC65A1">
            <w:pPr>
              <w:ind w:left="0" w:firstLine="0"/>
              <w:rPr>
                <w:szCs w:val="22"/>
              </w:rPr>
            </w:pPr>
            <w:r>
              <w:rPr>
                <w:szCs w:val="22"/>
              </w:rPr>
              <w:t>vrátia sa</w:t>
            </w:r>
            <w:r w:rsidR="003832BE" w:rsidRPr="003A5C41">
              <w:rPr>
                <w:szCs w:val="22"/>
              </w:rPr>
              <w:t xml:space="preserve"> na</w:t>
            </w:r>
            <w:r w:rsidR="0054571F" w:rsidRPr="003A5C41">
              <w:rPr>
                <w:szCs w:val="22"/>
              </w:rPr>
              <w:t xml:space="preserve"> ≥</w:t>
            </w:r>
            <w:r w:rsidR="003832BE" w:rsidRPr="003A5C41">
              <w:rPr>
                <w:szCs w:val="22"/>
              </w:rPr>
              <w:t> </w:t>
            </w:r>
            <w:r w:rsidR="0054571F" w:rsidRPr="003A5C41">
              <w:rPr>
                <w:szCs w:val="22"/>
              </w:rPr>
              <w:t>0</w:t>
            </w:r>
            <w:r w:rsidR="003832BE" w:rsidRPr="003A5C41">
              <w:rPr>
                <w:szCs w:val="22"/>
              </w:rPr>
              <w:t>,</w:t>
            </w:r>
            <w:r w:rsidR="0054571F" w:rsidRPr="003A5C41">
              <w:rPr>
                <w:szCs w:val="22"/>
              </w:rPr>
              <w:t>5</w:t>
            </w:r>
            <w:r w:rsidR="003832BE" w:rsidRPr="003A5C41">
              <w:rPr>
                <w:szCs w:val="22"/>
              </w:rPr>
              <w:t> </w:t>
            </w:r>
            <w:r w:rsidR="0054571F" w:rsidRPr="003A5C41">
              <w:rPr>
                <w:szCs w:val="22"/>
              </w:rPr>
              <w:t>x</w:t>
            </w:r>
            <w:r w:rsidR="003832BE" w:rsidRPr="003A5C41">
              <w:rPr>
                <w:szCs w:val="22"/>
              </w:rPr>
              <w:t> </w:t>
            </w:r>
            <w:r w:rsidR="0054571F" w:rsidRPr="003A5C41">
              <w:rPr>
                <w:szCs w:val="22"/>
              </w:rPr>
              <w:t>10</w:t>
            </w:r>
            <w:r w:rsidR="0054571F" w:rsidRPr="003A5C41">
              <w:rPr>
                <w:szCs w:val="22"/>
                <w:vertAlign w:val="superscript"/>
              </w:rPr>
              <w:t>9</w:t>
            </w:r>
            <w:r w:rsidR="0054571F" w:rsidRPr="003A5C41">
              <w:rPr>
                <w:szCs w:val="22"/>
              </w:rPr>
              <w:t>/</w:t>
            </w:r>
            <w:r w:rsidR="003832BE" w:rsidRPr="003A5C41">
              <w:rPr>
                <w:szCs w:val="22"/>
              </w:rPr>
              <w:t>l</w:t>
            </w:r>
          </w:p>
        </w:tc>
        <w:tc>
          <w:tcPr>
            <w:tcW w:w="4854" w:type="dxa"/>
            <w:shd w:val="clear" w:color="auto" w:fill="auto"/>
          </w:tcPr>
          <w:p w14:paraId="12B86B04" w14:textId="77777777" w:rsidR="003832BE" w:rsidRPr="003A5C41" w:rsidRDefault="003832BE" w:rsidP="00AC65A1">
            <w:pPr>
              <w:tabs>
                <w:tab w:val="left" w:pos="0"/>
              </w:tabs>
              <w:ind w:left="0" w:firstLine="0"/>
              <w:rPr>
                <w:szCs w:val="22"/>
              </w:rPr>
            </w:pPr>
            <w:r w:rsidRPr="003A5C41">
              <w:rPr>
                <w:rFonts w:eastAsia="TimesNewRomanPSMT"/>
                <w:szCs w:val="22"/>
                <w:lang w:eastAsia="en-US"/>
              </w:rPr>
              <w:t>Prerušenie liečby lenalidomidom</w:t>
            </w:r>
          </w:p>
          <w:p w14:paraId="47EE3B97" w14:textId="77777777" w:rsidR="0054571F" w:rsidRPr="003A5C41" w:rsidRDefault="003832BE" w:rsidP="00AC65A1">
            <w:pPr>
              <w:tabs>
                <w:tab w:val="left" w:pos="0"/>
              </w:tabs>
              <w:ind w:left="0" w:right="1020" w:firstLine="0"/>
              <w:rPr>
                <w:szCs w:val="22"/>
              </w:rPr>
            </w:pPr>
            <w:r w:rsidRPr="003A5C41">
              <w:rPr>
                <w:rFonts w:eastAsia="TimesNewRomanPSMT"/>
                <w:szCs w:val="22"/>
                <w:lang w:eastAsia="en-US"/>
              </w:rPr>
              <w:t>Pokračovanie liečby lenalidomidom v dávke najbližšej nižšej úrovne jedenkrát denne</w:t>
            </w:r>
          </w:p>
        </w:tc>
      </w:tr>
    </w:tbl>
    <w:p w14:paraId="1A5233E4" w14:textId="77777777" w:rsidR="000D5CD0" w:rsidRPr="003A5C41" w:rsidRDefault="003832BE" w:rsidP="003832BE">
      <w:pPr>
        <w:autoSpaceDE w:val="0"/>
        <w:autoSpaceDN w:val="0"/>
        <w:adjustRightInd w:val="0"/>
        <w:ind w:left="0" w:firstLine="0"/>
        <w:rPr>
          <w:rFonts w:eastAsia="TimesNewRomanPSMT"/>
          <w:sz w:val="18"/>
          <w:szCs w:val="18"/>
          <w:lang w:eastAsia="en-US"/>
        </w:rPr>
      </w:pPr>
      <w:r w:rsidRPr="003A5C41">
        <w:rPr>
          <w:rFonts w:eastAsia="TimesNewRomanPSMT"/>
          <w:sz w:val="18"/>
          <w:szCs w:val="18"/>
          <w:lang w:eastAsia="en-US"/>
        </w:rPr>
        <w:t>ªV prípade, že pacient nebol liečený G-CSF, začnite liečbu G-CSF. V deň 1 nasledujúceho cyklu, pokračujte v podávaní G</w:t>
      </w:r>
      <w:r w:rsidRPr="003A5C41">
        <w:rPr>
          <w:rFonts w:eastAsia="TimesNewRomanPSMT"/>
          <w:sz w:val="18"/>
          <w:szCs w:val="18"/>
          <w:lang w:eastAsia="en-US"/>
        </w:rPr>
        <w:noBreakHyphen/>
        <w:t>CSF podľa potreby a udržujte dávku lenalidomidu v prípade, že neutropénia bola jediná DLT. V opačnom prípade, znížte dávku o jednu úroveň na začiatku nasledujúceho cyklu.</w:t>
      </w:r>
    </w:p>
    <w:p w14:paraId="5E9D81A0" w14:textId="77777777" w:rsidR="000D5CD0" w:rsidRPr="003A5C41" w:rsidRDefault="000D5CD0" w:rsidP="00EC0C9E">
      <w:pPr>
        <w:autoSpaceDE w:val="0"/>
        <w:autoSpaceDN w:val="0"/>
        <w:adjustRightInd w:val="0"/>
        <w:ind w:left="0" w:firstLine="0"/>
        <w:rPr>
          <w:rFonts w:eastAsia="TimesNewRomanPSMT"/>
          <w:szCs w:val="22"/>
          <w:lang w:eastAsia="en-US"/>
        </w:rPr>
      </w:pPr>
    </w:p>
    <w:p w14:paraId="5B82C21F" w14:textId="77777777" w:rsidR="00F80682" w:rsidRPr="003A5C41" w:rsidRDefault="00F80682" w:rsidP="00F80682">
      <w:pPr>
        <w:autoSpaceDE w:val="0"/>
        <w:autoSpaceDN w:val="0"/>
        <w:adjustRightInd w:val="0"/>
        <w:ind w:left="0" w:firstLine="0"/>
        <w:rPr>
          <w:b/>
          <w:iCs/>
          <w:szCs w:val="22"/>
          <w:lang w:eastAsia="en-US"/>
        </w:rPr>
      </w:pPr>
      <w:r w:rsidRPr="003A5C41">
        <w:rPr>
          <w:b/>
          <w:iCs/>
          <w:szCs w:val="22"/>
          <w:lang w:eastAsia="en-US"/>
        </w:rPr>
        <w:t>Mnohopočetný myelóm s aspoň jednou predchádzajúcou liečbou</w:t>
      </w:r>
    </w:p>
    <w:p w14:paraId="425E07C9" w14:textId="77777777" w:rsidR="00F80682" w:rsidRPr="003A5C41" w:rsidRDefault="00F80682" w:rsidP="00F80682">
      <w:pPr>
        <w:autoSpaceDE w:val="0"/>
        <w:autoSpaceDN w:val="0"/>
        <w:adjustRightInd w:val="0"/>
        <w:ind w:left="0" w:firstLine="0"/>
        <w:rPr>
          <w:szCs w:val="22"/>
          <w:lang w:eastAsia="en-US"/>
        </w:rPr>
      </w:pPr>
      <w:r w:rsidRPr="003A5C41">
        <w:rPr>
          <w:rFonts w:eastAsia="TimesNewRomanPSMT"/>
          <w:szCs w:val="22"/>
          <w:lang w:eastAsia="en-US"/>
        </w:rPr>
        <w:t>Liečba lenalidomidom sa nesmie začať, ak je ANC &lt; 1,0 x 10</w:t>
      </w:r>
      <w:r w:rsidRPr="003A5C41">
        <w:rPr>
          <w:szCs w:val="22"/>
          <w:vertAlign w:val="superscript"/>
          <w:lang w:eastAsia="en-US"/>
        </w:rPr>
        <w:t>9</w:t>
      </w:r>
      <w:r w:rsidRPr="003A5C41">
        <w:rPr>
          <w:rFonts w:eastAsia="TimesNewRomanPSMT"/>
          <w:szCs w:val="22"/>
          <w:lang w:eastAsia="en-US"/>
        </w:rPr>
        <w:t xml:space="preserve">/l a/alebo ak je počet trombocytov </w:t>
      </w:r>
      <w:r w:rsidRPr="003A5C41">
        <w:rPr>
          <w:szCs w:val="22"/>
          <w:lang w:eastAsia="en-US"/>
        </w:rPr>
        <w:t>&lt; 75 x 10</w:t>
      </w:r>
      <w:r w:rsidRPr="003A5C41">
        <w:rPr>
          <w:szCs w:val="22"/>
          <w:vertAlign w:val="superscript"/>
          <w:lang w:eastAsia="en-US"/>
        </w:rPr>
        <w:t>9</w:t>
      </w:r>
      <w:r w:rsidRPr="003A5C41">
        <w:rPr>
          <w:rFonts w:eastAsia="TimesNewRomanPSMT"/>
          <w:szCs w:val="22"/>
          <w:lang w:eastAsia="en-US"/>
        </w:rPr>
        <w:t xml:space="preserve">/l alebo, v závislosti od rozsahu infiltrácie kostnej drene plazmatickými bunkami, počet </w:t>
      </w:r>
      <w:r w:rsidRPr="003A5C41">
        <w:rPr>
          <w:szCs w:val="22"/>
          <w:lang w:eastAsia="en-US"/>
        </w:rPr>
        <w:t>trombocytov &lt; 30 x 10</w:t>
      </w:r>
      <w:r w:rsidRPr="003A5C41">
        <w:rPr>
          <w:szCs w:val="22"/>
          <w:vertAlign w:val="superscript"/>
          <w:lang w:eastAsia="en-US"/>
        </w:rPr>
        <w:t>9</w:t>
      </w:r>
      <w:r w:rsidRPr="003A5C41">
        <w:rPr>
          <w:szCs w:val="22"/>
          <w:lang w:eastAsia="en-US"/>
        </w:rPr>
        <w:t>/l.</w:t>
      </w:r>
    </w:p>
    <w:p w14:paraId="2C5D92C5" w14:textId="77777777" w:rsidR="00F80682" w:rsidRPr="003A5C41" w:rsidRDefault="00F80682" w:rsidP="00F80682">
      <w:pPr>
        <w:autoSpaceDE w:val="0"/>
        <w:autoSpaceDN w:val="0"/>
        <w:adjustRightInd w:val="0"/>
        <w:ind w:left="0" w:firstLine="0"/>
        <w:rPr>
          <w:i/>
          <w:iCs/>
          <w:szCs w:val="22"/>
          <w:lang w:eastAsia="en-US"/>
        </w:rPr>
      </w:pPr>
    </w:p>
    <w:p w14:paraId="1CD466DC" w14:textId="77777777" w:rsidR="00F80682" w:rsidRPr="003A5C41" w:rsidRDefault="00F80682" w:rsidP="00F80682">
      <w:pPr>
        <w:autoSpaceDE w:val="0"/>
        <w:autoSpaceDN w:val="0"/>
        <w:adjustRightInd w:val="0"/>
        <w:ind w:left="0" w:firstLine="0"/>
        <w:rPr>
          <w:i/>
          <w:iCs/>
          <w:szCs w:val="22"/>
          <w:lang w:eastAsia="en-US"/>
        </w:rPr>
      </w:pPr>
      <w:r w:rsidRPr="003A5C41">
        <w:rPr>
          <w:i/>
          <w:iCs/>
          <w:szCs w:val="22"/>
          <w:lang w:eastAsia="en-US"/>
        </w:rPr>
        <w:t>Odporúčaná dávka</w:t>
      </w:r>
    </w:p>
    <w:p w14:paraId="1B7AD0DA" w14:textId="77777777" w:rsidR="00F80682" w:rsidRPr="003A5C41" w:rsidRDefault="00F80682" w:rsidP="00F80682">
      <w:pPr>
        <w:autoSpaceDE w:val="0"/>
        <w:autoSpaceDN w:val="0"/>
        <w:adjustRightInd w:val="0"/>
        <w:ind w:left="0" w:firstLine="0"/>
        <w:rPr>
          <w:rFonts w:eastAsia="TimesNewRomanPSMT"/>
          <w:szCs w:val="22"/>
          <w:lang w:eastAsia="en-US"/>
        </w:rPr>
      </w:pPr>
      <w:r w:rsidRPr="003A5C41">
        <w:rPr>
          <w:rFonts w:eastAsia="TimesNewRomanPSMT"/>
          <w:szCs w:val="22"/>
          <w:lang w:eastAsia="en-US"/>
        </w:rPr>
        <w:lastRenderedPageBreak/>
        <w:t>Odporúčaná začiatočná dávka je 25 mg lenalidomidu perorálne jedenkrát denne v 1. až 21. Deň opakovaných 28-dňových cyklov. Odporúčaná dávka dexametazónu je 40 mg perorálne jedenkrát denne v 1. až 4., 9. až 12. a 17. až 20. deň každého 28-dňového cyklu počas prvých 4 cyklov terapie a potom 40 mg denne v 1. až 4. deň každých 28 dní.</w:t>
      </w:r>
    </w:p>
    <w:p w14:paraId="51AB073F" w14:textId="77777777" w:rsidR="000D5CD0" w:rsidRPr="003A5C41" w:rsidRDefault="00F80682" w:rsidP="00F80682">
      <w:pPr>
        <w:autoSpaceDE w:val="0"/>
        <w:autoSpaceDN w:val="0"/>
        <w:adjustRightInd w:val="0"/>
        <w:ind w:left="0" w:firstLine="0"/>
        <w:rPr>
          <w:rFonts w:eastAsia="TimesNewRomanPSMT"/>
          <w:szCs w:val="22"/>
          <w:lang w:eastAsia="en-US"/>
        </w:rPr>
      </w:pPr>
      <w:r w:rsidRPr="003A5C41">
        <w:rPr>
          <w:rFonts w:eastAsia="TimesNewRomanPSMT"/>
          <w:szCs w:val="22"/>
          <w:lang w:eastAsia="en-US"/>
        </w:rPr>
        <w:t xml:space="preserve">Predpisujúci lekári majú starostlivo zhodnotiť, ktorú dávku dexametazónu použiť, pričom treba vziať do </w:t>
      </w:r>
      <w:r w:rsidRPr="003A5C41">
        <w:rPr>
          <w:szCs w:val="22"/>
          <w:lang w:eastAsia="en-US"/>
        </w:rPr>
        <w:t>úvahy zdravotný stav a stav ochorenia pacienta.</w:t>
      </w:r>
    </w:p>
    <w:p w14:paraId="2941E3BD" w14:textId="77777777" w:rsidR="000D5CD0" w:rsidRPr="003A5C41" w:rsidRDefault="000D5CD0" w:rsidP="00EC0C9E">
      <w:pPr>
        <w:autoSpaceDE w:val="0"/>
        <w:autoSpaceDN w:val="0"/>
        <w:adjustRightInd w:val="0"/>
        <w:ind w:left="0" w:firstLine="0"/>
        <w:rPr>
          <w:rFonts w:eastAsia="TimesNewRomanPSMT"/>
          <w:szCs w:val="22"/>
          <w:lang w:eastAsia="en-US"/>
        </w:rPr>
      </w:pPr>
    </w:p>
    <w:p w14:paraId="5FCA9A0E" w14:textId="77777777" w:rsidR="00F80682" w:rsidRPr="003A5C41" w:rsidRDefault="00F80682" w:rsidP="008A650F">
      <w:pPr>
        <w:pStyle w:val="Odsekzoznamu"/>
        <w:widowControl/>
        <w:numPr>
          <w:ilvl w:val="0"/>
          <w:numId w:val="3"/>
        </w:numPr>
        <w:spacing w:after="0" w:line="240" w:lineRule="auto"/>
        <w:rPr>
          <w:rFonts w:ascii="Times New Roman" w:hAnsi="Times New Roman"/>
          <w:i/>
          <w:lang w:val="sk-SK"/>
        </w:rPr>
      </w:pPr>
      <w:r w:rsidRPr="003A5C41">
        <w:rPr>
          <w:rFonts w:ascii="Times New Roman" w:hAnsi="Times New Roman"/>
          <w:i/>
          <w:lang w:val="sk-SK"/>
        </w:rPr>
        <w:t>Kroky pri znižovaní dávky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5478"/>
      </w:tblGrid>
      <w:tr w:rsidR="00F80682" w:rsidRPr="003A5C41" w14:paraId="27CEF3A1" w14:textId="77777777" w:rsidTr="00AC65A1">
        <w:trPr>
          <w:jc w:val="center"/>
        </w:trPr>
        <w:tc>
          <w:tcPr>
            <w:tcW w:w="1977" w:type="pct"/>
            <w:shd w:val="clear" w:color="auto" w:fill="auto"/>
            <w:vAlign w:val="bottom"/>
          </w:tcPr>
          <w:p w14:paraId="7A850777" w14:textId="77777777" w:rsidR="00F80682" w:rsidRPr="003A5C41" w:rsidRDefault="00F80682" w:rsidP="00F80682">
            <w:pPr>
              <w:rPr>
                <w:szCs w:val="22"/>
              </w:rPr>
            </w:pPr>
            <w:r w:rsidRPr="003A5C41">
              <w:rPr>
                <w:szCs w:val="22"/>
              </w:rPr>
              <w:t>Začiatočná dávka</w:t>
            </w:r>
          </w:p>
        </w:tc>
        <w:tc>
          <w:tcPr>
            <w:tcW w:w="3023" w:type="pct"/>
            <w:shd w:val="clear" w:color="auto" w:fill="auto"/>
            <w:vAlign w:val="bottom"/>
          </w:tcPr>
          <w:p w14:paraId="5C7C4E26" w14:textId="77777777" w:rsidR="00F80682" w:rsidRPr="003A5C41" w:rsidRDefault="00F80682" w:rsidP="00AC65A1">
            <w:pPr>
              <w:jc w:val="center"/>
              <w:rPr>
                <w:szCs w:val="22"/>
              </w:rPr>
            </w:pPr>
            <w:r w:rsidRPr="003A5C41">
              <w:rPr>
                <w:szCs w:val="22"/>
              </w:rPr>
              <w:t>25 mg</w:t>
            </w:r>
          </w:p>
        </w:tc>
      </w:tr>
      <w:tr w:rsidR="00F80682" w:rsidRPr="003A5C41" w14:paraId="0C0ABC7D" w14:textId="77777777" w:rsidTr="00AC65A1">
        <w:trPr>
          <w:jc w:val="center"/>
        </w:trPr>
        <w:tc>
          <w:tcPr>
            <w:tcW w:w="1977" w:type="pct"/>
            <w:shd w:val="clear" w:color="auto" w:fill="auto"/>
            <w:vAlign w:val="bottom"/>
          </w:tcPr>
          <w:p w14:paraId="49652993" w14:textId="77777777" w:rsidR="00F80682" w:rsidRPr="003A5C41" w:rsidRDefault="00F80682" w:rsidP="00F80682">
            <w:pPr>
              <w:rPr>
                <w:szCs w:val="22"/>
              </w:rPr>
            </w:pPr>
            <w:r w:rsidRPr="003A5C41">
              <w:rPr>
                <w:szCs w:val="22"/>
              </w:rPr>
              <w:t>Dávka na úrovni -1</w:t>
            </w:r>
          </w:p>
        </w:tc>
        <w:tc>
          <w:tcPr>
            <w:tcW w:w="3023" w:type="pct"/>
            <w:shd w:val="clear" w:color="auto" w:fill="auto"/>
            <w:vAlign w:val="bottom"/>
          </w:tcPr>
          <w:p w14:paraId="48F8CE2F" w14:textId="77777777" w:rsidR="00F80682" w:rsidRPr="003A5C41" w:rsidRDefault="00F80682" w:rsidP="00AC65A1">
            <w:pPr>
              <w:jc w:val="center"/>
              <w:rPr>
                <w:szCs w:val="22"/>
              </w:rPr>
            </w:pPr>
            <w:r w:rsidRPr="003A5C41">
              <w:rPr>
                <w:szCs w:val="22"/>
              </w:rPr>
              <w:t>15 mg</w:t>
            </w:r>
          </w:p>
        </w:tc>
      </w:tr>
      <w:tr w:rsidR="00F80682" w:rsidRPr="003A5C41" w14:paraId="408A466E" w14:textId="77777777" w:rsidTr="00AC65A1">
        <w:trPr>
          <w:jc w:val="center"/>
        </w:trPr>
        <w:tc>
          <w:tcPr>
            <w:tcW w:w="1977" w:type="pct"/>
            <w:shd w:val="clear" w:color="auto" w:fill="auto"/>
            <w:vAlign w:val="bottom"/>
          </w:tcPr>
          <w:p w14:paraId="12EDD1F8" w14:textId="77777777" w:rsidR="00F80682" w:rsidRPr="003A5C41" w:rsidRDefault="00F80682" w:rsidP="00AC65A1">
            <w:pPr>
              <w:rPr>
                <w:szCs w:val="22"/>
              </w:rPr>
            </w:pPr>
            <w:r w:rsidRPr="003A5C41">
              <w:rPr>
                <w:szCs w:val="22"/>
              </w:rPr>
              <w:t>Dávka na úrovni -2</w:t>
            </w:r>
          </w:p>
        </w:tc>
        <w:tc>
          <w:tcPr>
            <w:tcW w:w="3023" w:type="pct"/>
            <w:shd w:val="clear" w:color="auto" w:fill="auto"/>
            <w:vAlign w:val="bottom"/>
          </w:tcPr>
          <w:p w14:paraId="489CC04E" w14:textId="77777777" w:rsidR="00F80682" w:rsidRPr="003A5C41" w:rsidRDefault="00F80682" w:rsidP="00AC65A1">
            <w:pPr>
              <w:jc w:val="center"/>
              <w:rPr>
                <w:szCs w:val="22"/>
              </w:rPr>
            </w:pPr>
            <w:r w:rsidRPr="003A5C41">
              <w:rPr>
                <w:szCs w:val="22"/>
              </w:rPr>
              <w:t>10 mg</w:t>
            </w:r>
          </w:p>
        </w:tc>
      </w:tr>
      <w:tr w:rsidR="00F80682" w:rsidRPr="003A5C41" w14:paraId="3D032C57" w14:textId="77777777" w:rsidTr="00AC65A1">
        <w:trPr>
          <w:jc w:val="center"/>
        </w:trPr>
        <w:tc>
          <w:tcPr>
            <w:tcW w:w="1977" w:type="pct"/>
            <w:shd w:val="clear" w:color="auto" w:fill="auto"/>
            <w:vAlign w:val="bottom"/>
          </w:tcPr>
          <w:p w14:paraId="13BCB87D" w14:textId="77777777" w:rsidR="00F80682" w:rsidRPr="003A5C41" w:rsidRDefault="00F80682" w:rsidP="00AC65A1">
            <w:pPr>
              <w:rPr>
                <w:szCs w:val="22"/>
              </w:rPr>
            </w:pPr>
            <w:r w:rsidRPr="003A5C41">
              <w:rPr>
                <w:szCs w:val="22"/>
              </w:rPr>
              <w:t>Dávka na úrovni -3</w:t>
            </w:r>
          </w:p>
        </w:tc>
        <w:tc>
          <w:tcPr>
            <w:tcW w:w="3023" w:type="pct"/>
            <w:shd w:val="clear" w:color="auto" w:fill="auto"/>
            <w:vAlign w:val="bottom"/>
          </w:tcPr>
          <w:p w14:paraId="49FE54AC" w14:textId="77777777" w:rsidR="00F80682" w:rsidRPr="003A5C41" w:rsidRDefault="00F80682" w:rsidP="00AC65A1">
            <w:pPr>
              <w:jc w:val="center"/>
              <w:rPr>
                <w:szCs w:val="22"/>
              </w:rPr>
            </w:pPr>
            <w:r w:rsidRPr="003A5C41">
              <w:rPr>
                <w:szCs w:val="22"/>
              </w:rPr>
              <w:t>5 mg</w:t>
            </w:r>
          </w:p>
        </w:tc>
      </w:tr>
    </w:tbl>
    <w:p w14:paraId="3DC8E7FD" w14:textId="77777777" w:rsidR="00F80682" w:rsidRPr="003A5C41" w:rsidRDefault="00F80682" w:rsidP="00F80682">
      <w:pPr>
        <w:rPr>
          <w:szCs w:val="22"/>
        </w:rPr>
      </w:pPr>
    </w:p>
    <w:p w14:paraId="5F789B57" w14:textId="77777777" w:rsidR="00F80682" w:rsidRPr="003A5C41" w:rsidRDefault="00F80682" w:rsidP="008A650F">
      <w:pPr>
        <w:pStyle w:val="Odsekzoznamu"/>
        <w:widowControl/>
        <w:numPr>
          <w:ilvl w:val="0"/>
          <w:numId w:val="3"/>
        </w:numPr>
        <w:spacing w:after="0" w:line="240" w:lineRule="auto"/>
        <w:rPr>
          <w:rFonts w:ascii="Times New Roman" w:eastAsia="Times New Roman" w:hAnsi="Times New Roman"/>
          <w:i/>
          <w:lang w:val="sk-SK"/>
        </w:rPr>
      </w:pPr>
      <w:r w:rsidRPr="003A5C41">
        <w:rPr>
          <w:rFonts w:ascii="Times New Roman" w:eastAsia="Times New Roman" w:hAnsi="Times New Roman"/>
          <w:i/>
          <w:lang w:val="sk-SK"/>
        </w:rPr>
        <w:t>Trombocytop</w:t>
      </w:r>
      <w:r w:rsidR="00B9649C" w:rsidRPr="003A5C41">
        <w:rPr>
          <w:rFonts w:ascii="Times New Roman" w:eastAsia="Times New Roman" w:hAnsi="Times New Roman"/>
          <w:i/>
          <w:lang w:val="sk-SK"/>
        </w:rPr>
        <w:t>é</w:t>
      </w:r>
      <w:r w:rsidRPr="003A5C41">
        <w:rPr>
          <w:rFonts w:ascii="Times New Roman" w:eastAsia="Times New Roman" w:hAnsi="Times New Roman"/>
          <w:i/>
          <w:lang w:val="sk-SK"/>
        </w:rPr>
        <w:t>nia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4771"/>
      </w:tblGrid>
      <w:tr w:rsidR="00F80682" w:rsidRPr="003A5C41" w14:paraId="2E1980D6" w14:textId="77777777" w:rsidTr="00AC65A1">
        <w:tc>
          <w:tcPr>
            <w:tcW w:w="4422" w:type="dxa"/>
            <w:shd w:val="clear" w:color="auto" w:fill="auto"/>
          </w:tcPr>
          <w:p w14:paraId="30EC4EEB" w14:textId="10DCE07B" w:rsidR="00F80682" w:rsidRPr="003A5C41" w:rsidRDefault="0097463E" w:rsidP="00B9649C">
            <w:pPr>
              <w:rPr>
                <w:szCs w:val="22"/>
              </w:rPr>
            </w:pPr>
            <w:r>
              <w:rPr>
                <w:szCs w:val="22"/>
              </w:rPr>
              <w:t>Keď t</w:t>
            </w:r>
            <w:r w:rsidR="00B9649C" w:rsidRPr="003A5C41">
              <w:rPr>
                <w:szCs w:val="22"/>
              </w:rPr>
              <w:t>rombocyty</w:t>
            </w:r>
          </w:p>
        </w:tc>
        <w:tc>
          <w:tcPr>
            <w:tcW w:w="4898" w:type="dxa"/>
            <w:shd w:val="clear" w:color="auto" w:fill="auto"/>
          </w:tcPr>
          <w:p w14:paraId="749C5FF0" w14:textId="77777777" w:rsidR="00F80682" w:rsidRPr="003A5C41" w:rsidRDefault="00B9649C" w:rsidP="00B9649C">
            <w:pPr>
              <w:rPr>
                <w:szCs w:val="22"/>
              </w:rPr>
            </w:pPr>
            <w:r w:rsidRPr="003A5C41">
              <w:rPr>
                <w:szCs w:val="22"/>
              </w:rPr>
              <w:t>Odporúčaný postup</w:t>
            </w:r>
          </w:p>
        </w:tc>
      </w:tr>
      <w:tr w:rsidR="00F80682" w:rsidRPr="003A5C41" w14:paraId="2DC704E8" w14:textId="77777777" w:rsidTr="00AC65A1">
        <w:tc>
          <w:tcPr>
            <w:tcW w:w="4422" w:type="dxa"/>
            <w:shd w:val="clear" w:color="auto" w:fill="auto"/>
          </w:tcPr>
          <w:p w14:paraId="237054F4" w14:textId="049C9A71" w:rsidR="00F80682" w:rsidRPr="003A5C41" w:rsidRDefault="0097463E" w:rsidP="00AC65A1">
            <w:pPr>
              <w:rPr>
                <w:szCs w:val="22"/>
              </w:rPr>
            </w:pPr>
            <w:r w:rsidRPr="003A5C41">
              <w:rPr>
                <w:szCs w:val="22"/>
              </w:rPr>
              <w:t>P</w:t>
            </w:r>
            <w:r w:rsidR="00B9649C" w:rsidRPr="003A5C41">
              <w:rPr>
                <w:szCs w:val="22"/>
              </w:rPr>
              <w:t>rvý</w:t>
            </w:r>
            <w:r>
              <w:rPr>
                <w:szCs w:val="22"/>
              </w:rPr>
              <w:t>krát klesnú</w:t>
            </w:r>
            <w:r w:rsidR="00B9649C" w:rsidRPr="003A5C41">
              <w:rPr>
                <w:szCs w:val="22"/>
              </w:rPr>
              <w:t xml:space="preserve"> na</w:t>
            </w:r>
            <w:r w:rsidR="00F80682" w:rsidRPr="003A5C41">
              <w:rPr>
                <w:szCs w:val="22"/>
              </w:rPr>
              <w:t xml:space="preserve"> &lt;</w:t>
            </w:r>
            <w:r w:rsidR="00B9649C" w:rsidRPr="003A5C41">
              <w:rPr>
                <w:szCs w:val="22"/>
              </w:rPr>
              <w:t> </w:t>
            </w:r>
            <w:r w:rsidR="00F80682" w:rsidRPr="003A5C41">
              <w:rPr>
                <w:szCs w:val="22"/>
              </w:rPr>
              <w:t>30</w:t>
            </w:r>
            <w:r w:rsidR="00B9649C" w:rsidRPr="003A5C41">
              <w:rPr>
                <w:szCs w:val="22"/>
              </w:rPr>
              <w:t> </w:t>
            </w:r>
            <w:r w:rsidR="00F80682" w:rsidRPr="003A5C41">
              <w:rPr>
                <w:szCs w:val="22"/>
              </w:rPr>
              <w:t>x</w:t>
            </w:r>
            <w:r w:rsidR="00B9649C" w:rsidRPr="003A5C41">
              <w:rPr>
                <w:szCs w:val="22"/>
              </w:rPr>
              <w:t> </w:t>
            </w:r>
            <w:r w:rsidR="00F80682" w:rsidRPr="003A5C41">
              <w:rPr>
                <w:szCs w:val="22"/>
              </w:rPr>
              <w:t>10</w:t>
            </w:r>
            <w:r w:rsidR="00F80682" w:rsidRPr="003A5C41">
              <w:rPr>
                <w:szCs w:val="22"/>
                <w:vertAlign w:val="superscript"/>
              </w:rPr>
              <w:t>9</w:t>
            </w:r>
            <w:r w:rsidR="00F80682" w:rsidRPr="003A5C41">
              <w:rPr>
                <w:szCs w:val="22"/>
              </w:rPr>
              <w:t>/</w:t>
            </w:r>
            <w:r w:rsidR="00B9649C" w:rsidRPr="003A5C41">
              <w:rPr>
                <w:szCs w:val="22"/>
              </w:rPr>
              <w:t>l</w:t>
            </w:r>
          </w:p>
          <w:p w14:paraId="2777EBDC" w14:textId="06DD86AB" w:rsidR="00F80682" w:rsidRPr="003A5C41" w:rsidRDefault="0097463E" w:rsidP="00B9649C">
            <w:pPr>
              <w:rPr>
                <w:szCs w:val="22"/>
              </w:rPr>
            </w:pPr>
            <w:r>
              <w:rPr>
                <w:szCs w:val="22"/>
              </w:rPr>
              <w:t>vrátia sa</w:t>
            </w:r>
            <w:r w:rsidR="00B9649C" w:rsidRPr="003A5C41">
              <w:rPr>
                <w:szCs w:val="22"/>
              </w:rPr>
              <w:t xml:space="preserve"> na ≥ </w:t>
            </w:r>
            <w:r w:rsidR="00F80682" w:rsidRPr="003A5C41">
              <w:rPr>
                <w:szCs w:val="22"/>
              </w:rPr>
              <w:t>30</w:t>
            </w:r>
            <w:r w:rsidR="00B9649C" w:rsidRPr="003A5C41">
              <w:rPr>
                <w:szCs w:val="22"/>
              </w:rPr>
              <w:t> </w:t>
            </w:r>
            <w:r w:rsidR="00F80682" w:rsidRPr="003A5C41">
              <w:rPr>
                <w:szCs w:val="22"/>
              </w:rPr>
              <w:t>x</w:t>
            </w:r>
            <w:r w:rsidR="00B9649C" w:rsidRPr="003A5C41">
              <w:rPr>
                <w:szCs w:val="22"/>
              </w:rPr>
              <w:t> </w:t>
            </w:r>
            <w:r w:rsidR="00F80682" w:rsidRPr="003A5C41">
              <w:rPr>
                <w:szCs w:val="22"/>
              </w:rPr>
              <w:t>10</w:t>
            </w:r>
            <w:r w:rsidR="00F80682" w:rsidRPr="003A5C41">
              <w:rPr>
                <w:szCs w:val="22"/>
                <w:vertAlign w:val="superscript"/>
              </w:rPr>
              <w:t>9</w:t>
            </w:r>
            <w:r w:rsidR="00F80682" w:rsidRPr="003A5C41">
              <w:rPr>
                <w:szCs w:val="22"/>
              </w:rPr>
              <w:t>/</w:t>
            </w:r>
            <w:r w:rsidR="00B9649C" w:rsidRPr="003A5C41">
              <w:rPr>
                <w:szCs w:val="22"/>
              </w:rPr>
              <w:t>l</w:t>
            </w:r>
          </w:p>
        </w:tc>
        <w:tc>
          <w:tcPr>
            <w:tcW w:w="4898" w:type="dxa"/>
            <w:shd w:val="clear" w:color="auto" w:fill="auto"/>
          </w:tcPr>
          <w:p w14:paraId="3EA01AE2" w14:textId="77777777" w:rsidR="00B9649C" w:rsidRPr="003A5C41" w:rsidRDefault="00B9649C" w:rsidP="00AC65A1">
            <w:pPr>
              <w:ind w:left="0" w:firstLine="0"/>
              <w:rPr>
                <w:szCs w:val="22"/>
              </w:rPr>
            </w:pPr>
            <w:r w:rsidRPr="003A5C41">
              <w:rPr>
                <w:rFonts w:eastAsia="TimesNewRomanPSMT"/>
                <w:szCs w:val="22"/>
                <w:lang w:eastAsia="en-US"/>
              </w:rPr>
              <w:t>Prerušenie liečby lenalidomidom</w:t>
            </w:r>
          </w:p>
          <w:p w14:paraId="1F342047" w14:textId="77777777" w:rsidR="00F80682" w:rsidRPr="003A5C41" w:rsidRDefault="00B9649C" w:rsidP="00AC65A1">
            <w:pPr>
              <w:ind w:left="5" w:hanging="5"/>
              <w:rPr>
                <w:szCs w:val="22"/>
              </w:rPr>
            </w:pPr>
            <w:r w:rsidRPr="003A5C41">
              <w:rPr>
                <w:szCs w:val="22"/>
              </w:rPr>
              <w:t>Pokračovanie liečby lenalidomidom v dávke na úrovni -1</w:t>
            </w:r>
          </w:p>
        </w:tc>
      </w:tr>
      <w:tr w:rsidR="00F80682" w:rsidRPr="003A5C41" w14:paraId="6ABF1CDA" w14:textId="77777777" w:rsidTr="00AC65A1">
        <w:tc>
          <w:tcPr>
            <w:tcW w:w="4422" w:type="dxa"/>
            <w:shd w:val="clear" w:color="auto" w:fill="auto"/>
          </w:tcPr>
          <w:p w14:paraId="47140C33" w14:textId="77777777" w:rsidR="00665082" w:rsidRPr="003A5C41" w:rsidRDefault="00665082" w:rsidP="00665082">
            <w:pPr>
              <w:rPr>
                <w:szCs w:val="22"/>
              </w:rPr>
            </w:pPr>
            <w:r w:rsidRPr="003A5C41">
              <w:rPr>
                <w:szCs w:val="22"/>
              </w:rPr>
              <w:t xml:space="preserve">každý ďalší pokles pod </w:t>
            </w:r>
            <w:r w:rsidR="00F80682" w:rsidRPr="003A5C41">
              <w:rPr>
                <w:szCs w:val="22"/>
              </w:rPr>
              <w:t>30</w:t>
            </w:r>
            <w:r w:rsidRPr="003A5C41">
              <w:rPr>
                <w:szCs w:val="22"/>
              </w:rPr>
              <w:t> </w:t>
            </w:r>
            <w:r w:rsidR="00F80682" w:rsidRPr="003A5C41">
              <w:rPr>
                <w:szCs w:val="22"/>
              </w:rPr>
              <w:t>x</w:t>
            </w:r>
            <w:r w:rsidRPr="003A5C41">
              <w:rPr>
                <w:szCs w:val="22"/>
              </w:rPr>
              <w:t> </w:t>
            </w:r>
            <w:r w:rsidR="00F80682" w:rsidRPr="003A5C41">
              <w:rPr>
                <w:szCs w:val="22"/>
              </w:rPr>
              <w:t>10</w:t>
            </w:r>
            <w:r w:rsidR="00F80682" w:rsidRPr="003A5C41">
              <w:rPr>
                <w:szCs w:val="22"/>
                <w:vertAlign w:val="superscript"/>
              </w:rPr>
              <w:t>9</w:t>
            </w:r>
            <w:r w:rsidR="00F80682" w:rsidRPr="003A5C41">
              <w:rPr>
                <w:szCs w:val="22"/>
              </w:rPr>
              <w:t>/</w:t>
            </w:r>
            <w:r w:rsidRPr="003A5C41">
              <w:rPr>
                <w:szCs w:val="22"/>
              </w:rPr>
              <w:t>l</w:t>
            </w:r>
          </w:p>
          <w:p w14:paraId="6724EB26" w14:textId="7B8408A3" w:rsidR="00F80682" w:rsidRPr="003A5C41" w:rsidRDefault="0097463E" w:rsidP="00665082">
            <w:pPr>
              <w:rPr>
                <w:szCs w:val="22"/>
              </w:rPr>
            </w:pPr>
            <w:r>
              <w:rPr>
                <w:szCs w:val="22"/>
              </w:rPr>
              <w:t>vrátia sa</w:t>
            </w:r>
            <w:r w:rsidR="00665082" w:rsidRPr="003A5C41">
              <w:rPr>
                <w:szCs w:val="22"/>
              </w:rPr>
              <w:t xml:space="preserve"> na</w:t>
            </w:r>
            <w:r w:rsidR="00F80682" w:rsidRPr="003A5C41">
              <w:rPr>
                <w:szCs w:val="22"/>
              </w:rPr>
              <w:t xml:space="preserve"> ≥</w:t>
            </w:r>
            <w:r w:rsidR="00665082" w:rsidRPr="003A5C41">
              <w:rPr>
                <w:szCs w:val="22"/>
              </w:rPr>
              <w:t> </w:t>
            </w:r>
            <w:r w:rsidR="00F80682" w:rsidRPr="003A5C41">
              <w:rPr>
                <w:szCs w:val="22"/>
              </w:rPr>
              <w:t>30</w:t>
            </w:r>
            <w:r w:rsidR="00665082" w:rsidRPr="003A5C41">
              <w:rPr>
                <w:szCs w:val="22"/>
              </w:rPr>
              <w:t> </w:t>
            </w:r>
            <w:r w:rsidR="00F80682" w:rsidRPr="003A5C41">
              <w:rPr>
                <w:szCs w:val="22"/>
              </w:rPr>
              <w:t>x</w:t>
            </w:r>
            <w:r w:rsidR="00665082" w:rsidRPr="003A5C41">
              <w:rPr>
                <w:szCs w:val="22"/>
              </w:rPr>
              <w:t> </w:t>
            </w:r>
            <w:r w:rsidR="00F80682" w:rsidRPr="003A5C41">
              <w:rPr>
                <w:szCs w:val="22"/>
              </w:rPr>
              <w:t>10</w:t>
            </w:r>
            <w:r w:rsidR="00F80682" w:rsidRPr="003A5C41">
              <w:rPr>
                <w:szCs w:val="22"/>
                <w:vertAlign w:val="superscript"/>
              </w:rPr>
              <w:t>9</w:t>
            </w:r>
            <w:r w:rsidR="00F80682" w:rsidRPr="003A5C41">
              <w:rPr>
                <w:szCs w:val="22"/>
              </w:rPr>
              <w:t>/</w:t>
            </w:r>
            <w:r w:rsidR="00665082" w:rsidRPr="003A5C41">
              <w:rPr>
                <w:szCs w:val="22"/>
              </w:rPr>
              <w:t>l</w:t>
            </w:r>
          </w:p>
        </w:tc>
        <w:tc>
          <w:tcPr>
            <w:tcW w:w="4898" w:type="dxa"/>
            <w:shd w:val="clear" w:color="auto" w:fill="auto"/>
          </w:tcPr>
          <w:p w14:paraId="0E5DFCDB" w14:textId="77777777" w:rsidR="00665082" w:rsidRPr="003A5C41" w:rsidRDefault="00665082" w:rsidP="00AC65A1">
            <w:pPr>
              <w:ind w:left="0" w:firstLine="0"/>
              <w:rPr>
                <w:szCs w:val="22"/>
              </w:rPr>
            </w:pPr>
            <w:r w:rsidRPr="003A5C41">
              <w:rPr>
                <w:rFonts w:eastAsia="TimesNewRomanPSMT"/>
                <w:szCs w:val="22"/>
                <w:lang w:eastAsia="en-US"/>
              </w:rPr>
              <w:t>Prerušenie liečby lenalidomidom</w:t>
            </w:r>
          </w:p>
          <w:p w14:paraId="46BA0E30" w14:textId="134C501A" w:rsidR="00F80682" w:rsidRPr="003A5C41" w:rsidRDefault="00665082" w:rsidP="00AC65A1">
            <w:pPr>
              <w:ind w:left="0" w:firstLine="0"/>
              <w:rPr>
                <w:szCs w:val="22"/>
              </w:rPr>
            </w:pPr>
            <w:r w:rsidRPr="003A5C41">
              <w:rPr>
                <w:szCs w:val="22"/>
              </w:rPr>
              <w:t xml:space="preserve">Pokračovanie liečby lenalidomidom v dávke najbližšej nižšej úrovne (dávka na úrovni -2 alebo </w:t>
            </w:r>
            <w:r w:rsidRPr="003A5C41">
              <w:rPr>
                <w:szCs w:val="22"/>
              </w:rPr>
              <w:noBreakHyphen/>
              <w:t xml:space="preserve">3) jedenkrát denne. </w:t>
            </w:r>
            <w:r w:rsidR="0097463E" w:rsidRPr="0097463E">
              <w:rPr>
                <w:szCs w:val="22"/>
              </w:rPr>
              <w:t>Nepodávať dávku nižšiu</w:t>
            </w:r>
            <w:r w:rsidRPr="003A5C41">
              <w:rPr>
                <w:szCs w:val="22"/>
              </w:rPr>
              <w:t xml:space="preserve"> ako 5 mg jedenkrát denne.</w:t>
            </w:r>
          </w:p>
        </w:tc>
      </w:tr>
    </w:tbl>
    <w:p w14:paraId="40C2DA18" w14:textId="77777777" w:rsidR="00F80682" w:rsidRPr="003A5C41" w:rsidRDefault="00F80682" w:rsidP="00F80682">
      <w:pPr>
        <w:rPr>
          <w:szCs w:val="22"/>
        </w:rPr>
      </w:pPr>
    </w:p>
    <w:p w14:paraId="0E35B113" w14:textId="77777777" w:rsidR="00F80682" w:rsidRPr="003A5C41" w:rsidRDefault="00F80682" w:rsidP="008A650F">
      <w:pPr>
        <w:pStyle w:val="Odsekzoznamu"/>
        <w:widowControl/>
        <w:numPr>
          <w:ilvl w:val="0"/>
          <w:numId w:val="3"/>
        </w:numPr>
        <w:tabs>
          <w:tab w:val="left" w:pos="340"/>
        </w:tabs>
        <w:spacing w:after="0" w:line="240" w:lineRule="auto"/>
        <w:rPr>
          <w:rFonts w:ascii="Times New Roman" w:hAnsi="Times New Roman"/>
          <w:lang w:val="sk-SK"/>
        </w:rPr>
      </w:pPr>
      <w:r w:rsidRPr="003A5C41">
        <w:rPr>
          <w:rFonts w:ascii="Times New Roman" w:eastAsia="Times New Roman" w:hAnsi="Times New Roman"/>
          <w:i/>
          <w:iCs/>
          <w:lang w:val="sk-SK"/>
        </w:rPr>
        <w:t>Neutrop</w:t>
      </w:r>
      <w:r w:rsidR="007C10D3" w:rsidRPr="003A5C41">
        <w:rPr>
          <w:rFonts w:ascii="Times New Roman" w:eastAsia="Times New Roman" w:hAnsi="Times New Roman"/>
          <w:i/>
          <w:iCs/>
          <w:lang w:val="sk-SK"/>
        </w:rPr>
        <w:t>é</w:t>
      </w:r>
      <w:r w:rsidRPr="003A5C41">
        <w:rPr>
          <w:rFonts w:ascii="Times New Roman" w:eastAsia="Times New Roman" w:hAnsi="Times New Roman"/>
          <w:i/>
          <w:iCs/>
          <w:lang w:val="sk-SK"/>
        </w:rPr>
        <w:t>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19"/>
      </w:tblGrid>
      <w:tr w:rsidR="007C10D3" w:rsidRPr="003A5C41" w14:paraId="026E7C42" w14:textId="77777777" w:rsidTr="00AC65A1">
        <w:tc>
          <w:tcPr>
            <w:tcW w:w="5069" w:type="dxa"/>
            <w:shd w:val="clear" w:color="auto" w:fill="auto"/>
          </w:tcPr>
          <w:p w14:paraId="3CD6DE06" w14:textId="71A9A4B9" w:rsidR="00F80682" w:rsidRPr="003A5C41" w:rsidRDefault="0097463E" w:rsidP="00AC65A1">
            <w:pPr>
              <w:ind w:right="1020"/>
              <w:rPr>
                <w:szCs w:val="22"/>
              </w:rPr>
            </w:pPr>
            <w:r>
              <w:rPr>
                <w:szCs w:val="22"/>
              </w:rPr>
              <w:t>Keď n</w:t>
            </w:r>
            <w:r w:rsidR="007C10D3" w:rsidRPr="003A5C41">
              <w:rPr>
                <w:szCs w:val="22"/>
              </w:rPr>
              <w:t>eutrofily</w:t>
            </w:r>
          </w:p>
        </w:tc>
        <w:tc>
          <w:tcPr>
            <w:tcW w:w="5069" w:type="dxa"/>
            <w:shd w:val="clear" w:color="auto" w:fill="auto"/>
          </w:tcPr>
          <w:p w14:paraId="1A1067E5" w14:textId="77777777" w:rsidR="00F80682" w:rsidRPr="003A5C41" w:rsidRDefault="007C10D3" w:rsidP="00AC65A1">
            <w:pPr>
              <w:ind w:right="1020"/>
              <w:rPr>
                <w:szCs w:val="22"/>
              </w:rPr>
            </w:pPr>
            <w:r w:rsidRPr="003A5C41">
              <w:rPr>
                <w:szCs w:val="22"/>
              </w:rPr>
              <w:t>Odporúčaný postup</w:t>
            </w:r>
          </w:p>
        </w:tc>
      </w:tr>
      <w:tr w:rsidR="007C10D3" w:rsidRPr="003A5C41" w14:paraId="4A61CF07" w14:textId="77777777" w:rsidTr="00AC65A1">
        <w:tc>
          <w:tcPr>
            <w:tcW w:w="5069" w:type="dxa"/>
            <w:shd w:val="clear" w:color="auto" w:fill="auto"/>
          </w:tcPr>
          <w:p w14:paraId="63A1AF10" w14:textId="14213EA7" w:rsidR="00F80682" w:rsidRPr="003A5C41" w:rsidRDefault="0097463E" w:rsidP="00AC65A1">
            <w:pPr>
              <w:rPr>
                <w:szCs w:val="22"/>
              </w:rPr>
            </w:pPr>
            <w:r>
              <w:rPr>
                <w:szCs w:val="22"/>
              </w:rPr>
              <w:t>p</w:t>
            </w:r>
            <w:r w:rsidR="00FA49B1" w:rsidRPr="003A5C41">
              <w:rPr>
                <w:szCs w:val="22"/>
              </w:rPr>
              <w:t>rvý</w:t>
            </w:r>
            <w:r>
              <w:rPr>
                <w:szCs w:val="22"/>
              </w:rPr>
              <w:t>krát klesnú</w:t>
            </w:r>
            <w:r w:rsidR="00FA49B1" w:rsidRPr="003A5C41">
              <w:rPr>
                <w:szCs w:val="22"/>
              </w:rPr>
              <w:t xml:space="preserve"> na</w:t>
            </w:r>
            <w:r w:rsidR="00F80682" w:rsidRPr="003A5C41">
              <w:rPr>
                <w:szCs w:val="22"/>
              </w:rPr>
              <w:t xml:space="preserve"> &lt;</w:t>
            </w:r>
            <w:r w:rsidR="00FA49B1" w:rsidRPr="003A5C41">
              <w:rPr>
                <w:szCs w:val="22"/>
              </w:rPr>
              <w:t> </w:t>
            </w:r>
            <w:r w:rsidR="00F80682" w:rsidRPr="003A5C41">
              <w:rPr>
                <w:szCs w:val="22"/>
              </w:rPr>
              <w:t>0</w:t>
            </w:r>
            <w:r w:rsidR="00FA49B1" w:rsidRPr="003A5C41">
              <w:rPr>
                <w:szCs w:val="22"/>
              </w:rPr>
              <w:t>,</w:t>
            </w:r>
            <w:r w:rsidR="00F80682" w:rsidRPr="003A5C41">
              <w:rPr>
                <w:szCs w:val="22"/>
              </w:rPr>
              <w:t>5</w:t>
            </w:r>
            <w:r w:rsidR="00FA49B1" w:rsidRPr="003A5C41">
              <w:rPr>
                <w:szCs w:val="22"/>
              </w:rPr>
              <w:t> </w:t>
            </w:r>
            <w:r w:rsidR="00F80682" w:rsidRPr="003A5C41">
              <w:rPr>
                <w:szCs w:val="22"/>
              </w:rPr>
              <w:t>x</w:t>
            </w:r>
            <w:r w:rsidR="00FA49B1" w:rsidRPr="003A5C41">
              <w:rPr>
                <w:szCs w:val="22"/>
              </w:rPr>
              <w:t> </w:t>
            </w:r>
            <w:r w:rsidR="00F80682" w:rsidRPr="003A5C41">
              <w:rPr>
                <w:szCs w:val="22"/>
              </w:rPr>
              <w:t>10</w:t>
            </w:r>
            <w:r w:rsidR="00F80682" w:rsidRPr="003A5C41">
              <w:rPr>
                <w:szCs w:val="22"/>
                <w:vertAlign w:val="superscript"/>
              </w:rPr>
              <w:t>9</w:t>
            </w:r>
            <w:r w:rsidR="00F80682" w:rsidRPr="003A5C41">
              <w:rPr>
                <w:szCs w:val="22"/>
              </w:rPr>
              <w:t>/</w:t>
            </w:r>
            <w:r w:rsidR="00FA49B1" w:rsidRPr="003A5C41">
              <w:rPr>
                <w:szCs w:val="22"/>
              </w:rPr>
              <w:t>l</w:t>
            </w:r>
          </w:p>
          <w:p w14:paraId="4CC5F6C5" w14:textId="5A6D4071" w:rsidR="00F80682" w:rsidRPr="003A5C41" w:rsidRDefault="0097463E" w:rsidP="00AC65A1">
            <w:pPr>
              <w:ind w:left="0" w:firstLine="0"/>
              <w:rPr>
                <w:szCs w:val="22"/>
              </w:rPr>
            </w:pPr>
            <w:r>
              <w:rPr>
                <w:szCs w:val="22"/>
              </w:rPr>
              <w:t>vrátia sa</w:t>
            </w:r>
            <w:r w:rsidR="00FA49B1" w:rsidRPr="003A5C41">
              <w:rPr>
                <w:szCs w:val="22"/>
              </w:rPr>
              <w:t xml:space="preserve"> na</w:t>
            </w:r>
            <w:r w:rsidR="00F80682" w:rsidRPr="003A5C41">
              <w:rPr>
                <w:szCs w:val="22"/>
              </w:rPr>
              <w:t xml:space="preserve"> ≥</w:t>
            </w:r>
            <w:r w:rsidR="00FA49B1" w:rsidRPr="003A5C41">
              <w:rPr>
                <w:szCs w:val="22"/>
              </w:rPr>
              <w:t> </w:t>
            </w:r>
            <w:r w:rsidR="00F80682" w:rsidRPr="003A5C41">
              <w:rPr>
                <w:szCs w:val="22"/>
              </w:rPr>
              <w:t>0</w:t>
            </w:r>
            <w:r w:rsidR="00FA49B1" w:rsidRPr="003A5C41">
              <w:rPr>
                <w:szCs w:val="22"/>
              </w:rPr>
              <w:t>,</w:t>
            </w:r>
            <w:r w:rsidR="00F80682" w:rsidRPr="003A5C41">
              <w:rPr>
                <w:szCs w:val="22"/>
              </w:rPr>
              <w:t>5</w:t>
            </w:r>
            <w:r w:rsidR="00FA49B1" w:rsidRPr="003A5C41">
              <w:rPr>
                <w:szCs w:val="22"/>
              </w:rPr>
              <w:t> </w:t>
            </w:r>
            <w:r w:rsidR="00F80682" w:rsidRPr="003A5C41">
              <w:rPr>
                <w:szCs w:val="22"/>
              </w:rPr>
              <w:t>x</w:t>
            </w:r>
            <w:r w:rsidR="00FA49B1" w:rsidRPr="003A5C41">
              <w:rPr>
                <w:szCs w:val="22"/>
              </w:rPr>
              <w:t> </w:t>
            </w:r>
            <w:r w:rsidR="00F80682" w:rsidRPr="003A5C41">
              <w:rPr>
                <w:szCs w:val="22"/>
              </w:rPr>
              <w:t>10</w:t>
            </w:r>
            <w:r w:rsidR="00F80682" w:rsidRPr="003A5C41">
              <w:rPr>
                <w:szCs w:val="22"/>
                <w:vertAlign w:val="superscript"/>
              </w:rPr>
              <w:t>9</w:t>
            </w:r>
            <w:r w:rsidR="00F80682" w:rsidRPr="003A5C41">
              <w:rPr>
                <w:szCs w:val="22"/>
              </w:rPr>
              <w:t>/</w:t>
            </w:r>
            <w:r w:rsidR="00FA49B1" w:rsidRPr="003A5C41">
              <w:rPr>
                <w:szCs w:val="22"/>
              </w:rPr>
              <w:t>l,</w:t>
            </w:r>
            <w:r w:rsidR="00F80682" w:rsidRPr="003A5C41">
              <w:rPr>
                <w:szCs w:val="22"/>
              </w:rPr>
              <w:t xml:space="preserve"> </w:t>
            </w:r>
            <w:r w:rsidR="00FA49B1" w:rsidRPr="003A5C41">
              <w:rPr>
                <w:szCs w:val="22"/>
              </w:rPr>
              <w:t>keď je neutropénia jedinou pozorovanou toxicitou</w:t>
            </w:r>
          </w:p>
        </w:tc>
        <w:tc>
          <w:tcPr>
            <w:tcW w:w="5069" w:type="dxa"/>
            <w:shd w:val="clear" w:color="auto" w:fill="auto"/>
          </w:tcPr>
          <w:p w14:paraId="6198BB02" w14:textId="77777777" w:rsidR="00FA49B1" w:rsidRPr="003A5C41" w:rsidRDefault="00FA49B1" w:rsidP="00AC65A1">
            <w:pPr>
              <w:tabs>
                <w:tab w:val="left" w:pos="0"/>
              </w:tabs>
              <w:ind w:left="0" w:firstLine="0"/>
              <w:rPr>
                <w:szCs w:val="22"/>
              </w:rPr>
            </w:pPr>
            <w:r w:rsidRPr="003A5C41">
              <w:rPr>
                <w:rFonts w:eastAsia="TimesNewRomanPSMT"/>
                <w:szCs w:val="22"/>
                <w:lang w:eastAsia="en-US"/>
              </w:rPr>
              <w:t>Prerušenie liečby lenalidomidom</w:t>
            </w:r>
          </w:p>
          <w:p w14:paraId="3B4B1498" w14:textId="77777777" w:rsidR="00F80682" w:rsidRPr="003A5C41" w:rsidRDefault="00FA49B1" w:rsidP="00AC65A1">
            <w:pPr>
              <w:ind w:left="0" w:right="424" w:firstLine="0"/>
              <w:rPr>
                <w:szCs w:val="22"/>
              </w:rPr>
            </w:pPr>
            <w:r w:rsidRPr="003A5C41">
              <w:rPr>
                <w:szCs w:val="22"/>
              </w:rPr>
              <w:t>Pokračovanie liečby lenalidomidom v začiatočnej dávke jedenkrát denne</w:t>
            </w:r>
          </w:p>
        </w:tc>
      </w:tr>
      <w:tr w:rsidR="007C10D3" w:rsidRPr="003A5C41" w14:paraId="7AC35147" w14:textId="77777777" w:rsidTr="00AC65A1">
        <w:tc>
          <w:tcPr>
            <w:tcW w:w="5069" w:type="dxa"/>
            <w:shd w:val="clear" w:color="auto" w:fill="auto"/>
          </w:tcPr>
          <w:p w14:paraId="25502825" w14:textId="2C4E1C99" w:rsidR="00F80682" w:rsidRPr="003A5C41" w:rsidRDefault="0097463E" w:rsidP="00AC65A1">
            <w:pPr>
              <w:ind w:left="0" w:firstLine="0"/>
              <w:rPr>
                <w:szCs w:val="22"/>
              </w:rPr>
            </w:pPr>
            <w:r>
              <w:rPr>
                <w:szCs w:val="22"/>
              </w:rPr>
              <w:t>vrátia sa</w:t>
            </w:r>
            <w:r w:rsidR="00FA49B1" w:rsidRPr="003A5C41">
              <w:rPr>
                <w:szCs w:val="22"/>
              </w:rPr>
              <w:t xml:space="preserve"> na</w:t>
            </w:r>
            <w:r w:rsidR="00F80682" w:rsidRPr="003A5C41">
              <w:rPr>
                <w:szCs w:val="22"/>
              </w:rPr>
              <w:t xml:space="preserve"> ≥</w:t>
            </w:r>
            <w:r w:rsidR="00FA49B1" w:rsidRPr="003A5C41">
              <w:rPr>
                <w:szCs w:val="22"/>
              </w:rPr>
              <w:t> </w:t>
            </w:r>
            <w:r w:rsidR="00F80682" w:rsidRPr="003A5C41">
              <w:rPr>
                <w:szCs w:val="22"/>
              </w:rPr>
              <w:t>0</w:t>
            </w:r>
            <w:r w:rsidR="00FA49B1" w:rsidRPr="003A5C41">
              <w:rPr>
                <w:szCs w:val="22"/>
              </w:rPr>
              <w:t>,</w:t>
            </w:r>
            <w:r w:rsidR="00F80682" w:rsidRPr="003A5C41">
              <w:rPr>
                <w:szCs w:val="22"/>
              </w:rPr>
              <w:t>5</w:t>
            </w:r>
            <w:r w:rsidR="00FA49B1" w:rsidRPr="003A5C41">
              <w:rPr>
                <w:szCs w:val="22"/>
              </w:rPr>
              <w:t> </w:t>
            </w:r>
            <w:r w:rsidR="00F80682" w:rsidRPr="003A5C41">
              <w:rPr>
                <w:szCs w:val="22"/>
              </w:rPr>
              <w:t>x</w:t>
            </w:r>
            <w:r w:rsidR="00FA49B1" w:rsidRPr="003A5C41">
              <w:rPr>
                <w:szCs w:val="22"/>
              </w:rPr>
              <w:t> </w:t>
            </w:r>
            <w:r w:rsidR="00F80682" w:rsidRPr="003A5C41">
              <w:rPr>
                <w:szCs w:val="22"/>
              </w:rPr>
              <w:t>10</w:t>
            </w:r>
            <w:r w:rsidR="00F80682" w:rsidRPr="003A5C41">
              <w:rPr>
                <w:szCs w:val="22"/>
                <w:vertAlign w:val="superscript"/>
              </w:rPr>
              <w:t>9</w:t>
            </w:r>
            <w:r w:rsidR="00F80682" w:rsidRPr="003A5C41">
              <w:rPr>
                <w:szCs w:val="22"/>
              </w:rPr>
              <w:t>/</w:t>
            </w:r>
            <w:r w:rsidR="00FA49B1" w:rsidRPr="003A5C41">
              <w:rPr>
                <w:szCs w:val="22"/>
              </w:rPr>
              <w:t>l,</w:t>
            </w:r>
            <w:r w:rsidR="00F80682" w:rsidRPr="003A5C41">
              <w:rPr>
                <w:szCs w:val="22"/>
              </w:rPr>
              <w:t xml:space="preserve"> </w:t>
            </w:r>
            <w:r w:rsidR="00FA49B1" w:rsidRPr="003A5C41">
              <w:rPr>
                <w:szCs w:val="22"/>
              </w:rPr>
              <w:t>keď sa pozorujú iné, od dávky závislé hematologické toxicity ako neutropénia</w:t>
            </w:r>
          </w:p>
        </w:tc>
        <w:tc>
          <w:tcPr>
            <w:tcW w:w="5069" w:type="dxa"/>
            <w:shd w:val="clear" w:color="auto" w:fill="auto"/>
          </w:tcPr>
          <w:p w14:paraId="0F20DCCD" w14:textId="77777777" w:rsidR="00F80682" w:rsidRPr="003A5C41" w:rsidRDefault="00FA49B1" w:rsidP="00AC65A1">
            <w:pPr>
              <w:ind w:left="0" w:right="1020" w:firstLine="0"/>
              <w:rPr>
                <w:szCs w:val="22"/>
              </w:rPr>
            </w:pPr>
            <w:r w:rsidRPr="003A5C41">
              <w:rPr>
                <w:szCs w:val="22"/>
              </w:rPr>
              <w:t>Pokračovanie liečby lenalidomidom v dávke na úrovni -1 jedenkrát denne</w:t>
            </w:r>
          </w:p>
        </w:tc>
      </w:tr>
      <w:tr w:rsidR="007C10D3" w:rsidRPr="003A5C41" w14:paraId="4AB3E280" w14:textId="77777777" w:rsidTr="00AC65A1">
        <w:tc>
          <w:tcPr>
            <w:tcW w:w="5069" w:type="dxa"/>
            <w:shd w:val="clear" w:color="auto" w:fill="auto"/>
          </w:tcPr>
          <w:p w14:paraId="32120276" w14:textId="77777777" w:rsidR="00FA49B1" w:rsidRPr="003A5C41" w:rsidRDefault="00FA49B1" w:rsidP="00FA49B1">
            <w:pPr>
              <w:rPr>
                <w:szCs w:val="22"/>
              </w:rPr>
            </w:pPr>
            <w:r w:rsidRPr="003A5C41">
              <w:rPr>
                <w:szCs w:val="22"/>
              </w:rPr>
              <w:t>každý ďalší pokles pod</w:t>
            </w:r>
            <w:r w:rsidR="00F80682" w:rsidRPr="003A5C41">
              <w:rPr>
                <w:szCs w:val="22"/>
              </w:rPr>
              <w:t xml:space="preserve"> &lt;</w:t>
            </w:r>
            <w:r w:rsidRPr="003A5C41">
              <w:rPr>
                <w:szCs w:val="22"/>
              </w:rPr>
              <w:t> </w:t>
            </w:r>
            <w:r w:rsidR="00F80682" w:rsidRPr="003A5C41">
              <w:rPr>
                <w:szCs w:val="22"/>
              </w:rPr>
              <w:t>0</w:t>
            </w:r>
            <w:r w:rsidRPr="003A5C41">
              <w:rPr>
                <w:szCs w:val="22"/>
              </w:rPr>
              <w:t>,</w:t>
            </w:r>
            <w:r w:rsidR="00F80682" w:rsidRPr="003A5C41">
              <w:rPr>
                <w:szCs w:val="22"/>
              </w:rPr>
              <w:t>5</w:t>
            </w:r>
            <w:r w:rsidRPr="003A5C41">
              <w:rPr>
                <w:szCs w:val="22"/>
              </w:rPr>
              <w:t> </w:t>
            </w:r>
            <w:r w:rsidR="00F80682" w:rsidRPr="003A5C41">
              <w:rPr>
                <w:szCs w:val="22"/>
              </w:rPr>
              <w:t>x</w:t>
            </w:r>
            <w:r w:rsidRPr="003A5C41">
              <w:rPr>
                <w:szCs w:val="22"/>
              </w:rPr>
              <w:t> </w:t>
            </w:r>
            <w:r w:rsidR="00F80682" w:rsidRPr="003A5C41">
              <w:rPr>
                <w:szCs w:val="22"/>
              </w:rPr>
              <w:t>10</w:t>
            </w:r>
            <w:r w:rsidR="00F80682" w:rsidRPr="003A5C41">
              <w:rPr>
                <w:szCs w:val="22"/>
                <w:vertAlign w:val="superscript"/>
              </w:rPr>
              <w:t>9</w:t>
            </w:r>
            <w:r w:rsidR="00F80682" w:rsidRPr="003A5C41">
              <w:rPr>
                <w:szCs w:val="22"/>
              </w:rPr>
              <w:t>/</w:t>
            </w:r>
            <w:r w:rsidRPr="003A5C41">
              <w:rPr>
                <w:szCs w:val="22"/>
              </w:rPr>
              <w:t>l</w:t>
            </w:r>
          </w:p>
          <w:p w14:paraId="77F53178" w14:textId="4BABE27D" w:rsidR="00F80682" w:rsidRPr="003A5C41" w:rsidRDefault="0097463E" w:rsidP="00FA49B1">
            <w:pPr>
              <w:rPr>
                <w:szCs w:val="22"/>
              </w:rPr>
            </w:pPr>
            <w:r>
              <w:rPr>
                <w:szCs w:val="22"/>
              </w:rPr>
              <w:t>vrátia sa</w:t>
            </w:r>
            <w:r w:rsidR="00FA49B1" w:rsidRPr="003A5C41">
              <w:rPr>
                <w:szCs w:val="22"/>
              </w:rPr>
              <w:t xml:space="preserve"> na</w:t>
            </w:r>
            <w:r w:rsidR="00F80682" w:rsidRPr="003A5C41">
              <w:rPr>
                <w:szCs w:val="22"/>
              </w:rPr>
              <w:t xml:space="preserve"> ≥</w:t>
            </w:r>
            <w:r w:rsidR="00FA49B1" w:rsidRPr="003A5C41">
              <w:rPr>
                <w:szCs w:val="22"/>
              </w:rPr>
              <w:t> 0,</w:t>
            </w:r>
            <w:r w:rsidR="00F80682" w:rsidRPr="003A5C41">
              <w:rPr>
                <w:szCs w:val="22"/>
              </w:rPr>
              <w:t>5</w:t>
            </w:r>
            <w:r w:rsidR="00FA49B1" w:rsidRPr="003A5C41">
              <w:rPr>
                <w:szCs w:val="22"/>
              </w:rPr>
              <w:t> </w:t>
            </w:r>
            <w:r w:rsidR="00F80682" w:rsidRPr="003A5C41">
              <w:rPr>
                <w:szCs w:val="22"/>
              </w:rPr>
              <w:t>x</w:t>
            </w:r>
            <w:r w:rsidR="00FA49B1" w:rsidRPr="003A5C41">
              <w:rPr>
                <w:szCs w:val="22"/>
              </w:rPr>
              <w:t> </w:t>
            </w:r>
            <w:r w:rsidR="00F80682" w:rsidRPr="003A5C41">
              <w:rPr>
                <w:szCs w:val="22"/>
              </w:rPr>
              <w:t>10</w:t>
            </w:r>
            <w:r w:rsidR="00F80682" w:rsidRPr="003A5C41">
              <w:rPr>
                <w:szCs w:val="22"/>
                <w:vertAlign w:val="superscript"/>
              </w:rPr>
              <w:t>9</w:t>
            </w:r>
            <w:r w:rsidR="00F80682" w:rsidRPr="003A5C41">
              <w:rPr>
                <w:szCs w:val="22"/>
              </w:rPr>
              <w:t>/</w:t>
            </w:r>
            <w:r w:rsidR="00FA49B1" w:rsidRPr="003A5C41">
              <w:rPr>
                <w:szCs w:val="22"/>
              </w:rPr>
              <w:t>l</w:t>
            </w:r>
          </w:p>
        </w:tc>
        <w:tc>
          <w:tcPr>
            <w:tcW w:w="5069" w:type="dxa"/>
            <w:shd w:val="clear" w:color="auto" w:fill="auto"/>
          </w:tcPr>
          <w:p w14:paraId="1477C92C" w14:textId="77777777" w:rsidR="00FA49B1" w:rsidRPr="003A5C41" w:rsidRDefault="00FA49B1" w:rsidP="00AC65A1">
            <w:pPr>
              <w:tabs>
                <w:tab w:val="left" w:pos="0"/>
              </w:tabs>
              <w:ind w:left="0" w:firstLine="0"/>
              <w:rPr>
                <w:szCs w:val="22"/>
              </w:rPr>
            </w:pPr>
            <w:r w:rsidRPr="003A5C41">
              <w:rPr>
                <w:rFonts w:eastAsia="TimesNewRomanPSMT"/>
                <w:szCs w:val="22"/>
                <w:lang w:eastAsia="en-US"/>
              </w:rPr>
              <w:t>Prerušenie liečby lenalidomidom</w:t>
            </w:r>
          </w:p>
          <w:p w14:paraId="526D6B22" w14:textId="1C1CA523" w:rsidR="00F80682" w:rsidRPr="003A5C41" w:rsidRDefault="0020115F" w:rsidP="00AC65A1">
            <w:pPr>
              <w:ind w:left="0" w:right="566" w:firstLine="0"/>
              <w:rPr>
                <w:szCs w:val="22"/>
              </w:rPr>
            </w:pPr>
            <w:r w:rsidRPr="003A5C41">
              <w:rPr>
                <w:szCs w:val="22"/>
              </w:rPr>
              <w:t xml:space="preserve">Pokračovanie liečby lenalidomidom v dávke najbližšej nižšej úrovne (dávka na úrovni -1, -2 alebo </w:t>
            </w:r>
            <w:r w:rsidRPr="003A5C41">
              <w:rPr>
                <w:szCs w:val="22"/>
              </w:rPr>
              <w:noBreakHyphen/>
              <w:t xml:space="preserve">3) jedenkrát denne. </w:t>
            </w:r>
            <w:r w:rsidR="0097463E" w:rsidRPr="0097463E">
              <w:rPr>
                <w:szCs w:val="22"/>
              </w:rPr>
              <w:t>Nepodávať dávku nižšiu</w:t>
            </w:r>
            <w:r w:rsidRPr="003A5C41">
              <w:rPr>
                <w:szCs w:val="22"/>
              </w:rPr>
              <w:t xml:space="preserve"> ako 5 mg jedenkrát denne.</w:t>
            </w:r>
          </w:p>
        </w:tc>
      </w:tr>
    </w:tbl>
    <w:p w14:paraId="72051898" w14:textId="77777777" w:rsidR="00F80682" w:rsidRPr="003A5C41" w:rsidRDefault="00F80682" w:rsidP="00F80682">
      <w:pPr>
        <w:rPr>
          <w:szCs w:val="22"/>
        </w:rPr>
      </w:pPr>
    </w:p>
    <w:p w14:paraId="488D8617" w14:textId="77777777" w:rsidR="00DE6F92" w:rsidRPr="003A5C41" w:rsidRDefault="00DE6F92" w:rsidP="00DE6F92">
      <w:pPr>
        <w:autoSpaceDE w:val="0"/>
        <w:autoSpaceDN w:val="0"/>
        <w:adjustRightInd w:val="0"/>
        <w:ind w:left="0" w:firstLine="0"/>
        <w:rPr>
          <w:i/>
          <w:iCs/>
          <w:szCs w:val="22"/>
          <w:lang w:eastAsia="en-US"/>
        </w:rPr>
      </w:pPr>
      <w:r w:rsidRPr="003A5C41">
        <w:rPr>
          <w:i/>
          <w:iCs/>
          <w:szCs w:val="22"/>
          <w:lang w:eastAsia="en-US"/>
        </w:rPr>
        <w:t>Všetky indikácie</w:t>
      </w:r>
    </w:p>
    <w:p w14:paraId="785DF865" w14:textId="77777777" w:rsidR="00DE6F92" w:rsidRPr="003A5C41" w:rsidRDefault="00DE6F92" w:rsidP="00DE6F92">
      <w:pPr>
        <w:autoSpaceDE w:val="0"/>
        <w:autoSpaceDN w:val="0"/>
        <w:adjustRightInd w:val="0"/>
        <w:ind w:left="0" w:firstLine="0"/>
        <w:rPr>
          <w:rFonts w:eastAsia="TimesNewRomanPSMT"/>
          <w:szCs w:val="22"/>
          <w:lang w:eastAsia="en-US"/>
        </w:rPr>
      </w:pPr>
      <w:r w:rsidRPr="003A5C41">
        <w:rPr>
          <w:rFonts w:eastAsia="TimesNewRomanPSMT"/>
          <w:szCs w:val="22"/>
          <w:lang w:eastAsia="en-US"/>
        </w:rPr>
        <w:t>V prípade iných toxicít 3. alebo 4. stupňa ohodnotených ako súvisiacich s lenalidomidom má byť liečba prerušená a znovu obnovená v najbližšej nižšej úrovni dávky iba keď sa toxicita zmiernila na ≤ 2. Stupeň podľa uváženia lekára.</w:t>
      </w:r>
    </w:p>
    <w:p w14:paraId="480F24F1" w14:textId="77777777" w:rsidR="00DE6F92" w:rsidRPr="003A5C41" w:rsidRDefault="00DE6F92" w:rsidP="00DE6F92">
      <w:pPr>
        <w:autoSpaceDE w:val="0"/>
        <w:autoSpaceDN w:val="0"/>
        <w:adjustRightInd w:val="0"/>
        <w:ind w:left="0" w:firstLine="0"/>
        <w:rPr>
          <w:rFonts w:eastAsia="TimesNewRomanPSMT"/>
          <w:szCs w:val="22"/>
          <w:lang w:eastAsia="en-US"/>
        </w:rPr>
      </w:pPr>
    </w:p>
    <w:p w14:paraId="0808FAE9" w14:textId="77777777" w:rsidR="00DE6F92" w:rsidRPr="003A5C41" w:rsidRDefault="00DE6F92" w:rsidP="00DE6F92">
      <w:pPr>
        <w:autoSpaceDE w:val="0"/>
        <w:autoSpaceDN w:val="0"/>
        <w:adjustRightInd w:val="0"/>
        <w:ind w:left="0" w:firstLine="0"/>
        <w:rPr>
          <w:rFonts w:eastAsia="TimesNewRomanPSMT"/>
          <w:szCs w:val="22"/>
          <w:lang w:eastAsia="en-US"/>
        </w:rPr>
      </w:pPr>
      <w:r w:rsidRPr="003A5C41">
        <w:rPr>
          <w:rFonts w:eastAsia="TimesNewRomanPSMT"/>
          <w:szCs w:val="22"/>
          <w:lang w:eastAsia="en-US"/>
        </w:rPr>
        <w:t>Prerušenie alebo ukončenie liečby lenalidomidom sa má zvážiť pri kožnom výseve 2. alebo 3. stupňa.</w:t>
      </w:r>
    </w:p>
    <w:p w14:paraId="5B8E6973" w14:textId="27708F36" w:rsidR="000D5CD0" w:rsidRPr="003A5C41" w:rsidRDefault="0097463E" w:rsidP="00DE6F92">
      <w:pPr>
        <w:autoSpaceDE w:val="0"/>
        <w:autoSpaceDN w:val="0"/>
        <w:adjustRightInd w:val="0"/>
        <w:ind w:left="0" w:firstLine="0"/>
        <w:rPr>
          <w:rFonts w:eastAsia="TimesNewRomanPSMT"/>
          <w:szCs w:val="22"/>
          <w:lang w:eastAsia="en-US"/>
        </w:rPr>
      </w:pPr>
      <w:r>
        <w:rPr>
          <w:rFonts w:eastAsia="TimesNewRomanPSMT"/>
          <w:szCs w:val="22"/>
          <w:lang w:eastAsia="en-US"/>
        </w:rPr>
        <w:t>Liečba l</w:t>
      </w:r>
      <w:r w:rsidR="00DE6F92" w:rsidRPr="003A5C41">
        <w:rPr>
          <w:rFonts w:eastAsia="TimesNewRomanPSMT"/>
          <w:szCs w:val="22"/>
          <w:lang w:eastAsia="en-US"/>
        </w:rPr>
        <w:t>enalidomid</w:t>
      </w:r>
      <w:r>
        <w:rPr>
          <w:rFonts w:eastAsia="TimesNewRomanPSMT"/>
          <w:szCs w:val="22"/>
          <w:lang w:eastAsia="en-US"/>
        </w:rPr>
        <w:t>om</w:t>
      </w:r>
      <w:r w:rsidR="00DE6F92" w:rsidRPr="003A5C41">
        <w:rPr>
          <w:rFonts w:eastAsia="TimesNewRomanPSMT"/>
          <w:szCs w:val="22"/>
          <w:lang w:eastAsia="en-US"/>
        </w:rPr>
        <w:t xml:space="preserve"> sa musí </w:t>
      </w:r>
      <w:r>
        <w:rPr>
          <w:rFonts w:eastAsia="TimesNewRomanPSMT"/>
          <w:szCs w:val="22"/>
          <w:lang w:eastAsia="en-US"/>
        </w:rPr>
        <w:t>ukončiť</w:t>
      </w:r>
      <w:r w:rsidR="00DE6F92" w:rsidRPr="003A5C41">
        <w:rPr>
          <w:rFonts w:eastAsia="TimesNewRomanPSMT"/>
          <w:szCs w:val="22"/>
          <w:lang w:eastAsia="en-US"/>
        </w:rPr>
        <w:t xml:space="preserve"> pri angioedéme, výseve 4. stupňa, exfoliatívnom alebo bulóznom výseve </w:t>
      </w:r>
      <w:r w:rsidR="00DE6F92" w:rsidRPr="003A5C41">
        <w:rPr>
          <w:szCs w:val="22"/>
          <w:lang w:eastAsia="en-US"/>
        </w:rPr>
        <w:t>alebo pri podozrení na Stevensov-Johnsonov syndróm</w:t>
      </w:r>
      <w:r w:rsidR="0033780B">
        <w:rPr>
          <w:szCs w:val="22"/>
          <w:lang w:eastAsia="en-US"/>
        </w:rPr>
        <w:t xml:space="preserve"> (SJS)</w:t>
      </w:r>
      <w:r w:rsidR="00DE6F92" w:rsidRPr="003A5C41">
        <w:rPr>
          <w:szCs w:val="22"/>
          <w:lang w:eastAsia="en-US"/>
        </w:rPr>
        <w:t xml:space="preserve">, na toxickú epidermálnu nekrolýzu (Toxic epidermal necrolysis, TEN) alebo pri liekovej reakcii s eozinofíliou a systémovými symptómami </w:t>
      </w:r>
      <w:r w:rsidR="00DE6F92" w:rsidRPr="003A5C41">
        <w:rPr>
          <w:rFonts w:eastAsia="TimesNewRomanPSMT"/>
          <w:szCs w:val="22"/>
          <w:lang w:eastAsia="en-US"/>
        </w:rPr>
        <w:t xml:space="preserve">(DRESS) a po </w:t>
      </w:r>
      <w:r w:rsidR="0033780B">
        <w:rPr>
          <w:rFonts w:eastAsia="TimesNewRomanPSMT"/>
          <w:szCs w:val="22"/>
          <w:lang w:eastAsia="en-US"/>
        </w:rPr>
        <w:t>ukončení</w:t>
      </w:r>
      <w:r w:rsidR="00DE6F92" w:rsidRPr="003A5C41">
        <w:rPr>
          <w:rFonts w:eastAsia="TimesNewRomanPSMT"/>
          <w:szCs w:val="22"/>
          <w:lang w:eastAsia="en-US"/>
        </w:rPr>
        <w:t xml:space="preserve"> kvôli týmto reakciám sa nemá liečba opäť znovu obnoviť.</w:t>
      </w:r>
    </w:p>
    <w:p w14:paraId="01705273" w14:textId="77777777" w:rsidR="000D5CD0" w:rsidRPr="003A5C41" w:rsidRDefault="000D5CD0" w:rsidP="00EC0C9E">
      <w:pPr>
        <w:autoSpaceDE w:val="0"/>
        <w:autoSpaceDN w:val="0"/>
        <w:adjustRightInd w:val="0"/>
        <w:ind w:left="0" w:firstLine="0"/>
        <w:rPr>
          <w:rFonts w:eastAsia="TimesNewRomanPSMT"/>
          <w:szCs w:val="22"/>
          <w:lang w:eastAsia="en-US"/>
        </w:rPr>
      </w:pPr>
    </w:p>
    <w:p w14:paraId="4D17A7F2" w14:textId="77777777" w:rsidR="00C06152" w:rsidRPr="003A5C41" w:rsidRDefault="00C06152" w:rsidP="00C06152">
      <w:pPr>
        <w:autoSpaceDE w:val="0"/>
        <w:autoSpaceDN w:val="0"/>
        <w:adjustRightInd w:val="0"/>
        <w:ind w:left="0" w:firstLine="0"/>
        <w:rPr>
          <w:iCs/>
          <w:szCs w:val="22"/>
          <w:u w:val="single"/>
          <w:lang w:eastAsia="en-US"/>
        </w:rPr>
      </w:pPr>
      <w:r w:rsidRPr="003A5C41">
        <w:rPr>
          <w:iCs/>
          <w:szCs w:val="22"/>
          <w:u w:val="single"/>
          <w:lang w:eastAsia="en-US"/>
        </w:rPr>
        <w:t>Osobitné populácie</w:t>
      </w:r>
    </w:p>
    <w:p w14:paraId="1F92C22A" w14:textId="77777777" w:rsidR="00C06152" w:rsidRPr="003A5C41" w:rsidRDefault="00C06152" w:rsidP="00C06152">
      <w:pPr>
        <w:autoSpaceDE w:val="0"/>
        <w:autoSpaceDN w:val="0"/>
        <w:adjustRightInd w:val="0"/>
        <w:ind w:left="0" w:firstLine="0"/>
        <w:rPr>
          <w:szCs w:val="22"/>
          <w:lang w:eastAsia="en-US"/>
        </w:rPr>
      </w:pPr>
    </w:p>
    <w:p w14:paraId="5C2F7CA1" w14:textId="77777777" w:rsidR="00C06152" w:rsidRPr="003A5C41" w:rsidRDefault="00C06152" w:rsidP="00C06152">
      <w:pPr>
        <w:autoSpaceDE w:val="0"/>
        <w:autoSpaceDN w:val="0"/>
        <w:adjustRightInd w:val="0"/>
        <w:ind w:left="0" w:firstLine="0"/>
        <w:rPr>
          <w:i/>
          <w:szCs w:val="22"/>
          <w:lang w:eastAsia="en-US"/>
        </w:rPr>
      </w:pPr>
      <w:r w:rsidRPr="003A5C41">
        <w:rPr>
          <w:i/>
          <w:szCs w:val="22"/>
          <w:lang w:eastAsia="en-US"/>
        </w:rPr>
        <w:t>Pediatrická populácia</w:t>
      </w:r>
    </w:p>
    <w:p w14:paraId="24CD0F3F" w14:textId="51A59F12" w:rsidR="00C06152" w:rsidRPr="003A5C41" w:rsidRDefault="00C06152" w:rsidP="00C06152">
      <w:pPr>
        <w:autoSpaceDE w:val="0"/>
        <w:autoSpaceDN w:val="0"/>
        <w:adjustRightInd w:val="0"/>
        <w:ind w:left="0" w:firstLine="0"/>
        <w:rPr>
          <w:rFonts w:eastAsia="TimesNewRomanPSMT"/>
          <w:szCs w:val="22"/>
          <w:lang w:eastAsia="en-US"/>
        </w:rPr>
      </w:pPr>
      <w:r w:rsidRPr="003A5C41">
        <w:rPr>
          <w:rFonts w:eastAsia="TimesNewRomanPSMT"/>
          <w:szCs w:val="22"/>
          <w:lang w:eastAsia="en-US"/>
        </w:rPr>
        <w:lastRenderedPageBreak/>
        <w:t xml:space="preserve">Lenalidomid </w:t>
      </w:r>
      <w:r w:rsidR="00576DE4">
        <w:rPr>
          <w:rFonts w:eastAsia="TimesNewRomanPSMT"/>
          <w:szCs w:val="22"/>
          <w:lang w:eastAsia="en-US"/>
        </w:rPr>
        <w:t>Synthon</w:t>
      </w:r>
      <w:r w:rsidRPr="003A5C41">
        <w:rPr>
          <w:rFonts w:eastAsia="TimesNewRomanPSMT"/>
          <w:szCs w:val="22"/>
          <w:lang w:eastAsia="en-US"/>
        </w:rPr>
        <w:t xml:space="preserve"> sa nemá používať u detí a dospievajúcich od narodenia do menej ako 18 rokov vzhľadom na bezpečnosť (pozri časť 5.1).</w:t>
      </w:r>
    </w:p>
    <w:p w14:paraId="69CEA6CC" w14:textId="77777777" w:rsidR="00C06152" w:rsidRPr="003A5C41" w:rsidRDefault="00C06152" w:rsidP="00C06152">
      <w:pPr>
        <w:autoSpaceDE w:val="0"/>
        <w:autoSpaceDN w:val="0"/>
        <w:adjustRightInd w:val="0"/>
        <w:ind w:left="0" w:firstLine="0"/>
        <w:rPr>
          <w:rFonts w:eastAsia="SymbolMT"/>
          <w:szCs w:val="22"/>
          <w:lang w:eastAsia="en-US"/>
        </w:rPr>
      </w:pPr>
    </w:p>
    <w:p w14:paraId="37E1C1D1" w14:textId="77777777" w:rsidR="00C06152" w:rsidRPr="003A5C41" w:rsidRDefault="00C06152" w:rsidP="00C06152">
      <w:pPr>
        <w:autoSpaceDE w:val="0"/>
        <w:autoSpaceDN w:val="0"/>
        <w:adjustRightInd w:val="0"/>
        <w:ind w:left="0" w:firstLine="0"/>
        <w:rPr>
          <w:i/>
          <w:szCs w:val="22"/>
          <w:lang w:eastAsia="en-US"/>
        </w:rPr>
      </w:pPr>
      <w:r w:rsidRPr="003A5C41">
        <w:rPr>
          <w:i/>
          <w:szCs w:val="22"/>
          <w:lang w:eastAsia="en-US"/>
        </w:rPr>
        <w:t>Star</w:t>
      </w:r>
      <w:r w:rsidRPr="003A5C41">
        <w:rPr>
          <w:rFonts w:eastAsia="TimesNewRomanPSMT"/>
          <w:i/>
          <w:szCs w:val="22"/>
          <w:lang w:eastAsia="en-US"/>
        </w:rPr>
        <w:t>š</w:t>
      </w:r>
      <w:r w:rsidRPr="003A5C41">
        <w:rPr>
          <w:i/>
          <w:szCs w:val="22"/>
          <w:lang w:eastAsia="en-US"/>
        </w:rPr>
        <w:t>ie osoby</w:t>
      </w:r>
    </w:p>
    <w:p w14:paraId="6AD5435E" w14:textId="77777777" w:rsidR="00C06152" w:rsidRPr="003A5C41" w:rsidRDefault="00C06152" w:rsidP="00C06152">
      <w:pPr>
        <w:autoSpaceDE w:val="0"/>
        <w:autoSpaceDN w:val="0"/>
        <w:adjustRightInd w:val="0"/>
        <w:ind w:left="0" w:firstLine="0"/>
        <w:rPr>
          <w:rFonts w:eastAsia="TimesNewRomanPSMT"/>
          <w:szCs w:val="22"/>
          <w:lang w:eastAsia="en-US"/>
        </w:rPr>
      </w:pPr>
      <w:r w:rsidRPr="003A5C41">
        <w:rPr>
          <w:rFonts w:eastAsia="TimesNewRomanPSMT"/>
          <w:szCs w:val="22"/>
          <w:lang w:eastAsia="en-US"/>
        </w:rPr>
        <w:t>V súčasnosti dostupné farmakokinetické údaje sú popísané v časti 5.2. Lenalidomid sa v klinických skúšaniach používal u pacientov s mnohopočetným myelómom vo veku do 91 rokov (pozri časť 5.1).</w:t>
      </w:r>
    </w:p>
    <w:p w14:paraId="12866231" w14:textId="77777777" w:rsidR="00C06152" w:rsidRPr="003A5C41" w:rsidRDefault="00C06152" w:rsidP="00C06152">
      <w:pPr>
        <w:autoSpaceDE w:val="0"/>
        <w:autoSpaceDN w:val="0"/>
        <w:adjustRightInd w:val="0"/>
        <w:ind w:left="0" w:firstLine="0"/>
        <w:rPr>
          <w:rFonts w:eastAsia="TimesNewRomanPSMT"/>
          <w:szCs w:val="22"/>
          <w:lang w:eastAsia="en-US"/>
        </w:rPr>
      </w:pPr>
    </w:p>
    <w:p w14:paraId="48719AC9" w14:textId="77777777" w:rsidR="00C06152" w:rsidRPr="003A5C41" w:rsidRDefault="00C06152" w:rsidP="00C06152">
      <w:pPr>
        <w:autoSpaceDE w:val="0"/>
        <w:autoSpaceDN w:val="0"/>
        <w:adjustRightInd w:val="0"/>
        <w:ind w:left="0" w:firstLine="0"/>
        <w:rPr>
          <w:rFonts w:eastAsia="TimesNewRomanPSMT"/>
          <w:szCs w:val="22"/>
          <w:lang w:eastAsia="en-US"/>
        </w:rPr>
      </w:pPr>
      <w:r w:rsidRPr="003A5C41">
        <w:rPr>
          <w:rFonts w:eastAsia="TimesNewRomanPSMT"/>
          <w:szCs w:val="22"/>
          <w:lang w:eastAsia="en-US"/>
        </w:rPr>
        <w:t>Keďže u starších pacientov je pravdepodobnejšia znížená funkcia obličiek, odporúča sa starostlivá voľba</w:t>
      </w:r>
      <w:r w:rsidR="008E755F" w:rsidRPr="003A5C41">
        <w:rPr>
          <w:rFonts w:eastAsia="TimesNewRomanPSMT"/>
          <w:szCs w:val="22"/>
          <w:lang w:eastAsia="en-US"/>
        </w:rPr>
        <w:t xml:space="preserve"> </w:t>
      </w:r>
      <w:r w:rsidRPr="003A5C41">
        <w:rPr>
          <w:rFonts w:eastAsia="TimesNewRomanPSMT"/>
          <w:szCs w:val="22"/>
          <w:lang w:eastAsia="en-US"/>
        </w:rPr>
        <w:t>dávkovania a sledovanie činnosti obličiek.</w:t>
      </w:r>
    </w:p>
    <w:p w14:paraId="494BF892" w14:textId="77777777" w:rsidR="008E755F" w:rsidRPr="003A5C41" w:rsidRDefault="008E755F" w:rsidP="00C06152">
      <w:pPr>
        <w:autoSpaceDE w:val="0"/>
        <w:autoSpaceDN w:val="0"/>
        <w:adjustRightInd w:val="0"/>
        <w:ind w:left="0" w:firstLine="0"/>
        <w:rPr>
          <w:rFonts w:eastAsia="TimesNewRomanPSMT"/>
          <w:szCs w:val="22"/>
          <w:lang w:eastAsia="en-US"/>
        </w:rPr>
      </w:pPr>
    </w:p>
    <w:p w14:paraId="028BD3EE" w14:textId="2432CAC2" w:rsidR="00C06152" w:rsidRPr="003A5C41" w:rsidRDefault="00C06152" w:rsidP="008A650F">
      <w:pPr>
        <w:numPr>
          <w:ilvl w:val="0"/>
          <w:numId w:val="3"/>
        </w:numPr>
        <w:autoSpaceDE w:val="0"/>
        <w:autoSpaceDN w:val="0"/>
        <w:adjustRightInd w:val="0"/>
        <w:rPr>
          <w:i/>
          <w:iCs/>
          <w:szCs w:val="22"/>
          <w:lang w:eastAsia="en-US"/>
        </w:rPr>
      </w:pPr>
      <w:r w:rsidRPr="003A5C41">
        <w:rPr>
          <w:i/>
          <w:iCs/>
          <w:szCs w:val="22"/>
          <w:lang w:eastAsia="en-US"/>
        </w:rPr>
        <w:t>Novodiagnostikovaný mnohopočetný myelóm: pacienti nespôsobilí na transplantáciu</w:t>
      </w:r>
    </w:p>
    <w:p w14:paraId="494E1199" w14:textId="528F5469" w:rsidR="00C06152" w:rsidRPr="003A5C41" w:rsidRDefault="00C06152" w:rsidP="00C06152">
      <w:pPr>
        <w:autoSpaceDE w:val="0"/>
        <w:autoSpaceDN w:val="0"/>
        <w:adjustRightInd w:val="0"/>
        <w:ind w:left="0" w:firstLine="0"/>
        <w:rPr>
          <w:rFonts w:eastAsia="TimesNewRomanPSMT"/>
          <w:szCs w:val="22"/>
          <w:lang w:eastAsia="en-US"/>
        </w:rPr>
      </w:pPr>
      <w:r w:rsidRPr="003A5C41">
        <w:rPr>
          <w:rFonts w:eastAsia="TimesNewRomanPSMT"/>
          <w:szCs w:val="22"/>
          <w:lang w:eastAsia="en-US"/>
        </w:rPr>
        <w:t>Pacienti s novodiagnostikovaným mnohopočetným myelómom vo veku 75 rokov a starší majú byť</w:t>
      </w:r>
      <w:r w:rsidR="008E755F" w:rsidRPr="003A5C41">
        <w:rPr>
          <w:rFonts w:eastAsia="TimesNewRomanPSMT"/>
          <w:szCs w:val="22"/>
          <w:lang w:eastAsia="en-US"/>
        </w:rPr>
        <w:t xml:space="preserve"> </w:t>
      </w:r>
      <w:r w:rsidRPr="003A5C41">
        <w:rPr>
          <w:rFonts w:eastAsia="TimesNewRomanPSMT"/>
          <w:szCs w:val="22"/>
          <w:lang w:eastAsia="en-US"/>
        </w:rPr>
        <w:t xml:space="preserve">starostlivo </w:t>
      </w:r>
      <w:r w:rsidR="0033780B">
        <w:rPr>
          <w:rFonts w:eastAsia="TimesNewRomanPSMT"/>
          <w:szCs w:val="22"/>
          <w:lang w:eastAsia="en-US"/>
        </w:rPr>
        <w:t>vyšetrení</w:t>
      </w:r>
      <w:r w:rsidRPr="003A5C41">
        <w:rPr>
          <w:rFonts w:eastAsia="TimesNewRomanPSMT"/>
          <w:szCs w:val="22"/>
          <w:lang w:eastAsia="en-US"/>
        </w:rPr>
        <w:t xml:space="preserve"> pred začatím liečby (pozri časť 4.4).</w:t>
      </w:r>
    </w:p>
    <w:p w14:paraId="53060701" w14:textId="77777777" w:rsidR="008E755F" w:rsidRPr="003A5C41" w:rsidRDefault="008E755F" w:rsidP="00C06152">
      <w:pPr>
        <w:autoSpaceDE w:val="0"/>
        <w:autoSpaceDN w:val="0"/>
        <w:adjustRightInd w:val="0"/>
        <w:ind w:left="0" w:firstLine="0"/>
        <w:rPr>
          <w:rFonts w:eastAsia="TimesNewRomanPSMT"/>
          <w:szCs w:val="22"/>
          <w:lang w:eastAsia="en-US"/>
        </w:rPr>
      </w:pPr>
    </w:p>
    <w:p w14:paraId="29479BD7" w14:textId="77777777" w:rsidR="00C06152" w:rsidRPr="003A5C41" w:rsidRDefault="00C06152" w:rsidP="00C06152">
      <w:pPr>
        <w:autoSpaceDE w:val="0"/>
        <w:autoSpaceDN w:val="0"/>
        <w:adjustRightInd w:val="0"/>
        <w:ind w:left="0" w:firstLine="0"/>
        <w:rPr>
          <w:rFonts w:eastAsia="TimesNewRomanPSMT"/>
          <w:szCs w:val="22"/>
          <w:lang w:eastAsia="en-US"/>
        </w:rPr>
      </w:pPr>
      <w:r w:rsidRPr="003A5C41">
        <w:rPr>
          <w:rFonts w:eastAsia="TimesNewRomanPSMT"/>
          <w:szCs w:val="22"/>
          <w:lang w:eastAsia="en-US"/>
        </w:rPr>
        <w:t>U pacientov starších ako 75 rokov liečených lenalidomidom v kombinácii s dexametazónom je začiatočná</w:t>
      </w:r>
      <w:r w:rsidR="008E755F" w:rsidRPr="003A5C41">
        <w:rPr>
          <w:rFonts w:eastAsia="TimesNewRomanPSMT"/>
          <w:szCs w:val="22"/>
          <w:lang w:eastAsia="en-US"/>
        </w:rPr>
        <w:t xml:space="preserve"> </w:t>
      </w:r>
      <w:r w:rsidRPr="003A5C41">
        <w:rPr>
          <w:rFonts w:eastAsia="TimesNewRomanPSMT"/>
          <w:szCs w:val="22"/>
          <w:lang w:eastAsia="en-US"/>
        </w:rPr>
        <w:t>dávka dexametazónu 20</w:t>
      </w:r>
      <w:r w:rsidR="008E755F" w:rsidRPr="003A5C41">
        <w:rPr>
          <w:rFonts w:eastAsia="TimesNewRomanPSMT"/>
          <w:szCs w:val="22"/>
          <w:lang w:eastAsia="en-US"/>
        </w:rPr>
        <w:t> </w:t>
      </w:r>
      <w:r w:rsidRPr="003A5C41">
        <w:rPr>
          <w:rFonts w:eastAsia="TimesNewRomanPSMT"/>
          <w:szCs w:val="22"/>
          <w:lang w:eastAsia="en-US"/>
        </w:rPr>
        <w:t>mg denne v 1., 8., 15. a 22. deň každého 28-dňového cyklu.</w:t>
      </w:r>
    </w:p>
    <w:p w14:paraId="3B323EDA" w14:textId="77777777" w:rsidR="008E755F" w:rsidRPr="003A5C41" w:rsidRDefault="008E755F" w:rsidP="00C06152">
      <w:pPr>
        <w:autoSpaceDE w:val="0"/>
        <w:autoSpaceDN w:val="0"/>
        <w:adjustRightInd w:val="0"/>
        <w:ind w:left="0" w:firstLine="0"/>
        <w:rPr>
          <w:rFonts w:eastAsia="TimesNewRomanPSMT"/>
          <w:szCs w:val="22"/>
          <w:lang w:eastAsia="en-US"/>
        </w:rPr>
      </w:pPr>
    </w:p>
    <w:p w14:paraId="11A2106F" w14:textId="77777777" w:rsidR="00C06152" w:rsidRPr="003A5C41" w:rsidRDefault="00C06152" w:rsidP="00C06152">
      <w:pPr>
        <w:autoSpaceDE w:val="0"/>
        <w:autoSpaceDN w:val="0"/>
        <w:adjustRightInd w:val="0"/>
        <w:ind w:left="0" w:firstLine="0"/>
        <w:rPr>
          <w:szCs w:val="22"/>
          <w:lang w:eastAsia="en-US"/>
        </w:rPr>
      </w:pPr>
      <w:r w:rsidRPr="003A5C41">
        <w:rPr>
          <w:rFonts w:eastAsia="TimesNewRomanPSMT"/>
          <w:szCs w:val="22"/>
          <w:lang w:eastAsia="en-US"/>
        </w:rPr>
        <w:t>Pre pacientov starších ako 75 rokov liečených lenalidomidom v kombinácii s melfalánom a prednizónom</w:t>
      </w:r>
      <w:r w:rsidR="008E755F" w:rsidRPr="003A5C41">
        <w:rPr>
          <w:rFonts w:eastAsia="TimesNewRomanPSMT"/>
          <w:szCs w:val="22"/>
          <w:lang w:eastAsia="en-US"/>
        </w:rPr>
        <w:t xml:space="preserve"> </w:t>
      </w:r>
      <w:r w:rsidRPr="003A5C41">
        <w:rPr>
          <w:szCs w:val="22"/>
          <w:lang w:eastAsia="en-US"/>
        </w:rPr>
        <w:t>nebola navrhnutá úprava dávky.</w:t>
      </w:r>
    </w:p>
    <w:p w14:paraId="115D20A2" w14:textId="77777777" w:rsidR="008E755F" w:rsidRPr="003A5C41" w:rsidRDefault="008E755F" w:rsidP="00C06152">
      <w:pPr>
        <w:autoSpaceDE w:val="0"/>
        <w:autoSpaceDN w:val="0"/>
        <w:adjustRightInd w:val="0"/>
        <w:ind w:left="0" w:firstLine="0"/>
        <w:rPr>
          <w:szCs w:val="22"/>
          <w:lang w:eastAsia="en-US"/>
        </w:rPr>
      </w:pPr>
    </w:p>
    <w:p w14:paraId="3CB9A412" w14:textId="5FA60F58" w:rsidR="00C06152" w:rsidRPr="003A5C41" w:rsidRDefault="00C06152" w:rsidP="00C06152">
      <w:pPr>
        <w:autoSpaceDE w:val="0"/>
        <w:autoSpaceDN w:val="0"/>
        <w:adjustRightInd w:val="0"/>
        <w:ind w:left="0" w:firstLine="0"/>
        <w:rPr>
          <w:rFonts w:eastAsia="TimesNewRomanPSMT"/>
          <w:szCs w:val="22"/>
          <w:lang w:eastAsia="en-US"/>
        </w:rPr>
      </w:pPr>
      <w:r w:rsidRPr="003A5C41">
        <w:rPr>
          <w:rFonts w:eastAsia="TimesNewRomanPSMT"/>
          <w:szCs w:val="22"/>
          <w:lang w:eastAsia="en-US"/>
        </w:rPr>
        <w:t>U pacientov s novodiagnostikovaným mnohopočetným myelómom vo veku 75 rokov a starších, ktorí</w:t>
      </w:r>
      <w:r w:rsidR="008E755F" w:rsidRPr="003A5C41">
        <w:rPr>
          <w:rFonts w:eastAsia="TimesNewRomanPSMT"/>
          <w:szCs w:val="22"/>
          <w:lang w:eastAsia="en-US"/>
        </w:rPr>
        <w:t xml:space="preserve"> </w:t>
      </w:r>
      <w:r w:rsidRPr="003A5C41">
        <w:rPr>
          <w:rFonts w:eastAsia="TimesNewRomanPSMT"/>
          <w:szCs w:val="22"/>
          <w:lang w:eastAsia="en-US"/>
        </w:rPr>
        <w:t>užívali lenalidomid, bola pozorovaná vyššia incidencia závažných nežiaducich účinkov a nežiaducich</w:t>
      </w:r>
      <w:r w:rsidR="008E755F" w:rsidRPr="003A5C41">
        <w:rPr>
          <w:rFonts w:eastAsia="TimesNewRomanPSMT"/>
          <w:szCs w:val="22"/>
          <w:lang w:eastAsia="en-US"/>
        </w:rPr>
        <w:t xml:space="preserve"> </w:t>
      </w:r>
      <w:r w:rsidRPr="003A5C41">
        <w:rPr>
          <w:rFonts w:eastAsia="TimesNewRomanPSMT"/>
          <w:szCs w:val="22"/>
          <w:lang w:eastAsia="en-US"/>
        </w:rPr>
        <w:t>účinkov, ktoré viedli k prerušeniu liečby.</w:t>
      </w:r>
    </w:p>
    <w:p w14:paraId="38D80960" w14:textId="77777777" w:rsidR="008E755F" w:rsidRPr="003A5C41" w:rsidRDefault="008E755F" w:rsidP="00C06152">
      <w:pPr>
        <w:autoSpaceDE w:val="0"/>
        <w:autoSpaceDN w:val="0"/>
        <w:adjustRightInd w:val="0"/>
        <w:ind w:left="0" w:firstLine="0"/>
        <w:rPr>
          <w:rFonts w:eastAsia="TimesNewRomanPSMT"/>
          <w:szCs w:val="22"/>
          <w:lang w:eastAsia="en-US"/>
        </w:rPr>
      </w:pPr>
    </w:p>
    <w:p w14:paraId="52EC829D" w14:textId="00A77C96" w:rsidR="00C06152" w:rsidRPr="003A5C41" w:rsidRDefault="00C06152" w:rsidP="00C06152">
      <w:pPr>
        <w:autoSpaceDE w:val="0"/>
        <w:autoSpaceDN w:val="0"/>
        <w:adjustRightInd w:val="0"/>
        <w:ind w:left="0" w:firstLine="0"/>
        <w:rPr>
          <w:rFonts w:eastAsia="TimesNewRomanPSMT"/>
          <w:szCs w:val="22"/>
          <w:lang w:eastAsia="en-US"/>
        </w:rPr>
      </w:pPr>
      <w:r w:rsidRPr="003A5C41">
        <w:rPr>
          <w:rFonts w:eastAsia="TimesNewRomanPSMT"/>
          <w:szCs w:val="22"/>
          <w:lang w:eastAsia="en-US"/>
        </w:rPr>
        <w:t>Kombinovaná liečba lenalidomidom bola menej tolerovaná u pacientov s novodiagnostikovaným</w:t>
      </w:r>
      <w:r w:rsidR="008E755F" w:rsidRPr="003A5C41">
        <w:rPr>
          <w:rFonts w:eastAsia="TimesNewRomanPSMT"/>
          <w:szCs w:val="22"/>
          <w:lang w:eastAsia="en-US"/>
        </w:rPr>
        <w:t xml:space="preserve"> </w:t>
      </w:r>
      <w:r w:rsidRPr="003A5C41">
        <w:rPr>
          <w:rFonts w:eastAsia="TimesNewRomanPSMT"/>
          <w:szCs w:val="22"/>
          <w:lang w:eastAsia="en-US"/>
        </w:rPr>
        <w:t>mnohopočetným myelómom starších ako 75 rokov v porovnaní s mladšou populáciou. Títo pacienti</w:t>
      </w:r>
      <w:r w:rsidR="008E755F" w:rsidRPr="003A5C41">
        <w:rPr>
          <w:rFonts w:eastAsia="TimesNewRomanPSMT"/>
          <w:szCs w:val="22"/>
          <w:lang w:eastAsia="en-US"/>
        </w:rPr>
        <w:t xml:space="preserve"> </w:t>
      </w:r>
      <w:r w:rsidRPr="003A5C41">
        <w:rPr>
          <w:rFonts w:eastAsia="TimesNewRomanPSMT"/>
          <w:szCs w:val="22"/>
          <w:lang w:eastAsia="en-US"/>
        </w:rPr>
        <w:t>prerušovali liečbu vo vyššej miere kvôli intolerancii (3. alebo 4. stupeň nežiaducich účinkov a závažných</w:t>
      </w:r>
      <w:r w:rsidR="008E755F" w:rsidRPr="003A5C41">
        <w:rPr>
          <w:rFonts w:eastAsia="TimesNewRomanPSMT"/>
          <w:szCs w:val="22"/>
          <w:lang w:eastAsia="en-US"/>
        </w:rPr>
        <w:t xml:space="preserve"> </w:t>
      </w:r>
      <w:r w:rsidRPr="003A5C41">
        <w:rPr>
          <w:rFonts w:eastAsia="TimesNewRomanPSMT"/>
          <w:szCs w:val="22"/>
          <w:lang w:eastAsia="en-US"/>
        </w:rPr>
        <w:t>nežiaducich účinkov), v porovnaní s pacientmi &lt; 75 rokov.</w:t>
      </w:r>
    </w:p>
    <w:p w14:paraId="565B9999" w14:textId="77777777" w:rsidR="008E755F" w:rsidRPr="003A5C41" w:rsidRDefault="008E755F" w:rsidP="00C06152">
      <w:pPr>
        <w:autoSpaceDE w:val="0"/>
        <w:autoSpaceDN w:val="0"/>
        <w:adjustRightInd w:val="0"/>
        <w:ind w:left="0" w:firstLine="0"/>
        <w:rPr>
          <w:rFonts w:eastAsia="TimesNewRomanPSMT"/>
          <w:szCs w:val="22"/>
          <w:lang w:eastAsia="en-US"/>
        </w:rPr>
      </w:pPr>
    </w:p>
    <w:p w14:paraId="13207740" w14:textId="77777777" w:rsidR="00C06152" w:rsidRPr="003A5C41" w:rsidRDefault="00C06152" w:rsidP="008A650F">
      <w:pPr>
        <w:numPr>
          <w:ilvl w:val="0"/>
          <w:numId w:val="3"/>
        </w:numPr>
        <w:autoSpaceDE w:val="0"/>
        <w:autoSpaceDN w:val="0"/>
        <w:adjustRightInd w:val="0"/>
        <w:rPr>
          <w:i/>
          <w:iCs/>
          <w:szCs w:val="22"/>
          <w:lang w:eastAsia="en-US"/>
        </w:rPr>
      </w:pPr>
      <w:r w:rsidRPr="003A5C41">
        <w:rPr>
          <w:i/>
          <w:iCs/>
          <w:szCs w:val="22"/>
          <w:lang w:eastAsia="en-US"/>
        </w:rPr>
        <w:t>Mnohopočetný myelóm: pacienti s aspoň jednou predchádzajúcou liečbou</w:t>
      </w:r>
    </w:p>
    <w:p w14:paraId="5F8B7E9B" w14:textId="77777777" w:rsidR="00C06152" w:rsidRPr="003A5C41" w:rsidRDefault="00C06152" w:rsidP="00C06152">
      <w:pPr>
        <w:autoSpaceDE w:val="0"/>
        <w:autoSpaceDN w:val="0"/>
        <w:adjustRightInd w:val="0"/>
        <w:ind w:left="0" w:firstLine="0"/>
        <w:rPr>
          <w:rFonts w:eastAsia="TimesNewRomanPSMT"/>
          <w:szCs w:val="22"/>
          <w:lang w:eastAsia="en-US"/>
        </w:rPr>
      </w:pPr>
      <w:r w:rsidRPr="003A5C41">
        <w:rPr>
          <w:rFonts w:eastAsia="TimesNewRomanPSMT"/>
          <w:szCs w:val="22"/>
          <w:lang w:eastAsia="en-US"/>
        </w:rPr>
        <w:t>Percento pacientov s mnohopočetným myelómom vo veku 65 alebo starších sa výrazne neodlišovalo</w:t>
      </w:r>
      <w:r w:rsidR="008E755F" w:rsidRPr="003A5C41">
        <w:rPr>
          <w:rFonts w:eastAsia="TimesNewRomanPSMT"/>
          <w:szCs w:val="22"/>
          <w:lang w:eastAsia="en-US"/>
        </w:rPr>
        <w:t xml:space="preserve"> </w:t>
      </w:r>
      <w:r w:rsidRPr="003A5C41">
        <w:rPr>
          <w:rFonts w:eastAsia="TimesNewRomanPSMT"/>
          <w:szCs w:val="22"/>
          <w:lang w:eastAsia="en-US"/>
        </w:rPr>
        <w:t>medzi skupinou liečenou lenalidomidom/dexametazónom a placebom/dexametazónom. Z hľadiska</w:t>
      </w:r>
      <w:r w:rsidR="008E755F" w:rsidRPr="003A5C41">
        <w:rPr>
          <w:rFonts w:eastAsia="TimesNewRomanPSMT"/>
          <w:szCs w:val="22"/>
          <w:lang w:eastAsia="en-US"/>
        </w:rPr>
        <w:t xml:space="preserve"> </w:t>
      </w:r>
      <w:r w:rsidRPr="003A5C41">
        <w:rPr>
          <w:rFonts w:eastAsia="TimesNewRomanPSMT"/>
          <w:szCs w:val="22"/>
          <w:lang w:eastAsia="en-US"/>
        </w:rPr>
        <w:t xml:space="preserve">bezpečnosti a účinnosti sa nepozoroval žiadny </w:t>
      </w:r>
      <w:r w:rsidR="0033780B">
        <w:rPr>
          <w:rFonts w:eastAsia="TimesNewRomanPSMT"/>
          <w:szCs w:val="22"/>
          <w:lang w:eastAsia="en-US"/>
        </w:rPr>
        <w:t xml:space="preserve">celkový </w:t>
      </w:r>
      <w:r w:rsidRPr="003A5C41">
        <w:rPr>
          <w:rFonts w:eastAsia="TimesNewRomanPSMT"/>
          <w:szCs w:val="22"/>
          <w:lang w:eastAsia="en-US"/>
        </w:rPr>
        <w:t>rozdiel medzi týmito a mladšími pacientmi, u starších osôb</w:t>
      </w:r>
      <w:r w:rsidR="008E755F" w:rsidRPr="003A5C41">
        <w:rPr>
          <w:rFonts w:eastAsia="TimesNewRomanPSMT"/>
          <w:szCs w:val="22"/>
          <w:lang w:eastAsia="en-US"/>
        </w:rPr>
        <w:t xml:space="preserve"> </w:t>
      </w:r>
      <w:r w:rsidRPr="003A5C41">
        <w:rPr>
          <w:rFonts w:eastAsia="TimesNewRomanPSMT"/>
          <w:szCs w:val="22"/>
          <w:lang w:eastAsia="en-US"/>
        </w:rPr>
        <w:t>však nemožno vylúčiť väčšiu predispozíciu.</w:t>
      </w:r>
    </w:p>
    <w:p w14:paraId="0584EE88" w14:textId="77777777" w:rsidR="008E755F" w:rsidRPr="003A5C41" w:rsidRDefault="008E755F" w:rsidP="00E84856">
      <w:pPr>
        <w:autoSpaceDE w:val="0"/>
        <w:autoSpaceDN w:val="0"/>
        <w:adjustRightInd w:val="0"/>
        <w:ind w:left="0" w:firstLine="0"/>
        <w:rPr>
          <w:i/>
          <w:iCs/>
          <w:szCs w:val="22"/>
          <w:lang w:eastAsia="en-US"/>
        </w:rPr>
      </w:pPr>
    </w:p>
    <w:p w14:paraId="57BF924C" w14:textId="77777777" w:rsidR="00156040" w:rsidRPr="003A5C41" w:rsidRDefault="00156040" w:rsidP="00156040">
      <w:pPr>
        <w:autoSpaceDE w:val="0"/>
        <w:autoSpaceDN w:val="0"/>
        <w:adjustRightInd w:val="0"/>
        <w:ind w:left="0" w:firstLine="0"/>
        <w:rPr>
          <w:rFonts w:eastAsia="TimesNewRomanPSMT"/>
          <w:i/>
          <w:szCs w:val="22"/>
          <w:lang w:eastAsia="en-US"/>
        </w:rPr>
      </w:pPr>
      <w:r w:rsidRPr="003A5C41">
        <w:rPr>
          <w:rFonts w:eastAsia="TimesNewRomanPSMT"/>
          <w:i/>
          <w:szCs w:val="22"/>
          <w:lang w:eastAsia="en-US"/>
        </w:rPr>
        <w:t>Pacienti s poruchou funkcie obličiek</w:t>
      </w:r>
    </w:p>
    <w:p w14:paraId="6B5C64F8" w14:textId="77777777" w:rsidR="00156040" w:rsidRPr="003A5C41" w:rsidRDefault="00156040" w:rsidP="00156040">
      <w:pPr>
        <w:autoSpaceDE w:val="0"/>
        <w:autoSpaceDN w:val="0"/>
        <w:adjustRightInd w:val="0"/>
        <w:ind w:left="0" w:firstLine="0"/>
        <w:rPr>
          <w:rFonts w:eastAsia="TimesNewRomanPSMT"/>
          <w:szCs w:val="22"/>
          <w:lang w:eastAsia="en-US"/>
        </w:rPr>
      </w:pPr>
      <w:r w:rsidRPr="003A5C41">
        <w:rPr>
          <w:rFonts w:eastAsia="TimesNewRomanPSMT"/>
          <w:szCs w:val="22"/>
          <w:lang w:eastAsia="en-US"/>
        </w:rPr>
        <w:t xml:space="preserve">Lenalidomid sa vylučuje predovšetkým obličkami; u pacientov s vyšším stupňom poruchy funkcie obličiek môže byť narušená tolerancia liečby (pozri časť 4.4). Odporúča sa starostlivá voľba dávkovania a sledovanie činnosti obličiek. </w:t>
      </w:r>
    </w:p>
    <w:p w14:paraId="529A657E" w14:textId="77777777" w:rsidR="00156040" w:rsidRPr="003A5C41" w:rsidRDefault="00156040" w:rsidP="00156040">
      <w:pPr>
        <w:autoSpaceDE w:val="0"/>
        <w:autoSpaceDN w:val="0"/>
        <w:adjustRightInd w:val="0"/>
        <w:ind w:left="0" w:firstLine="0"/>
        <w:rPr>
          <w:rFonts w:eastAsia="TimesNewRomanPSMT"/>
          <w:szCs w:val="22"/>
          <w:lang w:eastAsia="en-US"/>
        </w:rPr>
      </w:pPr>
    </w:p>
    <w:p w14:paraId="08348618" w14:textId="77777777" w:rsidR="00156040" w:rsidRPr="003A5C41" w:rsidRDefault="00156040" w:rsidP="00156040">
      <w:pPr>
        <w:autoSpaceDE w:val="0"/>
        <w:autoSpaceDN w:val="0"/>
        <w:adjustRightInd w:val="0"/>
        <w:ind w:left="0" w:firstLine="0"/>
        <w:rPr>
          <w:rFonts w:eastAsia="TimesNewRomanPSMT"/>
          <w:szCs w:val="22"/>
          <w:lang w:eastAsia="en-US"/>
        </w:rPr>
      </w:pPr>
      <w:r w:rsidRPr="003A5C41">
        <w:rPr>
          <w:rFonts w:eastAsia="TimesNewRomanPSMT"/>
          <w:szCs w:val="22"/>
          <w:lang w:eastAsia="en-US"/>
        </w:rPr>
        <w:t>U pacientov s miernou poruchou funkcie obličiek a s mnohopočetným myelómom nie je potrebná úprava dávky.</w:t>
      </w:r>
    </w:p>
    <w:p w14:paraId="6208E8BC" w14:textId="09D8A761" w:rsidR="00156040" w:rsidRPr="003A5C41" w:rsidRDefault="00156040" w:rsidP="00156040">
      <w:pPr>
        <w:autoSpaceDE w:val="0"/>
        <w:autoSpaceDN w:val="0"/>
        <w:adjustRightInd w:val="0"/>
        <w:ind w:left="0" w:firstLine="0"/>
        <w:rPr>
          <w:rFonts w:eastAsia="TimesNewRomanPSMT"/>
          <w:szCs w:val="22"/>
          <w:lang w:eastAsia="en-US"/>
        </w:rPr>
      </w:pPr>
      <w:r w:rsidRPr="003A5C41">
        <w:rPr>
          <w:rFonts w:eastAsia="TimesNewRomanPSMT"/>
          <w:szCs w:val="22"/>
          <w:lang w:eastAsia="en-US"/>
        </w:rPr>
        <w:t>Nasledovné úpravy dávky sa odporúčajú na začiatku liečby a po celú dobu liečby u pacientov so stredne ťažkou alebo ťažkou poruchou funkcie obličiek a v konečnom štádiu ochorenia obličiek. Nie sú skúsenosti z klinických skúšaní fázy III s konečným štádiom ochorenia obličiek (End Stage Renal Disease, ESRD) (CLcr &lt;30 ml/min, vyžadujúcich dialýzu).</w:t>
      </w:r>
    </w:p>
    <w:p w14:paraId="0AD55FF9" w14:textId="77777777" w:rsidR="00156040" w:rsidRPr="003A5C41" w:rsidRDefault="00156040" w:rsidP="00156040">
      <w:pPr>
        <w:autoSpaceDE w:val="0"/>
        <w:autoSpaceDN w:val="0"/>
        <w:adjustRightInd w:val="0"/>
        <w:ind w:left="0" w:firstLine="0"/>
        <w:rPr>
          <w:rFonts w:eastAsia="TimesNewRomanPSMT"/>
          <w:i/>
          <w:iCs/>
          <w:szCs w:val="22"/>
          <w:lang w:eastAsia="en-US"/>
        </w:rPr>
      </w:pPr>
    </w:p>
    <w:p w14:paraId="36CF879C" w14:textId="77777777" w:rsidR="008E755F" w:rsidRPr="003A5C41" w:rsidRDefault="00156040" w:rsidP="008A650F">
      <w:pPr>
        <w:numPr>
          <w:ilvl w:val="0"/>
          <w:numId w:val="3"/>
        </w:numPr>
        <w:autoSpaceDE w:val="0"/>
        <w:autoSpaceDN w:val="0"/>
        <w:adjustRightInd w:val="0"/>
        <w:rPr>
          <w:i/>
          <w:iCs/>
          <w:szCs w:val="22"/>
          <w:lang w:eastAsia="en-US"/>
        </w:rPr>
      </w:pPr>
      <w:r w:rsidRPr="003A5C41">
        <w:rPr>
          <w:rFonts w:eastAsia="TimesNewRomanPSMT"/>
          <w:i/>
          <w:iCs/>
          <w:szCs w:val="22"/>
          <w:lang w:eastAsia="en-US"/>
        </w:rPr>
        <w:t>Mnohopočetný myelóm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4854"/>
      </w:tblGrid>
      <w:tr w:rsidR="00156040" w:rsidRPr="003A5C41" w14:paraId="58133324" w14:textId="77777777" w:rsidTr="00AC65A1">
        <w:tc>
          <w:tcPr>
            <w:tcW w:w="5069" w:type="dxa"/>
            <w:shd w:val="clear" w:color="auto" w:fill="auto"/>
          </w:tcPr>
          <w:p w14:paraId="52922F55" w14:textId="77777777" w:rsidR="00156040" w:rsidRPr="003A5C41" w:rsidRDefault="00156040" w:rsidP="00AC65A1">
            <w:pPr>
              <w:tabs>
                <w:tab w:val="left" w:pos="1400"/>
              </w:tabs>
            </w:pPr>
            <w:r w:rsidRPr="003A5C41">
              <w:rPr>
                <w:b/>
                <w:bCs/>
              </w:rPr>
              <w:t>Funkcia obličiek (CLcr)</w:t>
            </w:r>
          </w:p>
        </w:tc>
        <w:tc>
          <w:tcPr>
            <w:tcW w:w="4854" w:type="dxa"/>
            <w:shd w:val="clear" w:color="auto" w:fill="auto"/>
          </w:tcPr>
          <w:p w14:paraId="4D2EAA8B" w14:textId="77777777" w:rsidR="00156040" w:rsidRPr="003A5C41" w:rsidRDefault="00156040" w:rsidP="00AC65A1">
            <w:pPr>
              <w:tabs>
                <w:tab w:val="left" w:pos="1400"/>
              </w:tabs>
              <w:rPr>
                <w:b/>
                <w:bCs/>
              </w:rPr>
            </w:pPr>
            <w:r w:rsidRPr="003A5C41">
              <w:rPr>
                <w:b/>
                <w:bCs/>
              </w:rPr>
              <w:t>Úprava dávky</w:t>
            </w:r>
          </w:p>
          <w:p w14:paraId="12516819" w14:textId="77777777" w:rsidR="00156040" w:rsidRPr="003A5C41" w:rsidRDefault="006A398B" w:rsidP="00AC65A1">
            <w:pPr>
              <w:autoSpaceDE w:val="0"/>
              <w:autoSpaceDN w:val="0"/>
              <w:adjustRightInd w:val="0"/>
              <w:ind w:left="0" w:firstLine="0"/>
            </w:pPr>
            <w:r w:rsidRPr="003A5C41">
              <w:rPr>
                <w:rFonts w:eastAsia="TimesNewRomanPSMT"/>
                <w:szCs w:val="22"/>
                <w:lang w:eastAsia="en-US"/>
              </w:rPr>
              <w:t>(1. až 21. deň opakovaných 28-dňových cyklov)</w:t>
            </w:r>
          </w:p>
        </w:tc>
      </w:tr>
      <w:tr w:rsidR="00156040" w:rsidRPr="003A5C41" w14:paraId="35C91CA8" w14:textId="77777777" w:rsidTr="00AC65A1">
        <w:tc>
          <w:tcPr>
            <w:tcW w:w="5069" w:type="dxa"/>
            <w:shd w:val="clear" w:color="auto" w:fill="auto"/>
          </w:tcPr>
          <w:p w14:paraId="739DBE6C" w14:textId="77777777" w:rsidR="006A398B" w:rsidRPr="003A5C41" w:rsidRDefault="006A398B" w:rsidP="00AC65A1">
            <w:pPr>
              <w:tabs>
                <w:tab w:val="left" w:pos="1400"/>
              </w:tabs>
            </w:pPr>
            <w:r w:rsidRPr="003A5C41">
              <w:t xml:space="preserve">Stredne ťažká porucha obličiek </w:t>
            </w:r>
          </w:p>
          <w:p w14:paraId="059F26FB" w14:textId="77777777" w:rsidR="00156040" w:rsidRPr="003A5C41" w:rsidRDefault="00156040" w:rsidP="00AC65A1">
            <w:pPr>
              <w:tabs>
                <w:tab w:val="left" w:pos="1400"/>
              </w:tabs>
            </w:pPr>
            <w:r w:rsidRPr="003A5C41">
              <w:t>(30</w:t>
            </w:r>
            <w:r w:rsidR="006A398B" w:rsidRPr="003A5C41">
              <w:t> </w:t>
            </w:r>
            <w:r w:rsidRPr="003A5C41">
              <w:rPr>
                <w:rFonts w:eastAsia="Symbol"/>
              </w:rPr>
              <w:t>≤</w:t>
            </w:r>
            <w:r w:rsidR="006A398B" w:rsidRPr="003A5C41">
              <w:rPr>
                <w:rFonts w:eastAsia="Symbol"/>
              </w:rPr>
              <w:t> </w:t>
            </w:r>
            <w:r w:rsidRPr="003A5C41">
              <w:t>CLcr &lt;</w:t>
            </w:r>
            <w:r w:rsidR="006A398B" w:rsidRPr="003A5C41">
              <w:t> </w:t>
            </w:r>
            <w:r w:rsidRPr="003A5C41">
              <w:t>50</w:t>
            </w:r>
            <w:r w:rsidR="006A398B" w:rsidRPr="003A5C41">
              <w:t> </w:t>
            </w:r>
            <w:r w:rsidRPr="003A5C41">
              <w:t>m</w:t>
            </w:r>
            <w:r w:rsidR="006A398B" w:rsidRPr="003A5C41">
              <w:t>l</w:t>
            </w:r>
            <w:r w:rsidRPr="003A5C41">
              <w:t>/min)</w:t>
            </w:r>
          </w:p>
        </w:tc>
        <w:tc>
          <w:tcPr>
            <w:tcW w:w="4854" w:type="dxa"/>
            <w:shd w:val="clear" w:color="auto" w:fill="auto"/>
          </w:tcPr>
          <w:p w14:paraId="45A71478" w14:textId="77777777" w:rsidR="00156040" w:rsidRPr="003A5C41" w:rsidRDefault="00156040" w:rsidP="00AC65A1">
            <w:pPr>
              <w:tabs>
                <w:tab w:val="left" w:pos="1400"/>
              </w:tabs>
            </w:pPr>
            <w:r w:rsidRPr="003A5C41">
              <w:t>10</w:t>
            </w:r>
            <w:r w:rsidR="006A398B" w:rsidRPr="003A5C41">
              <w:t> </w:t>
            </w:r>
            <w:r w:rsidRPr="003A5C41">
              <w:t xml:space="preserve">mg </w:t>
            </w:r>
            <w:r w:rsidR="006A398B" w:rsidRPr="003A5C41">
              <w:t>jedenkrát denne</w:t>
            </w:r>
            <w:r w:rsidRPr="003A5C41">
              <w:rPr>
                <w:vertAlign w:val="superscript"/>
              </w:rPr>
              <w:t>1</w:t>
            </w:r>
          </w:p>
        </w:tc>
      </w:tr>
      <w:tr w:rsidR="00156040" w:rsidRPr="003A5C41" w14:paraId="78D541BD" w14:textId="77777777" w:rsidTr="00AC65A1">
        <w:tc>
          <w:tcPr>
            <w:tcW w:w="5069" w:type="dxa"/>
            <w:shd w:val="clear" w:color="auto" w:fill="auto"/>
          </w:tcPr>
          <w:p w14:paraId="7F5D236E" w14:textId="77777777" w:rsidR="00156040" w:rsidRPr="003A5C41" w:rsidRDefault="006A398B" w:rsidP="00AC65A1">
            <w:pPr>
              <w:tabs>
                <w:tab w:val="left" w:pos="1400"/>
              </w:tabs>
            </w:pPr>
            <w:r w:rsidRPr="003A5C41">
              <w:t>Ťažká porucha funkcie obličiek</w:t>
            </w:r>
          </w:p>
          <w:p w14:paraId="33254153" w14:textId="77777777" w:rsidR="00156040" w:rsidRPr="003A5C41" w:rsidRDefault="00156040" w:rsidP="00AC65A1">
            <w:pPr>
              <w:tabs>
                <w:tab w:val="left" w:pos="1400"/>
              </w:tabs>
            </w:pPr>
            <w:r w:rsidRPr="003A5C41">
              <w:t>(CLcr &lt;</w:t>
            </w:r>
            <w:r w:rsidR="006A398B" w:rsidRPr="003A5C41">
              <w:t> </w:t>
            </w:r>
            <w:r w:rsidRPr="003A5C41">
              <w:t>30</w:t>
            </w:r>
            <w:r w:rsidR="006A398B" w:rsidRPr="003A5C41">
              <w:t> </w:t>
            </w:r>
            <w:r w:rsidRPr="003A5C41">
              <w:t>m</w:t>
            </w:r>
            <w:r w:rsidR="006A398B" w:rsidRPr="003A5C41">
              <w:t>l</w:t>
            </w:r>
            <w:r w:rsidRPr="003A5C41">
              <w:t>/min, n</w:t>
            </w:r>
            <w:r w:rsidR="006A398B" w:rsidRPr="003A5C41">
              <w:t>evyžaduje dialýzu</w:t>
            </w:r>
            <w:r w:rsidRPr="003A5C41">
              <w:t>)</w:t>
            </w:r>
          </w:p>
        </w:tc>
        <w:tc>
          <w:tcPr>
            <w:tcW w:w="4854" w:type="dxa"/>
            <w:shd w:val="clear" w:color="auto" w:fill="auto"/>
          </w:tcPr>
          <w:p w14:paraId="3747EB7D" w14:textId="77777777" w:rsidR="00156040" w:rsidRPr="003A5C41" w:rsidRDefault="00156040" w:rsidP="00AC65A1">
            <w:pPr>
              <w:tabs>
                <w:tab w:val="left" w:pos="1400"/>
              </w:tabs>
              <w:rPr>
                <w:vertAlign w:val="superscript"/>
              </w:rPr>
            </w:pPr>
            <w:r w:rsidRPr="003A5C41">
              <w:t>7</w:t>
            </w:r>
            <w:r w:rsidR="006A398B" w:rsidRPr="003A5C41">
              <w:t>,</w:t>
            </w:r>
            <w:r w:rsidRPr="003A5C41">
              <w:t>5</w:t>
            </w:r>
            <w:r w:rsidR="006A398B" w:rsidRPr="003A5C41">
              <w:t> </w:t>
            </w:r>
            <w:r w:rsidRPr="003A5C41">
              <w:t xml:space="preserve">mg </w:t>
            </w:r>
            <w:r w:rsidR="006A398B" w:rsidRPr="003A5C41">
              <w:t>jedenkrát denne</w:t>
            </w:r>
            <w:r w:rsidRPr="003A5C41">
              <w:rPr>
                <w:vertAlign w:val="superscript"/>
              </w:rPr>
              <w:t>2</w:t>
            </w:r>
          </w:p>
          <w:p w14:paraId="5D21E82F" w14:textId="77777777" w:rsidR="00156040" w:rsidRPr="003A5C41" w:rsidRDefault="00156040" w:rsidP="00AC65A1">
            <w:pPr>
              <w:tabs>
                <w:tab w:val="left" w:pos="1400"/>
              </w:tabs>
            </w:pPr>
            <w:r w:rsidRPr="003A5C41">
              <w:t>15</w:t>
            </w:r>
            <w:r w:rsidR="006A398B" w:rsidRPr="003A5C41">
              <w:t> </w:t>
            </w:r>
            <w:r w:rsidRPr="003A5C41">
              <w:t xml:space="preserve">mg </w:t>
            </w:r>
            <w:r w:rsidR="006A398B" w:rsidRPr="003A5C41">
              <w:t>každý druhý deň</w:t>
            </w:r>
          </w:p>
        </w:tc>
      </w:tr>
      <w:tr w:rsidR="00156040" w:rsidRPr="003A5C41" w14:paraId="405A0078" w14:textId="77777777" w:rsidTr="00AC65A1">
        <w:tc>
          <w:tcPr>
            <w:tcW w:w="5069" w:type="dxa"/>
            <w:shd w:val="clear" w:color="auto" w:fill="auto"/>
          </w:tcPr>
          <w:p w14:paraId="2847FABB" w14:textId="77777777" w:rsidR="00156040" w:rsidRPr="003A5C41" w:rsidRDefault="006A398B" w:rsidP="00AC65A1">
            <w:pPr>
              <w:tabs>
                <w:tab w:val="left" w:pos="1400"/>
              </w:tabs>
              <w:ind w:left="0" w:firstLine="0"/>
            </w:pPr>
            <w:r w:rsidRPr="003A5C41">
              <w:lastRenderedPageBreak/>
              <w:t>Konečné štádium ochorenia obličiek (</w:t>
            </w:r>
            <w:r w:rsidR="00156040" w:rsidRPr="003A5C41">
              <w:rPr>
                <w:i/>
              </w:rPr>
              <w:t>End Stage Renal Disease</w:t>
            </w:r>
            <w:r w:rsidRPr="003A5C41">
              <w:t xml:space="preserve">, </w:t>
            </w:r>
            <w:r w:rsidR="00156040" w:rsidRPr="003A5C41">
              <w:t>ESRD)</w:t>
            </w:r>
          </w:p>
          <w:p w14:paraId="6C6A9034" w14:textId="77777777" w:rsidR="00156040" w:rsidRPr="003A5C41" w:rsidRDefault="006A398B" w:rsidP="00AC65A1">
            <w:pPr>
              <w:tabs>
                <w:tab w:val="left" w:pos="1400"/>
              </w:tabs>
            </w:pPr>
            <w:r w:rsidRPr="003A5C41">
              <w:t>(CLcr &lt; </w:t>
            </w:r>
            <w:r w:rsidR="00156040" w:rsidRPr="003A5C41">
              <w:t>30</w:t>
            </w:r>
            <w:r w:rsidRPr="003A5C41">
              <w:t> </w:t>
            </w:r>
            <w:r w:rsidR="00156040" w:rsidRPr="003A5C41">
              <w:t>m</w:t>
            </w:r>
            <w:r w:rsidRPr="003A5C41">
              <w:t>l</w:t>
            </w:r>
            <w:r w:rsidR="00156040" w:rsidRPr="003A5C41">
              <w:t xml:space="preserve">/min, </w:t>
            </w:r>
            <w:r w:rsidRPr="003A5C41">
              <w:t>vyžaduje dialýzu</w:t>
            </w:r>
            <w:r w:rsidR="00156040" w:rsidRPr="003A5C41">
              <w:t>)</w:t>
            </w:r>
          </w:p>
        </w:tc>
        <w:tc>
          <w:tcPr>
            <w:tcW w:w="4854" w:type="dxa"/>
            <w:shd w:val="clear" w:color="auto" w:fill="auto"/>
          </w:tcPr>
          <w:p w14:paraId="4F2B048A" w14:textId="77777777" w:rsidR="00156040" w:rsidRPr="003A5C41" w:rsidRDefault="00156040" w:rsidP="00AC65A1">
            <w:pPr>
              <w:autoSpaceDE w:val="0"/>
              <w:autoSpaceDN w:val="0"/>
              <w:adjustRightInd w:val="0"/>
              <w:ind w:left="0" w:firstLine="0"/>
            </w:pPr>
            <w:r w:rsidRPr="003A5C41">
              <w:t>5</w:t>
            </w:r>
            <w:r w:rsidR="006A398B" w:rsidRPr="003A5C41">
              <w:t> </w:t>
            </w:r>
            <w:r w:rsidRPr="003A5C41">
              <w:t xml:space="preserve">mg </w:t>
            </w:r>
            <w:r w:rsidR="006A398B" w:rsidRPr="003A5C41">
              <w:t>jedenkrát denne</w:t>
            </w:r>
            <w:r w:rsidRPr="003A5C41">
              <w:t xml:space="preserve">. </w:t>
            </w:r>
            <w:r w:rsidR="006A398B" w:rsidRPr="003A5C41">
              <w:rPr>
                <w:rFonts w:eastAsia="TimesNewRomanPSMT"/>
                <w:szCs w:val="22"/>
                <w:lang w:eastAsia="en-US"/>
              </w:rPr>
              <w:t>V deň dialýzy sa má dávka podať po dialýze.</w:t>
            </w:r>
          </w:p>
        </w:tc>
      </w:tr>
    </w:tbl>
    <w:p w14:paraId="57D0C95E" w14:textId="77777777" w:rsidR="006A398B" w:rsidRPr="003A5C41" w:rsidRDefault="006A398B" w:rsidP="006A398B">
      <w:pPr>
        <w:autoSpaceDE w:val="0"/>
        <w:autoSpaceDN w:val="0"/>
        <w:adjustRightInd w:val="0"/>
        <w:ind w:left="0" w:firstLine="0"/>
        <w:rPr>
          <w:rFonts w:eastAsia="TimesNewRomanPSMT"/>
          <w:sz w:val="18"/>
          <w:szCs w:val="18"/>
          <w:lang w:eastAsia="en-US"/>
        </w:rPr>
      </w:pPr>
      <w:r w:rsidRPr="003A5C41">
        <w:rPr>
          <w:sz w:val="18"/>
          <w:szCs w:val="18"/>
          <w:vertAlign w:val="superscript"/>
          <w:lang w:eastAsia="en-US"/>
        </w:rPr>
        <w:t>1</w:t>
      </w:r>
      <w:r w:rsidRPr="003A5C41">
        <w:rPr>
          <w:sz w:val="18"/>
          <w:szCs w:val="18"/>
          <w:lang w:eastAsia="en-US"/>
        </w:rPr>
        <w:t xml:space="preserve"> </w:t>
      </w:r>
      <w:r w:rsidRPr="003A5C41">
        <w:rPr>
          <w:rFonts w:eastAsia="TimesNewRomanPSMT"/>
          <w:sz w:val="18"/>
          <w:szCs w:val="18"/>
          <w:lang w:eastAsia="en-US"/>
        </w:rPr>
        <w:t>Dávku je možné po 2 cykloch zvýšiť na 15 mg jedenkrát denne, ak pacient nereaguje na liečbu a liečbu dobre znáša.</w:t>
      </w:r>
    </w:p>
    <w:p w14:paraId="7FCA09D0" w14:textId="77777777" w:rsidR="00156040" w:rsidRPr="003A5C41" w:rsidRDefault="006A398B" w:rsidP="006A398B">
      <w:pPr>
        <w:rPr>
          <w:sz w:val="18"/>
          <w:szCs w:val="18"/>
          <w:vertAlign w:val="superscript"/>
        </w:rPr>
      </w:pPr>
      <w:r w:rsidRPr="003A5C41">
        <w:rPr>
          <w:sz w:val="18"/>
          <w:szCs w:val="18"/>
          <w:vertAlign w:val="superscript"/>
          <w:lang w:eastAsia="en-US"/>
        </w:rPr>
        <w:t>2</w:t>
      </w:r>
      <w:r w:rsidRPr="003A5C41">
        <w:rPr>
          <w:sz w:val="18"/>
          <w:szCs w:val="18"/>
          <w:lang w:eastAsia="en-US"/>
        </w:rPr>
        <w:t xml:space="preserve"> V krajinách, v ktorých sú dostupné 7,5 mg kapsuly.</w:t>
      </w:r>
    </w:p>
    <w:p w14:paraId="04E77BA2" w14:textId="77777777" w:rsidR="008E755F" w:rsidRPr="003A5C41" w:rsidRDefault="008E755F" w:rsidP="00E84856">
      <w:pPr>
        <w:autoSpaceDE w:val="0"/>
        <w:autoSpaceDN w:val="0"/>
        <w:adjustRightInd w:val="0"/>
        <w:ind w:left="0" w:firstLine="0"/>
        <w:rPr>
          <w:i/>
          <w:iCs/>
          <w:szCs w:val="22"/>
          <w:lang w:eastAsia="en-US"/>
        </w:rPr>
      </w:pPr>
    </w:p>
    <w:p w14:paraId="3F7EAE20" w14:textId="77777777" w:rsidR="006A398B" w:rsidRPr="00512310" w:rsidRDefault="006A398B" w:rsidP="006A398B">
      <w:pPr>
        <w:autoSpaceDE w:val="0"/>
        <w:autoSpaceDN w:val="0"/>
        <w:adjustRightInd w:val="0"/>
        <w:ind w:left="0" w:firstLine="0"/>
        <w:rPr>
          <w:rFonts w:eastAsia="TimesNewRomanPSMT"/>
          <w:szCs w:val="22"/>
          <w:lang w:eastAsia="en-US"/>
        </w:rPr>
      </w:pPr>
      <w:r w:rsidRPr="00512310">
        <w:rPr>
          <w:rFonts w:eastAsia="TimesNewRomanPSMT"/>
          <w:szCs w:val="22"/>
          <w:lang w:eastAsia="en-US"/>
        </w:rPr>
        <w:t>Po začatí liečby lenalidomidom má následná úprava dávky u pacientov s poruchou funkcie obličiek vychádzať zo znášanlivosti liečby individuálneho pacienta, ako je to popísané vyššie.</w:t>
      </w:r>
    </w:p>
    <w:p w14:paraId="79EAC4E8" w14:textId="77777777" w:rsidR="006A398B" w:rsidRPr="00512310" w:rsidRDefault="006A398B" w:rsidP="006A398B">
      <w:pPr>
        <w:autoSpaceDE w:val="0"/>
        <w:autoSpaceDN w:val="0"/>
        <w:adjustRightInd w:val="0"/>
        <w:ind w:left="0" w:firstLine="0"/>
        <w:rPr>
          <w:rFonts w:eastAsia="TimesNewRomanPSMT"/>
          <w:szCs w:val="22"/>
          <w:lang w:eastAsia="en-US"/>
        </w:rPr>
      </w:pPr>
    </w:p>
    <w:p w14:paraId="3E90FCD4" w14:textId="77777777" w:rsidR="006A398B" w:rsidRPr="00512310" w:rsidRDefault="006A398B" w:rsidP="006A398B">
      <w:pPr>
        <w:autoSpaceDE w:val="0"/>
        <w:autoSpaceDN w:val="0"/>
        <w:adjustRightInd w:val="0"/>
        <w:ind w:left="0" w:firstLine="0"/>
        <w:rPr>
          <w:rFonts w:eastAsia="TimesNewRomanPSMT"/>
          <w:i/>
          <w:szCs w:val="22"/>
          <w:lang w:eastAsia="en-US"/>
        </w:rPr>
      </w:pPr>
      <w:r w:rsidRPr="00512310">
        <w:rPr>
          <w:rFonts w:eastAsia="TimesNewRomanPSMT"/>
          <w:i/>
          <w:szCs w:val="22"/>
          <w:lang w:eastAsia="en-US"/>
        </w:rPr>
        <w:t>Pacienti s poruchou funkcie pečene</w:t>
      </w:r>
    </w:p>
    <w:p w14:paraId="5B40374B" w14:textId="77777777" w:rsidR="006A398B" w:rsidRPr="00512310" w:rsidRDefault="006A398B" w:rsidP="006A398B">
      <w:pPr>
        <w:autoSpaceDE w:val="0"/>
        <w:autoSpaceDN w:val="0"/>
        <w:adjustRightInd w:val="0"/>
        <w:ind w:left="0" w:firstLine="0"/>
        <w:rPr>
          <w:rFonts w:eastAsia="TimesNewRomanPSMT"/>
          <w:szCs w:val="22"/>
          <w:lang w:eastAsia="en-US"/>
        </w:rPr>
      </w:pPr>
      <w:r w:rsidRPr="00512310">
        <w:rPr>
          <w:rFonts w:eastAsia="TimesNewRomanPSMT"/>
          <w:szCs w:val="22"/>
          <w:lang w:eastAsia="en-US"/>
        </w:rPr>
        <w:t>Lenalidomid sa neskúmal konkrétne u pacientov s poruchou funkcie pečene a neexistujú žiadne zvláštne odporúčania na dávkovanie.</w:t>
      </w:r>
    </w:p>
    <w:p w14:paraId="49960FC3" w14:textId="77777777" w:rsidR="006A398B" w:rsidRPr="00512310" w:rsidRDefault="006A398B" w:rsidP="006A398B">
      <w:pPr>
        <w:autoSpaceDE w:val="0"/>
        <w:autoSpaceDN w:val="0"/>
        <w:adjustRightInd w:val="0"/>
        <w:ind w:left="0" w:firstLine="0"/>
        <w:rPr>
          <w:rFonts w:eastAsia="TimesNewRomanPSMT"/>
          <w:szCs w:val="22"/>
          <w:lang w:eastAsia="en-US"/>
        </w:rPr>
      </w:pPr>
    </w:p>
    <w:p w14:paraId="1CE78BAD" w14:textId="77777777" w:rsidR="006A398B" w:rsidRPr="00512310" w:rsidRDefault="006A398B" w:rsidP="006A398B">
      <w:pPr>
        <w:autoSpaceDE w:val="0"/>
        <w:autoSpaceDN w:val="0"/>
        <w:adjustRightInd w:val="0"/>
        <w:ind w:left="0" w:firstLine="0"/>
        <w:rPr>
          <w:rFonts w:eastAsia="TimesNewRomanPSMT"/>
          <w:szCs w:val="22"/>
          <w:u w:val="single"/>
          <w:lang w:eastAsia="en-US"/>
        </w:rPr>
      </w:pPr>
      <w:r w:rsidRPr="00512310">
        <w:rPr>
          <w:rFonts w:eastAsia="TimesNewRomanPSMT"/>
          <w:szCs w:val="22"/>
          <w:u w:val="single"/>
          <w:lang w:eastAsia="en-US"/>
        </w:rPr>
        <w:t>Spôsob podávania</w:t>
      </w:r>
    </w:p>
    <w:p w14:paraId="79E62B89" w14:textId="77777777" w:rsidR="006A398B" w:rsidRPr="00512310" w:rsidRDefault="006A398B" w:rsidP="006A398B">
      <w:pPr>
        <w:autoSpaceDE w:val="0"/>
        <w:autoSpaceDN w:val="0"/>
        <w:adjustRightInd w:val="0"/>
        <w:ind w:left="0" w:firstLine="0"/>
        <w:rPr>
          <w:rFonts w:eastAsia="TimesNewRomanPSMT"/>
          <w:szCs w:val="22"/>
          <w:lang w:eastAsia="en-US"/>
        </w:rPr>
      </w:pPr>
      <w:r w:rsidRPr="00512310">
        <w:rPr>
          <w:rFonts w:eastAsia="TimesNewRomanPSMT"/>
          <w:szCs w:val="22"/>
          <w:lang w:eastAsia="en-US"/>
        </w:rPr>
        <w:t>Perorálne užívanie.</w:t>
      </w:r>
    </w:p>
    <w:p w14:paraId="0E210FBF" w14:textId="534FB421" w:rsidR="006A398B" w:rsidRPr="00512310" w:rsidRDefault="006A398B" w:rsidP="006A398B">
      <w:pPr>
        <w:autoSpaceDE w:val="0"/>
        <w:autoSpaceDN w:val="0"/>
        <w:adjustRightInd w:val="0"/>
        <w:ind w:left="0" w:firstLine="0"/>
        <w:rPr>
          <w:rFonts w:eastAsia="TimesNewRomanPSMT"/>
          <w:szCs w:val="22"/>
          <w:lang w:eastAsia="en-US"/>
        </w:rPr>
      </w:pPr>
      <w:r w:rsidRPr="00512310">
        <w:rPr>
          <w:rFonts w:eastAsia="TimesNewRomanPSMT"/>
          <w:szCs w:val="22"/>
          <w:lang w:eastAsia="en-US"/>
        </w:rPr>
        <w:t xml:space="preserve">Kapsuly Lenalidomid </w:t>
      </w:r>
      <w:r w:rsidR="00576DE4">
        <w:rPr>
          <w:rFonts w:eastAsia="TimesNewRomanPSMT"/>
          <w:szCs w:val="22"/>
          <w:lang w:eastAsia="en-US"/>
        </w:rPr>
        <w:t>Synthon</w:t>
      </w:r>
      <w:r w:rsidRPr="00512310">
        <w:rPr>
          <w:rFonts w:eastAsia="TimesNewRomanPSMT"/>
          <w:szCs w:val="22"/>
          <w:lang w:eastAsia="en-US"/>
        </w:rPr>
        <w:t xml:space="preserve"> sa majú užívať perorálne približne v rovnaký čas v plánované dni. Kapsuly sa nemajú otvárať, lámať ani hrýzť. Kapsuly sa majú prehĺtať celé, najlepšie je ich zapiť vodou. Kapsuly sa môžu užívať s jedlom alebo bez jedla.</w:t>
      </w:r>
    </w:p>
    <w:p w14:paraId="2565D84C" w14:textId="77777777" w:rsidR="006A398B" w:rsidRPr="00512310" w:rsidRDefault="006A398B" w:rsidP="006A398B">
      <w:pPr>
        <w:autoSpaceDE w:val="0"/>
        <w:autoSpaceDN w:val="0"/>
        <w:adjustRightInd w:val="0"/>
        <w:ind w:left="0" w:firstLine="0"/>
        <w:rPr>
          <w:rFonts w:eastAsia="TimesNewRomanPSMT"/>
          <w:szCs w:val="22"/>
          <w:lang w:eastAsia="en-US"/>
        </w:rPr>
      </w:pPr>
    </w:p>
    <w:p w14:paraId="4F27A124" w14:textId="77777777" w:rsidR="008E755F" w:rsidRPr="00512310" w:rsidRDefault="006A398B" w:rsidP="006A398B">
      <w:pPr>
        <w:autoSpaceDE w:val="0"/>
        <w:autoSpaceDN w:val="0"/>
        <w:adjustRightInd w:val="0"/>
        <w:ind w:left="0" w:firstLine="0"/>
        <w:rPr>
          <w:i/>
          <w:iCs/>
          <w:szCs w:val="22"/>
          <w:lang w:eastAsia="en-US"/>
        </w:rPr>
      </w:pPr>
      <w:r w:rsidRPr="00512310">
        <w:rPr>
          <w:rFonts w:eastAsia="TimesNewRomanPSMT"/>
          <w:szCs w:val="22"/>
          <w:lang w:eastAsia="en-US"/>
        </w:rPr>
        <w:t>Pri vyberaní kapsuly z blistra sa odporúča zatlačiť len na jednej strane, aby sa minimalizovalo riziko deformácie alebo rozlomenia kapsuly.</w:t>
      </w:r>
    </w:p>
    <w:p w14:paraId="3E5DD17F" w14:textId="77777777" w:rsidR="005A2CF3" w:rsidRPr="00512310" w:rsidRDefault="005A2CF3" w:rsidP="00C92B0B">
      <w:pPr>
        <w:rPr>
          <w:b/>
          <w:szCs w:val="22"/>
        </w:rPr>
      </w:pPr>
    </w:p>
    <w:p w14:paraId="303AD2CC" w14:textId="77777777" w:rsidR="00FF6BE0" w:rsidRPr="00512310" w:rsidRDefault="00FF6BE0" w:rsidP="00C92B0B">
      <w:pPr>
        <w:rPr>
          <w:szCs w:val="22"/>
        </w:rPr>
      </w:pPr>
      <w:r w:rsidRPr="00512310">
        <w:rPr>
          <w:b/>
          <w:szCs w:val="22"/>
        </w:rPr>
        <w:t>4.3</w:t>
      </w:r>
      <w:r w:rsidRPr="00512310">
        <w:rPr>
          <w:b/>
          <w:szCs w:val="22"/>
        </w:rPr>
        <w:tab/>
        <w:t>Kontraindikácie</w:t>
      </w:r>
    </w:p>
    <w:p w14:paraId="5BB5B7E5" w14:textId="77777777" w:rsidR="00B12DB6" w:rsidRPr="00512310" w:rsidRDefault="00B12DB6" w:rsidP="006321A9">
      <w:pPr>
        <w:autoSpaceDE w:val="0"/>
        <w:autoSpaceDN w:val="0"/>
        <w:adjustRightInd w:val="0"/>
        <w:ind w:left="0" w:firstLine="0"/>
        <w:rPr>
          <w:rFonts w:eastAsia="TimesNewRoman"/>
          <w:szCs w:val="22"/>
          <w:lang w:eastAsia="en-US"/>
        </w:rPr>
      </w:pPr>
    </w:p>
    <w:p w14:paraId="655CB996" w14:textId="77777777" w:rsidR="006321A9" w:rsidRPr="00512310" w:rsidRDefault="006321A9" w:rsidP="008A650F">
      <w:pPr>
        <w:numPr>
          <w:ilvl w:val="0"/>
          <w:numId w:val="3"/>
        </w:numPr>
        <w:autoSpaceDE w:val="0"/>
        <w:autoSpaceDN w:val="0"/>
        <w:adjustRightInd w:val="0"/>
        <w:rPr>
          <w:rFonts w:eastAsia="TimesNewRoman"/>
          <w:szCs w:val="22"/>
          <w:lang w:eastAsia="en-US"/>
        </w:rPr>
      </w:pPr>
      <w:r w:rsidRPr="00512310">
        <w:rPr>
          <w:rFonts w:eastAsia="TimesNewRoman"/>
          <w:szCs w:val="22"/>
          <w:lang w:eastAsia="en-US"/>
        </w:rPr>
        <w:t xml:space="preserve">Precitlivenosť na </w:t>
      </w:r>
      <w:r w:rsidR="00FE329F" w:rsidRPr="00512310">
        <w:rPr>
          <w:rFonts w:eastAsia="TimesNewRoman"/>
          <w:szCs w:val="22"/>
          <w:lang w:eastAsia="en-US"/>
        </w:rPr>
        <w:t>liečivo</w:t>
      </w:r>
      <w:r w:rsidRPr="00512310">
        <w:rPr>
          <w:rFonts w:eastAsia="TimesNewRoman"/>
          <w:szCs w:val="22"/>
          <w:lang w:eastAsia="en-US"/>
        </w:rPr>
        <w:t xml:space="preserve"> alebo na ktorúkoľvek z pomocných látok uvedených v časti 6.1.</w:t>
      </w:r>
    </w:p>
    <w:p w14:paraId="314890D3" w14:textId="77777777" w:rsidR="000D66AA" w:rsidRPr="00512310" w:rsidRDefault="000D66AA" w:rsidP="008A650F">
      <w:pPr>
        <w:numPr>
          <w:ilvl w:val="0"/>
          <w:numId w:val="3"/>
        </w:numPr>
        <w:autoSpaceDE w:val="0"/>
        <w:autoSpaceDN w:val="0"/>
        <w:adjustRightInd w:val="0"/>
        <w:rPr>
          <w:rFonts w:eastAsia="TimesNewRoman"/>
          <w:szCs w:val="22"/>
          <w:lang w:eastAsia="en-US"/>
        </w:rPr>
      </w:pPr>
      <w:r w:rsidRPr="00512310">
        <w:rPr>
          <w:rFonts w:eastAsia="SymbolMT"/>
          <w:szCs w:val="22"/>
          <w:lang w:eastAsia="en-US"/>
        </w:rPr>
        <w:t xml:space="preserve">Gravidné </w:t>
      </w:r>
      <w:r w:rsidRPr="00512310">
        <w:rPr>
          <w:rFonts w:eastAsia="TimesNewRomanPSMT"/>
          <w:szCs w:val="22"/>
          <w:lang w:eastAsia="en-US"/>
        </w:rPr>
        <w:t>ž</w:t>
      </w:r>
      <w:r w:rsidRPr="00512310">
        <w:rPr>
          <w:rFonts w:eastAsia="SymbolMT"/>
          <w:szCs w:val="22"/>
          <w:lang w:eastAsia="en-US"/>
        </w:rPr>
        <w:t>eny</w:t>
      </w:r>
      <w:bookmarkStart w:id="0" w:name="_GoBack"/>
      <w:bookmarkEnd w:id="0"/>
      <w:r w:rsidRPr="00512310">
        <w:rPr>
          <w:rFonts w:eastAsia="SymbolMT"/>
          <w:szCs w:val="22"/>
          <w:lang w:eastAsia="en-US"/>
        </w:rPr>
        <w:t>.</w:t>
      </w:r>
    </w:p>
    <w:p w14:paraId="47E8C69E" w14:textId="77777777" w:rsidR="000D66AA" w:rsidRPr="00512310" w:rsidRDefault="000D66AA" w:rsidP="008A650F">
      <w:pPr>
        <w:numPr>
          <w:ilvl w:val="0"/>
          <w:numId w:val="3"/>
        </w:numPr>
        <w:autoSpaceDE w:val="0"/>
        <w:autoSpaceDN w:val="0"/>
        <w:adjustRightInd w:val="0"/>
        <w:rPr>
          <w:rFonts w:eastAsia="TimesNewRoman"/>
          <w:szCs w:val="22"/>
          <w:lang w:eastAsia="en-US"/>
        </w:rPr>
      </w:pPr>
      <w:r w:rsidRPr="00512310">
        <w:rPr>
          <w:rFonts w:eastAsia="TimesNewRomanPSMT"/>
          <w:szCs w:val="22"/>
          <w:lang w:eastAsia="en-US"/>
        </w:rPr>
        <w:t>Ženy vo fertilnom veku, pokiaľ nie sú splnené všetky podmienky Programu prevencie gravidity (pozri časti 4.4 a 4.6).</w:t>
      </w:r>
    </w:p>
    <w:p w14:paraId="48187EAE" w14:textId="77777777" w:rsidR="00387A8B" w:rsidRPr="00512310" w:rsidRDefault="00387A8B" w:rsidP="000D66AA">
      <w:pPr>
        <w:rPr>
          <w:b/>
          <w:szCs w:val="22"/>
        </w:rPr>
      </w:pPr>
    </w:p>
    <w:p w14:paraId="6EC0A689" w14:textId="77777777" w:rsidR="00FF6BE0" w:rsidRPr="00512310" w:rsidRDefault="00FF6BE0" w:rsidP="00C92B0B">
      <w:pPr>
        <w:rPr>
          <w:b/>
          <w:szCs w:val="22"/>
        </w:rPr>
      </w:pPr>
      <w:r w:rsidRPr="00512310">
        <w:rPr>
          <w:b/>
          <w:szCs w:val="22"/>
        </w:rPr>
        <w:t>4.4</w:t>
      </w:r>
      <w:r w:rsidRPr="00512310">
        <w:rPr>
          <w:b/>
          <w:szCs w:val="22"/>
        </w:rPr>
        <w:tab/>
        <w:t>Osobitné upozornenia a opatrenia pri používaní</w:t>
      </w:r>
    </w:p>
    <w:p w14:paraId="6FC1C0FD" w14:textId="77777777" w:rsidR="00190622" w:rsidRPr="00512310" w:rsidRDefault="00190622" w:rsidP="00C92B0B">
      <w:pPr>
        <w:ind w:left="0" w:firstLine="0"/>
        <w:rPr>
          <w:szCs w:val="22"/>
        </w:rPr>
      </w:pPr>
    </w:p>
    <w:p w14:paraId="7715A769" w14:textId="77777777" w:rsidR="00FB1611" w:rsidRPr="00512310" w:rsidRDefault="00FB1611" w:rsidP="00FB1611">
      <w:pPr>
        <w:autoSpaceDE w:val="0"/>
        <w:autoSpaceDN w:val="0"/>
        <w:adjustRightInd w:val="0"/>
        <w:ind w:left="0" w:firstLine="0"/>
        <w:rPr>
          <w:szCs w:val="22"/>
          <w:u w:val="single"/>
          <w:lang w:eastAsia="en-US"/>
        </w:rPr>
      </w:pPr>
      <w:r w:rsidRPr="00512310">
        <w:rPr>
          <w:szCs w:val="22"/>
          <w:u w:val="single"/>
          <w:lang w:eastAsia="en-US"/>
        </w:rPr>
        <w:t>Upozornenie týkajúce sa gravidity</w:t>
      </w:r>
    </w:p>
    <w:p w14:paraId="14C470F1" w14:textId="3BAC7E89" w:rsidR="00D018D2" w:rsidRPr="00512310" w:rsidRDefault="00FB1611" w:rsidP="00FB1611">
      <w:pPr>
        <w:autoSpaceDE w:val="0"/>
        <w:autoSpaceDN w:val="0"/>
        <w:adjustRightInd w:val="0"/>
        <w:ind w:left="0" w:firstLine="0"/>
        <w:rPr>
          <w:rFonts w:eastAsia="TimesNewRomanPSMT"/>
          <w:szCs w:val="22"/>
          <w:lang w:eastAsia="en-US"/>
        </w:rPr>
      </w:pPr>
      <w:r w:rsidRPr="00512310">
        <w:rPr>
          <w:rFonts w:eastAsia="TimesNewRomanPSMT"/>
          <w:szCs w:val="22"/>
          <w:lang w:eastAsia="en-US"/>
        </w:rPr>
        <w:t xml:space="preserve">Lenalidomid je štrukturálne príbuzný s talidomidom. Talidomid je </w:t>
      </w:r>
      <w:r w:rsidR="003377CE" w:rsidRPr="003377CE">
        <w:rPr>
          <w:rFonts w:eastAsia="TimesNewRomanPSMT"/>
          <w:szCs w:val="22"/>
          <w:lang w:eastAsia="en-US"/>
        </w:rPr>
        <w:t>liečivo so známym teratogénnym účinkom u ľudí</w:t>
      </w:r>
      <w:r w:rsidRPr="00512310">
        <w:rPr>
          <w:szCs w:val="22"/>
          <w:lang w:eastAsia="en-US"/>
        </w:rPr>
        <w:t>, ktor</w:t>
      </w:r>
      <w:r w:rsidR="003377CE">
        <w:rPr>
          <w:szCs w:val="22"/>
          <w:lang w:eastAsia="en-US"/>
        </w:rPr>
        <w:t>é</w:t>
      </w:r>
      <w:r w:rsidRPr="00512310">
        <w:rPr>
          <w:szCs w:val="22"/>
          <w:lang w:eastAsia="en-US"/>
        </w:rPr>
        <w:t xml:space="preserve"> spôsobuje záva</w:t>
      </w:r>
      <w:r w:rsidRPr="00512310">
        <w:rPr>
          <w:rFonts w:eastAsia="TimesNewRomanPSMT"/>
          <w:szCs w:val="22"/>
          <w:lang w:eastAsia="en-US"/>
        </w:rPr>
        <w:t>ž</w:t>
      </w:r>
      <w:r w:rsidRPr="00512310">
        <w:rPr>
          <w:szCs w:val="22"/>
          <w:lang w:eastAsia="en-US"/>
        </w:rPr>
        <w:t xml:space="preserve">né </w:t>
      </w:r>
      <w:r w:rsidRPr="00512310">
        <w:rPr>
          <w:rFonts w:eastAsia="TimesNewRomanPSMT"/>
          <w:szCs w:val="22"/>
          <w:lang w:eastAsia="en-US"/>
        </w:rPr>
        <w:t>ž</w:t>
      </w:r>
      <w:r w:rsidRPr="00512310">
        <w:rPr>
          <w:szCs w:val="22"/>
          <w:lang w:eastAsia="en-US"/>
        </w:rPr>
        <w:t>ivot ohrozujúce vrodené chyby. U opíc spôsobil lenalidomid malformácie</w:t>
      </w:r>
      <w:r w:rsidR="000340FD" w:rsidRPr="00512310">
        <w:rPr>
          <w:szCs w:val="22"/>
          <w:lang w:eastAsia="en-US"/>
        </w:rPr>
        <w:t xml:space="preserve"> </w:t>
      </w:r>
      <w:r w:rsidRPr="00512310">
        <w:rPr>
          <w:rFonts w:eastAsia="TimesNewRomanPSMT"/>
          <w:szCs w:val="22"/>
          <w:lang w:eastAsia="en-US"/>
        </w:rPr>
        <w:t>podobné tým, ktoré boli popísané pre talidomid (pozri časti 4.6 a 5.3). Ak sa lenalidomid užíva počas</w:t>
      </w:r>
      <w:r w:rsidR="000340FD" w:rsidRPr="00512310">
        <w:rPr>
          <w:rFonts w:eastAsia="TimesNewRomanPSMT"/>
          <w:szCs w:val="22"/>
          <w:lang w:eastAsia="en-US"/>
        </w:rPr>
        <w:t xml:space="preserve"> </w:t>
      </w:r>
      <w:r w:rsidRPr="00512310">
        <w:rPr>
          <w:rFonts w:eastAsia="TimesNewRomanPSMT"/>
          <w:szCs w:val="22"/>
          <w:lang w:eastAsia="en-US"/>
        </w:rPr>
        <w:t>gravidity, u ľudí sa očakáva teratogénny účinok lenalidomidu.</w:t>
      </w:r>
    </w:p>
    <w:p w14:paraId="4F2D8286" w14:textId="77777777" w:rsidR="000340FD" w:rsidRPr="00512310" w:rsidRDefault="000340FD" w:rsidP="00FB1611">
      <w:pPr>
        <w:autoSpaceDE w:val="0"/>
        <w:autoSpaceDN w:val="0"/>
        <w:adjustRightInd w:val="0"/>
        <w:ind w:left="0" w:firstLine="0"/>
        <w:rPr>
          <w:rFonts w:eastAsia="TimesNewRomanPSMT"/>
          <w:szCs w:val="22"/>
          <w:lang w:eastAsia="en-US"/>
        </w:rPr>
      </w:pPr>
    </w:p>
    <w:p w14:paraId="1FF538A1" w14:textId="77777777" w:rsidR="00FB1611" w:rsidRPr="00512310" w:rsidRDefault="00FB1611" w:rsidP="00FB1611">
      <w:pPr>
        <w:autoSpaceDE w:val="0"/>
        <w:autoSpaceDN w:val="0"/>
        <w:adjustRightInd w:val="0"/>
        <w:ind w:left="0" w:firstLine="0"/>
        <w:rPr>
          <w:rFonts w:eastAsia="TimesNewRomanPSMT"/>
          <w:szCs w:val="22"/>
          <w:lang w:eastAsia="en-US"/>
        </w:rPr>
      </w:pPr>
      <w:r w:rsidRPr="00512310">
        <w:rPr>
          <w:rFonts w:eastAsia="TimesNewRomanPSMT"/>
          <w:szCs w:val="22"/>
          <w:lang w:eastAsia="en-US"/>
        </w:rPr>
        <w:t>Podmienky Programu prevencie gravidity musia byť splnené u všetkých pacientok, pokiaľ neexistuje</w:t>
      </w:r>
      <w:r w:rsidR="000340FD" w:rsidRPr="00512310">
        <w:rPr>
          <w:rFonts w:eastAsia="TimesNewRomanPSMT"/>
          <w:szCs w:val="22"/>
          <w:lang w:eastAsia="en-US"/>
        </w:rPr>
        <w:t xml:space="preserve"> </w:t>
      </w:r>
      <w:r w:rsidRPr="00512310">
        <w:rPr>
          <w:rFonts w:eastAsia="TimesNewRomanPSMT"/>
          <w:szCs w:val="22"/>
          <w:lang w:eastAsia="en-US"/>
        </w:rPr>
        <w:t>spoľahlivý dôkaz, že žena nemôže otehotnieť.</w:t>
      </w:r>
    </w:p>
    <w:p w14:paraId="1D8A4C30" w14:textId="77777777" w:rsidR="000340FD" w:rsidRPr="00512310" w:rsidRDefault="000340FD" w:rsidP="00FB1611">
      <w:pPr>
        <w:autoSpaceDE w:val="0"/>
        <w:autoSpaceDN w:val="0"/>
        <w:adjustRightInd w:val="0"/>
        <w:ind w:left="0" w:firstLine="0"/>
        <w:rPr>
          <w:rFonts w:eastAsia="TimesNewRomanPSMT"/>
          <w:szCs w:val="22"/>
          <w:lang w:eastAsia="en-US"/>
        </w:rPr>
      </w:pPr>
    </w:p>
    <w:p w14:paraId="5D997CCA" w14:textId="77777777" w:rsidR="00FB1611" w:rsidRPr="00512310" w:rsidRDefault="00FB1611" w:rsidP="00FB1611">
      <w:pPr>
        <w:autoSpaceDE w:val="0"/>
        <w:autoSpaceDN w:val="0"/>
        <w:adjustRightInd w:val="0"/>
        <w:ind w:left="0" w:firstLine="0"/>
        <w:rPr>
          <w:rFonts w:eastAsia="TimesNewRomanPSMT"/>
          <w:szCs w:val="22"/>
          <w:u w:val="single"/>
          <w:lang w:eastAsia="en-US"/>
        </w:rPr>
      </w:pPr>
      <w:r w:rsidRPr="00512310">
        <w:rPr>
          <w:rFonts w:eastAsia="TimesNewRomanPSMT"/>
          <w:szCs w:val="22"/>
          <w:u w:val="single"/>
          <w:lang w:eastAsia="en-US"/>
        </w:rPr>
        <w:t>Kritériá pre ženy, ktoré nemôžu otehotnieť</w:t>
      </w:r>
    </w:p>
    <w:p w14:paraId="645549CA" w14:textId="77777777" w:rsidR="00FB1611" w:rsidRPr="00512310" w:rsidRDefault="00FB1611" w:rsidP="00FB1611">
      <w:pPr>
        <w:autoSpaceDE w:val="0"/>
        <w:autoSpaceDN w:val="0"/>
        <w:adjustRightInd w:val="0"/>
        <w:ind w:left="0" w:firstLine="0"/>
        <w:rPr>
          <w:rFonts w:eastAsia="TimesNewRomanPSMT"/>
          <w:szCs w:val="22"/>
          <w:lang w:eastAsia="en-US"/>
        </w:rPr>
      </w:pPr>
      <w:r w:rsidRPr="00512310">
        <w:rPr>
          <w:rFonts w:eastAsia="TimesNewRomanPSMT"/>
          <w:szCs w:val="22"/>
          <w:lang w:eastAsia="en-US"/>
        </w:rPr>
        <w:t>Pacientka alebo partnerka pacienta môže otehotnieť, pokiaľ nespĺňa aspoň jedno z nasledovných kritérií:</w:t>
      </w:r>
    </w:p>
    <w:p w14:paraId="36FCC69D" w14:textId="637F32C5" w:rsidR="00FB1611" w:rsidRPr="00512310" w:rsidRDefault="00FB1611" w:rsidP="00604DF5">
      <w:pPr>
        <w:autoSpaceDE w:val="0"/>
        <w:autoSpaceDN w:val="0"/>
        <w:adjustRightInd w:val="0"/>
        <w:ind w:left="720" w:hanging="720"/>
        <w:rPr>
          <w:rFonts w:eastAsia="TimesNewRomanPSMT"/>
          <w:szCs w:val="22"/>
          <w:lang w:eastAsia="en-US"/>
        </w:rPr>
      </w:pPr>
      <w:r w:rsidRPr="00512310">
        <w:rPr>
          <w:rFonts w:eastAsia="SymbolMT"/>
          <w:szCs w:val="22"/>
          <w:lang w:eastAsia="en-US"/>
        </w:rPr>
        <w:t>•</w:t>
      </w:r>
      <w:r w:rsidR="00604DF5" w:rsidRPr="00512310">
        <w:rPr>
          <w:rFonts w:eastAsia="SymbolMT"/>
          <w:szCs w:val="22"/>
          <w:lang w:eastAsia="en-US"/>
        </w:rPr>
        <w:tab/>
      </w:r>
      <w:r w:rsidRPr="004B72E6">
        <w:rPr>
          <w:rFonts w:eastAsia="TimesNewRomanPSMT"/>
          <w:szCs w:val="22"/>
          <w:lang w:eastAsia="en-US"/>
        </w:rPr>
        <w:t>Ve</w:t>
      </w:r>
      <w:r w:rsidRPr="00512310">
        <w:rPr>
          <w:rFonts w:eastAsia="TimesNewRomanPSMT"/>
          <w:szCs w:val="22"/>
          <w:lang w:eastAsia="en-US"/>
        </w:rPr>
        <w:t>k ≥</w:t>
      </w:r>
      <w:r w:rsidR="00604DF5" w:rsidRPr="00512310">
        <w:rPr>
          <w:rFonts w:eastAsia="TimesNewRomanPSMT"/>
          <w:szCs w:val="22"/>
          <w:lang w:eastAsia="en-US"/>
        </w:rPr>
        <w:t> </w:t>
      </w:r>
      <w:r w:rsidRPr="00512310">
        <w:rPr>
          <w:rFonts w:eastAsia="TimesNewRomanPSMT"/>
          <w:szCs w:val="22"/>
          <w:lang w:eastAsia="en-US"/>
        </w:rPr>
        <w:t>50 rokov a prirodzená amenorea ≥</w:t>
      </w:r>
      <w:r w:rsidR="00604DF5" w:rsidRPr="00512310">
        <w:rPr>
          <w:rFonts w:eastAsia="TimesNewRomanPSMT"/>
          <w:szCs w:val="22"/>
          <w:lang w:eastAsia="en-US"/>
        </w:rPr>
        <w:t> </w:t>
      </w:r>
      <w:r w:rsidRPr="00512310">
        <w:rPr>
          <w:rFonts w:eastAsia="TimesNewRomanPSMT"/>
          <w:szCs w:val="22"/>
          <w:lang w:eastAsia="en-US"/>
        </w:rPr>
        <w:t>1 rok (amenorea po liečbe rakoviny alebo počas dojčenia</w:t>
      </w:r>
      <w:r w:rsidR="00604DF5" w:rsidRPr="00512310">
        <w:rPr>
          <w:rFonts w:eastAsia="TimesNewRomanPSMT"/>
          <w:szCs w:val="22"/>
          <w:lang w:eastAsia="en-US"/>
        </w:rPr>
        <w:t xml:space="preserve"> </w:t>
      </w:r>
      <w:r w:rsidRPr="00512310">
        <w:rPr>
          <w:rFonts w:eastAsia="TimesNewRomanPSMT"/>
          <w:szCs w:val="22"/>
          <w:lang w:eastAsia="en-US"/>
        </w:rPr>
        <w:t>nevylučuje</w:t>
      </w:r>
      <w:r w:rsidR="00525B6F">
        <w:rPr>
          <w:rFonts w:eastAsia="TimesNewRomanPSMT"/>
          <w:szCs w:val="22"/>
          <w:lang w:eastAsia="en-US"/>
        </w:rPr>
        <w:t xml:space="preserve"> </w:t>
      </w:r>
      <w:r w:rsidR="00525B6F" w:rsidRPr="00525B6F">
        <w:rPr>
          <w:rFonts w:eastAsia="TimesNewRomanPSMT"/>
          <w:szCs w:val="22"/>
          <w:lang w:eastAsia="en-US"/>
        </w:rPr>
        <w:t>možnosť otehotnenia</w:t>
      </w:r>
      <w:r w:rsidRPr="00512310">
        <w:rPr>
          <w:rFonts w:eastAsia="TimesNewRomanPSMT"/>
          <w:szCs w:val="22"/>
          <w:lang w:eastAsia="en-US"/>
        </w:rPr>
        <w:t>).</w:t>
      </w:r>
    </w:p>
    <w:p w14:paraId="1A5C5505" w14:textId="21CBAA14" w:rsidR="00FB1611" w:rsidRPr="00512310" w:rsidRDefault="00FB1611" w:rsidP="00FB1611">
      <w:pPr>
        <w:autoSpaceDE w:val="0"/>
        <w:autoSpaceDN w:val="0"/>
        <w:adjustRightInd w:val="0"/>
        <w:ind w:left="0" w:firstLine="0"/>
        <w:rPr>
          <w:rFonts w:eastAsia="TimesNewRomanPSMT"/>
          <w:szCs w:val="22"/>
          <w:lang w:eastAsia="en-US"/>
        </w:rPr>
      </w:pPr>
      <w:r w:rsidRPr="00512310">
        <w:rPr>
          <w:rFonts w:eastAsia="SymbolMT"/>
          <w:szCs w:val="22"/>
          <w:lang w:eastAsia="en-US"/>
        </w:rPr>
        <w:t>•</w:t>
      </w:r>
      <w:r w:rsidR="00604DF5" w:rsidRPr="00512310">
        <w:rPr>
          <w:rFonts w:eastAsia="SymbolMT"/>
          <w:szCs w:val="22"/>
          <w:lang w:eastAsia="en-US"/>
        </w:rPr>
        <w:tab/>
      </w:r>
      <w:r w:rsidR="00525B6F" w:rsidRPr="00221953">
        <w:rPr>
          <w:rFonts w:eastAsia="SymbolMT"/>
          <w:caps/>
          <w:szCs w:val="22"/>
          <w:lang w:eastAsia="en-US"/>
        </w:rPr>
        <w:t>š</w:t>
      </w:r>
      <w:r w:rsidR="00525B6F" w:rsidRPr="00525B6F">
        <w:rPr>
          <w:rFonts w:eastAsia="SymbolMT"/>
          <w:szCs w:val="22"/>
          <w:lang w:eastAsia="en-US"/>
        </w:rPr>
        <w:t>pecializovaným</w:t>
      </w:r>
      <w:r w:rsidRPr="00512310">
        <w:rPr>
          <w:rFonts w:eastAsia="TimesNewRomanPSMT"/>
          <w:szCs w:val="22"/>
          <w:lang w:eastAsia="en-US"/>
        </w:rPr>
        <w:t xml:space="preserve"> gynekológom potvrdené predčasné zlyhanie vaječníkov.</w:t>
      </w:r>
    </w:p>
    <w:p w14:paraId="63366E71" w14:textId="77777777" w:rsidR="00FB1611" w:rsidRPr="00512310" w:rsidRDefault="00FB1611" w:rsidP="00FB1611">
      <w:pPr>
        <w:autoSpaceDE w:val="0"/>
        <w:autoSpaceDN w:val="0"/>
        <w:adjustRightInd w:val="0"/>
        <w:ind w:left="0" w:firstLine="0"/>
        <w:rPr>
          <w:rFonts w:eastAsia="TimesNewRomanPSMT"/>
          <w:szCs w:val="22"/>
          <w:lang w:eastAsia="en-US"/>
        </w:rPr>
      </w:pPr>
      <w:r w:rsidRPr="00512310">
        <w:rPr>
          <w:rFonts w:eastAsia="SymbolMT"/>
          <w:szCs w:val="22"/>
          <w:lang w:eastAsia="en-US"/>
        </w:rPr>
        <w:t>•</w:t>
      </w:r>
      <w:r w:rsidR="00604DF5" w:rsidRPr="00512310">
        <w:rPr>
          <w:rFonts w:eastAsia="SymbolMT"/>
          <w:szCs w:val="22"/>
          <w:lang w:eastAsia="en-US"/>
        </w:rPr>
        <w:tab/>
      </w:r>
      <w:r w:rsidRPr="00512310">
        <w:rPr>
          <w:rFonts w:eastAsia="TimesNewRomanPSMT"/>
          <w:szCs w:val="22"/>
          <w:lang w:eastAsia="en-US"/>
        </w:rPr>
        <w:t>Predchádzajúca bilaterálna salpingo-ooforektómia alebo hysterektómia.</w:t>
      </w:r>
    </w:p>
    <w:p w14:paraId="3A37C5C9" w14:textId="77777777" w:rsidR="00FB1611" w:rsidRPr="00512310" w:rsidRDefault="00FB1611" w:rsidP="00FB1611">
      <w:pPr>
        <w:autoSpaceDE w:val="0"/>
        <w:autoSpaceDN w:val="0"/>
        <w:adjustRightInd w:val="0"/>
        <w:ind w:left="0" w:firstLine="0"/>
        <w:rPr>
          <w:rFonts w:eastAsia="TimesNewRomanPSMT"/>
          <w:szCs w:val="22"/>
          <w:lang w:eastAsia="en-US"/>
        </w:rPr>
      </w:pPr>
      <w:r w:rsidRPr="00512310">
        <w:rPr>
          <w:rFonts w:eastAsia="SymbolMT"/>
          <w:szCs w:val="22"/>
          <w:lang w:eastAsia="en-US"/>
        </w:rPr>
        <w:t>•</w:t>
      </w:r>
      <w:r w:rsidR="00604DF5" w:rsidRPr="00512310">
        <w:rPr>
          <w:rFonts w:eastAsia="SymbolMT"/>
          <w:szCs w:val="22"/>
          <w:lang w:eastAsia="en-US"/>
        </w:rPr>
        <w:tab/>
      </w:r>
      <w:r w:rsidRPr="00512310">
        <w:rPr>
          <w:rFonts w:eastAsia="TimesNewRomanPSMT"/>
          <w:szCs w:val="22"/>
          <w:lang w:eastAsia="en-US"/>
        </w:rPr>
        <w:t>Genotyp XY, Turnerov syndróm, agenéza maternice.</w:t>
      </w:r>
    </w:p>
    <w:p w14:paraId="08AB769B" w14:textId="77777777" w:rsidR="00604DF5" w:rsidRPr="00512310" w:rsidRDefault="00604DF5" w:rsidP="00FB1611">
      <w:pPr>
        <w:autoSpaceDE w:val="0"/>
        <w:autoSpaceDN w:val="0"/>
        <w:adjustRightInd w:val="0"/>
        <w:ind w:left="0" w:firstLine="0"/>
        <w:rPr>
          <w:rFonts w:eastAsia="TimesNewRomanPSMT"/>
          <w:szCs w:val="22"/>
          <w:lang w:eastAsia="en-US"/>
        </w:rPr>
      </w:pPr>
    </w:p>
    <w:p w14:paraId="34F1CFD5" w14:textId="77777777" w:rsidR="00FB1611" w:rsidRPr="00512310" w:rsidRDefault="00FB1611" w:rsidP="00FB1611">
      <w:pPr>
        <w:autoSpaceDE w:val="0"/>
        <w:autoSpaceDN w:val="0"/>
        <w:adjustRightInd w:val="0"/>
        <w:ind w:left="0" w:firstLine="0"/>
        <w:rPr>
          <w:rFonts w:eastAsia="TimesNewRomanPSMT"/>
          <w:szCs w:val="22"/>
          <w:u w:val="single"/>
          <w:lang w:eastAsia="en-US"/>
        </w:rPr>
      </w:pPr>
      <w:r w:rsidRPr="00512310">
        <w:rPr>
          <w:rFonts w:eastAsia="TimesNewRomanPSMT"/>
          <w:szCs w:val="22"/>
          <w:u w:val="single"/>
          <w:lang w:eastAsia="en-US"/>
        </w:rPr>
        <w:t>Poradenstvo</w:t>
      </w:r>
    </w:p>
    <w:p w14:paraId="3BBEE8B5" w14:textId="77777777" w:rsidR="00FB1611" w:rsidRPr="00512310" w:rsidRDefault="00FB1611" w:rsidP="00FB1611">
      <w:pPr>
        <w:autoSpaceDE w:val="0"/>
        <w:autoSpaceDN w:val="0"/>
        <w:adjustRightInd w:val="0"/>
        <w:ind w:left="0" w:firstLine="0"/>
        <w:rPr>
          <w:rFonts w:eastAsia="TimesNewRomanPSMT"/>
          <w:szCs w:val="22"/>
          <w:lang w:eastAsia="en-US"/>
        </w:rPr>
      </w:pPr>
      <w:r w:rsidRPr="00512310">
        <w:rPr>
          <w:rFonts w:eastAsia="TimesNewRomanPSMT"/>
          <w:szCs w:val="22"/>
          <w:lang w:eastAsia="en-US"/>
        </w:rPr>
        <w:t>U žien, ktoré môžu otehotnieť, je lenalidomid kontraindikovaný, pokiaľ nie sú splnené všetky nasledovné</w:t>
      </w:r>
      <w:r w:rsidR="00421BFA" w:rsidRPr="00512310">
        <w:rPr>
          <w:rFonts w:eastAsia="TimesNewRomanPSMT"/>
          <w:szCs w:val="22"/>
          <w:lang w:eastAsia="en-US"/>
        </w:rPr>
        <w:t xml:space="preserve"> </w:t>
      </w:r>
      <w:r w:rsidRPr="00512310">
        <w:rPr>
          <w:rFonts w:eastAsia="TimesNewRomanPSMT"/>
          <w:szCs w:val="22"/>
          <w:lang w:eastAsia="en-US"/>
        </w:rPr>
        <w:t>podmienky:</w:t>
      </w:r>
    </w:p>
    <w:p w14:paraId="25F248CA" w14:textId="77777777" w:rsidR="00FB1611" w:rsidRPr="00512310" w:rsidRDefault="00FB1611" w:rsidP="00FB1611">
      <w:pPr>
        <w:autoSpaceDE w:val="0"/>
        <w:autoSpaceDN w:val="0"/>
        <w:adjustRightInd w:val="0"/>
        <w:ind w:left="0" w:firstLine="0"/>
        <w:rPr>
          <w:rFonts w:eastAsia="TimesNewRomanPSMT"/>
          <w:szCs w:val="22"/>
          <w:lang w:eastAsia="en-US"/>
        </w:rPr>
      </w:pPr>
      <w:r w:rsidRPr="00512310">
        <w:rPr>
          <w:rFonts w:eastAsia="SymbolMT"/>
          <w:szCs w:val="22"/>
          <w:lang w:eastAsia="en-US"/>
        </w:rPr>
        <w:t>•</w:t>
      </w:r>
      <w:r w:rsidR="00421BFA" w:rsidRPr="00512310">
        <w:rPr>
          <w:rFonts w:eastAsia="SymbolMT"/>
          <w:szCs w:val="22"/>
          <w:lang w:eastAsia="en-US"/>
        </w:rPr>
        <w:tab/>
      </w:r>
      <w:r w:rsidRPr="00512310">
        <w:rPr>
          <w:rFonts w:eastAsia="TimesNewRomanPSMT"/>
          <w:szCs w:val="22"/>
          <w:lang w:eastAsia="en-US"/>
        </w:rPr>
        <w:t>Uvedomuje si očakávané teratogénne riziko pre plod.</w:t>
      </w:r>
    </w:p>
    <w:p w14:paraId="5ADF2979" w14:textId="77777777" w:rsidR="00FB1611" w:rsidRPr="00512310" w:rsidRDefault="00FB1611" w:rsidP="00421BFA">
      <w:pPr>
        <w:autoSpaceDE w:val="0"/>
        <w:autoSpaceDN w:val="0"/>
        <w:adjustRightInd w:val="0"/>
        <w:ind w:left="720" w:hanging="720"/>
        <w:rPr>
          <w:rFonts w:eastAsia="TimesNewRomanPSMT"/>
          <w:szCs w:val="22"/>
          <w:lang w:eastAsia="en-US"/>
        </w:rPr>
      </w:pPr>
      <w:r w:rsidRPr="00512310">
        <w:rPr>
          <w:rFonts w:eastAsia="SymbolMT"/>
          <w:szCs w:val="22"/>
          <w:lang w:eastAsia="en-US"/>
        </w:rPr>
        <w:t>•</w:t>
      </w:r>
      <w:r w:rsidR="00421BFA" w:rsidRPr="00512310">
        <w:rPr>
          <w:rFonts w:eastAsia="SymbolMT"/>
          <w:szCs w:val="22"/>
          <w:lang w:eastAsia="en-US"/>
        </w:rPr>
        <w:tab/>
      </w:r>
      <w:r w:rsidRPr="00512310">
        <w:rPr>
          <w:rFonts w:eastAsia="TimesNewRomanPSMT"/>
          <w:szCs w:val="22"/>
          <w:lang w:eastAsia="en-US"/>
        </w:rPr>
        <w:t>Uvedomuje si potrebu účinnej antikoncepcie používanej bez prerušenia počas 4 týždňov pred</w:t>
      </w:r>
      <w:r w:rsidR="00421BFA" w:rsidRPr="00512310">
        <w:rPr>
          <w:rFonts w:eastAsia="TimesNewRomanPSMT"/>
          <w:szCs w:val="22"/>
          <w:lang w:eastAsia="en-US"/>
        </w:rPr>
        <w:t xml:space="preserve"> </w:t>
      </w:r>
      <w:r w:rsidRPr="00512310">
        <w:rPr>
          <w:rFonts w:eastAsia="TimesNewRomanPSMT"/>
          <w:szCs w:val="22"/>
          <w:lang w:eastAsia="en-US"/>
        </w:rPr>
        <w:t>začatím liečby, počas celého trvania liečby a počas 4 týždňov po ukončení liečby.</w:t>
      </w:r>
    </w:p>
    <w:p w14:paraId="3E46FAB9" w14:textId="7F998FDB" w:rsidR="00FB1611" w:rsidRPr="00512310" w:rsidRDefault="00FB1611" w:rsidP="00421BFA">
      <w:pPr>
        <w:autoSpaceDE w:val="0"/>
        <w:autoSpaceDN w:val="0"/>
        <w:adjustRightInd w:val="0"/>
        <w:ind w:left="720" w:hanging="720"/>
        <w:rPr>
          <w:rFonts w:eastAsia="TimesNewRomanPSMT"/>
          <w:szCs w:val="22"/>
          <w:lang w:eastAsia="en-US"/>
        </w:rPr>
      </w:pPr>
      <w:r w:rsidRPr="00512310">
        <w:rPr>
          <w:rFonts w:eastAsia="SymbolMT"/>
          <w:szCs w:val="22"/>
          <w:lang w:eastAsia="en-US"/>
        </w:rPr>
        <w:lastRenderedPageBreak/>
        <w:t>•</w:t>
      </w:r>
      <w:r w:rsidR="00421BFA" w:rsidRPr="00512310">
        <w:rPr>
          <w:rFonts w:eastAsia="SymbolMT"/>
          <w:szCs w:val="22"/>
          <w:lang w:eastAsia="en-US"/>
        </w:rPr>
        <w:tab/>
      </w:r>
      <w:r w:rsidRPr="00512310">
        <w:rPr>
          <w:rFonts w:eastAsia="TimesNewRomanPSMT"/>
          <w:szCs w:val="22"/>
          <w:lang w:eastAsia="en-US"/>
        </w:rPr>
        <w:t xml:space="preserve">Aj keď má žena, ktorá môže otehotnieť, amenoreu, musí dodržiavať všetky </w:t>
      </w:r>
      <w:r w:rsidR="00525B6F">
        <w:rPr>
          <w:rFonts w:eastAsia="TimesNewRomanPSMT"/>
          <w:szCs w:val="22"/>
          <w:lang w:eastAsia="en-US"/>
        </w:rPr>
        <w:t>odporúčania o</w:t>
      </w:r>
      <w:r w:rsidRPr="00512310">
        <w:rPr>
          <w:rFonts w:eastAsia="TimesNewRomanPSMT"/>
          <w:szCs w:val="22"/>
          <w:lang w:eastAsia="en-US"/>
        </w:rPr>
        <w:t xml:space="preserve"> účinnej</w:t>
      </w:r>
      <w:r w:rsidR="00421BFA" w:rsidRPr="00512310">
        <w:rPr>
          <w:rFonts w:eastAsia="TimesNewRomanPSMT"/>
          <w:szCs w:val="22"/>
          <w:lang w:eastAsia="en-US"/>
        </w:rPr>
        <w:t xml:space="preserve"> </w:t>
      </w:r>
      <w:r w:rsidRPr="00512310">
        <w:rPr>
          <w:rFonts w:eastAsia="TimesNewRomanPSMT"/>
          <w:szCs w:val="22"/>
          <w:lang w:eastAsia="en-US"/>
        </w:rPr>
        <w:t>antikoncepci</w:t>
      </w:r>
      <w:r w:rsidR="00525B6F">
        <w:rPr>
          <w:rFonts w:eastAsia="TimesNewRomanPSMT"/>
          <w:szCs w:val="22"/>
          <w:lang w:eastAsia="en-US"/>
        </w:rPr>
        <w:t>i</w:t>
      </w:r>
      <w:r w:rsidRPr="00512310">
        <w:rPr>
          <w:rFonts w:eastAsia="TimesNewRomanPSMT"/>
          <w:szCs w:val="22"/>
          <w:lang w:eastAsia="en-US"/>
        </w:rPr>
        <w:t>.</w:t>
      </w:r>
    </w:p>
    <w:p w14:paraId="440D5709" w14:textId="77777777" w:rsidR="00FB1611" w:rsidRPr="00512310" w:rsidRDefault="00FB1611" w:rsidP="00FB1611">
      <w:pPr>
        <w:autoSpaceDE w:val="0"/>
        <w:autoSpaceDN w:val="0"/>
        <w:adjustRightInd w:val="0"/>
        <w:ind w:left="0" w:firstLine="0"/>
        <w:rPr>
          <w:rFonts w:eastAsia="TimesNewRomanPSMT"/>
          <w:szCs w:val="22"/>
          <w:lang w:eastAsia="en-US"/>
        </w:rPr>
      </w:pPr>
      <w:r w:rsidRPr="00512310">
        <w:rPr>
          <w:rFonts w:eastAsia="SymbolMT"/>
          <w:szCs w:val="22"/>
          <w:lang w:eastAsia="en-US"/>
        </w:rPr>
        <w:t>•</w:t>
      </w:r>
      <w:r w:rsidR="00421BFA" w:rsidRPr="00512310">
        <w:rPr>
          <w:rFonts w:eastAsia="SymbolMT"/>
          <w:szCs w:val="22"/>
          <w:lang w:eastAsia="en-US"/>
        </w:rPr>
        <w:tab/>
      </w:r>
      <w:r w:rsidRPr="00512310">
        <w:rPr>
          <w:rFonts w:eastAsia="TimesNewRomanPSMT"/>
          <w:szCs w:val="22"/>
          <w:lang w:eastAsia="en-US"/>
        </w:rPr>
        <w:t>Má byť schopná dodržiavať účinné antikoncepčné opatrenia.</w:t>
      </w:r>
    </w:p>
    <w:p w14:paraId="4ED0C737" w14:textId="77777777" w:rsidR="00FB1611" w:rsidRPr="00512310" w:rsidRDefault="00FB1611" w:rsidP="005654BD">
      <w:pPr>
        <w:autoSpaceDE w:val="0"/>
        <w:autoSpaceDN w:val="0"/>
        <w:adjustRightInd w:val="0"/>
        <w:ind w:left="720" w:hanging="720"/>
        <w:rPr>
          <w:rFonts w:eastAsia="TimesNewRomanPSMT"/>
          <w:szCs w:val="22"/>
          <w:lang w:eastAsia="en-US"/>
        </w:rPr>
      </w:pPr>
      <w:r w:rsidRPr="00512310">
        <w:rPr>
          <w:rFonts w:eastAsia="SymbolMT"/>
          <w:szCs w:val="22"/>
          <w:lang w:eastAsia="en-US"/>
        </w:rPr>
        <w:t>•</w:t>
      </w:r>
      <w:r w:rsidR="00421BFA" w:rsidRPr="00512310">
        <w:rPr>
          <w:rFonts w:eastAsia="SymbolMT"/>
          <w:szCs w:val="22"/>
          <w:lang w:eastAsia="en-US"/>
        </w:rPr>
        <w:tab/>
      </w:r>
      <w:r w:rsidRPr="00512310">
        <w:rPr>
          <w:rFonts w:eastAsia="TimesNewRomanPSMT"/>
          <w:szCs w:val="22"/>
          <w:lang w:eastAsia="en-US"/>
        </w:rPr>
        <w:t>Je informovaná a uvedomuje si potenciálne dôsledky gravidity a potrebu rýchlej konzultácie</w:t>
      </w:r>
      <w:r w:rsidR="00421BFA" w:rsidRPr="00512310">
        <w:rPr>
          <w:rFonts w:eastAsia="TimesNewRomanPSMT"/>
          <w:szCs w:val="22"/>
          <w:lang w:eastAsia="en-US"/>
        </w:rPr>
        <w:t xml:space="preserve"> </w:t>
      </w:r>
      <w:r w:rsidRPr="00512310">
        <w:rPr>
          <w:rFonts w:eastAsia="TimesNewRomanPSMT"/>
          <w:szCs w:val="22"/>
          <w:lang w:eastAsia="en-US"/>
        </w:rPr>
        <w:t>v prípade rizika možnej gravidity.</w:t>
      </w:r>
    </w:p>
    <w:p w14:paraId="3A7765BE" w14:textId="77777777" w:rsidR="00FB1611" w:rsidRPr="00512310" w:rsidRDefault="00FB1611" w:rsidP="005654BD">
      <w:pPr>
        <w:autoSpaceDE w:val="0"/>
        <w:autoSpaceDN w:val="0"/>
        <w:adjustRightInd w:val="0"/>
        <w:ind w:left="720" w:hanging="720"/>
        <w:rPr>
          <w:rFonts w:eastAsia="TimesNewRomanPSMT"/>
          <w:szCs w:val="22"/>
          <w:lang w:eastAsia="en-US"/>
        </w:rPr>
      </w:pPr>
      <w:r w:rsidRPr="00512310">
        <w:rPr>
          <w:rFonts w:eastAsia="SymbolMT"/>
          <w:szCs w:val="22"/>
          <w:lang w:eastAsia="en-US"/>
        </w:rPr>
        <w:t>•</w:t>
      </w:r>
      <w:r w:rsidR="005654BD" w:rsidRPr="00512310">
        <w:rPr>
          <w:rFonts w:eastAsia="SymbolMT"/>
          <w:szCs w:val="22"/>
          <w:lang w:eastAsia="en-US"/>
        </w:rPr>
        <w:tab/>
      </w:r>
      <w:r w:rsidRPr="00512310">
        <w:rPr>
          <w:rFonts w:eastAsia="TimesNewRomanPSMT"/>
          <w:szCs w:val="22"/>
          <w:lang w:eastAsia="en-US"/>
        </w:rPr>
        <w:t>Uvedomuje si potrebu začatia liečby hneď ako je lenalidomid vydaný po negatívnom tehotenskom</w:t>
      </w:r>
      <w:r w:rsidR="005654BD" w:rsidRPr="00512310">
        <w:rPr>
          <w:rFonts w:eastAsia="TimesNewRomanPSMT"/>
          <w:szCs w:val="22"/>
          <w:lang w:eastAsia="en-US"/>
        </w:rPr>
        <w:t xml:space="preserve"> </w:t>
      </w:r>
      <w:r w:rsidRPr="00512310">
        <w:rPr>
          <w:rFonts w:eastAsia="TimesNewRomanPSMT"/>
          <w:szCs w:val="22"/>
          <w:lang w:eastAsia="en-US"/>
        </w:rPr>
        <w:t>teste.</w:t>
      </w:r>
    </w:p>
    <w:p w14:paraId="1186FEEC" w14:textId="77777777" w:rsidR="00FB1611" w:rsidRPr="00512310" w:rsidRDefault="00FB1611" w:rsidP="005654BD">
      <w:pPr>
        <w:autoSpaceDE w:val="0"/>
        <w:autoSpaceDN w:val="0"/>
        <w:adjustRightInd w:val="0"/>
        <w:ind w:left="720" w:hanging="720"/>
        <w:rPr>
          <w:rFonts w:eastAsia="TimesNewRomanPSMT"/>
          <w:szCs w:val="22"/>
          <w:lang w:eastAsia="en-US"/>
        </w:rPr>
      </w:pPr>
      <w:r w:rsidRPr="00512310">
        <w:rPr>
          <w:rFonts w:eastAsia="SymbolMT"/>
          <w:szCs w:val="22"/>
          <w:lang w:eastAsia="en-US"/>
        </w:rPr>
        <w:t>•</w:t>
      </w:r>
      <w:r w:rsidR="005654BD" w:rsidRPr="00512310">
        <w:rPr>
          <w:rFonts w:eastAsia="SymbolMT"/>
          <w:szCs w:val="22"/>
          <w:lang w:eastAsia="en-US"/>
        </w:rPr>
        <w:tab/>
      </w:r>
      <w:r w:rsidRPr="00512310">
        <w:rPr>
          <w:rFonts w:eastAsia="TimesNewRomanPSMT"/>
          <w:szCs w:val="22"/>
          <w:lang w:eastAsia="en-US"/>
        </w:rPr>
        <w:t>Uvedomuje si potrebu a súhlasí s vykonaním tehotenských testov každé 4 týždne, s</w:t>
      </w:r>
      <w:r w:rsidR="005654BD" w:rsidRPr="00512310">
        <w:rPr>
          <w:rFonts w:eastAsia="TimesNewRomanPSMT"/>
          <w:szCs w:val="22"/>
          <w:lang w:eastAsia="en-US"/>
        </w:rPr>
        <w:t> </w:t>
      </w:r>
      <w:r w:rsidRPr="00512310">
        <w:rPr>
          <w:rFonts w:eastAsia="TimesNewRomanPSMT"/>
          <w:szCs w:val="22"/>
          <w:lang w:eastAsia="en-US"/>
        </w:rPr>
        <w:t>výnimkou</w:t>
      </w:r>
      <w:r w:rsidR="005654BD" w:rsidRPr="00512310">
        <w:rPr>
          <w:rFonts w:eastAsia="TimesNewRomanPSMT"/>
          <w:szCs w:val="22"/>
          <w:lang w:eastAsia="en-US"/>
        </w:rPr>
        <w:t xml:space="preserve"> </w:t>
      </w:r>
      <w:r w:rsidRPr="00512310">
        <w:rPr>
          <w:rFonts w:eastAsia="TimesNewRomanPSMT"/>
          <w:szCs w:val="22"/>
          <w:lang w:eastAsia="en-US"/>
        </w:rPr>
        <w:t>prípadu potvrdenej sterilizácie vajíčkovodov.</w:t>
      </w:r>
    </w:p>
    <w:p w14:paraId="02EE4F7F" w14:textId="77777777" w:rsidR="00FB1611" w:rsidRPr="00512310" w:rsidRDefault="00FB1611" w:rsidP="005654BD">
      <w:pPr>
        <w:autoSpaceDE w:val="0"/>
        <w:autoSpaceDN w:val="0"/>
        <w:adjustRightInd w:val="0"/>
        <w:ind w:left="720" w:hanging="720"/>
        <w:rPr>
          <w:rFonts w:eastAsia="TimesNewRomanPSMT"/>
          <w:szCs w:val="22"/>
          <w:lang w:eastAsia="en-US"/>
        </w:rPr>
      </w:pPr>
      <w:r w:rsidRPr="00512310">
        <w:rPr>
          <w:rFonts w:eastAsia="SymbolMT"/>
          <w:szCs w:val="22"/>
          <w:lang w:eastAsia="en-US"/>
        </w:rPr>
        <w:t>•</w:t>
      </w:r>
      <w:r w:rsidR="005654BD" w:rsidRPr="00512310">
        <w:rPr>
          <w:rFonts w:eastAsia="SymbolMT"/>
          <w:szCs w:val="22"/>
          <w:lang w:eastAsia="en-US"/>
        </w:rPr>
        <w:tab/>
      </w:r>
      <w:r w:rsidRPr="00512310">
        <w:rPr>
          <w:rFonts w:eastAsia="TimesNewRomanPSMT"/>
          <w:szCs w:val="22"/>
          <w:lang w:eastAsia="en-US"/>
        </w:rPr>
        <w:t>Potvrdí, že rozumie rizikám a potrebným preventívnym opatreniam spojeným s</w:t>
      </w:r>
      <w:r w:rsidR="005654BD" w:rsidRPr="00512310">
        <w:rPr>
          <w:rFonts w:eastAsia="TimesNewRomanPSMT"/>
          <w:szCs w:val="22"/>
          <w:lang w:eastAsia="en-US"/>
        </w:rPr>
        <w:t> </w:t>
      </w:r>
      <w:r w:rsidRPr="00512310">
        <w:rPr>
          <w:rFonts w:eastAsia="TimesNewRomanPSMT"/>
          <w:szCs w:val="22"/>
          <w:lang w:eastAsia="en-US"/>
        </w:rPr>
        <w:t>užívaním</w:t>
      </w:r>
      <w:r w:rsidR="005654BD" w:rsidRPr="00512310">
        <w:rPr>
          <w:rFonts w:eastAsia="TimesNewRomanPSMT"/>
          <w:szCs w:val="22"/>
          <w:lang w:eastAsia="en-US"/>
        </w:rPr>
        <w:t xml:space="preserve"> </w:t>
      </w:r>
      <w:r w:rsidRPr="00512310">
        <w:rPr>
          <w:rFonts w:eastAsia="TimesNewRomanPSMT"/>
          <w:szCs w:val="22"/>
          <w:lang w:eastAsia="en-US"/>
        </w:rPr>
        <w:t>lenalidomidu.</w:t>
      </w:r>
    </w:p>
    <w:p w14:paraId="0B6C719D" w14:textId="77777777" w:rsidR="00934489" w:rsidRPr="00512310" w:rsidRDefault="00934489" w:rsidP="00934489">
      <w:pPr>
        <w:autoSpaceDE w:val="0"/>
        <w:autoSpaceDN w:val="0"/>
        <w:adjustRightInd w:val="0"/>
        <w:ind w:left="0" w:firstLine="0"/>
        <w:rPr>
          <w:rFonts w:eastAsia="TimesNewRomanPSMT"/>
          <w:szCs w:val="22"/>
          <w:lang w:eastAsia="en-US"/>
        </w:rPr>
      </w:pPr>
    </w:p>
    <w:p w14:paraId="5A4F4989" w14:textId="77777777" w:rsidR="00934489" w:rsidRPr="00512310" w:rsidRDefault="00934489" w:rsidP="00934489">
      <w:pPr>
        <w:autoSpaceDE w:val="0"/>
        <w:autoSpaceDN w:val="0"/>
        <w:adjustRightInd w:val="0"/>
        <w:ind w:left="0" w:firstLine="0"/>
        <w:rPr>
          <w:rFonts w:eastAsia="TimesNewRomanPSMT"/>
          <w:szCs w:val="22"/>
          <w:lang w:eastAsia="en-US"/>
        </w:rPr>
      </w:pPr>
      <w:r w:rsidRPr="00512310">
        <w:rPr>
          <w:rFonts w:eastAsia="TimesNewRomanPSMT"/>
          <w:szCs w:val="22"/>
          <w:lang w:eastAsia="en-US"/>
        </w:rPr>
        <w:t>U mužov užívajúcich lenalidomid farmakokinetické údaje preukázali, že lenalidomid je počas liečby prítomný v ľudskej sperme vo veľmi malých množstvách a u zdravých jedincov je nedetekovateľný v ľudskej sperme 3 dni po ukončení jeho užívania (pozri časť 5.2). V rámci prevencie a vzhľadom na osobitné populácie s predĺženou elimináciou, ako napr. pri poruche funkcie obličiek, musia všetci pacienti - muži užívajúci lenalidomid spĺňať nasledovné podmienky:</w:t>
      </w:r>
    </w:p>
    <w:p w14:paraId="2EC4F1C4" w14:textId="77777777" w:rsidR="00934489" w:rsidRPr="00512310" w:rsidRDefault="00934489" w:rsidP="00934489">
      <w:pPr>
        <w:autoSpaceDE w:val="0"/>
        <w:autoSpaceDN w:val="0"/>
        <w:adjustRightInd w:val="0"/>
        <w:ind w:left="709" w:hanging="709"/>
        <w:rPr>
          <w:rFonts w:eastAsia="TimesNewRomanPSMT"/>
          <w:szCs w:val="22"/>
          <w:lang w:eastAsia="en-US"/>
        </w:rPr>
      </w:pPr>
      <w:r w:rsidRPr="00512310">
        <w:rPr>
          <w:rFonts w:eastAsia="SymbolMT"/>
          <w:szCs w:val="22"/>
          <w:lang w:eastAsia="en-US"/>
        </w:rPr>
        <w:t>•</w:t>
      </w:r>
      <w:r w:rsidRPr="00512310">
        <w:rPr>
          <w:rFonts w:eastAsia="SymbolMT"/>
          <w:szCs w:val="22"/>
          <w:lang w:eastAsia="en-US"/>
        </w:rPr>
        <w:tab/>
      </w:r>
      <w:r w:rsidRPr="00512310">
        <w:rPr>
          <w:rFonts w:eastAsia="TimesNewRomanPSMT"/>
          <w:szCs w:val="22"/>
          <w:lang w:eastAsia="en-US"/>
        </w:rPr>
        <w:t>Uvedomujú si očakávané teratogénne riziko v prípade pohlavného styku s tehotnou ženou alebo so ženou, ktorá môže otehotnieť</w:t>
      </w:r>
      <w:r w:rsidR="00CD7FE1" w:rsidRPr="00512310">
        <w:rPr>
          <w:rFonts w:eastAsia="TimesNewRomanPSMT"/>
          <w:szCs w:val="22"/>
          <w:lang w:eastAsia="en-US"/>
        </w:rPr>
        <w:t>.</w:t>
      </w:r>
    </w:p>
    <w:p w14:paraId="547BB110" w14:textId="4130C30A" w:rsidR="00934489" w:rsidRPr="00512310" w:rsidRDefault="00934489" w:rsidP="00934489">
      <w:pPr>
        <w:autoSpaceDE w:val="0"/>
        <w:autoSpaceDN w:val="0"/>
        <w:adjustRightInd w:val="0"/>
        <w:ind w:left="709" w:hanging="709"/>
        <w:rPr>
          <w:rFonts w:eastAsia="TimesNewRomanPSMT"/>
          <w:szCs w:val="22"/>
          <w:lang w:eastAsia="en-US"/>
        </w:rPr>
      </w:pPr>
      <w:r w:rsidRPr="00512310">
        <w:rPr>
          <w:rFonts w:eastAsia="SymbolMT"/>
          <w:szCs w:val="22"/>
          <w:lang w:eastAsia="en-US"/>
        </w:rPr>
        <w:t>•</w:t>
      </w:r>
      <w:r w:rsidRPr="00512310">
        <w:rPr>
          <w:rFonts w:eastAsia="SymbolMT"/>
          <w:szCs w:val="22"/>
          <w:lang w:eastAsia="en-US"/>
        </w:rPr>
        <w:tab/>
      </w:r>
      <w:r w:rsidRPr="00512310">
        <w:rPr>
          <w:rFonts w:eastAsia="TimesNewRomanPSMT"/>
          <w:szCs w:val="22"/>
          <w:lang w:eastAsia="en-US"/>
        </w:rPr>
        <w:t>Uvedomujú si potrebu používania kondómov, ak majú pohlavný styk s tehotnou ženou alebo so ženou, ktorá môže otehotnieť a nepoužíva účinnú antikoncepciu (aj keď muž podstúpil vazektómiu), a to počas liečby a ešte 1 týždeň po prerušení a/alebo ukončení liečby.</w:t>
      </w:r>
    </w:p>
    <w:p w14:paraId="284489E2" w14:textId="61E324FB" w:rsidR="00934489" w:rsidRPr="00512310" w:rsidRDefault="00934489" w:rsidP="00934489">
      <w:pPr>
        <w:autoSpaceDE w:val="0"/>
        <w:autoSpaceDN w:val="0"/>
        <w:adjustRightInd w:val="0"/>
        <w:ind w:left="709" w:hanging="709"/>
        <w:rPr>
          <w:rFonts w:eastAsia="TimesNewRomanPSMT"/>
          <w:szCs w:val="22"/>
          <w:lang w:eastAsia="en-US"/>
        </w:rPr>
      </w:pPr>
      <w:r w:rsidRPr="00512310">
        <w:rPr>
          <w:rFonts w:eastAsia="SymbolMT"/>
          <w:szCs w:val="22"/>
          <w:lang w:eastAsia="en-US"/>
        </w:rPr>
        <w:t>•</w:t>
      </w:r>
      <w:r w:rsidRPr="00512310">
        <w:rPr>
          <w:rFonts w:eastAsia="SymbolMT"/>
          <w:szCs w:val="22"/>
          <w:lang w:eastAsia="en-US"/>
        </w:rPr>
        <w:tab/>
      </w:r>
      <w:r w:rsidRPr="00512310">
        <w:rPr>
          <w:rFonts w:eastAsia="TimesNewRomanPSMT"/>
          <w:szCs w:val="22"/>
          <w:lang w:eastAsia="en-US"/>
        </w:rPr>
        <w:t xml:space="preserve">Porozumeli tomu, že pacient má okamžite informovať svojho ošetrujúceho lekára, ak jeho partnerka otehotnie, pokiaľ užíva Lenalidomid </w:t>
      </w:r>
      <w:r w:rsidR="00576DE4">
        <w:rPr>
          <w:rFonts w:eastAsia="TimesNewRomanPSMT"/>
          <w:szCs w:val="22"/>
          <w:lang w:eastAsia="en-US"/>
        </w:rPr>
        <w:t>Synthon</w:t>
      </w:r>
      <w:r w:rsidRPr="00512310">
        <w:rPr>
          <w:rFonts w:eastAsia="TimesNewRomanPSMT"/>
          <w:szCs w:val="22"/>
          <w:lang w:eastAsia="en-US"/>
        </w:rPr>
        <w:t xml:space="preserve"> alebo krátko po tom, ako prestal užívať Lenalidomid </w:t>
      </w:r>
      <w:r w:rsidR="00576DE4">
        <w:rPr>
          <w:rFonts w:eastAsia="TimesNewRomanPSMT"/>
          <w:szCs w:val="22"/>
          <w:lang w:eastAsia="en-US"/>
        </w:rPr>
        <w:t>Synthon</w:t>
      </w:r>
      <w:r w:rsidRPr="00512310">
        <w:rPr>
          <w:rFonts w:eastAsia="TimesNewRomanPSMT"/>
          <w:szCs w:val="22"/>
          <w:lang w:eastAsia="en-US"/>
        </w:rPr>
        <w:t>, a že sa odporúča odkázať partnerku na vyšetrenie k lekárovi so špecializáciou alebo skúsenosťami v teratológii na posúdenie a konzultáciu.</w:t>
      </w:r>
    </w:p>
    <w:p w14:paraId="686A591F" w14:textId="77777777" w:rsidR="00934489" w:rsidRPr="00512310" w:rsidRDefault="00934489" w:rsidP="00934489">
      <w:pPr>
        <w:autoSpaceDE w:val="0"/>
        <w:autoSpaceDN w:val="0"/>
        <w:adjustRightInd w:val="0"/>
        <w:ind w:left="0" w:firstLine="0"/>
        <w:rPr>
          <w:rFonts w:eastAsia="TimesNewRomanPSMT"/>
          <w:szCs w:val="22"/>
          <w:lang w:eastAsia="en-US"/>
        </w:rPr>
      </w:pPr>
    </w:p>
    <w:p w14:paraId="52E9F90A" w14:textId="77777777" w:rsidR="00934489" w:rsidRPr="00512310" w:rsidRDefault="00934489" w:rsidP="00934489">
      <w:pPr>
        <w:autoSpaceDE w:val="0"/>
        <w:autoSpaceDN w:val="0"/>
        <w:adjustRightInd w:val="0"/>
        <w:ind w:left="0" w:firstLine="0"/>
        <w:rPr>
          <w:rFonts w:eastAsia="TimesNewRomanPSMT"/>
          <w:szCs w:val="22"/>
          <w:lang w:eastAsia="en-US"/>
        </w:rPr>
      </w:pPr>
      <w:r w:rsidRPr="00512310">
        <w:rPr>
          <w:rFonts w:eastAsia="TimesNewRomanPSMT"/>
          <w:szCs w:val="22"/>
          <w:lang w:eastAsia="en-US"/>
        </w:rPr>
        <w:t>Lekár predpisujúci liek musí v prípade ženy, ktorá môže otehotnieť, zabezpečiť aby:</w:t>
      </w:r>
    </w:p>
    <w:p w14:paraId="7503DB5B" w14:textId="77777777" w:rsidR="00934489" w:rsidRPr="00512310" w:rsidRDefault="00934489" w:rsidP="00934489">
      <w:pPr>
        <w:autoSpaceDE w:val="0"/>
        <w:autoSpaceDN w:val="0"/>
        <w:adjustRightInd w:val="0"/>
        <w:ind w:left="720" w:hanging="720"/>
        <w:rPr>
          <w:rFonts w:eastAsia="TimesNewRomanPSMT"/>
          <w:szCs w:val="22"/>
          <w:lang w:eastAsia="en-US"/>
        </w:rPr>
      </w:pPr>
      <w:r w:rsidRPr="00512310">
        <w:rPr>
          <w:rFonts w:eastAsia="SymbolMT"/>
          <w:szCs w:val="22"/>
          <w:lang w:eastAsia="en-US"/>
        </w:rPr>
        <w:t>•</w:t>
      </w:r>
      <w:r w:rsidRPr="00512310">
        <w:rPr>
          <w:rFonts w:eastAsia="SymbolMT"/>
          <w:szCs w:val="22"/>
          <w:lang w:eastAsia="en-US"/>
        </w:rPr>
        <w:tab/>
      </w:r>
      <w:r w:rsidRPr="00512310">
        <w:rPr>
          <w:rFonts w:eastAsia="TimesNewRomanPSMT"/>
          <w:szCs w:val="22"/>
          <w:lang w:eastAsia="en-US"/>
        </w:rPr>
        <w:t>Pacientka spĺňala podmienky Programu prevencie gravidity vrátane uistenia, že im dostatočne porozumela.</w:t>
      </w:r>
    </w:p>
    <w:p w14:paraId="30033363" w14:textId="77777777" w:rsidR="00FB1611" w:rsidRPr="00512310" w:rsidRDefault="00934489" w:rsidP="00934489">
      <w:pPr>
        <w:autoSpaceDE w:val="0"/>
        <w:autoSpaceDN w:val="0"/>
        <w:adjustRightInd w:val="0"/>
        <w:ind w:left="0" w:firstLine="0"/>
        <w:rPr>
          <w:rFonts w:eastAsia="TimesNewRomanPSMT"/>
          <w:szCs w:val="22"/>
          <w:lang w:eastAsia="en-US"/>
        </w:rPr>
      </w:pPr>
      <w:r w:rsidRPr="00512310">
        <w:rPr>
          <w:rFonts w:eastAsia="SymbolMT"/>
          <w:szCs w:val="22"/>
          <w:lang w:eastAsia="en-US"/>
        </w:rPr>
        <w:t>•</w:t>
      </w:r>
      <w:r w:rsidRPr="00512310">
        <w:rPr>
          <w:rFonts w:eastAsia="SymbolMT"/>
          <w:szCs w:val="22"/>
          <w:lang w:eastAsia="en-US"/>
        </w:rPr>
        <w:tab/>
      </w:r>
      <w:r w:rsidRPr="00512310">
        <w:rPr>
          <w:rFonts w:eastAsia="TimesNewRomanPSMT"/>
          <w:szCs w:val="22"/>
          <w:lang w:eastAsia="en-US"/>
        </w:rPr>
        <w:t>Pacientka vyššie uvedené podmienky potvrdila.</w:t>
      </w:r>
    </w:p>
    <w:p w14:paraId="05D7243A" w14:textId="77777777" w:rsidR="00934489" w:rsidRPr="00512310" w:rsidRDefault="00934489" w:rsidP="00934489">
      <w:pPr>
        <w:autoSpaceDE w:val="0"/>
        <w:autoSpaceDN w:val="0"/>
        <w:adjustRightInd w:val="0"/>
        <w:ind w:left="0" w:firstLine="0"/>
        <w:rPr>
          <w:szCs w:val="22"/>
          <w:lang w:eastAsia="en-US"/>
        </w:rPr>
      </w:pPr>
    </w:p>
    <w:p w14:paraId="29956E95" w14:textId="77777777" w:rsidR="00934489" w:rsidRPr="00512310" w:rsidRDefault="00934489" w:rsidP="00934489">
      <w:pPr>
        <w:autoSpaceDE w:val="0"/>
        <w:autoSpaceDN w:val="0"/>
        <w:adjustRightInd w:val="0"/>
        <w:ind w:left="0" w:firstLine="0"/>
        <w:rPr>
          <w:szCs w:val="22"/>
          <w:u w:val="single"/>
          <w:lang w:eastAsia="en-US"/>
        </w:rPr>
      </w:pPr>
      <w:r w:rsidRPr="00512310">
        <w:rPr>
          <w:szCs w:val="22"/>
          <w:u w:val="single"/>
          <w:lang w:eastAsia="en-US"/>
        </w:rPr>
        <w:t>Antikoncepcia</w:t>
      </w:r>
    </w:p>
    <w:p w14:paraId="64C015BB" w14:textId="37E66BBD" w:rsidR="00934489" w:rsidRPr="00512310" w:rsidRDefault="00934489" w:rsidP="00934489">
      <w:pPr>
        <w:autoSpaceDE w:val="0"/>
        <w:autoSpaceDN w:val="0"/>
        <w:adjustRightInd w:val="0"/>
        <w:ind w:left="0" w:firstLine="0"/>
        <w:rPr>
          <w:szCs w:val="22"/>
          <w:lang w:eastAsia="en-US"/>
        </w:rPr>
      </w:pPr>
      <w:r w:rsidRPr="00512310">
        <w:rPr>
          <w:rFonts w:eastAsia="TimesNewRomanPSMT"/>
          <w:szCs w:val="22"/>
          <w:lang w:eastAsia="en-US"/>
        </w:rPr>
        <w:t>Ženy, ktoré môžu otehotnieť, musia používať niektorú z účinných metód antikoncepcie počas 4 týždňov</w:t>
      </w:r>
      <w:r w:rsidR="006B7F12" w:rsidRPr="00512310">
        <w:rPr>
          <w:rFonts w:eastAsia="TimesNewRomanPSMT"/>
          <w:szCs w:val="22"/>
          <w:lang w:eastAsia="en-US"/>
        </w:rPr>
        <w:t xml:space="preserve"> </w:t>
      </w:r>
      <w:r w:rsidRPr="00512310">
        <w:rPr>
          <w:rFonts w:eastAsia="TimesNewRomanPSMT"/>
          <w:szCs w:val="22"/>
          <w:lang w:eastAsia="en-US"/>
        </w:rPr>
        <w:t>pred liečbou, počas liečby a počas 4 týždňov po liečbe lenalidomidom, dokonca i v prípade jej prerušenia,</w:t>
      </w:r>
      <w:r w:rsidR="006B7F12" w:rsidRPr="00512310">
        <w:rPr>
          <w:rFonts w:eastAsia="TimesNewRomanPSMT"/>
          <w:szCs w:val="22"/>
          <w:lang w:eastAsia="en-US"/>
        </w:rPr>
        <w:t xml:space="preserve"> </w:t>
      </w:r>
      <w:r w:rsidRPr="00512310">
        <w:rPr>
          <w:rFonts w:eastAsia="TimesNewRomanPSMT"/>
          <w:szCs w:val="22"/>
          <w:lang w:eastAsia="en-US"/>
        </w:rPr>
        <w:t>s výnimkou, že sa pacientka zaviaže k úplnej a nepretržitej, mesačne potvrdenej sexuálnej abstinencii.</w:t>
      </w:r>
      <w:r w:rsidR="00525B6F" w:rsidRPr="00525B6F">
        <w:t xml:space="preserve"> </w:t>
      </w:r>
      <w:r w:rsidR="00525B6F" w:rsidRPr="00525B6F">
        <w:rPr>
          <w:rFonts w:eastAsia="TimesNewRomanPSMT"/>
          <w:szCs w:val="22"/>
          <w:lang w:eastAsia="en-US"/>
        </w:rPr>
        <w:t>Ak pacientka ešte nepoužíva účinnú antikoncepciu, musí byť odporučená k vyškolenému zdravotníckemu pracovníkovi, ktorý jej poradí s výberom vhodnej antikoncepcie, aby mohla začať s jej používaním</w:t>
      </w:r>
      <w:r w:rsidRPr="00512310">
        <w:rPr>
          <w:szCs w:val="22"/>
          <w:lang w:eastAsia="en-US"/>
        </w:rPr>
        <w:t>.</w:t>
      </w:r>
    </w:p>
    <w:p w14:paraId="380E8B57" w14:textId="77777777" w:rsidR="006B7F12" w:rsidRPr="00512310" w:rsidRDefault="006B7F12" w:rsidP="00934489">
      <w:pPr>
        <w:autoSpaceDE w:val="0"/>
        <w:autoSpaceDN w:val="0"/>
        <w:adjustRightInd w:val="0"/>
        <w:ind w:left="0" w:firstLine="0"/>
        <w:rPr>
          <w:szCs w:val="22"/>
          <w:lang w:eastAsia="en-US"/>
        </w:rPr>
      </w:pPr>
    </w:p>
    <w:p w14:paraId="21044B5E" w14:textId="77777777" w:rsidR="00934489" w:rsidRPr="00512310" w:rsidRDefault="00934489" w:rsidP="00934489">
      <w:pPr>
        <w:autoSpaceDE w:val="0"/>
        <w:autoSpaceDN w:val="0"/>
        <w:adjustRightInd w:val="0"/>
        <w:ind w:left="0" w:firstLine="0"/>
        <w:rPr>
          <w:rFonts w:eastAsia="TimesNewRomanPSMT"/>
          <w:szCs w:val="22"/>
          <w:lang w:eastAsia="en-US"/>
        </w:rPr>
      </w:pPr>
      <w:r w:rsidRPr="00512310">
        <w:rPr>
          <w:rFonts w:eastAsia="TimesNewRomanPSMT"/>
          <w:szCs w:val="22"/>
          <w:lang w:eastAsia="en-US"/>
        </w:rPr>
        <w:t>Nasledovné príklady sa môžu považovať za vhodné metódy antikoncepcie:</w:t>
      </w:r>
    </w:p>
    <w:p w14:paraId="3CCC28EB" w14:textId="77777777" w:rsidR="00934489" w:rsidRPr="00512310" w:rsidRDefault="00934489" w:rsidP="00934489">
      <w:pPr>
        <w:autoSpaceDE w:val="0"/>
        <w:autoSpaceDN w:val="0"/>
        <w:adjustRightInd w:val="0"/>
        <w:ind w:left="0" w:firstLine="0"/>
        <w:rPr>
          <w:szCs w:val="22"/>
          <w:lang w:eastAsia="en-US"/>
        </w:rPr>
      </w:pPr>
      <w:r w:rsidRPr="00512310">
        <w:rPr>
          <w:rFonts w:eastAsia="SymbolMT"/>
          <w:szCs w:val="22"/>
          <w:lang w:eastAsia="en-US"/>
        </w:rPr>
        <w:t>•</w:t>
      </w:r>
      <w:r w:rsidR="006B7F12" w:rsidRPr="00512310">
        <w:rPr>
          <w:rFonts w:eastAsia="SymbolMT"/>
          <w:szCs w:val="22"/>
          <w:lang w:eastAsia="en-US"/>
        </w:rPr>
        <w:tab/>
      </w:r>
      <w:r w:rsidRPr="00512310">
        <w:rPr>
          <w:szCs w:val="22"/>
          <w:lang w:eastAsia="en-US"/>
        </w:rPr>
        <w:t>Implantát</w:t>
      </w:r>
    </w:p>
    <w:p w14:paraId="7F4A9C0E" w14:textId="77777777" w:rsidR="00934489" w:rsidRPr="00512310" w:rsidRDefault="00934489" w:rsidP="00934489">
      <w:pPr>
        <w:autoSpaceDE w:val="0"/>
        <w:autoSpaceDN w:val="0"/>
        <w:adjustRightInd w:val="0"/>
        <w:ind w:left="0" w:firstLine="0"/>
        <w:rPr>
          <w:rFonts w:eastAsia="TimesNewRomanPSMT"/>
          <w:szCs w:val="22"/>
          <w:lang w:eastAsia="en-US"/>
        </w:rPr>
      </w:pPr>
      <w:r w:rsidRPr="00512310">
        <w:rPr>
          <w:rFonts w:eastAsia="SymbolMT"/>
          <w:szCs w:val="22"/>
          <w:lang w:eastAsia="en-US"/>
        </w:rPr>
        <w:t>•</w:t>
      </w:r>
      <w:r w:rsidR="006B7F12" w:rsidRPr="00512310">
        <w:rPr>
          <w:rFonts w:eastAsia="SymbolMT"/>
          <w:szCs w:val="22"/>
          <w:lang w:eastAsia="en-US"/>
        </w:rPr>
        <w:tab/>
      </w:r>
      <w:r w:rsidRPr="00512310">
        <w:rPr>
          <w:rFonts w:eastAsia="TimesNewRomanPSMT"/>
          <w:szCs w:val="22"/>
          <w:lang w:eastAsia="en-US"/>
        </w:rPr>
        <w:t>Vnútromaternicový systém (intrauterine system, IUS) uvoľňujúci levonorgestrel</w:t>
      </w:r>
    </w:p>
    <w:p w14:paraId="6C51B95F" w14:textId="77777777" w:rsidR="00934489" w:rsidRPr="00512310" w:rsidRDefault="00934489" w:rsidP="00934489">
      <w:pPr>
        <w:autoSpaceDE w:val="0"/>
        <w:autoSpaceDN w:val="0"/>
        <w:adjustRightInd w:val="0"/>
        <w:ind w:left="0" w:firstLine="0"/>
        <w:rPr>
          <w:szCs w:val="22"/>
          <w:lang w:eastAsia="en-US"/>
        </w:rPr>
      </w:pPr>
      <w:r w:rsidRPr="00512310">
        <w:rPr>
          <w:rFonts w:eastAsia="SymbolMT"/>
          <w:szCs w:val="22"/>
          <w:lang w:eastAsia="en-US"/>
        </w:rPr>
        <w:t>•</w:t>
      </w:r>
      <w:r w:rsidR="006B7F12" w:rsidRPr="00512310">
        <w:rPr>
          <w:rFonts w:eastAsia="SymbolMT"/>
          <w:szCs w:val="22"/>
          <w:lang w:eastAsia="en-US"/>
        </w:rPr>
        <w:tab/>
      </w:r>
      <w:r w:rsidRPr="00512310">
        <w:rPr>
          <w:szCs w:val="22"/>
          <w:lang w:eastAsia="en-US"/>
        </w:rPr>
        <w:t>Depotný medroxyprogesterónacetát</w:t>
      </w:r>
    </w:p>
    <w:p w14:paraId="16416E1F" w14:textId="77777777" w:rsidR="00934489" w:rsidRPr="00512310" w:rsidRDefault="00934489" w:rsidP="00934489">
      <w:pPr>
        <w:autoSpaceDE w:val="0"/>
        <w:autoSpaceDN w:val="0"/>
        <w:adjustRightInd w:val="0"/>
        <w:ind w:left="0" w:firstLine="0"/>
        <w:rPr>
          <w:rFonts w:eastAsia="TimesNewRomanPSMT"/>
          <w:szCs w:val="22"/>
          <w:lang w:eastAsia="en-US"/>
        </w:rPr>
      </w:pPr>
      <w:r w:rsidRPr="00512310">
        <w:rPr>
          <w:rFonts w:eastAsia="SymbolMT"/>
          <w:szCs w:val="22"/>
          <w:lang w:eastAsia="en-US"/>
        </w:rPr>
        <w:t>•</w:t>
      </w:r>
      <w:r w:rsidR="002175A6" w:rsidRPr="00512310">
        <w:rPr>
          <w:rFonts w:eastAsia="SymbolMT"/>
          <w:szCs w:val="22"/>
          <w:lang w:eastAsia="en-US"/>
        </w:rPr>
        <w:tab/>
      </w:r>
      <w:r w:rsidRPr="00512310">
        <w:rPr>
          <w:rFonts w:eastAsia="TimesNewRomanPSMT"/>
          <w:szCs w:val="22"/>
          <w:lang w:eastAsia="en-US"/>
        </w:rPr>
        <w:t>Sterilizácia vajíčkovodov</w:t>
      </w:r>
    </w:p>
    <w:p w14:paraId="672A516F" w14:textId="77777777" w:rsidR="00934489" w:rsidRPr="00512310" w:rsidRDefault="00934489" w:rsidP="002175A6">
      <w:pPr>
        <w:autoSpaceDE w:val="0"/>
        <w:autoSpaceDN w:val="0"/>
        <w:adjustRightInd w:val="0"/>
        <w:ind w:left="709" w:hanging="709"/>
        <w:rPr>
          <w:szCs w:val="22"/>
          <w:lang w:eastAsia="en-US"/>
        </w:rPr>
      </w:pPr>
      <w:r w:rsidRPr="00512310">
        <w:rPr>
          <w:rFonts w:eastAsia="SymbolMT"/>
          <w:szCs w:val="22"/>
          <w:lang w:eastAsia="en-US"/>
        </w:rPr>
        <w:t>•</w:t>
      </w:r>
      <w:r w:rsidR="002175A6" w:rsidRPr="00512310">
        <w:rPr>
          <w:rFonts w:eastAsia="SymbolMT"/>
          <w:szCs w:val="22"/>
          <w:lang w:eastAsia="en-US"/>
        </w:rPr>
        <w:tab/>
      </w:r>
      <w:r w:rsidRPr="00512310">
        <w:rPr>
          <w:rFonts w:eastAsia="TimesNewRomanPSMT"/>
          <w:szCs w:val="22"/>
          <w:lang w:eastAsia="en-US"/>
        </w:rPr>
        <w:t>Sexuálny styk výhradne s partnerom, ktorý podstúpil vazektómiu, pričom vazektómia musí byť</w:t>
      </w:r>
      <w:r w:rsidR="002175A6" w:rsidRPr="00512310">
        <w:rPr>
          <w:rFonts w:eastAsia="TimesNewRomanPSMT"/>
          <w:szCs w:val="22"/>
          <w:lang w:eastAsia="en-US"/>
        </w:rPr>
        <w:t xml:space="preserve"> </w:t>
      </w:r>
      <w:r w:rsidRPr="00512310">
        <w:rPr>
          <w:szCs w:val="22"/>
          <w:lang w:eastAsia="en-US"/>
        </w:rPr>
        <w:t>overená dvomi negatívnymi rozbormi spermy</w:t>
      </w:r>
    </w:p>
    <w:p w14:paraId="5D82F5AD" w14:textId="77777777" w:rsidR="00934489" w:rsidRPr="00512310" w:rsidRDefault="00934489" w:rsidP="00934489">
      <w:pPr>
        <w:autoSpaceDE w:val="0"/>
        <w:autoSpaceDN w:val="0"/>
        <w:adjustRightInd w:val="0"/>
        <w:ind w:left="0" w:firstLine="0"/>
        <w:rPr>
          <w:szCs w:val="22"/>
          <w:lang w:eastAsia="en-US"/>
        </w:rPr>
      </w:pPr>
      <w:r w:rsidRPr="00512310">
        <w:rPr>
          <w:rFonts w:eastAsia="SymbolMT"/>
          <w:szCs w:val="22"/>
          <w:lang w:eastAsia="en-US"/>
        </w:rPr>
        <w:t>•</w:t>
      </w:r>
      <w:r w:rsidR="002175A6" w:rsidRPr="00512310">
        <w:rPr>
          <w:rFonts w:eastAsia="SymbolMT"/>
          <w:szCs w:val="22"/>
          <w:lang w:eastAsia="en-US"/>
        </w:rPr>
        <w:tab/>
      </w:r>
      <w:r w:rsidRPr="00512310">
        <w:rPr>
          <w:szCs w:val="22"/>
          <w:lang w:eastAsia="en-US"/>
        </w:rPr>
        <w:t>Tabletky inhibujúce ovuláciu obsahujúce iba progesterón (t.j. dezogestrel)</w:t>
      </w:r>
    </w:p>
    <w:p w14:paraId="0417CC56" w14:textId="77777777" w:rsidR="002175A6" w:rsidRPr="00512310" w:rsidRDefault="002175A6" w:rsidP="00934489">
      <w:pPr>
        <w:autoSpaceDE w:val="0"/>
        <w:autoSpaceDN w:val="0"/>
        <w:adjustRightInd w:val="0"/>
        <w:ind w:left="0" w:firstLine="0"/>
        <w:rPr>
          <w:rFonts w:eastAsia="TimesNewRomanPSMT"/>
          <w:szCs w:val="22"/>
          <w:lang w:eastAsia="en-US"/>
        </w:rPr>
      </w:pPr>
    </w:p>
    <w:p w14:paraId="2006B498" w14:textId="77777777" w:rsidR="002175A6" w:rsidRPr="00512310" w:rsidRDefault="00934489" w:rsidP="002175A6">
      <w:pPr>
        <w:autoSpaceDE w:val="0"/>
        <w:autoSpaceDN w:val="0"/>
        <w:adjustRightInd w:val="0"/>
        <w:ind w:left="0" w:firstLine="0"/>
        <w:rPr>
          <w:rFonts w:eastAsia="TimesNewRomanPSMT"/>
          <w:szCs w:val="22"/>
          <w:lang w:eastAsia="en-US"/>
        </w:rPr>
      </w:pPr>
      <w:r w:rsidRPr="00512310">
        <w:rPr>
          <w:rFonts w:eastAsia="TimesNewRomanPSMT"/>
          <w:szCs w:val="22"/>
          <w:lang w:eastAsia="en-US"/>
        </w:rPr>
        <w:t>Z dôvodu zvýšeného rizika venózneho tromboembolizmu u pacientov s mnohopočetným myelómom</w:t>
      </w:r>
      <w:r w:rsidR="002175A6" w:rsidRPr="00512310">
        <w:rPr>
          <w:rFonts w:eastAsia="TimesNewRomanPSMT"/>
          <w:szCs w:val="22"/>
          <w:lang w:eastAsia="en-US"/>
        </w:rPr>
        <w:t xml:space="preserve"> </w:t>
      </w:r>
      <w:r w:rsidRPr="00512310">
        <w:rPr>
          <w:rFonts w:eastAsia="TimesNewRomanPSMT"/>
          <w:szCs w:val="22"/>
          <w:lang w:eastAsia="en-US"/>
        </w:rPr>
        <w:t>užívajúcich lenalidomid v kombinovanej liečbe, v menšej miere u pacientov s mnohopočetným</w:t>
      </w:r>
      <w:r w:rsidR="002175A6" w:rsidRPr="00512310">
        <w:rPr>
          <w:rFonts w:eastAsia="TimesNewRomanPSMT"/>
          <w:szCs w:val="22"/>
          <w:lang w:eastAsia="en-US"/>
        </w:rPr>
        <w:t xml:space="preserve"> </w:t>
      </w:r>
      <w:r w:rsidRPr="00512310">
        <w:rPr>
          <w:rFonts w:eastAsia="TimesNewRomanPSMT"/>
          <w:szCs w:val="22"/>
          <w:lang w:eastAsia="en-US"/>
        </w:rPr>
        <w:t>myelómom, myelodysplastickým syndrómom a lymfómom z plášťových buniek užívajúcich monoterapiu</w:t>
      </w:r>
      <w:r w:rsidR="002175A6" w:rsidRPr="00512310">
        <w:rPr>
          <w:rFonts w:eastAsia="TimesNewRomanPSMT"/>
          <w:szCs w:val="22"/>
          <w:lang w:eastAsia="en-US"/>
        </w:rPr>
        <w:t xml:space="preserve"> </w:t>
      </w:r>
      <w:r w:rsidRPr="00512310">
        <w:rPr>
          <w:rFonts w:eastAsia="TimesNewRomanPSMT"/>
          <w:szCs w:val="22"/>
          <w:lang w:eastAsia="en-US"/>
        </w:rPr>
        <w:t>lenalidomidom sa neodporúčajú kombinované perorálne antikoncepčné tabletky (pozri tiež časť 4.5). Ak</w:t>
      </w:r>
      <w:r w:rsidR="002175A6" w:rsidRPr="00512310">
        <w:rPr>
          <w:rFonts w:eastAsia="TimesNewRomanPSMT"/>
          <w:szCs w:val="22"/>
          <w:lang w:eastAsia="en-US"/>
        </w:rPr>
        <w:t xml:space="preserve"> </w:t>
      </w:r>
      <w:r w:rsidRPr="00512310">
        <w:rPr>
          <w:rFonts w:eastAsia="TimesNewRomanPSMT"/>
          <w:szCs w:val="22"/>
          <w:lang w:eastAsia="en-US"/>
        </w:rPr>
        <w:t>pacientka momentálne používa kombinovanú perorálnu antikoncepciu, má prejsť na jednu z vyššie</w:t>
      </w:r>
      <w:r w:rsidR="002175A6" w:rsidRPr="00512310">
        <w:rPr>
          <w:rFonts w:eastAsia="TimesNewRomanPSMT"/>
          <w:szCs w:val="22"/>
          <w:lang w:eastAsia="en-US"/>
        </w:rPr>
        <w:t xml:space="preserve"> </w:t>
      </w:r>
      <w:r w:rsidRPr="00512310">
        <w:rPr>
          <w:rFonts w:eastAsia="TimesNewRomanPSMT"/>
          <w:szCs w:val="22"/>
          <w:lang w:eastAsia="en-US"/>
        </w:rPr>
        <w:t>uvedených účinných metód antikoncepcie. Riziko venózneho tromboembolizmu pokračuje počas 4 až</w:t>
      </w:r>
      <w:r w:rsidR="002175A6" w:rsidRPr="00512310">
        <w:rPr>
          <w:rFonts w:eastAsia="TimesNewRomanPSMT"/>
          <w:szCs w:val="22"/>
          <w:lang w:eastAsia="en-US"/>
        </w:rPr>
        <w:t xml:space="preserve"> </w:t>
      </w:r>
      <w:r w:rsidRPr="00512310">
        <w:rPr>
          <w:rFonts w:eastAsia="TimesNewRomanPSMT"/>
          <w:szCs w:val="22"/>
          <w:lang w:eastAsia="en-US"/>
        </w:rPr>
        <w:t xml:space="preserve">6 týždňov po prerušení užívania kombinovanej perorálnej antikoncepcie. </w:t>
      </w:r>
      <w:r w:rsidR="002175A6" w:rsidRPr="00512310">
        <w:rPr>
          <w:rFonts w:eastAsia="TimesNewRomanPSMT"/>
          <w:szCs w:val="22"/>
          <w:lang w:eastAsia="en-US"/>
        </w:rPr>
        <w:lastRenderedPageBreak/>
        <w:t>Účinnosť antikoncepčných steroidov sa počas súbežnej liečby dexametazónom môže znížiť (pozri časť 4.5).</w:t>
      </w:r>
    </w:p>
    <w:p w14:paraId="3C4AEB48" w14:textId="77777777" w:rsidR="002175A6" w:rsidRPr="00512310" w:rsidRDefault="002175A6" w:rsidP="002175A6">
      <w:pPr>
        <w:autoSpaceDE w:val="0"/>
        <w:autoSpaceDN w:val="0"/>
        <w:adjustRightInd w:val="0"/>
        <w:ind w:left="0" w:firstLine="0"/>
        <w:rPr>
          <w:rFonts w:eastAsia="TimesNewRomanPSMT"/>
          <w:szCs w:val="22"/>
          <w:lang w:eastAsia="en-US"/>
        </w:rPr>
      </w:pPr>
    </w:p>
    <w:p w14:paraId="21310E9D" w14:textId="77777777" w:rsidR="002175A6" w:rsidRPr="00512310" w:rsidRDefault="002175A6" w:rsidP="002175A6">
      <w:pPr>
        <w:autoSpaceDE w:val="0"/>
        <w:autoSpaceDN w:val="0"/>
        <w:adjustRightInd w:val="0"/>
        <w:ind w:left="0" w:firstLine="0"/>
        <w:rPr>
          <w:rFonts w:eastAsia="TimesNewRomanPSMT"/>
          <w:szCs w:val="22"/>
          <w:lang w:eastAsia="en-US"/>
        </w:rPr>
      </w:pPr>
      <w:r w:rsidRPr="00512310">
        <w:rPr>
          <w:rFonts w:eastAsia="TimesNewRomanPSMT"/>
          <w:szCs w:val="22"/>
          <w:lang w:eastAsia="en-US"/>
        </w:rPr>
        <w:t>Implantáty a vnútromaternicové systémy uvoľňujúce levonorgestrel sa spájajú so zvýšeným rizikom infekcie v čase zavádzania a nepravidelného vaginálneho krvácania. Antibiotická profylaxia sa má zvážiť najmä u pacientok s neutropéniou.</w:t>
      </w:r>
    </w:p>
    <w:p w14:paraId="720A4E43" w14:textId="77777777" w:rsidR="002175A6" w:rsidRPr="00512310" w:rsidRDefault="002175A6" w:rsidP="002175A6">
      <w:pPr>
        <w:autoSpaceDE w:val="0"/>
        <w:autoSpaceDN w:val="0"/>
        <w:adjustRightInd w:val="0"/>
        <w:ind w:left="0" w:firstLine="0"/>
        <w:rPr>
          <w:rFonts w:eastAsia="TimesNewRomanPSMT"/>
          <w:szCs w:val="22"/>
          <w:lang w:eastAsia="en-US"/>
        </w:rPr>
      </w:pPr>
    </w:p>
    <w:p w14:paraId="10694725" w14:textId="77777777" w:rsidR="002175A6" w:rsidRPr="00512310" w:rsidRDefault="002175A6" w:rsidP="002175A6">
      <w:pPr>
        <w:autoSpaceDE w:val="0"/>
        <w:autoSpaceDN w:val="0"/>
        <w:adjustRightInd w:val="0"/>
        <w:ind w:left="0" w:firstLine="0"/>
        <w:rPr>
          <w:rFonts w:eastAsia="TimesNewRomanPSMT"/>
          <w:szCs w:val="22"/>
          <w:lang w:eastAsia="en-US"/>
        </w:rPr>
      </w:pPr>
      <w:r w:rsidRPr="00512310">
        <w:rPr>
          <w:rFonts w:eastAsia="TimesNewRomanPSMT"/>
          <w:szCs w:val="22"/>
          <w:lang w:eastAsia="en-US"/>
        </w:rPr>
        <w:t>Vnútromaternicové telieska uvoľňujúce meď sa všeobecne neodporúčajú z dôvodu potenciálnych rizík infekcie v čase zavádzania a straty menštruačnej krvi, čo môže ohroziť pacientky s neutropéniou alebo trombocytopéniou.</w:t>
      </w:r>
    </w:p>
    <w:p w14:paraId="31DB1203" w14:textId="77777777" w:rsidR="002175A6" w:rsidRPr="00512310" w:rsidRDefault="002175A6" w:rsidP="002175A6">
      <w:pPr>
        <w:autoSpaceDE w:val="0"/>
        <w:autoSpaceDN w:val="0"/>
        <w:adjustRightInd w:val="0"/>
        <w:ind w:left="0" w:firstLine="0"/>
        <w:rPr>
          <w:rFonts w:eastAsia="TimesNewRomanPSMT"/>
          <w:szCs w:val="22"/>
          <w:lang w:eastAsia="en-US"/>
        </w:rPr>
      </w:pPr>
    </w:p>
    <w:p w14:paraId="3C4EC014" w14:textId="77777777" w:rsidR="002175A6" w:rsidRPr="00512310" w:rsidRDefault="002175A6" w:rsidP="002175A6">
      <w:pPr>
        <w:autoSpaceDE w:val="0"/>
        <w:autoSpaceDN w:val="0"/>
        <w:adjustRightInd w:val="0"/>
        <w:ind w:left="0" w:firstLine="0"/>
        <w:rPr>
          <w:rFonts w:eastAsia="TimesNewRomanPSMT"/>
          <w:szCs w:val="22"/>
          <w:u w:val="single"/>
          <w:lang w:eastAsia="en-US"/>
        </w:rPr>
      </w:pPr>
      <w:r w:rsidRPr="00512310">
        <w:rPr>
          <w:rFonts w:eastAsia="TimesNewRomanPSMT"/>
          <w:szCs w:val="22"/>
          <w:u w:val="single"/>
          <w:lang w:eastAsia="en-US"/>
        </w:rPr>
        <w:t>Tehotenské testy</w:t>
      </w:r>
    </w:p>
    <w:p w14:paraId="342B8194" w14:textId="77777777" w:rsidR="002175A6" w:rsidRPr="00512310" w:rsidRDefault="002175A6" w:rsidP="002175A6">
      <w:pPr>
        <w:autoSpaceDE w:val="0"/>
        <w:autoSpaceDN w:val="0"/>
        <w:adjustRightInd w:val="0"/>
        <w:ind w:left="0" w:firstLine="0"/>
        <w:rPr>
          <w:rFonts w:eastAsia="TimesNewRomanPSMT"/>
          <w:szCs w:val="22"/>
          <w:lang w:eastAsia="en-US"/>
        </w:rPr>
      </w:pPr>
      <w:r w:rsidRPr="00512310">
        <w:rPr>
          <w:rFonts w:eastAsia="TimesNewRomanPSMT"/>
          <w:szCs w:val="22"/>
          <w:lang w:eastAsia="en-US"/>
        </w:rPr>
        <w:t>U žien, ktoré môžu otehotnieť, sa musia v súlade s odporúčaniami pod lekárskym dohľadom vykonať tehotenské testy minimálne s citlivosťou 25 mIU/ml, ako sa uvádza nižšie. Táto požiadavka platí aj pre ženy, ktoré môžu otehotnieť a dodržiavajú úplnú a nepretržitú sexuálnu abstinenciu. V ideálnom prípade sa má uskutočniť tehotenský test, predpísanie a vydanie lieku v rovnaký deň. Lenalidomid sa má vydať ženám, ktoré môžu otehotnieť, do 7 dní od jeho predpísania.</w:t>
      </w:r>
    </w:p>
    <w:p w14:paraId="0416DB18" w14:textId="77777777" w:rsidR="002175A6" w:rsidRPr="00512310" w:rsidRDefault="002175A6" w:rsidP="002175A6">
      <w:pPr>
        <w:autoSpaceDE w:val="0"/>
        <w:autoSpaceDN w:val="0"/>
        <w:adjustRightInd w:val="0"/>
        <w:ind w:left="0" w:firstLine="0"/>
        <w:rPr>
          <w:rFonts w:eastAsia="TimesNewRomanPSMT"/>
          <w:i/>
          <w:iCs/>
          <w:szCs w:val="22"/>
          <w:lang w:eastAsia="en-US"/>
        </w:rPr>
      </w:pPr>
    </w:p>
    <w:p w14:paraId="7BDFD067" w14:textId="77777777" w:rsidR="002175A6" w:rsidRPr="00512310" w:rsidRDefault="002175A6" w:rsidP="002175A6">
      <w:pPr>
        <w:autoSpaceDE w:val="0"/>
        <w:autoSpaceDN w:val="0"/>
        <w:adjustRightInd w:val="0"/>
        <w:ind w:left="0" w:firstLine="0"/>
        <w:rPr>
          <w:rFonts w:eastAsia="TimesNewRomanPSMT"/>
          <w:i/>
          <w:iCs/>
          <w:szCs w:val="22"/>
          <w:lang w:eastAsia="en-US"/>
        </w:rPr>
      </w:pPr>
      <w:r w:rsidRPr="00512310">
        <w:rPr>
          <w:rFonts w:eastAsia="TimesNewRomanPSMT"/>
          <w:i/>
          <w:iCs/>
          <w:szCs w:val="22"/>
          <w:lang w:eastAsia="en-US"/>
        </w:rPr>
        <w:t>Pred začatím liečby</w:t>
      </w:r>
    </w:p>
    <w:p w14:paraId="544AF175" w14:textId="1DBFF52C" w:rsidR="002175A6" w:rsidRPr="00512310" w:rsidRDefault="002175A6" w:rsidP="002175A6">
      <w:pPr>
        <w:autoSpaceDE w:val="0"/>
        <w:autoSpaceDN w:val="0"/>
        <w:adjustRightInd w:val="0"/>
        <w:ind w:left="0" w:firstLine="0"/>
        <w:rPr>
          <w:rFonts w:eastAsia="TimesNewRomanPSMT"/>
          <w:szCs w:val="22"/>
          <w:lang w:eastAsia="en-US"/>
        </w:rPr>
      </w:pPr>
      <w:r w:rsidRPr="00512310">
        <w:rPr>
          <w:rFonts w:eastAsia="TimesNewRomanPSMT"/>
          <w:szCs w:val="22"/>
          <w:lang w:eastAsia="en-US"/>
        </w:rPr>
        <w:t>Ak pacientka už aspoň 4 týždne používala účinnú antikoncepciu, má byť počas konzultácie pri predpisovaní lenalidomidu, alebo 3 dni pred návštevou u predpisujúceho lekára, vykonaný tehotenský test pod lekárskym dohľadom. Tento test má zaručiť, že pacientka nie je pri začatí liečby lenalidomidom tehotná.</w:t>
      </w:r>
    </w:p>
    <w:p w14:paraId="5A1E0106" w14:textId="77777777" w:rsidR="002175A6" w:rsidRPr="00512310" w:rsidRDefault="002175A6" w:rsidP="002175A6">
      <w:pPr>
        <w:autoSpaceDE w:val="0"/>
        <w:autoSpaceDN w:val="0"/>
        <w:adjustRightInd w:val="0"/>
        <w:ind w:left="0" w:firstLine="0"/>
        <w:rPr>
          <w:rFonts w:eastAsia="TimesNewRomanPSMT"/>
          <w:i/>
          <w:iCs/>
          <w:szCs w:val="22"/>
          <w:lang w:eastAsia="en-US"/>
        </w:rPr>
      </w:pPr>
    </w:p>
    <w:p w14:paraId="4C1A361F" w14:textId="77777777" w:rsidR="002175A6" w:rsidRPr="00512310" w:rsidRDefault="002175A6" w:rsidP="002175A6">
      <w:pPr>
        <w:autoSpaceDE w:val="0"/>
        <w:autoSpaceDN w:val="0"/>
        <w:adjustRightInd w:val="0"/>
        <w:ind w:left="0" w:firstLine="0"/>
        <w:rPr>
          <w:rFonts w:eastAsia="TimesNewRomanPSMT"/>
          <w:i/>
          <w:iCs/>
          <w:szCs w:val="22"/>
          <w:lang w:eastAsia="en-US"/>
        </w:rPr>
      </w:pPr>
      <w:r w:rsidRPr="00512310">
        <w:rPr>
          <w:rFonts w:eastAsia="TimesNewRomanPSMT"/>
          <w:i/>
          <w:iCs/>
          <w:szCs w:val="22"/>
          <w:lang w:eastAsia="en-US"/>
        </w:rPr>
        <w:t>Sledovanie a ukončenie liečby</w:t>
      </w:r>
    </w:p>
    <w:p w14:paraId="249B0F2B" w14:textId="77777777" w:rsidR="002175A6" w:rsidRPr="00512310" w:rsidRDefault="002175A6" w:rsidP="002175A6">
      <w:pPr>
        <w:autoSpaceDE w:val="0"/>
        <w:autoSpaceDN w:val="0"/>
        <w:adjustRightInd w:val="0"/>
        <w:ind w:left="0" w:firstLine="0"/>
        <w:rPr>
          <w:rFonts w:eastAsia="TimesNewRomanPSMT"/>
          <w:szCs w:val="22"/>
          <w:lang w:eastAsia="en-US"/>
        </w:rPr>
      </w:pPr>
      <w:r w:rsidRPr="00512310">
        <w:rPr>
          <w:rFonts w:eastAsia="TimesNewRomanPSMT"/>
          <w:szCs w:val="22"/>
          <w:lang w:eastAsia="en-US"/>
        </w:rPr>
        <w:t>Tehotenský test pod lekárskym dohľadom sa má opakovať každé 4 týždne, vrátane 4 týždňov po ukončení liečby, s výnimkou prípadu potvrdenej sterilizácie vajíčkovodov. Tieto tehotenské testy sa majú vykonávať v deň návštevy u lekára pri predpísaní lieku alebo počas 3 dní pred návštevou u predpisujúceho lekára.</w:t>
      </w:r>
    </w:p>
    <w:p w14:paraId="6BA1982B" w14:textId="77777777" w:rsidR="002175A6" w:rsidRPr="00512310" w:rsidRDefault="002175A6" w:rsidP="002175A6">
      <w:pPr>
        <w:autoSpaceDE w:val="0"/>
        <w:autoSpaceDN w:val="0"/>
        <w:adjustRightInd w:val="0"/>
        <w:ind w:left="0" w:firstLine="0"/>
        <w:rPr>
          <w:rFonts w:eastAsia="TimesNewRomanPSMT"/>
          <w:szCs w:val="22"/>
          <w:lang w:eastAsia="en-US"/>
        </w:rPr>
      </w:pPr>
    </w:p>
    <w:p w14:paraId="3157A8A0" w14:textId="77777777" w:rsidR="002175A6" w:rsidRPr="00512310" w:rsidRDefault="002175A6" w:rsidP="002175A6">
      <w:pPr>
        <w:autoSpaceDE w:val="0"/>
        <w:autoSpaceDN w:val="0"/>
        <w:adjustRightInd w:val="0"/>
        <w:ind w:left="0" w:firstLine="0"/>
        <w:rPr>
          <w:rFonts w:eastAsia="TimesNewRomanPSMT"/>
          <w:szCs w:val="22"/>
          <w:u w:val="single"/>
          <w:lang w:eastAsia="en-US"/>
        </w:rPr>
      </w:pPr>
      <w:r w:rsidRPr="00512310">
        <w:rPr>
          <w:rFonts w:eastAsia="TimesNewRomanPSMT"/>
          <w:szCs w:val="22"/>
          <w:u w:val="single"/>
          <w:lang w:eastAsia="en-US"/>
        </w:rPr>
        <w:t>Ďalšie preventívne opatrenia</w:t>
      </w:r>
    </w:p>
    <w:p w14:paraId="0AECD779" w14:textId="77777777" w:rsidR="002175A6" w:rsidRPr="00512310" w:rsidRDefault="002175A6" w:rsidP="002175A6">
      <w:pPr>
        <w:autoSpaceDE w:val="0"/>
        <w:autoSpaceDN w:val="0"/>
        <w:adjustRightInd w:val="0"/>
        <w:ind w:left="0" w:firstLine="0"/>
        <w:rPr>
          <w:rFonts w:eastAsia="TimesNewRomanPSMT"/>
          <w:szCs w:val="22"/>
          <w:lang w:eastAsia="en-US"/>
        </w:rPr>
      </w:pPr>
      <w:r w:rsidRPr="00512310">
        <w:rPr>
          <w:rFonts w:eastAsia="TimesNewRomanPSMT"/>
          <w:szCs w:val="22"/>
          <w:lang w:eastAsia="en-US"/>
        </w:rPr>
        <w:t>Pacienti majú byť poučení o tom, že nikdy nesmú dať tento liek inej osobe, a že po ukončení liečby majú kvôli bezpečnej likvidácii vrátiť všetky nepoužité kapsuly svojmu lekárnikovi.</w:t>
      </w:r>
    </w:p>
    <w:p w14:paraId="3B12EC2A" w14:textId="77777777" w:rsidR="002175A6" w:rsidRPr="00512310" w:rsidRDefault="002175A6" w:rsidP="002175A6">
      <w:pPr>
        <w:autoSpaceDE w:val="0"/>
        <w:autoSpaceDN w:val="0"/>
        <w:adjustRightInd w:val="0"/>
        <w:ind w:left="0" w:firstLine="0"/>
        <w:rPr>
          <w:rFonts w:eastAsia="TimesNewRomanPSMT"/>
          <w:szCs w:val="22"/>
          <w:lang w:eastAsia="en-US"/>
        </w:rPr>
      </w:pPr>
    </w:p>
    <w:p w14:paraId="5FFACB5E" w14:textId="77777777" w:rsidR="002175A6" w:rsidRPr="00512310" w:rsidRDefault="002175A6" w:rsidP="002175A6">
      <w:pPr>
        <w:autoSpaceDE w:val="0"/>
        <w:autoSpaceDN w:val="0"/>
        <w:adjustRightInd w:val="0"/>
        <w:ind w:left="0" w:firstLine="0"/>
        <w:rPr>
          <w:rFonts w:eastAsia="TimesNewRomanPSMT"/>
          <w:szCs w:val="22"/>
          <w:lang w:eastAsia="en-US"/>
        </w:rPr>
      </w:pPr>
      <w:r w:rsidRPr="00512310">
        <w:rPr>
          <w:rFonts w:eastAsia="TimesNewRomanPSMT"/>
          <w:szCs w:val="22"/>
          <w:lang w:eastAsia="en-US"/>
        </w:rPr>
        <w:t>Pacienti nesmú darovať krv počas liečby a 1 týždeň po ukončení užívania lenalidomidu.</w:t>
      </w:r>
    </w:p>
    <w:p w14:paraId="3358B342" w14:textId="77777777" w:rsidR="002175A6" w:rsidRPr="00512310" w:rsidRDefault="002175A6" w:rsidP="002175A6">
      <w:pPr>
        <w:autoSpaceDE w:val="0"/>
        <w:autoSpaceDN w:val="0"/>
        <w:adjustRightInd w:val="0"/>
        <w:ind w:left="0" w:firstLine="0"/>
        <w:rPr>
          <w:rFonts w:eastAsia="TimesNewRomanPSMT"/>
          <w:szCs w:val="22"/>
          <w:lang w:eastAsia="en-US"/>
        </w:rPr>
      </w:pPr>
    </w:p>
    <w:p w14:paraId="6CE1CA35" w14:textId="77777777" w:rsidR="002175A6" w:rsidRPr="00512310" w:rsidRDefault="002175A6" w:rsidP="002175A6">
      <w:pPr>
        <w:autoSpaceDE w:val="0"/>
        <w:autoSpaceDN w:val="0"/>
        <w:adjustRightInd w:val="0"/>
        <w:ind w:left="0" w:firstLine="0"/>
        <w:rPr>
          <w:rFonts w:eastAsia="TimesNewRomanPSMT"/>
          <w:szCs w:val="22"/>
          <w:u w:val="single"/>
          <w:lang w:eastAsia="en-US"/>
        </w:rPr>
      </w:pPr>
      <w:r w:rsidRPr="00512310">
        <w:rPr>
          <w:rFonts w:eastAsia="TimesNewRomanPSMT"/>
          <w:szCs w:val="22"/>
          <w:u w:val="single"/>
          <w:lang w:eastAsia="en-US"/>
        </w:rPr>
        <w:t>Edukačné materiály, obmedzenia preskripcie a výdaja lieku</w:t>
      </w:r>
    </w:p>
    <w:p w14:paraId="2D174E4A" w14:textId="77777777" w:rsidR="00BD22F1" w:rsidRPr="00512310" w:rsidRDefault="00BD22F1" w:rsidP="00BD22F1">
      <w:pPr>
        <w:autoSpaceDE w:val="0"/>
        <w:autoSpaceDN w:val="0"/>
        <w:adjustRightInd w:val="0"/>
        <w:ind w:left="0" w:firstLine="0"/>
        <w:rPr>
          <w:rFonts w:eastAsia="TimesNewRomanPSMT"/>
          <w:szCs w:val="22"/>
          <w:lang w:eastAsia="en-US"/>
        </w:rPr>
      </w:pPr>
      <w:r w:rsidRPr="00512310">
        <w:rPr>
          <w:rFonts w:eastAsia="TimesNewRomanPSMT"/>
          <w:szCs w:val="22"/>
          <w:lang w:eastAsia="en-US"/>
        </w:rPr>
        <w:t>V snahe pomôcť pacientom predísť expozícii plodu lenalidomidom, držiteľ rozhodnutia o registrácii</w:t>
      </w:r>
      <w:r w:rsidR="002D0F5C" w:rsidRPr="00512310">
        <w:rPr>
          <w:rFonts w:eastAsia="TimesNewRomanPSMT"/>
          <w:szCs w:val="22"/>
          <w:lang w:eastAsia="en-US"/>
        </w:rPr>
        <w:t xml:space="preserve"> </w:t>
      </w:r>
      <w:r w:rsidRPr="00512310">
        <w:rPr>
          <w:rFonts w:eastAsia="TimesNewRomanPSMT"/>
          <w:szCs w:val="22"/>
          <w:lang w:eastAsia="en-US"/>
        </w:rPr>
        <w:t>poskytne zdravotníckym pracovníkom edukačné materiály, ktorých cieľom je zdôrazniť upozornenia</w:t>
      </w:r>
      <w:r w:rsidR="002D0F5C" w:rsidRPr="00512310">
        <w:rPr>
          <w:rFonts w:eastAsia="TimesNewRomanPSMT"/>
          <w:szCs w:val="22"/>
          <w:lang w:eastAsia="en-US"/>
        </w:rPr>
        <w:t xml:space="preserve"> </w:t>
      </w:r>
      <w:r w:rsidRPr="00512310">
        <w:rPr>
          <w:rFonts w:eastAsia="TimesNewRomanPSMT"/>
          <w:szCs w:val="22"/>
          <w:lang w:eastAsia="en-US"/>
        </w:rPr>
        <w:t>týkajúce sa očakávaných teratogénnych účinkov lenalidomidu, poskytnúť rady týkajúce sa antikoncepcie</w:t>
      </w:r>
      <w:r w:rsidR="002D0F5C" w:rsidRPr="00512310">
        <w:rPr>
          <w:rFonts w:eastAsia="TimesNewRomanPSMT"/>
          <w:szCs w:val="22"/>
          <w:lang w:eastAsia="en-US"/>
        </w:rPr>
        <w:t xml:space="preserve"> </w:t>
      </w:r>
      <w:r w:rsidRPr="00512310">
        <w:rPr>
          <w:rFonts w:eastAsia="TimesNewRomanPSMT"/>
          <w:szCs w:val="22"/>
          <w:lang w:eastAsia="en-US"/>
        </w:rPr>
        <w:t>pred začatím liečby a poskytnúť návod na potrebné tehotenské testy. Predpisujúci lekár musí informovať</w:t>
      </w:r>
      <w:r w:rsidR="002D0F5C" w:rsidRPr="00512310">
        <w:rPr>
          <w:rFonts w:eastAsia="TimesNewRomanPSMT"/>
          <w:szCs w:val="22"/>
          <w:lang w:eastAsia="en-US"/>
        </w:rPr>
        <w:t xml:space="preserve"> </w:t>
      </w:r>
      <w:r w:rsidRPr="00512310">
        <w:rPr>
          <w:rFonts w:eastAsia="TimesNewRomanPSMT"/>
          <w:szCs w:val="22"/>
          <w:lang w:eastAsia="en-US"/>
        </w:rPr>
        <w:t>pacientov - mužov a ženy - o predpokladanom teratogénnom riziku a o prísnych opatreniach na prevenciu</w:t>
      </w:r>
      <w:r w:rsidR="002D0F5C" w:rsidRPr="00512310">
        <w:rPr>
          <w:rFonts w:eastAsia="TimesNewRomanPSMT"/>
          <w:szCs w:val="22"/>
          <w:lang w:eastAsia="en-US"/>
        </w:rPr>
        <w:t xml:space="preserve"> </w:t>
      </w:r>
      <w:r w:rsidRPr="00512310">
        <w:rPr>
          <w:rFonts w:eastAsia="TimesNewRomanPSMT"/>
          <w:szCs w:val="22"/>
          <w:lang w:eastAsia="en-US"/>
        </w:rPr>
        <w:t>gravidity špecifikovaných v Programe prevencie gravidity a poskytnúť pacientom vhodnú vzdelávaciu</w:t>
      </w:r>
      <w:r w:rsidR="002D0F5C" w:rsidRPr="00512310">
        <w:rPr>
          <w:rFonts w:eastAsia="TimesNewRomanPSMT"/>
          <w:szCs w:val="22"/>
          <w:lang w:eastAsia="en-US"/>
        </w:rPr>
        <w:t xml:space="preserve"> </w:t>
      </w:r>
      <w:r w:rsidRPr="00512310">
        <w:rPr>
          <w:rFonts w:eastAsia="TimesNewRomanPSMT"/>
          <w:szCs w:val="22"/>
          <w:lang w:eastAsia="en-US"/>
        </w:rPr>
        <w:t>brožúru, kartu pacienta a/alebo ekvivalentnú pomôcku v súlade s národným systémom kariet pacienta.</w:t>
      </w:r>
      <w:r w:rsidR="002D0F5C" w:rsidRPr="00512310">
        <w:rPr>
          <w:rFonts w:eastAsia="TimesNewRomanPSMT"/>
          <w:szCs w:val="22"/>
          <w:lang w:eastAsia="en-US"/>
        </w:rPr>
        <w:t xml:space="preserve"> </w:t>
      </w:r>
      <w:r w:rsidRPr="00512310">
        <w:rPr>
          <w:rFonts w:eastAsia="TimesNewRomanPSMT"/>
          <w:szCs w:val="22"/>
          <w:lang w:eastAsia="en-US"/>
        </w:rPr>
        <w:t>Národný systém kontrolovanej distribúcie bol implementovaný v spolupráci s príslušným národným</w:t>
      </w:r>
      <w:r w:rsidR="002D0F5C" w:rsidRPr="00512310">
        <w:rPr>
          <w:rFonts w:eastAsia="TimesNewRomanPSMT"/>
          <w:szCs w:val="22"/>
          <w:lang w:eastAsia="en-US"/>
        </w:rPr>
        <w:t xml:space="preserve"> </w:t>
      </w:r>
      <w:r w:rsidRPr="00512310">
        <w:rPr>
          <w:rFonts w:eastAsia="TimesNewRomanPSMT"/>
          <w:szCs w:val="22"/>
          <w:lang w:eastAsia="en-US"/>
        </w:rPr>
        <w:t>úradom. Systém kontrolovanej distribúcie zahŕňa používanie karty pacienta a/alebo ekvivalentnej</w:t>
      </w:r>
      <w:r w:rsidR="002D0F5C" w:rsidRPr="00512310">
        <w:rPr>
          <w:rFonts w:eastAsia="TimesNewRomanPSMT"/>
          <w:szCs w:val="22"/>
          <w:lang w:eastAsia="en-US"/>
        </w:rPr>
        <w:t xml:space="preserve"> </w:t>
      </w:r>
      <w:r w:rsidRPr="00512310">
        <w:rPr>
          <w:rFonts w:eastAsia="TimesNewRomanPSMT"/>
          <w:szCs w:val="22"/>
          <w:lang w:eastAsia="en-US"/>
        </w:rPr>
        <w:t>pomôcky na kontrolu predpisovania a/alebo výdaja lieku a zbieranie podrobných údajov o indikácii za</w:t>
      </w:r>
      <w:r w:rsidR="002D0F5C" w:rsidRPr="00512310">
        <w:rPr>
          <w:rFonts w:eastAsia="TimesNewRomanPSMT"/>
          <w:szCs w:val="22"/>
          <w:lang w:eastAsia="en-US"/>
        </w:rPr>
        <w:t xml:space="preserve"> </w:t>
      </w:r>
      <w:r w:rsidRPr="00512310">
        <w:rPr>
          <w:rFonts w:eastAsia="TimesNewRomanPSMT"/>
          <w:szCs w:val="22"/>
          <w:lang w:eastAsia="en-US"/>
        </w:rPr>
        <w:t>účelom dôkladného sledovania používania lieku mimo schválenej indikácie v rámci národného územia. V</w:t>
      </w:r>
      <w:r w:rsidR="002D0F5C" w:rsidRPr="00512310">
        <w:rPr>
          <w:rFonts w:eastAsia="TimesNewRomanPSMT"/>
          <w:szCs w:val="22"/>
          <w:lang w:eastAsia="en-US"/>
        </w:rPr>
        <w:t xml:space="preserve"> </w:t>
      </w:r>
      <w:r w:rsidRPr="00512310">
        <w:rPr>
          <w:rFonts w:eastAsia="TimesNewRomanPSMT"/>
          <w:szCs w:val="22"/>
          <w:lang w:eastAsia="en-US"/>
        </w:rPr>
        <w:t>ideálnom prípade sa má tehotenský test, predpísanie a výdaj lieku uskutočniť v rovnaký deň. Lenalidomid</w:t>
      </w:r>
      <w:r w:rsidR="002D0F5C" w:rsidRPr="00512310">
        <w:rPr>
          <w:rFonts w:eastAsia="TimesNewRomanPSMT"/>
          <w:szCs w:val="22"/>
          <w:lang w:eastAsia="en-US"/>
        </w:rPr>
        <w:t xml:space="preserve"> </w:t>
      </w:r>
      <w:r w:rsidRPr="00512310">
        <w:rPr>
          <w:rFonts w:eastAsia="TimesNewRomanPSMT"/>
          <w:szCs w:val="22"/>
          <w:lang w:eastAsia="en-US"/>
        </w:rPr>
        <w:t>sa má vydať ženám, ktoré môžu otehotnieť, do 7 dní od jeho predpísania, na základe negatívneho</w:t>
      </w:r>
      <w:r w:rsidR="002D0F5C" w:rsidRPr="00512310">
        <w:rPr>
          <w:rFonts w:eastAsia="TimesNewRomanPSMT"/>
          <w:szCs w:val="22"/>
          <w:lang w:eastAsia="en-US"/>
        </w:rPr>
        <w:t xml:space="preserve"> </w:t>
      </w:r>
      <w:r w:rsidRPr="00512310">
        <w:rPr>
          <w:rFonts w:eastAsia="TimesNewRomanPSMT"/>
          <w:szCs w:val="22"/>
          <w:lang w:eastAsia="en-US"/>
        </w:rPr>
        <w:t>tehotenského testu uskutočneného pod lekárskym dohľadom.</w:t>
      </w:r>
    </w:p>
    <w:p w14:paraId="72232A3F" w14:textId="77777777" w:rsidR="002D0F5C" w:rsidRPr="00512310" w:rsidRDefault="002D0F5C" w:rsidP="00BD22F1">
      <w:pPr>
        <w:autoSpaceDE w:val="0"/>
        <w:autoSpaceDN w:val="0"/>
        <w:adjustRightInd w:val="0"/>
        <w:ind w:left="0" w:firstLine="0"/>
        <w:rPr>
          <w:rFonts w:eastAsia="TimesNewRomanPSMT"/>
          <w:szCs w:val="22"/>
          <w:lang w:eastAsia="en-US"/>
        </w:rPr>
      </w:pPr>
    </w:p>
    <w:p w14:paraId="4A18AA06" w14:textId="77777777" w:rsidR="00BD22F1" w:rsidRPr="00512310" w:rsidRDefault="00BD22F1" w:rsidP="00BD22F1">
      <w:pPr>
        <w:autoSpaceDE w:val="0"/>
        <w:autoSpaceDN w:val="0"/>
        <w:adjustRightInd w:val="0"/>
        <w:ind w:left="0" w:firstLine="0"/>
        <w:rPr>
          <w:rFonts w:eastAsia="TimesNewRomanPSMT"/>
          <w:szCs w:val="22"/>
          <w:u w:val="single"/>
          <w:lang w:eastAsia="en-US"/>
        </w:rPr>
      </w:pPr>
      <w:r w:rsidRPr="00512310">
        <w:rPr>
          <w:rFonts w:eastAsia="TimesNewRomanPSMT"/>
          <w:szCs w:val="22"/>
          <w:u w:val="single"/>
          <w:lang w:eastAsia="en-US"/>
        </w:rPr>
        <w:t>Ďalšie osobitné upozornenia a opatrenia pri používaní</w:t>
      </w:r>
    </w:p>
    <w:p w14:paraId="2F3F7AD4" w14:textId="77777777" w:rsidR="002D0F5C" w:rsidRPr="00512310" w:rsidRDefault="002D0F5C" w:rsidP="00BD22F1">
      <w:pPr>
        <w:autoSpaceDE w:val="0"/>
        <w:autoSpaceDN w:val="0"/>
        <w:adjustRightInd w:val="0"/>
        <w:ind w:left="0" w:firstLine="0"/>
        <w:rPr>
          <w:rFonts w:eastAsia="TimesNewRomanPSMT"/>
          <w:i/>
          <w:iCs/>
          <w:szCs w:val="22"/>
          <w:lang w:eastAsia="en-US"/>
        </w:rPr>
      </w:pPr>
    </w:p>
    <w:p w14:paraId="3157D7E8" w14:textId="77777777" w:rsidR="00BD22F1" w:rsidRPr="00512310" w:rsidRDefault="00BD22F1" w:rsidP="00BD22F1">
      <w:pPr>
        <w:autoSpaceDE w:val="0"/>
        <w:autoSpaceDN w:val="0"/>
        <w:adjustRightInd w:val="0"/>
        <w:ind w:left="0" w:firstLine="0"/>
        <w:rPr>
          <w:rFonts w:eastAsia="TimesNewRomanPSMT"/>
          <w:i/>
          <w:iCs/>
          <w:szCs w:val="22"/>
          <w:lang w:eastAsia="en-US"/>
        </w:rPr>
      </w:pPr>
      <w:r w:rsidRPr="00512310">
        <w:rPr>
          <w:rFonts w:eastAsia="TimesNewRomanPSMT"/>
          <w:i/>
          <w:iCs/>
          <w:szCs w:val="22"/>
          <w:lang w:eastAsia="en-US"/>
        </w:rPr>
        <w:t>Infarkt myokardu</w:t>
      </w:r>
    </w:p>
    <w:p w14:paraId="12029E4D" w14:textId="77777777" w:rsidR="00BD22F1" w:rsidRPr="00512310" w:rsidRDefault="00BD22F1" w:rsidP="00BD22F1">
      <w:pPr>
        <w:autoSpaceDE w:val="0"/>
        <w:autoSpaceDN w:val="0"/>
        <w:adjustRightInd w:val="0"/>
        <w:ind w:left="0" w:firstLine="0"/>
        <w:rPr>
          <w:rFonts w:eastAsia="TimesNewRomanPSMT"/>
          <w:szCs w:val="22"/>
          <w:lang w:eastAsia="en-US"/>
        </w:rPr>
      </w:pPr>
      <w:r w:rsidRPr="00512310">
        <w:rPr>
          <w:rFonts w:eastAsia="TimesNewRomanPSMT"/>
          <w:szCs w:val="22"/>
          <w:lang w:eastAsia="en-US"/>
        </w:rPr>
        <w:lastRenderedPageBreak/>
        <w:t>U pacientov užívajúcich lenalidomid, najmä u pacientov so známymi rizikovými faktormi a počas prvých</w:t>
      </w:r>
      <w:r w:rsidR="002D0F5C" w:rsidRPr="00512310">
        <w:rPr>
          <w:rFonts w:eastAsia="TimesNewRomanPSMT"/>
          <w:szCs w:val="22"/>
          <w:lang w:eastAsia="en-US"/>
        </w:rPr>
        <w:t xml:space="preserve"> </w:t>
      </w:r>
      <w:r w:rsidRPr="00512310">
        <w:rPr>
          <w:rFonts w:eastAsia="TimesNewRomanPSMT"/>
          <w:szCs w:val="22"/>
          <w:lang w:eastAsia="en-US"/>
        </w:rPr>
        <w:t>12 mesiacov pri použití v kombinácii s dexametazónom, bol zaznamenaný infarkt myokardu. Pacientov</w:t>
      </w:r>
      <w:r w:rsidR="002D0F5C" w:rsidRPr="00512310">
        <w:rPr>
          <w:rFonts w:eastAsia="TimesNewRomanPSMT"/>
          <w:szCs w:val="22"/>
          <w:lang w:eastAsia="en-US"/>
        </w:rPr>
        <w:t xml:space="preserve"> </w:t>
      </w:r>
      <w:r w:rsidRPr="00512310">
        <w:rPr>
          <w:rFonts w:eastAsia="TimesNewRomanPSMT"/>
          <w:szCs w:val="22"/>
          <w:lang w:eastAsia="en-US"/>
        </w:rPr>
        <w:t>so známymi rizikovými faktormi – vrátane predchádzajúcej trombózy – je potrebné starostlivo sledovať</w:t>
      </w:r>
      <w:r w:rsidR="002D0F5C" w:rsidRPr="00512310">
        <w:rPr>
          <w:rFonts w:eastAsia="TimesNewRomanPSMT"/>
          <w:szCs w:val="22"/>
          <w:lang w:eastAsia="en-US"/>
        </w:rPr>
        <w:t xml:space="preserve"> </w:t>
      </w:r>
      <w:r w:rsidRPr="00512310">
        <w:rPr>
          <w:rFonts w:eastAsia="TimesNewRomanPSMT"/>
          <w:szCs w:val="22"/>
          <w:lang w:eastAsia="en-US"/>
        </w:rPr>
        <w:t>a prijať opatrenia na minimalizáciu všetkých modifikovateľných rizikových faktorov (napr. fajčenie,</w:t>
      </w:r>
      <w:r w:rsidR="002D0F5C" w:rsidRPr="00512310">
        <w:rPr>
          <w:rFonts w:eastAsia="TimesNewRomanPSMT"/>
          <w:szCs w:val="22"/>
          <w:lang w:eastAsia="en-US"/>
        </w:rPr>
        <w:t xml:space="preserve"> </w:t>
      </w:r>
      <w:r w:rsidRPr="00512310">
        <w:rPr>
          <w:rFonts w:eastAsia="TimesNewRomanPSMT"/>
          <w:szCs w:val="22"/>
          <w:lang w:eastAsia="en-US"/>
        </w:rPr>
        <w:t>hypertenzia a hyperlipidémia).</w:t>
      </w:r>
    </w:p>
    <w:p w14:paraId="097F9A3C" w14:textId="77777777" w:rsidR="002D0F5C" w:rsidRPr="003A5C41" w:rsidRDefault="002D0F5C" w:rsidP="00BD22F1">
      <w:pPr>
        <w:autoSpaceDE w:val="0"/>
        <w:autoSpaceDN w:val="0"/>
        <w:adjustRightInd w:val="0"/>
        <w:ind w:left="0" w:firstLine="0"/>
        <w:rPr>
          <w:rFonts w:eastAsia="TimesNewRomanPSMT"/>
          <w:i/>
          <w:iCs/>
          <w:szCs w:val="22"/>
          <w:lang w:eastAsia="en-US"/>
        </w:rPr>
      </w:pPr>
    </w:p>
    <w:p w14:paraId="7F4CB45A" w14:textId="77777777" w:rsidR="00BD22F1" w:rsidRPr="00512310" w:rsidRDefault="00BD22F1" w:rsidP="00BD22F1">
      <w:pPr>
        <w:autoSpaceDE w:val="0"/>
        <w:autoSpaceDN w:val="0"/>
        <w:adjustRightInd w:val="0"/>
        <w:ind w:left="0" w:firstLine="0"/>
        <w:rPr>
          <w:rFonts w:eastAsia="TimesNewRomanPSMT"/>
          <w:i/>
          <w:iCs/>
          <w:szCs w:val="22"/>
          <w:lang w:eastAsia="en-US"/>
        </w:rPr>
      </w:pPr>
      <w:r w:rsidRPr="00512310">
        <w:rPr>
          <w:rFonts w:eastAsia="TimesNewRomanPSMT"/>
          <w:i/>
          <w:iCs/>
          <w:szCs w:val="22"/>
          <w:lang w:eastAsia="en-US"/>
        </w:rPr>
        <w:t>Venózne a arteriálne tromboembolické príhody</w:t>
      </w:r>
    </w:p>
    <w:p w14:paraId="3CAFE89E" w14:textId="682D65B5" w:rsidR="00BD22F1" w:rsidRPr="00512310" w:rsidRDefault="00BD22F1" w:rsidP="00BD22F1">
      <w:pPr>
        <w:autoSpaceDE w:val="0"/>
        <w:autoSpaceDN w:val="0"/>
        <w:adjustRightInd w:val="0"/>
        <w:ind w:left="0" w:firstLine="0"/>
        <w:rPr>
          <w:rFonts w:eastAsia="TimesNewRomanPSMT"/>
          <w:szCs w:val="22"/>
          <w:lang w:eastAsia="en-US"/>
        </w:rPr>
      </w:pPr>
      <w:r w:rsidRPr="00512310">
        <w:rPr>
          <w:rFonts w:eastAsia="TimesNewRomanPSMT"/>
          <w:szCs w:val="22"/>
          <w:lang w:eastAsia="en-US"/>
        </w:rPr>
        <w:t>U pacientov s mnohopočetným myelómom je kombinovaná liečba lenalidomidom s dexametazónom</w:t>
      </w:r>
      <w:r w:rsidR="002D0F5C" w:rsidRPr="00512310">
        <w:rPr>
          <w:rFonts w:eastAsia="TimesNewRomanPSMT"/>
          <w:szCs w:val="22"/>
          <w:lang w:eastAsia="en-US"/>
        </w:rPr>
        <w:t xml:space="preserve"> </w:t>
      </w:r>
      <w:r w:rsidRPr="00512310">
        <w:rPr>
          <w:rFonts w:eastAsia="TimesNewRomanPSMT"/>
          <w:szCs w:val="22"/>
          <w:lang w:eastAsia="en-US"/>
        </w:rPr>
        <w:t>spojená so zvýšeným rizikom venóznej tromboembólie (hlavne trombózy hlbokých žíl a pľúcnej embólie)</w:t>
      </w:r>
      <w:r w:rsidR="002D0F5C" w:rsidRPr="00512310">
        <w:rPr>
          <w:rFonts w:eastAsia="TimesNewRomanPSMT"/>
          <w:szCs w:val="22"/>
          <w:lang w:eastAsia="en-US"/>
        </w:rPr>
        <w:t xml:space="preserve"> </w:t>
      </w:r>
      <w:r w:rsidRPr="00512310">
        <w:rPr>
          <w:rFonts w:eastAsia="TimesNewRomanPSMT"/>
          <w:szCs w:val="22"/>
          <w:lang w:eastAsia="en-US"/>
        </w:rPr>
        <w:t>a v menšej miere bol</w:t>
      </w:r>
      <w:r w:rsidR="00525B6F">
        <w:rPr>
          <w:rFonts w:eastAsia="TimesNewRomanPSMT"/>
          <w:szCs w:val="22"/>
          <w:lang w:eastAsia="en-US"/>
        </w:rPr>
        <w:t>a</w:t>
      </w:r>
      <w:r w:rsidRPr="00512310">
        <w:rPr>
          <w:rFonts w:eastAsia="TimesNewRomanPSMT"/>
          <w:szCs w:val="22"/>
          <w:lang w:eastAsia="en-US"/>
        </w:rPr>
        <w:t xml:space="preserve"> pozorovan</w:t>
      </w:r>
      <w:r w:rsidR="00525B6F">
        <w:rPr>
          <w:rFonts w:eastAsia="TimesNewRomanPSMT"/>
          <w:szCs w:val="22"/>
          <w:lang w:eastAsia="en-US"/>
        </w:rPr>
        <w:t>á</w:t>
      </w:r>
      <w:r w:rsidRPr="00512310">
        <w:rPr>
          <w:rFonts w:eastAsia="TimesNewRomanPSMT"/>
          <w:szCs w:val="22"/>
          <w:lang w:eastAsia="en-US"/>
        </w:rPr>
        <w:t xml:space="preserve"> pri lenalidomide v kombinácii s melfalánom a prednizónom.</w:t>
      </w:r>
    </w:p>
    <w:p w14:paraId="437BBC0E" w14:textId="77777777" w:rsidR="00BD22F1" w:rsidRPr="00512310" w:rsidRDefault="00BD22F1" w:rsidP="00BD22F1">
      <w:pPr>
        <w:autoSpaceDE w:val="0"/>
        <w:autoSpaceDN w:val="0"/>
        <w:adjustRightInd w:val="0"/>
        <w:ind w:left="0" w:firstLine="0"/>
        <w:rPr>
          <w:rFonts w:eastAsia="TimesNewRomanPSMT"/>
          <w:szCs w:val="22"/>
          <w:lang w:eastAsia="en-US"/>
        </w:rPr>
      </w:pPr>
      <w:r w:rsidRPr="00512310">
        <w:rPr>
          <w:rFonts w:eastAsia="TimesNewRomanPSMT"/>
          <w:szCs w:val="22"/>
          <w:lang w:eastAsia="en-US"/>
        </w:rPr>
        <w:t>U pacientov s mnohopočetným myelómom, myelodysplastickým syndrómom a lymfómom z plášťových</w:t>
      </w:r>
      <w:r w:rsidR="002D0F5C" w:rsidRPr="00512310">
        <w:rPr>
          <w:rFonts w:eastAsia="TimesNewRomanPSMT"/>
          <w:szCs w:val="22"/>
          <w:lang w:eastAsia="en-US"/>
        </w:rPr>
        <w:t xml:space="preserve"> </w:t>
      </w:r>
      <w:r w:rsidRPr="00512310">
        <w:rPr>
          <w:rFonts w:eastAsia="TimesNewRomanPSMT"/>
          <w:szCs w:val="22"/>
          <w:lang w:eastAsia="en-US"/>
        </w:rPr>
        <w:t>buniek bola monoterapia lenalidomidom spojená s nižším rizikom venóznej trombembólie (hlavne</w:t>
      </w:r>
      <w:r w:rsidR="002D0F5C" w:rsidRPr="00512310">
        <w:rPr>
          <w:rFonts w:eastAsia="TimesNewRomanPSMT"/>
          <w:szCs w:val="22"/>
          <w:lang w:eastAsia="en-US"/>
        </w:rPr>
        <w:t xml:space="preserve"> </w:t>
      </w:r>
      <w:r w:rsidRPr="00512310">
        <w:rPr>
          <w:rFonts w:eastAsia="TimesNewRomanPSMT"/>
          <w:szCs w:val="22"/>
          <w:lang w:eastAsia="en-US"/>
        </w:rPr>
        <w:t>trombózy hlbokých žíl a pľúcnej embólie), ako u pacientov s mnohopočetným myelómom liečených</w:t>
      </w:r>
      <w:r w:rsidR="002D0F5C" w:rsidRPr="00512310">
        <w:rPr>
          <w:rFonts w:eastAsia="TimesNewRomanPSMT"/>
          <w:szCs w:val="22"/>
          <w:lang w:eastAsia="en-US"/>
        </w:rPr>
        <w:t xml:space="preserve"> </w:t>
      </w:r>
      <w:r w:rsidRPr="00512310">
        <w:rPr>
          <w:rFonts w:eastAsia="TimesNewRomanPSMT"/>
          <w:szCs w:val="22"/>
          <w:lang w:eastAsia="en-US"/>
        </w:rPr>
        <w:t>lenalidomidom v kombinovanej liečbe (pozri časti 4.5 a 4.8).</w:t>
      </w:r>
    </w:p>
    <w:p w14:paraId="7CEA49F0" w14:textId="77777777" w:rsidR="002D0F5C" w:rsidRPr="00512310" w:rsidRDefault="002D0F5C" w:rsidP="00BD22F1">
      <w:pPr>
        <w:autoSpaceDE w:val="0"/>
        <w:autoSpaceDN w:val="0"/>
        <w:adjustRightInd w:val="0"/>
        <w:ind w:left="0" w:firstLine="0"/>
        <w:rPr>
          <w:rFonts w:eastAsia="TimesNewRomanPSMT"/>
          <w:szCs w:val="22"/>
          <w:lang w:eastAsia="en-US"/>
        </w:rPr>
      </w:pPr>
    </w:p>
    <w:p w14:paraId="432368C2" w14:textId="77777777" w:rsidR="00FB1611" w:rsidRPr="00512310" w:rsidRDefault="00BD22F1" w:rsidP="00BD22F1">
      <w:pPr>
        <w:autoSpaceDE w:val="0"/>
        <w:autoSpaceDN w:val="0"/>
        <w:adjustRightInd w:val="0"/>
        <w:ind w:left="0" w:firstLine="0"/>
        <w:rPr>
          <w:rFonts w:eastAsia="TimesNewRomanPSMT"/>
          <w:szCs w:val="22"/>
          <w:lang w:eastAsia="en-US"/>
        </w:rPr>
      </w:pPr>
      <w:r w:rsidRPr="00512310">
        <w:rPr>
          <w:rFonts w:eastAsia="TimesNewRomanPSMT"/>
          <w:szCs w:val="22"/>
          <w:lang w:eastAsia="en-US"/>
        </w:rPr>
        <w:t>U pacientov s mnohopočetným myelómom je kombinovaná liečba lenalidomidom s dexametazónom</w:t>
      </w:r>
      <w:r w:rsidR="002D0F5C" w:rsidRPr="00512310">
        <w:rPr>
          <w:rFonts w:eastAsia="TimesNewRomanPSMT"/>
          <w:szCs w:val="22"/>
          <w:lang w:eastAsia="en-US"/>
        </w:rPr>
        <w:t xml:space="preserve"> </w:t>
      </w:r>
      <w:r w:rsidRPr="00512310">
        <w:rPr>
          <w:rFonts w:eastAsia="TimesNewRomanPSMT"/>
          <w:szCs w:val="22"/>
          <w:lang w:eastAsia="en-US"/>
        </w:rPr>
        <w:t>spojená so zvýšeným rizikom arteriálnej tromboembólie (hlavne infarktu myokardu a cerebrovaskulárnej</w:t>
      </w:r>
      <w:r w:rsidR="002D0F5C" w:rsidRPr="00512310">
        <w:rPr>
          <w:rFonts w:eastAsia="TimesNewRomanPSMT"/>
          <w:szCs w:val="22"/>
          <w:lang w:eastAsia="en-US"/>
        </w:rPr>
        <w:t xml:space="preserve"> </w:t>
      </w:r>
      <w:r w:rsidRPr="00512310">
        <w:rPr>
          <w:rFonts w:eastAsia="TimesNewRomanPSMT"/>
          <w:szCs w:val="22"/>
          <w:lang w:eastAsia="en-US"/>
        </w:rPr>
        <w:t>príhody), ktorá bola pozorovaná v menšej miere pri liečbe lenalidomidom v kombinácii s melfalánom a</w:t>
      </w:r>
      <w:r w:rsidR="002D0F5C" w:rsidRPr="00512310">
        <w:rPr>
          <w:rFonts w:eastAsia="TimesNewRomanPSMT"/>
          <w:szCs w:val="22"/>
          <w:lang w:eastAsia="en-US"/>
        </w:rPr>
        <w:t xml:space="preserve"> </w:t>
      </w:r>
      <w:r w:rsidRPr="00512310">
        <w:rPr>
          <w:rFonts w:eastAsia="TimesNewRomanPSMT"/>
          <w:szCs w:val="22"/>
          <w:lang w:eastAsia="en-US"/>
        </w:rPr>
        <w:t xml:space="preserve">prednizónom. Riziko rozvoja ATE </w:t>
      </w:r>
      <w:r w:rsidR="00E07206" w:rsidRPr="00E07206">
        <w:rPr>
          <w:rFonts w:eastAsia="TimesNewRomanPSMT"/>
          <w:szCs w:val="22"/>
          <w:lang w:eastAsia="en-US"/>
        </w:rPr>
        <w:t>(arteriálnej tromboembólie)</w:t>
      </w:r>
      <w:r w:rsidR="00E07206">
        <w:rPr>
          <w:rFonts w:eastAsia="TimesNewRomanPSMT"/>
          <w:szCs w:val="22"/>
          <w:lang w:eastAsia="en-US"/>
        </w:rPr>
        <w:t xml:space="preserve"> </w:t>
      </w:r>
      <w:r w:rsidRPr="00512310">
        <w:rPr>
          <w:rFonts w:eastAsia="TimesNewRomanPSMT"/>
          <w:szCs w:val="22"/>
          <w:lang w:eastAsia="en-US"/>
        </w:rPr>
        <w:t>je nižšie u pacientov s mnohopočetným myelómom liečených</w:t>
      </w:r>
      <w:r w:rsidR="002D0F5C" w:rsidRPr="00512310">
        <w:rPr>
          <w:rFonts w:eastAsia="TimesNewRomanPSMT"/>
          <w:szCs w:val="22"/>
          <w:lang w:eastAsia="en-US"/>
        </w:rPr>
        <w:t xml:space="preserve"> </w:t>
      </w:r>
      <w:r w:rsidRPr="00512310">
        <w:rPr>
          <w:rFonts w:eastAsia="TimesNewRomanPSMT"/>
          <w:szCs w:val="22"/>
          <w:lang w:eastAsia="en-US"/>
        </w:rPr>
        <w:t>lenalidomidom v monoterapii než u pacientov s mnohopočetným myelómom liečených lenalidomidom v</w:t>
      </w:r>
      <w:r w:rsidR="00541D88" w:rsidRPr="00512310">
        <w:rPr>
          <w:rFonts w:eastAsia="TimesNewRomanPSMT"/>
          <w:szCs w:val="22"/>
          <w:lang w:eastAsia="en-US"/>
        </w:rPr>
        <w:t xml:space="preserve"> kombinovanej liečbe.</w:t>
      </w:r>
    </w:p>
    <w:p w14:paraId="4076BBF5" w14:textId="77777777" w:rsidR="00FB1611" w:rsidRPr="00512310" w:rsidRDefault="00FB1611" w:rsidP="00FB1611">
      <w:pPr>
        <w:autoSpaceDE w:val="0"/>
        <w:autoSpaceDN w:val="0"/>
        <w:adjustRightInd w:val="0"/>
        <w:ind w:left="0" w:firstLine="0"/>
        <w:rPr>
          <w:rFonts w:eastAsia="TimesNewRomanPSMT"/>
          <w:szCs w:val="22"/>
          <w:lang w:eastAsia="en-US"/>
        </w:rPr>
      </w:pPr>
    </w:p>
    <w:p w14:paraId="26158BE9" w14:textId="30A3D0F5" w:rsidR="00541D88" w:rsidRPr="00512310" w:rsidRDefault="00541D88" w:rsidP="00541D88">
      <w:pPr>
        <w:autoSpaceDE w:val="0"/>
        <w:autoSpaceDN w:val="0"/>
        <w:adjustRightInd w:val="0"/>
        <w:ind w:left="0" w:firstLine="0"/>
        <w:rPr>
          <w:rFonts w:eastAsia="TimesNewRomanPSMT"/>
          <w:szCs w:val="22"/>
          <w:lang w:eastAsia="en-US"/>
        </w:rPr>
      </w:pPr>
      <w:r w:rsidRPr="00512310">
        <w:rPr>
          <w:szCs w:val="22"/>
          <w:lang w:eastAsia="en-US"/>
        </w:rPr>
        <w:t xml:space="preserve">Preto je potrebné pacientov so známymi rizikovými faktormi pre tromboembóliu – vrátane </w:t>
      </w:r>
      <w:r w:rsidRPr="00512310">
        <w:rPr>
          <w:rFonts w:eastAsia="TimesNewRomanPSMT"/>
          <w:szCs w:val="22"/>
          <w:lang w:eastAsia="en-US"/>
        </w:rPr>
        <w:t xml:space="preserve">predchádzajúcej trombózy – starostlivo sledovať. Je potrebné prijať opatrenia na minimalizáciu všetkých modifikovateľných rizikových faktorov (napr. fajčenie, hypertenzia a hyperlipidémia). </w:t>
      </w:r>
      <w:r w:rsidRPr="00512310">
        <w:rPr>
          <w:szCs w:val="22"/>
          <w:lang w:eastAsia="en-US"/>
        </w:rPr>
        <w:t>Súbe</w:t>
      </w:r>
      <w:r w:rsidRPr="00512310">
        <w:rPr>
          <w:rFonts w:eastAsia="TimesNewRomanPSMT"/>
          <w:szCs w:val="22"/>
          <w:lang w:eastAsia="en-US"/>
        </w:rPr>
        <w:t>ž</w:t>
      </w:r>
      <w:r w:rsidRPr="00512310">
        <w:rPr>
          <w:szCs w:val="22"/>
          <w:lang w:eastAsia="en-US"/>
        </w:rPr>
        <w:t xml:space="preserve">né podávanie erytropoetických látok alebo predchádzajúca anamnéza tromboembolických príhod </w:t>
      </w:r>
      <w:r w:rsidRPr="00512310">
        <w:rPr>
          <w:rFonts w:eastAsia="TimesNewRomanPSMT"/>
          <w:szCs w:val="22"/>
          <w:lang w:eastAsia="en-US"/>
        </w:rPr>
        <w:t xml:space="preserve">môže u týchto pacientov tiež zvyšovať riziko vzniku trombózy. Preto sa erytropoetické látky alebo iné látky, ktoré môžu zvyšovať riziko trombózy, ako napríklad hormonálna substitučná liečba, majú u pacientov s mnohopočetným myelómom, ktorým sa podáva lenalidomid s dexametazónom používať </w:t>
      </w:r>
      <w:r w:rsidR="00E07206">
        <w:rPr>
          <w:rFonts w:eastAsia="TimesNewRomanPSMT"/>
          <w:szCs w:val="22"/>
          <w:lang w:eastAsia="en-US"/>
        </w:rPr>
        <w:t xml:space="preserve">s </w:t>
      </w:r>
      <w:r w:rsidRPr="00512310">
        <w:rPr>
          <w:rFonts w:eastAsia="TimesNewRomanPSMT"/>
          <w:szCs w:val="22"/>
          <w:lang w:eastAsia="en-US"/>
        </w:rPr>
        <w:t>opatrn</w:t>
      </w:r>
      <w:r w:rsidR="00E07206">
        <w:rPr>
          <w:rFonts w:eastAsia="TimesNewRomanPSMT"/>
          <w:szCs w:val="22"/>
          <w:lang w:eastAsia="en-US"/>
        </w:rPr>
        <w:t>osťou</w:t>
      </w:r>
      <w:r w:rsidRPr="00512310">
        <w:rPr>
          <w:rFonts w:eastAsia="TimesNewRomanPSMT"/>
          <w:szCs w:val="22"/>
          <w:lang w:eastAsia="en-US"/>
        </w:rPr>
        <w:t>. Koncentrácia hemoglobínu nad 12 g/dl má viesť k prerušeniu užívania erytropoetických látok.</w:t>
      </w:r>
    </w:p>
    <w:p w14:paraId="23A51E52" w14:textId="77777777" w:rsidR="00541D88" w:rsidRPr="00512310" w:rsidRDefault="00541D88" w:rsidP="00541D88">
      <w:pPr>
        <w:autoSpaceDE w:val="0"/>
        <w:autoSpaceDN w:val="0"/>
        <w:adjustRightInd w:val="0"/>
        <w:ind w:left="0" w:firstLine="0"/>
        <w:rPr>
          <w:rFonts w:eastAsia="TimesNewRomanPSMT"/>
          <w:szCs w:val="22"/>
          <w:lang w:eastAsia="en-US"/>
        </w:rPr>
      </w:pPr>
    </w:p>
    <w:p w14:paraId="1088FDDE" w14:textId="179418AE" w:rsidR="00541D88" w:rsidRPr="00512310" w:rsidRDefault="00541D88" w:rsidP="00541D88">
      <w:pPr>
        <w:autoSpaceDE w:val="0"/>
        <w:autoSpaceDN w:val="0"/>
        <w:adjustRightInd w:val="0"/>
        <w:ind w:left="0" w:firstLine="0"/>
        <w:rPr>
          <w:szCs w:val="22"/>
          <w:lang w:eastAsia="en-US"/>
        </w:rPr>
      </w:pPr>
      <w:r w:rsidRPr="00512310">
        <w:rPr>
          <w:rFonts w:eastAsia="TimesNewRomanPSMT"/>
          <w:szCs w:val="22"/>
          <w:lang w:eastAsia="en-US"/>
        </w:rPr>
        <w:t xml:space="preserve">Pacientom a lekárom sa odporúča pozorne sledovať </w:t>
      </w:r>
      <w:r w:rsidR="00E07206">
        <w:rPr>
          <w:rFonts w:eastAsia="TimesNewRomanPSMT"/>
          <w:szCs w:val="22"/>
          <w:lang w:eastAsia="en-US"/>
        </w:rPr>
        <w:t>prejavy</w:t>
      </w:r>
      <w:r w:rsidRPr="00512310">
        <w:rPr>
          <w:rFonts w:eastAsia="TimesNewRomanPSMT"/>
          <w:szCs w:val="22"/>
          <w:lang w:eastAsia="en-US"/>
        </w:rPr>
        <w:t xml:space="preserve"> a príznaky tromboembolizmu. Pacientov treba poučiť, aby vyhľadali lekársku pomoc, ak sa u nich vyvinú príznaky, ako je dýchavičnosť, bolesť na hrudi, opuch rúk alebo nôh. Profylaktické antitrombotiká sa odporúčajú najmä u pacientov s ďalšími </w:t>
      </w:r>
      <w:r w:rsidRPr="00512310">
        <w:rPr>
          <w:szCs w:val="22"/>
          <w:lang w:eastAsia="en-US"/>
        </w:rPr>
        <w:t xml:space="preserve">rizikovými faktormi pre trombotické problémy. Rozhodnutie o prijatí antitrombotických profylaktických </w:t>
      </w:r>
      <w:r w:rsidRPr="00512310">
        <w:rPr>
          <w:rFonts w:eastAsia="TimesNewRomanPSMT"/>
          <w:szCs w:val="22"/>
          <w:lang w:eastAsia="en-US"/>
        </w:rPr>
        <w:t xml:space="preserve">opatrení sa má uskutočniť po dôkladnom zhodnotení základných rizikových faktorov u jednotlivých </w:t>
      </w:r>
      <w:r w:rsidRPr="00512310">
        <w:rPr>
          <w:szCs w:val="22"/>
          <w:lang w:eastAsia="en-US"/>
        </w:rPr>
        <w:t>pacientov.</w:t>
      </w:r>
    </w:p>
    <w:p w14:paraId="727FEB76" w14:textId="77777777" w:rsidR="00541D88" w:rsidRPr="00512310" w:rsidRDefault="00541D88" w:rsidP="00541D88">
      <w:pPr>
        <w:autoSpaceDE w:val="0"/>
        <w:autoSpaceDN w:val="0"/>
        <w:adjustRightInd w:val="0"/>
        <w:ind w:left="0" w:firstLine="0"/>
        <w:rPr>
          <w:rFonts w:eastAsia="TimesNewRomanPSMT"/>
          <w:szCs w:val="22"/>
          <w:lang w:eastAsia="en-US"/>
        </w:rPr>
      </w:pPr>
    </w:p>
    <w:p w14:paraId="30790873" w14:textId="7A8EB862" w:rsidR="00541D88" w:rsidRPr="00512310" w:rsidRDefault="00541D88" w:rsidP="00541D88">
      <w:pPr>
        <w:autoSpaceDE w:val="0"/>
        <w:autoSpaceDN w:val="0"/>
        <w:adjustRightInd w:val="0"/>
        <w:ind w:left="0" w:firstLine="0"/>
        <w:rPr>
          <w:rFonts w:eastAsia="TimesNewRomanPSMT"/>
          <w:szCs w:val="22"/>
          <w:lang w:eastAsia="en-US"/>
        </w:rPr>
      </w:pPr>
      <w:r w:rsidRPr="00512310">
        <w:rPr>
          <w:rFonts w:eastAsia="TimesNewRomanPSMT"/>
          <w:szCs w:val="22"/>
          <w:lang w:eastAsia="en-US"/>
        </w:rPr>
        <w:t xml:space="preserve">Ak sa u pacienta vyskytne akákoľvek tromboembolická príhoda, liečba sa musí </w:t>
      </w:r>
      <w:r w:rsidR="00E07206">
        <w:rPr>
          <w:rFonts w:eastAsia="TimesNewRomanPSMT"/>
          <w:szCs w:val="22"/>
          <w:lang w:eastAsia="en-US"/>
        </w:rPr>
        <w:t>prerušiť</w:t>
      </w:r>
      <w:r w:rsidRPr="00512310">
        <w:rPr>
          <w:rFonts w:eastAsia="TimesNewRomanPSMT"/>
          <w:szCs w:val="22"/>
          <w:lang w:eastAsia="en-US"/>
        </w:rPr>
        <w:t xml:space="preserve"> a musí sa </w:t>
      </w:r>
      <w:r w:rsidR="00E07206">
        <w:rPr>
          <w:rFonts w:eastAsia="TimesNewRomanPSMT"/>
          <w:szCs w:val="22"/>
          <w:lang w:eastAsia="en-US"/>
        </w:rPr>
        <w:t>začať</w:t>
      </w:r>
      <w:r w:rsidRPr="00512310">
        <w:rPr>
          <w:rFonts w:eastAsia="TimesNewRomanPSMT"/>
          <w:szCs w:val="22"/>
          <w:lang w:eastAsia="en-US"/>
        </w:rPr>
        <w:t xml:space="preserve"> štandardná antikoagulačná liečba. Po stabilizácii pacienta antikoagulačnou liečbou a po zvládnutí všetkých komplikácií tromboembolickej príhody sa môže liečba lenalidomidom znovu začať v pôvodnej dávke v závislosti od posúdenia prínosu a rizika. Pacient má pokračovať v antikoagulačnej liečbe počas liečby lenalidomidom.</w:t>
      </w:r>
    </w:p>
    <w:p w14:paraId="2E4603E9" w14:textId="77777777" w:rsidR="00541D88" w:rsidRPr="00512310" w:rsidRDefault="00541D88" w:rsidP="00541D88">
      <w:pPr>
        <w:autoSpaceDE w:val="0"/>
        <w:autoSpaceDN w:val="0"/>
        <w:adjustRightInd w:val="0"/>
        <w:ind w:left="0" w:firstLine="0"/>
        <w:rPr>
          <w:rFonts w:eastAsia="TimesNewRomanPSMT"/>
          <w:szCs w:val="22"/>
          <w:lang w:eastAsia="en-US"/>
        </w:rPr>
      </w:pPr>
    </w:p>
    <w:p w14:paraId="4F10DD35" w14:textId="77777777" w:rsidR="00541D88" w:rsidRPr="00512310" w:rsidRDefault="00541D88" w:rsidP="00541D88">
      <w:pPr>
        <w:autoSpaceDE w:val="0"/>
        <w:autoSpaceDN w:val="0"/>
        <w:adjustRightInd w:val="0"/>
        <w:ind w:left="0" w:firstLine="0"/>
        <w:rPr>
          <w:i/>
          <w:iCs/>
          <w:szCs w:val="22"/>
          <w:lang w:eastAsia="en-US"/>
        </w:rPr>
      </w:pPr>
      <w:r w:rsidRPr="00512310">
        <w:rPr>
          <w:i/>
          <w:iCs/>
          <w:szCs w:val="22"/>
          <w:lang w:eastAsia="en-US"/>
        </w:rPr>
        <w:t>Neutropénia a trombocytopénia</w:t>
      </w:r>
    </w:p>
    <w:p w14:paraId="550312BE" w14:textId="6DFE53E5" w:rsidR="00541D88" w:rsidRPr="00512310" w:rsidRDefault="00541D88" w:rsidP="00541D88">
      <w:pPr>
        <w:autoSpaceDE w:val="0"/>
        <w:autoSpaceDN w:val="0"/>
        <w:adjustRightInd w:val="0"/>
        <w:ind w:left="0" w:firstLine="0"/>
        <w:rPr>
          <w:rFonts w:eastAsia="TimesNewRomanPSMT"/>
          <w:szCs w:val="22"/>
          <w:lang w:eastAsia="en-US"/>
        </w:rPr>
      </w:pPr>
      <w:r w:rsidRPr="00512310">
        <w:rPr>
          <w:rFonts w:eastAsia="TimesNewRomanPSMT"/>
          <w:szCs w:val="22"/>
          <w:lang w:eastAsia="en-US"/>
        </w:rPr>
        <w:t>Hlavné toxicity obmedzujúce dávku lenalidomidu zahŕňajú neutropéniu a trombocytopéniu. Na začiatku</w:t>
      </w:r>
      <w:r w:rsidR="00FC60FF" w:rsidRPr="00512310">
        <w:rPr>
          <w:rFonts w:eastAsia="TimesNewRomanPSMT"/>
          <w:szCs w:val="22"/>
          <w:lang w:eastAsia="en-US"/>
        </w:rPr>
        <w:t xml:space="preserve"> </w:t>
      </w:r>
      <w:r w:rsidRPr="00512310">
        <w:rPr>
          <w:rFonts w:eastAsia="TimesNewRomanPSMT"/>
          <w:szCs w:val="22"/>
          <w:lang w:eastAsia="en-US"/>
        </w:rPr>
        <w:t>liečby, každý týždeň počas prvých 8 týždňov liečby lenalidomidom a následne každý mesiac sa má</w:t>
      </w:r>
      <w:r w:rsidR="00FC60FF" w:rsidRPr="00512310">
        <w:rPr>
          <w:rFonts w:eastAsia="TimesNewRomanPSMT"/>
          <w:szCs w:val="22"/>
          <w:lang w:eastAsia="en-US"/>
        </w:rPr>
        <w:t xml:space="preserve"> </w:t>
      </w:r>
      <w:r w:rsidRPr="00512310">
        <w:rPr>
          <w:rFonts w:eastAsia="TimesNewRomanPSMT"/>
          <w:szCs w:val="22"/>
          <w:lang w:eastAsia="en-US"/>
        </w:rPr>
        <w:t xml:space="preserve">vyšetriť kompletný krvný obraz, </w:t>
      </w:r>
      <w:r w:rsidR="00E07206">
        <w:rPr>
          <w:rFonts w:eastAsia="TimesNewRomanPSMT"/>
          <w:szCs w:val="22"/>
          <w:lang w:eastAsia="en-US"/>
        </w:rPr>
        <w:t xml:space="preserve">vrátane </w:t>
      </w:r>
      <w:r w:rsidRPr="00512310">
        <w:rPr>
          <w:rFonts w:eastAsia="TimesNewRomanPSMT"/>
          <w:szCs w:val="22"/>
          <w:lang w:eastAsia="en-US"/>
        </w:rPr>
        <w:t>poč</w:t>
      </w:r>
      <w:r w:rsidR="00E07206">
        <w:rPr>
          <w:rFonts w:eastAsia="TimesNewRomanPSMT"/>
          <w:szCs w:val="22"/>
          <w:lang w:eastAsia="en-US"/>
        </w:rPr>
        <w:t>tu</w:t>
      </w:r>
      <w:r w:rsidRPr="00512310">
        <w:rPr>
          <w:rFonts w:eastAsia="TimesNewRomanPSMT"/>
          <w:szCs w:val="22"/>
          <w:lang w:eastAsia="en-US"/>
        </w:rPr>
        <w:t xml:space="preserve"> leukocytov</w:t>
      </w:r>
      <w:r w:rsidR="00E07206">
        <w:rPr>
          <w:rFonts w:eastAsia="TimesNewRomanPSMT"/>
          <w:szCs w:val="22"/>
          <w:lang w:eastAsia="en-US"/>
        </w:rPr>
        <w:t xml:space="preserve"> a</w:t>
      </w:r>
      <w:r w:rsidR="00DD1E44">
        <w:rPr>
          <w:rFonts w:eastAsia="TimesNewRomanPSMT"/>
          <w:szCs w:val="22"/>
          <w:lang w:eastAsia="en-US"/>
        </w:rPr>
        <w:t xml:space="preserve"> ich </w:t>
      </w:r>
      <w:r w:rsidR="00E07206">
        <w:rPr>
          <w:rFonts w:eastAsia="TimesNewRomanPSMT"/>
          <w:szCs w:val="22"/>
          <w:lang w:eastAsia="en-US"/>
        </w:rPr>
        <w:t>diferenciálneho počtu</w:t>
      </w:r>
      <w:r w:rsidRPr="00512310">
        <w:rPr>
          <w:rFonts w:eastAsia="TimesNewRomanPSMT"/>
          <w:szCs w:val="22"/>
          <w:lang w:eastAsia="en-US"/>
        </w:rPr>
        <w:t>, počtu trombocytov, hladiny</w:t>
      </w:r>
      <w:r w:rsidR="00FC60FF" w:rsidRPr="00512310">
        <w:rPr>
          <w:rFonts w:eastAsia="TimesNewRomanPSMT"/>
          <w:szCs w:val="22"/>
          <w:lang w:eastAsia="en-US"/>
        </w:rPr>
        <w:t xml:space="preserve"> </w:t>
      </w:r>
      <w:r w:rsidRPr="00512310">
        <w:rPr>
          <w:rFonts w:eastAsia="TimesNewRomanPSMT"/>
          <w:szCs w:val="22"/>
          <w:lang w:eastAsia="en-US"/>
        </w:rPr>
        <w:t>hemoglobínu a hematokritu kvôli sledovaniu cytopénií. U pacientov s lymfómom z plášťových buniek má</w:t>
      </w:r>
      <w:r w:rsidR="00FC60FF" w:rsidRPr="00512310">
        <w:rPr>
          <w:rFonts w:eastAsia="TimesNewRomanPSMT"/>
          <w:szCs w:val="22"/>
          <w:lang w:eastAsia="en-US"/>
        </w:rPr>
        <w:t xml:space="preserve"> </w:t>
      </w:r>
      <w:r w:rsidRPr="00512310">
        <w:rPr>
          <w:rFonts w:eastAsia="TimesNewRomanPSMT"/>
          <w:szCs w:val="22"/>
          <w:lang w:eastAsia="en-US"/>
        </w:rPr>
        <w:t xml:space="preserve">byť </w:t>
      </w:r>
      <w:r w:rsidR="00DD1E44">
        <w:rPr>
          <w:rFonts w:eastAsia="TimesNewRomanPSMT"/>
          <w:szCs w:val="22"/>
          <w:lang w:eastAsia="en-US"/>
        </w:rPr>
        <w:t xml:space="preserve">režim </w:t>
      </w:r>
      <w:r w:rsidRPr="00512310">
        <w:rPr>
          <w:rFonts w:eastAsia="TimesNewRomanPSMT"/>
          <w:szCs w:val="22"/>
          <w:lang w:eastAsia="en-US"/>
        </w:rPr>
        <w:t>sledovani</w:t>
      </w:r>
      <w:r w:rsidR="00DD1E44">
        <w:rPr>
          <w:rFonts w:eastAsia="TimesNewRomanPSMT"/>
          <w:szCs w:val="22"/>
          <w:lang w:eastAsia="en-US"/>
        </w:rPr>
        <w:t>a</w:t>
      </w:r>
      <w:r w:rsidRPr="00512310">
        <w:rPr>
          <w:rFonts w:eastAsia="TimesNewRomanPSMT"/>
          <w:szCs w:val="22"/>
          <w:lang w:eastAsia="en-US"/>
        </w:rPr>
        <w:t xml:space="preserve"> v 3. a 4. cykle každé dva týždne a následne na začiatku každého cyklu. Môže byť potrebné</w:t>
      </w:r>
      <w:r w:rsidR="00FC60FF" w:rsidRPr="00512310">
        <w:rPr>
          <w:rFonts w:eastAsia="TimesNewRomanPSMT"/>
          <w:szCs w:val="22"/>
          <w:lang w:eastAsia="en-US"/>
        </w:rPr>
        <w:t xml:space="preserve"> </w:t>
      </w:r>
      <w:r w:rsidRPr="00512310">
        <w:rPr>
          <w:rFonts w:eastAsia="TimesNewRomanPSMT"/>
          <w:szCs w:val="22"/>
          <w:lang w:eastAsia="en-US"/>
        </w:rPr>
        <w:t>zníženie dávky (pozri časť 4.2).</w:t>
      </w:r>
    </w:p>
    <w:p w14:paraId="71F2F0B7" w14:textId="77777777" w:rsidR="00541D88" w:rsidRPr="00512310" w:rsidRDefault="00541D88" w:rsidP="00541D88">
      <w:pPr>
        <w:autoSpaceDE w:val="0"/>
        <w:autoSpaceDN w:val="0"/>
        <w:adjustRightInd w:val="0"/>
        <w:ind w:left="0" w:firstLine="0"/>
        <w:rPr>
          <w:rFonts w:eastAsia="TimesNewRomanPSMT"/>
          <w:szCs w:val="22"/>
          <w:lang w:eastAsia="en-US"/>
        </w:rPr>
      </w:pPr>
      <w:r w:rsidRPr="00512310">
        <w:rPr>
          <w:rFonts w:eastAsia="TimesNewRomanPSMT"/>
          <w:szCs w:val="22"/>
          <w:lang w:eastAsia="en-US"/>
        </w:rPr>
        <w:t>V prípade neutropénie má lekár pri liečbe pacienta zvážiť použitie rastových faktorov. Pacienti majú byť</w:t>
      </w:r>
      <w:r w:rsidR="00FC60FF" w:rsidRPr="00512310">
        <w:rPr>
          <w:rFonts w:eastAsia="TimesNewRomanPSMT"/>
          <w:szCs w:val="22"/>
          <w:lang w:eastAsia="en-US"/>
        </w:rPr>
        <w:t xml:space="preserve"> </w:t>
      </w:r>
      <w:r w:rsidRPr="00512310">
        <w:rPr>
          <w:rFonts w:eastAsia="TimesNewRomanPSMT"/>
          <w:szCs w:val="22"/>
          <w:lang w:eastAsia="en-US"/>
        </w:rPr>
        <w:t>poučení, aby ihneď hlásili febrilné epizódy.</w:t>
      </w:r>
    </w:p>
    <w:p w14:paraId="100999B0" w14:textId="77777777" w:rsidR="00541D88" w:rsidRPr="00512310" w:rsidRDefault="00541D88" w:rsidP="00541D88">
      <w:pPr>
        <w:autoSpaceDE w:val="0"/>
        <w:autoSpaceDN w:val="0"/>
        <w:adjustRightInd w:val="0"/>
        <w:ind w:left="0" w:firstLine="0"/>
        <w:rPr>
          <w:szCs w:val="22"/>
          <w:lang w:eastAsia="en-US"/>
        </w:rPr>
      </w:pPr>
      <w:r w:rsidRPr="00512310">
        <w:rPr>
          <w:rFonts w:eastAsia="TimesNewRomanPSMT"/>
          <w:szCs w:val="22"/>
          <w:lang w:eastAsia="en-US"/>
        </w:rPr>
        <w:lastRenderedPageBreak/>
        <w:t>Pacientom a lekárom sa odporúča pozorne sledovať prejavy a príznaky krvácania, vrátane petechií a</w:t>
      </w:r>
      <w:r w:rsidR="00FC60FF" w:rsidRPr="00512310">
        <w:rPr>
          <w:rFonts w:eastAsia="TimesNewRomanPSMT"/>
          <w:szCs w:val="22"/>
          <w:lang w:eastAsia="en-US"/>
        </w:rPr>
        <w:t xml:space="preserve"> </w:t>
      </w:r>
      <w:r w:rsidRPr="00512310">
        <w:rPr>
          <w:rFonts w:eastAsia="TimesNewRomanPSMT"/>
          <w:szCs w:val="22"/>
          <w:lang w:eastAsia="en-US"/>
        </w:rPr>
        <w:t>epistaxy, najmä u pacientov, ktorí súbežne užívajú lieky náchylné na vyvolanie krvácania (pozri časť 4.8,</w:t>
      </w:r>
      <w:r w:rsidR="00FC60FF" w:rsidRPr="00512310">
        <w:rPr>
          <w:rFonts w:eastAsia="TimesNewRomanPSMT"/>
          <w:szCs w:val="22"/>
          <w:lang w:eastAsia="en-US"/>
        </w:rPr>
        <w:t xml:space="preserve"> </w:t>
      </w:r>
      <w:r w:rsidRPr="00512310">
        <w:rPr>
          <w:szCs w:val="22"/>
          <w:lang w:eastAsia="en-US"/>
        </w:rPr>
        <w:t>Hemoragické poruchy).</w:t>
      </w:r>
    </w:p>
    <w:p w14:paraId="5B59BC7E" w14:textId="50E5600B" w:rsidR="00FB1611" w:rsidRPr="00512310" w:rsidRDefault="00541D88" w:rsidP="00541D88">
      <w:pPr>
        <w:autoSpaceDE w:val="0"/>
        <w:autoSpaceDN w:val="0"/>
        <w:adjustRightInd w:val="0"/>
        <w:ind w:left="0" w:firstLine="0"/>
        <w:rPr>
          <w:rFonts w:eastAsia="TimesNewRomanPSMT"/>
          <w:szCs w:val="22"/>
          <w:lang w:eastAsia="en-US"/>
        </w:rPr>
      </w:pPr>
      <w:r w:rsidRPr="00512310">
        <w:rPr>
          <w:rFonts w:eastAsia="TimesNewRomanPSMT"/>
          <w:szCs w:val="22"/>
          <w:lang w:eastAsia="en-US"/>
        </w:rPr>
        <w:t xml:space="preserve">Pri súbežnom podávaní lenalidomidu s inými myelosupresívnymi látkami sa má postupovať </w:t>
      </w:r>
      <w:r w:rsidR="00DD1E44">
        <w:rPr>
          <w:rFonts w:eastAsia="TimesNewRomanPSMT"/>
          <w:szCs w:val="22"/>
          <w:lang w:eastAsia="en-US"/>
        </w:rPr>
        <w:t xml:space="preserve">s </w:t>
      </w:r>
      <w:r w:rsidRPr="00512310">
        <w:rPr>
          <w:rFonts w:eastAsia="TimesNewRomanPSMT"/>
          <w:szCs w:val="22"/>
          <w:lang w:eastAsia="en-US"/>
        </w:rPr>
        <w:t>opatrn</w:t>
      </w:r>
      <w:r w:rsidR="00DD1E44">
        <w:rPr>
          <w:rFonts w:eastAsia="TimesNewRomanPSMT"/>
          <w:szCs w:val="22"/>
          <w:lang w:eastAsia="en-US"/>
        </w:rPr>
        <w:t>osťou</w:t>
      </w:r>
      <w:r w:rsidRPr="00512310">
        <w:rPr>
          <w:rFonts w:eastAsia="TimesNewRomanPSMT"/>
          <w:szCs w:val="22"/>
          <w:lang w:eastAsia="en-US"/>
        </w:rPr>
        <w:t>.</w:t>
      </w:r>
    </w:p>
    <w:p w14:paraId="1CA11986" w14:textId="77777777" w:rsidR="00FB1611" w:rsidRPr="00512310" w:rsidRDefault="00FB1611" w:rsidP="00FB1611">
      <w:pPr>
        <w:autoSpaceDE w:val="0"/>
        <w:autoSpaceDN w:val="0"/>
        <w:adjustRightInd w:val="0"/>
        <w:ind w:left="0" w:firstLine="0"/>
        <w:rPr>
          <w:rFonts w:eastAsia="TimesNewRomanPSMT"/>
          <w:szCs w:val="22"/>
          <w:lang w:eastAsia="en-US"/>
        </w:rPr>
      </w:pPr>
    </w:p>
    <w:p w14:paraId="6B5CE4CC" w14:textId="5EE7C694" w:rsidR="008623D2" w:rsidRPr="00512310" w:rsidRDefault="000932CA" w:rsidP="008A650F">
      <w:pPr>
        <w:numPr>
          <w:ilvl w:val="0"/>
          <w:numId w:val="4"/>
        </w:numPr>
        <w:autoSpaceDE w:val="0"/>
        <w:autoSpaceDN w:val="0"/>
        <w:adjustRightInd w:val="0"/>
        <w:ind w:left="709" w:hanging="709"/>
        <w:rPr>
          <w:rFonts w:eastAsia="TimesNewRomanPSMT"/>
          <w:i/>
          <w:szCs w:val="22"/>
          <w:lang w:eastAsia="en-US"/>
        </w:rPr>
      </w:pPr>
      <w:r>
        <w:rPr>
          <w:rFonts w:eastAsia="TimesNewRomanPSMT"/>
          <w:i/>
          <w:szCs w:val="22"/>
          <w:lang w:eastAsia="en-US"/>
        </w:rPr>
        <w:t>Novo</w:t>
      </w:r>
      <w:r w:rsidR="008623D2" w:rsidRPr="00512310">
        <w:rPr>
          <w:rFonts w:eastAsia="TimesNewRomanPSMT"/>
          <w:i/>
          <w:szCs w:val="22"/>
          <w:lang w:eastAsia="en-US"/>
        </w:rPr>
        <w:t>diagnostikovaný mnohopočetný myelóm: pacienti, ktorí podstúpili ASCT, liečení udržiavacou dávkou lenalidomidu</w:t>
      </w:r>
    </w:p>
    <w:p w14:paraId="65C24C03" w14:textId="0AA2568C" w:rsidR="008623D2" w:rsidRPr="00512310" w:rsidRDefault="008623D2" w:rsidP="008623D2">
      <w:pPr>
        <w:autoSpaceDE w:val="0"/>
        <w:autoSpaceDN w:val="0"/>
        <w:adjustRightInd w:val="0"/>
        <w:ind w:left="0" w:firstLine="0"/>
        <w:rPr>
          <w:rFonts w:eastAsia="TimesNewRomanPSMT"/>
          <w:szCs w:val="22"/>
          <w:lang w:eastAsia="en-US"/>
        </w:rPr>
      </w:pPr>
      <w:r w:rsidRPr="00512310">
        <w:rPr>
          <w:rFonts w:eastAsia="TimesNewRomanPSMT"/>
          <w:szCs w:val="22"/>
          <w:lang w:eastAsia="en-US"/>
        </w:rPr>
        <w:t>Nežiaduce reakcie v štúdii CALGB 100104 obsahovali udalosti hlásené po vysokej dávke melfal</w:t>
      </w:r>
      <w:r w:rsidR="006C5DF8">
        <w:rPr>
          <w:rFonts w:eastAsia="TimesNewRomanPSMT"/>
          <w:szCs w:val="22"/>
          <w:lang w:eastAsia="en-US"/>
        </w:rPr>
        <w:t>á</w:t>
      </w:r>
      <w:r w:rsidRPr="00512310">
        <w:rPr>
          <w:rFonts w:eastAsia="TimesNewRomanPSMT"/>
          <w:szCs w:val="22"/>
          <w:lang w:eastAsia="en-US"/>
        </w:rPr>
        <w:t>nu a ASCT (HDM/ASCT) a tiež udalosti z obdobia udržiavacej liečby. Druhá analýza identifikovala udalosti, ktoré sa vyskytli po začatí udržiavacej liečby. V štúdii IFM 2005-02 boli nežiaduce reakcie len z obdobia udržiavacej liečby.</w:t>
      </w:r>
    </w:p>
    <w:p w14:paraId="69EAEA20" w14:textId="77777777" w:rsidR="008623D2" w:rsidRPr="00512310" w:rsidRDefault="008623D2" w:rsidP="008623D2">
      <w:pPr>
        <w:autoSpaceDE w:val="0"/>
        <w:autoSpaceDN w:val="0"/>
        <w:adjustRightInd w:val="0"/>
        <w:ind w:left="0" w:firstLine="0"/>
        <w:rPr>
          <w:rFonts w:eastAsia="TimesNewRomanPSMT"/>
          <w:szCs w:val="22"/>
          <w:lang w:eastAsia="en-US"/>
        </w:rPr>
      </w:pPr>
    </w:p>
    <w:p w14:paraId="7424C210" w14:textId="634B54A7" w:rsidR="008623D2" w:rsidRPr="00512310" w:rsidRDefault="008623D2" w:rsidP="008623D2">
      <w:pPr>
        <w:autoSpaceDE w:val="0"/>
        <w:autoSpaceDN w:val="0"/>
        <w:adjustRightInd w:val="0"/>
        <w:ind w:left="0" w:firstLine="0"/>
        <w:rPr>
          <w:rFonts w:eastAsia="TimesNewRomanPSMT"/>
          <w:szCs w:val="22"/>
          <w:lang w:eastAsia="en-US"/>
        </w:rPr>
      </w:pPr>
      <w:r w:rsidRPr="00512310">
        <w:rPr>
          <w:rFonts w:eastAsia="TimesNewRomanPSMT"/>
          <w:szCs w:val="22"/>
          <w:lang w:eastAsia="en-US"/>
        </w:rPr>
        <w:t xml:space="preserve">Celkovo bola neutropénia 4. stupňa pozorovaná v </w:t>
      </w:r>
      <w:r w:rsidR="00DD1E44">
        <w:rPr>
          <w:rFonts w:eastAsia="TimesNewRomanPSMT"/>
          <w:szCs w:val="22"/>
          <w:lang w:eastAsia="en-US"/>
        </w:rPr>
        <w:t>skupinách</w:t>
      </w:r>
      <w:r w:rsidRPr="00512310">
        <w:rPr>
          <w:rFonts w:eastAsia="TimesNewRomanPSMT"/>
          <w:szCs w:val="22"/>
          <w:lang w:eastAsia="en-US"/>
        </w:rPr>
        <w:t xml:space="preserve"> s udržiavacou dávkou lenalidomidu vo zvýšenej miere v porovnaní s</w:t>
      </w:r>
      <w:r w:rsidR="00DD1E44">
        <w:rPr>
          <w:rFonts w:eastAsia="TimesNewRomanPSMT"/>
          <w:szCs w:val="22"/>
          <w:lang w:eastAsia="en-US"/>
        </w:rPr>
        <w:t>o</w:t>
      </w:r>
      <w:r w:rsidRPr="00512310">
        <w:rPr>
          <w:rFonts w:eastAsia="TimesNewRomanPSMT"/>
          <w:szCs w:val="22"/>
          <w:lang w:eastAsia="en-US"/>
        </w:rPr>
        <w:t xml:space="preserve"> </w:t>
      </w:r>
      <w:r w:rsidR="00DD1E44">
        <w:rPr>
          <w:rFonts w:eastAsia="TimesNewRomanPSMT"/>
          <w:szCs w:val="22"/>
          <w:lang w:eastAsia="en-US"/>
        </w:rPr>
        <w:t>skupinami</w:t>
      </w:r>
      <w:r w:rsidRPr="00512310">
        <w:rPr>
          <w:rFonts w:eastAsia="TimesNewRomanPSMT"/>
          <w:szCs w:val="22"/>
          <w:lang w:eastAsia="en-US"/>
        </w:rPr>
        <w:t xml:space="preserve"> s placebom v udržiavacej terapii v dvoch štúdiách hodnotiacich lenalidomid v udržiavacej dávke u pacientov s NDMM, ktorí podstúpili ASCT (32,1% </w:t>
      </w:r>
      <w:r w:rsidR="00CD7FE1" w:rsidRPr="00512310">
        <w:rPr>
          <w:rFonts w:eastAsia="TimesNewRomanPSMT"/>
          <w:szCs w:val="22"/>
          <w:lang w:eastAsia="en-US"/>
        </w:rPr>
        <w:t>oproti</w:t>
      </w:r>
      <w:r w:rsidRPr="00512310">
        <w:rPr>
          <w:rFonts w:eastAsia="TimesNewRomanPSMT"/>
          <w:szCs w:val="22"/>
          <w:lang w:eastAsia="en-US"/>
        </w:rPr>
        <w:t xml:space="preserve"> 26,7% (16,1% oproti 1,8% po začiatku udržiavacej liečby)) v CALGB 100104 a 16,4% oproti 0,7% v IFM 2005-02 v uvedenom poradí). Neutropénia ako nežiaduca udalosť súvisiaca s liečbou, vedúca k prerušeniu liečby lenalidomidom, bola hlásená u 2,2% pacientov v CALGB 100104 a 2,4% pacientov v IFM 2005-02 v uvedenom poradí. Febrilná neutropénia 4. stupňa bola hlásená s podobnou frekvenciou v </w:t>
      </w:r>
      <w:r w:rsidR="00DD1E44">
        <w:rPr>
          <w:rFonts w:eastAsia="TimesNewRomanPSMT"/>
          <w:szCs w:val="22"/>
          <w:lang w:eastAsia="en-US"/>
        </w:rPr>
        <w:t>skupinách</w:t>
      </w:r>
      <w:r w:rsidRPr="00512310">
        <w:rPr>
          <w:rFonts w:eastAsia="TimesNewRomanPSMT"/>
          <w:szCs w:val="22"/>
          <w:lang w:eastAsia="en-US"/>
        </w:rPr>
        <w:t xml:space="preserve"> s udržiavacou dávkou lenalidomidu v porovnaní s</w:t>
      </w:r>
      <w:r w:rsidR="00DD1E44">
        <w:rPr>
          <w:rFonts w:eastAsia="TimesNewRomanPSMT"/>
          <w:szCs w:val="22"/>
          <w:lang w:eastAsia="en-US"/>
        </w:rPr>
        <w:t>o</w:t>
      </w:r>
      <w:r w:rsidRPr="00512310">
        <w:rPr>
          <w:rFonts w:eastAsia="TimesNewRomanPSMT"/>
          <w:szCs w:val="22"/>
          <w:lang w:eastAsia="en-US"/>
        </w:rPr>
        <w:t xml:space="preserve"> </w:t>
      </w:r>
      <w:r w:rsidR="00DD1E44">
        <w:rPr>
          <w:rFonts w:eastAsia="TimesNewRomanPSMT"/>
          <w:szCs w:val="22"/>
          <w:lang w:eastAsia="en-US"/>
        </w:rPr>
        <w:t>skupinami</w:t>
      </w:r>
      <w:r w:rsidRPr="00512310">
        <w:rPr>
          <w:rFonts w:eastAsia="TimesNewRomanPSMT"/>
          <w:szCs w:val="22"/>
          <w:lang w:eastAsia="en-US"/>
        </w:rPr>
        <w:t xml:space="preserve"> s placebom v udržiavacej terapii v oboch štúdiách (0,4% </w:t>
      </w:r>
      <w:r w:rsidR="00992977" w:rsidRPr="00512310">
        <w:rPr>
          <w:rFonts w:eastAsia="TimesNewRomanPSMT"/>
          <w:szCs w:val="22"/>
          <w:lang w:eastAsia="en-US"/>
        </w:rPr>
        <w:t xml:space="preserve">oproti </w:t>
      </w:r>
      <w:r w:rsidRPr="00512310">
        <w:rPr>
          <w:rFonts w:eastAsia="TimesNewRomanPSMT"/>
          <w:szCs w:val="22"/>
          <w:lang w:eastAsia="en-US"/>
        </w:rPr>
        <w:t xml:space="preserve">0,5% (0,4% </w:t>
      </w:r>
      <w:r w:rsidR="00992977" w:rsidRPr="00512310">
        <w:rPr>
          <w:rFonts w:eastAsia="TimesNewRomanPSMT"/>
          <w:szCs w:val="22"/>
          <w:lang w:eastAsia="en-US"/>
        </w:rPr>
        <w:t>oproti</w:t>
      </w:r>
      <w:r w:rsidRPr="00512310">
        <w:rPr>
          <w:rFonts w:eastAsia="TimesNewRomanPSMT"/>
          <w:szCs w:val="22"/>
          <w:lang w:eastAsia="en-US"/>
        </w:rPr>
        <w:t xml:space="preserve"> 0,5% po začiatku udržiavacej liečby)) v CALGB 100104 a 0,3% </w:t>
      </w:r>
      <w:r w:rsidR="00992977" w:rsidRPr="00512310">
        <w:rPr>
          <w:rFonts w:eastAsia="TimesNewRomanPSMT"/>
          <w:szCs w:val="22"/>
          <w:lang w:eastAsia="en-US"/>
        </w:rPr>
        <w:t xml:space="preserve">oproti </w:t>
      </w:r>
      <w:r w:rsidRPr="00512310">
        <w:rPr>
          <w:rFonts w:eastAsia="TimesNewRomanPSMT"/>
          <w:szCs w:val="22"/>
          <w:lang w:eastAsia="en-US"/>
        </w:rPr>
        <w:t>0% v IFM 2005-02 v uvedenom poradí). Pacienti majú byť poučení, aby ihneď hlásili febrilné epizódy,</w:t>
      </w:r>
      <w:r w:rsidR="00992977" w:rsidRPr="00512310">
        <w:rPr>
          <w:rFonts w:eastAsia="TimesNewRomanPSMT"/>
          <w:szCs w:val="22"/>
          <w:lang w:eastAsia="en-US"/>
        </w:rPr>
        <w:t xml:space="preserve"> </w:t>
      </w:r>
      <w:r w:rsidRPr="00512310">
        <w:rPr>
          <w:rFonts w:eastAsia="TimesNewRomanPSMT"/>
          <w:szCs w:val="22"/>
          <w:lang w:eastAsia="en-US"/>
        </w:rPr>
        <w:t>môže byť potrebné prerušenie liečby a/alebo zníženie dávky (pozri časť 4.2).</w:t>
      </w:r>
    </w:p>
    <w:p w14:paraId="4135C3FE" w14:textId="77777777" w:rsidR="00992977" w:rsidRPr="00512310" w:rsidRDefault="00992977" w:rsidP="008623D2">
      <w:pPr>
        <w:autoSpaceDE w:val="0"/>
        <w:autoSpaceDN w:val="0"/>
        <w:adjustRightInd w:val="0"/>
        <w:ind w:left="0" w:firstLine="0"/>
        <w:rPr>
          <w:rFonts w:eastAsia="TimesNewRomanPSMT"/>
          <w:szCs w:val="22"/>
          <w:lang w:eastAsia="en-US"/>
        </w:rPr>
      </w:pPr>
    </w:p>
    <w:p w14:paraId="46ACBB91" w14:textId="2A3D517F" w:rsidR="008623D2" w:rsidRPr="00512310" w:rsidRDefault="008623D2" w:rsidP="008623D2">
      <w:pPr>
        <w:autoSpaceDE w:val="0"/>
        <w:autoSpaceDN w:val="0"/>
        <w:adjustRightInd w:val="0"/>
        <w:ind w:left="0" w:firstLine="0"/>
        <w:rPr>
          <w:rFonts w:eastAsia="TimesNewRomanPSMT"/>
          <w:szCs w:val="22"/>
          <w:lang w:eastAsia="en-US"/>
        </w:rPr>
      </w:pPr>
      <w:r w:rsidRPr="00512310">
        <w:rPr>
          <w:rFonts w:eastAsia="TimesNewRomanPSMT"/>
          <w:szCs w:val="22"/>
          <w:lang w:eastAsia="en-US"/>
        </w:rPr>
        <w:t xml:space="preserve">Trombocytopénia 3. alebo 4. stupňa bola pozorovaná so zvýšenou frekvenciou v </w:t>
      </w:r>
      <w:r w:rsidR="00DD1E44">
        <w:rPr>
          <w:rFonts w:eastAsia="TimesNewRomanPSMT"/>
          <w:szCs w:val="22"/>
          <w:lang w:eastAsia="en-US"/>
        </w:rPr>
        <w:t>skupinách</w:t>
      </w:r>
      <w:r w:rsidRPr="00512310">
        <w:rPr>
          <w:rFonts w:eastAsia="TimesNewRomanPSMT"/>
          <w:szCs w:val="22"/>
          <w:lang w:eastAsia="en-US"/>
        </w:rPr>
        <w:t xml:space="preserve"> s</w:t>
      </w:r>
      <w:r w:rsidR="00992977" w:rsidRPr="00512310">
        <w:rPr>
          <w:rFonts w:eastAsia="TimesNewRomanPSMT"/>
          <w:szCs w:val="22"/>
          <w:lang w:eastAsia="en-US"/>
        </w:rPr>
        <w:t> </w:t>
      </w:r>
      <w:r w:rsidRPr="00512310">
        <w:rPr>
          <w:rFonts w:eastAsia="TimesNewRomanPSMT"/>
          <w:szCs w:val="22"/>
          <w:lang w:eastAsia="en-US"/>
        </w:rPr>
        <w:t>udržiavacou</w:t>
      </w:r>
      <w:r w:rsidR="00992977" w:rsidRPr="00512310">
        <w:rPr>
          <w:rFonts w:eastAsia="TimesNewRomanPSMT"/>
          <w:szCs w:val="22"/>
          <w:lang w:eastAsia="en-US"/>
        </w:rPr>
        <w:t xml:space="preserve"> </w:t>
      </w:r>
      <w:r w:rsidRPr="00512310">
        <w:rPr>
          <w:rFonts w:eastAsia="TimesNewRomanPSMT"/>
          <w:szCs w:val="22"/>
          <w:lang w:eastAsia="en-US"/>
        </w:rPr>
        <w:t>dávkou lenalidomidu v porovnaní s</w:t>
      </w:r>
      <w:r w:rsidR="00DD1E44">
        <w:rPr>
          <w:rFonts w:eastAsia="TimesNewRomanPSMT"/>
          <w:szCs w:val="22"/>
          <w:lang w:eastAsia="en-US"/>
        </w:rPr>
        <w:t>o</w:t>
      </w:r>
      <w:r w:rsidRPr="00512310">
        <w:rPr>
          <w:rFonts w:eastAsia="TimesNewRomanPSMT"/>
          <w:szCs w:val="22"/>
          <w:lang w:eastAsia="en-US"/>
        </w:rPr>
        <w:t xml:space="preserve"> </w:t>
      </w:r>
      <w:r w:rsidR="00DD1E44">
        <w:rPr>
          <w:rFonts w:eastAsia="TimesNewRomanPSMT"/>
          <w:szCs w:val="22"/>
          <w:lang w:eastAsia="en-US"/>
        </w:rPr>
        <w:t>skupinami</w:t>
      </w:r>
      <w:r w:rsidRPr="00512310">
        <w:rPr>
          <w:rFonts w:eastAsia="TimesNewRomanPSMT"/>
          <w:szCs w:val="22"/>
          <w:lang w:eastAsia="en-US"/>
        </w:rPr>
        <w:t xml:space="preserve"> s placebom v udržiavacej terapii v štúdiách hodnotiacich</w:t>
      </w:r>
      <w:r w:rsidR="00992977" w:rsidRPr="00512310">
        <w:rPr>
          <w:rFonts w:eastAsia="TimesNewRomanPSMT"/>
          <w:szCs w:val="22"/>
          <w:lang w:eastAsia="en-US"/>
        </w:rPr>
        <w:t xml:space="preserve"> </w:t>
      </w:r>
      <w:r w:rsidRPr="00512310">
        <w:rPr>
          <w:rFonts w:eastAsia="TimesNewRomanPSMT"/>
          <w:szCs w:val="22"/>
          <w:lang w:eastAsia="en-US"/>
        </w:rPr>
        <w:t xml:space="preserve">lenalidomid v udržiavacej dávke u pacientov s NDMM, ktorí podstúpili ASCT (37,5% </w:t>
      </w:r>
      <w:r w:rsidR="00992977" w:rsidRPr="00512310">
        <w:rPr>
          <w:rFonts w:eastAsia="TimesNewRomanPSMT"/>
          <w:szCs w:val="22"/>
          <w:lang w:eastAsia="en-US"/>
        </w:rPr>
        <w:t xml:space="preserve">oproti </w:t>
      </w:r>
      <w:r w:rsidRPr="00512310">
        <w:rPr>
          <w:rFonts w:eastAsia="TimesNewRomanPSMT"/>
          <w:szCs w:val="22"/>
          <w:lang w:eastAsia="en-US"/>
        </w:rPr>
        <w:t>30,3% (17,9%</w:t>
      </w:r>
      <w:r w:rsidR="00992977" w:rsidRPr="00512310">
        <w:rPr>
          <w:rFonts w:eastAsia="TimesNewRomanPSMT"/>
          <w:szCs w:val="22"/>
          <w:lang w:eastAsia="en-US"/>
        </w:rPr>
        <w:t xml:space="preserve"> oproti </w:t>
      </w:r>
      <w:r w:rsidRPr="00512310">
        <w:rPr>
          <w:rFonts w:eastAsia="TimesNewRomanPSMT"/>
          <w:szCs w:val="22"/>
          <w:lang w:eastAsia="en-US"/>
        </w:rPr>
        <w:t xml:space="preserve">4,1% po začiatku udržiavacej liečby)) v CALGB 100104 a 13,0% </w:t>
      </w:r>
      <w:r w:rsidR="00992977" w:rsidRPr="00512310">
        <w:rPr>
          <w:rFonts w:eastAsia="TimesNewRomanPSMT"/>
          <w:szCs w:val="22"/>
          <w:lang w:eastAsia="en-US"/>
        </w:rPr>
        <w:t>oproti</w:t>
      </w:r>
      <w:r w:rsidRPr="00512310">
        <w:rPr>
          <w:rFonts w:eastAsia="TimesNewRomanPSMT"/>
          <w:szCs w:val="22"/>
          <w:lang w:eastAsia="en-US"/>
        </w:rPr>
        <w:t xml:space="preserve"> 2,9% v IFM 2005-02 v</w:t>
      </w:r>
      <w:r w:rsidR="00992977" w:rsidRPr="00512310">
        <w:rPr>
          <w:rFonts w:eastAsia="TimesNewRomanPSMT"/>
          <w:szCs w:val="22"/>
          <w:lang w:eastAsia="en-US"/>
        </w:rPr>
        <w:t xml:space="preserve"> </w:t>
      </w:r>
      <w:r w:rsidRPr="00512310">
        <w:rPr>
          <w:rFonts w:eastAsia="TimesNewRomanPSMT"/>
          <w:szCs w:val="22"/>
          <w:lang w:eastAsia="en-US"/>
        </w:rPr>
        <w:t>uvedenom poradí). Pacientom a lekárom sa odporúča pozorne sledovať prejavy a symptómy krvácania,</w:t>
      </w:r>
      <w:r w:rsidR="00992977" w:rsidRPr="00512310">
        <w:rPr>
          <w:rFonts w:eastAsia="TimesNewRomanPSMT"/>
          <w:szCs w:val="22"/>
          <w:lang w:eastAsia="en-US"/>
        </w:rPr>
        <w:t xml:space="preserve"> </w:t>
      </w:r>
      <w:r w:rsidRPr="00512310">
        <w:rPr>
          <w:rFonts w:eastAsia="TimesNewRomanPSMT"/>
          <w:szCs w:val="22"/>
          <w:lang w:eastAsia="en-US"/>
        </w:rPr>
        <w:t xml:space="preserve">vrátane petechií a epistaxy, najmä u pacientov, ktorí súbežne užívajú lieky náchylné na </w:t>
      </w:r>
      <w:r w:rsidR="00DD1E44">
        <w:rPr>
          <w:rFonts w:eastAsia="TimesNewRomanPSMT"/>
          <w:szCs w:val="22"/>
          <w:lang w:eastAsia="en-US"/>
        </w:rPr>
        <w:t>vyvolanie</w:t>
      </w:r>
      <w:r w:rsidRPr="00512310">
        <w:rPr>
          <w:rFonts w:eastAsia="TimesNewRomanPSMT"/>
          <w:szCs w:val="22"/>
          <w:lang w:eastAsia="en-US"/>
        </w:rPr>
        <w:t xml:space="preserve"> krvácania</w:t>
      </w:r>
      <w:r w:rsidR="00992977" w:rsidRPr="00512310">
        <w:rPr>
          <w:rFonts w:eastAsia="TimesNewRomanPSMT"/>
          <w:szCs w:val="22"/>
          <w:lang w:eastAsia="en-US"/>
        </w:rPr>
        <w:t xml:space="preserve"> </w:t>
      </w:r>
      <w:r w:rsidRPr="00512310">
        <w:rPr>
          <w:rFonts w:eastAsia="TimesNewRomanPSMT"/>
          <w:szCs w:val="22"/>
          <w:lang w:eastAsia="en-US"/>
        </w:rPr>
        <w:t>(pozri časť 4.8, Hemoragické poruchy).</w:t>
      </w:r>
    </w:p>
    <w:p w14:paraId="6BA490C6" w14:textId="77777777" w:rsidR="00992977" w:rsidRPr="00512310" w:rsidRDefault="00992977" w:rsidP="008623D2">
      <w:pPr>
        <w:autoSpaceDE w:val="0"/>
        <w:autoSpaceDN w:val="0"/>
        <w:adjustRightInd w:val="0"/>
        <w:ind w:left="0" w:firstLine="0"/>
        <w:rPr>
          <w:rFonts w:eastAsia="TimesNewRomanPSMT"/>
          <w:szCs w:val="22"/>
          <w:lang w:eastAsia="en-US"/>
        </w:rPr>
      </w:pPr>
    </w:p>
    <w:p w14:paraId="2352F9BD" w14:textId="4B3A599D" w:rsidR="008623D2" w:rsidRPr="00512310" w:rsidRDefault="000932CA" w:rsidP="008A650F">
      <w:pPr>
        <w:numPr>
          <w:ilvl w:val="0"/>
          <w:numId w:val="4"/>
        </w:numPr>
        <w:autoSpaceDE w:val="0"/>
        <w:autoSpaceDN w:val="0"/>
        <w:adjustRightInd w:val="0"/>
        <w:ind w:left="709" w:hanging="709"/>
        <w:rPr>
          <w:rFonts w:eastAsia="TimesNewRomanPSMT"/>
          <w:szCs w:val="22"/>
          <w:lang w:eastAsia="en-US"/>
        </w:rPr>
      </w:pPr>
      <w:r>
        <w:rPr>
          <w:rFonts w:eastAsia="TimesNewRomanPSMT"/>
          <w:i/>
          <w:szCs w:val="22"/>
          <w:lang w:eastAsia="en-US"/>
        </w:rPr>
        <w:t>Novo</w:t>
      </w:r>
      <w:r w:rsidR="008623D2" w:rsidRPr="00512310">
        <w:rPr>
          <w:rFonts w:eastAsia="TimesNewRomanPSMT"/>
          <w:i/>
          <w:szCs w:val="22"/>
          <w:lang w:eastAsia="en-US"/>
        </w:rPr>
        <w:t>diagnostikovaný mnohopočetný myelóm: pacienti, ktorí nie sú spôsobilí na transplantáciu,</w:t>
      </w:r>
      <w:r w:rsidR="00C225A3" w:rsidRPr="00512310">
        <w:rPr>
          <w:rFonts w:eastAsia="TimesNewRomanPSMT"/>
          <w:i/>
          <w:szCs w:val="22"/>
          <w:lang w:eastAsia="en-US"/>
        </w:rPr>
        <w:t xml:space="preserve"> </w:t>
      </w:r>
      <w:r w:rsidR="008623D2" w:rsidRPr="00512310">
        <w:rPr>
          <w:rFonts w:eastAsia="TimesNewRomanPSMT"/>
          <w:i/>
          <w:szCs w:val="22"/>
          <w:lang w:eastAsia="en-US"/>
        </w:rPr>
        <w:t>liečení lenalidomidom v kombinácii s nízkou dávkou dexametazónu</w:t>
      </w:r>
    </w:p>
    <w:p w14:paraId="41437A3D" w14:textId="1D1B9F9D" w:rsidR="008623D2" w:rsidRPr="00512310" w:rsidRDefault="008623D2" w:rsidP="008623D2">
      <w:pPr>
        <w:autoSpaceDE w:val="0"/>
        <w:autoSpaceDN w:val="0"/>
        <w:adjustRightInd w:val="0"/>
        <w:ind w:left="0" w:firstLine="0"/>
        <w:rPr>
          <w:rFonts w:eastAsia="TimesNewRomanPSMT"/>
          <w:szCs w:val="22"/>
          <w:lang w:eastAsia="en-US"/>
        </w:rPr>
      </w:pPr>
      <w:r w:rsidRPr="00512310">
        <w:rPr>
          <w:rFonts w:eastAsia="TimesNewRomanPSMT"/>
          <w:szCs w:val="22"/>
          <w:lang w:eastAsia="en-US"/>
        </w:rPr>
        <w:t xml:space="preserve">Neutropénia 4. stupňa bola pozorovaná v menšej miere v </w:t>
      </w:r>
      <w:r w:rsidR="00DD1E44">
        <w:rPr>
          <w:rFonts w:eastAsia="TimesNewRomanPSMT"/>
          <w:szCs w:val="22"/>
          <w:lang w:eastAsia="en-US"/>
        </w:rPr>
        <w:t>skupinách</w:t>
      </w:r>
      <w:r w:rsidRPr="00512310">
        <w:rPr>
          <w:rFonts w:eastAsia="TimesNewRomanPSMT"/>
          <w:szCs w:val="22"/>
          <w:lang w:eastAsia="en-US"/>
        </w:rPr>
        <w:t xml:space="preserve"> s lenalidomidom v kombinácii s</w:t>
      </w:r>
      <w:r w:rsidR="00E727D3" w:rsidRPr="00512310">
        <w:rPr>
          <w:rFonts w:eastAsia="TimesNewRomanPSMT"/>
          <w:szCs w:val="22"/>
          <w:lang w:eastAsia="en-US"/>
        </w:rPr>
        <w:t xml:space="preserve"> </w:t>
      </w:r>
      <w:r w:rsidRPr="00512310">
        <w:rPr>
          <w:rFonts w:eastAsia="TimesNewRomanPSMT"/>
          <w:szCs w:val="22"/>
          <w:lang w:eastAsia="en-US"/>
        </w:rPr>
        <w:t>nízkou dávkou dexametazónu ako v kontroln</w:t>
      </w:r>
      <w:r w:rsidR="00DD1E44">
        <w:rPr>
          <w:rFonts w:eastAsia="TimesNewRomanPSMT"/>
          <w:szCs w:val="22"/>
          <w:lang w:eastAsia="en-US"/>
        </w:rPr>
        <w:t>ej</w:t>
      </w:r>
      <w:r w:rsidRPr="00512310">
        <w:rPr>
          <w:rFonts w:eastAsia="TimesNewRomanPSMT"/>
          <w:szCs w:val="22"/>
          <w:lang w:eastAsia="en-US"/>
        </w:rPr>
        <w:t xml:space="preserve"> </w:t>
      </w:r>
      <w:r w:rsidR="00DD1E44">
        <w:rPr>
          <w:rFonts w:eastAsia="TimesNewRomanPSMT"/>
          <w:szCs w:val="22"/>
          <w:lang w:eastAsia="en-US"/>
        </w:rPr>
        <w:t>skupine</w:t>
      </w:r>
      <w:r w:rsidRPr="00512310">
        <w:rPr>
          <w:rFonts w:eastAsia="TimesNewRomanPSMT"/>
          <w:szCs w:val="22"/>
          <w:lang w:eastAsia="en-US"/>
        </w:rPr>
        <w:t xml:space="preserve"> (8,5% pri Rd [kontinuálna liečba] a Rd18 [liečba</w:t>
      </w:r>
      <w:r w:rsidR="00E727D3" w:rsidRPr="00512310">
        <w:rPr>
          <w:rFonts w:eastAsia="TimesNewRomanPSMT"/>
          <w:szCs w:val="22"/>
          <w:lang w:eastAsia="en-US"/>
        </w:rPr>
        <w:t xml:space="preserve"> </w:t>
      </w:r>
      <w:r w:rsidRPr="00512310">
        <w:rPr>
          <w:rFonts w:eastAsia="TimesNewRomanPSMT"/>
          <w:szCs w:val="22"/>
          <w:lang w:eastAsia="en-US"/>
        </w:rPr>
        <w:t xml:space="preserve">počas 18 štvortýždňových cyklov] v porovnaní s 15 % v </w:t>
      </w:r>
      <w:r w:rsidR="00DD1E44">
        <w:rPr>
          <w:rFonts w:eastAsia="TimesNewRomanPSMT"/>
          <w:szCs w:val="22"/>
          <w:lang w:eastAsia="en-US"/>
        </w:rPr>
        <w:t>skupine</w:t>
      </w:r>
      <w:r w:rsidRPr="00512310">
        <w:rPr>
          <w:rFonts w:eastAsia="TimesNewRomanPSMT"/>
          <w:szCs w:val="22"/>
          <w:lang w:eastAsia="en-US"/>
        </w:rPr>
        <w:t xml:space="preserve"> melfalán/prednizón/talidomid, pozri časť</w:t>
      </w:r>
      <w:r w:rsidR="00E727D3" w:rsidRPr="00512310">
        <w:rPr>
          <w:rFonts w:eastAsia="TimesNewRomanPSMT"/>
          <w:szCs w:val="22"/>
          <w:lang w:eastAsia="en-US"/>
        </w:rPr>
        <w:t xml:space="preserve"> </w:t>
      </w:r>
      <w:r w:rsidRPr="00512310">
        <w:rPr>
          <w:rFonts w:eastAsia="TimesNewRomanPSMT"/>
          <w:szCs w:val="22"/>
          <w:lang w:eastAsia="en-US"/>
        </w:rPr>
        <w:t>4.8). Epizódy febrilnej neutropénie 4. stupňa boli v súlade s kontroln</w:t>
      </w:r>
      <w:r w:rsidR="00DD1E44">
        <w:rPr>
          <w:rFonts w:eastAsia="TimesNewRomanPSMT"/>
          <w:szCs w:val="22"/>
          <w:lang w:eastAsia="en-US"/>
        </w:rPr>
        <w:t>ou</w:t>
      </w:r>
      <w:r w:rsidRPr="00512310">
        <w:rPr>
          <w:rFonts w:eastAsia="TimesNewRomanPSMT"/>
          <w:szCs w:val="22"/>
          <w:lang w:eastAsia="en-US"/>
        </w:rPr>
        <w:t xml:space="preserve"> </w:t>
      </w:r>
      <w:r w:rsidR="00DD1E44">
        <w:rPr>
          <w:rFonts w:eastAsia="TimesNewRomanPSMT"/>
          <w:szCs w:val="22"/>
          <w:lang w:eastAsia="en-US"/>
        </w:rPr>
        <w:t>skupinou</w:t>
      </w:r>
      <w:r w:rsidRPr="00512310">
        <w:rPr>
          <w:rFonts w:eastAsia="TimesNewRomanPSMT"/>
          <w:szCs w:val="22"/>
          <w:lang w:eastAsia="en-US"/>
        </w:rPr>
        <w:t xml:space="preserve"> (0,6% pri Rd a Rd18 u</w:t>
      </w:r>
      <w:r w:rsidR="00E727D3" w:rsidRPr="00512310">
        <w:rPr>
          <w:rFonts w:eastAsia="TimesNewRomanPSMT"/>
          <w:szCs w:val="22"/>
          <w:lang w:eastAsia="en-US"/>
        </w:rPr>
        <w:t xml:space="preserve"> </w:t>
      </w:r>
      <w:r w:rsidRPr="00512310">
        <w:rPr>
          <w:rFonts w:eastAsia="TimesNewRomanPSMT"/>
          <w:szCs w:val="22"/>
          <w:lang w:eastAsia="en-US"/>
        </w:rPr>
        <w:t>pacientov liečených lenalidomidom/ dexametazónom v porovnaní s 0,7% v</w:t>
      </w:r>
      <w:r w:rsidR="00E727D3" w:rsidRPr="00512310">
        <w:rPr>
          <w:rFonts w:eastAsia="TimesNewRomanPSMT"/>
          <w:szCs w:val="22"/>
          <w:lang w:eastAsia="en-US"/>
        </w:rPr>
        <w:t> </w:t>
      </w:r>
      <w:r w:rsidR="00DD1E44">
        <w:rPr>
          <w:rFonts w:eastAsia="TimesNewRomanPSMT"/>
          <w:szCs w:val="22"/>
          <w:lang w:eastAsia="en-US"/>
        </w:rPr>
        <w:t>skupine</w:t>
      </w:r>
      <w:r w:rsidR="00E727D3" w:rsidRPr="00512310">
        <w:rPr>
          <w:rFonts w:eastAsia="TimesNewRomanPSMT"/>
          <w:szCs w:val="22"/>
          <w:lang w:eastAsia="en-US"/>
        </w:rPr>
        <w:t xml:space="preserve"> </w:t>
      </w:r>
      <w:r w:rsidRPr="00512310">
        <w:rPr>
          <w:rFonts w:eastAsia="TimesNewRomanPSMT"/>
          <w:szCs w:val="22"/>
          <w:lang w:eastAsia="en-US"/>
        </w:rPr>
        <w:t>melfalán/prednizón/talidomid, pozri časť 4.8.</w:t>
      </w:r>
    </w:p>
    <w:p w14:paraId="54B540F0" w14:textId="77777777" w:rsidR="00E727D3" w:rsidRPr="00512310" w:rsidRDefault="00E727D3" w:rsidP="008623D2">
      <w:pPr>
        <w:autoSpaceDE w:val="0"/>
        <w:autoSpaceDN w:val="0"/>
        <w:adjustRightInd w:val="0"/>
        <w:ind w:left="0" w:firstLine="0"/>
        <w:rPr>
          <w:rFonts w:eastAsia="TimesNewRomanPSMT"/>
          <w:szCs w:val="22"/>
          <w:lang w:eastAsia="en-US"/>
        </w:rPr>
      </w:pPr>
    </w:p>
    <w:p w14:paraId="48891BAB" w14:textId="3B3CD6A1" w:rsidR="008623D2" w:rsidRPr="00512310" w:rsidRDefault="008623D2" w:rsidP="008623D2">
      <w:pPr>
        <w:autoSpaceDE w:val="0"/>
        <w:autoSpaceDN w:val="0"/>
        <w:adjustRightInd w:val="0"/>
        <w:ind w:left="0" w:firstLine="0"/>
        <w:rPr>
          <w:rFonts w:eastAsia="TimesNewRomanPSMT"/>
          <w:szCs w:val="22"/>
          <w:lang w:eastAsia="en-US"/>
        </w:rPr>
      </w:pPr>
      <w:r w:rsidRPr="00512310">
        <w:rPr>
          <w:rFonts w:eastAsia="TimesNewRomanPSMT"/>
          <w:szCs w:val="22"/>
          <w:lang w:eastAsia="en-US"/>
        </w:rPr>
        <w:t xml:space="preserve">Trombocytopénia 3. alebo 4. stupňa bola pozorovaná v menšej miere v </w:t>
      </w:r>
      <w:r w:rsidR="00DD1E44">
        <w:rPr>
          <w:rFonts w:eastAsia="TimesNewRomanPSMT"/>
          <w:szCs w:val="22"/>
          <w:lang w:eastAsia="en-US"/>
        </w:rPr>
        <w:t>skupinách</w:t>
      </w:r>
      <w:r w:rsidRPr="00512310">
        <w:rPr>
          <w:rFonts w:eastAsia="TimesNewRomanPSMT"/>
          <w:szCs w:val="22"/>
          <w:lang w:eastAsia="en-US"/>
        </w:rPr>
        <w:t xml:space="preserve"> Rd a Rd18 ako v</w:t>
      </w:r>
      <w:r w:rsidR="00E727D3" w:rsidRPr="00512310">
        <w:rPr>
          <w:rFonts w:eastAsia="TimesNewRomanPSMT"/>
          <w:szCs w:val="22"/>
          <w:lang w:eastAsia="en-US"/>
        </w:rPr>
        <w:t xml:space="preserve"> kontroln</w:t>
      </w:r>
      <w:r w:rsidR="00DD1E44">
        <w:rPr>
          <w:rFonts w:eastAsia="TimesNewRomanPSMT"/>
          <w:szCs w:val="22"/>
          <w:lang w:eastAsia="en-US"/>
        </w:rPr>
        <w:t>ej</w:t>
      </w:r>
      <w:r w:rsidR="00E727D3" w:rsidRPr="00512310">
        <w:rPr>
          <w:rFonts w:eastAsia="TimesNewRomanPSMT"/>
          <w:szCs w:val="22"/>
          <w:lang w:eastAsia="en-US"/>
        </w:rPr>
        <w:t xml:space="preserve"> </w:t>
      </w:r>
      <w:r w:rsidR="00DD1E44">
        <w:rPr>
          <w:rFonts w:eastAsia="TimesNewRomanPSMT"/>
          <w:szCs w:val="22"/>
          <w:lang w:eastAsia="en-US"/>
        </w:rPr>
        <w:t>skupine</w:t>
      </w:r>
      <w:r w:rsidR="00E727D3" w:rsidRPr="00512310">
        <w:rPr>
          <w:rFonts w:eastAsia="TimesNewRomanPSMT"/>
          <w:szCs w:val="22"/>
          <w:lang w:eastAsia="en-US"/>
        </w:rPr>
        <w:t xml:space="preserve"> (8,1</w:t>
      </w:r>
      <w:r w:rsidRPr="00512310">
        <w:rPr>
          <w:rFonts w:eastAsia="TimesNewRomanPSMT"/>
          <w:szCs w:val="22"/>
          <w:lang w:eastAsia="en-US"/>
        </w:rPr>
        <w:t xml:space="preserve">% </w:t>
      </w:r>
      <w:r w:rsidR="00E727D3" w:rsidRPr="00512310">
        <w:rPr>
          <w:rFonts w:eastAsia="TimesNewRomanPSMT"/>
          <w:szCs w:val="22"/>
          <w:lang w:eastAsia="en-US"/>
        </w:rPr>
        <w:t>oproti</w:t>
      </w:r>
      <w:r w:rsidRPr="00512310">
        <w:rPr>
          <w:rFonts w:eastAsia="TimesNewRomanPSMT"/>
          <w:szCs w:val="22"/>
          <w:lang w:eastAsia="en-US"/>
        </w:rPr>
        <w:t xml:space="preserve"> 11,1%, v uvedenom poradí).</w:t>
      </w:r>
    </w:p>
    <w:p w14:paraId="4EF738DA" w14:textId="77777777" w:rsidR="00E727D3" w:rsidRPr="00512310" w:rsidRDefault="00E727D3" w:rsidP="008623D2">
      <w:pPr>
        <w:autoSpaceDE w:val="0"/>
        <w:autoSpaceDN w:val="0"/>
        <w:adjustRightInd w:val="0"/>
        <w:ind w:left="0" w:firstLine="0"/>
        <w:rPr>
          <w:rFonts w:eastAsia="TimesNewRomanPSMT"/>
          <w:szCs w:val="22"/>
          <w:lang w:eastAsia="en-US"/>
        </w:rPr>
      </w:pPr>
    </w:p>
    <w:p w14:paraId="7D4CD2D7" w14:textId="77777777" w:rsidR="008623D2" w:rsidRPr="00512310" w:rsidRDefault="008623D2" w:rsidP="008A650F">
      <w:pPr>
        <w:numPr>
          <w:ilvl w:val="0"/>
          <w:numId w:val="4"/>
        </w:numPr>
        <w:autoSpaceDE w:val="0"/>
        <w:autoSpaceDN w:val="0"/>
        <w:adjustRightInd w:val="0"/>
        <w:ind w:left="709" w:hanging="709"/>
        <w:rPr>
          <w:rFonts w:eastAsia="TimesNewRomanPSMT"/>
          <w:i/>
          <w:szCs w:val="22"/>
          <w:lang w:eastAsia="en-US"/>
        </w:rPr>
      </w:pPr>
      <w:r w:rsidRPr="00512310">
        <w:rPr>
          <w:rFonts w:eastAsia="TimesNewRomanPSMT"/>
          <w:i/>
          <w:szCs w:val="22"/>
          <w:lang w:eastAsia="en-US"/>
        </w:rPr>
        <w:t>Novodiagnostikovaný mnohopočetný myelóm: pacienti, ktorí nie sú spôsobilí na transplantáciu,</w:t>
      </w:r>
      <w:r w:rsidR="00E727D3" w:rsidRPr="00512310">
        <w:rPr>
          <w:rFonts w:eastAsia="TimesNewRomanPSMT"/>
          <w:i/>
          <w:szCs w:val="22"/>
          <w:lang w:eastAsia="en-US"/>
        </w:rPr>
        <w:t xml:space="preserve"> </w:t>
      </w:r>
      <w:r w:rsidRPr="00512310">
        <w:rPr>
          <w:rFonts w:eastAsia="TimesNewRomanPSMT"/>
          <w:i/>
          <w:szCs w:val="22"/>
          <w:lang w:eastAsia="en-US"/>
        </w:rPr>
        <w:t>liečení lenalidomidom v kombinácii s melfalánom a prednizónom</w:t>
      </w:r>
    </w:p>
    <w:p w14:paraId="07418589" w14:textId="2802ADEA" w:rsidR="00FB1611" w:rsidRPr="00512310" w:rsidRDefault="008623D2" w:rsidP="008623D2">
      <w:pPr>
        <w:autoSpaceDE w:val="0"/>
        <w:autoSpaceDN w:val="0"/>
        <w:adjustRightInd w:val="0"/>
        <w:ind w:left="0" w:firstLine="0"/>
        <w:rPr>
          <w:rFonts w:eastAsia="TimesNewRomanPSMT"/>
          <w:szCs w:val="22"/>
          <w:lang w:eastAsia="en-US"/>
        </w:rPr>
      </w:pPr>
      <w:r w:rsidRPr="00512310">
        <w:rPr>
          <w:rFonts w:eastAsia="TimesNewRomanPSMT"/>
          <w:szCs w:val="22"/>
          <w:lang w:eastAsia="en-US"/>
        </w:rPr>
        <w:t xml:space="preserve">Kombinácia lenalidomidu s melfalánom a prednizónom v klinických štúdiách u </w:t>
      </w:r>
      <w:r w:rsidR="000932CA">
        <w:rPr>
          <w:rFonts w:eastAsia="TimesNewRomanPSMT"/>
          <w:szCs w:val="22"/>
          <w:lang w:eastAsia="en-US"/>
        </w:rPr>
        <w:t>novo</w:t>
      </w:r>
      <w:r w:rsidRPr="00512310">
        <w:rPr>
          <w:rFonts w:eastAsia="TimesNewRomanPSMT"/>
          <w:szCs w:val="22"/>
          <w:lang w:eastAsia="en-US"/>
        </w:rPr>
        <w:t>diagnostikovaných</w:t>
      </w:r>
      <w:r w:rsidR="00955145" w:rsidRPr="00512310">
        <w:rPr>
          <w:rFonts w:eastAsia="TimesNewRomanPSMT"/>
          <w:szCs w:val="22"/>
          <w:lang w:eastAsia="en-US"/>
        </w:rPr>
        <w:t xml:space="preserve"> </w:t>
      </w:r>
      <w:r w:rsidRPr="00512310">
        <w:rPr>
          <w:rFonts w:eastAsia="TimesNewRomanPSMT"/>
          <w:szCs w:val="22"/>
          <w:lang w:eastAsia="en-US"/>
        </w:rPr>
        <w:t>pacientov s mnohopočetným myelómom je spojená s vyššou incidenciou neutropénie 4. stupňa (34,1% v</w:t>
      </w:r>
      <w:r w:rsidR="00955145" w:rsidRPr="00512310">
        <w:rPr>
          <w:rFonts w:eastAsia="TimesNewRomanPSMT"/>
          <w:szCs w:val="22"/>
          <w:lang w:eastAsia="en-US"/>
        </w:rPr>
        <w:t xml:space="preserve"> </w:t>
      </w:r>
      <w:r w:rsidR="00DD1E44">
        <w:rPr>
          <w:rFonts w:eastAsia="TimesNewRomanPSMT"/>
          <w:szCs w:val="22"/>
          <w:lang w:eastAsia="en-US"/>
        </w:rPr>
        <w:t>skupine</w:t>
      </w:r>
      <w:r w:rsidRPr="00512310">
        <w:rPr>
          <w:rFonts w:eastAsia="TimesNewRomanPSMT"/>
          <w:szCs w:val="22"/>
          <w:lang w:eastAsia="en-US"/>
        </w:rPr>
        <w:t xml:space="preserve"> melfalán, prednizón a lenalidomid nasledované lenalidomidom [MPR + R] a u</w:t>
      </w:r>
      <w:r w:rsidR="00955145" w:rsidRPr="00512310">
        <w:rPr>
          <w:rFonts w:eastAsia="TimesNewRomanPSMT"/>
          <w:szCs w:val="22"/>
          <w:lang w:eastAsia="en-US"/>
        </w:rPr>
        <w:t> </w:t>
      </w:r>
      <w:r w:rsidRPr="00512310">
        <w:rPr>
          <w:rFonts w:eastAsia="TimesNewRomanPSMT"/>
          <w:szCs w:val="22"/>
          <w:lang w:eastAsia="en-US"/>
        </w:rPr>
        <w:t>pacientov</w:t>
      </w:r>
      <w:r w:rsidR="00955145" w:rsidRPr="00512310">
        <w:rPr>
          <w:rFonts w:eastAsia="TimesNewRomanPSMT"/>
          <w:szCs w:val="22"/>
          <w:lang w:eastAsia="en-US"/>
        </w:rPr>
        <w:t xml:space="preserve"> </w:t>
      </w:r>
      <w:r w:rsidRPr="00512310">
        <w:rPr>
          <w:rFonts w:eastAsia="TimesNewRomanPSMT"/>
          <w:szCs w:val="22"/>
          <w:lang w:eastAsia="en-US"/>
        </w:rPr>
        <w:t>liečených melfalánom, prednizónom a lenalidomidom nasledované placebom [MPR + p], v porovnaní s</w:t>
      </w:r>
      <w:r w:rsidR="00955145" w:rsidRPr="00512310">
        <w:rPr>
          <w:rFonts w:eastAsia="TimesNewRomanPSMT"/>
          <w:szCs w:val="22"/>
          <w:lang w:eastAsia="en-US"/>
        </w:rPr>
        <w:t xml:space="preserve"> </w:t>
      </w:r>
      <w:r w:rsidRPr="00512310">
        <w:rPr>
          <w:rFonts w:eastAsia="TimesNewRomanPSMT"/>
          <w:szCs w:val="22"/>
          <w:lang w:eastAsia="en-US"/>
        </w:rPr>
        <w:t>7,8% u pacientov liečených MPp + p ; pozri časť 4.8). Febrilné epizódy neutropénie 4. stupňa boli</w:t>
      </w:r>
      <w:r w:rsidR="00955145" w:rsidRPr="00512310">
        <w:rPr>
          <w:rFonts w:eastAsia="TimesNewRomanPSMT"/>
          <w:szCs w:val="22"/>
          <w:lang w:eastAsia="en-US"/>
        </w:rPr>
        <w:t xml:space="preserve"> </w:t>
      </w:r>
      <w:r w:rsidRPr="00512310">
        <w:rPr>
          <w:rFonts w:eastAsia="TimesNewRomanPSMT"/>
          <w:szCs w:val="22"/>
          <w:lang w:eastAsia="en-US"/>
        </w:rPr>
        <w:t>pozorované zriedkavo (1,7% u pacientov liečených MPR + R/MPR + p v porovnaní s 0,0% u MPp + p</w:t>
      </w:r>
      <w:r w:rsidR="00955145" w:rsidRPr="00512310">
        <w:rPr>
          <w:rFonts w:eastAsia="TimesNewRomanPSMT"/>
          <w:szCs w:val="22"/>
          <w:lang w:eastAsia="en-US"/>
        </w:rPr>
        <w:t xml:space="preserve"> </w:t>
      </w:r>
      <w:r w:rsidRPr="00512310">
        <w:rPr>
          <w:rFonts w:eastAsia="TimesNewRomanPSMT"/>
          <w:szCs w:val="22"/>
          <w:lang w:eastAsia="en-US"/>
        </w:rPr>
        <w:t>liečených pacientov; pozri časť 4.8).</w:t>
      </w:r>
    </w:p>
    <w:p w14:paraId="77AC7CF5" w14:textId="77777777" w:rsidR="0092221B" w:rsidRPr="00512310" w:rsidRDefault="0092221B" w:rsidP="00FB1611">
      <w:pPr>
        <w:autoSpaceDE w:val="0"/>
        <w:autoSpaceDN w:val="0"/>
        <w:adjustRightInd w:val="0"/>
        <w:ind w:left="0" w:firstLine="0"/>
        <w:rPr>
          <w:rFonts w:eastAsia="TimesNewRomanPSMT"/>
          <w:szCs w:val="22"/>
          <w:lang w:eastAsia="en-US"/>
        </w:rPr>
      </w:pPr>
    </w:p>
    <w:p w14:paraId="2F42B8F1" w14:textId="77777777" w:rsidR="00A47CDC" w:rsidRPr="00512310" w:rsidRDefault="00A47CDC" w:rsidP="00A47CDC">
      <w:pPr>
        <w:autoSpaceDE w:val="0"/>
        <w:autoSpaceDN w:val="0"/>
        <w:adjustRightInd w:val="0"/>
        <w:ind w:left="0" w:firstLine="0"/>
        <w:rPr>
          <w:rFonts w:eastAsia="TimesNewRomanPSMT"/>
          <w:szCs w:val="22"/>
          <w:lang w:eastAsia="en-US"/>
        </w:rPr>
      </w:pPr>
      <w:r w:rsidRPr="00512310">
        <w:rPr>
          <w:rFonts w:eastAsia="TimesNewRomanPSMT"/>
          <w:szCs w:val="22"/>
          <w:lang w:eastAsia="en-US"/>
        </w:rPr>
        <w:lastRenderedPageBreak/>
        <w:t>Kombinácia lenalidomidu s melfalánom a prednizónom u pacientov s mnohopočetným myelómom je spojená s vyššou incidenciou trombocytopénie 3. a 4. stupňa (40,4% u pacientov liečených MPR+R/MPR+p v porovnaní s 13,7% u pacientov liečených MPp+p; pozri časť 4.8).</w:t>
      </w:r>
    </w:p>
    <w:p w14:paraId="2DBDCBCB" w14:textId="77777777" w:rsidR="00A47CDC" w:rsidRPr="00512310" w:rsidRDefault="00A47CDC" w:rsidP="00A47CDC">
      <w:pPr>
        <w:autoSpaceDE w:val="0"/>
        <w:autoSpaceDN w:val="0"/>
        <w:adjustRightInd w:val="0"/>
        <w:ind w:left="0" w:firstLine="0"/>
        <w:rPr>
          <w:rFonts w:eastAsia="TimesNewRomanPSMT"/>
          <w:szCs w:val="22"/>
          <w:lang w:eastAsia="en-US"/>
        </w:rPr>
      </w:pPr>
    </w:p>
    <w:p w14:paraId="65400735" w14:textId="77777777" w:rsidR="00A47CDC" w:rsidRPr="00512310" w:rsidRDefault="00A47CDC" w:rsidP="000932CA">
      <w:pPr>
        <w:numPr>
          <w:ilvl w:val="0"/>
          <w:numId w:val="4"/>
        </w:numPr>
        <w:autoSpaceDE w:val="0"/>
        <w:autoSpaceDN w:val="0"/>
        <w:adjustRightInd w:val="0"/>
        <w:ind w:left="709" w:hanging="709"/>
        <w:rPr>
          <w:rFonts w:eastAsia="TimesNewRomanPSMT"/>
          <w:i/>
          <w:szCs w:val="22"/>
          <w:lang w:eastAsia="en-US"/>
        </w:rPr>
      </w:pPr>
      <w:r w:rsidRPr="00512310">
        <w:rPr>
          <w:rFonts w:eastAsia="TimesNewRomanPSMT"/>
          <w:i/>
          <w:szCs w:val="22"/>
          <w:lang w:eastAsia="en-US"/>
        </w:rPr>
        <w:t xml:space="preserve">Mnohopočetný myelóm: pacienti s aspoň jednou predchádzajúcou liečbou </w:t>
      </w:r>
    </w:p>
    <w:p w14:paraId="64615BA3" w14:textId="77777777" w:rsidR="00A47CDC" w:rsidRPr="00512310" w:rsidRDefault="00A47CDC" w:rsidP="00A47CDC">
      <w:pPr>
        <w:autoSpaceDE w:val="0"/>
        <w:autoSpaceDN w:val="0"/>
        <w:adjustRightInd w:val="0"/>
        <w:ind w:left="0" w:firstLine="0"/>
        <w:rPr>
          <w:rFonts w:eastAsia="TimesNewRomanPSMT"/>
          <w:szCs w:val="22"/>
          <w:lang w:eastAsia="en-US"/>
        </w:rPr>
      </w:pPr>
      <w:r w:rsidRPr="00512310">
        <w:rPr>
          <w:rFonts w:eastAsia="TimesNewRomanPSMT"/>
          <w:szCs w:val="22"/>
          <w:lang w:eastAsia="en-US"/>
        </w:rPr>
        <w:t>Kombinovaná liečba lenalidomidom s dexametazónom u pacientov s mnohopočetným myelómom s aspoň jednou predchádzajúcou liečbou sa spája s vyšším výskytom neutropénie 4. stupňa (u 5,1% pacientov liečených lenalidomidom/dexametazónom v porovnaní s 0,6% pacientov liečených placebom/dexametazónom; pozri časť 4.8). Prípady febrilnej neutropénie 4. stupňa boli u pacientov pozorované zriedkavo (u 0,6% pacientov liečených lenalidomidom/dexametazónom v porovnaní s 0,0% pacientov liečených placebom/dexametazónom; pozri časť 4.8).</w:t>
      </w:r>
    </w:p>
    <w:p w14:paraId="06055ED3" w14:textId="77777777" w:rsidR="00A47CDC" w:rsidRPr="00512310" w:rsidRDefault="00A47CDC" w:rsidP="00A47CDC">
      <w:pPr>
        <w:autoSpaceDE w:val="0"/>
        <w:autoSpaceDN w:val="0"/>
        <w:adjustRightInd w:val="0"/>
        <w:ind w:left="0" w:firstLine="0"/>
        <w:rPr>
          <w:rFonts w:eastAsia="TimesNewRomanPSMT"/>
          <w:szCs w:val="22"/>
          <w:lang w:eastAsia="en-US"/>
        </w:rPr>
      </w:pPr>
    </w:p>
    <w:p w14:paraId="171379A1" w14:textId="77777777" w:rsidR="0092221B" w:rsidRPr="00512310" w:rsidRDefault="00A47CDC" w:rsidP="00A47CDC">
      <w:pPr>
        <w:autoSpaceDE w:val="0"/>
        <w:autoSpaceDN w:val="0"/>
        <w:adjustRightInd w:val="0"/>
        <w:ind w:left="0" w:firstLine="0"/>
        <w:rPr>
          <w:rFonts w:eastAsia="TimesNewRomanPSMT"/>
          <w:szCs w:val="22"/>
          <w:lang w:eastAsia="en-US"/>
        </w:rPr>
      </w:pPr>
      <w:r w:rsidRPr="00512310">
        <w:rPr>
          <w:rFonts w:eastAsia="TimesNewRomanPSMT"/>
          <w:szCs w:val="22"/>
          <w:lang w:eastAsia="en-US"/>
        </w:rPr>
        <w:t>Kombinovaná liečba lenalidomidom s dexametazónom u pacientov s mnohopočetným myelómom sa</w:t>
      </w:r>
      <w:r w:rsidR="00094018" w:rsidRPr="00512310">
        <w:rPr>
          <w:rFonts w:eastAsia="TimesNewRomanPSMT"/>
          <w:szCs w:val="22"/>
          <w:lang w:eastAsia="en-US"/>
        </w:rPr>
        <w:t xml:space="preserve"> </w:t>
      </w:r>
      <w:r w:rsidRPr="00512310">
        <w:rPr>
          <w:rFonts w:eastAsia="TimesNewRomanPSMT"/>
          <w:szCs w:val="22"/>
          <w:lang w:eastAsia="en-US"/>
        </w:rPr>
        <w:t>spája s vyšším výskytom trombocytopénie 3. a 4. stupňa (u 9,9% a 1,4% pacientov liečených</w:t>
      </w:r>
      <w:r w:rsidR="00094018" w:rsidRPr="00512310">
        <w:rPr>
          <w:rFonts w:eastAsia="TimesNewRomanPSMT"/>
          <w:szCs w:val="22"/>
          <w:lang w:eastAsia="en-US"/>
        </w:rPr>
        <w:t xml:space="preserve"> </w:t>
      </w:r>
      <w:r w:rsidRPr="00512310">
        <w:rPr>
          <w:rFonts w:eastAsia="TimesNewRomanPSMT"/>
          <w:szCs w:val="22"/>
          <w:lang w:eastAsia="en-US"/>
        </w:rPr>
        <w:t>lenalidomidom/dexametazónom v porovnaní s 2,3% a 0,0% pacientov liečených</w:t>
      </w:r>
      <w:r w:rsidR="00094018" w:rsidRPr="00512310">
        <w:rPr>
          <w:rFonts w:eastAsia="TimesNewRomanPSMT"/>
          <w:szCs w:val="22"/>
          <w:lang w:eastAsia="en-US"/>
        </w:rPr>
        <w:t xml:space="preserve"> </w:t>
      </w:r>
      <w:r w:rsidRPr="00512310">
        <w:rPr>
          <w:rFonts w:eastAsia="TimesNewRomanPSMT"/>
          <w:szCs w:val="22"/>
          <w:lang w:eastAsia="en-US"/>
        </w:rPr>
        <w:t>placebom/dexametazónom; pozri časť 4.8).</w:t>
      </w:r>
    </w:p>
    <w:p w14:paraId="612DD912" w14:textId="77777777" w:rsidR="0092221B" w:rsidRPr="00512310" w:rsidRDefault="0092221B" w:rsidP="00FB1611">
      <w:pPr>
        <w:autoSpaceDE w:val="0"/>
        <w:autoSpaceDN w:val="0"/>
        <w:adjustRightInd w:val="0"/>
        <w:ind w:left="0" w:firstLine="0"/>
        <w:rPr>
          <w:rFonts w:eastAsia="TimesNewRomanPSMT"/>
          <w:szCs w:val="22"/>
          <w:lang w:eastAsia="en-US"/>
        </w:rPr>
      </w:pPr>
    </w:p>
    <w:p w14:paraId="36ED8199" w14:textId="77777777" w:rsidR="00094018" w:rsidRPr="00512310" w:rsidRDefault="00094018" w:rsidP="000932CA">
      <w:pPr>
        <w:numPr>
          <w:ilvl w:val="0"/>
          <w:numId w:val="4"/>
        </w:numPr>
        <w:autoSpaceDE w:val="0"/>
        <w:autoSpaceDN w:val="0"/>
        <w:adjustRightInd w:val="0"/>
        <w:ind w:left="709" w:hanging="709"/>
        <w:rPr>
          <w:i/>
          <w:szCs w:val="22"/>
          <w:u w:val="single"/>
          <w:lang w:eastAsia="en-US"/>
        </w:rPr>
      </w:pPr>
      <w:r w:rsidRPr="00512310">
        <w:rPr>
          <w:i/>
          <w:szCs w:val="22"/>
          <w:u w:val="single"/>
          <w:lang w:eastAsia="en-US"/>
        </w:rPr>
        <w:t>Myelodysplastický syndróm</w:t>
      </w:r>
    </w:p>
    <w:p w14:paraId="5091A04D" w14:textId="77777777" w:rsidR="00094018" w:rsidRPr="00512310" w:rsidRDefault="00094018" w:rsidP="00094018">
      <w:pPr>
        <w:autoSpaceDE w:val="0"/>
        <w:autoSpaceDN w:val="0"/>
        <w:adjustRightInd w:val="0"/>
        <w:ind w:left="0" w:firstLine="0"/>
        <w:rPr>
          <w:szCs w:val="22"/>
          <w:lang w:eastAsia="en-US"/>
        </w:rPr>
      </w:pPr>
      <w:r w:rsidRPr="00512310">
        <w:rPr>
          <w:rFonts w:eastAsia="TimesNewRomanPSMT"/>
          <w:szCs w:val="22"/>
          <w:lang w:eastAsia="en-US"/>
        </w:rPr>
        <w:t>Liečba lenalidomidom u pacientov s myelodysplastickým syndrómom je spojená s vyššou incidenciou</w:t>
      </w:r>
      <w:r w:rsidR="00886991" w:rsidRPr="00512310">
        <w:rPr>
          <w:rFonts w:eastAsia="TimesNewRomanPSMT"/>
          <w:szCs w:val="22"/>
          <w:lang w:eastAsia="en-US"/>
        </w:rPr>
        <w:t xml:space="preserve"> </w:t>
      </w:r>
      <w:r w:rsidRPr="00512310">
        <w:rPr>
          <w:rFonts w:eastAsia="TimesNewRomanPSMT"/>
          <w:szCs w:val="22"/>
          <w:lang w:eastAsia="en-US"/>
        </w:rPr>
        <w:t>neutropénie 3. a 4. stupňa a trombocytopénie v porovnaní s pacientmi užívajúcimi placebo (pozri časť</w:t>
      </w:r>
      <w:r w:rsidR="00886991" w:rsidRPr="00512310">
        <w:rPr>
          <w:rFonts w:eastAsia="TimesNewRomanPSMT"/>
          <w:szCs w:val="22"/>
          <w:lang w:eastAsia="en-US"/>
        </w:rPr>
        <w:t xml:space="preserve"> </w:t>
      </w:r>
      <w:r w:rsidRPr="00512310">
        <w:rPr>
          <w:szCs w:val="22"/>
          <w:lang w:eastAsia="en-US"/>
        </w:rPr>
        <w:t>4.8).</w:t>
      </w:r>
    </w:p>
    <w:p w14:paraId="7DBF7C04" w14:textId="77777777" w:rsidR="00886991" w:rsidRPr="00512310" w:rsidRDefault="00886991" w:rsidP="00094018">
      <w:pPr>
        <w:autoSpaceDE w:val="0"/>
        <w:autoSpaceDN w:val="0"/>
        <w:adjustRightInd w:val="0"/>
        <w:ind w:left="0" w:firstLine="0"/>
        <w:rPr>
          <w:szCs w:val="22"/>
          <w:lang w:eastAsia="en-US"/>
        </w:rPr>
      </w:pPr>
    </w:p>
    <w:p w14:paraId="3605A1AF" w14:textId="77777777" w:rsidR="00094018" w:rsidRPr="00512310" w:rsidRDefault="00094018" w:rsidP="000932CA">
      <w:pPr>
        <w:numPr>
          <w:ilvl w:val="0"/>
          <w:numId w:val="4"/>
        </w:numPr>
        <w:autoSpaceDE w:val="0"/>
        <w:autoSpaceDN w:val="0"/>
        <w:adjustRightInd w:val="0"/>
        <w:ind w:left="709" w:hanging="709"/>
        <w:rPr>
          <w:rFonts w:eastAsia="TimesNewRomanPSMT"/>
          <w:i/>
          <w:szCs w:val="22"/>
          <w:u w:val="single"/>
          <w:lang w:eastAsia="en-US"/>
        </w:rPr>
      </w:pPr>
      <w:r w:rsidRPr="00512310">
        <w:rPr>
          <w:rFonts w:eastAsia="TimesNewRomanPSMT"/>
          <w:i/>
          <w:szCs w:val="22"/>
          <w:u w:val="single"/>
          <w:lang w:eastAsia="en-US"/>
        </w:rPr>
        <w:t>Lymfóm z plášťových buniek</w:t>
      </w:r>
    </w:p>
    <w:p w14:paraId="111896B6" w14:textId="77777777" w:rsidR="00094018" w:rsidRPr="00512310" w:rsidRDefault="00094018" w:rsidP="00094018">
      <w:pPr>
        <w:autoSpaceDE w:val="0"/>
        <w:autoSpaceDN w:val="0"/>
        <w:adjustRightInd w:val="0"/>
        <w:ind w:left="0" w:firstLine="0"/>
        <w:rPr>
          <w:rFonts w:eastAsia="TimesNewRomanPSMT"/>
          <w:szCs w:val="22"/>
          <w:lang w:eastAsia="en-US"/>
        </w:rPr>
      </w:pPr>
      <w:r w:rsidRPr="00512310">
        <w:rPr>
          <w:rFonts w:eastAsia="TimesNewRomanPSMT"/>
          <w:szCs w:val="22"/>
          <w:lang w:eastAsia="en-US"/>
        </w:rPr>
        <w:t>Liečba lenalidomidom u pacientov s lymfómom z plášťových buniek je spojená s vyššou incidenciou</w:t>
      </w:r>
      <w:r w:rsidR="00411405" w:rsidRPr="00512310">
        <w:rPr>
          <w:rFonts w:eastAsia="TimesNewRomanPSMT"/>
          <w:szCs w:val="22"/>
          <w:lang w:eastAsia="en-US"/>
        </w:rPr>
        <w:t xml:space="preserve"> </w:t>
      </w:r>
      <w:r w:rsidRPr="00512310">
        <w:rPr>
          <w:rFonts w:eastAsia="TimesNewRomanPSMT"/>
          <w:szCs w:val="22"/>
          <w:lang w:eastAsia="en-US"/>
        </w:rPr>
        <w:t>neutropénie 3. a 4. stupňa v porovnaní s pacientmi v kontrolnej skupine (pozri časť 4.8).</w:t>
      </w:r>
    </w:p>
    <w:p w14:paraId="775A7950" w14:textId="77777777" w:rsidR="00411405" w:rsidRPr="00512310" w:rsidRDefault="00411405" w:rsidP="00094018">
      <w:pPr>
        <w:autoSpaceDE w:val="0"/>
        <w:autoSpaceDN w:val="0"/>
        <w:adjustRightInd w:val="0"/>
        <w:ind w:left="0" w:firstLine="0"/>
        <w:rPr>
          <w:i/>
          <w:iCs/>
          <w:szCs w:val="22"/>
          <w:lang w:eastAsia="en-US"/>
        </w:rPr>
      </w:pPr>
    </w:p>
    <w:p w14:paraId="64ECF0EA" w14:textId="77777777" w:rsidR="00094018" w:rsidRPr="00512310" w:rsidRDefault="00094018" w:rsidP="00094018">
      <w:pPr>
        <w:autoSpaceDE w:val="0"/>
        <w:autoSpaceDN w:val="0"/>
        <w:adjustRightInd w:val="0"/>
        <w:ind w:left="0" w:firstLine="0"/>
        <w:rPr>
          <w:i/>
          <w:iCs/>
          <w:szCs w:val="22"/>
          <w:lang w:eastAsia="en-US"/>
        </w:rPr>
      </w:pPr>
      <w:r w:rsidRPr="00512310">
        <w:rPr>
          <w:i/>
          <w:iCs/>
          <w:szCs w:val="22"/>
          <w:lang w:eastAsia="en-US"/>
        </w:rPr>
        <w:t>Poruchy činnosti štítnej žľazy</w:t>
      </w:r>
    </w:p>
    <w:p w14:paraId="70E32EC6" w14:textId="77777777" w:rsidR="00094018" w:rsidRPr="00512310" w:rsidRDefault="00094018" w:rsidP="00094018">
      <w:pPr>
        <w:autoSpaceDE w:val="0"/>
        <w:autoSpaceDN w:val="0"/>
        <w:adjustRightInd w:val="0"/>
        <w:ind w:left="0" w:firstLine="0"/>
        <w:rPr>
          <w:rFonts w:eastAsia="TimesNewRomanPSMT"/>
          <w:szCs w:val="22"/>
          <w:lang w:eastAsia="en-US"/>
        </w:rPr>
      </w:pPr>
      <w:r w:rsidRPr="00512310">
        <w:rPr>
          <w:rFonts w:eastAsia="TimesNewRomanPSMT"/>
          <w:szCs w:val="22"/>
          <w:lang w:eastAsia="en-US"/>
        </w:rPr>
        <w:t>Pozorovali sa prípady hypotyreózy a hypertyreózy. Pred začatím liečby sa odporúča optimalizovať</w:t>
      </w:r>
      <w:r w:rsidR="00411405" w:rsidRPr="00512310">
        <w:rPr>
          <w:rFonts w:eastAsia="TimesNewRomanPSMT"/>
          <w:szCs w:val="22"/>
          <w:lang w:eastAsia="en-US"/>
        </w:rPr>
        <w:t xml:space="preserve"> </w:t>
      </w:r>
      <w:r w:rsidRPr="00512310">
        <w:rPr>
          <w:rFonts w:eastAsia="TimesNewRomanPSMT"/>
          <w:szCs w:val="22"/>
          <w:lang w:eastAsia="en-US"/>
        </w:rPr>
        <w:t>kontrolu pridružených (komorbidných) ochorení, ktoré ovplyvňujú činnosť štítnej žľazy. Odporúča sa</w:t>
      </w:r>
      <w:r w:rsidR="00411405" w:rsidRPr="00512310">
        <w:rPr>
          <w:rFonts w:eastAsia="TimesNewRomanPSMT"/>
          <w:szCs w:val="22"/>
          <w:lang w:eastAsia="en-US"/>
        </w:rPr>
        <w:t xml:space="preserve"> </w:t>
      </w:r>
      <w:r w:rsidRPr="00512310">
        <w:rPr>
          <w:rFonts w:eastAsia="TimesNewRomanPSMT"/>
          <w:szCs w:val="22"/>
          <w:lang w:eastAsia="en-US"/>
        </w:rPr>
        <w:t>základné počiatočné a potom priebežné monitorovanie činnosti štítnej žľazy.</w:t>
      </w:r>
    </w:p>
    <w:p w14:paraId="5686661A" w14:textId="77777777" w:rsidR="00411405" w:rsidRPr="00512310" w:rsidRDefault="00411405" w:rsidP="00094018">
      <w:pPr>
        <w:autoSpaceDE w:val="0"/>
        <w:autoSpaceDN w:val="0"/>
        <w:adjustRightInd w:val="0"/>
        <w:ind w:left="0" w:firstLine="0"/>
        <w:rPr>
          <w:i/>
          <w:iCs/>
          <w:szCs w:val="22"/>
          <w:lang w:eastAsia="en-US"/>
        </w:rPr>
      </w:pPr>
    </w:p>
    <w:p w14:paraId="7D07DD2A" w14:textId="77777777" w:rsidR="00094018" w:rsidRPr="00512310" w:rsidRDefault="00094018" w:rsidP="00094018">
      <w:pPr>
        <w:autoSpaceDE w:val="0"/>
        <w:autoSpaceDN w:val="0"/>
        <w:adjustRightInd w:val="0"/>
        <w:ind w:left="0" w:firstLine="0"/>
        <w:rPr>
          <w:i/>
          <w:iCs/>
          <w:szCs w:val="22"/>
          <w:lang w:eastAsia="en-US"/>
        </w:rPr>
      </w:pPr>
      <w:r w:rsidRPr="00512310">
        <w:rPr>
          <w:i/>
          <w:iCs/>
          <w:szCs w:val="22"/>
          <w:lang w:eastAsia="en-US"/>
        </w:rPr>
        <w:t>Periférna neuropatia</w:t>
      </w:r>
    </w:p>
    <w:p w14:paraId="31BC9FC7" w14:textId="09D6B22B" w:rsidR="00094018" w:rsidRPr="00512310" w:rsidRDefault="00094018" w:rsidP="00094018">
      <w:pPr>
        <w:autoSpaceDE w:val="0"/>
        <w:autoSpaceDN w:val="0"/>
        <w:adjustRightInd w:val="0"/>
        <w:ind w:left="0" w:firstLine="0"/>
        <w:rPr>
          <w:rFonts w:eastAsia="TimesNewRomanPSMT"/>
          <w:szCs w:val="22"/>
          <w:lang w:eastAsia="en-US"/>
        </w:rPr>
      </w:pPr>
      <w:r w:rsidRPr="00512310">
        <w:rPr>
          <w:szCs w:val="22"/>
          <w:lang w:eastAsia="en-US"/>
        </w:rPr>
        <w:t xml:space="preserve">Lenalidomid je </w:t>
      </w:r>
      <w:r w:rsidRPr="00512310">
        <w:rPr>
          <w:rFonts w:eastAsia="TimesNewRomanPSMT"/>
          <w:szCs w:val="22"/>
          <w:lang w:eastAsia="en-US"/>
        </w:rPr>
        <w:t>š</w:t>
      </w:r>
      <w:r w:rsidRPr="00512310">
        <w:rPr>
          <w:szCs w:val="22"/>
          <w:lang w:eastAsia="en-US"/>
        </w:rPr>
        <w:t>trukturálne príbuzný s talidomidom, ktorý je známy spôsobovaním záva</w:t>
      </w:r>
      <w:r w:rsidRPr="00512310">
        <w:rPr>
          <w:rFonts w:eastAsia="TimesNewRomanPSMT"/>
          <w:szCs w:val="22"/>
          <w:lang w:eastAsia="en-US"/>
        </w:rPr>
        <w:t>ž</w:t>
      </w:r>
      <w:r w:rsidRPr="00512310">
        <w:rPr>
          <w:szCs w:val="22"/>
          <w:lang w:eastAsia="en-US"/>
        </w:rPr>
        <w:t>nej periférnej</w:t>
      </w:r>
      <w:r w:rsidR="00411405" w:rsidRPr="00512310">
        <w:rPr>
          <w:szCs w:val="22"/>
          <w:lang w:eastAsia="en-US"/>
        </w:rPr>
        <w:t xml:space="preserve"> </w:t>
      </w:r>
      <w:r w:rsidRPr="00512310">
        <w:rPr>
          <w:szCs w:val="22"/>
          <w:lang w:eastAsia="en-US"/>
        </w:rPr>
        <w:t>neuropatie. Nebol pozorovaný zvý</w:t>
      </w:r>
      <w:r w:rsidRPr="00512310">
        <w:rPr>
          <w:rFonts w:eastAsia="TimesNewRomanPSMT"/>
          <w:szCs w:val="22"/>
          <w:lang w:eastAsia="en-US"/>
        </w:rPr>
        <w:t>š</w:t>
      </w:r>
      <w:r w:rsidRPr="00512310">
        <w:rPr>
          <w:szCs w:val="22"/>
          <w:lang w:eastAsia="en-US"/>
        </w:rPr>
        <w:t>ený výskyt periférnej neuropatie pri dlhodobom u</w:t>
      </w:r>
      <w:r w:rsidRPr="00512310">
        <w:rPr>
          <w:rFonts w:eastAsia="TimesNewRomanPSMT"/>
          <w:szCs w:val="22"/>
          <w:lang w:eastAsia="en-US"/>
        </w:rPr>
        <w:t>ž</w:t>
      </w:r>
      <w:r w:rsidRPr="00512310">
        <w:rPr>
          <w:szCs w:val="22"/>
          <w:lang w:eastAsia="en-US"/>
        </w:rPr>
        <w:t>ívaní lenalidomidu</w:t>
      </w:r>
      <w:r w:rsidR="00411405" w:rsidRPr="00512310">
        <w:rPr>
          <w:szCs w:val="22"/>
          <w:lang w:eastAsia="en-US"/>
        </w:rPr>
        <w:t xml:space="preserve"> </w:t>
      </w:r>
      <w:r w:rsidRPr="00512310">
        <w:rPr>
          <w:rFonts w:eastAsia="TimesNewRomanPSMT"/>
          <w:szCs w:val="22"/>
          <w:lang w:eastAsia="en-US"/>
        </w:rPr>
        <w:t>pr</w:t>
      </w:r>
      <w:r w:rsidR="00205F7B">
        <w:rPr>
          <w:rFonts w:eastAsia="TimesNewRomanPSMT"/>
          <w:szCs w:val="22"/>
          <w:lang w:eastAsia="en-US"/>
        </w:rPr>
        <w:t>i</w:t>
      </w:r>
      <w:r w:rsidRPr="00512310">
        <w:rPr>
          <w:rFonts w:eastAsia="TimesNewRomanPSMT"/>
          <w:szCs w:val="22"/>
          <w:lang w:eastAsia="en-US"/>
        </w:rPr>
        <w:t xml:space="preserve"> liečb</w:t>
      </w:r>
      <w:r w:rsidR="00205F7B">
        <w:rPr>
          <w:rFonts w:eastAsia="TimesNewRomanPSMT"/>
          <w:szCs w:val="22"/>
          <w:lang w:eastAsia="en-US"/>
        </w:rPr>
        <w:t>e</w:t>
      </w:r>
      <w:r w:rsidRPr="00512310">
        <w:rPr>
          <w:rFonts w:eastAsia="TimesNewRomanPSMT"/>
          <w:szCs w:val="22"/>
          <w:lang w:eastAsia="en-US"/>
        </w:rPr>
        <w:t xml:space="preserve"> mnohopočetného myelómu u novodiagnostikovaných pacientov.</w:t>
      </w:r>
    </w:p>
    <w:p w14:paraId="2C4A512A" w14:textId="77777777" w:rsidR="00411405" w:rsidRPr="00512310" w:rsidRDefault="00411405" w:rsidP="00094018">
      <w:pPr>
        <w:autoSpaceDE w:val="0"/>
        <w:autoSpaceDN w:val="0"/>
        <w:adjustRightInd w:val="0"/>
        <w:ind w:left="0" w:firstLine="0"/>
        <w:rPr>
          <w:i/>
          <w:iCs/>
          <w:szCs w:val="22"/>
          <w:lang w:eastAsia="en-US"/>
        </w:rPr>
      </w:pPr>
    </w:p>
    <w:p w14:paraId="3A1870C1" w14:textId="0C7DCC07" w:rsidR="00094018" w:rsidRPr="00512310" w:rsidRDefault="00094018" w:rsidP="00094018">
      <w:pPr>
        <w:autoSpaceDE w:val="0"/>
        <w:autoSpaceDN w:val="0"/>
        <w:adjustRightInd w:val="0"/>
        <w:ind w:left="0" w:firstLine="0"/>
        <w:rPr>
          <w:i/>
          <w:iCs/>
          <w:szCs w:val="22"/>
          <w:lang w:eastAsia="en-US"/>
        </w:rPr>
      </w:pPr>
      <w:r w:rsidRPr="00512310">
        <w:rPr>
          <w:i/>
          <w:iCs/>
          <w:szCs w:val="22"/>
          <w:lang w:eastAsia="en-US"/>
        </w:rPr>
        <w:t xml:space="preserve">Reakcia vzplanutia </w:t>
      </w:r>
      <w:r w:rsidR="00205F7B">
        <w:rPr>
          <w:i/>
          <w:iCs/>
          <w:szCs w:val="22"/>
          <w:lang w:eastAsia="en-US"/>
        </w:rPr>
        <w:t>nádoru</w:t>
      </w:r>
      <w:r w:rsidRPr="00512310">
        <w:rPr>
          <w:i/>
          <w:iCs/>
          <w:szCs w:val="22"/>
          <w:lang w:eastAsia="en-US"/>
        </w:rPr>
        <w:t xml:space="preserve"> a syndróm z rozpadu nádoru</w:t>
      </w:r>
    </w:p>
    <w:p w14:paraId="56AA744E" w14:textId="34CFF6C7" w:rsidR="0092221B" w:rsidRPr="00512310" w:rsidRDefault="00094018" w:rsidP="00094018">
      <w:pPr>
        <w:autoSpaceDE w:val="0"/>
        <w:autoSpaceDN w:val="0"/>
        <w:adjustRightInd w:val="0"/>
        <w:ind w:left="0" w:firstLine="0"/>
        <w:rPr>
          <w:rFonts w:eastAsia="TimesNewRomanPSMT"/>
          <w:szCs w:val="22"/>
          <w:lang w:eastAsia="en-US"/>
        </w:rPr>
      </w:pPr>
      <w:r w:rsidRPr="00512310">
        <w:rPr>
          <w:rFonts w:eastAsia="TimesNewRomanPSMT"/>
          <w:szCs w:val="22"/>
          <w:lang w:eastAsia="en-US"/>
        </w:rPr>
        <w:t>Keďže má lenalidomid antineoplastický účinok, môžu sa vyskytnúť komplikácie spôsobené syndrómom z</w:t>
      </w:r>
      <w:r w:rsidR="00411405" w:rsidRPr="00512310">
        <w:rPr>
          <w:rFonts w:eastAsia="TimesNewRomanPSMT"/>
          <w:szCs w:val="22"/>
          <w:lang w:eastAsia="en-US"/>
        </w:rPr>
        <w:t xml:space="preserve"> </w:t>
      </w:r>
      <w:r w:rsidRPr="00512310">
        <w:rPr>
          <w:szCs w:val="22"/>
          <w:lang w:eastAsia="en-US"/>
        </w:rPr>
        <w:t xml:space="preserve">rozpadu nádoru (TLS, tumour lysis syndrome). TLS a reakcia vzplanutia </w:t>
      </w:r>
      <w:r w:rsidR="00205F7B">
        <w:rPr>
          <w:szCs w:val="22"/>
          <w:lang w:eastAsia="en-US"/>
        </w:rPr>
        <w:t>nádoru</w:t>
      </w:r>
      <w:r w:rsidRPr="00512310">
        <w:rPr>
          <w:szCs w:val="22"/>
          <w:lang w:eastAsia="en-US"/>
        </w:rPr>
        <w:t xml:space="preserve"> (TFR, tumour flare</w:t>
      </w:r>
      <w:r w:rsidR="00411405" w:rsidRPr="00512310">
        <w:rPr>
          <w:szCs w:val="22"/>
          <w:lang w:eastAsia="en-US"/>
        </w:rPr>
        <w:t xml:space="preserve"> </w:t>
      </w:r>
      <w:r w:rsidRPr="00512310">
        <w:rPr>
          <w:rFonts w:eastAsia="TimesNewRomanPSMT"/>
          <w:szCs w:val="22"/>
          <w:lang w:eastAsia="en-US"/>
        </w:rPr>
        <w:t>reaction) boli často pozorované u pacientov s chronickou lymfocytovou leukémiou (CLL) a menej často</w:t>
      </w:r>
      <w:r w:rsidR="00411405" w:rsidRPr="00512310">
        <w:rPr>
          <w:rFonts w:eastAsia="TimesNewRomanPSMT"/>
          <w:szCs w:val="22"/>
          <w:lang w:eastAsia="en-US"/>
        </w:rPr>
        <w:t xml:space="preserve"> </w:t>
      </w:r>
      <w:r w:rsidRPr="00512310">
        <w:rPr>
          <w:rFonts w:eastAsia="TimesNewRomanPSMT"/>
          <w:szCs w:val="22"/>
          <w:lang w:eastAsia="en-US"/>
        </w:rPr>
        <w:t>pozorované u pacientov s lymfómami, ktorí boli liečení lenalidomidom. V priebehu liečby lenalidomidom</w:t>
      </w:r>
      <w:r w:rsidR="00411405" w:rsidRPr="00512310">
        <w:rPr>
          <w:rFonts w:eastAsia="TimesNewRomanPSMT"/>
          <w:szCs w:val="22"/>
          <w:lang w:eastAsia="en-US"/>
        </w:rPr>
        <w:t xml:space="preserve"> </w:t>
      </w:r>
      <w:r w:rsidRPr="00512310">
        <w:rPr>
          <w:rFonts w:eastAsia="TimesNewRomanPSMT"/>
          <w:szCs w:val="22"/>
          <w:lang w:eastAsia="en-US"/>
        </w:rPr>
        <w:t>boli pozorované smrteľné prípady TLS. Pacienti s rizikom TLS a TFR sú tí, ktorí vykazovali pred liečbou</w:t>
      </w:r>
      <w:r w:rsidR="00411405" w:rsidRPr="00512310">
        <w:rPr>
          <w:rFonts w:eastAsia="TimesNewRomanPSMT"/>
          <w:szCs w:val="22"/>
          <w:lang w:eastAsia="en-US"/>
        </w:rPr>
        <w:t xml:space="preserve"> </w:t>
      </w:r>
      <w:r w:rsidRPr="00512310">
        <w:rPr>
          <w:rFonts w:eastAsia="TimesNewRomanPSMT"/>
          <w:szCs w:val="22"/>
          <w:lang w:eastAsia="en-US"/>
        </w:rPr>
        <w:t>vysokú nádorovú záťaž. U týchto pacientov je pri začatí liečby lenalidomidom potrebná opatrnosť. Títo</w:t>
      </w:r>
      <w:r w:rsidR="00411405" w:rsidRPr="00512310">
        <w:rPr>
          <w:rFonts w:eastAsia="TimesNewRomanPSMT"/>
          <w:szCs w:val="22"/>
          <w:lang w:eastAsia="en-US"/>
        </w:rPr>
        <w:t xml:space="preserve"> </w:t>
      </w:r>
      <w:r w:rsidRPr="00512310">
        <w:rPr>
          <w:rFonts w:eastAsia="TimesNewRomanPSMT"/>
          <w:szCs w:val="22"/>
          <w:lang w:eastAsia="en-US"/>
        </w:rPr>
        <w:t xml:space="preserve">pacienti sa majú dôkladne sledovať, </w:t>
      </w:r>
      <w:r w:rsidR="00205F7B">
        <w:rPr>
          <w:rFonts w:eastAsia="TimesNewRomanPSMT"/>
          <w:szCs w:val="22"/>
          <w:lang w:eastAsia="en-US"/>
        </w:rPr>
        <w:t>najmä</w:t>
      </w:r>
      <w:r w:rsidRPr="00512310">
        <w:rPr>
          <w:rFonts w:eastAsia="TimesNewRomanPSMT"/>
          <w:szCs w:val="22"/>
          <w:lang w:eastAsia="en-US"/>
        </w:rPr>
        <w:t xml:space="preserve"> počas prvého cyklu alebo počas zvyšovania dávky a majú</w:t>
      </w:r>
      <w:r w:rsidR="00411405" w:rsidRPr="00512310">
        <w:rPr>
          <w:rFonts w:eastAsia="TimesNewRomanPSMT"/>
          <w:szCs w:val="22"/>
          <w:lang w:eastAsia="en-US"/>
        </w:rPr>
        <w:t xml:space="preserve"> </w:t>
      </w:r>
      <w:r w:rsidRPr="00512310">
        <w:rPr>
          <w:rFonts w:eastAsia="TimesNewRomanPSMT"/>
          <w:szCs w:val="22"/>
          <w:lang w:eastAsia="en-US"/>
        </w:rPr>
        <w:t>byť vykonané vhodné preventívne opatrenia. Zriedkavé prípady TLS boli pozorované u pacientov s MM</w:t>
      </w:r>
      <w:r w:rsidR="00411405" w:rsidRPr="00512310">
        <w:rPr>
          <w:rFonts w:eastAsia="TimesNewRomanPSMT"/>
          <w:szCs w:val="22"/>
          <w:lang w:eastAsia="en-US"/>
        </w:rPr>
        <w:t xml:space="preserve"> </w:t>
      </w:r>
      <w:r w:rsidR="00205F7B" w:rsidRPr="00205F7B">
        <w:rPr>
          <w:rFonts w:eastAsia="TimesNewRomanPSMT"/>
          <w:szCs w:val="22"/>
          <w:lang w:eastAsia="en-US"/>
        </w:rPr>
        <w:t>(mnohopočetným myelómom)</w:t>
      </w:r>
      <w:r w:rsidR="00205F7B">
        <w:rPr>
          <w:rFonts w:eastAsia="TimesNewRomanPSMT"/>
          <w:szCs w:val="22"/>
          <w:lang w:eastAsia="en-US"/>
        </w:rPr>
        <w:t xml:space="preserve"> </w:t>
      </w:r>
      <w:r w:rsidRPr="00512310">
        <w:rPr>
          <w:rFonts w:eastAsia="TimesNewRomanPSMT"/>
          <w:szCs w:val="22"/>
          <w:lang w:eastAsia="en-US"/>
        </w:rPr>
        <w:t xml:space="preserve">liečených lenalidomidom a žiadne u pacientov s MDS </w:t>
      </w:r>
      <w:r w:rsidR="00205F7B" w:rsidRPr="00205F7B">
        <w:rPr>
          <w:rFonts w:eastAsia="TimesNewRomanPSMT"/>
          <w:szCs w:val="22"/>
          <w:lang w:eastAsia="en-US"/>
        </w:rPr>
        <w:t>(myelodysplastickým syndrómom)</w:t>
      </w:r>
      <w:r w:rsidR="00205F7B">
        <w:rPr>
          <w:rFonts w:eastAsia="TimesNewRomanPSMT"/>
          <w:szCs w:val="22"/>
          <w:lang w:eastAsia="en-US"/>
        </w:rPr>
        <w:t xml:space="preserve"> </w:t>
      </w:r>
      <w:r w:rsidRPr="00512310">
        <w:rPr>
          <w:rFonts w:eastAsia="TimesNewRomanPSMT"/>
          <w:szCs w:val="22"/>
          <w:lang w:eastAsia="en-US"/>
        </w:rPr>
        <w:t>liečených lenalidomidom.</w:t>
      </w:r>
    </w:p>
    <w:p w14:paraId="643CA628" w14:textId="77777777" w:rsidR="0092221B" w:rsidRPr="00512310" w:rsidRDefault="0092221B" w:rsidP="00FB1611">
      <w:pPr>
        <w:autoSpaceDE w:val="0"/>
        <w:autoSpaceDN w:val="0"/>
        <w:adjustRightInd w:val="0"/>
        <w:ind w:left="0" w:firstLine="0"/>
        <w:rPr>
          <w:rFonts w:eastAsia="TimesNewRomanPSMT"/>
          <w:szCs w:val="22"/>
          <w:lang w:eastAsia="en-US"/>
        </w:rPr>
      </w:pPr>
    </w:p>
    <w:p w14:paraId="05BF33DC" w14:textId="77777777" w:rsidR="00B52280" w:rsidRPr="00512310" w:rsidRDefault="00B52280" w:rsidP="00B52280">
      <w:pPr>
        <w:autoSpaceDE w:val="0"/>
        <w:autoSpaceDN w:val="0"/>
        <w:adjustRightInd w:val="0"/>
        <w:ind w:left="0" w:firstLine="0"/>
        <w:rPr>
          <w:i/>
          <w:iCs/>
          <w:szCs w:val="22"/>
          <w:lang w:eastAsia="en-US"/>
        </w:rPr>
      </w:pPr>
      <w:r w:rsidRPr="00512310">
        <w:rPr>
          <w:i/>
          <w:iCs/>
          <w:szCs w:val="22"/>
          <w:lang w:eastAsia="en-US"/>
        </w:rPr>
        <w:t>Nádorová záťaž</w:t>
      </w:r>
    </w:p>
    <w:p w14:paraId="133544E8" w14:textId="77777777" w:rsidR="00B52280" w:rsidRPr="00512310" w:rsidRDefault="00B52280" w:rsidP="000932CA">
      <w:pPr>
        <w:numPr>
          <w:ilvl w:val="0"/>
          <w:numId w:val="4"/>
        </w:numPr>
        <w:autoSpaceDE w:val="0"/>
        <w:autoSpaceDN w:val="0"/>
        <w:adjustRightInd w:val="0"/>
        <w:ind w:left="709" w:hanging="709"/>
        <w:rPr>
          <w:rFonts w:eastAsia="TimesNewRomanPSMT"/>
          <w:i/>
          <w:szCs w:val="22"/>
          <w:lang w:eastAsia="en-US"/>
        </w:rPr>
      </w:pPr>
      <w:r w:rsidRPr="00512310">
        <w:rPr>
          <w:rFonts w:eastAsia="TimesNewRomanPSMT"/>
          <w:i/>
          <w:szCs w:val="22"/>
          <w:lang w:eastAsia="en-US"/>
        </w:rPr>
        <w:t>Lymfóm z plášťových buniek</w:t>
      </w:r>
    </w:p>
    <w:p w14:paraId="7DA144C8" w14:textId="77777777" w:rsidR="00B52280" w:rsidRPr="00512310" w:rsidRDefault="00B52280" w:rsidP="00B52280">
      <w:pPr>
        <w:autoSpaceDE w:val="0"/>
        <w:autoSpaceDN w:val="0"/>
        <w:adjustRightInd w:val="0"/>
        <w:ind w:left="0" w:firstLine="0"/>
        <w:rPr>
          <w:rFonts w:eastAsia="TimesNewRomanPSMT"/>
          <w:szCs w:val="22"/>
          <w:lang w:eastAsia="en-US"/>
        </w:rPr>
      </w:pPr>
      <w:r w:rsidRPr="00512310">
        <w:rPr>
          <w:rFonts w:eastAsia="TimesNewRomanPSMT"/>
          <w:szCs w:val="22"/>
          <w:lang w:eastAsia="en-US"/>
        </w:rPr>
        <w:t>Pokiaľ sú dostupné iné možnosti liečby, lenalidomid sa neodporúča na liečbu pacientov s vysokou nádorovou záťažou.</w:t>
      </w:r>
    </w:p>
    <w:p w14:paraId="2ED897F4" w14:textId="77777777" w:rsidR="00B52280" w:rsidRPr="00512310" w:rsidRDefault="00B52280" w:rsidP="00B52280">
      <w:pPr>
        <w:autoSpaceDE w:val="0"/>
        <w:autoSpaceDN w:val="0"/>
        <w:adjustRightInd w:val="0"/>
        <w:ind w:left="0" w:firstLine="0"/>
        <w:rPr>
          <w:i/>
          <w:iCs/>
          <w:szCs w:val="22"/>
          <w:lang w:eastAsia="en-US"/>
        </w:rPr>
      </w:pPr>
    </w:p>
    <w:p w14:paraId="464A49AD" w14:textId="77777777" w:rsidR="00B52280" w:rsidRPr="00512310" w:rsidRDefault="00B52280" w:rsidP="00B52280">
      <w:pPr>
        <w:autoSpaceDE w:val="0"/>
        <w:autoSpaceDN w:val="0"/>
        <w:adjustRightInd w:val="0"/>
        <w:ind w:left="0" w:firstLine="0"/>
        <w:rPr>
          <w:i/>
          <w:iCs/>
          <w:szCs w:val="22"/>
          <w:lang w:eastAsia="en-US"/>
        </w:rPr>
      </w:pPr>
      <w:r w:rsidRPr="00512310">
        <w:rPr>
          <w:i/>
          <w:iCs/>
          <w:szCs w:val="22"/>
          <w:lang w:eastAsia="en-US"/>
        </w:rPr>
        <w:t>Skoré úmrtie</w:t>
      </w:r>
    </w:p>
    <w:p w14:paraId="2AF94A1D" w14:textId="558853FC" w:rsidR="00B52280" w:rsidRPr="00512310" w:rsidRDefault="00B52280" w:rsidP="00B52280">
      <w:pPr>
        <w:autoSpaceDE w:val="0"/>
        <w:autoSpaceDN w:val="0"/>
        <w:adjustRightInd w:val="0"/>
        <w:ind w:left="0" w:firstLine="0"/>
        <w:rPr>
          <w:rFonts w:eastAsia="TimesNewRomanPSMT"/>
          <w:szCs w:val="22"/>
          <w:lang w:eastAsia="en-US"/>
        </w:rPr>
      </w:pPr>
      <w:r w:rsidRPr="00512310">
        <w:rPr>
          <w:rFonts w:eastAsia="TimesNewRomanPSMT"/>
          <w:szCs w:val="22"/>
          <w:lang w:eastAsia="en-US"/>
        </w:rPr>
        <w:lastRenderedPageBreak/>
        <w:t xml:space="preserve">V štúdii MCL-002 bol celkovo zjavný nárast skorého úmrtia (do 20 týždňov). U pacientov s vysokou nádorovou záťažou pred liečbou existuje zvýšené riziko skorého úmrtia; v </w:t>
      </w:r>
      <w:r w:rsidR="00DD1E44">
        <w:rPr>
          <w:rFonts w:eastAsia="TimesNewRomanPSMT"/>
          <w:szCs w:val="22"/>
          <w:lang w:eastAsia="en-US"/>
        </w:rPr>
        <w:t>skupine</w:t>
      </w:r>
      <w:r w:rsidRPr="00512310">
        <w:rPr>
          <w:rFonts w:eastAsia="TimesNewRomanPSMT"/>
          <w:szCs w:val="22"/>
          <w:lang w:eastAsia="en-US"/>
        </w:rPr>
        <w:t xml:space="preserve"> s lenalidomidom bolo </w:t>
      </w:r>
      <w:r w:rsidRPr="00512310">
        <w:rPr>
          <w:szCs w:val="22"/>
          <w:lang w:eastAsia="en-US"/>
        </w:rPr>
        <w:t>pozorovaných 16/81 (20%) skorých úmrtí a v kontroln</w:t>
      </w:r>
      <w:r w:rsidR="00205F7B">
        <w:rPr>
          <w:szCs w:val="22"/>
          <w:lang w:eastAsia="en-US"/>
        </w:rPr>
        <w:t>ej</w:t>
      </w:r>
      <w:r w:rsidRPr="00512310">
        <w:rPr>
          <w:szCs w:val="22"/>
          <w:lang w:eastAsia="en-US"/>
        </w:rPr>
        <w:t xml:space="preserve"> </w:t>
      </w:r>
      <w:r w:rsidR="00DD1E44">
        <w:rPr>
          <w:szCs w:val="22"/>
          <w:lang w:eastAsia="en-US"/>
        </w:rPr>
        <w:t>skupine</w:t>
      </w:r>
      <w:r w:rsidRPr="00512310">
        <w:rPr>
          <w:szCs w:val="22"/>
          <w:lang w:eastAsia="en-US"/>
        </w:rPr>
        <w:t xml:space="preserve"> 2/28 (7%) skorých úmrtí. V 52. Tý</w:t>
      </w:r>
      <w:r w:rsidRPr="00512310">
        <w:rPr>
          <w:rFonts w:eastAsia="TimesNewRomanPSMT"/>
          <w:szCs w:val="22"/>
          <w:lang w:eastAsia="en-US"/>
        </w:rPr>
        <w:t>ž</w:t>
      </w:r>
      <w:r w:rsidRPr="00512310">
        <w:rPr>
          <w:szCs w:val="22"/>
          <w:lang w:eastAsia="en-US"/>
        </w:rPr>
        <w:t xml:space="preserve">dni </w:t>
      </w:r>
      <w:r w:rsidRPr="00512310">
        <w:rPr>
          <w:rFonts w:eastAsia="TimesNewRomanPSMT"/>
          <w:szCs w:val="22"/>
          <w:lang w:eastAsia="en-US"/>
        </w:rPr>
        <w:t>boli zodpovedajúce údaje 32/81 (40%) a 6/28 (21%) (pozri časť 5.1).</w:t>
      </w:r>
    </w:p>
    <w:p w14:paraId="389D1353" w14:textId="77777777" w:rsidR="00B52280" w:rsidRPr="00512310" w:rsidRDefault="00B52280" w:rsidP="00B52280">
      <w:pPr>
        <w:autoSpaceDE w:val="0"/>
        <w:autoSpaceDN w:val="0"/>
        <w:adjustRightInd w:val="0"/>
        <w:ind w:left="0" w:firstLine="0"/>
        <w:rPr>
          <w:i/>
          <w:iCs/>
          <w:szCs w:val="22"/>
          <w:lang w:eastAsia="en-US"/>
        </w:rPr>
      </w:pPr>
    </w:p>
    <w:p w14:paraId="7CFB3A5B" w14:textId="77777777" w:rsidR="00B52280" w:rsidRPr="00512310" w:rsidRDefault="00B52280" w:rsidP="00B52280">
      <w:pPr>
        <w:autoSpaceDE w:val="0"/>
        <w:autoSpaceDN w:val="0"/>
        <w:adjustRightInd w:val="0"/>
        <w:ind w:left="0" w:firstLine="0"/>
        <w:rPr>
          <w:i/>
          <w:iCs/>
          <w:szCs w:val="22"/>
          <w:lang w:eastAsia="en-US"/>
        </w:rPr>
      </w:pPr>
      <w:r w:rsidRPr="00512310">
        <w:rPr>
          <w:i/>
          <w:iCs/>
          <w:szCs w:val="22"/>
          <w:lang w:eastAsia="en-US"/>
        </w:rPr>
        <w:t>Nežiaduce účinky</w:t>
      </w:r>
    </w:p>
    <w:p w14:paraId="4CFAA1C7" w14:textId="3B282F9C" w:rsidR="00B52280" w:rsidRPr="00512310" w:rsidRDefault="00B52280" w:rsidP="00B52280">
      <w:pPr>
        <w:autoSpaceDE w:val="0"/>
        <w:autoSpaceDN w:val="0"/>
        <w:adjustRightInd w:val="0"/>
        <w:ind w:left="0" w:firstLine="0"/>
        <w:rPr>
          <w:rFonts w:eastAsia="TimesNewRomanPSMT"/>
          <w:szCs w:val="22"/>
          <w:lang w:eastAsia="en-US"/>
        </w:rPr>
      </w:pPr>
      <w:r w:rsidRPr="00512310">
        <w:rPr>
          <w:rFonts w:eastAsia="TimesNewRomanPSMT"/>
          <w:szCs w:val="22"/>
          <w:lang w:eastAsia="en-US"/>
        </w:rPr>
        <w:t>Počas 1. liečebného cyklu štúdie MCL-002 bola liečba ukončená u 11/81 (14%) pacientov s vysokou</w:t>
      </w:r>
      <w:r w:rsidR="00480B37" w:rsidRPr="00512310">
        <w:rPr>
          <w:rFonts w:eastAsia="TimesNewRomanPSMT"/>
          <w:szCs w:val="22"/>
          <w:lang w:eastAsia="en-US"/>
        </w:rPr>
        <w:t xml:space="preserve"> </w:t>
      </w:r>
      <w:r w:rsidRPr="00512310">
        <w:rPr>
          <w:rFonts w:eastAsia="TimesNewRomanPSMT"/>
          <w:szCs w:val="22"/>
          <w:lang w:eastAsia="en-US"/>
        </w:rPr>
        <w:t xml:space="preserve">nádorovou záťažou v </w:t>
      </w:r>
      <w:r w:rsidR="00DD1E44">
        <w:rPr>
          <w:rFonts w:eastAsia="TimesNewRomanPSMT"/>
          <w:szCs w:val="22"/>
          <w:lang w:eastAsia="en-US"/>
        </w:rPr>
        <w:t>skupine</w:t>
      </w:r>
      <w:r w:rsidRPr="00512310">
        <w:rPr>
          <w:rFonts w:eastAsia="TimesNewRomanPSMT"/>
          <w:szCs w:val="22"/>
          <w:lang w:eastAsia="en-US"/>
        </w:rPr>
        <w:t xml:space="preserve"> s lenalidomidom oproti 1/28 (4%) v kontrolnej skupine. Hlavným dôvodom</w:t>
      </w:r>
      <w:r w:rsidR="00480B37" w:rsidRPr="00512310">
        <w:rPr>
          <w:rFonts w:eastAsia="TimesNewRomanPSMT"/>
          <w:szCs w:val="22"/>
          <w:lang w:eastAsia="en-US"/>
        </w:rPr>
        <w:t xml:space="preserve"> </w:t>
      </w:r>
      <w:r w:rsidRPr="00512310">
        <w:rPr>
          <w:rFonts w:eastAsia="TimesNewRomanPSMT"/>
          <w:szCs w:val="22"/>
          <w:lang w:eastAsia="en-US"/>
        </w:rPr>
        <w:t xml:space="preserve">ukončenia liečby u pacientov s vysokou nádorovou záťažou počas 1. liečebného cyklu v </w:t>
      </w:r>
      <w:r w:rsidR="00DD1E44">
        <w:rPr>
          <w:rFonts w:eastAsia="TimesNewRomanPSMT"/>
          <w:szCs w:val="22"/>
          <w:lang w:eastAsia="en-US"/>
        </w:rPr>
        <w:t>skupine</w:t>
      </w:r>
      <w:r w:rsidR="00480B37" w:rsidRPr="00512310">
        <w:rPr>
          <w:rFonts w:eastAsia="TimesNewRomanPSMT"/>
          <w:szCs w:val="22"/>
          <w:lang w:eastAsia="en-US"/>
        </w:rPr>
        <w:t xml:space="preserve"> </w:t>
      </w:r>
      <w:r w:rsidRPr="00512310">
        <w:rPr>
          <w:rFonts w:eastAsia="TimesNewRomanPSMT"/>
          <w:szCs w:val="22"/>
          <w:lang w:eastAsia="en-US"/>
        </w:rPr>
        <w:t>s lenalidomidom boli nežiaduce účinky, 7/11 (64%).</w:t>
      </w:r>
    </w:p>
    <w:p w14:paraId="461D3EB6" w14:textId="0FB74D70" w:rsidR="0092221B" w:rsidRPr="00512310" w:rsidRDefault="00B52280" w:rsidP="00B52280">
      <w:pPr>
        <w:autoSpaceDE w:val="0"/>
        <w:autoSpaceDN w:val="0"/>
        <w:adjustRightInd w:val="0"/>
        <w:ind w:left="0" w:firstLine="0"/>
        <w:rPr>
          <w:rFonts w:eastAsia="TimesNewRomanPSMT"/>
          <w:szCs w:val="22"/>
          <w:lang w:eastAsia="en-US"/>
        </w:rPr>
      </w:pPr>
      <w:r w:rsidRPr="00512310">
        <w:rPr>
          <w:rFonts w:eastAsia="TimesNewRomanPSMT"/>
          <w:szCs w:val="22"/>
          <w:lang w:eastAsia="en-US"/>
        </w:rPr>
        <w:t>Z toho dôvodu majú byť pacienti s vysokou nádorovou záťažou starostlivo sledovaní z hľadiska</w:t>
      </w:r>
      <w:r w:rsidR="00480B37" w:rsidRPr="00512310">
        <w:rPr>
          <w:rFonts w:eastAsia="TimesNewRomanPSMT"/>
          <w:szCs w:val="22"/>
          <w:lang w:eastAsia="en-US"/>
        </w:rPr>
        <w:t xml:space="preserve"> </w:t>
      </w:r>
      <w:r w:rsidRPr="00512310">
        <w:rPr>
          <w:rFonts w:eastAsia="TimesNewRomanPSMT"/>
          <w:szCs w:val="22"/>
          <w:lang w:eastAsia="en-US"/>
        </w:rPr>
        <w:t xml:space="preserve">nežiaducich reakcií (pozri časť 4.8) vrátane prejavov reakcie vzplanutia </w:t>
      </w:r>
      <w:r w:rsidR="006D088D">
        <w:rPr>
          <w:rFonts w:eastAsia="TimesNewRomanPSMT"/>
          <w:szCs w:val="22"/>
          <w:lang w:eastAsia="en-US"/>
        </w:rPr>
        <w:t>nádoru</w:t>
      </w:r>
      <w:r w:rsidRPr="00512310">
        <w:rPr>
          <w:rFonts w:eastAsia="TimesNewRomanPSMT"/>
          <w:szCs w:val="22"/>
          <w:lang w:eastAsia="en-US"/>
        </w:rPr>
        <w:t xml:space="preserve"> (TFR, tumour flare</w:t>
      </w:r>
      <w:r w:rsidR="00480B37" w:rsidRPr="00512310">
        <w:rPr>
          <w:rFonts w:eastAsia="TimesNewRomanPSMT"/>
          <w:szCs w:val="22"/>
          <w:lang w:eastAsia="en-US"/>
        </w:rPr>
        <w:t xml:space="preserve"> </w:t>
      </w:r>
      <w:r w:rsidRPr="00512310">
        <w:rPr>
          <w:rFonts w:eastAsia="TimesNewRomanPSMT"/>
          <w:szCs w:val="22"/>
          <w:lang w:eastAsia="en-US"/>
        </w:rPr>
        <w:t>reaction). Ohľadne úpravy dávky pri TFR pozrite časť 4.2.</w:t>
      </w:r>
      <w:r w:rsidR="00480B37" w:rsidRPr="00512310">
        <w:rPr>
          <w:rFonts w:eastAsia="TimesNewRomanPSMT"/>
          <w:szCs w:val="22"/>
          <w:lang w:eastAsia="en-US"/>
        </w:rPr>
        <w:t xml:space="preserve"> </w:t>
      </w:r>
      <w:r w:rsidRPr="00512310">
        <w:rPr>
          <w:rFonts w:eastAsia="TimesNewRomanPSMT"/>
          <w:szCs w:val="22"/>
          <w:lang w:eastAsia="en-US"/>
        </w:rPr>
        <w:t>Vysoká nádorová záťaž bola definovaná ako najmenej jedna lézia s priemerom ≥5</w:t>
      </w:r>
      <w:r w:rsidR="00480B37" w:rsidRPr="00512310">
        <w:rPr>
          <w:rFonts w:eastAsia="TimesNewRomanPSMT"/>
          <w:szCs w:val="22"/>
          <w:lang w:eastAsia="en-US"/>
        </w:rPr>
        <w:t> </w:t>
      </w:r>
      <w:r w:rsidRPr="00512310">
        <w:rPr>
          <w:rFonts w:eastAsia="TimesNewRomanPSMT"/>
          <w:szCs w:val="22"/>
          <w:lang w:eastAsia="en-US"/>
        </w:rPr>
        <w:t>cm alebo 3 lézie</w:t>
      </w:r>
      <w:r w:rsidR="00480B37" w:rsidRPr="00512310">
        <w:rPr>
          <w:rFonts w:eastAsia="TimesNewRomanPSMT"/>
          <w:szCs w:val="22"/>
          <w:lang w:eastAsia="en-US"/>
        </w:rPr>
        <w:t xml:space="preserve"> </w:t>
      </w:r>
      <w:r w:rsidRPr="00512310">
        <w:rPr>
          <w:rFonts w:eastAsia="TimesNewRomanPSMT"/>
          <w:szCs w:val="22"/>
          <w:lang w:eastAsia="en-US"/>
        </w:rPr>
        <w:t>s priemerom ≥3</w:t>
      </w:r>
      <w:r w:rsidR="00480B37" w:rsidRPr="00512310">
        <w:rPr>
          <w:rFonts w:eastAsia="TimesNewRomanPSMT"/>
          <w:szCs w:val="22"/>
          <w:lang w:eastAsia="en-US"/>
        </w:rPr>
        <w:t> </w:t>
      </w:r>
      <w:r w:rsidRPr="00512310">
        <w:rPr>
          <w:rFonts w:eastAsia="TimesNewRomanPSMT"/>
          <w:szCs w:val="22"/>
          <w:lang w:eastAsia="en-US"/>
        </w:rPr>
        <w:t>cm.</w:t>
      </w:r>
    </w:p>
    <w:p w14:paraId="6AFBA9C6" w14:textId="77777777" w:rsidR="0092221B" w:rsidRPr="00512310" w:rsidRDefault="0092221B" w:rsidP="00FB1611">
      <w:pPr>
        <w:autoSpaceDE w:val="0"/>
        <w:autoSpaceDN w:val="0"/>
        <w:adjustRightInd w:val="0"/>
        <w:ind w:left="0" w:firstLine="0"/>
        <w:rPr>
          <w:rFonts w:eastAsia="TimesNewRomanPSMT"/>
          <w:szCs w:val="22"/>
          <w:lang w:eastAsia="en-US"/>
        </w:rPr>
      </w:pPr>
    </w:p>
    <w:p w14:paraId="53AD1314" w14:textId="06228C65" w:rsidR="000C105E" w:rsidRPr="00512310" w:rsidRDefault="000C105E" w:rsidP="000C105E">
      <w:pPr>
        <w:autoSpaceDE w:val="0"/>
        <w:autoSpaceDN w:val="0"/>
        <w:adjustRightInd w:val="0"/>
        <w:ind w:left="0" w:firstLine="0"/>
        <w:rPr>
          <w:i/>
          <w:iCs/>
          <w:szCs w:val="22"/>
          <w:lang w:eastAsia="en-US"/>
        </w:rPr>
      </w:pPr>
      <w:r w:rsidRPr="00512310">
        <w:rPr>
          <w:i/>
          <w:iCs/>
          <w:szCs w:val="22"/>
          <w:lang w:eastAsia="en-US"/>
        </w:rPr>
        <w:t xml:space="preserve">Reakcia vzplanutia </w:t>
      </w:r>
      <w:r w:rsidR="00205F7B">
        <w:rPr>
          <w:i/>
          <w:iCs/>
          <w:szCs w:val="22"/>
          <w:lang w:eastAsia="en-US"/>
        </w:rPr>
        <w:t>nádoru</w:t>
      </w:r>
    </w:p>
    <w:p w14:paraId="31C1D3BD" w14:textId="77777777" w:rsidR="000C105E" w:rsidRPr="00512310" w:rsidRDefault="000C105E" w:rsidP="004E2236">
      <w:pPr>
        <w:numPr>
          <w:ilvl w:val="0"/>
          <w:numId w:val="4"/>
        </w:numPr>
        <w:autoSpaceDE w:val="0"/>
        <w:autoSpaceDN w:val="0"/>
        <w:adjustRightInd w:val="0"/>
        <w:ind w:left="709" w:hanging="709"/>
        <w:rPr>
          <w:rFonts w:eastAsia="TimesNewRomanPSMT"/>
          <w:i/>
          <w:szCs w:val="22"/>
          <w:lang w:eastAsia="en-US"/>
        </w:rPr>
      </w:pPr>
      <w:r w:rsidRPr="00512310">
        <w:rPr>
          <w:rFonts w:eastAsia="TimesNewRomanPSMT"/>
          <w:i/>
          <w:szCs w:val="22"/>
          <w:lang w:eastAsia="en-US"/>
        </w:rPr>
        <w:t>Lymfóm z plášťových buniek</w:t>
      </w:r>
    </w:p>
    <w:p w14:paraId="73E4BB98" w14:textId="30A1883F" w:rsidR="000C105E" w:rsidRPr="00512310" w:rsidRDefault="000C105E" w:rsidP="000C105E">
      <w:pPr>
        <w:autoSpaceDE w:val="0"/>
        <w:autoSpaceDN w:val="0"/>
        <w:adjustRightInd w:val="0"/>
        <w:ind w:left="0" w:firstLine="0"/>
        <w:rPr>
          <w:rFonts w:eastAsia="TimesNewRomanPSMT"/>
          <w:szCs w:val="22"/>
          <w:lang w:eastAsia="en-US"/>
        </w:rPr>
      </w:pPr>
      <w:r w:rsidRPr="00512310">
        <w:rPr>
          <w:rFonts w:eastAsia="TimesNewRomanPSMT"/>
          <w:szCs w:val="22"/>
          <w:lang w:eastAsia="en-US"/>
        </w:rPr>
        <w:t xml:space="preserve">Je odporúčané pozorné sledovanie a vyhodnotenie TFR (tumour flare reaction). U pacientov s lymfómom </w:t>
      </w:r>
      <w:r w:rsidRPr="00512310">
        <w:rPr>
          <w:szCs w:val="22"/>
          <w:lang w:eastAsia="en-US"/>
        </w:rPr>
        <w:t>z plá</w:t>
      </w:r>
      <w:r w:rsidRPr="00512310">
        <w:rPr>
          <w:rFonts w:eastAsia="TimesNewRomanPSMT"/>
          <w:szCs w:val="22"/>
          <w:lang w:eastAsia="en-US"/>
        </w:rPr>
        <w:t>š</w:t>
      </w:r>
      <w:r w:rsidR="006C5DF8">
        <w:rPr>
          <w:rFonts w:eastAsia="TimesNewRomanPSMT"/>
          <w:szCs w:val="22"/>
          <w:lang w:eastAsia="en-US"/>
        </w:rPr>
        <w:t>ť</w:t>
      </w:r>
      <w:r w:rsidRPr="00512310">
        <w:rPr>
          <w:rFonts w:eastAsia="TimesNewRomanPSMT"/>
          <w:szCs w:val="22"/>
          <w:lang w:eastAsia="en-US"/>
        </w:rPr>
        <w:t xml:space="preserve">ových buniek s vysokým medzinárodným prognostickým indexom (MIPI) v čase diagnózy alebo </w:t>
      </w:r>
      <w:r w:rsidR="00205F7B">
        <w:rPr>
          <w:rFonts w:eastAsia="TimesNewRomanPSMT"/>
          <w:szCs w:val="22"/>
          <w:lang w:eastAsia="en-US"/>
        </w:rPr>
        <w:t xml:space="preserve">s rozsiahlym ochorením - </w:t>
      </w:r>
      <w:r w:rsidRPr="00512310">
        <w:rPr>
          <w:rFonts w:eastAsia="TimesNewRomanPSMT"/>
          <w:szCs w:val="22"/>
          <w:lang w:eastAsia="en-US"/>
        </w:rPr>
        <w:t xml:space="preserve">tzv. bulky disease (najmenej 1 lézia ≥ 7 cm v najdlhšom priemere) pred začiatkom liečby môže existovať riziko TFR. Reakcia vzplanutia </w:t>
      </w:r>
      <w:r w:rsidR="006D088D">
        <w:rPr>
          <w:rFonts w:eastAsia="TimesNewRomanPSMT"/>
          <w:szCs w:val="22"/>
          <w:lang w:eastAsia="en-US"/>
        </w:rPr>
        <w:t>nádoru</w:t>
      </w:r>
      <w:r w:rsidRPr="00512310">
        <w:rPr>
          <w:rFonts w:eastAsia="TimesNewRomanPSMT"/>
          <w:szCs w:val="22"/>
          <w:lang w:eastAsia="en-US"/>
        </w:rPr>
        <w:t xml:space="preserve"> môže napodobňovať progresiu ochorenia. Pacienti v štúdiách MCL-002 a MCL-001, ktorí mali 1. a 2. stupeň TFR, boli liečení kortikosteroidmi, </w:t>
      </w:r>
      <w:r w:rsidRPr="00512310">
        <w:rPr>
          <w:szCs w:val="22"/>
          <w:lang w:eastAsia="en-US"/>
        </w:rPr>
        <w:t xml:space="preserve">nesteroidnými antiflogistikami (NSAID) a/alebo opioidnými analgetikami v rámci symptomatickej </w:t>
      </w:r>
      <w:r w:rsidRPr="00512310">
        <w:rPr>
          <w:rFonts w:eastAsia="TimesNewRomanPSMT"/>
          <w:szCs w:val="22"/>
          <w:lang w:eastAsia="en-US"/>
        </w:rPr>
        <w:t>liečby TFR. Rozhodnutie použiť terapeutické opatrenia pri TFR má byť urobené po starostlivom klinickom vyhodnotení individuálneho pacienta (pozri časť 4.2).</w:t>
      </w:r>
    </w:p>
    <w:p w14:paraId="28FDB06E" w14:textId="77777777" w:rsidR="000C105E" w:rsidRPr="00512310" w:rsidRDefault="000C105E" w:rsidP="000C105E">
      <w:pPr>
        <w:autoSpaceDE w:val="0"/>
        <w:autoSpaceDN w:val="0"/>
        <w:adjustRightInd w:val="0"/>
        <w:ind w:left="0" w:firstLine="0"/>
        <w:rPr>
          <w:i/>
          <w:iCs/>
          <w:szCs w:val="22"/>
          <w:lang w:eastAsia="en-US"/>
        </w:rPr>
      </w:pPr>
    </w:p>
    <w:p w14:paraId="27662954" w14:textId="77777777" w:rsidR="000C105E" w:rsidRPr="00512310" w:rsidRDefault="000C105E" w:rsidP="000C105E">
      <w:pPr>
        <w:autoSpaceDE w:val="0"/>
        <w:autoSpaceDN w:val="0"/>
        <w:adjustRightInd w:val="0"/>
        <w:ind w:left="0" w:firstLine="0"/>
        <w:rPr>
          <w:i/>
          <w:iCs/>
          <w:szCs w:val="22"/>
          <w:lang w:eastAsia="en-US"/>
        </w:rPr>
      </w:pPr>
      <w:r w:rsidRPr="00512310">
        <w:rPr>
          <w:i/>
          <w:iCs/>
          <w:szCs w:val="22"/>
          <w:lang w:eastAsia="en-US"/>
        </w:rPr>
        <w:t>Alergické reakcie</w:t>
      </w:r>
    </w:p>
    <w:p w14:paraId="154C4C4B" w14:textId="77777777" w:rsidR="000C105E" w:rsidRPr="00512310" w:rsidRDefault="000C105E" w:rsidP="000C105E">
      <w:pPr>
        <w:autoSpaceDE w:val="0"/>
        <w:autoSpaceDN w:val="0"/>
        <w:adjustRightInd w:val="0"/>
        <w:ind w:left="0" w:firstLine="0"/>
        <w:rPr>
          <w:szCs w:val="22"/>
          <w:lang w:eastAsia="en-US"/>
        </w:rPr>
      </w:pPr>
      <w:r w:rsidRPr="00512310">
        <w:rPr>
          <w:rFonts w:eastAsia="TimesNewRomanPSMT"/>
          <w:szCs w:val="22"/>
          <w:lang w:eastAsia="en-US"/>
        </w:rPr>
        <w:t xml:space="preserve">Hlásili sa prípady alergických reakcií/reakcií precitlivenosti u pacientov liečených lenalidomidom (pozri časť 4.8). Pacienti, u ktorých sa objavila v minulosti alergická reakcia pri liečbe talidomidom, sa majú starostlivo sledovať, pretože v literatúre bola popísaná možná skrížená reakcia medzi lenalidomidom </w:t>
      </w:r>
      <w:r w:rsidRPr="00512310">
        <w:rPr>
          <w:szCs w:val="22"/>
          <w:lang w:eastAsia="en-US"/>
        </w:rPr>
        <w:t>a talidomidom.</w:t>
      </w:r>
    </w:p>
    <w:p w14:paraId="2B178561" w14:textId="77777777" w:rsidR="000C105E" w:rsidRPr="00512310" w:rsidRDefault="000C105E" w:rsidP="000C105E">
      <w:pPr>
        <w:autoSpaceDE w:val="0"/>
        <w:autoSpaceDN w:val="0"/>
        <w:adjustRightInd w:val="0"/>
        <w:ind w:left="0" w:firstLine="0"/>
        <w:rPr>
          <w:i/>
          <w:iCs/>
          <w:szCs w:val="22"/>
          <w:lang w:eastAsia="en-US"/>
        </w:rPr>
      </w:pPr>
    </w:p>
    <w:p w14:paraId="4064B38E" w14:textId="77777777" w:rsidR="000C105E" w:rsidRPr="00512310" w:rsidRDefault="000C105E" w:rsidP="000C105E">
      <w:pPr>
        <w:autoSpaceDE w:val="0"/>
        <w:autoSpaceDN w:val="0"/>
        <w:adjustRightInd w:val="0"/>
        <w:ind w:left="0" w:firstLine="0"/>
        <w:rPr>
          <w:i/>
          <w:iCs/>
          <w:szCs w:val="22"/>
          <w:lang w:eastAsia="en-US"/>
        </w:rPr>
      </w:pPr>
      <w:r w:rsidRPr="00512310">
        <w:rPr>
          <w:i/>
          <w:iCs/>
          <w:szCs w:val="22"/>
          <w:lang w:eastAsia="en-US"/>
        </w:rPr>
        <w:t>Závažné kožné reakcie</w:t>
      </w:r>
    </w:p>
    <w:p w14:paraId="724915D7" w14:textId="77777777" w:rsidR="000C105E" w:rsidRPr="00512310" w:rsidRDefault="000C105E" w:rsidP="000C105E">
      <w:pPr>
        <w:autoSpaceDE w:val="0"/>
        <w:autoSpaceDN w:val="0"/>
        <w:adjustRightInd w:val="0"/>
        <w:ind w:left="0" w:firstLine="0"/>
        <w:rPr>
          <w:szCs w:val="22"/>
          <w:lang w:eastAsia="en-US"/>
        </w:rPr>
      </w:pPr>
      <w:r w:rsidRPr="00512310">
        <w:rPr>
          <w:szCs w:val="22"/>
          <w:lang w:eastAsia="en-US"/>
        </w:rPr>
        <w:t>Pri pou</w:t>
      </w:r>
      <w:r w:rsidRPr="00512310">
        <w:rPr>
          <w:rFonts w:eastAsia="TimesNewRomanPSMT"/>
          <w:szCs w:val="22"/>
          <w:lang w:eastAsia="en-US"/>
        </w:rPr>
        <w:t>ž</w:t>
      </w:r>
      <w:r w:rsidRPr="00512310">
        <w:rPr>
          <w:szCs w:val="22"/>
          <w:lang w:eastAsia="en-US"/>
        </w:rPr>
        <w:t>ívaní lenalidomidu sa hlásili prípady záva</w:t>
      </w:r>
      <w:r w:rsidRPr="00512310">
        <w:rPr>
          <w:rFonts w:eastAsia="TimesNewRomanPSMT"/>
          <w:szCs w:val="22"/>
          <w:lang w:eastAsia="en-US"/>
        </w:rPr>
        <w:t>ž</w:t>
      </w:r>
      <w:r w:rsidRPr="00512310">
        <w:rPr>
          <w:szCs w:val="22"/>
          <w:lang w:eastAsia="en-US"/>
        </w:rPr>
        <w:t>ných ko</w:t>
      </w:r>
      <w:r w:rsidRPr="00512310">
        <w:rPr>
          <w:rFonts w:eastAsia="TimesNewRomanPSMT"/>
          <w:szCs w:val="22"/>
          <w:lang w:eastAsia="en-US"/>
        </w:rPr>
        <w:t>ž</w:t>
      </w:r>
      <w:r w:rsidRPr="00512310">
        <w:rPr>
          <w:szCs w:val="22"/>
          <w:lang w:eastAsia="en-US"/>
        </w:rPr>
        <w:t>ných reakcií vrátane SJS, TEN a DRESS.</w:t>
      </w:r>
    </w:p>
    <w:p w14:paraId="78D7CF57" w14:textId="77777777" w:rsidR="000C105E" w:rsidRPr="00512310" w:rsidRDefault="000C105E" w:rsidP="000C105E">
      <w:pPr>
        <w:autoSpaceDE w:val="0"/>
        <w:autoSpaceDN w:val="0"/>
        <w:adjustRightInd w:val="0"/>
        <w:ind w:left="0" w:firstLine="0"/>
        <w:rPr>
          <w:szCs w:val="22"/>
          <w:lang w:eastAsia="en-US"/>
        </w:rPr>
      </w:pPr>
      <w:r w:rsidRPr="00512310">
        <w:rPr>
          <w:rFonts w:eastAsia="TimesNewRomanPSMT"/>
          <w:szCs w:val="22"/>
          <w:lang w:eastAsia="en-US"/>
        </w:rPr>
        <w:t xml:space="preserve">Predpisujúci lekári majú poučiť pacientov poučiť o prejavoch a príznakoch týchto reakcií a povedať im, aby v prípade rozvoja týchto príznakov, ihneď vyhľadali lekársku starostlivosť. Liečba lenalidomidom sa musí prerušiť, ak sa objaví exfoliatívny alebo bulózny kožný výsev, alebo pri podozrení na SJS, TEN alebo DRESS a pri týchto reakciách sa nemá znovu pokračovať v liečbe. Je potrebné zvážiť prerušenie alebo ukončenie liečby lenalidomidom v prípade inej formy kožnej reakcie v závislosti od jej závažnosti. Pacienti s anamnézou závažného kožného výsevu v súvislosti s liečbou talidomidom sa nemajú liečiť </w:t>
      </w:r>
      <w:r w:rsidRPr="00512310">
        <w:rPr>
          <w:szCs w:val="22"/>
          <w:lang w:eastAsia="en-US"/>
        </w:rPr>
        <w:t>lenalidomidom.</w:t>
      </w:r>
    </w:p>
    <w:p w14:paraId="0A3A2EBA" w14:textId="77777777" w:rsidR="000C105E" w:rsidRPr="00512310" w:rsidRDefault="000C105E" w:rsidP="000C105E">
      <w:pPr>
        <w:autoSpaceDE w:val="0"/>
        <w:autoSpaceDN w:val="0"/>
        <w:adjustRightInd w:val="0"/>
        <w:ind w:left="0" w:firstLine="0"/>
        <w:rPr>
          <w:i/>
          <w:iCs/>
          <w:szCs w:val="22"/>
          <w:lang w:eastAsia="en-US"/>
        </w:rPr>
      </w:pPr>
    </w:p>
    <w:p w14:paraId="751F3B42" w14:textId="77777777" w:rsidR="000C105E" w:rsidRPr="00512310" w:rsidRDefault="000C105E" w:rsidP="000C105E">
      <w:pPr>
        <w:autoSpaceDE w:val="0"/>
        <w:autoSpaceDN w:val="0"/>
        <w:adjustRightInd w:val="0"/>
        <w:ind w:left="0" w:firstLine="0"/>
        <w:rPr>
          <w:i/>
          <w:iCs/>
          <w:szCs w:val="22"/>
          <w:lang w:eastAsia="en-US"/>
        </w:rPr>
      </w:pPr>
      <w:r w:rsidRPr="00512310">
        <w:rPr>
          <w:i/>
          <w:iCs/>
          <w:szCs w:val="22"/>
          <w:lang w:eastAsia="en-US"/>
        </w:rPr>
        <w:t>Laktózová intolerancia</w:t>
      </w:r>
    </w:p>
    <w:p w14:paraId="4A313AD4" w14:textId="0EFD1833" w:rsidR="00FB1611" w:rsidRPr="00512310" w:rsidRDefault="000C105E" w:rsidP="000C105E">
      <w:pPr>
        <w:autoSpaceDE w:val="0"/>
        <w:autoSpaceDN w:val="0"/>
        <w:adjustRightInd w:val="0"/>
        <w:ind w:left="0" w:firstLine="0"/>
        <w:rPr>
          <w:rFonts w:eastAsia="TimesNewRomanPSMT"/>
          <w:szCs w:val="22"/>
          <w:lang w:eastAsia="en-US"/>
        </w:rPr>
      </w:pPr>
      <w:r w:rsidRPr="00512310">
        <w:rPr>
          <w:rFonts w:eastAsia="TimesNewRomanPSMT"/>
          <w:szCs w:val="22"/>
          <w:lang w:eastAsia="en-US"/>
        </w:rPr>
        <w:t xml:space="preserve">Kapsuly Lenalidomid </w:t>
      </w:r>
      <w:r w:rsidR="00576DE4">
        <w:rPr>
          <w:rFonts w:eastAsia="TimesNewRomanPSMT"/>
          <w:szCs w:val="22"/>
          <w:lang w:eastAsia="en-US"/>
        </w:rPr>
        <w:t>Synthon</w:t>
      </w:r>
      <w:r w:rsidRPr="00512310">
        <w:rPr>
          <w:rFonts w:eastAsia="TimesNewRomanPSMT"/>
          <w:szCs w:val="22"/>
          <w:lang w:eastAsia="en-US"/>
        </w:rPr>
        <w:t xml:space="preserve"> obsahujú laktózu. </w:t>
      </w:r>
      <w:r w:rsidR="009C12C3" w:rsidRPr="00512310">
        <w:rPr>
          <w:rFonts w:eastAsia="TimesNewRomanPSMT"/>
          <w:szCs w:val="22"/>
          <w:lang w:eastAsia="en-US"/>
        </w:rPr>
        <w:t xml:space="preserve">Pacienti so </w:t>
      </w:r>
      <w:r w:rsidRPr="00512310">
        <w:rPr>
          <w:rFonts w:eastAsia="TimesNewRomanPSMT"/>
          <w:szCs w:val="22"/>
          <w:lang w:eastAsia="en-US"/>
        </w:rPr>
        <w:t xml:space="preserve">zriedkavými dedičnými </w:t>
      </w:r>
      <w:r w:rsidRPr="00512310">
        <w:rPr>
          <w:szCs w:val="22"/>
          <w:lang w:eastAsia="en-US"/>
        </w:rPr>
        <w:t xml:space="preserve">poruchami </w:t>
      </w:r>
      <w:r w:rsidR="009C12C3" w:rsidRPr="00512310">
        <w:rPr>
          <w:szCs w:val="22"/>
          <w:lang w:eastAsia="en-US"/>
        </w:rPr>
        <w:t xml:space="preserve">galaktózovej </w:t>
      </w:r>
      <w:r w:rsidRPr="00512310">
        <w:rPr>
          <w:szCs w:val="22"/>
          <w:lang w:eastAsia="en-US"/>
        </w:rPr>
        <w:t xml:space="preserve">intolerancie, </w:t>
      </w:r>
      <w:r w:rsidR="009C12C3" w:rsidRPr="00512310">
        <w:rPr>
          <w:szCs w:val="22"/>
          <w:lang w:eastAsia="en-US"/>
        </w:rPr>
        <w:t xml:space="preserve">celkovým deficitom </w:t>
      </w:r>
      <w:r w:rsidRPr="00512310">
        <w:rPr>
          <w:szCs w:val="22"/>
          <w:lang w:eastAsia="en-US"/>
        </w:rPr>
        <w:t xml:space="preserve">laktázy alebo </w:t>
      </w:r>
      <w:r w:rsidR="009C12C3" w:rsidRPr="00512310">
        <w:rPr>
          <w:szCs w:val="22"/>
          <w:lang w:eastAsia="en-US"/>
        </w:rPr>
        <w:t>glukózo-galaktózovou malapsorpciou nesmú užívať tento liek.</w:t>
      </w:r>
    </w:p>
    <w:p w14:paraId="5DAAA790" w14:textId="77777777" w:rsidR="00FB1611" w:rsidRPr="00512310" w:rsidRDefault="00FB1611" w:rsidP="00FB1611">
      <w:pPr>
        <w:autoSpaceDE w:val="0"/>
        <w:autoSpaceDN w:val="0"/>
        <w:adjustRightInd w:val="0"/>
        <w:ind w:left="0" w:firstLine="0"/>
        <w:rPr>
          <w:rFonts w:eastAsia="TimesNewRomanPSMT"/>
          <w:szCs w:val="22"/>
          <w:lang w:eastAsia="en-US"/>
        </w:rPr>
      </w:pPr>
    </w:p>
    <w:p w14:paraId="76EB2344" w14:textId="3FF4B3C6" w:rsidR="002501F9" w:rsidRPr="00512310" w:rsidRDefault="00205F7B" w:rsidP="002501F9">
      <w:pPr>
        <w:autoSpaceDE w:val="0"/>
        <w:autoSpaceDN w:val="0"/>
        <w:adjustRightInd w:val="0"/>
        <w:ind w:left="0" w:firstLine="0"/>
        <w:rPr>
          <w:i/>
          <w:iCs/>
          <w:szCs w:val="22"/>
          <w:lang w:eastAsia="en-US"/>
        </w:rPr>
      </w:pPr>
      <w:r w:rsidRPr="00205F7B">
        <w:rPr>
          <w:i/>
          <w:iCs/>
          <w:szCs w:val="22"/>
          <w:lang w:eastAsia="en-US"/>
        </w:rPr>
        <w:t>Ďalšie</w:t>
      </w:r>
      <w:r w:rsidR="002501F9" w:rsidRPr="00512310">
        <w:rPr>
          <w:i/>
          <w:iCs/>
          <w:szCs w:val="22"/>
          <w:lang w:eastAsia="en-US"/>
        </w:rPr>
        <w:t xml:space="preserve"> primárne malignity</w:t>
      </w:r>
    </w:p>
    <w:p w14:paraId="35B4CD62" w14:textId="29A1996F" w:rsidR="002501F9" w:rsidRPr="00512310" w:rsidRDefault="002501F9" w:rsidP="002501F9">
      <w:pPr>
        <w:autoSpaceDE w:val="0"/>
        <w:autoSpaceDN w:val="0"/>
        <w:adjustRightInd w:val="0"/>
        <w:ind w:left="0" w:firstLine="0"/>
        <w:rPr>
          <w:rFonts w:eastAsia="TimesNewRomanPSMT"/>
          <w:szCs w:val="22"/>
          <w:lang w:eastAsia="en-US"/>
        </w:rPr>
      </w:pPr>
      <w:r w:rsidRPr="00512310">
        <w:rPr>
          <w:rFonts w:eastAsia="TimesNewRomanPSMT"/>
          <w:szCs w:val="22"/>
          <w:lang w:eastAsia="en-US"/>
        </w:rPr>
        <w:t xml:space="preserve">V klinických štúdiách u pacientov s predchádzajúcou liečbou myelómu užívajúcich </w:t>
      </w:r>
      <w:r w:rsidRPr="00512310">
        <w:rPr>
          <w:szCs w:val="22"/>
          <w:lang w:eastAsia="en-US"/>
        </w:rPr>
        <w:t xml:space="preserve">lenalidomid/dexametazón (3,98 na 100 osoborokov) bol pozorovaný nárast </w:t>
      </w:r>
      <w:r w:rsidR="00205F7B" w:rsidRPr="00205F7B">
        <w:rPr>
          <w:szCs w:val="22"/>
          <w:lang w:eastAsia="en-US"/>
        </w:rPr>
        <w:t>ďalších</w:t>
      </w:r>
      <w:r w:rsidRPr="00512310">
        <w:rPr>
          <w:szCs w:val="22"/>
          <w:lang w:eastAsia="en-US"/>
        </w:rPr>
        <w:t xml:space="preserve"> primárnych malignít (SPM) v porovnaní s kontrolnou skupinou (1,38 na 100 osoborokov). Neinvazívne SPM predstavovali </w:t>
      </w:r>
      <w:r w:rsidRPr="00512310">
        <w:rPr>
          <w:rFonts w:eastAsia="TimesNewRomanPSMT"/>
          <w:szCs w:val="22"/>
          <w:lang w:eastAsia="en-US"/>
        </w:rPr>
        <w:t>bazocelulárny alebo spinocelulárny karcinóm kože. Väčšinu invazívnych SPM tvorili solídne tumory.</w:t>
      </w:r>
    </w:p>
    <w:p w14:paraId="7437EECE" w14:textId="77777777" w:rsidR="002501F9" w:rsidRPr="00512310" w:rsidRDefault="002501F9" w:rsidP="002501F9">
      <w:pPr>
        <w:autoSpaceDE w:val="0"/>
        <w:autoSpaceDN w:val="0"/>
        <w:adjustRightInd w:val="0"/>
        <w:ind w:left="0" w:firstLine="0"/>
        <w:rPr>
          <w:rFonts w:eastAsia="TimesNewRomanPSMT"/>
          <w:szCs w:val="22"/>
          <w:lang w:eastAsia="en-US"/>
        </w:rPr>
      </w:pPr>
    </w:p>
    <w:p w14:paraId="20D15C9C" w14:textId="6422E061" w:rsidR="002501F9" w:rsidRDefault="002501F9" w:rsidP="002501F9">
      <w:pPr>
        <w:autoSpaceDE w:val="0"/>
        <w:autoSpaceDN w:val="0"/>
        <w:adjustRightInd w:val="0"/>
        <w:ind w:left="0" w:firstLine="0"/>
        <w:rPr>
          <w:szCs w:val="22"/>
          <w:lang w:eastAsia="en-US"/>
        </w:rPr>
      </w:pPr>
      <w:r w:rsidRPr="00512310">
        <w:rPr>
          <w:rFonts w:eastAsia="TimesNewRomanPSMT"/>
          <w:szCs w:val="22"/>
          <w:lang w:eastAsia="en-US"/>
        </w:rPr>
        <w:lastRenderedPageBreak/>
        <w:t xml:space="preserve">V klinických štúdiách u pacientov s novodiagnostikovaným mnohopočetným myelómom, ktorí nie sú </w:t>
      </w:r>
      <w:r w:rsidRPr="00512310">
        <w:rPr>
          <w:szCs w:val="22"/>
          <w:lang w:eastAsia="en-US"/>
        </w:rPr>
        <w:t>spôsobilí na transplantáciu, bolo pozorované 4,9-násobné zvý</w:t>
      </w:r>
      <w:r w:rsidRPr="00512310">
        <w:rPr>
          <w:rFonts w:eastAsia="TimesNewRomanPSMT"/>
          <w:szCs w:val="22"/>
          <w:lang w:eastAsia="en-US"/>
        </w:rPr>
        <w:t>š</w:t>
      </w:r>
      <w:r w:rsidRPr="00512310">
        <w:rPr>
          <w:szCs w:val="22"/>
          <w:lang w:eastAsia="en-US"/>
        </w:rPr>
        <w:t>enie miery incidencie hematologických SPM (prípady AML, MDS) u pacientov u</w:t>
      </w:r>
      <w:r w:rsidRPr="00512310">
        <w:rPr>
          <w:rFonts w:eastAsia="TimesNewRomanPSMT"/>
          <w:szCs w:val="22"/>
          <w:lang w:eastAsia="en-US"/>
        </w:rPr>
        <w:t>ž</w:t>
      </w:r>
      <w:r w:rsidRPr="00512310">
        <w:rPr>
          <w:szCs w:val="22"/>
          <w:lang w:eastAsia="en-US"/>
        </w:rPr>
        <w:t>ívajúcich lenalidomid v kombinácii s melfalánom a prednizónom do progresie (1,75 na 100 osoborokov) v porovnaní s melfalánom v kombinácii s prednizónom (0,36 na 100 osoborokov).</w:t>
      </w:r>
    </w:p>
    <w:p w14:paraId="1ADA853F" w14:textId="77777777" w:rsidR="00205F7B" w:rsidRPr="00512310" w:rsidRDefault="00205F7B" w:rsidP="002501F9">
      <w:pPr>
        <w:autoSpaceDE w:val="0"/>
        <w:autoSpaceDN w:val="0"/>
        <w:adjustRightInd w:val="0"/>
        <w:ind w:left="0" w:firstLine="0"/>
        <w:rPr>
          <w:szCs w:val="22"/>
          <w:lang w:eastAsia="en-US"/>
        </w:rPr>
      </w:pPr>
    </w:p>
    <w:p w14:paraId="4C367AAF" w14:textId="77777777" w:rsidR="009C12C3" w:rsidRPr="00512310" w:rsidRDefault="002501F9" w:rsidP="002501F9">
      <w:pPr>
        <w:autoSpaceDE w:val="0"/>
        <w:autoSpaceDN w:val="0"/>
        <w:adjustRightInd w:val="0"/>
        <w:ind w:left="0" w:firstLine="0"/>
        <w:rPr>
          <w:rFonts w:eastAsia="TimesNewRomanPSMT"/>
          <w:szCs w:val="22"/>
          <w:lang w:eastAsia="en-US"/>
        </w:rPr>
      </w:pPr>
      <w:r w:rsidRPr="00512310">
        <w:rPr>
          <w:szCs w:val="22"/>
          <w:lang w:eastAsia="en-US"/>
        </w:rPr>
        <w:t>2,12-násobné zvý</w:t>
      </w:r>
      <w:r w:rsidRPr="00512310">
        <w:rPr>
          <w:rFonts w:eastAsia="TimesNewRomanPSMT"/>
          <w:szCs w:val="22"/>
          <w:lang w:eastAsia="en-US"/>
        </w:rPr>
        <w:t>š</w:t>
      </w:r>
      <w:r w:rsidRPr="00512310">
        <w:rPr>
          <w:szCs w:val="22"/>
          <w:lang w:eastAsia="en-US"/>
        </w:rPr>
        <w:t>enie miery incidencie solídnych tumorov SPM bolo pozorované u pacientov u</w:t>
      </w:r>
      <w:r w:rsidRPr="00512310">
        <w:rPr>
          <w:rFonts w:eastAsia="TimesNewRomanPSMT"/>
          <w:szCs w:val="22"/>
          <w:lang w:eastAsia="en-US"/>
        </w:rPr>
        <w:t>ž</w:t>
      </w:r>
      <w:r w:rsidRPr="00512310">
        <w:rPr>
          <w:szCs w:val="22"/>
          <w:lang w:eastAsia="en-US"/>
        </w:rPr>
        <w:t>ívajúcich lenalidomid (9 cyklov) v kombinácii s melfalánom a prednizónom (1,57 na 100 osoborokov) v porovnaní s melfalánom v kombinácii s prednizónom (0,74 na 100 osoborokov).</w:t>
      </w:r>
    </w:p>
    <w:p w14:paraId="610D5946" w14:textId="77777777" w:rsidR="009C12C3" w:rsidRPr="00512310" w:rsidRDefault="009C12C3" w:rsidP="00FB1611">
      <w:pPr>
        <w:autoSpaceDE w:val="0"/>
        <w:autoSpaceDN w:val="0"/>
        <w:adjustRightInd w:val="0"/>
        <w:ind w:left="0" w:firstLine="0"/>
        <w:rPr>
          <w:rFonts w:eastAsia="TimesNewRomanPSMT"/>
          <w:szCs w:val="22"/>
          <w:lang w:eastAsia="en-US"/>
        </w:rPr>
      </w:pPr>
    </w:p>
    <w:p w14:paraId="5826BA21" w14:textId="77777777" w:rsidR="002501F9" w:rsidRPr="00512310" w:rsidRDefault="002501F9" w:rsidP="002501F9">
      <w:pPr>
        <w:autoSpaceDE w:val="0"/>
        <w:autoSpaceDN w:val="0"/>
        <w:adjustRightInd w:val="0"/>
        <w:ind w:left="0" w:firstLine="0"/>
        <w:rPr>
          <w:rFonts w:eastAsia="TimesNewRomanPSMT"/>
          <w:szCs w:val="22"/>
          <w:lang w:eastAsia="en-US"/>
        </w:rPr>
      </w:pPr>
      <w:r w:rsidRPr="00512310">
        <w:rPr>
          <w:rFonts w:eastAsia="TimesNewRomanPSMT"/>
          <w:szCs w:val="22"/>
          <w:lang w:eastAsia="en-US"/>
        </w:rPr>
        <w:t>U pacientov užívajúcich lenalidomid v kombinácii s dexametazónom do progresie alebo počas 18 mesiacov nebola miera incidencie hematologických SPM (0,16 na 100 osoborokov) zvýšená v porovnaní s talidomidom v kombinácii s melfalánom a prednizónom (0,79 na 100 osoborokov).</w:t>
      </w:r>
    </w:p>
    <w:p w14:paraId="60BF6CD0" w14:textId="77777777" w:rsidR="002501F9" w:rsidRPr="00512310" w:rsidRDefault="002501F9" w:rsidP="002501F9">
      <w:pPr>
        <w:autoSpaceDE w:val="0"/>
        <w:autoSpaceDN w:val="0"/>
        <w:adjustRightInd w:val="0"/>
        <w:ind w:left="0" w:firstLine="0"/>
        <w:rPr>
          <w:rFonts w:eastAsia="TimesNewRomanPSMT"/>
          <w:szCs w:val="22"/>
          <w:lang w:eastAsia="en-US"/>
        </w:rPr>
      </w:pPr>
    </w:p>
    <w:p w14:paraId="2ABE45D3" w14:textId="77777777" w:rsidR="002501F9" w:rsidRPr="00512310" w:rsidRDefault="002501F9" w:rsidP="002501F9">
      <w:pPr>
        <w:autoSpaceDE w:val="0"/>
        <w:autoSpaceDN w:val="0"/>
        <w:adjustRightInd w:val="0"/>
        <w:ind w:left="0" w:firstLine="0"/>
        <w:rPr>
          <w:rFonts w:eastAsia="TimesNewRomanPSMT"/>
          <w:szCs w:val="22"/>
          <w:lang w:eastAsia="en-US"/>
        </w:rPr>
      </w:pPr>
      <w:r w:rsidRPr="00512310">
        <w:rPr>
          <w:rFonts w:eastAsia="TimesNewRomanPSMT"/>
          <w:szCs w:val="22"/>
          <w:lang w:eastAsia="en-US"/>
        </w:rPr>
        <w:t>1,3-násobné zvýšenie miery incidencie solídnych tumorov SPM bolo pozorované u pacientov užívajúcich lenalidomid v kombinácii s dexametazónom do progresie alebo počas 18 mesiacov (1,58 na 100 osoborokov) v porovnaní s talidomidom v kombinácii s melfalánom a prednizónom (1,19 na 100 osoborokov).</w:t>
      </w:r>
    </w:p>
    <w:p w14:paraId="60897675" w14:textId="77777777" w:rsidR="002501F9" w:rsidRPr="00512310" w:rsidRDefault="002501F9" w:rsidP="002501F9">
      <w:pPr>
        <w:autoSpaceDE w:val="0"/>
        <w:autoSpaceDN w:val="0"/>
        <w:adjustRightInd w:val="0"/>
        <w:ind w:left="0" w:firstLine="0"/>
        <w:rPr>
          <w:rFonts w:eastAsia="TimesNewRomanPSMT"/>
          <w:szCs w:val="22"/>
          <w:lang w:eastAsia="en-US"/>
        </w:rPr>
      </w:pPr>
    </w:p>
    <w:p w14:paraId="1492594C" w14:textId="3787FD62" w:rsidR="002501F9" w:rsidRPr="00512310" w:rsidRDefault="002501F9" w:rsidP="002501F9">
      <w:pPr>
        <w:autoSpaceDE w:val="0"/>
        <w:autoSpaceDN w:val="0"/>
        <w:adjustRightInd w:val="0"/>
        <w:ind w:left="0" w:firstLine="0"/>
        <w:rPr>
          <w:rFonts w:eastAsia="TimesNewRomanPSMT"/>
          <w:szCs w:val="22"/>
          <w:lang w:eastAsia="en-US"/>
        </w:rPr>
      </w:pPr>
      <w:r w:rsidRPr="00512310">
        <w:rPr>
          <w:rFonts w:eastAsia="TimesNewRomanPSMT"/>
          <w:szCs w:val="22"/>
          <w:lang w:eastAsia="en-US"/>
        </w:rPr>
        <w:t xml:space="preserve">Zvýšené riziko </w:t>
      </w:r>
      <w:r w:rsidR="001D0A27" w:rsidRPr="001D0A27">
        <w:rPr>
          <w:rFonts w:eastAsia="TimesNewRomanPSMT"/>
          <w:szCs w:val="22"/>
          <w:lang w:eastAsia="en-US"/>
        </w:rPr>
        <w:t>ďalších</w:t>
      </w:r>
      <w:r w:rsidRPr="00512310">
        <w:rPr>
          <w:rFonts w:eastAsia="TimesNewRomanPSMT"/>
          <w:szCs w:val="22"/>
          <w:lang w:eastAsia="en-US"/>
        </w:rPr>
        <w:t xml:space="preserve"> primárnych malignít spojené s lenalidomidom je relevantné aj v rámci NDMM po transplantácii kmeňových buniek. Hoci toto riziko nie je ešte úplne charakterizované, musí sa vziať do úvahy pri zvažovaní a používaní Lenalidomidu </w:t>
      </w:r>
      <w:r w:rsidR="00576DE4">
        <w:rPr>
          <w:rFonts w:eastAsia="TimesNewRomanPSMT"/>
          <w:szCs w:val="22"/>
          <w:lang w:eastAsia="en-US"/>
        </w:rPr>
        <w:t>Synthon</w:t>
      </w:r>
      <w:r w:rsidRPr="00512310">
        <w:rPr>
          <w:rFonts w:eastAsia="TimesNewRomanPSMT"/>
          <w:szCs w:val="22"/>
          <w:lang w:eastAsia="en-US"/>
        </w:rPr>
        <w:t xml:space="preserve"> v tomto nastavení.</w:t>
      </w:r>
    </w:p>
    <w:p w14:paraId="4D787693" w14:textId="77777777" w:rsidR="002501F9" w:rsidRPr="00512310" w:rsidRDefault="002501F9" w:rsidP="002501F9">
      <w:pPr>
        <w:autoSpaceDE w:val="0"/>
        <w:autoSpaceDN w:val="0"/>
        <w:adjustRightInd w:val="0"/>
        <w:ind w:left="0" w:firstLine="0"/>
        <w:rPr>
          <w:rFonts w:eastAsia="TimesNewRomanPSMT"/>
          <w:szCs w:val="22"/>
          <w:lang w:eastAsia="en-US"/>
        </w:rPr>
      </w:pPr>
    </w:p>
    <w:p w14:paraId="2169C790" w14:textId="09B6FE72" w:rsidR="002501F9" w:rsidRPr="00512310" w:rsidRDefault="002501F9" w:rsidP="002501F9">
      <w:pPr>
        <w:autoSpaceDE w:val="0"/>
        <w:autoSpaceDN w:val="0"/>
        <w:adjustRightInd w:val="0"/>
        <w:ind w:left="0" w:firstLine="0"/>
        <w:rPr>
          <w:rFonts w:eastAsia="TimesNewRomanPSMT"/>
          <w:szCs w:val="22"/>
          <w:lang w:eastAsia="en-US"/>
        </w:rPr>
      </w:pPr>
      <w:r w:rsidRPr="00512310">
        <w:rPr>
          <w:rFonts w:eastAsia="TimesNewRomanPSMT"/>
          <w:szCs w:val="22"/>
          <w:lang w:eastAsia="en-US"/>
        </w:rPr>
        <w:t>Incidencia výskytu hematologických malignít, a to najmä AML, MDS a B-bunkových malignít (vrátane</w:t>
      </w:r>
      <w:r w:rsidR="00D03377" w:rsidRPr="00512310">
        <w:rPr>
          <w:rFonts w:eastAsia="TimesNewRomanPSMT"/>
          <w:szCs w:val="22"/>
          <w:lang w:eastAsia="en-US"/>
        </w:rPr>
        <w:t xml:space="preserve"> </w:t>
      </w:r>
      <w:r w:rsidRPr="00512310">
        <w:rPr>
          <w:rFonts w:eastAsia="TimesNewRomanPSMT"/>
          <w:szCs w:val="22"/>
          <w:lang w:eastAsia="en-US"/>
        </w:rPr>
        <w:t xml:space="preserve">Hodgkinovho lymfómu), bola 1,31 na 100 osoborokov v </w:t>
      </w:r>
      <w:r w:rsidR="00DD1E44">
        <w:rPr>
          <w:rFonts w:eastAsia="TimesNewRomanPSMT"/>
          <w:szCs w:val="22"/>
          <w:lang w:eastAsia="en-US"/>
        </w:rPr>
        <w:t>skupinách</w:t>
      </w:r>
      <w:r w:rsidRPr="00512310">
        <w:rPr>
          <w:rFonts w:eastAsia="TimesNewRomanPSMT"/>
          <w:szCs w:val="22"/>
          <w:lang w:eastAsia="en-US"/>
        </w:rPr>
        <w:t xml:space="preserve"> s lenalinomidom a 0,58 na 100</w:t>
      </w:r>
      <w:r w:rsidR="00D03377" w:rsidRPr="00512310">
        <w:rPr>
          <w:rFonts w:eastAsia="TimesNewRomanPSMT"/>
          <w:szCs w:val="22"/>
          <w:lang w:eastAsia="en-US"/>
        </w:rPr>
        <w:t xml:space="preserve"> </w:t>
      </w:r>
      <w:r w:rsidRPr="00512310">
        <w:rPr>
          <w:rFonts w:eastAsia="TimesNewRomanPSMT"/>
          <w:szCs w:val="22"/>
          <w:lang w:eastAsia="en-US"/>
        </w:rPr>
        <w:t xml:space="preserve">osoborokov v </w:t>
      </w:r>
      <w:r w:rsidR="00DD1E44">
        <w:rPr>
          <w:rFonts w:eastAsia="TimesNewRomanPSMT"/>
          <w:szCs w:val="22"/>
          <w:lang w:eastAsia="en-US"/>
        </w:rPr>
        <w:t>skupinách</w:t>
      </w:r>
      <w:r w:rsidRPr="00512310">
        <w:rPr>
          <w:rFonts w:eastAsia="TimesNewRomanPSMT"/>
          <w:szCs w:val="22"/>
          <w:lang w:eastAsia="en-US"/>
        </w:rPr>
        <w:t xml:space="preserve"> s placebom (1,02 na 100 osoborokov u pacientov po ASCT vystavených</w:t>
      </w:r>
      <w:r w:rsidR="00D03377" w:rsidRPr="00512310">
        <w:rPr>
          <w:rFonts w:eastAsia="TimesNewRomanPSMT"/>
          <w:szCs w:val="22"/>
          <w:lang w:eastAsia="en-US"/>
        </w:rPr>
        <w:t xml:space="preserve"> </w:t>
      </w:r>
      <w:r w:rsidRPr="00512310">
        <w:rPr>
          <w:rFonts w:eastAsia="TimesNewRomanPSMT"/>
          <w:szCs w:val="22"/>
          <w:lang w:eastAsia="en-US"/>
        </w:rPr>
        <w:t>lenalinomidu a 0,60 na 100 osoborokov u pacientov po ASCT nevystavených lenalidomidu). Incidencia</w:t>
      </w:r>
      <w:r w:rsidR="00D03377" w:rsidRPr="00512310">
        <w:rPr>
          <w:rFonts w:eastAsia="TimesNewRomanPSMT"/>
          <w:szCs w:val="22"/>
          <w:lang w:eastAsia="en-US"/>
        </w:rPr>
        <w:t xml:space="preserve"> </w:t>
      </w:r>
      <w:r w:rsidRPr="00512310">
        <w:rPr>
          <w:rFonts w:eastAsia="TimesNewRomanPSMT"/>
          <w:szCs w:val="22"/>
          <w:lang w:eastAsia="en-US"/>
        </w:rPr>
        <w:t xml:space="preserve">výskytu solídnych tumorov SPM bola 1,36 na 100 osoborokov v </w:t>
      </w:r>
      <w:r w:rsidR="00DD1E44">
        <w:rPr>
          <w:rFonts w:eastAsia="TimesNewRomanPSMT"/>
          <w:szCs w:val="22"/>
          <w:lang w:eastAsia="en-US"/>
        </w:rPr>
        <w:t>skupinách</w:t>
      </w:r>
      <w:r w:rsidRPr="00512310">
        <w:rPr>
          <w:rFonts w:eastAsia="TimesNewRomanPSMT"/>
          <w:szCs w:val="22"/>
          <w:lang w:eastAsia="en-US"/>
        </w:rPr>
        <w:t xml:space="preserve"> s lenalinomidom a 1,05 na</w:t>
      </w:r>
      <w:r w:rsidR="00D03377" w:rsidRPr="00512310">
        <w:rPr>
          <w:rFonts w:eastAsia="TimesNewRomanPSMT"/>
          <w:szCs w:val="22"/>
          <w:lang w:eastAsia="en-US"/>
        </w:rPr>
        <w:t xml:space="preserve"> </w:t>
      </w:r>
      <w:r w:rsidRPr="00512310">
        <w:rPr>
          <w:rFonts w:eastAsia="TimesNewRomanPSMT"/>
          <w:szCs w:val="22"/>
          <w:lang w:eastAsia="en-US"/>
        </w:rPr>
        <w:t xml:space="preserve">100 osoborokov v </w:t>
      </w:r>
      <w:r w:rsidR="00DD1E44">
        <w:rPr>
          <w:rFonts w:eastAsia="TimesNewRomanPSMT"/>
          <w:szCs w:val="22"/>
          <w:lang w:eastAsia="en-US"/>
        </w:rPr>
        <w:t>skupinách</w:t>
      </w:r>
      <w:r w:rsidRPr="00512310">
        <w:rPr>
          <w:rFonts w:eastAsia="TimesNewRomanPSMT"/>
          <w:szCs w:val="22"/>
          <w:lang w:eastAsia="en-US"/>
        </w:rPr>
        <w:t xml:space="preserve"> s placebom (1,26 na 100 osoborokov u pacientov po ASCT vystavených</w:t>
      </w:r>
      <w:r w:rsidR="00D03377" w:rsidRPr="00512310">
        <w:rPr>
          <w:rFonts w:eastAsia="TimesNewRomanPSMT"/>
          <w:szCs w:val="22"/>
          <w:lang w:eastAsia="en-US"/>
        </w:rPr>
        <w:t xml:space="preserve"> </w:t>
      </w:r>
      <w:r w:rsidRPr="00512310">
        <w:rPr>
          <w:rFonts w:eastAsia="TimesNewRomanPSMT"/>
          <w:szCs w:val="22"/>
          <w:lang w:eastAsia="en-US"/>
        </w:rPr>
        <w:t>lenalidomidu a 0,60 na 100 osoborokov u pacientov po ASCT nevystavených lenalidomidu).</w:t>
      </w:r>
    </w:p>
    <w:p w14:paraId="721990D6" w14:textId="77777777" w:rsidR="00D03377" w:rsidRPr="00512310" w:rsidRDefault="00D03377" w:rsidP="002501F9">
      <w:pPr>
        <w:autoSpaceDE w:val="0"/>
        <w:autoSpaceDN w:val="0"/>
        <w:adjustRightInd w:val="0"/>
        <w:ind w:left="0" w:firstLine="0"/>
        <w:rPr>
          <w:rFonts w:eastAsia="TimesNewRomanPSMT"/>
          <w:szCs w:val="22"/>
          <w:lang w:eastAsia="en-US"/>
        </w:rPr>
      </w:pPr>
    </w:p>
    <w:p w14:paraId="59D6646A" w14:textId="77777777" w:rsidR="009C12C3" w:rsidRPr="00512310" w:rsidRDefault="002501F9" w:rsidP="002501F9">
      <w:pPr>
        <w:autoSpaceDE w:val="0"/>
        <w:autoSpaceDN w:val="0"/>
        <w:adjustRightInd w:val="0"/>
        <w:ind w:left="0" w:firstLine="0"/>
        <w:rPr>
          <w:rFonts w:eastAsia="TimesNewRomanPSMT"/>
          <w:szCs w:val="22"/>
          <w:lang w:eastAsia="en-US"/>
        </w:rPr>
      </w:pPr>
      <w:r w:rsidRPr="00512310">
        <w:rPr>
          <w:rFonts w:eastAsia="TimesNewRomanPSMT"/>
          <w:szCs w:val="22"/>
          <w:lang w:eastAsia="en-US"/>
        </w:rPr>
        <w:t>Pred začiatkom liečby lenalidomidom, v kombinácii s melfalánom alebo ihneď po vysokých dávkach</w:t>
      </w:r>
      <w:r w:rsidR="00D03377" w:rsidRPr="00512310">
        <w:rPr>
          <w:rFonts w:eastAsia="TimesNewRomanPSMT"/>
          <w:szCs w:val="22"/>
          <w:lang w:eastAsia="en-US"/>
        </w:rPr>
        <w:t xml:space="preserve"> </w:t>
      </w:r>
      <w:r w:rsidRPr="00512310">
        <w:rPr>
          <w:rFonts w:eastAsia="TimesNewRomanPSMT"/>
          <w:szCs w:val="22"/>
          <w:lang w:eastAsia="en-US"/>
        </w:rPr>
        <w:t>melfalánu a ASCT, sa musí zvážiť riziko výskytu hematologických SPM. Lekári majú starostlivo</w:t>
      </w:r>
      <w:r w:rsidR="00D03377" w:rsidRPr="00512310">
        <w:rPr>
          <w:rFonts w:eastAsia="TimesNewRomanPSMT"/>
          <w:szCs w:val="22"/>
          <w:lang w:eastAsia="en-US"/>
        </w:rPr>
        <w:t xml:space="preserve"> </w:t>
      </w:r>
      <w:r w:rsidRPr="00512310">
        <w:rPr>
          <w:rFonts w:eastAsia="TimesNewRomanPSMT"/>
          <w:szCs w:val="22"/>
          <w:lang w:eastAsia="en-US"/>
        </w:rPr>
        <w:t>zhodnotiť stav pacientov pred a počas liečby použitím štandardného skríningu pre výskyt SPM a začať</w:t>
      </w:r>
      <w:r w:rsidR="00D03377" w:rsidRPr="00512310">
        <w:rPr>
          <w:rFonts w:eastAsia="TimesNewRomanPSMT"/>
          <w:szCs w:val="22"/>
          <w:lang w:eastAsia="en-US"/>
        </w:rPr>
        <w:t xml:space="preserve"> </w:t>
      </w:r>
      <w:r w:rsidRPr="00512310">
        <w:rPr>
          <w:rFonts w:eastAsia="TimesNewRomanPSMT"/>
          <w:szCs w:val="22"/>
          <w:lang w:eastAsia="en-US"/>
        </w:rPr>
        <w:t>liečbu podľa indikácie.</w:t>
      </w:r>
    </w:p>
    <w:p w14:paraId="10D72E52" w14:textId="77777777" w:rsidR="009C12C3" w:rsidRPr="00512310" w:rsidRDefault="009C12C3" w:rsidP="00FB1611">
      <w:pPr>
        <w:autoSpaceDE w:val="0"/>
        <w:autoSpaceDN w:val="0"/>
        <w:adjustRightInd w:val="0"/>
        <w:ind w:left="0" w:firstLine="0"/>
        <w:rPr>
          <w:rFonts w:eastAsia="TimesNewRomanPSMT"/>
          <w:szCs w:val="22"/>
          <w:lang w:eastAsia="en-US"/>
        </w:rPr>
      </w:pPr>
    </w:p>
    <w:p w14:paraId="2A18C446" w14:textId="1EC6FCC7" w:rsidR="0049505C" w:rsidRPr="00512310" w:rsidRDefault="0049505C" w:rsidP="0049505C">
      <w:pPr>
        <w:autoSpaceDE w:val="0"/>
        <w:autoSpaceDN w:val="0"/>
        <w:adjustRightInd w:val="0"/>
        <w:ind w:left="0" w:firstLine="0"/>
        <w:rPr>
          <w:i/>
          <w:iCs/>
          <w:color w:val="000000"/>
          <w:szCs w:val="22"/>
          <w:lang w:eastAsia="en-US"/>
        </w:rPr>
      </w:pPr>
      <w:r w:rsidRPr="00512310">
        <w:rPr>
          <w:i/>
          <w:iCs/>
          <w:color w:val="000000"/>
          <w:szCs w:val="22"/>
          <w:lang w:eastAsia="en-US"/>
        </w:rPr>
        <w:t>Progresia do akútnej myeloidnej leukémie u MDS s nízkym a</w:t>
      </w:r>
      <w:r w:rsidR="001D0A27">
        <w:rPr>
          <w:i/>
          <w:iCs/>
          <w:color w:val="000000"/>
          <w:szCs w:val="22"/>
          <w:lang w:eastAsia="en-US"/>
        </w:rPr>
        <w:t> </w:t>
      </w:r>
      <w:r w:rsidRPr="00512310">
        <w:rPr>
          <w:i/>
          <w:iCs/>
          <w:color w:val="000000"/>
          <w:szCs w:val="22"/>
          <w:lang w:eastAsia="en-US"/>
        </w:rPr>
        <w:t>intermediárnym</w:t>
      </w:r>
      <w:r w:rsidR="001D0A27">
        <w:rPr>
          <w:i/>
          <w:iCs/>
          <w:color w:val="000000"/>
          <w:szCs w:val="22"/>
          <w:lang w:eastAsia="en-US"/>
        </w:rPr>
        <w:t xml:space="preserve"> </w:t>
      </w:r>
      <w:r w:rsidRPr="00512310">
        <w:rPr>
          <w:i/>
          <w:iCs/>
          <w:color w:val="000000"/>
          <w:szCs w:val="22"/>
          <w:lang w:eastAsia="en-US"/>
        </w:rPr>
        <w:t>rizikom</w:t>
      </w:r>
      <w:r w:rsidR="001D0A27">
        <w:rPr>
          <w:i/>
          <w:iCs/>
          <w:color w:val="000000"/>
          <w:szCs w:val="22"/>
          <w:lang w:eastAsia="en-US"/>
        </w:rPr>
        <w:t xml:space="preserve"> </w:t>
      </w:r>
      <w:r w:rsidR="001D0A27" w:rsidRPr="001D0A27">
        <w:rPr>
          <w:i/>
          <w:iCs/>
          <w:color w:val="000000"/>
          <w:szCs w:val="22"/>
          <w:lang w:eastAsia="en-US"/>
        </w:rPr>
        <w:t>1. stupňa</w:t>
      </w:r>
    </w:p>
    <w:p w14:paraId="132E8C05" w14:textId="77777777" w:rsidR="0049505C" w:rsidRPr="00512310" w:rsidRDefault="0049505C" w:rsidP="0050037D">
      <w:pPr>
        <w:numPr>
          <w:ilvl w:val="0"/>
          <w:numId w:val="4"/>
        </w:numPr>
        <w:autoSpaceDE w:val="0"/>
        <w:autoSpaceDN w:val="0"/>
        <w:adjustRightInd w:val="0"/>
        <w:ind w:left="709" w:hanging="709"/>
        <w:rPr>
          <w:i/>
          <w:color w:val="000000"/>
          <w:szCs w:val="22"/>
          <w:lang w:eastAsia="en-US"/>
        </w:rPr>
      </w:pPr>
      <w:r w:rsidRPr="00512310">
        <w:rPr>
          <w:i/>
          <w:color w:val="000000"/>
          <w:szCs w:val="22"/>
          <w:lang w:eastAsia="en-US"/>
        </w:rPr>
        <w:t>Karyotyp</w:t>
      </w:r>
    </w:p>
    <w:p w14:paraId="7BBE6671" w14:textId="52DC0F85" w:rsidR="0049505C" w:rsidRPr="00512310" w:rsidRDefault="0049505C" w:rsidP="0049505C">
      <w:pPr>
        <w:autoSpaceDE w:val="0"/>
        <w:autoSpaceDN w:val="0"/>
        <w:adjustRightInd w:val="0"/>
        <w:ind w:left="0" w:firstLine="0"/>
        <w:rPr>
          <w:color w:val="000000"/>
          <w:szCs w:val="22"/>
          <w:lang w:eastAsia="en-US"/>
        </w:rPr>
      </w:pPr>
      <w:r w:rsidRPr="00512310">
        <w:rPr>
          <w:color w:val="000000"/>
          <w:szCs w:val="22"/>
          <w:lang w:eastAsia="en-US"/>
        </w:rPr>
        <w:t xml:space="preserve">Východiskový stav vrátane komplexnej cytogenetiky je spojený s progresiou do AML u jedincov, ktorí sú závislí od transfúzie a majú cytogenetickú abnormalitu – deléciu 5q. V kombinovanej analýze dvoch klinických </w:t>
      </w:r>
      <w:r w:rsidRPr="00512310">
        <w:rPr>
          <w:rFonts w:eastAsia="TimesNewRomanPSMT"/>
          <w:color w:val="000000"/>
          <w:szCs w:val="22"/>
          <w:lang w:eastAsia="en-US"/>
        </w:rPr>
        <w:t>š</w:t>
      </w:r>
      <w:r w:rsidRPr="00512310">
        <w:rPr>
          <w:color w:val="000000"/>
          <w:szCs w:val="22"/>
          <w:lang w:eastAsia="en-US"/>
        </w:rPr>
        <w:t xml:space="preserve">túdií s lenalidomidom pri myelodysplastickom syndróme s nízkym alebo intermediárnym </w:t>
      </w:r>
      <w:r w:rsidRPr="00512310">
        <w:rPr>
          <w:rFonts w:eastAsia="TimesNewRomanPSMT"/>
          <w:color w:val="000000"/>
          <w:szCs w:val="22"/>
          <w:lang w:eastAsia="en-US"/>
        </w:rPr>
        <w:t>rizikom</w:t>
      </w:r>
      <w:r w:rsidR="001D0A27">
        <w:rPr>
          <w:rFonts w:eastAsia="TimesNewRomanPSMT"/>
          <w:color w:val="000000"/>
          <w:szCs w:val="22"/>
          <w:lang w:eastAsia="en-US"/>
        </w:rPr>
        <w:t xml:space="preserve"> </w:t>
      </w:r>
      <w:r w:rsidR="001D0A27" w:rsidRPr="001D0A27">
        <w:rPr>
          <w:rFonts w:eastAsia="TimesNewRomanPSMT"/>
          <w:color w:val="000000"/>
          <w:szCs w:val="22"/>
          <w:lang w:eastAsia="en-US"/>
        </w:rPr>
        <w:t>1. stupňa</w:t>
      </w:r>
      <w:r w:rsidRPr="00512310">
        <w:rPr>
          <w:rFonts w:eastAsia="TimesNewRomanPSMT"/>
          <w:color w:val="000000"/>
          <w:szCs w:val="22"/>
          <w:lang w:eastAsia="en-US"/>
        </w:rPr>
        <w:t xml:space="preserve">, pacienti s komplexnou cytogenetikou mali najvyššie odhadované 2-ročné kumulatívne riziko progresie do AML (38,6%). Odhadovaná 2-ročná miera progresie do AML u pacientov s izolovanou deléciou 5q bola 13,8%, v porovnaní so 17,3% u pacientov s deléciou 5q a jednou ďalšou </w:t>
      </w:r>
      <w:r w:rsidRPr="00512310">
        <w:rPr>
          <w:color w:val="000000"/>
          <w:szCs w:val="22"/>
          <w:lang w:eastAsia="en-US"/>
        </w:rPr>
        <w:t>cytogenetickou abnormalitou.</w:t>
      </w:r>
    </w:p>
    <w:p w14:paraId="526CF9F5" w14:textId="77777777" w:rsidR="0049505C" w:rsidRPr="00512310" w:rsidRDefault="0049505C" w:rsidP="0049505C">
      <w:pPr>
        <w:autoSpaceDE w:val="0"/>
        <w:autoSpaceDN w:val="0"/>
        <w:adjustRightInd w:val="0"/>
        <w:ind w:left="0" w:firstLine="0"/>
        <w:rPr>
          <w:rFonts w:eastAsia="TimesNewRomanPSMT"/>
          <w:color w:val="000000"/>
          <w:szCs w:val="22"/>
          <w:lang w:eastAsia="en-US"/>
        </w:rPr>
      </w:pPr>
    </w:p>
    <w:p w14:paraId="39BDFE0D" w14:textId="60C9165D" w:rsidR="0049505C" w:rsidRPr="00512310" w:rsidRDefault="0049505C" w:rsidP="0049505C">
      <w:pPr>
        <w:autoSpaceDE w:val="0"/>
        <w:autoSpaceDN w:val="0"/>
        <w:adjustRightInd w:val="0"/>
        <w:ind w:left="0" w:firstLine="0"/>
        <w:rPr>
          <w:color w:val="000000"/>
          <w:szCs w:val="22"/>
          <w:lang w:eastAsia="en-US"/>
        </w:rPr>
      </w:pPr>
      <w:r w:rsidRPr="00512310">
        <w:rPr>
          <w:rFonts w:eastAsia="TimesNewRomanPSMT"/>
          <w:color w:val="000000"/>
          <w:szCs w:val="22"/>
          <w:lang w:eastAsia="en-US"/>
        </w:rPr>
        <w:t xml:space="preserve">V dôsledku toho </w:t>
      </w:r>
      <w:r w:rsidR="001D0A27">
        <w:rPr>
          <w:rFonts w:eastAsia="TimesNewRomanPSMT"/>
          <w:color w:val="000000"/>
          <w:szCs w:val="22"/>
          <w:lang w:eastAsia="en-US"/>
        </w:rPr>
        <w:t xml:space="preserve">nie je </w:t>
      </w:r>
      <w:r w:rsidRPr="00512310">
        <w:rPr>
          <w:rFonts w:eastAsia="TimesNewRomanPSMT"/>
          <w:color w:val="000000"/>
          <w:szCs w:val="22"/>
          <w:lang w:eastAsia="en-US"/>
        </w:rPr>
        <w:t>pomer prínosu a rizika lenalidomidu</w:t>
      </w:r>
      <w:r w:rsidR="001D0A27">
        <w:rPr>
          <w:rFonts w:eastAsia="TimesNewRomanPSMT"/>
          <w:color w:val="000000"/>
          <w:szCs w:val="22"/>
          <w:lang w:eastAsia="en-US"/>
        </w:rPr>
        <w:t xml:space="preserve"> pri spojení</w:t>
      </w:r>
      <w:r w:rsidRPr="00512310">
        <w:rPr>
          <w:rFonts w:eastAsia="TimesNewRomanPSMT"/>
          <w:color w:val="000000"/>
          <w:szCs w:val="22"/>
          <w:lang w:eastAsia="en-US"/>
        </w:rPr>
        <w:t xml:space="preserve"> MDS spojený s deléciou 5q a komplexnou</w:t>
      </w:r>
      <w:r w:rsidR="00873CC6" w:rsidRPr="00512310">
        <w:rPr>
          <w:rFonts w:eastAsia="TimesNewRomanPSMT"/>
          <w:color w:val="000000"/>
          <w:szCs w:val="22"/>
          <w:lang w:eastAsia="en-US"/>
        </w:rPr>
        <w:t xml:space="preserve"> </w:t>
      </w:r>
      <w:r w:rsidRPr="00512310">
        <w:rPr>
          <w:color w:val="000000"/>
          <w:szCs w:val="22"/>
          <w:lang w:eastAsia="en-US"/>
        </w:rPr>
        <w:t>cytogenetikou známy.</w:t>
      </w:r>
    </w:p>
    <w:p w14:paraId="48C80E97" w14:textId="77777777" w:rsidR="00873CC6" w:rsidRPr="00512310" w:rsidRDefault="00873CC6" w:rsidP="0049505C">
      <w:pPr>
        <w:autoSpaceDE w:val="0"/>
        <w:autoSpaceDN w:val="0"/>
        <w:adjustRightInd w:val="0"/>
        <w:ind w:left="0" w:firstLine="0"/>
        <w:rPr>
          <w:color w:val="000000"/>
          <w:szCs w:val="22"/>
          <w:lang w:eastAsia="en-US"/>
        </w:rPr>
      </w:pPr>
    </w:p>
    <w:p w14:paraId="3DE496D7" w14:textId="77777777" w:rsidR="0049505C" w:rsidRPr="00512310" w:rsidRDefault="0049505C" w:rsidP="0050037D">
      <w:pPr>
        <w:numPr>
          <w:ilvl w:val="0"/>
          <w:numId w:val="4"/>
        </w:numPr>
        <w:autoSpaceDE w:val="0"/>
        <w:autoSpaceDN w:val="0"/>
        <w:adjustRightInd w:val="0"/>
        <w:ind w:left="709" w:hanging="709"/>
        <w:rPr>
          <w:i/>
          <w:color w:val="000000"/>
          <w:szCs w:val="22"/>
          <w:lang w:eastAsia="en-US"/>
        </w:rPr>
      </w:pPr>
      <w:r w:rsidRPr="00512310">
        <w:rPr>
          <w:i/>
          <w:color w:val="000000"/>
          <w:szCs w:val="22"/>
          <w:lang w:eastAsia="en-US"/>
        </w:rPr>
        <w:t>Stav TP53</w:t>
      </w:r>
    </w:p>
    <w:p w14:paraId="057B83BC" w14:textId="1D6BD676" w:rsidR="0049505C" w:rsidRPr="00512310" w:rsidRDefault="0049505C" w:rsidP="0049505C">
      <w:pPr>
        <w:autoSpaceDE w:val="0"/>
        <w:autoSpaceDN w:val="0"/>
        <w:adjustRightInd w:val="0"/>
        <w:ind w:left="0" w:firstLine="0"/>
        <w:rPr>
          <w:rFonts w:eastAsia="TimesNewRomanPSMT"/>
          <w:color w:val="000000"/>
          <w:szCs w:val="22"/>
          <w:lang w:eastAsia="en-US"/>
        </w:rPr>
      </w:pPr>
      <w:r w:rsidRPr="00512310">
        <w:rPr>
          <w:color w:val="000000"/>
          <w:szCs w:val="22"/>
          <w:lang w:eastAsia="en-US"/>
        </w:rPr>
        <w:t>Mutácia TP53 je prítomná u 20 a</w:t>
      </w:r>
      <w:r w:rsidRPr="00512310">
        <w:rPr>
          <w:rFonts w:eastAsia="TimesNewRomanPSMT"/>
          <w:color w:val="000000"/>
          <w:szCs w:val="22"/>
          <w:lang w:eastAsia="en-US"/>
        </w:rPr>
        <w:t xml:space="preserve">ž </w:t>
      </w:r>
      <w:r w:rsidRPr="00512310">
        <w:rPr>
          <w:color w:val="000000"/>
          <w:szCs w:val="22"/>
          <w:lang w:eastAsia="en-US"/>
        </w:rPr>
        <w:t>25% pacientov s nízkym rizikom MDS s deléciou 5q a súvisí s vy</w:t>
      </w:r>
      <w:r w:rsidRPr="00512310">
        <w:rPr>
          <w:rFonts w:eastAsia="TimesNewRomanPSMT"/>
          <w:color w:val="000000"/>
          <w:szCs w:val="22"/>
          <w:lang w:eastAsia="en-US"/>
        </w:rPr>
        <w:t>šš</w:t>
      </w:r>
      <w:r w:rsidRPr="00512310">
        <w:rPr>
          <w:color w:val="000000"/>
          <w:szCs w:val="22"/>
          <w:lang w:eastAsia="en-US"/>
        </w:rPr>
        <w:t>ím</w:t>
      </w:r>
      <w:r w:rsidR="005E6E7F" w:rsidRPr="00512310">
        <w:rPr>
          <w:color w:val="000000"/>
          <w:szCs w:val="22"/>
          <w:lang w:eastAsia="en-US"/>
        </w:rPr>
        <w:t xml:space="preserve"> </w:t>
      </w:r>
      <w:r w:rsidRPr="00512310">
        <w:rPr>
          <w:color w:val="000000"/>
          <w:szCs w:val="22"/>
          <w:lang w:eastAsia="en-US"/>
        </w:rPr>
        <w:t xml:space="preserve">rizikom progresie do akútnej myeloidnej leukémie (AML). V post-hoc analýze údajov z klinickej </w:t>
      </w:r>
      <w:r w:rsidRPr="00512310">
        <w:rPr>
          <w:rFonts w:eastAsia="TimesNewRomanPSMT"/>
          <w:color w:val="000000"/>
          <w:szCs w:val="22"/>
          <w:lang w:eastAsia="en-US"/>
        </w:rPr>
        <w:t>š</w:t>
      </w:r>
      <w:r w:rsidRPr="00512310">
        <w:rPr>
          <w:color w:val="000000"/>
          <w:szCs w:val="22"/>
          <w:lang w:eastAsia="en-US"/>
        </w:rPr>
        <w:t>túdie</w:t>
      </w:r>
      <w:r w:rsidR="005E6E7F" w:rsidRPr="00512310">
        <w:rPr>
          <w:color w:val="000000"/>
          <w:szCs w:val="22"/>
          <w:lang w:eastAsia="en-US"/>
        </w:rPr>
        <w:t xml:space="preserve"> </w:t>
      </w:r>
      <w:r w:rsidRPr="00512310">
        <w:rPr>
          <w:color w:val="000000"/>
          <w:szCs w:val="22"/>
          <w:lang w:eastAsia="en-US"/>
        </w:rPr>
        <w:t xml:space="preserve">s lenalidomidom pri myelodysplastickom syndróme s nízkym alebo intermediárnym rizikom </w:t>
      </w:r>
      <w:r w:rsidR="001D0A27" w:rsidRPr="001D0A27">
        <w:rPr>
          <w:color w:val="000000"/>
          <w:szCs w:val="22"/>
          <w:lang w:eastAsia="en-US"/>
        </w:rPr>
        <w:t xml:space="preserve">1. stupňa </w:t>
      </w:r>
      <w:r w:rsidRPr="00512310">
        <w:rPr>
          <w:color w:val="000000"/>
          <w:szCs w:val="22"/>
          <w:lang w:eastAsia="en-US"/>
        </w:rPr>
        <w:t>(MDS-</w:t>
      </w:r>
      <w:r w:rsidRPr="00512310">
        <w:rPr>
          <w:rFonts w:eastAsia="TimesNewRomanPSMT"/>
          <w:color w:val="000000"/>
          <w:szCs w:val="22"/>
          <w:lang w:eastAsia="en-US"/>
        </w:rPr>
        <w:t>004) bola odhadovaná 2-ročná miera progresie do AML 27,5% u pacientov s IHC-p53 pozitivitou (1%</w:t>
      </w:r>
      <w:r w:rsidR="005E6E7F" w:rsidRPr="00512310">
        <w:rPr>
          <w:rFonts w:eastAsia="TimesNewRomanPSMT"/>
          <w:color w:val="000000"/>
          <w:szCs w:val="22"/>
          <w:lang w:eastAsia="en-US"/>
        </w:rPr>
        <w:t xml:space="preserve"> </w:t>
      </w:r>
      <w:r w:rsidRPr="00512310">
        <w:rPr>
          <w:rFonts w:eastAsia="TimesNewRomanPSMT"/>
          <w:color w:val="000000"/>
          <w:szCs w:val="22"/>
          <w:lang w:eastAsia="en-US"/>
        </w:rPr>
        <w:t xml:space="preserve">hraničná hodnota silného zafarbenia jadra s použitím imunohistochemického </w:t>
      </w:r>
      <w:r w:rsidRPr="00512310">
        <w:rPr>
          <w:rFonts w:eastAsia="TimesNewRomanPSMT"/>
          <w:color w:val="000000"/>
          <w:szCs w:val="22"/>
          <w:lang w:eastAsia="en-US"/>
        </w:rPr>
        <w:lastRenderedPageBreak/>
        <w:t>stanovenia proteínu p53 ako</w:t>
      </w:r>
      <w:r w:rsidR="005E6E7F" w:rsidRPr="00512310">
        <w:rPr>
          <w:rFonts w:eastAsia="TimesNewRomanPSMT"/>
          <w:color w:val="000000"/>
          <w:szCs w:val="22"/>
          <w:lang w:eastAsia="en-US"/>
        </w:rPr>
        <w:t xml:space="preserve"> </w:t>
      </w:r>
      <w:r w:rsidRPr="00512310">
        <w:rPr>
          <w:rFonts w:eastAsia="TimesNewRomanPSMT"/>
          <w:color w:val="000000"/>
          <w:szCs w:val="22"/>
          <w:lang w:eastAsia="en-US"/>
        </w:rPr>
        <w:t>náhradného ukazovateľa pre určenie stavu mutácie TP53) a 3,6% u pacientov s IHC-p53 negativitou</w:t>
      </w:r>
      <w:r w:rsidR="005E6E7F" w:rsidRPr="00512310">
        <w:rPr>
          <w:rFonts w:eastAsia="TimesNewRomanPSMT"/>
          <w:color w:val="000000"/>
          <w:szCs w:val="22"/>
          <w:lang w:eastAsia="en-US"/>
        </w:rPr>
        <w:t xml:space="preserve"> </w:t>
      </w:r>
      <w:r w:rsidRPr="00512310">
        <w:rPr>
          <w:rFonts w:eastAsia="TimesNewRomanPSMT"/>
          <w:color w:val="000000"/>
          <w:szCs w:val="22"/>
          <w:lang w:eastAsia="en-US"/>
        </w:rPr>
        <w:t>(p=0,0038); (pozri časť 4.8).</w:t>
      </w:r>
    </w:p>
    <w:p w14:paraId="6E797DAA" w14:textId="77777777" w:rsidR="005E6E7F" w:rsidRPr="00512310" w:rsidRDefault="005E6E7F" w:rsidP="0049505C">
      <w:pPr>
        <w:autoSpaceDE w:val="0"/>
        <w:autoSpaceDN w:val="0"/>
        <w:adjustRightInd w:val="0"/>
        <w:ind w:left="0" w:firstLine="0"/>
        <w:rPr>
          <w:i/>
          <w:iCs/>
          <w:color w:val="000000"/>
          <w:szCs w:val="22"/>
          <w:lang w:eastAsia="en-US"/>
        </w:rPr>
      </w:pPr>
    </w:p>
    <w:p w14:paraId="45D6CFB4" w14:textId="77777777" w:rsidR="0049505C" w:rsidRPr="00512310" w:rsidRDefault="0049505C" w:rsidP="0049505C">
      <w:pPr>
        <w:autoSpaceDE w:val="0"/>
        <w:autoSpaceDN w:val="0"/>
        <w:adjustRightInd w:val="0"/>
        <w:ind w:left="0" w:firstLine="0"/>
        <w:rPr>
          <w:i/>
          <w:iCs/>
          <w:color w:val="000000"/>
          <w:szCs w:val="22"/>
          <w:lang w:eastAsia="en-US"/>
        </w:rPr>
      </w:pPr>
      <w:r w:rsidRPr="00512310">
        <w:rPr>
          <w:i/>
          <w:iCs/>
          <w:color w:val="000000"/>
          <w:szCs w:val="22"/>
          <w:lang w:eastAsia="en-US"/>
        </w:rPr>
        <w:t>Progresia do iných malignít pri lymfóme z plášťových buniek</w:t>
      </w:r>
    </w:p>
    <w:p w14:paraId="5CEB0A6D" w14:textId="77777777" w:rsidR="009C12C3" w:rsidRPr="00512310" w:rsidRDefault="0049505C" w:rsidP="0049505C">
      <w:pPr>
        <w:autoSpaceDE w:val="0"/>
        <w:autoSpaceDN w:val="0"/>
        <w:adjustRightInd w:val="0"/>
        <w:ind w:left="0" w:firstLine="0"/>
        <w:rPr>
          <w:rFonts w:eastAsia="TimesNewRomanPSMT"/>
          <w:szCs w:val="22"/>
          <w:lang w:eastAsia="en-US"/>
        </w:rPr>
      </w:pPr>
      <w:r w:rsidRPr="00512310">
        <w:rPr>
          <w:rFonts w:eastAsia="TimesNewRomanPSMT"/>
          <w:color w:val="000000"/>
          <w:szCs w:val="22"/>
          <w:lang w:eastAsia="en-US"/>
        </w:rPr>
        <w:t>U lymfómu z plášťových buniek sú možné riziká AML, B- bunkových malignít a nemelanómového</w:t>
      </w:r>
      <w:r w:rsidR="005E6E7F" w:rsidRPr="00512310">
        <w:rPr>
          <w:rFonts w:eastAsia="TimesNewRomanPSMT"/>
          <w:color w:val="000000"/>
          <w:szCs w:val="22"/>
          <w:lang w:eastAsia="en-US"/>
        </w:rPr>
        <w:t xml:space="preserve"> </w:t>
      </w:r>
      <w:r w:rsidRPr="00512310">
        <w:rPr>
          <w:color w:val="000000"/>
          <w:szCs w:val="22"/>
          <w:lang w:eastAsia="en-US"/>
        </w:rPr>
        <w:t>karcinómu ko</w:t>
      </w:r>
      <w:r w:rsidRPr="00512310">
        <w:rPr>
          <w:rFonts w:eastAsia="TimesNewRomanPSMT"/>
          <w:color w:val="000000"/>
          <w:szCs w:val="22"/>
          <w:lang w:eastAsia="en-US"/>
        </w:rPr>
        <w:t>ž</w:t>
      </w:r>
      <w:r w:rsidRPr="00512310">
        <w:rPr>
          <w:color w:val="000000"/>
          <w:szCs w:val="22"/>
          <w:lang w:eastAsia="en-US"/>
        </w:rPr>
        <w:t xml:space="preserve">e </w:t>
      </w:r>
      <w:r w:rsidRPr="00512310">
        <w:rPr>
          <w:color w:val="545454"/>
          <w:szCs w:val="22"/>
          <w:lang w:eastAsia="en-US"/>
        </w:rPr>
        <w:t>(</w:t>
      </w:r>
      <w:r w:rsidRPr="00512310">
        <w:rPr>
          <w:color w:val="000000"/>
          <w:szCs w:val="22"/>
          <w:lang w:eastAsia="en-US"/>
        </w:rPr>
        <w:t>NMSC).</w:t>
      </w:r>
    </w:p>
    <w:p w14:paraId="3FFBCFDD" w14:textId="77777777" w:rsidR="009C12C3" w:rsidRPr="00512310" w:rsidRDefault="009C12C3" w:rsidP="00FB1611">
      <w:pPr>
        <w:autoSpaceDE w:val="0"/>
        <w:autoSpaceDN w:val="0"/>
        <w:adjustRightInd w:val="0"/>
        <w:ind w:left="0" w:firstLine="0"/>
        <w:rPr>
          <w:rFonts w:eastAsia="TimesNewRomanPSMT"/>
          <w:szCs w:val="22"/>
          <w:lang w:eastAsia="en-US"/>
        </w:rPr>
      </w:pPr>
    </w:p>
    <w:p w14:paraId="3A622A13" w14:textId="77777777" w:rsidR="00D91926" w:rsidRPr="00512310" w:rsidRDefault="00D91926" w:rsidP="00D91926">
      <w:pPr>
        <w:autoSpaceDE w:val="0"/>
        <w:autoSpaceDN w:val="0"/>
        <w:adjustRightInd w:val="0"/>
        <w:ind w:left="0" w:firstLine="0"/>
        <w:rPr>
          <w:i/>
          <w:iCs/>
          <w:szCs w:val="22"/>
          <w:lang w:eastAsia="en-US"/>
        </w:rPr>
      </w:pPr>
      <w:r w:rsidRPr="00512310">
        <w:rPr>
          <w:i/>
          <w:iCs/>
          <w:szCs w:val="22"/>
          <w:lang w:eastAsia="en-US"/>
        </w:rPr>
        <w:t>Poruchy pečene</w:t>
      </w:r>
    </w:p>
    <w:p w14:paraId="62F4FE1B" w14:textId="77777777" w:rsidR="00D91926" w:rsidRPr="00512310" w:rsidRDefault="00D91926" w:rsidP="00D91926">
      <w:pPr>
        <w:autoSpaceDE w:val="0"/>
        <w:autoSpaceDN w:val="0"/>
        <w:adjustRightInd w:val="0"/>
        <w:ind w:left="0" w:firstLine="0"/>
        <w:rPr>
          <w:szCs w:val="22"/>
          <w:lang w:eastAsia="en-US"/>
        </w:rPr>
      </w:pPr>
      <w:r w:rsidRPr="00512310">
        <w:rPr>
          <w:rFonts w:eastAsia="TimesNewRomanPSMT"/>
          <w:szCs w:val="22"/>
          <w:lang w:eastAsia="en-US"/>
        </w:rPr>
        <w:t xml:space="preserve">U pacientov liečených lenalidomidom v kombinovanej liečbe sa zaznamenalo zlyhanie pečene vrátane fatálnych prípadov: akútne zlyhanie pečene, toxická hepatitída, cytolytická hepatitída, cholestatická </w:t>
      </w:r>
      <w:r w:rsidRPr="00512310">
        <w:rPr>
          <w:szCs w:val="22"/>
          <w:lang w:eastAsia="en-US"/>
        </w:rPr>
        <w:t>hepatitída a zmie</w:t>
      </w:r>
      <w:r w:rsidRPr="00512310">
        <w:rPr>
          <w:rFonts w:eastAsia="TimesNewRomanPSMT"/>
          <w:szCs w:val="22"/>
          <w:lang w:eastAsia="en-US"/>
        </w:rPr>
        <w:t>š</w:t>
      </w:r>
      <w:r w:rsidRPr="00512310">
        <w:rPr>
          <w:szCs w:val="22"/>
          <w:lang w:eastAsia="en-US"/>
        </w:rPr>
        <w:t>aná cytolytická/cholestatická hepatitída. Mechanizmus záva</w:t>
      </w:r>
      <w:r w:rsidRPr="00512310">
        <w:rPr>
          <w:rFonts w:eastAsia="TimesNewRomanPSMT"/>
          <w:szCs w:val="22"/>
          <w:lang w:eastAsia="en-US"/>
        </w:rPr>
        <w:t>ž</w:t>
      </w:r>
      <w:r w:rsidRPr="00512310">
        <w:rPr>
          <w:szCs w:val="22"/>
          <w:lang w:eastAsia="en-US"/>
        </w:rPr>
        <w:t xml:space="preserve">nej liekom indukovanej </w:t>
      </w:r>
      <w:r w:rsidRPr="00512310">
        <w:rPr>
          <w:rFonts w:eastAsia="TimesNewRomanPSMT"/>
          <w:szCs w:val="22"/>
          <w:lang w:eastAsia="en-US"/>
        </w:rPr>
        <w:t xml:space="preserve">hepatotoxicity zostáva neznámy, hoci v niektorých prípadoch môže byť rizikovým faktorom predošlé vírusové ochorenie pečene, zvýšené východiskové hodnoty pečeňových enzýmov a možno liečba </w:t>
      </w:r>
      <w:r w:rsidRPr="00512310">
        <w:rPr>
          <w:szCs w:val="22"/>
          <w:lang w:eastAsia="en-US"/>
        </w:rPr>
        <w:t>antibiotikami.</w:t>
      </w:r>
    </w:p>
    <w:p w14:paraId="6BC53E87" w14:textId="77777777" w:rsidR="00D91926" w:rsidRPr="00512310" w:rsidRDefault="00D91926" w:rsidP="00D91926">
      <w:pPr>
        <w:autoSpaceDE w:val="0"/>
        <w:autoSpaceDN w:val="0"/>
        <w:adjustRightInd w:val="0"/>
        <w:ind w:left="0" w:firstLine="0"/>
        <w:rPr>
          <w:rFonts w:eastAsia="TimesNewRomanPSMT"/>
          <w:szCs w:val="22"/>
          <w:lang w:eastAsia="en-US"/>
        </w:rPr>
      </w:pPr>
    </w:p>
    <w:p w14:paraId="08FCB064" w14:textId="332329E0" w:rsidR="00D91926" w:rsidRPr="00512310" w:rsidRDefault="001D0A27" w:rsidP="00D91926">
      <w:pPr>
        <w:autoSpaceDE w:val="0"/>
        <w:autoSpaceDN w:val="0"/>
        <w:adjustRightInd w:val="0"/>
        <w:ind w:left="0" w:firstLine="0"/>
        <w:rPr>
          <w:szCs w:val="22"/>
          <w:lang w:eastAsia="en-US"/>
        </w:rPr>
      </w:pPr>
      <w:r w:rsidRPr="001D0A27">
        <w:rPr>
          <w:rFonts w:eastAsia="TimesNewRomanPSMT"/>
          <w:szCs w:val="22"/>
          <w:lang w:eastAsia="en-US"/>
        </w:rPr>
        <w:t>Abnormálne výsledky testov funkcie pečene</w:t>
      </w:r>
      <w:r w:rsidR="00D91926" w:rsidRPr="00512310">
        <w:rPr>
          <w:rFonts w:eastAsia="TimesNewRomanPSMT"/>
          <w:szCs w:val="22"/>
          <w:lang w:eastAsia="en-US"/>
        </w:rPr>
        <w:t xml:space="preserve"> boli hlásené často a boli zvyčajne asymptomatické a po prerušení </w:t>
      </w:r>
      <w:r>
        <w:rPr>
          <w:rFonts w:eastAsia="TimesNewRomanPSMT"/>
          <w:szCs w:val="22"/>
          <w:lang w:eastAsia="en-US"/>
        </w:rPr>
        <w:t>užívania</w:t>
      </w:r>
      <w:r w:rsidR="00D91926" w:rsidRPr="00512310">
        <w:rPr>
          <w:rFonts w:eastAsia="TimesNewRomanPSMT"/>
          <w:szCs w:val="22"/>
          <w:lang w:eastAsia="en-US"/>
        </w:rPr>
        <w:t xml:space="preserve"> reverzibilné. Po úprave parametrov na východiskové hodnoty sa môže zvážiť liečba nižšou </w:t>
      </w:r>
      <w:r w:rsidR="00D91926" w:rsidRPr="00512310">
        <w:rPr>
          <w:szCs w:val="22"/>
          <w:lang w:eastAsia="en-US"/>
        </w:rPr>
        <w:t>dávkou.</w:t>
      </w:r>
    </w:p>
    <w:p w14:paraId="61079CCE" w14:textId="77777777" w:rsidR="00D91926" w:rsidRPr="00512310" w:rsidRDefault="00D91926" w:rsidP="00D91926">
      <w:pPr>
        <w:autoSpaceDE w:val="0"/>
        <w:autoSpaceDN w:val="0"/>
        <w:adjustRightInd w:val="0"/>
        <w:ind w:left="0" w:firstLine="0"/>
        <w:rPr>
          <w:rFonts w:eastAsia="TimesNewRomanPSMT"/>
          <w:szCs w:val="22"/>
          <w:lang w:eastAsia="en-US"/>
        </w:rPr>
      </w:pPr>
    </w:p>
    <w:p w14:paraId="7C1778AD" w14:textId="77777777" w:rsidR="00D91926" w:rsidRPr="00512310" w:rsidRDefault="00D91926" w:rsidP="00D91926">
      <w:pPr>
        <w:autoSpaceDE w:val="0"/>
        <w:autoSpaceDN w:val="0"/>
        <w:adjustRightInd w:val="0"/>
        <w:ind w:left="0" w:firstLine="0"/>
        <w:rPr>
          <w:rFonts w:eastAsia="TimesNewRomanPSMT"/>
          <w:szCs w:val="22"/>
          <w:lang w:eastAsia="en-US"/>
        </w:rPr>
      </w:pPr>
      <w:r w:rsidRPr="00512310">
        <w:rPr>
          <w:rFonts w:eastAsia="TimesNewRomanPSMT"/>
          <w:szCs w:val="22"/>
          <w:lang w:eastAsia="en-US"/>
        </w:rPr>
        <w:t>Lenalidomid sa vylučuje obličkami. Je dôležité upraviť dávku u pacientov s poruchou funkcie obličiek, aby sa predišlo plazmatickým hladinám, ktoré môžu zvýšiť riziko hematologických nežiaducich účinkov alebo hepatotoxicity. Odporúča sa sledovanie funkcie pečene, predovšetkým v prípade prekonanej alebo súbežnej vírusovej infekcie pečene alebo keď sa lenalidomid kombinuje s liekmi, u ktorých je známa súvislosť s dysfunkciou pečene.</w:t>
      </w:r>
    </w:p>
    <w:p w14:paraId="2B7D8FFE" w14:textId="77777777" w:rsidR="00D91926" w:rsidRPr="00512310" w:rsidRDefault="00D91926" w:rsidP="00D91926">
      <w:pPr>
        <w:autoSpaceDE w:val="0"/>
        <w:autoSpaceDN w:val="0"/>
        <w:adjustRightInd w:val="0"/>
        <w:ind w:left="0" w:firstLine="0"/>
        <w:rPr>
          <w:i/>
          <w:iCs/>
          <w:szCs w:val="22"/>
          <w:lang w:eastAsia="en-US"/>
        </w:rPr>
      </w:pPr>
    </w:p>
    <w:p w14:paraId="0B09C297" w14:textId="77777777" w:rsidR="00D91926" w:rsidRPr="00512310" w:rsidRDefault="00D91926" w:rsidP="00D91926">
      <w:pPr>
        <w:autoSpaceDE w:val="0"/>
        <w:autoSpaceDN w:val="0"/>
        <w:adjustRightInd w:val="0"/>
        <w:ind w:left="0" w:firstLine="0"/>
        <w:rPr>
          <w:i/>
          <w:iCs/>
          <w:szCs w:val="22"/>
          <w:lang w:eastAsia="en-US"/>
        </w:rPr>
      </w:pPr>
      <w:r w:rsidRPr="00512310">
        <w:rPr>
          <w:i/>
          <w:iCs/>
          <w:szCs w:val="22"/>
          <w:lang w:eastAsia="en-US"/>
        </w:rPr>
        <w:t>Infekcie s neutropéniou alebo bez neutropénie</w:t>
      </w:r>
    </w:p>
    <w:p w14:paraId="107AE0FE" w14:textId="670A3B62" w:rsidR="009C12C3" w:rsidRPr="00512310" w:rsidRDefault="00D91926" w:rsidP="00A56C0D">
      <w:pPr>
        <w:autoSpaceDE w:val="0"/>
        <w:autoSpaceDN w:val="0"/>
        <w:adjustRightInd w:val="0"/>
        <w:ind w:left="0" w:firstLine="0"/>
        <w:rPr>
          <w:rFonts w:eastAsia="TimesNewRomanPSMT"/>
          <w:szCs w:val="22"/>
          <w:lang w:eastAsia="en-US"/>
        </w:rPr>
      </w:pPr>
      <w:r w:rsidRPr="00512310">
        <w:rPr>
          <w:rFonts w:eastAsia="TimesNewRomanPSMT"/>
          <w:szCs w:val="22"/>
          <w:lang w:eastAsia="en-US"/>
        </w:rPr>
        <w:t xml:space="preserve">Pacienti s mnohopočetným myelómom sú náchylnejší k rozvoju infekcie, vrátane pneumónie. Vyšší </w:t>
      </w:r>
      <w:r w:rsidRPr="00512310">
        <w:rPr>
          <w:szCs w:val="22"/>
          <w:lang w:eastAsia="en-US"/>
        </w:rPr>
        <w:t>výskyt infekcií bol pozorovaný pri lenalidomide v kombinácii s dexametazónom ako pri MPT u pacientov s NDMM, ktorí nie sú spôsobilí na transplantáciu, a s lenalidomidom v udr</w:t>
      </w:r>
      <w:r w:rsidRPr="00512310">
        <w:rPr>
          <w:rFonts w:eastAsia="TimesNewRomanPSMT"/>
          <w:szCs w:val="22"/>
          <w:lang w:eastAsia="en-US"/>
        </w:rPr>
        <w:t>ž</w:t>
      </w:r>
      <w:r w:rsidRPr="00512310">
        <w:rPr>
          <w:szCs w:val="22"/>
          <w:lang w:eastAsia="en-US"/>
        </w:rPr>
        <w:t xml:space="preserve">iavacej dávke v porovnaní </w:t>
      </w:r>
      <w:r w:rsidRPr="00512310">
        <w:rPr>
          <w:rFonts w:eastAsia="TimesNewRomanPSMT"/>
          <w:szCs w:val="22"/>
          <w:lang w:eastAsia="en-US"/>
        </w:rPr>
        <w:t xml:space="preserve">s placebom u pacientov s NDMM, ktorí podstúpili ASCT. Infekcie ≥ 3. stupňa sa vyskytli v súvislosti s </w:t>
      </w:r>
      <w:r w:rsidRPr="00512310">
        <w:rPr>
          <w:szCs w:val="22"/>
          <w:lang w:eastAsia="en-US"/>
        </w:rPr>
        <w:t xml:space="preserve">neutropéniou u menej ako jednej tretiny pacientov. Pacienti so známymi rizikovými faktormi pre infekcie </w:t>
      </w:r>
      <w:r w:rsidRPr="00512310">
        <w:rPr>
          <w:rFonts w:eastAsia="TimesNewRomanPSMT"/>
          <w:szCs w:val="22"/>
          <w:lang w:eastAsia="en-US"/>
        </w:rPr>
        <w:t>majú byť starostlivo sledovaní. Všetci pacienti majú byť poučení, aby vyhľadali lekársku pomoc ihneď pri prvých pr</w:t>
      </w:r>
      <w:r w:rsidR="001D0A27">
        <w:rPr>
          <w:rFonts w:eastAsia="TimesNewRomanPSMT"/>
          <w:szCs w:val="22"/>
          <w:lang w:eastAsia="en-US"/>
        </w:rPr>
        <w:t>ejavoch</w:t>
      </w:r>
      <w:r w:rsidRPr="00512310">
        <w:rPr>
          <w:rFonts w:eastAsia="TimesNewRomanPSMT"/>
          <w:szCs w:val="22"/>
          <w:lang w:eastAsia="en-US"/>
        </w:rPr>
        <w:t xml:space="preserve"> infekcie (napr. kašeľ, horúčka, atď.), čo umožňuje skoré zvládanie a zmiernenie </w:t>
      </w:r>
      <w:r w:rsidRPr="00512310">
        <w:rPr>
          <w:szCs w:val="22"/>
          <w:lang w:eastAsia="en-US"/>
        </w:rPr>
        <w:t>záva</w:t>
      </w:r>
      <w:r w:rsidRPr="00512310">
        <w:rPr>
          <w:rFonts w:eastAsia="TimesNewRomanPSMT"/>
          <w:szCs w:val="22"/>
          <w:lang w:eastAsia="en-US"/>
        </w:rPr>
        <w:t>ž</w:t>
      </w:r>
      <w:r w:rsidRPr="00512310">
        <w:rPr>
          <w:szCs w:val="22"/>
          <w:lang w:eastAsia="en-US"/>
        </w:rPr>
        <w:t>nosti stavu.</w:t>
      </w:r>
    </w:p>
    <w:p w14:paraId="55162459" w14:textId="77777777" w:rsidR="005E6E7F" w:rsidRPr="00512310" w:rsidRDefault="005E6E7F" w:rsidP="00A56C0D">
      <w:pPr>
        <w:autoSpaceDE w:val="0"/>
        <w:autoSpaceDN w:val="0"/>
        <w:adjustRightInd w:val="0"/>
        <w:ind w:left="0" w:firstLine="0"/>
        <w:rPr>
          <w:rFonts w:eastAsia="TimesNewRomanPSMT"/>
          <w:szCs w:val="22"/>
          <w:lang w:eastAsia="en-US"/>
        </w:rPr>
      </w:pPr>
    </w:p>
    <w:p w14:paraId="4D7D4D63" w14:textId="77777777" w:rsidR="00D24EDE" w:rsidRPr="00512310" w:rsidRDefault="00D24EDE" w:rsidP="00A56C0D">
      <w:pPr>
        <w:autoSpaceDE w:val="0"/>
        <w:autoSpaceDN w:val="0"/>
        <w:adjustRightInd w:val="0"/>
        <w:ind w:left="0" w:firstLine="0"/>
        <w:rPr>
          <w:szCs w:val="22"/>
          <w:lang w:eastAsia="en-US"/>
        </w:rPr>
      </w:pPr>
      <w:r w:rsidRPr="00512310">
        <w:rPr>
          <w:szCs w:val="22"/>
          <w:lang w:eastAsia="en-US"/>
        </w:rPr>
        <w:t>U pacientov, ktorí dostávali lenalidomid, boli hlásené prípady reaktivácie vírusu vrátane záva</w:t>
      </w:r>
      <w:r w:rsidRPr="00512310">
        <w:rPr>
          <w:rFonts w:eastAsia="TimesNewRomanPSMT"/>
          <w:szCs w:val="22"/>
          <w:lang w:eastAsia="en-US"/>
        </w:rPr>
        <w:t>ž</w:t>
      </w:r>
      <w:r w:rsidRPr="00512310">
        <w:rPr>
          <w:szCs w:val="22"/>
          <w:lang w:eastAsia="en-US"/>
        </w:rPr>
        <w:t>ných</w:t>
      </w:r>
      <w:r w:rsidR="00A56C0D" w:rsidRPr="00512310">
        <w:rPr>
          <w:szCs w:val="22"/>
          <w:lang w:eastAsia="en-US"/>
        </w:rPr>
        <w:t xml:space="preserve"> </w:t>
      </w:r>
      <w:r w:rsidRPr="00512310">
        <w:rPr>
          <w:szCs w:val="22"/>
          <w:lang w:eastAsia="en-US"/>
        </w:rPr>
        <w:t>prípadov reaktivácie vírusu spôsobujúceho herpes zoster alebo vírusu hepatitídy B (HBV).</w:t>
      </w:r>
    </w:p>
    <w:p w14:paraId="5B0EADBF" w14:textId="77777777" w:rsidR="00A56C0D" w:rsidRPr="00512310" w:rsidRDefault="00A56C0D" w:rsidP="00A56C0D">
      <w:pPr>
        <w:autoSpaceDE w:val="0"/>
        <w:autoSpaceDN w:val="0"/>
        <w:adjustRightInd w:val="0"/>
        <w:ind w:left="0" w:firstLine="0"/>
        <w:rPr>
          <w:szCs w:val="22"/>
          <w:lang w:eastAsia="en-US"/>
        </w:rPr>
      </w:pPr>
    </w:p>
    <w:p w14:paraId="5D2C6FF9" w14:textId="77777777" w:rsidR="00D24EDE" w:rsidRPr="00512310" w:rsidRDefault="00D24EDE" w:rsidP="00D24EDE">
      <w:pPr>
        <w:autoSpaceDE w:val="0"/>
        <w:autoSpaceDN w:val="0"/>
        <w:adjustRightInd w:val="0"/>
        <w:ind w:left="0" w:firstLine="0"/>
        <w:rPr>
          <w:szCs w:val="22"/>
          <w:lang w:eastAsia="en-US"/>
        </w:rPr>
      </w:pPr>
      <w:r w:rsidRPr="00512310">
        <w:rPr>
          <w:szCs w:val="22"/>
          <w:lang w:eastAsia="en-US"/>
        </w:rPr>
        <w:t>Niektoré prípady reaktivácie vírusu mali fatálne následky.</w:t>
      </w:r>
    </w:p>
    <w:p w14:paraId="0CD07967" w14:textId="77777777" w:rsidR="00A56C0D" w:rsidRPr="00512310" w:rsidRDefault="00A56C0D" w:rsidP="00D24EDE">
      <w:pPr>
        <w:autoSpaceDE w:val="0"/>
        <w:autoSpaceDN w:val="0"/>
        <w:adjustRightInd w:val="0"/>
        <w:ind w:left="0" w:firstLine="0"/>
        <w:rPr>
          <w:szCs w:val="22"/>
          <w:lang w:eastAsia="en-US"/>
        </w:rPr>
      </w:pPr>
    </w:p>
    <w:p w14:paraId="34CE2502" w14:textId="77777777" w:rsidR="00D24EDE" w:rsidRPr="00512310" w:rsidRDefault="00D24EDE" w:rsidP="00D24EDE">
      <w:pPr>
        <w:autoSpaceDE w:val="0"/>
        <w:autoSpaceDN w:val="0"/>
        <w:adjustRightInd w:val="0"/>
        <w:ind w:left="0" w:firstLine="0"/>
        <w:rPr>
          <w:rFonts w:eastAsia="TimesNewRomanPSMT"/>
          <w:szCs w:val="22"/>
          <w:lang w:eastAsia="en-US"/>
        </w:rPr>
      </w:pPr>
      <w:r w:rsidRPr="00512310">
        <w:rPr>
          <w:szCs w:val="22"/>
          <w:lang w:eastAsia="en-US"/>
        </w:rPr>
        <w:t>Niektoré prípady reaktivácie vírusu spôsobujúceho herpes zoster mali za následok diseminovaný herpes</w:t>
      </w:r>
      <w:r w:rsidR="00A56C0D" w:rsidRPr="00512310">
        <w:rPr>
          <w:szCs w:val="22"/>
          <w:lang w:eastAsia="en-US"/>
        </w:rPr>
        <w:t xml:space="preserve"> </w:t>
      </w:r>
      <w:r w:rsidRPr="00512310">
        <w:rPr>
          <w:rFonts w:eastAsia="TimesNewRomanPSMT"/>
          <w:szCs w:val="22"/>
          <w:lang w:eastAsia="en-US"/>
        </w:rPr>
        <w:t>zoster, meningitídu spôsobenú herpes zoster alebo očný herpes zoster, ktoré vyžadovali dočasné</w:t>
      </w:r>
      <w:r w:rsidR="00A56C0D" w:rsidRPr="00512310">
        <w:rPr>
          <w:rFonts w:eastAsia="TimesNewRomanPSMT"/>
          <w:szCs w:val="22"/>
          <w:lang w:eastAsia="en-US"/>
        </w:rPr>
        <w:t xml:space="preserve"> </w:t>
      </w:r>
      <w:r w:rsidRPr="00512310">
        <w:rPr>
          <w:rFonts w:eastAsia="TimesNewRomanPSMT"/>
          <w:szCs w:val="22"/>
          <w:lang w:eastAsia="en-US"/>
        </w:rPr>
        <w:t>pozastavenie alebo trvalé ukončenie liečby lenalidomidom a adekvátnu protivírusovú liečbu.</w:t>
      </w:r>
    </w:p>
    <w:p w14:paraId="636E873B" w14:textId="77777777" w:rsidR="00A56C0D" w:rsidRPr="00512310" w:rsidRDefault="00A56C0D" w:rsidP="00D24EDE">
      <w:pPr>
        <w:autoSpaceDE w:val="0"/>
        <w:autoSpaceDN w:val="0"/>
        <w:adjustRightInd w:val="0"/>
        <w:ind w:left="0" w:firstLine="0"/>
        <w:rPr>
          <w:szCs w:val="22"/>
          <w:lang w:eastAsia="en-US"/>
        </w:rPr>
      </w:pPr>
    </w:p>
    <w:p w14:paraId="2246C38B" w14:textId="05B82575" w:rsidR="00D24EDE" w:rsidRPr="00512310" w:rsidRDefault="00D24EDE" w:rsidP="00D24EDE">
      <w:pPr>
        <w:autoSpaceDE w:val="0"/>
        <w:autoSpaceDN w:val="0"/>
        <w:adjustRightInd w:val="0"/>
        <w:ind w:left="0" w:firstLine="0"/>
        <w:rPr>
          <w:rFonts w:eastAsia="TimesNewRomanPSMT"/>
          <w:szCs w:val="22"/>
          <w:lang w:eastAsia="en-US"/>
        </w:rPr>
      </w:pPr>
      <w:r w:rsidRPr="00512310">
        <w:rPr>
          <w:szCs w:val="22"/>
          <w:lang w:eastAsia="en-US"/>
        </w:rPr>
        <w:t>Reaktivácia hepatitídy B bola hlásená zriedkavo u pacientov, ktorí dostávali lenalidomid a u</w:t>
      </w:r>
      <w:r w:rsidRPr="00512310">
        <w:rPr>
          <w:rFonts w:eastAsia="TimesNewRomanPSMT"/>
          <w:szCs w:val="22"/>
          <w:lang w:eastAsia="en-US"/>
        </w:rPr>
        <w:t xml:space="preserve">ž </w:t>
      </w:r>
      <w:r w:rsidRPr="00512310">
        <w:rPr>
          <w:szCs w:val="22"/>
          <w:lang w:eastAsia="en-US"/>
        </w:rPr>
        <w:t>v minulosti</w:t>
      </w:r>
      <w:r w:rsidR="00A56C0D" w:rsidRPr="00512310">
        <w:rPr>
          <w:szCs w:val="22"/>
          <w:lang w:eastAsia="en-US"/>
        </w:rPr>
        <w:t xml:space="preserve"> </w:t>
      </w:r>
      <w:r w:rsidRPr="00512310">
        <w:rPr>
          <w:szCs w:val="22"/>
          <w:lang w:eastAsia="en-US"/>
        </w:rPr>
        <w:t>boli infikovaní vírusom hepatitídy B (HBV). U niektorých z týchto prípadov do</w:t>
      </w:r>
      <w:r w:rsidRPr="00512310">
        <w:rPr>
          <w:rFonts w:eastAsia="TimesNewRomanPSMT"/>
          <w:szCs w:val="22"/>
          <w:lang w:eastAsia="en-US"/>
        </w:rPr>
        <w:t>š</w:t>
      </w:r>
      <w:r w:rsidRPr="00512310">
        <w:rPr>
          <w:szCs w:val="22"/>
          <w:lang w:eastAsia="en-US"/>
        </w:rPr>
        <w:t>lo k progresii do</w:t>
      </w:r>
      <w:r w:rsidR="00A56C0D" w:rsidRPr="00512310">
        <w:rPr>
          <w:szCs w:val="22"/>
          <w:lang w:eastAsia="en-US"/>
        </w:rPr>
        <w:t xml:space="preserve"> </w:t>
      </w:r>
      <w:r w:rsidRPr="00512310">
        <w:rPr>
          <w:rFonts w:eastAsia="TimesNewRomanPSMT"/>
          <w:szCs w:val="22"/>
          <w:lang w:eastAsia="en-US"/>
        </w:rPr>
        <w:t>akútneho zlyhania pečene, čo malo za následok prerušenie liečby lenalidomidom a adekvátnu</w:t>
      </w:r>
      <w:r w:rsidR="00A56C0D" w:rsidRPr="00512310">
        <w:rPr>
          <w:rFonts w:eastAsia="TimesNewRomanPSMT"/>
          <w:szCs w:val="22"/>
          <w:lang w:eastAsia="en-US"/>
        </w:rPr>
        <w:t xml:space="preserve"> </w:t>
      </w:r>
      <w:r w:rsidRPr="00512310">
        <w:rPr>
          <w:rFonts w:eastAsia="TimesNewRomanPSMT"/>
          <w:szCs w:val="22"/>
          <w:lang w:eastAsia="en-US"/>
        </w:rPr>
        <w:t>protivírusovú liečbu. Pred začiatkom liečby lenalidomidom sa má stanoviť stav vírusu hepatitídy B. U</w:t>
      </w:r>
      <w:r w:rsidR="00A56C0D" w:rsidRPr="00512310">
        <w:rPr>
          <w:rFonts w:eastAsia="TimesNewRomanPSMT"/>
          <w:szCs w:val="22"/>
          <w:lang w:eastAsia="en-US"/>
        </w:rPr>
        <w:t xml:space="preserve"> </w:t>
      </w:r>
      <w:r w:rsidRPr="00512310">
        <w:rPr>
          <w:rFonts w:eastAsia="TimesNewRomanPSMT"/>
          <w:szCs w:val="22"/>
          <w:lang w:eastAsia="en-US"/>
        </w:rPr>
        <w:t>pacientov s pozitívnym testom na infekciu HBV sa odporúča konzultácia s lekárom so špecializáciou na</w:t>
      </w:r>
      <w:r w:rsidR="00A56C0D" w:rsidRPr="00512310">
        <w:rPr>
          <w:rFonts w:eastAsia="TimesNewRomanPSMT"/>
          <w:szCs w:val="22"/>
          <w:lang w:eastAsia="en-US"/>
        </w:rPr>
        <w:t xml:space="preserve"> </w:t>
      </w:r>
      <w:r w:rsidRPr="00512310">
        <w:rPr>
          <w:rFonts w:eastAsia="TimesNewRomanPSMT"/>
          <w:szCs w:val="22"/>
          <w:lang w:eastAsia="en-US"/>
        </w:rPr>
        <w:t>liečbu hepatitídy B. Lenalidomid sa má používať s opatrnosťou u pacientov s predchádzajúcou infekciou</w:t>
      </w:r>
      <w:r w:rsidR="00A56C0D" w:rsidRPr="00512310">
        <w:rPr>
          <w:rFonts w:eastAsia="TimesNewRomanPSMT"/>
          <w:szCs w:val="22"/>
          <w:lang w:eastAsia="en-US"/>
        </w:rPr>
        <w:t xml:space="preserve"> </w:t>
      </w:r>
      <w:r w:rsidRPr="00512310">
        <w:rPr>
          <w:szCs w:val="22"/>
          <w:lang w:eastAsia="en-US"/>
        </w:rPr>
        <w:t>HBV, vrátane pacientov pozitívny</w:t>
      </w:r>
      <w:r w:rsidR="001D0A27">
        <w:rPr>
          <w:szCs w:val="22"/>
          <w:lang w:eastAsia="en-US"/>
        </w:rPr>
        <w:t>ch na</w:t>
      </w:r>
      <w:r w:rsidRPr="00512310">
        <w:rPr>
          <w:szCs w:val="22"/>
          <w:lang w:eastAsia="en-US"/>
        </w:rPr>
        <w:t xml:space="preserve"> protilátk</w:t>
      </w:r>
      <w:r w:rsidR="001D0A27">
        <w:rPr>
          <w:szCs w:val="22"/>
          <w:lang w:eastAsia="en-US"/>
        </w:rPr>
        <w:t>y</w:t>
      </w:r>
      <w:r w:rsidRPr="00512310">
        <w:rPr>
          <w:szCs w:val="22"/>
          <w:lang w:eastAsia="en-US"/>
        </w:rPr>
        <w:t xml:space="preserve"> anti-HBc, ale negatívny</w:t>
      </w:r>
      <w:r w:rsidR="001D0A27">
        <w:rPr>
          <w:szCs w:val="22"/>
          <w:lang w:eastAsia="en-US"/>
        </w:rPr>
        <w:t>ch na</w:t>
      </w:r>
      <w:r w:rsidRPr="00512310">
        <w:rPr>
          <w:szCs w:val="22"/>
          <w:lang w:eastAsia="en-US"/>
        </w:rPr>
        <w:t xml:space="preserve"> HBsAg. U týchto</w:t>
      </w:r>
      <w:r w:rsidR="00A56C0D" w:rsidRPr="00512310">
        <w:rPr>
          <w:szCs w:val="22"/>
          <w:lang w:eastAsia="en-US"/>
        </w:rPr>
        <w:t xml:space="preserve"> </w:t>
      </w:r>
      <w:r w:rsidRPr="00512310">
        <w:rPr>
          <w:rFonts w:eastAsia="TimesNewRomanPSMT"/>
          <w:szCs w:val="22"/>
          <w:lang w:eastAsia="en-US"/>
        </w:rPr>
        <w:t>pacientov sa počas liečby majú pozorne sledovať prejavy a príznaky aktívnej HBV infekcie.</w:t>
      </w:r>
    </w:p>
    <w:p w14:paraId="0FC86E8F" w14:textId="77777777" w:rsidR="00A56C0D" w:rsidRPr="00512310" w:rsidRDefault="00A56C0D" w:rsidP="00D24EDE">
      <w:pPr>
        <w:autoSpaceDE w:val="0"/>
        <w:autoSpaceDN w:val="0"/>
        <w:adjustRightInd w:val="0"/>
        <w:ind w:left="0" w:firstLine="0"/>
        <w:rPr>
          <w:rFonts w:eastAsia="TimesNewRomanPSMT"/>
          <w:szCs w:val="22"/>
          <w:lang w:eastAsia="en-US"/>
        </w:rPr>
      </w:pPr>
    </w:p>
    <w:p w14:paraId="17462D3B" w14:textId="77777777" w:rsidR="00D24EDE" w:rsidRPr="00512310" w:rsidRDefault="00D24EDE" w:rsidP="0050037D">
      <w:pPr>
        <w:numPr>
          <w:ilvl w:val="0"/>
          <w:numId w:val="4"/>
        </w:numPr>
        <w:autoSpaceDE w:val="0"/>
        <w:autoSpaceDN w:val="0"/>
        <w:adjustRightInd w:val="0"/>
        <w:ind w:left="709" w:hanging="709"/>
        <w:rPr>
          <w:rFonts w:eastAsia="TimesNewRomanPSMT"/>
          <w:i/>
          <w:szCs w:val="22"/>
          <w:lang w:eastAsia="en-US"/>
        </w:rPr>
      </w:pPr>
      <w:r w:rsidRPr="00512310">
        <w:rPr>
          <w:rFonts w:eastAsia="TimesNewRomanPSMT"/>
          <w:i/>
          <w:szCs w:val="22"/>
          <w:lang w:eastAsia="en-US"/>
        </w:rPr>
        <w:t>Pacienti s novodiagnostikovaným mnohopočetným myelómom</w:t>
      </w:r>
    </w:p>
    <w:p w14:paraId="7A41FCA2" w14:textId="7AC65273" w:rsidR="00256BCE" w:rsidRPr="00512310" w:rsidRDefault="00D24EDE" w:rsidP="00256BCE">
      <w:pPr>
        <w:autoSpaceDE w:val="0"/>
        <w:autoSpaceDN w:val="0"/>
        <w:adjustRightInd w:val="0"/>
        <w:ind w:left="0" w:firstLine="0"/>
        <w:rPr>
          <w:rFonts w:eastAsia="TimesNewRomanPSMT"/>
          <w:szCs w:val="22"/>
          <w:lang w:eastAsia="en-US"/>
        </w:rPr>
      </w:pPr>
      <w:r w:rsidRPr="00512310">
        <w:rPr>
          <w:rFonts w:eastAsia="TimesNewRomanPSMT"/>
          <w:szCs w:val="22"/>
          <w:lang w:eastAsia="en-US"/>
        </w:rPr>
        <w:lastRenderedPageBreak/>
        <w:t>Bola pozorovaná vyššia miera intolerancie (3. alebo 4. stupeň nežiaducich účinkov, závažných</w:t>
      </w:r>
      <w:r w:rsidR="004018FF" w:rsidRPr="00512310">
        <w:rPr>
          <w:rFonts w:eastAsia="TimesNewRomanPSMT"/>
          <w:szCs w:val="22"/>
          <w:lang w:eastAsia="en-US"/>
        </w:rPr>
        <w:t xml:space="preserve"> </w:t>
      </w:r>
      <w:r w:rsidRPr="00512310">
        <w:rPr>
          <w:rFonts w:eastAsia="TimesNewRomanPSMT"/>
          <w:szCs w:val="22"/>
          <w:lang w:eastAsia="en-US"/>
        </w:rPr>
        <w:t>nežiaducich účinkov, prerušenia liečby) u pacientov vo veku &gt;75 rokov, ISS stupňa III, ECOG PS≤2</w:t>
      </w:r>
      <w:r w:rsidR="004018FF" w:rsidRPr="00512310">
        <w:rPr>
          <w:rFonts w:eastAsia="TimesNewRomanPSMT"/>
          <w:szCs w:val="22"/>
          <w:lang w:eastAsia="en-US"/>
        </w:rPr>
        <w:t xml:space="preserve"> </w:t>
      </w:r>
      <w:r w:rsidRPr="00512310">
        <w:rPr>
          <w:rFonts w:eastAsia="TimesNewRomanPSMT"/>
          <w:szCs w:val="22"/>
          <w:lang w:eastAsia="en-US"/>
        </w:rPr>
        <w:t>alebo CLcr &lt;60</w:t>
      </w:r>
      <w:r w:rsidR="004018FF" w:rsidRPr="00512310">
        <w:rPr>
          <w:rFonts w:eastAsia="TimesNewRomanPSMT"/>
          <w:szCs w:val="22"/>
          <w:lang w:eastAsia="en-US"/>
        </w:rPr>
        <w:t> </w:t>
      </w:r>
      <w:r w:rsidRPr="00512310">
        <w:rPr>
          <w:rFonts w:eastAsia="TimesNewRomanPSMT"/>
          <w:szCs w:val="22"/>
          <w:lang w:eastAsia="en-US"/>
        </w:rPr>
        <w:t>ml/min, keď sa lenalidomid podával v kombinácii. Starostlivo má byť posúdená</w:t>
      </w:r>
      <w:r w:rsidR="004018FF" w:rsidRPr="00512310">
        <w:rPr>
          <w:rFonts w:eastAsia="TimesNewRomanPSMT"/>
          <w:szCs w:val="22"/>
          <w:lang w:eastAsia="en-US"/>
        </w:rPr>
        <w:t xml:space="preserve"> </w:t>
      </w:r>
      <w:r w:rsidR="00256BCE" w:rsidRPr="00512310">
        <w:rPr>
          <w:rFonts w:eastAsia="TimesNewRomanPSMT"/>
          <w:szCs w:val="22"/>
          <w:lang w:eastAsia="en-US"/>
        </w:rPr>
        <w:t>schopnosť pacientov tolerovať lenalidomid v kombinácii s prihliadnutím na vek, ISS stupeň III, ECOG PS≤2 alebo CLcr &lt;60 ml/min (pozri časti 4.2 a 4.8).</w:t>
      </w:r>
    </w:p>
    <w:p w14:paraId="5085C8A3" w14:textId="77777777" w:rsidR="00256BCE" w:rsidRPr="00512310" w:rsidRDefault="00256BCE" w:rsidP="00256BCE">
      <w:pPr>
        <w:autoSpaceDE w:val="0"/>
        <w:autoSpaceDN w:val="0"/>
        <w:adjustRightInd w:val="0"/>
        <w:ind w:left="0" w:firstLine="0"/>
        <w:rPr>
          <w:rFonts w:eastAsia="TimesNewRomanPSMT"/>
          <w:i/>
          <w:iCs/>
          <w:szCs w:val="22"/>
          <w:lang w:eastAsia="en-US"/>
        </w:rPr>
      </w:pPr>
    </w:p>
    <w:p w14:paraId="376F03BC" w14:textId="77777777" w:rsidR="00256BCE" w:rsidRPr="00512310" w:rsidRDefault="00256BCE" w:rsidP="00256BCE">
      <w:pPr>
        <w:autoSpaceDE w:val="0"/>
        <w:autoSpaceDN w:val="0"/>
        <w:adjustRightInd w:val="0"/>
        <w:ind w:left="0" w:firstLine="0"/>
        <w:rPr>
          <w:rFonts w:eastAsia="TimesNewRomanPSMT"/>
          <w:i/>
          <w:iCs/>
          <w:szCs w:val="22"/>
          <w:lang w:eastAsia="en-US"/>
        </w:rPr>
      </w:pPr>
      <w:r w:rsidRPr="00512310">
        <w:rPr>
          <w:rFonts w:eastAsia="TimesNewRomanPSMT"/>
          <w:i/>
          <w:iCs/>
          <w:szCs w:val="22"/>
          <w:lang w:eastAsia="en-US"/>
        </w:rPr>
        <w:t>Sivý zákal</w:t>
      </w:r>
    </w:p>
    <w:p w14:paraId="38EF1A11" w14:textId="77777777" w:rsidR="005E6E7F" w:rsidRPr="00512310" w:rsidRDefault="00256BCE" w:rsidP="00256BCE">
      <w:pPr>
        <w:autoSpaceDE w:val="0"/>
        <w:autoSpaceDN w:val="0"/>
        <w:adjustRightInd w:val="0"/>
        <w:ind w:left="0" w:firstLine="0"/>
        <w:rPr>
          <w:rFonts w:eastAsia="TimesNewRomanPSMT"/>
          <w:szCs w:val="22"/>
          <w:lang w:eastAsia="en-US"/>
        </w:rPr>
      </w:pPr>
      <w:r w:rsidRPr="00512310">
        <w:rPr>
          <w:rFonts w:eastAsia="TimesNewRomanPSMT"/>
          <w:szCs w:val="22"/>
          <w:lang w:eastAsia="en-US"/>
        </w:rPr>
        <w:t>Sivý zákal bol hlásený s vyššou frekvenciou u pacientov užívajúcich lenalidomid v kombinácii s dexametazónom, najmä pri dlhotrvajúcom užívaní. Odporúča sa pravidelné monitorovanie zrakovej schopnosti.</w:t>
      </w:r>
    </w:p>
    <w:p w14:paraId="47C7BEB0" w14:textId="77777777" w:rsidR="005E6E7F" w:rsidRPr="003A5C41" w:rsidRDefault="005E6E7F" w:rsidP="00FB1611">
      <w:pPr>
        <w:autoSpaceDE w:val="0"/>
        <w:autoSpaceDN w:val="0"/>
        <w:adjustRightInd w:val="0"/>
        <w:ind w:left="0" w:firstLine="0"/>
        <w:rPr>
          <w:rFonts w:eastAsia="TimesNewRomanPSMT"/>
          <w:szCs w:val="22"/>
          <w:lang w:eastAsia="en-US"/>
        </w:rPr>
      </w:pPr>
    </w:p>
    <w:p w14:paraId="54EB4ED6" w14:textId="77777777" w:rsidR="00256BCE" w:rsidRPr="00F30DE4" w:rsidRDefault="00F30DE4" w:rsidP="00256BCE">
      <w:pPr>
        <w:ind w:right="280"/>
        <w:rPr>
          <w:i/>
        </w:rPr>
      </w:pPr>
      <w:r w:rsidRPr="00F30DE4">
        <w:rPr>
          <w:i/>
        </w:rPr>
        <w:t>Progresívna multifokálna leukoencefalopatia</w:t>
      </w:r>
    </w:p>
    <w:p w14:paraId="623C4CF8" w14:textId="77777777" w:rsidR="004A5848" w:rsidRDefault="00F30DE4" w:rsidP="00F30DE4">
      <w:pPr>
        <w:ind w:left="0" w:right="280" w:firstLine="0"/>
      </w:pPr>
      <w:r w:rsidRPr="00F30DE4">
        <w:t>V súvislosti s liečbou lenalidomidom boli hlásené prípady progresívnej multifokálnej leukoencefalopatie (</w:t>
      </w:r>
      <w:r w:rsidR="00256BCE" w:rsidRPr="00F30DE4">
        <w:rPr>
          <w:i/>
        </w:rPr>
        <w:t>progressive multifocal leukoencephalopathy</w:t>
      </w:r>
      <w:r w:rsidRPr="00F30DE4">
        <w:t xml:space="preserve">, </w:t>
      </w:r>
      <w:r w:rsidR="00256BCE" w:rsidRPr="00F30DE4">
        <w:t xml:space="preserve">PML), </w:t>
      </w:r>
      <w:r w:rsidRPr="00F30DE4">
        <w:t>vrátane fatálnych prípadov.</w:t>
      </w:r>
      <w:r w:rsidR="00256BCE" w:rsidRPr="00F30DE4">
        <w:t xml:space="preserve"> PML </w:t>
      </w:r>
      <w:r w:rsidRPr="00F30DE4">
        <w:t>bola zaznamenaná počas niekoľkých mesiacov až niekoľkých rokov po začatí liečby lenalidomidom</w:t>
      </w:r>
      <w:r w:rsidR="00256BCE" w:rsidRPr="00F30DE4">
        <w:t xml:space="preserve">. </w:t>
      </w:r>
      <w:r w:rsidRPr="00F30DE4">
        <w:t>Vo všeobecnosti boli prípady hlásené u pacientov súbežne liečených dexametazónom</w:t>
      </w:r>
      <w:r w:rsidR="00256BCE" w:rsidRPr="00F30DE4">
        <w:t xml:space="preserve"> </w:t>
      </w:r>
      <w:r w:rsidRPr="00F30DE4">
        <w:t>alebo po predošlej liečbe inou imunosupresívnou chemoterapiou</w:t>
      </w:r>
      <w:r w:rsidR="00256BCE" w:rsidRPr="00F30DE4">
        <w:t xml:space="preserve">. </w:t>
      </w:r>
    </w:p>
    <w:p w14:paraId="3E61AF25" w14:textId="0673135F" w:rsidR="00256BCE" w:rsidRPr="00EF6B98" w:rsidRDefault="00F30DE4" w:rsidP="00F30DE4">
      <w:pPr>
        <w:ind w:left="0" w:right="280" w:firstLine="0"/>
      </w:pPr>
      <w:r w:rsidRPr="00F30DE4">
        <w:t xml:space="preserve">Lekári majú </w:t>
      </w:r>
      <w:r w:rsidRPr="00EF6B98">
        <w:t>sledovať pacientov v pravidelných intervaloch a</w:t>
      </w:r>
      <w:r w:rsidR="005C1B1D">
        <w:t> zvážiť možnosť</w:t>
      </w:r>
      <w:r w:rsidRPr="00EF6B98">
        <w:t xml:space="preserve"> </w:t>
      </w:r>
      <w:r w:rsidR="00256BCE" w:rsidRPr="00EF6B98">
        <w:t xml:space="preserve">PML </w:t>
      </w:r>
      <w:r w:rsidRPr="00EF6B98">
        <w:t>v diferencovanej diagnostike u pacientov s novovzniknutými alebo zhorš</w:t>
      </w:r>
      <w:r w:rsidR="005C1B1D">
        <w:t>ujúcimi sa</w:t>
      </w:r>
      <w:r w:rsidRPr="00EF6B98">
        <w:t xml:space="preserve"> neurologickými príznakmi, kognitívnymi alebo behaviorálnymi </w:t>
      </w:r>
      <w:r w:rsidR="005C1B1D">
        <w:t>prejavmi</w:t>
      </w:r>
      <w:r w:rsidRPr="00EF6B98">
        <w:t xml:space="preserve"> alebo </w:t>
      </w:r>
      <w:r w:rsidR="005C1B1D">
        <w:t>príznakmi</w:t>
      </w:r>
      <w:r w:rsidRPr="00EF6B98">
        <w:t>.</w:t>
      </w:r>
      <w:r w:rsidR="00256BCE" w:rsidRPr="00EF6B98">
        <w:t xml:space="preserve"> </w:t>
      </w:r>
      <w:r w:rsidRPr="00EF6B98">
        <w:t>Pacienti majú byť upozornení, aby informovali svojho partnera alebo opatrovateľa o ich</w:t>
      </w:r>
      <w:r w:rsidR="00256BCE" w:rsidRPr="00EF6B98">
        <w:t xml:space="preserve"> </w:t>
      </w:r>
      <w:r w:rsidRPr="00EF6B98">
        <w:t>liečbe, aby</w:t>
      </w:r>
      <w:r w:rsidR="00EF6B98" w:rsidRPr="00EF6B98">
        <w:t xml:space="preserve"> si všímali </w:t>
      </w:r>
      <w:r w:rsidR="005C1B1D">
        <w:t>príznaky</w:t>
      </w:r>
      <w:r w:rsidR="00EF6B98" w:rsidRPr="00EF6B98">
        <w:t>, ktoré si pacient nemusí uvedomovať</w:t>
      </w:r>
      <w:r w:rsidR="00256BCE" w:rsidRPr="00EF6B98">
        <w:t>.</w:t>
      </w:r>
    </w:p>
    <w:p w14:paraId="4488EB3E" w14:textId="26252915" w:rsidR="00256BCE" w:rsidRPr="00EF6B98" w:rsidRDefault="00EF6B98" w:rsidP="00F30DE4">
      <w:pPr>
        <w:ind w:left="0" w:right="280" w:firstLine="0"/>
      </w:pPr>
      <w:r w:rsidRPr="00EF6B98">
        <w:t>Zhodnotenie</w:t>
      </w:r>
      <w:r w:rsidR="00256BCE" w:rsidRPr="00EF6B98">
        <w:t xml:space="preserve"> PML </w:t>
      </w:r>
      <w:r w:rsidRPr="00EF6B98">
        <w:t>má byť založené na neurologickom vyšetrení</w:t>
      </w:r>
      <w:r w:rsidR="00256BCE" w:rsidRPr="00EF6B98">
        <w:t>, magnetic</w:t>
      </w:r>
      <w:r w:rsidRPr="00EF6B98">
        <w:t xml:space="preserve">kej </w:t>
      </w:r>
      <w:r w:rsidR="00256BCE" w:rsidRPr="00EF6B98">
        <w:t>re</w:t>
      </w:r>
      <w:r w:rsidRPr="00EF6B98">
        <w:t>zonancii mozgu a an</w:t>
      </w:r>
      <w:r w:rsidR="006C5DF8">
        <w:t>a</w:t>
      </w:r>
      <w:r w:rsidRPr="00EF6B98">
        <w:t>lýze cerebrospinálnej tekutiny kvôli</w:t>
      </w:r>
      <w:r w:rsidR="00177088">
        <w:t xml:space="preserve"> DNA</w:t>
      </w:r>
      <w:r w:rsidR="00256BCE" w:rsidRPr="00EF6B98">
        <w:t xml:space="preserve"> JC v</w:t>
      </w:r>
      <w:r w:rsidRPr="00EF6B98">
        <w:t>írusu</w:t>
      </w:r>
      <w:r w:rsidR="00256BCE" w:rsidRPr="00EF6B98">
        <w:t xml:space="preserve"> (JCV) </w:t>
      </w:r>
      <w:r w:rsidRPr="00177088">
        <w:t xml:space="preserve">pomocou </w:t>
      </w:r>
      <w:r w:rsidR="00177088" w:rsidRPr="00177088">
        <w:t>polymerázovej reťazovej reakci</w:t>
      </w:r>
      <w:r w:rsidR="00812FDC">
        <w:t>e</w:t>
      </w:r>
      <w:r w:rsidRPr="00177088">
        <w:t xml:space="preserve"> (</w:t>
      </w:r>
      <w:r w:rsidR="00256BCE" w:rsidRPr="00177088">
        <w:rPr>
          <w:i/>
        </w:rPr>
        <w:t>polymerase chain reaction</w:t>
      </w:r>
      <w:r w:rsidRPr="00177088">
        <w:t xml:space="preserve">, </w:t>
      </w:r>
      <w:r w:rsidR="00256BCE" w:rsidRPr="00177088">
        <w:t xml:space="preserve">PCR) </w:t>
      </w:r>
      <w:r w:rsidRPr="00177088">
        <w:t>alebo biopsii mozgu s testovaním</w:t>
      </w:r>
      <w:r w:rsidRPr="00EF6B98">
        <w:t xml:space="preserve"> na </w:t>
      </w:r>
      <w:r w:rsidR="00256BCE" w:rsidRPr="00EF6B98">
        <w:t xml:space="preserve">JCV. </w:t>
      </w:r>
      <w:r w:rsidRPr="00EF6B98">
        <w:t>Negatívny výsledok</w:t>
      </w:r>
      <w:r w:rsidR="00256BCE" w:rsidRPr="00EF6B98">
        <w:t xml:space="preserve"> JCV PCR </w:t>
      </w:r>
      <w:r w:rsidRPr="00EF6B98">
        <w:t>nevylučuje</w:t>
      </w:r>
      <w:r w:rsidR="00256BCE" w:rsidRPr="00EF6B98">
        <w:t xml:space="preserve"> PML. </w:t>
      </w:r>
      <w:r w:rsidR="00E93162" w:rsidRPr="00E93162">
        <w:t>Pokiaľ nemožno stanoviť inú diagnózu</w:t>
      </w:r>
      <w:r w:rsidRPr="00EF6B98">
        <w:t>, má sa zabezpečiť následné sledovanie a hodno</w:t>
      </w:r>
      <w:r w:rsidR="00E93162">
        <w:t>tenie</w:t>
      </w:r>
      <w:r w:rsidR="00256BCE" w:rsidRPr="00EF6B98">
        <w:t>.</w:t>
      </w:r>
    </w:p>
    <w:p w14:paraId="53B58A54" w14:textId="67DA543A" w:rsidR="00256BCE" w:rsidRPr="003A5C41" w:rsidRDefault="00EF6B98" w:rsidP="00F30DE4">
      <w:pPr>
        <w:ind w:left="0" w:right="280" w:firstLine="0"/>
      </w:pPr>
      <w:r w:rsidRPr="00EF6B98">
        <w:t xml:space="preserve">Ak existuje podozrenie na </w:t>
      </w:r>
      <w:r w:rsidR="00256BCE" w:rsidRPr="00EF6B98">
        <w:t xml:space="preserve">PML </w:t>
      </w:r>
      <w:r w:rsidRPr="00EF6B98">
        <w:t xml:space="preserve">má sa </w:t>
      </w:r>
      <w:r w:rsidR="00E93162">
        <w:t>prerušiť</w:t>
      </w:r>
      <w:r w:rsidRPr="00EF6B98">
        <w:t xml:space="preserve"> </w:t>
      </w:r>
      <w:r w:rsidR="00E93162">
        <w:t>podávanie lieku</w:t>
      </w:r>
      <w:r w:rsidRPr="00EF6B98">
        <w:t xml:space="preserve"> až do vylúčenia PML</w:t>
      </w:r>
      <w:r w:rsidR="00256BCE" w:rsidRPr="00EF6B98">
        <w:t xml:space="preserve">. </w:t>
      </w:r>
      <w:r w:rsidRPr="00EF6B98">
        <w:t>Ak sa P</w:t>
      </w:r>
      <w:r w:rsidR="00256BCE" w:rsidRPr="00EF6B98">
        <w:t>ML</w:t>
      </w:r>
      <w:r w:rsidR="006C5DF8">
        <w:t xml:space="preserve"> </w:t>
      </w:r>
      <w:r w:rsidRPr="00EF6B98">
        <w:t>potvrdí, liečba lenalidomidom sa musí definitívne ukončiť.</w:t>
      </w:r>
    </w:p>
    <w:p w14:paraId="7688AC6D" w14:textId="77777777" w:rsidR="005E6E7F" w:rsidRPr="003A5C41" w:rsidRDefault="005E6E7F" w:rsidP="00F30DE4">
      <w:pPr>
        <w:autoSpaceDE w:val="0"/>
        <w:autoSpaceDN w:val="0"/>
        <w:adjustRightInd w:val="0"/>
        <w:ind w:left="0" w:firstLine="0"/>
        <w:rPr>
          <w:rFonts w:eastAsia="TimesNewRomanPSMT"/>
          <w:szCs w:val="22"/>
          <w:lang w:eastAsia="en-US"/>
        </w:rPr>
      </w:pPr>
    </w:p>
    <w:p w14:paraId="744BD1B9" w14:textId="77777777" w:rsidR="00FF6BE0" w:rsidRPr="003A5C41" w:rsidRDefault="00FF6BE0" w:rsidP="00C92B0B">
      <w:pPr>
        <w:rPr>
          <w:b/>
          <w:szCs w:val="22"/>
        </w:rPr>
      </w:pPr>
      <w:r w:rsidRPr="003A5C41">
        <w:rPr>
          <w:b/>
          <w:szCs w:val="22"/>
        </w:rPr>
        <w:t>4.5</w:t>
      </w:r>
      <w:r w:rsidRPr="003A5C41">
        <w:rPr>
          <w:b/>
          <w:szCs w:val="22"/>
        </w:rPr>
        <w:tab/>
        <w:t>Liekové a iné interakcie</w:t>
      </w:r>
    </w:p>
    <w:p w14:paraId="1BB9976D" w14:textId="77777777" w:rsidR="00C52B78" w:rsidRPr="003A5C41" w:rsidRDefault="00C52B78" w:rsidP="00C92B0B">
      <w:pPr>
        <w:ind w:left="0" w:firstLine="0"/>
        <w:rPr>
          <w:szCs w:val="22"/>
          <w:u w:val="single"/>
        </w:rPr>
      </w:pPr>
    </w:p>
    <w:p w14:paraId="39F2F5C2" w14:textId="3DDE28D6" w:rsidR="0024527C" w:rsidRPr="003A5C41" w:rsidRDefault="0024527C" w:rsidP="0024527C">
      <w:pPr>
        <w:autoSpaceDE w:val="0"/>
        <w:autoSpaceDN w:val="0"/>
        <w:adjustRightInd w:val="0"/>
        <w:ind w:left="0" w:firstLine="0"/>
        <w:rPr>
          <w:rFonts w:eastAsia="TimesNewRomanPSMT"/>
          <w:szCs w:val="22"/>
          <w:lang w:eastAsia="en-US"/>
        </w:rPr>
      </w:pPr>
      <w:r w:rsidRPr="003A5C41">
        <w:rPr>
          <w:rFonts w:eastAsia="TimesNewRomanPSMT"/>
          <w:szCs w:val="22"/>
          <w:lang w:eastAsia="en-US"/>
        </w:rPr>
        <w:t xml:space="preserve">Erytropoetické látky alebo iné látky, ktoré môžu zvýšiť riziko trombózy, ako napríklad hormonálna substitučná liečba, sa majú používať </w:t>
      </w:r>
      <w:r w:rsidR="00E93162">
        <w:rPr>
          <w:rFonts w:eastAsia="TimesNewRomanPSMT"/>
          <w:szCs w:val="22"/>
          <w:lang w:eastAsia="en-US"/>
        </w:rPr>
        <w:t xml:space="preserve">s </w:t>
      </w:r>
      <w:r w:rsidRPr="003A5C41">
        <w:rPr>
          <w:rFonts w:eastAsia="TimesNewRomanPSMT"/>
          <w:szCs w:val="22"/>
          <w:lang w:eastAsia="en-US"/>
        </w:rPr>
        <w:t>opatrn</w:t>
      </w:r>
      <w:r w:rsidR="00E93162">
        <w:rPr>
          <w:rFonts w:eastAsia="TimesNewRomanPSMT"/>
          <w:szCs w:val="22"/>
          <w:lang w:eastAsia="en-US"/>
        </w:rPr>
        <w:t>osťou</w:t>
      </w:r>
      <w:r w:rsidRPr="003A5C41">
        <w:rPr>
          <w:rFonts w:eastAsia="TimesNewRomanPSMT"/>
          <w:szCs w:val="22"/>
          <w:lang w:eastAsia="en-US"/>
        </w:rPr>
        <w:t xml:space="preserve"> u pacientov s mnohopočetným myelómom, ktorým sa podáva lenalidomid s dexametazónom (pozri časti 4.4 a 4.8).</w:t>
      </w:r>
    </w:p>
    <w:p w14:paraId="38CAE00E" w14:textId="77777777" w:rsidR="0024527C" w:rsidRPr="003A5C41" w:rsidRDefault="0024527C" w:rsidP="0024527C">
      <w:pPr>
        <w:autoSpaceDE w:val="0"/>
        <w:autoSpaceDN w:val="0"/>
        <w:adjustRightInd w:val="0"/>
        <w:ind w:left="0" w:firstLine="0"/>
        <w:rPr>
          <w:rFonts w:eastAsia="TimesNewRomanPSMT"/>
          <w:szCs w:val="22"/>
          <w:lang w:eastAsia="en-US"/>
        </w:rPr>
      </w:pPr>
    </w:p>
    <w:p w14:paraId="5A0244FD" w14:textId="77777777" w:rsidR="0024527C" w:rsidRPr="003A5C41" w:rsidRDefault="0024527C" w:rsidP="0024527C">
      <w:pPr>
        <w:autoSpaceDE w:val="0"/>
        <w:autoSpaceDN w:val="0"/>
        <w:adjustRightInd w:val="0"/>
        <w:ind w:left="0" w:firstLine="0"/>
        <w:rPr>
          <w:rFonts w:eastAsia="TimesNewRomanPSMT"/>
          <w:szCs w:val="22"/>
          <w:u w:val="single"/>
          <w:lang w:eastAsia="en-US"/>
        </w:rPr>
      </w:pPr>
      <w:r w:rsidRPr="003A5C41">
        <w:rPr>
          <w:rFonts w:eastAsia="TimesNewRomanPSMT"/>
          <w:szCs w:val="22"/>
          <w:u w:val="single"/>
          <w:lang w:eastAsia="en-US"/>
        </w:rPr>
        <w:t>Perorálna antikoncepcia</w:t>
      </w:r>
    </w:p>
    <w:p w14:paraId="241D77D3" w14:textId="0ED16593" w:rsidR="0024527C" w:rsidRPr="003A5C41" w:rsidRDefault="0024527C" w:rsidP="0024527C">
      <w:pPr>
        <w:autoSpaceDE w:val="0"/>
        <w:autoSpaceDN w:val="0"/>
        <w:adjustRightInd w:val="0"/>
        <w:ind w:left="0" w:firstLine="0"/>
        <w:rPr>
          <w:rFonts w:eastAsia="TimesNewRomanPSMT"/>
          <w:szCs w:val="22"/>
          <w:lang w:eastAsia="en-US"/>
        </w:rPr>
      </w:pPr>
      <w:r w:rsidRPr="003A5C41">
        <w:rPr>
          <w:rFonts w:eastAsia="TimesNewRomanPSMT"/>
          <w:szCs w:val="22"/>
          <w:lang w:eastAsia="en-US"/>
        </w:rPr>
        <w:t>Neuskutočnili sa žiadne interakčné štúdie s perorálnou antikoncepciou. Lenalidomid nie je induktor</w:t>
      </w:r>
      <w:r w:rsidR="0057256E" w:rsidRPr="003A5C41">
        <w:rPr>
          <w:rFonts w:eastAsia="TimesNewRomanPSMT"/>
          <w:szCs w:val="22"/>
          <w:lang w:eastAsia="en-US"/>
        </w:rPr>
        <w:t xml:space="preserve"> </w:t>
      </w:r>
      <w:r w:rsidRPr="003A5C41">
        <w:rPr>
          <w:rFonts w:eastAsia="TimesNewRomanPSMT"/>
          <w:szCs w:val="22"/>
          <w:lang w:eastAsia="en-US"/>
        </w:rPr>
        <w:t xml:space="preserve">enzýmov. V </w:t>
      </w:r>
      <w:r w:rsidRPr="003A5C41">
        <w:rPr>
          <w:rFonts w:eastAsia="TimesNewRomanPSMT"/>
          <w:i/>
          <w:iCs/>
          <w:szCs w:val="22"/>
          <w:lang w:eastAsia="en-US"/>
        </w:rPr>
        <w:t xml:space="preserve">in vitro </w:t>
      </w:r>
      <w:r w:rsidRPr="003A5C41">
        <w:rPr>
          <w:rFonts w:eastAsia="TimesNewRomanPSMT"/>
          <w:szCs w:val="22"/>
          <w:lang w:eastAsia="en-US"/>
        </w:rPr>
        <w:t>štúdii s ľudskými hepatocytmi lenalidomid v rôznych skúmaných koncentráciách</w:t>
      </w:r>
      <w:r w:rsidR="0057256E" w:rsidRPr="003A5C41">
        <w:rPr>
          <w:rFonts w:eastAsia="TimesNewRomanPSMT"/>
          <w:szCs w:val="22"/>
          <w:lang w:eastAsia="en-US"/>
        </w:rPr>
        <w:t xml:space="preserve"> </w:t>
      </w:r>
      <w:r w:rsidRPr="003A5C41">
        <w:rPr>
          <w:rFonts w:eastAsia="TimesNewRomanPSMT"/>
          <w:szCs w:val="22"/>
          <w:lang w:eastAsia="en-US"/>
        </w:rPr>
        <w:t>neindukoval CYP1A2, CYP2B6, CYP2C9, CYP2C19 ani CYP3A4/5. Preto sa neočakáva indukcia</w:t>
      </w:r>
      <w:r w:rsidR="0057256E" w:rsidRPr="003A5C41">
        <w:rPr>
          <w:rFonts w:eastAsia="TimesNewRomanPSMT"/>
          <w:szCs w:val="22"/>
          <w:lang w:eastAsia="en-US"/>
        </w:rPr>
        <w:t xml:space="preserve"> </w:t>
      </w:r>
      <w:r w:rsidRPr="003A5C41">
        <w:rPr>
          <w:rFonts w:eastAsia="TimesNewRomanPSMT"/>
          <w:szCs w:val="22"/>
          <w:lang w:eastAsia="en-US"/>
        </w:rPr>
        <w:t>vedúca k zníženej účinnosti liekov vrátane hormonálnej antikoncepcie, ak sa lenalidomid podáva</w:t>
      </w:r>
      <w:r w:rsidR="0057256E" w:rsidRPr="003A5C41">
        <w:rPr>
          <w:rFonts w:eastAsia="TimesNewRomanPSMT"/>
          <w:szCs w:val="22"/>
          <w:lang w:eastAsia="en-US"/>
        </w:rPr>
        <w:t xml:space="preserve"> </w:t>
      </w:r>
      <w:r w:rsidRPr="003A5C41">
        <w:rPr>
          <w:rFonts w:eastAsia="TimesNewRomanPSMT"/>
          <w:szCs w:val="22"/>
          <w:lang w:eastAsia="en-US"/>
        </w:rPr>
        <w:t xml:space="preserve">samostatne. Dexametazón je však </w:t>
      </w:r>
      <w:r w:rsidR="00E93162">
        <w:rPr>
          <w:rFonts w:eastAsia="TimesNewRomanPSMT"/>
          <w:szCs w:val="22"/>
          <w:lang w:eastAsia="en-US"/>
        </w:rPr>
        <w:t>liečivo</w:t>
      </w:r>
      <w:r w:rsidRPr="003A5C41">
        <w:rPr>
          <w:rFonts w:eastAsia="TimesNewRomanPSMT"/>
          <w:szCs w:val="22"/>
          <w:lang w:eastAsia="en-US"/>
        </w:rPr>
        <w:t xml:space="preserve"> znám</w:t>
      </w:r>
      <w:r w:rsidR="00E93162">
        <w:rPr>
          <w:rFonts w:eastAsia="TimesNewRomanPSMT"/>
          <w:szCs w:val="22"/>
          <w:lang w:eastAsia="en-US"/>
        </w:rPr>
        <w:t>e</w:t>
      </w:r>
      <w:r w:rsidRPr="003A5C41">
        <w:rPr>
          <w:rFonts w:eastAsia="TimesNewRomanPSMT"/>
          <w:szCs w:val="22"/>
          <w:lang w:eastAsia="en-US"/>
        </w:rPr>
        <w:t xml:space="preserve"> ako slabý až stredne silný induktor enzýmu CYP3A4 a</w:t>
      </w:r>
      <w:r w:rsidR="0057256E" w:rsidRPr="003A5C41">
        <w:rPr>
          <w:rFonts w:eastAsia="TimesNewRomanPSMT"/>
          <w:szCs w:val="22"/>
          <w:lang w:eastAsia="en-US"/>
        </w:rPr>
        <w:t xml:space="preserve"> </w:t>
      </w:r>
      <w:r w:rsidRPr="003A5C41">
        <w:rPr>
          <w:rFonts w:eastAsia="TimesNewRomanPSMT"/>
          <w:szCs w:val="22"/>
          <w:lang w:eastAsia="en-US"/>
        </w:rPr>
        <w:t>pravdepodobne pôsobí aj na ďalšie enzýmy aj transportné proteíny. Nemožno vylúčiť zníženie účinnosti</w:t>
      </w:r>
      <w:r w:rsidR="0057256E" w:rsidRPr="003A5C41">
        <w:rPr>
          <w:rFonts w:eastAsia="TimesNewRomanPSMT"/>
          <w:szCs w:val="22"/>
          <w:lang w:eastAsia="en-US"/>
        </w:rPr>
        <w:t xml:space="preserve"> </w:t>
      </w:r>
      <w:r w:rsidRPr="003A5C41">
        <w:rPr>
          <w:rFonts w:eastAsia="TimesNewRomanPSMT"/>
          <w:szCs w:val="22"/>
          <w:lang w:eastAsia="en-US"/>
        </w:rPr>
        <w:t>perorálnej antikoncepcie počas liečby. Musia sa prijať účinné opatrenia na prevenciu tehotenstva (pozri</w:t>
      </w:r>
      <w:r w:rsidR="0057256E" w:rsidRPr="003A5C41">
        <w:rPr>
          <w:rFonts w:eastAsia="TimesNewRomanPSMT"/>
          <w:szCs w:val="22"/>
          <w:lang w:eastAsia="en-US"/>
        </w:rPr>
        <w:t xml:space="preserve"> </w:t>
      </w:r>
      <w:r w:rsidRPr="003A5C41">
        <w:rPr>
          <w:rFonts w:eastAsia="TimesNewRomanPSMT"/>
          <w:szCs w:val="22"/>
          <w:lang w:eastAsia="en-US"/>
        </w:rPr>
        <w:t>časti 4.4 a 4.6).</w:t>
      </w:r>
    </w:p>
    <w:p w14:paraId="198AB24C" w14:textId="77777777" w:rsidR="0057256E" w:rsidRPr="003A5C41" w:rsidRDefault="0057256E" w:rsidP="0024527C">
      <w:pPr>
        <w:autoSpaceDE w:val="0"/>
        <w:autoSpaceDN w:val="0"/>
        <w:adjustRightInd w:val="0"/>
        <w:ind w:left="0" w:firstLine="0"/>
        <w:rPr>
          <w:rFonts w:eastAsia="TimesNewRomanPSMT"/>
          <w:szCs w:val="22"/>
          <w:lang w:eastAsia="en-US"/>
        </w:rPr>
      </w:pPr>
    </w:p>
    <w:p w14:paraId="78E6BC83" w14:textId="77777777" w:rsidR="0024527C" w:rsidRPr="003A5C41" w:rsidRDefault="0024527C" w:rsidP="0024527C">
      <w:pPr>
        <w:autoSpaceDE w:val="0"/>
        <w:autoSpaceDN w:val="0"/>
        <w:adjustRightInd w:val="0"/>
        <w:ind w:left="0" w:firstLine="0"/>
        <w:rPr>
          <w:rFonts w:eastAsia="TimesNewRomanPSMT"/>
          <w:szCs w:val="22"/>
          <w:u w:val="single"/>
          <w:lang w:eastAsia="en-US"/>
        </w:rPr>
      </w:pPr>
      <w:r w:rsidRPr="003A5C41">
        <w:rPr>
          <w:rFonts w:eastAsia="TimesNewRomanPSMT"/>
          <w:szCs w:val="22"/>
          <w:u w:val="single"/>
          <w:lang w:eastAsia="en-US"/>
        </w:rPr>
        <w:t>Warfarín</w:t>
      </w:r>
    </w:p>
    <w:p w14:paraId="46DAE28E" w14:textId="19A14F98" w:rsidR="0024527C" w:rsidRPr="003A5C41" w:rsidRDefault="0024527C" w:rsidP="0024527C">
      <w:pPr>
        <w:autoSpaceDE w:val="0"/>
        <w:autoSpaceDN w:val="0"/>
        <w:adjustRightInd w:val="0"/>
        <w:ind w:left="0" w:firstLine="0"/>
        <w:rPr>
          <w:rFonts w:eastAsia="TimesNewRomanPSMT"/>
          <w:szCs w:val="22"/>
          <w:lang w:eastAsia="en-US"/>
        </w:rPr>
      </w:pPr>
      <w:r w:rsidRPr="003A5C41">
        <w:rPr>
          <w:rFonts w:eastAsia="TimesNewRomanPSMT"/>
          <w:szCs w:val="22"/>
          <w:lang w:eastAsia="en-US"/>
        </w:rPr>
        <w:t xml:space="preserve">Súbežné podávanie </w:t>
      </w:r>
      <w:r w:rsidR="00E93162">
        <w:rPr>
          <w:rFonts w:eastAsia="TimesNewRomanPSMT"/>
          <w:szCs w:val="22"/>
          <w:lang w:eastAsia="en-US"/>
        </w:rPr>
        <w:t>opakovaných</w:t>
      </w:r>
      <w:r w:rsidRPr="003A5C41">
        <w:rPr>
          <w:rFonts w:eastAsia="TimesNewRomanPSMT"/>
          <w:szCs w:val="22"/>
          <w:lang w:eastAsia="en-US"/>
        </w:rPr>
        <w:t xml:space="preserve"> 10</w:t>
      </w:r>
      <w:r w:rsidR="0057256E" w:rsidRPr="003A5C41">
        <w:rPr>
          <w:rFonts w:eastAsia="TimesNewRomanPSMT"/>
          <w:szCs w:val="22"/>
          <w:lang w:eastAsia="en-US"/>
        </w:rPr>
        <w:t> </w:t>
      </w:r>
      <w:r w:rsidRPr="003A5C41">
        <w:rPr>
          <w:rFonts w:eastAsia="TimesNewRomanPSMT"/>
          <w:szCs w:val="22"/>
          <w:lang w:eastAsia="en-US"/>
        </w:rPr>
        <w:t>mg dávok lenalidomidu nemalo žiadny vplyv na farmakokinetiku jedn</w:t>
      </w:r>
      <w:r w:rsidR="00E93162">
        <w:rPr>
          <w:rFonts w:eastAsia="TimesNewRomanPSMT"/>
          <w:szCs w:val="22"/>
          <w:lang w:eastAsia="en-US"/>
        </w:rPr>
        <w:t>orazovej</w:t>
      </w:r>
      <w:r w:rsidR="0057256E" w:rsidRPr="003A5C41">
        <w:rPr>
          <w:rFonts w:eastAsia="TimesNewRomanPSMT"/>
          <w:szCs w:val="22"/>
          <w:lang w:eastAsia="en-US"/>
        </w:rPr>
        <w:t xml:space="preserve"> </w:t>
      </w:r>
      <w:r w:rsidRPr="003A5C41">
        <w:rPr>
          <w:rFonts w:eastAsia="TimesNewRomanPSMT"/>
          <w:szCs w:val="22"/>
          <w:lang w:eastAsia="en-US"/>
        </w:rPr>
        <w:t>dávky R- a S-warfarínu. Súbežné podanie jedn</w:t>
      </w:r>
      <w:r w:rsidR="00E93162">
        <w:rPr>
          <w:rFonts w:eastAsia="TimesNewRomanPSMT"/>
          <w:szCs w:val="22"/>
          <w:lang w:eastAsia="en-US"/>
        </w:rPr>
        <w:t>orazovej</w:t>
      </w:r>
      <w:r w:rsidRPr="003A5C41">
        <w:rPr>
          <w:rFonts w:eastAsia="TimesNewRomanPSMT"/>
          <w:szCs w:val="22"/>
          <w:lang w:eastAsia="en-US"/>
        </w:rPr>
        <w:t xml:space="preserve"> dávky 25</w:t>
      </w:r>
      <w:r w:rsidR="0057256E" w:rsidRPr="003A5C41">
        <w:rPr>
          <w:rFonts w:eastAsia="TimesNewRomanPSMT"/>
          <w:szCs w:val="22"/>
          <w:lang w:eastAsia="en-US"/>
        </w:rPr>
        <w:t> </w:t>
      </w:r>
      <w:r w:rsidRPr="003A5C41">
        <w:rPr>
          <w:rFonts w:eastAsia="TimesNewRomanPSMT"/>
          <w:szCs w:val="22"/>
          <w:lang w:eastAsia="en-US"/>
        </w:rPr>
        <w:t>mg warfarínu nemalo žiadny vplyv na</w:t>
      </w:r>
      <w:r w:rsidR="0057256E" w:rsidRPr="003A5C41">
        <w:rPr>
          <w:rFonts w:eastAsia="TimesNewRomanPSMT"/>
          <w:szCs w:val="22"/>
          <w:lang w:eastAsia="en-US"/>
        </w:rPr>
        <w:t xml:space="preserve"> </w:t>
      </w:r>
      <w:r w:rsidRPr="003A5C41">
        <w:rPr>
          <w:rFonts w:eastAsia="TimesNewRomanPSMT"/>
          <w:szCs w:val="22"/>
          <w:lang w:eastAsia="en-US"/>
        </w:rPr>
        <w:t>farmakokinetiku lenalidomidu. Nie je však známe, či nedochádza k interakcii v klinickej praxi</w:t>
      </w:r>
      <w:r w:rsidR="0057256E" w:rsidRPr="003A5C41">
        <w:rPr>
          <w:rFonts w:eastAsia="TimesNewRomanPSMT"/>
          <w:szCs w:val="22"/>
          <w:lang w:eastAsia="en-US"/>
        </w:rPr>
        <w:t xml:space="preserve"> </w:t>
      </w:r>
      <w:r w:rsidRPr="003A5C41">
        <w:rPr>
          <w:rFonts w:eastAsia="TimesNewRomanPSMT"/>
          <w:szCs w:val="22"/>
          <w:lang w:eastAsia="en-US"/>
        </w:rPr>
        <w:t>(kombinovaná liečba s dexametazónom). Dexametazón je slabý až stredne silný induktor enzýmov a jeho</w:t>
      </w:r>
      <w:r w:rsidR="0057256E" w:rsidRPr="003A5C41">
        <w:rPr>
          <w:rFonts w:eastAsia="TimesNewRomanPSMT"/>
          <w:szCs w:val="22"/>
          <w:lang w:eastAsia="en-US"/>
        </w:rPr>
        <w:t xml:space="preserve"> </w:t>
      </w:r>
      <w:r w:rsidRPr="003A5C41">
        <w:rPr>
          <w:rFonts w:eastAsia="TimesNewRomanPSMT"/>
          <w:szCs w:val="22"/>
          <w:lang w:eastAsia="en-US"/>
        </w:rPr>
        <w:t>účinok na warfarín nie je známy. Počas liečby sa odporúča starostlivé sledovanie koncentrácie warfarínu.</w:t>
      </w:r>
    </w:p>
    <w:p w14:paraId="563229E4" w14:textId="77777777" w:rsidR="0057256E" w:rsidRPr="003A5C41" w:rsidRDefault="0057256E" w:rsidP="0024527C">
      <w:pPr>
        <w:autoSpaceDE w:val="0"/>
        <w:autoSpaceDN w:val="0"/>
        <w:adjustRightInd w:val="0"/>
        <w:ind w:left="0" w:firstLine="0"/>
        <w:rPr>
          <w:rFonts w:eastAsia="TimesNewRomanPSMT"/>
          <w:szCs w:val="22"/>
          <w:lang w:eastAsia="en-US"/>
        </w:rPr>
      </w:pPr>
    </w:p>
    <w:p w14:paraId="5D7DF488" w14:textId="77777777" w:rsidR="0024527C" w:rsidRPr="003A5C41" w:rsidRDefault="0024527C" w:rsidP="0024527C">
      <w:pPr>
        <w:autoSpaceDE w:val="0"/>
        <w:autoSpaceDN w:val="0"/>
        <w:adjustRightInd w:val="0"/>
        <w:ind w:left="0" w:firstLine="0"/>
        <w:rPr>
          <w:rFonts w:eastAsia="TimesNewRomanPSMT"/>
          <w:szCs w:val="22"/>
          <w:u w:val="single"/>
          <w:lang w:eastAsia="en-US"/>
        </w:rPr>
      </w:pPr>
      <w:r w:rsidRPr="003A5C41">
        <w:rPr>
          <w:rFonts w:eastAsia="TimesNewRomanPSMT"/>
          <w:szCs w:val="22"/>
          <w:u w:val="single"/>
          <w:lang w:eastAsia="en-US"/>
        </w:rPr>
        <w:t>Digoxín</w:t>
      </w:r>
    </w:p>
    <w:p w14:paraId="441AE40A" w14:textId="2C7104EA" w:rsidR="0024527C" w:rsidRPr="003A5C41" w:rsidRDefault="0024527C" w:rsidP="0024527C">
      <w:pPr>
        <w:autoSpaceDE w:val="0"/>
        <w:autoSpaceDN w:val="0"/>
        <w:adjustRightInd w:val="0"/>
        <w:ind w:left="0" w:firstLine="0"/>
        <w:rPr>
          <w:rFonts w:eastAsia="TimesNewRomanPSMT"/>
          <w:szCs w:val="22"/>
          <w:lang w:eastAsia="en-US"/>
        </w:rPr>
      </w:pPr>
      <w:r w:rsidRPr="003A5C41">
        <w:rPr>
          <w:rFonts w:eastAsia="TimesNewRomanPSMT"/>
          <w:szCs w:val="22"/>
          <w:lang w:eastAsia="en-US"/>
        </w:rPr>
        <w:lastRenderedPageBreak/>
        <w:t>Súbežné podávanie lenalidomidu v dávke 10</w:t>
      </w:r>
      <w:r w:rsidR="00BA48A7" w:rsidRPr="003A5C41">
        <w:rPr>
          <w:rFonts w:eastAsia="TimesNewRomanPSMT"/>
          <w:szCs w:val="22"/>
          <w:lang w:eastAsia="en-US"/>
        </w:rPr>
        <w:t> </w:t>
      </w:r>
      <w:r w:rsidRPr="003A5C41">
        <w:rPr>
          <w:rFonts w:eastAsia="TimesNewRomanPSMT"/>
          <w:szCs w:val="22"/>
          <w:lang w:eastAsia="en-US"/>
        </w:rPr>
        <w:t>mg jedenkrát denne zvýšilo expozíciu digoxínu (0,5</w:t>
      </w:r>
      <w:r w:rsidR="00BA48A7" w:rsidRPr="003A5C41">
        <w:rPr>
          <w:rFonts w:eastAsia="TimesNewRomanPSMT"/>
          <w:szCs w:val="22"/>
          <w:lang w:eastAsia="en-US"/>
        </w:rPr>
        <w:t> </w:t>
      </w:r>
      <w:r w:rsidRPr="003A5C41">
        <w:rPr>
          <w:rFonts w:eastAsia="TimesNewRomanPSMT"/>
          <w:szCs w:val="22"/>
          <w:lang w:eastAsia="en-US"/>
        </w:rPr>
        <w:t>mg,</w:t>
      </w:r>
      <w:r w:rsidR="00BA48A7" w:rsidRPr="003A5C41">
        <w:rPr>
          <w:rFonts w:eastAsia="TimesNewRomanPSMT"/>
          <w:szCs w:val="22"/>
          <w:lang w:eastAsia="en-US"/>
        </w:rPr>
        <w:t xml:space="preserve"> </w:t>
      </w:r>
      <w:r w:rsidRPr="003A5C41">
        <w:rPr>
          <w:rFonts w:eastAsia="TimesNewRomanPSMT"/>
          <w:szCs w:val="22"/>
          <w:lang w:eastAsia="en-US"/>
        </w:rPr>
        <w:t>jedn</w:t>
      </w:r>
      <w:r w:rsidR="007C4274">
        <w:rPr>
          <w:rFonts w:eastAsia="TimesNewRomanPSMT"/>
          <w:szCs w:val="22"/>
          <w:lang w:eastAsia="en-US"/>
        </w:rPr>
        <w:t>orazová</w:t>
      </w:r>
      <w:r w:rsidRPr="003A5C41">
        <w:rPr>
          <w:rFonts w:eastAsia="TimesNewRomanPSMT"/>
          <w:szCs w:val="22"/>
          <w:lang w:eastAsia="en-US"/>
        </w:rPr>
        <w:t xml:space="preserve"> dávka) v plazme o 14% s 90% intervalom spoľahlivosti (</w:t>
      </w:r>
      <w:r w:rsidR="007C4274">
        <w:rPr>
          <w:rFonts w:eastAsia="TimesNewRomanPSMT"/>
          <w:szCs w:val="22"/>
          <w:lang w:eastAsia="en-US"/>
        </w:rPr>
        <w:t>IS</w:t>
      </w:r>
      <w:r w:rsidRPr="003A5C41">
        <w:rPr>
          <w:rFonts w:eastAsia="TimesNewRomanPSMT"/>
          <w:szCs w:val="22"/>
          <w:lang w:eastAsia="en-US"/>
        </w:rPr>
        <w:t>) [0,52% –</w:t>
      </w:r>
    </w:p>
    <w:p w14:paraId="56AB3D48" w14:textId="06D65303" w:rsidR="0024527C" w:rsidRPr="003A5C41" w:rsidRDefault="0024527C" w:rsidP="0024527C">
      <w:pPr>
        <w:autoSpaceDE w:val="0"/>
        <w:autoSpaceDN w:val="0"/>
        <w:adjustRightInd w:val="0"/>
        <w:ind w:left="0" w:firstLine="0"/>
        <w:rPr>
          <w:rFonts w:eastAsia="TimesNewRoman"/>
          <w:szCs w:val="22"/>
          <w:u w:val="single"/>
          <w:lang w:eastAsia="en-US"/>
        </w:rPr>
      </w:pPr>
      <w:r w:rsidRPr="003A5C41">
        <w:rPr>
          <w:rFonts w:eastAsia="TimesNewRomanPSMT"/>
          <w:szCs w:val="22"/>
          <w:lang w:eastAsia="en-US"/>
        </w:rPr>
        <w:t xml:space="preserve">28,2%]. Nie je známe, či bude tento vplyv </w:t>
      </w:r>
      <w:r w:rsidR="007C4274">
        <w:rPr>
          <w:rFonts w:eastAsia="TimesNewRomanPSMT"/>
          <w:szCs w:val="22"/>
          <w:lang w:eastAsia="en-US"/>
        </w:rPr>
        <w:t>pri</w:t>
      </w:r>
      <w:r w:rsidRPr="003A5C41">
        <w:rPr>
          <w:rFonts w:eastAsia="TimesNewRomanPSMT"/>
          <w:szCs w:val="22"/>
          <w:lang w:eastAsia="en-US"/>
        </w:rPr>
        <w:t xml:space="preserve"> klinickom použití (vyššie dávky lenalidomidu a súbežná</w:t>
      </w:r>
      <w:r w:rsidR="00BA48A7" w:rsidRPr="003A5C41">
        <w:rPr>
          <w:rFonts w:eastAsia="TimesNewRomanPSMT"/>
          <w:szCs w:val="22"/>
          <w:lang w:eastAsia="en-US"/>
        </w:rPr>
        <w:t xml:space="preserve"> </w:t>
      </w:r>
      <w:r w:rsidRPr="003A5C41">
        <w:rPr>
          <w:rFonts w:eastAsia="TimesNewRomanPSMT"/>
          <w:szCs w:val="22"/>
          <w:lang w:eastAsia="en-US"/>
        </w:rPr>
        <w:t>liečba dexametazónom) odlišný. Preto sa počas liečby lenalidomidom odporúča sledovať koncentrácie</w:t>
      </w:r>
      <w:r w:rsidR="00BA48A7" w:rsidRPr="003A5C41">
        <w:rPr>
          <w:rFonts w:eastAsia="TimesNewRomanPSMT"/>
          <w:szCs w:val="22"/>
          <w:lang w:eastAsia="en-US"/>
        </w:rPr>
        <w:t xml:space="preserve"> </w:t>
      </w:r>
      <w:r w:rsidRPr="003A5C41">
        <w:rPr>
          <w:rFonts w:eastAsia="TimesNewRomanPSMT"/>
          <w:szCs w:val="22"/>
          <w:lang w:eastAsia="en-US"/>
        </w:rPr>
        <w:t>digoxínu.</w:t>
      </w:r>
    </w:p>
    <w:p w14:paraId="025AD158" w14:textId="77777777" w:rsidR="0024527C" w:rsidRPr="003A5C41" w:rsidRDefault="0024527C" w:rsidP="00224C34">
      <w:pPr>
        <w:autoSpaceDE w:val="0"/>
        <w:autoSpaceDN w:val="0"/>
        <w:adjustRightInd w:val="0"/>
        <w:ind w:left="0" w:firstLine="0"/>
        <w:rPr>
          <w:rFonts w:eastAsia="TimesNewRoman"/>
          <w:szCs w:val="22"/>
          <w:u w:val="single"/>
          <w:lang w:eastAsia="en-US"/>
        </w:rPr>
      </w:pPr>
    </w:p>
    <w:p w14:paraId="711DDCCE" w14:textId="77777777" w:rsidR="00BA48A7" w:rsidRPr="003A5C41" w:rsidRDefault="00BA48A7" w:rsidP="00BA48A7">
      <w:pPr>
        <w:autoSpaceDE w:val="0"/>
        <w:autoSpaceDN w:val="0"/>
        <w:adjustRightInd w:val="0"/>
        <w:ind w:left="0" w:firstLine="0"/>
        <w:rPr>
          <w:szCs w:val="22"/>
          <w:u w:val="single"/>
          <w:lang w:eastAsia="en-US"/>
        </w:rPr>
      </w:pPr>
      <w:r w:rsidRPr="003A5C41">
        <w:rPr>
          <w:szCs w:val="22"/>
          <w:u w:val="single"/>
          <w:lang w:eastAsia="en-US"/>
        </w:rPr>
        <w:t>Statíny</w:t>
      </w:r>
    </w:p>
    <w:p w14:paraId="21ACC1C0" w14:textId="77777777" w:rsidR="00BA48A7" w:rsidRPr="003A5C41" w:rsidRDefault="00BA48A7" w:rsidP="00BA48A7">
      <w:pPr>
        <w:autoSpaceDE w:val="0"/>
        <w:autoSpaceDN w:val="0"/>
        <w:adjustRightInd w:val="0"/>
        <w:ind w:left="0" w:firstLine="0"/>
        <w:rPr>
          <w:szCs w:val="22"/>
          <w:lang w:eastAsia="en-US"/>
        </w:rPr>
      </w:pPr>
      <w:r w:rsidRPr="003A5C41">
        <w:rPr>
          <w:szCs w:val="22"/>
          <w:lang w:eastAsia="en-US"/>
        </w:rPr>
        <w:t>Pri podávaní statínov s lenalidomidom bolo pozorované zvý</w:t>
      </w:r>
      <w:r w:rsidRPr="003A5C41">
        <w:rPr>
          <w:rFonts w:eastAsia="TimesNewRomanPSMT"/>
          <w:szCs w:val="22"/>
          <w:lang w:eastAsia="en-US"/>
        </w:rPr>
        <w:t>š</w:t>
      </w:r>
      <w:r w:rsidRPr="003A5C41">
        <w:rPr>
          <w:szCs w:val="22"/>
          <w:lang w:eastAsia="en-US"/>
        </w:rPr>
        <w:t xml:space="preserve">ené riziko rabdomyolýzy, ktoré je </w:t>
      </w:r>
      <w:r w:rsidRPr="003A5C41">
        <w:rPr>
          <w:rFonts w:eastAsia="TimesNewRomanPSMT"/>
          <w:szCs w:val="22"/>
          <w:lang w:eastAsia="en-US"/>
        </w:rPr>
        <w:t xml:space="preserve">pravdepodobne aditívne. Najmä počas prvých týždňov liečby je preto vhodné zvýšené klinické a </w:t>
      </w:r>
      <w:r w:rsidRPr="003A5C41">
        <w:rPr>
          <w:szCs w:val="22"/>
          <w:lang w:eastAsia="en-US"/>
        </w:rPr>
        <w:t>laboratórne sledovanie.</w:t>
      </w:r>
    </w:p>
    <w:p w14:paraId="7B91B757" w14:textId="77777777" w:rsidR="00BA48A7" w:rsidRPr="003A5C41" w:rsidRDefault="00BA48A7" w:rsidP="00BA48A7">
      <w:pPr>
        <w:autoSpaceDE w:val="0"/>
        <w:autoSpaceDN w:val="0"/>
        <w:adjustRightInd w:val="0"/>
        <w:ind w:left="0" w:firstLine="0"/>
        <w:rPr>
          <w:szCs w:val="22"/>
          <w:lang w:eastAsia="en-US"/>
        </w:rPr>
      </w:pPr>
    </w:p>
    <w:p w14:paraId="20338795" w14:textId="77777777" w:rsidR="00BA48A7" w:rsidRPr="003A5C41" w:rsidRDefault="00BA48A7" w:rsidP="00BA48A7">
      <w:pPr>
        <w:autoSpaceDE w:val="0"/>
        <w:autoSpaceDN w:val="0"/>
        <w:adjustRightInd w:val="0"/>
        <w:ind w:left="0" w:firstLine="0"/>
        <w:rPr>
          <w:szCs w:val="22"/>
          <w:u w:val="single"/>
          <w:lang w:eastAsia="en-US"/>
        </w:rPr>
      </w:pPr>
      <w:r w:rsidRPr="003A5C41">
        <w:rPr>
          <w:szCs w:val="22"/>
          <w:u w:val="single"/>
          <w:lang w:eastAsia="en-US"/>
        </w:rPr>
        <w:t>Dexametazón</w:t>
      </w:r>
    </w:p>
    <w:p w14:paraId="73E52615" w14:textId="7DDC208E" w:rsidR="00BA48A7" w:rsidRPr="003A5C41" w:rsidRDefault="00BA48A7" w:rsidP="00BA48A7">
      <w:pPr>
        <w:autoSpaceDE w:val="0"/>
        <w:autoSpaceDN w:val="0"/>
        <w:adjustRightInd w:val="0"/>
        <w:ind w:left="0" w:firstLine="0"/>
        <w:rPr>
          <w:szCs w:val="22"/>
          <w:lang w:eastAsia="en-US"/>
        </w:rPr>
      </w:pPr>
      <w:r w:rsidRPr="003A5C41">
        <w:rPr>
          <w:szCs w:val="22"/>
          <w:lang w:eastAsia="en-US"/>
        </w:rPr>
        <w:t>Súbe</w:t>
      </w:r>
      <w:r w:rsidRPr="003A5C41">
        <w:rPr>
          <w:rFonts w:eastAsia="TimesNewRomanPSMT"/>
          <w:szCs w:val="22"/>
          <w:lang w:eastAsia="en-US"/>
        </w:rPr>
        <w:t>ž</w:t>
      </w:r>
      <w:r w:rsidRPr="003A5C41">
        <w:rPr>
          <w:szCs w:val="22"/>
          <w:lang w:eastAsia="en-US"/>
        </w:rPr>
        <w:t>né podávanie jedno</w:t>
      </w:r>
      <w:r w:rsidR="007C4274">
        <w:rPr>
          <w:szCs w:val="22"/>
          <w:lang w:eastAsia="en-US"/>
        </w:rPr>
        <w:t>razovej</w:t>
      </w:r>
      <w:r w:rsidRPr="003A5C41">
        <w:rPr>
          <w:szCs w:val="22"/>
          <w:lang w:eastAsia="en-US"/>
        </w:rPr>
        <w:t xml:space="preserve"> dávky alebo </w:t>
      </w:r>
      <w:r w:rsidR="007C4274">
        <w:rPr>
          <w:szCs w:val="22"/>
          <w:lang w:eastAsia="en-US"/>
        </w:rPr>
        <w:t>opakovaných</w:t>
      </w:r>
      <w:r w:rsidRPr="003A5C41">
        <w:rPr>
          <w:szCs w:val="22"/>
          <w:lang w:eastAsia="en-US"/>
        </w:rPr>
        <w:t xml:space="preserve"> dávok dexametazónu (40 mg jedenkrát denne) </w:t>
      </w:r>
      <w:r w:rsidRPr="003A5C41">
        <w:rPr>
          <w:rFonts w:eastAsia="TimesNewRomanPSMT"/>
          <w:szCs w:val="22"/>
          <w:lang w:eastAsia="en-US"/>
        </w:rPr>
        <w:t xml:space="preserve">nemá klinicky významný účinok na farmakokinetiku </w:t>
      </w:r>
      <w:r w:rsidR="007C4274">
        <w:rPr>
          <w:rFonts w:eastAsia="TimesNewRomanPSMT"/>
          <w:szCs w:val="22"/>
          <w:lang w:eastAsia="en-US"/>
        </w:rPr>
        <w:t>opakovaných</w:t>
      </w:r>
      <w:r w:rsidRPr="003A5C41">
        <w:rPr>
          <w:rFonts w:eastAsia="TimesNewRomanPSMT"/>
          <w:szCs w:val="22"/>
          <w:lang w:eastAsia="en-US"/>
        </w:rPr>
        <w:t xml:space="preserve"> dávok lenalidomidu (25 mg </w:t>
      </w:r>
      <w:r w:rsidRPr="003A5C41">
        <w:rPr>
          <w:szCs w:val="22"/>
          <w:lang w:eastAsia="en-US"/>
        </w:rPr>
        <w:t>jedenkrát denne).</w:t>
      </w:r>
    </w:p>
    <w:p w14:paraId="38F2F45B" w14:textId="77777777" w:rsidR="00BA48A7" w:rsidRPr="003A5C41" w:rsidRDefault="00BA48A7" w:rsidP="00BA48A7">
      <w:pPr>
        <w:autoSpaceDE w:val="0"/>
        <w:autoSpaceDN w:val="0"/>
        <w:adjustRightInd w:val="0"/>
        <w:ind w:left="0" w:firstLine="0"/>
        <w:rPr>
          <w:szCs w:val="22"/>
          <w:lang w:eastAsia="en-US"/>
        </w:rPr>
      </w:pPr>
    </w:p>
    <w:p w14:paraId="5B95234B" w14:textId="77777777" w:rsidR="00BA48A7" w:rsidRPr="003A5C41" w:rsidRDefault="00BA48A7" w:rsidP="00BA48A7">
      <w:pPr>
        <w:autoSpaceDE w:val="0"/>
        <w:autoSpaceDN w:val="0"/>
        <w:adjustRightInd w:val="0"/>
        <w:ind w:left="0" w:firstLine="0"/>
        <w:rPr>
          <w:szCs w:val="22"/>
          <w:u w:val="single"/>
          <w:lang w:eastAsia="en-US"/>
        </w:rPr>
      </w:pPr>
      <w:r w:rsidRPr="003A5C41">
        <w:rPr>
          <w:szCs w:val="22"/>
          <w:u w:val="single"/>
          <w:lang w:eastAsia="en-US"/>
        </w:rPr>
        <w:t>Interakcie s inhibítormi P-glykoproteínu (P-gp)</w:t>
      </w:r>
    </w:p>
    <w:p w14:paraId="0377E518" w14:textId="00D9D4B0" w:rsidR="0024527C" w:rsidRPr="003A5C41" w:rsidRDefault="00BA48A7" w:rsidP="00BA48A7">
      <w:pPr>
        <w:autoSpaceDE w:val="0"/>
        <w:autoSpaceDN w:val="0"/>
        <w:adjustRightInd w:val="0"/>
        <w:ind w:left="0" w:firstLine="0"/>
        <w:rPr>
          <w:rFonts w:eastAsia="TimesNewRoman"/>
          <w:szCs w:val="22"/>
          <w:u w:val="single"/>
          <w:lang w:eastAsia="en-US"/>
        </w:rPr>
      </w:pPr>
      <w:r w:rsidRPr="003A5C41">
        <w:rPr>
          <w:i/>
          <w:iCs/>
          <w:szCs w:val="22"/>
          <w:lang w:eastAsia="en-US"/>
        </w:rPr>
        <w:t xml:space="preserve">In vitro </w:t>
      </w:r>
      <w:r w:rsidRPr="003A5C41">
        <w:rPr>
          <w:szCs w:val="22"/>
          <w:lang w:eastAsia="en-US"/>
        </w:rPr>
        <w:t>je lenalidomid substrátom P-gp, nie je v</w:t>
      </w:r>
      <w:r w:rsidRPr="003A5C41">
        <w:rPr>
          <w:rFonts w:eastAsia="TimesNewRomanPSMT"/>
          <w:szCs w:val="22"/>
          <w:lang w:eastAsia="en-US"/>
        </w:rPr>
        <w:t>š</w:t>
      </w:r>
      <w:r w:rsidRPr="003A5C41">
        <w:rPr>
          <w:szCs w:val="22"/>
          <w:lang w:eastAsia="en-US"/>
        </w:rPr>
        <w:t>ak inhibítorom P-gp. Súbe</w:t>
      </w:r>
      <w:r w:rsidRPr="003A5C41">
        <w:rPr>
          <w:rFonts w:eastAsia="TimesNewRomanPSMT"/>
          <w:szCs w:val="22"/>
          <w:lang w:eastAsia="en-US"/>
        </w:rPr>
        <w:t>ž</w:t>
      </w:r>
      <w:r w:rsidRPr="003A5C41">
        <w:rPr>
          <w:szCs w:val="22"/>
          <w:lang w:eastAsia="en-US"/>
        </w:rPr>
        <w:t xml:space="preserve">né podávanie </w:t>
      </w:r>
      <w:r w:rsidR="007C4274">
        <w:rPr>
          <w:szCs w:val="22"/>
          <w:lang w:eastAsia="en-US"/>
        </w:rPr>
        <w:t>opakovaných</w:t>
      </w:r>
      <w:r w:rsidRPr="003A5C41">
        <w:rPr>
          <w:szCs w:val="22"/>
          <w:lang w:eastAsia="en-US"/>
        </w:rPr>
        <w:t xml:space="preserve"> dávok silného inhibítora P-gp chinidínu (600 mg, dvakrát denne) alebo mierneho inhibítora/substrátu </w:t>
      </w:r>
      <w:r w:rsidRPr="003A5C41">
        <w:rPr>
          <w:rFonts w:eastAsia="TimesNewRomanPSMT"/>
          <w:szCs w:val="22"/>
          <w:lang w:eastAsia="en-US"/>
        </w:rPr>
        <w:t>gp temsirolimu (25 mg) nemá klinicky významný účinok na farmakokinetiku lenalidomidu (25 mg). Súbežné podávanie lenalidomidu nemení farmakokinetiku temsirolimu.</w:t>
      </w:r>
    </w:p>
    <w:p w14:paraId="299C6BF6" w14:textId="77777777" w:rsidR="0024527C" w:rsidRPr="003A5C41" w:rsidRDefault="0024527C" w:rsidP="00224C34">
      <w:pPr>
        <w:autoSpaceDE w:val="0"/>
        <w:autoSpaceDN w:val="0"/>
        <w:adjustRightInd w:val="0"/>
        <w:ind w:left="0" w:firstLine="0"/>
        <w:rPr>
          <w:rFonts w:eastAsia="TimesNewRoman"/>
          <w:szCs w:val="22"/>
          <w:u w:val="single"/>
          <w:lang w:eastAsia="en-US"/>
        </w:rPr>
      </w:pPr>
    </w:p>
    <w:p w14:paraId="70E69694" w14:textId="77777777" w:rsidR="00990F68" w:rsidRPr="003A5C41" w:rsidRDefault="00990F68" w:rsidP="00C92B0B">
      <w:pPr>
        <w:rPr>
          <w:b/>
          <w:szCs w:val="22"/>
        </w:rPr>
      </w:pPr>
      <w:r w:rsidRPr="003A5C41">
        <w:rPr>
          <w:b/>
          <w:szCs w:val="22"/>
        </w:rPr>
        <w:t>4.6</w:t>
      </w:r>
      <w:r w:rsidR="00636C42" w:rsidRPr="003A5C41">
        <w:rPr>
          <w:b/>
          <w:szCs w:val="22"/>
        </w:rPr>
        <w:tab/>
      </w:r>
      <w:r w:rsidRPr="003A5C41">
        <w:rPr>
          <w:b/>
          <w:szCs w:val="22"/>
        </w:rPr>
        <w:t>Fertilita, gravidita a laktácia</w:t>
      </w:r>
    </w:p>
    <w:p w14:paraId="592BA047" w14:textId="77777777" w:rsidR="00555D28" w:rsidRPr="003A5C41" w:rsidRDefault="00555D28" w:rsidP="00C92B0B">
      <w:pPr>
        <w:ind w:left="0" w:firstLine="0"/>
        <w:rPr>
          <w:szCs w:val="22"/>
        </w:rPr>
      </w:pPr>
    </w:p>
    <w:p w14:paraId="79B0AF03" w14:textId="3FC10308" w:rsidR="000F6B6A" w:rsidRPr="003A5C41" w:rsidRDefault="000F6B6A" w:rsidP="000F6B6A">
      <w:pPr>
        <w:autoSpaceDE w:val="0"/>
        <w:autoSpaceDN w:val="0"/>
        <w:adjustRightInd w:val="0"/>
        <w:ind w:left="0" w:firstLine="0"/>
        <w:rPr>
          <w:rFonts w:eastAsia="TimesNewRomanPSMT"/>
          <w:szCs w:val="22"/>
          <w:lang w:eastAsia="en-US"/>
        </w:rPr>
      </w:pPr>
      <w:r w:rsidRPr="003A5C41">
        <w:rPr>
          <w:rFonts w:eastAsia="TimesNewRomanPSMT"/>
          <w:szCs w:val="22"/>
          <w:lang w:eastAsia="en-US"/>
        </w:rPr>
        <w:t xml:space="preserve">S ohľadom na teratogénny potenciál sa musí lenalidomid predpisovať v súlade s Programom prevencie gravidity (pozri časť 4.4), pokiaľ neexistuje spoľahlivý dôkaz, že </w:t>
      </w:r>
      <w:r w:rsidR="007C4274">
        <w:rPr>
          <w:rFonts w:eastAsia="TimesNewRomanPSMT"/>
          <w:szCs w:val="22"/>
          <w:lang w:eastAsia="en-US"/>
        </w:rPr>
        <w:t>pacientka</w:t>
      </w:r>
      <w:r w:rsidRPr="003A5C41">
        <w:rPr>
          <w:rFonts w:eastAsia="TimesNewRomanPSMT"/>
          <w:szCs w:val="22"/>
          <w:lang w:eastAsia="en-US"/>
        </w:rPr>
        <w:t xml:space="preserve"> nemôže otehotnieť.</w:t>
      </w:r>
    </w:p>
    <w:p w14:paraId="0A370386" w14:textId="77777777" w:rsidR="000F6B6A" w:rsidRPr="003A5C41" w:rsidRDefault="000F6B6A" w:rsidP="000F6B6A">
      <w:pPr>
        <w:autoSpaceDE w:val="0"/>
        <w:autoSpaceDN w:val="0"/>
        <w:adjustRightInd w:val="0"/>
        <w:ind w:left="0" w:firstLine="0"/>
        <w:rPr>
          <w:rFonts w:eastAsia="TimesNewRomanPSMT"/>
          <w:szCs w:val="22"/>
          <w:lang w:eastAsia="en-US"/>
        </w:rPr>
      </w:pPr>
    </w:p>
    <w:p w14:paraId="7B8EE1D9" w14:textId="77777777" w:rsidR="000F6B6A" w:rsidRPr="003A5C41" w:rsidRDefault="000F6B6A" w:rsidP="000F6B6A">
      <w:pPr>
        <w:autoSpaceDE w:val="0"/>
        <w:autoSpaceDN w:val="0"/>
        <w:adjustRightInd w:val="0"/>
        <w:ind w:left="0" w:firstLine="0"/>
        <w:rPr>
          <w:rFonts w:eastAsia="TimesNewRomanPSMT"/>
          <w:szCs w:val="22"/>
          <w:u w:val="single"/>
          <w:lang w:eastAsia="en-US"/>
        </w:rPr>
      </w:pPr>
      <w:r w:rsidRPr="003A5C41">
        <w:rPr>
          <w:rFonts w:eastAsia="TimesNewRomanPSMT"/>
          <w:szCs w:val="22"/>
          <w:u w:val="single"/>
          <w:lang w:eastAsia="en-US"/>
        </w:rPr>
        <w:t>Ženy, ktoré môžu otehotnieť/Antikoncepcia u mužov a žien</w:t>
      </w:r>
    </w:p>
    <w:p w14:paraId="337B4E8C" w14:textId="4CD48724" w:rsidR="000F6B6A" w:rsidRPr="003A5C41" w:rsidRDefault="000F6B6A" w:rsidP="000F6B6A">
      <w:pPr>
        <w:autoSpaceDE w:val="0"/>
        <w:autoSpaceDN w:val="0"/>
        <w:adjustRightInd w:val="0"/>
        <w:ind w:left="0" w:firstLine="0"/>
        <w:rPr>
          <w:rFonts w:eastAsia="TimesNewRomanPSMT"/>
          <w:szCs w:val="22"/>
          <w:lang w:eastAsia="en-US"/>
        </w:rPr>
      </w:pPr>
      <w:r w:rsidRPr="003A5C41">
        <w:rPr>
          <w:rFonts w:eastAsia="TimesNewRomanPSMT"/>
          <w:szCs w:val="22"/>
          <w:lang w:eastAsia="en-US"/>
        </w:rPr>
        <w:t xml:space="preserve">Ženy, ktoré môžu otehotnieť, musia používať účinnú metódu antikoncepcie. Ak dôjde u ženy liečenej lenalidomidom ku gravidite, liečba sa musí ukončiť a pacientka sa má odporučiť k </w:t>
      </w:r>
      <w:r w:rsidR="007C4274" w:rsidRPr="007C4274">
        <w:rPr>
          <w:rFonts w:eastAsia="TimesNewRomanPSMT"/>
          <w:szCs w:val="22"/>
          <w:lang w:eastAsia="en-US"/>
        </w:rPr>
        <w:t>lekárovi so špecializáciou alebo skúsenosťami</w:t>
      </w:r>
      <w:r w:rsidR="007C4274" w:rsidRPr="007C4274" w:rsidDel="007C4274">
        <w:rPr>
          <w:rFonts w:eastAsia="TimesNewRomanPSMT"/>
          <w:szCs w:val="22"/>
          <w:lang w:eastAsia="en-US"/>
        </w:rPr>
        <w:t xml:space="preserve"> </w:t>
      </w:r>
      <w:r w:rsidRPr="003A5C41">
        <w:rPr>
          <w:rFonts w:eastAsia="TimesNewRomanPSMT"/>
          <w:szCs w:val="22"/>
          <w:lang w:eastAsia="en-US"/>
        </w:rPr>
        <w:t xml:space="preserve">z odboru teratológie, ktorý poskytne </w:t>
      </w:r>
      <w:r w:rsidR="007C4274">
        <w:rPr>
          <w:rFonts w:eastAsia="TimesNewRomanPSMT"/>
          <w:szCs w:val="22"/>
          <w:lang w:eastAsia="en-US"/>
        </w:rPr>
        <w:t xml:space="preserve">zhodnotenie a </w:t>
      </w:r>
      <w:r w:rsidRPr="003A5C41">
        <w:rPr>
          <w:rFonts w:eastAsia="TimesNewRomanPSMT"/>
          <w:szCs w:val="22"/>
          <w:lang w:eastAsia="en-US"/>
        </w:rPr>
        <w:t xml:space="preserve">poradenstvo. Ak dôjde ku gravidite u partnerky pacienta liečeného lenalidomidom, jeho partnerka má </w:t>
      </w:r>
      <w:r w:rsidR="007C4274">
        <w:rPr>
          <w:rFonts w:eastAsia="TimesNewRomanPSMT"/>
          <w:szCs w:val="22"/>
          <w:lang w:eastAsia="en-US"/>
        </w:rPr>
        <w:t xml:space="preserve">byť </w:t>
      </w:r>
      <w:r w:rsidRPr="003A5C41">
        <w:rPr>
          <w:rFonts w:eastAsia="TimesNewRomanPSMT"/>
          <w:szCs w:val="22"/>
          <w:lang w:eastAsia="en-US"/>
        </w:rPr>
        <w:t>odporuč</w:t>
      </w:r>
      <w:r w:rsidR="007C4274">
        <w:rPr>
          <w:rFonts w:eastAsia="TimesNewRomanPSMT"/>
          <w:szCs w:val="22"/>
          <w:lang w:eastAsia="en-US"/>
        </w:rPr>
        <w:t>ená</w:t>
      </w:r>
      <w:r w:rsidRPr="003A5C41">
        <w:rPr>
          <w:rFonts w:eastAsia="TimesNewRomanPSMT"/>
          <w:szCs w:val="22"/>
          <w:lang w:eastAsia="en-US"/>
        </w:rPr>
        <w:t xml:space="preserve"> k </w:t>
      </w:r>
      <w:r w:rsidR="007C4274" w:rsidRPr="007C4274">
        <w:rPr>
          <w:rFonts w:eastAsia="TimesNewRomanPSMT"/>
          <w:szCs w:val="22"/>
          <w:lang w:eastAsia="en-US"/>
        </w:rPr>
        <w:t>lekárovi so šp</w:t>
      </w:r>
      <w:r w:rsidR="007C4274">
        <w:rPr>
          <w:rFonts w:eastAsia="TimesNewRomanPSMT"/>
          <w:szCs w:val="22"/>
          <w:lang w:eastAsia="en-US"/>
        </w:rPr>
        <w:t>ecializáciou alebo skúsenosťami</w:t>
      </w:r>
      <w:r w:rsidRPr="003A5C41">
        <w:rPr>
          <w:rFonts w:eastAsia="TimesNewRomanPSMT"/>
          <w:szCs w:val="22"/>
          <w:lang w:eastAsia="en-US"/>
        </w:rPr>
        <w:t xml:space="preserve"> z odboru teratológie, ktorý poskytne </w:t>
      </w:r>
      <w:r w:rsidR="007C4274">
        <w:rPr>
          <w:rFonts w:eastAsia="TimesNewRomanPSMT"/>
          <w:szCs w:val="22"/>
          <w:lang w:eastAsia="en-US"/>
        </w:rPr>
        <w:t xml:space="preserve">zhodnotenie a </w:t>
      </w:r>
      <w:r w:rsidRPr="003A5C41">
        <w:rPr>
          <w:rFonts w:eastAsia="TimesNewRomanPSMT"/>
          <w:szCs w:val="22"/>
          <w:lang w:eastAsia="en-US"/>
        </w:rPr>
        <w:t>poradenstvo.</w:t>
      </w:r>
    </w:p>
    <w:p w14:paraId="1C812F7F" w14:textId="77777777" w:rsidR="000F6B6A" w:rsidRPr="003A5C41" w:rsidRDefault="000F6B6A" w:rsidP="000F6B6A">
      <w:pPr>
        <w:autoSpaceDE w:val="0"/>
        <w:autoSpaceDN w:val="0"/>
        <w:adjustRightInd w:val="0"/>
        <w:ind w:left="0" w:firstLine="0"/>
        <w:rPr>
          <w:rFonts w:eastAsia="TimesNewRomanPSMT"/>
          <w:szCs w:val="22"/>
          <w:lang w:eastAsia="en-US"/>
        </w:rPr>
      </w:pPr>
    </w:p>
    <w:p w14:paraId="2307DE6D" w14:textId="77777777" w:rsidR="000F6B6A" w:rsidRPr="003A5C41" w:rsidRDefault="000F6B6A" w:rsidP="000F6B6A">
      <w:pPr>
        <w:autoSpaceDE w:val="0"/>
        <w:autoSpaceDN w:val="0"/>
        <w:adjustRightInd w:val="0"/>
        <w:ind w:left="0" w:firstLine="0"/>
        <w:rPr>
          <w:rFonts w:eastAsia="TimesNewRomanPSMT"/>
          <w:szCs w:val="22"/>
          <w:lang w:eastAsia="en-US"/>
        </w:rPr>
      </w:pPr>
      <w:r w:rsidRPr="003A5C41">
        <w:rPr>
          <w:rFonts w:eastAsia="TimesNewRomanPSMT"/>
          <w:szCs w:val="22"/>
          <w:lang w:eastAsia="en-US"/>
        </w:rPr>
        <w:t>Počas liečby je lenalidomid prítomný v ľudskej sperme vo veľmi malom množstve a u zdravých jedincov</w:t>
      </w:r>
      <w:r w:rsidR="002879D2" w:rsidRPr="003A5C41">
        <w:rPr>
          <w:rFonts w:eastAsia="TimesNewRomanPSMT"/>
          <w:szCs w:val="22"/>
          <w:lang w:eastAsia="en-US"/>
        </w:rPr>
        <w:t xml:space="preserve"> </w:t>
      </w:r>
      <w:r w:rsidRPr="003A5C41">
        <w:rPr>
          <w:rFonts w:eastAsia="TimesNewRomanPSMT"/>
          <w:szCs w:val="22"/>
          <w:lang w:eastAsia="en-US"/>
        </w:rPr>
        <w:t>je nedetekovateľný v ľudskej sperme 3 dni po ukončení jeho užívania (pozri časť 5.2). V</w:t>
      </w:r>
      <w:r w:rsidR="002879D2" w:rsidRPr="003A5C41">
        <w:rPr>
          <w:rFonts w:eastAsia="TimesNewRomanPSMT"/>
          <w:szCs w:val="22"/>
          <w:lang w:eastAsia="en-US"/>
        </w:rPr>
        <w:t> </w:t>
      </w:r>
      <w:r w:rsidRPr="003A5C41">
        <w:rPr>
          <w:rFonts w:eastAsia="TimesNewRomanPSMT"/>
          <w:szCs w:val="22"/>
          <w:lang w:eastAsia="en-US"/>
        </w:rPr>
        <w:t>rámci prevencie</w:t>
      </w:r>
      <w:r w:rsidR="002879D2" w:rsidRPr="003A5C41">
        <w:rPr>
          <w:rFonts w:eastAsia="TimesNewRomanPSMT"/>
          <w:szCs w:val="22"/>
          <w:lang w:eastAsia="en-US"/>
        </w:rPr>
        <w:t xml:space="preserve"> </w:t>
      </w:r>
      <w:r w:rsidRPr="003A5C41">
        <w:rPr>
          <w:rFonts w:eastAsia="TimesNewRomanPSMT"/>
          <w:szCs w:val="22"/>
          <w:lang w:eastAsia="en-US"/>
        </w:rPr>
        <w:t>a vzhľadom na osobitné populácie s predĺženou elimináciou, ako napr. pri poruche funkcie obličiek, majú</w:t>
      </w:r>
      <w:r w:rsidR="002879D2" w:rsidRPr="003A5C41">
        <w:rPr>
          <w:rFonts w:eastAsia="TimesNewRomanPSMT"/>
          <w:szCs w:val="22"/>
          <w:lang w:eastAsia="en-US"/>
        </w:rPr>
        <w:t xml:space="preserve"> </w:t>
      </w:r>
      <w:r w:rsidRPr="003A5C41">
        <w:rPr>
          <w:rFonts w:eastAsia="TimesNewRomanPSMT"/>
          <w:szCs w:val="22"/>
          <w:lang w:eastAsia="en-US"/>
        </w:rPr>
        <w:t>všetci muži užívajúci lenalidomid používať kondómy počas celého trvania liečby, počas jej prerušenia</w:t>
      </w:r>
      <w:r w:rsidR="002879D2" w:rsidRPr="003A5C41">
        <w:rPr>
          <w:rFonts w:eastAsia="TimesNewRomanPSMT"/>
          <w:szCs w:val="22"/>
          <w:lang w:eastAsia="en-US"/>
        </w:rPr>
        <w:t xml:space="preserve"> </w:t>
      </w:r>
      <w:r w:rsidRPr="003A5C41">
        <w:rPr>
          <w:rFonts w:eastAsia="TimesNewRomanPSMT"/>
          <w:szCs w:val="22"/>
          <w:lang w:eastAsia="en-US"/>
        </w:rPr>
        <w:t>a počas 1 týždňa po ukončení liečby, ak je ich partnerka tehotná alebo môže otehotnieť a nepoužíva</w:t>
      </w:r>
      <w:r w:rsidR="002879D2" w:rsidRPr="003A5C41">
        <w:rPr>
          <w:rFonts w:eastAsia="TimesNewRomanPSMT"/>
          <w:szCs w:val="22"/>
          <w:lang w:eastAsia="en-US"/>
        </w:rPr>
        <w:t xml:space="preserve"> </w:t>
      </w:r>
      <w:r w:rsidRPr="003A5C41">
        <w:rPr>
          <w:rFonts w:eastAsia="TimesNewRomanPSMT"/>
          <w:szCs w:val="22"/>
          <w:lang w:eastAsia="en-US"/>
        </w:rPr>
        <w:t>antikoncepciu.</w:t>
      </w:r>
    </w:p>
    <w:p w14:paraId="7FECB36A" w14:textId="77777777" w:rsidR="002879D2" w:rsidRPr="003A5C41" w:rsidRDefault="002879D2" w:rsidP="000F6B6A">
      <w:pPr>
        <w:autoSpaceDE w:val="0"/>
        <w:autoSpaceDN w:val="0"/>
        <w:adjustRightInd w:val="0"/>
        <w:ind w:left="0" w:firstLine="0"/>
        <w:rPr>
          <w:rFonts w:eastAsia="TimesNewRomanPSMT"/>
          <w:szCs w:val="22"/>
          <w:lang w:eastAsia="en-US"/>
        </w:rPr>
      </w:pPr>
    </w:p>
    <w:p w14:paraId="36ABF613" w14:textId="77777777" w:rsidR="000F6B6A" w:rsidRPr="003A5C41" w:rsidRDefault="000F6B6A" w:rsidP="000F6B6A">
      <w:pPr>
        <w:autoSpaceDE w:val="0"/>
        <w:autoSpaceDN w:val="0"/>
        <w:adjustRightInd w:val="0"/>
        <w:ind w:left="0" w:firstLine="0"/>
        <w:rPr>
          <w:rFonts w:eastAsia="TimesNewRomanPSMT"/>
          <w:szCs w:val="22"/>
          <w:u w:val="single"/>
          <w:lang w:eastAsia="en-US"/>
        </w:rPr>
      </w:pPr>
      <w:r w:rsidRPr="003A5C41">
        <w:rPr>
          <w:rFonts w:eastAsia="TimesNewRomanPSMT"/>
          <w:szCs w:val="22"/>
          <w:u w:val="single"/>
          <w:lang w:eastAsia="en-US"/>
        </w:rPr>
        <w:t>Gravidita</w:t>
      </w:r>
    </w:p>
    <w:p w14:paraId="7E0C0772" w14:textId="5E7710B3" w:rsidR="000F6B6A" w:rsidRPr="003A5C41" w:rsidRDefault="000F6B6A" w:rsidP="000F6B6A">
      <w:pPr>
        <w:autoSpaceDE w:val="0"/>
        <w:autoSpaceDN w:val="0"/>
        <w:adjustRightInd w:val="0"/>
        <w:ind w:left="0" w:firstLine="0"/>
        <w:rPr>
          <w:rFonts w:eastAsia="TimesNewRomanPSMT"/>
          <w:szCs w:val="22"/>
          <w:lang w:eastAsia="en-US"/>
        </w:rPr>
      </w:pPr>
      <w:r w:rsidRPr="003A5C41">
        <w:rPr>
          <w:rFonts w:eastAsia="TimesNewRomanPSMT"/>
          <w:szCs w:val="22"/>
          <w:lang w:eastAsia="en-US"/>
        </w:rPr>
        <w:t xml:space="preserve">Lenalidomid je štrukturálne príbuzný s talidomidom. Talidomid je </w:t>
      </w:r>
      <w:r w:rsidR="007C4274" w:rsidRPr="007C4274">
        <w:rPr>
          <w:rFonts w:eastAsia="TimesNewRomanPSMT"/>
          <w:szCs w:val="22"/>
          <w:lang w:eastAsia="en-US"/>
        </w:rPr>
        <w:t>liečivo so známym teratogénnym účinkom u ľudí</w:t>
      </w:r>
      <w:r w:rsidRPr="003A5C41">
        <w:rPr>
          <w:rFonts w:eastAsia="TimesNewRomanPSMT"/>
          <w:szCs w:val="22"/>
          <w:lang w:eastAsia="en-US"/>
        </w:rPr>
        <w:t>, ktor</w:t>
      </w:r>
      <w:r w:rsidR="007C4274">
        <w:rPr>
          <w:rFonts w:eastAsia="TimesNewRomanPSMT"/>
          <w:szCs w:val="22"/>
          <w:lang w:eastAsia="en-US"/>
        </w:rPr>
        <w:t>é</w:t>
      </w:r>
      <w:r w:rsidRPr="003A5C41">
        <w:rPr>
          <w:rFonts w:eastAsia="TimesNewRomanPSMT"/>
          <w:szCs w:val="22"/>
          <w:lang w:eastAsia="en-US"/>
        </w:rPr>
        <w:t xml:space="preserve"> spôsobuje závažné život ohrozujúce vrodené chyby.</w:t>
      </w:r>
    </w:p>
    <w:p w14:paraId="2E86AABC" w14:textId="77777777" w:rsidR="00B74A74" w:rsidRPr="003A5C41" w:rsidRDefault="00B74A74" w:rsidP="000F6B6A">
      <w:pPr>
        <w:autoSpaceDE w:val="0"/>
        <w:autoSpaceDN w:val="0"/>
        <w:adjustRightInd w:val="0"/>
        <w:ind w:left="0" w:firstLine="0"/>
        <w:rPr>
          <w:rFonts w:eastAsia="TimesNewRomanPSMT"/>
          <w:szCs w:val="22"/>
          <w:lang w:eastAsia="en-US"/>
        </w:rPr>
      </w:pPr>
    </w:p>
    <w:p w14:paraId="7F50ADC2" w14:textId="77777777" w:rsidR="00B74A74" w:rsidRPr="003A5C41" w:rsidRDefault="000F6B6A" w:rsidP="000F6B6A">
      <w:pPr>
        <w:autoSpaceDE w:val="0"/>
        <w:autoSpaceDN w:val="0"/>
        <w:adjustRightInd w:val="0"/>
        <w:ind w:left="0" w:firstLine="0"/>
        <w:rPr>
          <w:rFonts w:eastAsia="TimesNewRomanPSMT"/>
          <w:szCs w:val="22"/>
          <w:lang w:eastAsia="en-US"/>
        </w:rPr>
      </w:pPr>
      <w:r w:rsidRPr="003A5C41">
        <w:rPr>
          <w:rFonts w:eastAsia="TimesNewRomanPSMT"/>
          <w:szCs w:val="22"/>
          <w:lang w:eastAsia="en-US"/>
        </w:rPr>
        <w:t>U opíc spôsobil lenalidomid malformácie podobné tým, ktoré boli popísané pre talidomid (pozri časť</w:t>
      </w:r>
      <w:r w:rsidR="00B74A74" w:rsidRPr="003A5C41">
        <w:rPr>
          <w:rFonts w:eastAsia="TimesNewRomanPSMT"/>
          <w:szCs w:val="22"/>
          <w:lang w:eastAsia="en-US"/>
        </w:rPr>
        <w:t xml:space="preserve"> </w:t>
      </w:r>
      <w:r w:rsidRPr="003A5C41">
        <w:rPr>
          <w:rFonts w:eastAsia="TimesNewRomanPSMT"/>
          <w:szCs w:val="22"/>
          <w:lang w:eastAsia="en-US"/>
        </w:rPr>
        <w:t>5.3). Z tohto dôvodu sa očakáva teratogénny účinok lenalidomidu a lenalidomid je počas gravidity</w:t>
      </w:r>
      <w:r w:rsidR="00B74A74" w:rsidRPr="003A5C41">
        <w:rPr>
          <w:rFonts w:eastAsia="TimesNewRomanPSMT"/>
          <w:szCs w:val="22"/>
          <w:lang w:eastAsia="en-US"/>
        </w:rPr>
        <w:t xml:space="preserve"> </w:t>
      </w:r>
      <w:r w:rsidRPr="003A5C41">
        <w:rPr>
          <w:rFonts w:eastAsia="TimesNewRomanPSMT"/>
          <w:szCs w:val="22"/>
          <w:lang w:eastAsia="en-US"/>
        </w:rPr>
        <w:t>kontraindikovaný (pozri časť 4.3).</w:t>
      </w:r>
    </w:p>
    <w:p w14:paraId="5526E5E9" w14:textId="77777777" w:rsidR="00B74A74" w:rsidRPr="003A5C41" w:rsidRDefault="00B74A74" w:rsidP="000F6B6A">
      <w:pPr>
        <w:autoSpaceDE w:val="0"/>
        <w:autoSpaceDN w:val="0"/>
        <w:adjustRightInd w:val="0"/>
        <w:ind w:left="0" w:firstLine="0"/>
        <w:rPr>
          <w:rFonts w:eastAsia="TimesNewRomanPSMT"/>
          <w:szCs w:val="22"/>
          <w:lang w:eastAsia="en-US"/>
        </w:rPr>
      </w:pPr>
    </w:p>
    <w:p w14:paraId="504EEDFD" w14:textId="77777777" w:rsidR="00B74A74" w:rsidRPr="003A5C41" w:rsidRDefault="00B74A74" w:rsidP="00B74A74">
      <w:pPr>
        <w:autoSpaceDE w:val="0"/>
        <w:autoSpaceDN w:val="0"/>
        <w:adjustRightInd w:val="0"/>
        <w:ind w:left="0" w:firstLine="0"/>
        <w:rPr>
          <w:rFonts w:eastAsia="TimesNewRomanPSMT"/>
          <w:szCs w:val="22"/>
          <w:u w:val="single"/>
          <w:lang w:eastAsia="en-US"/>
        </w:rPr>
      </w:pPr>
      <w:r w:rsidRPr="003A5C41">
        <w:rPr>
          <w:rFonts w:eastAsia="TimesNewRomanPSMT"/>
          <w:szCs w:val="22"/>
          <w:u w:val="single"/>
          <w:lang w:eastAsia="en-US"/>
        </w:rPr>
        <w:t>Dojčenie</w:t>
      </w:r>
    </w:p>
    <w:p w14:paraId="7F0CF4A6" w14:textId="77777777" w:rsidR="00B74A74" w:rsidRPr="003A5C41" w:rsidRDefault="00B74A74" w:rsidP="00B74A74">
      <w:pPr>
        <w:autoSpaceDE w:val="0"/>
        <w:autoSpaceDN w:val="0"/>
        <w:adjustRightInd w:val="0"/>
        <w:ind w:left="0" w:firstLine="0"/>
        <w:rPr>
          <w:rFonts w:eastAsia="TimesNewRomanPSMT"/>
          <w:szCs w:val="22"/>
          <w:lang w:eastAsia="en-US"/>
        </w:rPr>
      </w:pPr>
      <w:r w:rsidRPr="003A5C41">
        <w:rPr>
          <w:rFonts w:eastAsia="TimesNewRomanPSMT"/>
          <w:szCs w:val="22"/>
          <w:lang w:eastAsia="en-US"/>
        </w:rPr>
        <w:t>Nie je známe, či sa lenalidomid vylučuje do ľudského materského mlieka. Dojčenie sa má preto počas liečby lenalidomidom prerušiť.</w:t>
      </w:r>
    </w:p>
    <w:p w14:paraId="2F127A2B" w14:textId="77777777" w:rsidR="00B74A74" w:rsidRPr="003A5C41" w:rsidRDefault="00B74A74" w:rsidP="00B74A74">
      <w:pPr>
        <w:autoSpaceDE w:val="0"/>
        <w:autoSpaceDN w:val="0"/>
        <w:adjustRightInd w:val="0"/>
        <w:ind w:left="0" w:firstLine="0"/>
        <w:rPr>
          <w:rFonts w:eastAsia="TimesNewRomanPSMT"/>
          <w:szCs w:val="22"/>
          <w:lang w:eastAsia="en-US"/>
        </w:rPr>
      </w:pPr>
    </w:p>
    <w:p w14:paraId="72E592D1" w14:textId="77777777" w:rsidR="00B74A74" w:rsidRPr="003A5C41" w:rsidRDefault="00B74A74" w:rsidP="00B74A74">
      <w:pPr>
        <w:autoSpaceDE w:val="0"/>
        <w:autoSpaceDN w:val="0"/>
        <w:adjustRightInd w:val="0"/>
        <w:ind w:left="0" w:firstLine="0"/>
        <w:rPr>
          <w:rFonts w:eastAsia="TimesNewRomanPSMT"/>
          <w:szCs w:val="22"/>
          <w:u w:val="single"/>
          <w:lang w:eastAsia="en-US"/>
        </w:rPr>
      </w:pPr>
      <w:r w:rsidRPr="003A5C41">
        <w:rPr>
          <w:rFonts w:eastAsia="TimesNewRomanPSMT"/>
          <w:szCs w:val="22"/>
          <w:u w:val="single"/>
          <w:lang w:eastAsia="en-US"/>
        </w:rPr>
        <w:t>Fertilita</w:t>
      </w:r>
    </w:p>
    <w:p w14:paraId="6C3E5BE7" w14:textId="18C89CB7" w:rsidR="00B74A74" w:rsidRPr="003A5C41" w:rsidRDefault="00B74A74" w:rsidP="00B74A74">
      <w:pPr>
        <w:autoSpaceDE w:val="0"/>
        <w:autoSpaceDN w:val="0"/>
        <w:adjustRightInd w:val="0"/>
        <w:ind w:left="0" w:firstLine="0"/>
        <w:rPr>
          <w:rFonts w:eastAsia="TimesNewRomanPSMT"/>
          <w:szCs w:val="22"/>
          <w:lang w:eastAsia="en-US"/>
        </w:rPr>
      </w:pPr>
      <w:r w:rsidRPr="003A5C41">
        <w:rPr>
          <w:rFonts w:eastAsia="TimesNewRomanPSMT"/>
          <w:szCs w:val="22"/>
          <w:lang w:eastAsia="en-US"/>
        </w:rPr>
        <w:lastRenderedPageBreak/>
        <w:t>Štúdie fertility u potkanov s lenalidomidom v dávkach až 500 mg/kg (približne 200 až 500-násobok dávok pre človeka, 25 mg a 10 mg, v tomto poradí, podľa povrchu tela) nepreukázali žiadne nežiaduce účinky na fertilitu ani žiadnu toxicitu</w:t>
      </w:r>
      <w:r w:rsidR="007C4274">
        <w:rPr>
          <w:rFonts w:eastAsia="TimesNewRomanPSMT"/>
          <w:szCs w:val="22"/>
          <w:lang w:eastAsia="en-US"/>
        </w:rPr>
        <w:t xml:space="preserve"> u rodičov</w:t>
      </w:r>
      <w:r w:rsidRPr="003A5C41">
        <w:rPr>
          <w:rFonts w:eastAsia="TimesNewRomanPSMT"/>
          <w:szCs w:val="22"/>
          <w:lang w:eastAsia="en-US"/>
        </w:rPr>
        <w:t>.</w:t>
      </w:r>
    </w:p>
    <w:p w14:paraId="2F58900D" w14:textId="77777777" w:rsidR="00B74A74" w:rsidRPr="003A5C41" w:rsidRDefault="00B74A74" w:rsidP="000F6B6A">
      <w:pPr>
        <w:autoSpaceDE w:val="0"/>
        <w:autoSpaceDN w:val="0"/>
        <w:adjustRightInd w:val="0"/>
        <w:ind w:left="0" w:firstLine="0"/>
        <w:rPr>
          <w:rFonts w:eastAsia="TimesNewRomanPSMT"/>
          <w:szCs w:val="22"/>
          <w:lang w:eastAsia="en-US"/>
        </w:rPr>
      </w:pPr>
    </w:p>
    <w:p w14:paraId="739B022F" w14:textId="77777777" w:rsidR="00990F68" w:rsidRPr="003A5C41" w:rsidRDefault="00990F68" w:rsidP="00C92B0B">
      <w:pPr>
        <w:rPr>
          <w:b/>
          <w:szCs w:val="22"/>
        </w:rPr>
      </w:pPr>
      <w:r w:rsidRPr="003A5C41">
        <w:rPr>
          <w:b/>
          <w:szCs w:val="22"/>
        </w:rPr>
        <w:t>4.7</w:t>
      </w:r>
      <w:r w:rsidR="00636C42" w:rsidRPr="003A5C41">
        <w:rPr>
          <w:b/>
          <w:szCs w:val="22"/>
        </w:rPr>
        <w:tab/>
      </w:r>
      <w:r w:rsidRPr="003A5C41">
        <w:rPr>
          <w:b/>
          <w:szCs w:val="22"/>
        </w:rPr>
        <w:t>Ovplyvnenie schopnosti viesť vozidlá a obsluhovať stroje</w:t>
      </w:r>
    </w:p>
    <w:p w14:paraId="1CAFBF82" w14:textId="77777777" w:rsidR="00555D28" w:rsidRPr="003A5C41" w:rsidRDefault="00555D28" w:rsidP="00C92B0B">
      <w:pPr>
        <w:rPr>
          <w:szCs w:val="22"/>
        </w:rPr>
      </w:pPr>
    </w:p>
    <w:p w14:paraId="1D52B093" w14:textId="61F648B5" w:rsidR="00E6281F" w:rsidRPr="003A5C41" w:rsidRDefault="00FF7956" w:rsidP="00FF7956">
      <w:pPr>
        <w:autoSpaceDE w:val="0"/>
        <w:autoSpaceDN w:val="0"/>
        <w:adjustRightInd w:val="0"/>
        <w:ind w:left="0" w:firstLine="0"/>
        <w:rPr>
          <w:szCs w:val="22"/>
        </w:rPr>
      </w:pPr>
      <w:r w:rsidRPr="003A5C41">
        <w:rPr>
          <w:rFonts w:eastAsia="TimesNewRomanPSMT"/>
          <w:szCs w:val="22"/>
          <w:lang w:eastAsia="en-US"/>
        </w:rPr>
        <w:t>Lenalidomid má malý alebo mierny vplyv na schopnosť viesť vozidlá a obsluhovať stroje. Pri užívaní lenalidomidu sa pozorovali príznaky ako je únava, závrat, ospalosť, vertigo a rozmazané videnie. Preto sa pri vedení vozidiel a obsluhovaní strojov odporúča opatrnosť.</w:t>
      </w:r>
    </w:p>
    <w:p w14:paraId="084CC2C9" w14:textId="77777777" w:rsidR="00DE2DE1" w:rsidRPr="003A5C41" w:rsidRDefault="00DE2DE1" w:rsidP="00C92B0B">
      <w:pPr>
        <w:rPr>
          <w:szCs w:val="22"/>
        </w:rPr>
      </w:pPr>
    </w:p>
    <w:p w14:paraId="03D94229" w14:textId="77777777" w:rsidR="00990F68" w:rsidRPr="003A5C41" w:rsidRDefault="00990F68" w:rsidP="00C92B0B">
      <w:pPr>
        <w:rPr>
          <w:b/>
          <w:szCs w:val="22"/>
        </w:rPr>
      </w:pPr>
      <w:r w:rsidRPr="003A5C41">
        <w:rPr>
          <w:b/>
          <w:szCs w:val="22"/>
        </w:rPr>
        <w:t>4.8</w:t>
      </w:r>
      <w:r w:rsidR="00636C42" w:rsidRPr="003A5C41">
        <w:rPr>
          <w:b/>
          <w:szCs w:val="22"/>
        </w:rPr>
        <w:tab/>
      </w:r>
      <w:r w:rsidRPr="003A5C41">
        <w:rPr>
          <w:b/>
          <w:szCs w:val="22"/>
        </w:rPr>
        <w:t>Nežiaduce účinky</w:t>
      </w:r>
    </w:p>
    <w:p w14:paraId="40CBC7A8" w14:textId="77777777" w:rsidR="00CB77D3" w:rsidRPr="00607AC5" w:rsidRDefault="00CB77D3" w:rsidP="00C92B0B">
      <w:pPr>
        <w:rPr>
          <w:szCs w:val="22"/>
          <w:u w:val="single"/>
        </w:rPr>
      </w:pPr>
    </w:p>
    <w:p w14:paraId="64B74AAD" w14:textId="77777777" w:rsidR="00FF7956" w:rsidRPr="00607AC5" w:rsidRDefault="00FF7956" w:rsidP="00FF7956">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Súhrn profilu bezpečnosti</w:t>
      </w:r>
    </w:p>
    <w:p w14:paraId="66B8B619" w14:textId="603C5D69" w:rsidR="00FF7956" w:rsidRPr="00607AC5" w:rsidRDefault="0050037D" w:rsidP="00FF7956">
      <w:pPr>
        <w:autoSpaceDE w:val="0"/>
        <w:autoSpaceDN w:val="0"/>
        <w:adjustRightInd w:val="0"/>
        <w:ind w:left="0" w:firstLine="0"/>
        <w:rPr>
          <w:szCs w:val="22"/>
          <w:u w:val="single"/>
        </w:rPr>
      </w:pPr>
      <w:r>
        <w:rPr>
          <w:rFonts w:eastAsia="TimesNewRomanPSMT"/>
          <w:i/>
          <w:iCs/>
          <w:szCs w:val="22"/>
          <w:lang w:eastAsia="en-US"/>
        </w:rPr>
        <w:t>Novo</w:t>
      </w:r>
      <w:r w:rsidR="00FF7956" w:rsidRPr="00607AC5">
        <w:rPr>
          <w:rFonts w:eastAsia="TimesNewRomanPSMT"/>
          <w:i/>
          <w:iCs/>
          <w:szCs w:val="22"/>
          <w:lang w:eastAsia="en-US"/>
        </w:rPr>
        <w:t>diagnostikovaný mnohopočetný myelóm: pacienti, ktorí podstúpili ASCT, liečení lenalidomidom v udržiavacej dávke</w:t>
      </w:r>
    </w:p>
    <w:p w14:paraId="572EC275" w14:textId="62051DC3" w:rsidR="00C4561A" w:rsidRPr="00607AC5" w:rsidRDefault="00C4561A" w:rsidP="00C4561A">
      <w:pPr>
        <w:autoSpaceDE w:val="0"/>
        <w:autoSpaceDN w:val="0"/>
        <w:adjustRightInd w:val="0"/>
        <w:ind w:left="0" w:firstLine="0"/>
        <w:rPr>
          <w:rFonts w:eastAsia="TimesNewRomanPSMT"/>
          <w:szCs w:val="22"/>
          <w:lang w:eastAsia="en-US"/>
        </w:rPr>
      </w:pPr>
      <w:r w:rsidRPr="00607AC5">
        <w:rPr>
          <w:szCs w:val="22"/>
          <w:lang w:eastAsia="en-US"/>
        </w:rPr>
        <w:t>Na stanovenie ne</w:t>
      </w:r>
      <w:r w:rsidRPr="00607AC5">
        <w:rPr>
          <w:rFonts w:eastAsia="TimesNewRomanPSMT"/>
          <w:szCs w:val="22"/>
          <w:lang w:eastAsia="en-US"/>
        </w:rPr>
        <w:t>ž</w:t>
      </w:r>
      <w:r w:rsidRPr="00607AC5">
        <w:rPr>
          <w:szCs w:val="22"/>
          <w:lang w:eastAsia="en-US"/>
        </w:rPr>
        <w:t xml:space="preserve">iaducich reakcií v </w:t>
      </w:r>
      <w:r w:rsidRPr="00607AC5">
        <w:rPr>
          <w:rFonts w:eastAsia="TimesNewRomanPSMT"/>
          <w:szCs w:val="22"/>
          <w:lang w:eastAsia="en-US"/>
        </w:rPr>
        <w:t>š</w:t>
      </w:r>
      <w:r w:rsidRPr="00607AC5">
        <w:rPr>
          <w:szCs w:val="22"/>
          <w:lang w:eastAsia="en-US"/>
        </w:rPr>
        <w:t>túdii CALGB 100104 sa pou</w:t>
      </w:r>
      <w:r w:rsidRPr="00607AC5">
        <w:rPr>
          <w:rFonts w:eastAsia="TimesNewRomanPSMT"/>
          <w:szCs w:val="22"/>
          <w:lang w:eastAsia="en-US"/>
        </w:rPr>
        <w:t>ž</w:t>
      </w:r>
      <w:r w:rsidRPr="00607AC5">
        <w:rPr>
          <w:szCs w:val="22"/>
          <w:lang w:eastAsia="en-US"/>
        </w:rPr>
        <w:t>il konzervatívny prístup. Ne</w:t>
      </w:r>
      <w:r w:rsidRPr="00607AC5">
        <w:rPr>
          <w:rFonts w:eastAsia="TimesNewRomanPSMT"/>
          <w:szCs w:val="22"/>
          <w:lang w:eastAsia="en-US"/>
        </w:rPr>
        <w:t>ž</w:t>
      </w:r>
      <w:r w:rsidRPr="00607AC5">
        <w:rPr>
          <w:szCs w:val="22"/>
          <w:lang w:eastAsia="en-US"/>
        </w:rPr>
        <w:t>iaduce</w:t>
      </w:r>
      <w:r w:rsidR="00A717F9" w:rsidRPr="00607AC5">
        <w:rPr>
          <w:szCs w:val="22"/>
          <w:lang w:eastAsia="en-US"/>
        </w:rPr>
        <w:t xml:space="preserve"> </w:t>
      </w:r>
      <w:r w:rsidRPr="00607AC5">
        <w:rPr>
          <w:rFonts w:eastAsia="TimesNewRomanPSMT"/>
          <w:szCs w:val="22"/>
          <w:lang w:eastAsia="en-US"/>
        </w:rPr>
        <w:t xml:space="preserve">reakcie uvedené v tabuľke 1 obsahovali udalosti hlásené po </w:t>
      </w:r>
      <w:r w:rsidR="00DE4B4D">
        <w:rPr>
          <w:rFonts w:eastAsia="TimesNewRomanPSMT"/>
          <w:szCs w:val="22"/>
          <w:lang w:eastAsia="en-US"/>
        </w:rPr>
        <w:t>liečbe</w:t>
      </w:r>
      <w:r w:rsidRPr="00607AC5">
        <w:rPr>
          <w:rFonts w:eastAsia="TimesNewRomanPSMT"/>
          <w:szCs w:val="22"/>
          <w:lang w:eastAsia="en-US"/>
        </w:rPr>
        <w:t xml:space="preserve"> HDM/ASCT a tiež udalosti z</w:t>
      </w:r>
      <w:r w:rsidR="00A717F9" w:rsidRPr="00607AC5">
        <w:rPr>
          <w:rFonts w:eastAsia="TimesNewRomanPSMT"/>
          <w:szCs w:val="22"/>
          <w:lang w:eastAsia="en-US"/>
        </w:rPr>
        <w:t xml:space="preserve"> </w:t>
      </w:r>
      <w:r w:rsidRPr="00607AC5">
        <w:rPr>
          <w:rFonts w:eastAsia="TimesNewRomanPSMT"/>
          <w:szCs w:val="22"/>
          <w:lang w:eastAsia="en-US"/>
        </w:rPr>
        <w:t xml:space="preserve">obdobia udržiavacej liečby. Z druhej analýzy, ktorá identifikovala </w:t>
      </w:r>
      <w:r w:rsidR="00DE4B4D">
        <w:rPr>
          <w:rFonts w:eastAsia="TimesNewRomanPSMT"/>
          <w:szCs w:val="22"/>
          <w:lang w:eastAsia="en-US"/>
        </w:rPr>
        <w:t>udalosti</w:t>
      </w:r>
      <w:r w:rsidRPr="00607AC5">
        <w:rPr>
          <w:rFonts w:eastAsia="TimesNewRomanPSMT"/>
          <w:szCs w:val="22"/>
          <w:lang w:eastAsia="en-US"/>
        </w:rPr>
        <w:t>, ktoré sa vyskytli po začiatku</w:t>
      </w:r>
      <w:r w:rsidR="00A717F9" w:rsidRPr="00607AC5">
        <w:rPr>
          <w:rFonts w:eastAsia="TimesNewRomanPSMT"/>
          <w:szCs w:val="22"/>
          <w:lang w:eastAsia="en-US"/>
        </w:rPr>
        <w:t xml:space="preserve"> </w:t>
      </w:r>
      <w:r w:rsidRPr="00607AC5">
        <w:rPr>
          <w:rFonts w:eastAsia="TimesNewRomanPSMT"/>
          <w:szCs w:val="22"/>
          <w:lang w:eastAsia="en-US"/>
        </w:rPr>
        <w:t>udržiavej liečby vyplýva, že frekvencie uvedené v tabuľke 1 môžu byť vyššie ako skutočne pozorované</w:t>
      </w:r>
      <w:r w:rsidR="00A717F9" w:rsidRPr="00607AC5">
        <w:rPr>
          <w:rFonts w:eastAsia="TimesNewRomanPSMT"/>
          <w:szCs w:val="22"/>
          <w:lang w:eastAsia="en-US"/>
        </w:rPr>
        <w:t xml:space="preserve"> </w:t>
      </w:r>
      <w:r w:rsidRPr="00607AC5">
        <w:rPr>
          <w:rFonts w:eastAsia="TimesNewRomanPSMT"/>
          <w:szCs w:val="22"/>
          <w:lang w:eastAsia="en-US"/>
        </w:rPr>
        <w:t>počas obdobia udržiavacej liečby. V štúdii IFM 2005-02 boli nežiaduce reakcie len z obdobia udržiavacej</w:t>
      </w:r>
      <w:r w:rsidR="00A717F9" w:rsidRPr="00607AC5">
        <w:rPr>
          <w:rFonts w:eastAsia="TimesNewRomanPSMT"/>
          <w:szCs w:val="22"/>
          <w:lang w:eastAsia="en-US"/>
        </w:rPr>
        <w:t xml:space="preserve"> </w:t>
      </w:r>
      <w:r w:rsidRPr="00607AC5">
        <w:rPr>
          <w:rFonts w:eastAsia="TimesNewRomanPSMT"/>
          <w:szCs w:val="22"/>
          <w:lang w:eastAsia="en-US"/>
        </w:rPr>
        <w:t>liečby.</w:t>
      </w:r>
    </w:p>
    <w:p w14:paraId="37E6F97E" w14:textId="77777777" w:rsidR="00A717F9" w:rsidRPr="00607AC5" w:rsidRDefault="00A717F9" w:rsidP="00C4561A">
      <w:pPr>
        <w:autoSpaceDE w:val="0"/>
        <w:autoSpaceDN w:val="0"/>
        <w:adjustRightInd w:val="0"/>
        <w:ind w:left="0" w:firstLine="0"/>
        <w:rPr>
          <w:rFonts w:eastAsia="TimesNewRomanPSMT"/>
          <w:szCs w:val="22"/>
          <w:lang w:eastAsia="en-US"/>
        </w:rPr>
      </w:pPr>
    </w:p>
    <w:p w14:paraId="32FE1B55" w14:textId="77777777" w:rsidR="00C4561A" w:rsidRPr="008422C4" w:rsidRDefault="00C4561A" w:rsidP="00C4561A">
      <w:pPr>
        <w:autoSpaceDE w:val="0"/>
        <w:autoSpaceDN w:val="0"/>
        <w:adjustRightInd w:val="0"/>
        <w:ind w:left="0" w:firstLine="0"/>
        <w:rPr>
          <w:szCs w:val="22"/>
          <w:lang w:eastAsia="en-US"/>
        </w:rPr>
      </w:pPr>
      <w:r w:rsidRPr="008422C4">
        <w:rPr>
          <w:rFonts w:eastAsia="TimesNewRomanPSMT"/>
          <w:szCs w:val="22"/>
          <w:lang w:eastAsia="en-US"/>
        </w:rPr>
        <w:t>Závažné vedľajšie účinky pozorované častejšie (≥</w:t>
      </w:r>
      <w:r w:rsidR="00A717F9" w:rsidRPr="008422C4">
        <w:rPr>
          <w:rFonts w:eastAsia="TimesNewRomanPSMT"/>
          <w:szCs w:val="22"/>
          <w:lang w:eastAsia="en-US"/>
        </w:rPr>
        <w:t> </w:t>
      </w:r>
      <w:r w:rsidRPr="008422C4">
        <w:rPr>
          <w:rFonts w:eastAsia="TimesNewRomanPSMT"/>
          <w:szCs w:val="22"/>
          <w:lang w:eastAsia="en-US"/>
        </w:rPr>
        <w:t>5</w:t>
      </w:r>
      <w:r w:rsidR="00A717F9" w:rsidRPr="008422C4">
        <w:rPr>
          <w:rFonts w:eastAsia="TimesNewRomanPSMT"/>
          <w:szCs w:val="22"/>
          <w:lang w:eastAsia="en-US"/>
        </w:rPr>
        <w:t> </w:t>
      </w:r>
      <w:r w:rsidRPr="008422C4">
        <w:rPr>
          <w:rFonts w:eastAsia="TimesNewRomanPSMT"/>
          <w:szCs w:val="22"/>
          <w:lang w:eastAsia="en-US"/>
        </w:rPr>
        <w:t>%) pri udržiavacej dávke lenalidomidu než pri</w:t>
      </w:r>
      <w:r w:rsidR="00A717F9" w:rsidRPr="008422C4">
        <w:rPr>
          <w:rFonts w:eastAsia="TimesNewRomanPSMT"/>
          <w:szCs w:val="22"/>
          <w:lang w:eastAsia="en-US"/>
        </w:rPr>
        <w:t xml:space="preserve"> </w:t>
      </w:r>
      <w:r w:rsidRPr="008422C4">
        <w:rPr>
          <w:szCs w:val="22"/>
          <w:lang w:eastAsia="en-US"/>
        </w:rPr>
        <w:t>placebe boli:</w:t>
      </w:r>
    </w:p>
    <w:p w14:paraId="596B6D6F" w14:textId="77777777" w:rsidR="00C4561A" w:rsidRPr="008422C4" w:rsidRDefault="00A717F9" w:rsidP="0050037D">
      <w:pPr>
        <w:numPr>
          <w:ilvl w:val="0"/>
          <w:numId w:val="4"/>
        </w:numPr>
        <w:autoSpaceDE w:val="0"/>
        <w:autoSpaceDN w:val="0"/>
        <w:adjustRightInd w:val="0"/>
        <w:ind w:left="709" w:hanging="709"/>
        <w:rPr>
          <w:szCs w:val="22"/>
          <w:lang w:eastAsia="en-US"/>
        </w:rPr>
      </w:pPr>
      <w:r w:rsidRPr="008422C4">
        <w:rPr>
          <w:szCs w:val="22"/>
          <w:lang w:eastAsia="en-US"/>
        </w:rPr>
        <w:t>p</w:t>
      </w:r>
      <w:r w:rsidR="00C4561A" w:rsidRPr="008422C4">
        <w:rPr>
          <w:szCs w:val="22"/>
          <w:lang w:eastAsia="en-US"/>
        </w:rPr>
        <w:t>neumónie (10,6%, kombinovaný termín) z IFM 2005-02,</w:t>
      </w:r>
    </w:p>
    <w:p w14:paraId="09522833" w14:textId="77777777" w:rsidR="00C4561A" w:rsidRPr="008422C4" w:rsidRDefault="00C4561A" w:rsidP="0050037D">
      <w:pPr>
        <w:numPr>
          <w:ilvl w:val="0"/>
          <w:numId w:val="4"/>
        </w:numPr>
        <w:autoSpaceDE w:val="0"/>
        <w:autoSpaceDN w:val="0"/>
        <w:adjustRightInd w:val="0"/>
        <w:ind w:left="709" w:hanging="709"/>
        <w:rPr>
          <w:rFonts w:eastAsia="TimesNewRomanPSMT"/>
          <w:szCs w:val="22"/>
          <w:lang w:eastAsia="en-US"/>
        </w:rPr>
      </w:pPr>
      <w:r w:rsidRPr="008422C4">
        <w:rPr>
          <w:rFonts w:eastAsia="TimesNewRomanPSMT"/>
          <w:szCs w:val="22"/>
          <w:lang w:eastAsia="en-US"/>
        </w:rPr>
        <w:t>pľúcne infekcie (9,4% (9,4% po začiatku udržiavacej liečby)) z CALGB 100104.</w:t>
      </w:r>
    </w:p>
    <w:p w14:paraId="2FDCDD15" w14:textId="77777777" w:rsidR="00A717F9" w:rsidRPr="008422C4" w:rsidRDefault="00A717F9" w:rsidP="00C4561A">
      <w:pPr>
        <w:autoSpaceDE w:val="0"/>
        <w:autoSpaceDN w:val="0"/>
        <w:adjustRightInd w:val="0"/>
        <w:ind w:left="0" w:firstLine="0"/>
        <w:rPr>
          <w:rFonts w:eastAsia="TimesNewRomanPSMT"/>
          <w:szCs w:val="22"/>
          <w:lang w:eastAsia="en-US"/>
        </w:rPr>
      </w:pPr>
    </w:p>
    <w:p w14:paraId="471A3D14" w14:textId="7953A9C3" w:rsidR="00C4561A" w:rsidRPr="008422C4" w:rsidRDefault="00C4561A" w:rsidP="00C4561A">
      <w:pPr>
        <w:autoSpaceDE w:val="0"/>
        <w:autoSpaceDN w:val="0"/>
        <w:adjustRightInd w:val="0"/>
        <w:ind w:left="0" w:firstLine="0"/>
        <w:rPr>
          <w:rFonts w:eastAsia="TimesNewRomanPSMT"/>
          <w:szCs w:val="22"/>
          <w:lang w:eastAsia="en-US"/>
        </w:rPr>
      </w:pPr>
      <w:r w:rsidRPr="008422C4">
        <w:rPr>
          <w:rFonts w:eastAsia="TimesNewRomanPSMT"/>
          <w:szCs w:val="22"/>
          <w:lang w:eastAsia="en-US"/>
        </w:rPr>
        <w:t>Nežiaduce účinky pozorované v štúdii IFM 2005-02 častejšie pri udržiavacej dávke lenalidomidu než pri</w:t>
      </w:r>
      <w:r w:rsidR="00A717F9" w:rsidRPr="008422C4">
        <w:rPr>
          <w:rFonts w:eastAsia="TimesNewRomanPSMT"/>
          <w:szCs w:val="22"/>
          <w:lang w:eastAsia="en-US"/>
        </w:rPr>
        <w:t xml:space="preserve"> </w:t>
      </w:r>
      <w:r w:rsidRPr="008422C4">
        <w:rPr>
          <w:rFonts w:eastAsia="TimesNewRomanPSMT"/>
          <w:szCs w:val="22"/>
          <w:lang w:eastAsia="en-US"/>
        </w:rPr>
        <w:t>placebe boli neutropénia (60,8%), bronchitída (47,4%), hnačka (38,9%), nazo</w:t>
      </w:r>
      <w:r w:rsidR="00FD3525">
        <w:rPr>
          <w:rFonts w:eastAsia="TimesNewRomanPSMT"/>
          <w:szCs w:val="22"/>
          <w:lang w:eastAsia="en-US"/>
        </w:rPr>
        <w:t>f</w:t>
      </w:r>
      <w:r w:rsidRPr="008422C4">
        <w:rPr>
          <w:rFonts w:eastAsia="TimesNewRomanPSMT"/>
          <w:szCs w:val="22"/>
          <w:lang w:eastAsia="en-US"/>
        </w:rPr>
        <w:t>aryngitída (34,8%),</w:t>
      </w:r>
      <w:r w:rsidR="00A717F9" w:rsidRPr="008422C4">
        <w:rPr>
          <w:rFonts w:eastAsia="TimesNewRomanPSMT"/>
          <w:szCs w:val="22"/>
          <w:lang w:eastAsia="en-US"/>
        </w:rPr>
        <w:t xml:space="preserve"> </w:t>
      </w:r>
      <w:r w:rsidRPr="008422C4">
        <w:rPr>
          <w:rFonts w:eastAsia="TimesNewRomanPSMT"/>
          <w:szCs w:val="22"/>
          <w:lang w:eastAsia="en-US"/>
        </w:rPr>
        <w:t>svalové kŕče (33,4%), leukopénia (31,7%), asténia (29,7%), kašeľ (27,3%), trombocytopénia (23,5%),</w:t>
      </w:r>
      <w:r w:rsidR="00A717F9" w:rsidRPr="008422C4">
        <w:rPr>
          <w:rFonts w:eastAsia="TimesNewRomanPSMT"/>
          <w:szCs w:val="22"/>
          <w:lang w:eastAsia="en-US"/>
        </w:rPr>
        <w:t xml:space="preserve"> </w:t>
      </w:r>
      <w:r w:rsidRPr="008422C4">
        <w:rPr>
          <w:rFonts w:eastAsia="TimesNewRomanPSMT"/>
          <w:szCs w:val="22"/>
          <w:lang w:eastAsia="en-US"/>
        </w:rPr>
        <w:t>gastroenteritída (22,5%) a horúčka (20,5%).</w:t>
      </w:r>
    </w:p>
    <w:p w14:paraId="54A608EC" w14:textId="77777777" w:rsidR="00A717F9" w:rsidRPr="008422C4" w:rsidRDefault="00A717F9" w:rsidP="00C4561A">
      <w:pPr>
        <w:autoSpaceDE w:val="0"/>
        <w:autoSpaceDN w:val="0"/>
        <w:adjustRightInd w:val="0"/>
        <w:ind w:left="0" w:firstLine="0"/>
        <w:rPr>
          <w:rFonts w:eastAsia="TimesNewRomanPSMT"/>
          <w:szCs w:val="22"/>
          <w:lang w:eastAsia="en-US"/>
        </w:rPr>
      </w:pPr>
    </w:p>
    <w:p w14:paraId="00B12BB7" w14:textId="77777777" w:rsidR="00C4561A" w:rsidRPr="008422C4" w:rsidRDefault="00C4561A" w:rsidP="00C4561A">
      <w:pPr>
        <w:autoSpaceDE w:val="0"/>
        <w:autoSpaceDN w:val="0"/>
        <w:adjustRightInd w:val="0"/>
        <w:ind w:left="0" w:firstLine="0"/>
        <w:rPr>
          <w:szCs w:val="22"/>
          <w:lang w:eastAsia="en-US"/>
        </w:rPr>
      </w:pPr>
      <w:r w:rsidRPr="008422C4">
        <w:rPr>
          <w:rFonts w:eastAsia="TimesNewRomanPSMT"/>
          <w:szCs w:val="22"/>
          <w:lang w:eastAsia="en-US"/>
        </w:rPr>
        <w:t>Nežiaduce účinky pozorované v štúdii CALGB 100104 častejšie pri udržiavacej dávke lenalidomidu než</w:t>
      </w:r>
      <w:r w:rsidR="00A455E1" w:rsidRPr="008422C4">
        <w:rPr>
          <w:rFonts w:eastAsia="TimesNewRomanPSMT"/>
          <w:szCs w:val="22"/>
          <w:lang w:eastAsia="en-US"/>
        </w:rPr>
        <w:t xml:space="preserve"> </w:t>
      </w:r>
      <w:r w:rsidRPr="008422C4">
        <w:rPr>
          <w:rFonts w:eastAsia="TimesNewRomanPSMT"/>
          <w:szCs w:val="22"/>
          <w:lang w:eastAsia="en-US"/>
        </w:rPr>
        <w:t>pri placebe boli neutropénia (79,0% (71,9% po začiatku udržiavacej liečby)), trombocytopénia (72,3%</w:t>
      </w:r>
      <w:r w:rsidR="00A455E1" w:rsidRPr="008422C4">
        <w:rPr>
          <w:rFonts w:eastAsia="TimesNewRomanPSMT"/>
          <w:szCs w:val="22"/>
          <w:lang w:eastAsia="en-US"/>
        </w:rPr>
        <w:t xml:space="preserve"> </w:t>
      </w:r>
      <w:r w:rsidRPr="008422C4">
        <w:rPr>
          <w:rFonts w:eastAsia="TimesNewRomanPSMT"/>
          <w:szCs w:val="22"/>
          <w:lang w:eastAsia="en-US"/>
        </w:rPr>
        <w:t>(61,6%)), hnačka (54,5</w:t>
      </w:r>
      <w:r w:rsidR="00A455E1" w:rsidRPr="008422C4">
        <w:rPr>
          <w:rFonts w:eastAsia="TimesNewRomanPSMT"/>
          <w:szCs w:val="22"/>
          <w:lang w:eastAsia="en-US"/>
        </w:rPr>
        <w:t>% (46,4</w:t>
      </w:r>
      <w:r w:rsidRPr="008422C4">
        <w:rPr>
          <w:rFonts w:eastAsia="TimesNewRomanPSMT"/>
          <w:szCs w:val="22"/>
          <w:lang w:eastAsia="en-US"/>
        </w:rPr>
        <w:t>%)), vyrážky (31,7% (25,0%)), infekcie horných dýchacích ciest</w:t>
      </w:r>
      <w:r w:rsidR="00A455E1" w:rsidRPr="008422C4">
        <w:rPr>
          <w:rFonts w:eastAsia="TimesNewRomanPSMT"/>
          <w:szCs w:val="22"/>
          <w:lang w:eastAsia="en-US"/>
        </w:rPr>
        <w:t xml:space="preserve"> </w:t>
      </w:r>
      <w:r w:rsidRPr="008422C4">
        <w:rPr>
          <w:szCs w:val="22"/>
          <w:lang w:eastAsia="en-US"/>
        </w:rPr>
        <w:t>(26,8% (26,8%)), únava (22,8% (17,9%)), leukopénia (22,8% (18,8%)) a anémia (21,0% (13,8%)).</w:t>
      </w:r>
    </w:p>
    <w:p w14:paraId="27E6C720" w14:textId="77777777" w:rsidR="00A455E1" w:rsidRPr="008422C4" w:rsidRDefault="00A455E1" w:rsidP="00C4561A">
      <w:pPr>
        <w:autoSpaceDE w:val="0"/>
        <w:autoSpaceDN w:val="0"/>
        <w:adjustRightInd w:val="0"/>
        <w:ind w:left="0" w:firstLine="0"/>
        <w:rPr>
          <w:i/>
          <w:iCs/>
          <w:szCs w:val="22"/>
          <w:lang w:eastAsia="en-US"/>
        </w:rPr>
      </w:pPr>
    </w:p>
    <w:p w14:paraId="5B71E094" w14:textId="21ED534C" w:rsidR="00C4561A" w:rsidRPr="008422C4" w:rsidRDefault="0050037D" w:rsidP="00C4561A">
      <w:pPr>
        <w:autoSpaceDE w:val="0"/>
        <w:autoSpaceDN w:val="0"/>
        <w:adjustRightInd w:val="0"/>
        <w:ind w:left="0" w:firstLine="0"/>
        <w:rPr>
          <w:i/>
          <w:iCs/>
          <w:szCs w:val="22"/>
          <w:lang w:eastAsia="en-US"/>
        </w:rPr>
      </w:pPr>
      <w:r>
        <w:rPr>
          <w:i/>
          <w:iCs/>
          <w:szCs w:val="22"/>
          <w:lang w:eastAsia="en-US"/>
        </w:rPr>
        <w:t>Novo</w:t>
      </w:r>
      <w:r w:rsidR="00C4561A" w:rsidRPr="008422C4">
        <w:rPr>
          <w:i/>
          <w:iCs/>
          <w:szCs w:val="22"/>
          <w:lang w:eastAsia="en-US"/>
        </w:rPr>
        <w:t>diagnostikovaný mnohopočetný myelóm: pacienti, ktorí nie sú spôsobilí na transplantáciu, liečení</w:t>
      </w:r>
      <w:r w:rsidR="00A455E1" w:rsidRPr="008422C4">
        <w:rPr>
          <w:i/>
          <w:iCs/>
          <w:szCs w:val="22"/>
          <w:lang w:eastAsia="en-US"/>
        </w:rPr>
        <w:t xml:space="preserve"> </w:t>
      </w:r>
      <w:r w:rsidR="00C4561A" w:rsidRPr="008422C4">
        <w:rPr>
          <w:i/>
          <w:iCs/>
          <w:szCs w:val="22"/>
          <w:lang w:eastAsia="en-US"/>
        </w:rPr>
        <w:t>lenalidomidom v kombinácii s nízkou dávkou dexametazónu</w:t>
      </w:r>
    </w:p>
    <w:p w14:paraId="3AC17DD2" w14:textId="77777777" w:rsidR="00C4561A" w:rsidRPr="008422C4" w:rsidRDefault="00C4561A" w:rsidP="00C4561A">
      <w:pPr>
        <w:autoSpaceDE w:val="0"/>
        <w:autoSpaceDN w:val="0"/>
        <w:adjustRightInd w:val="0"/>
        <w:ind w:left="0" w:firstLine="0"/>
        <w:rPr>
          <w:szCs w:val="22"/>
          <w:lang w:eastAsia="en-US"/>
        </w:rPr>
      </w:pPr>
      <w:r w:rsidRPr="008422C4">
        <w:rPr>
          <w:rFonts w:eastAsia="TimesNewRomanPSMT"/>
          <w:szCs w:val="22"/>
          <w:lang w:eastAsia="en-US"/>
        </w:rPr>
        <w:t>Závažné vedľajšie účinky pozorované častejšie (≥</w:t>
      </w:r>
      <w:r w:rsidR="00A455E1" w:rsidRPr="008422C4">
        <w:rPr>
          <w:rFonts w:eastAsia="TimesNewRomanPSMT"/>
          <w:szCs w:val="22"/>
          <w:lang w:eastAsia="en-US"/>
        </w:rPr>
        <w:t>5 </w:t>
      </w:r>
      <w:r w:rsidRPr="008422C4">
        <w:rPr>
          <w:rFonts w:eastAsia="TimesNewRomanPSMT"/>
          <w:szCs w:val="22"/>
          <w:lang w:eastAsia="en-US"/>
        </w:rPr>
        <w:t>%) s lenalidomidom v kombinácii s nízkou dávkou</w:t>
      </w:r>
      <w:r w:rsidR="00A455E1" w:rsidRPr="008422C4">
        <w:rPr>
          <w:rFonts w:eastAsia="TimesNewRomanPSMT"/>
          <w:szCs w:val="22"/>
          <w:lang w:eastAsia="en-US"/>
        </w:rPr>
        <w:t xml:space="preserve"> </w:t>
      </w:r>
      <w:r w:rsidRPr="008422C4">
        <w:rPr>
          <w:szCs w:val="22"/>
          <w:lang w:eastAsia="en-US"/>
        </w:rPr>
        <w:t>dexametazónu (Rd a Rd18), ne</w:t>
      </w:r>
      <w:r w:rsidRPr="008422C4">
        <w:rPr>
          <w:rFonts w:eastAsia="TimesNewRomanPSMT"/>
          <w:szCs w:val="22"/>
          <w:lang w:eastAsia="en-US"/>
        </w:rPr>
        <w:t xml:space="preserve">ž </w:t>
      </w:r>
      <w:r w:rsidRPr="008422C4">
        <w:rPr>
          <w:szCs w:val="22"/>
          <w:lang w:eastAsia="en-US"/>
        </w:rPr>
        <w:t>s melfalánom, prednizónom a talidomidom (MPT) boli:</w:t>
      </w:r>
    </w:p>
    <w:p w14:paraId="2C04C099" w14:textId="77777777" w:rsidR="00C4561A" w:rsidRPr="008422C4" w:rsidRDefault="00C4561A" w:rsidP="008A650F">
      <w:pPr>
        <w:numPr>
          <w:ilvl w:val="0"/>
          <w:numId w:val="5"/>
        </w:numPr>
        <w:autoSpaceDE w:val="0"/>
        <w:autoSpaceDN w:val="0"/>
        <w:adjustRightInd w:val="0"/>
        <w:ind w:left="426" w:hanging="426"/>
        <w:rPr>
          <w:szCs w:val="22"/>
          <w:lang w:eastAsia="en-US"/>
        </w:rPr>
      </w:pPr>
      <w:r w:rsidRPr="008422C4">
        <w:rPr>
          <w:szCs w:val="22"/>
          <w:lang w:eastAsia="en-US"/>
        </w:rPr>
        <w:t>pneumónia (9,8%)</w:t>
      </w:r>
    </w:p>
    <w:p w14:paraId="4D5D8938" w14:textId="77777777" w:rsidR="00C4561A" w:rsidRPr="008422C4" w:rsidRDefault="00C4561A" w:rsidP="008A650F">
      <w:pPr>
        <w:numPr>
          <w:ilvl w:val="0"/>
          <w:numId w:val="5"/>
        </w:numPr>
        <w:autoSpaceDE w:val="0"/>
        <w:autoSpaceDN w:val="0"/>
        <w:adjustRightInd w:val="0"/>
        <w:ind w:left="426" w:hanging="426"/>
        <w:rPr>
          <w:rFonts w:eastAsia="TimesNewRomanPSMT"/>
          <w:szCs w:val="22"/>
          <w:lang w:eastAsia="en-US"/>
        </w:rPr>
      </w:pPr>
      <w:r w:rsidRPr="008422C4">
        <w:rPr>
          <w:rFonts w:eastAsia="TimesNewRomanPSMT"/>
          <w:szCs w:val="22"/>
          <w:lang w:eastAsia="en-US"/>
        </w:rPr>
        <w:t>zlyhanie obličiek (vrátane akútneho) (6,3%)</w:t>
      </w:r>
    </w:p>
    <w:p w14:paraId="186608CE" w14:textId="77777777" w:rsidR="00C4561A" w:rsidRPr="008422C4" w:rsidRDefault="00C4561A" w:rsidP="00C4561A">
      <w:pPr>
        <w:autoSpaceDE w:val="0"/>
        <w:autoSpaceDN w:val="0"/>
        <w:adjustRightInd w:val="0"/>
        <w:ind w:left="0" w:firstLine="0"/>
        <w:rPr>
          <w:rFonts w:eastAsia="TimesNewRomanPSMT"/>
          <w:szCs w:val="22"/>
          <w:lang w:eastAsia="en-US"/>
        </w:rPr>
      </w:pPr>
      <w:r w:rsidRPr="008422C4">
        <w:rPr>
          <w:rFonts w:eastAsia="TimesNewRomanPSMT"/>
          <w:szCs w:val="22"/>
          <w:lang w:eastAsia="en-US"/>
        </w:rPr>
        <w:t>Nežiaduce účinky pozorované častejšie pri Rd alebo Rd18 než pri MPT boli: hnačka (45,5%), únava</w:t>
      </w:r>
      <w:r w:rsidR="00A455E1" w:rsidRPr="008422C4">
        <w:rPr>
          <w:rFonts w:eastAsia="TimesNewRomanPSMT"/>
          <w:szCs w:val="22"/>
          <w:lang w:eastAsia="en-US"/>
        </w:rPr>
        <w:t xml:space="preserve"> </w:t>
      </w:r>
      <w:r w:rsidRPr="008422C4">
        <w:rPr>
          <w:rFonts w:eastAsia="TimesNewRomanPSMT"/>
          <w:szCs w:val="22"/>
          <w:lang w:eastAsia="en-US"/>
        </w:rPr>
        <w:t>(32,8%), bolesť chrbta (32,0%), asténia (28,2%), nespavosť (27,6%), výsev (24,3 %), zníženie chuti do</w:t>
      </w:r>
      <w:r w:rsidR="00A455E1" w:rsidRPr="008422C4">
        <w:rPr>
          <w:rFonts w:eastAsia="TimesNewRomanPSMT"/>
          <w:szCs w:val="22"/>
          <w:lang w:eastAsia="en-US"/>
        </w:rPr>
        <w:t xml:space="preserve"> </w:t>
      </w:r>
      <w:r w:rsidRPr="008422C4">
        <w:rPr>
          <w:rFonts w:eastAsia="TimesNewRomanPSMT"/>
          <w:szCs w:val="22"/>
          <w:lang w:eastAsia="en-US"/>
        </w:rPr>
        <w:t>jedla (23,1%), kašeľ (22,7%), horúčka (21,4%), a svalové kŕče (20,5%).</w:t>
      </w:r>
    </w:p>
    <w:p w14:paraId="1D6C8A0D" w14:textId="77777777" w:rsidR="00A455E1" w:rsidRPr="008422C4" w:rsidRDefault="00A455E1" w:rsidP="00C4561A">
      <w:pPr>
        <w:autoSpaceDE w:val="0"/>
        <w:autoSpaceDN w:val="0"/>
        <w:adjustRightInd w:val="0"/>
        <w:ind w:left="0" w:firstLine="0"/>
        <w:rPr>
          <w:i/>
          <w:iCs/>
          <w:szCs w:val="22"/>
          <w:lang w:eastAsia="en-US"/>
        </w:rPr>
      </w:pPr>
    </w:p>
    <w:p w14:paraId="67F8C593" w14:textId="73CFD5C2" w:rsidR="00C4561A" w:rsidRPr="008422C4" w:rsidRDefault="0050037D" w:rsidP="00C4561A">
      <w:pPr>
        <w:autoSpaceDE w:val="0"/>
        <w:autoSpaceDN w:val="0"/>
        <w:adjustRightInd w:val="0"/>
        <w:ind w:left="0" w:firstLine="0"/>
        <w:rPr>
          <w:i/>
          <w:iCs/>
          <w:szCs w:val="22"/>
          <w:lang w:eastAsia="en-US"/>
        </w:rPr>
      </w:pPr>
      <w:r>
        <w:rPr>
          <w:i/>
          <w:iCs/>
          <w:szCs w:val="22"/>
          <w:lang w:eastAsia="en-US"/>
        </w:rPr>
        <w:t>Novo</w:t>
      </w:r>
      <w:r w:rsidR="00C4561A" w:rsidRPr="008422C4">
        <w:rPr>
          <w:i/>
          <w:iCs/>
          <w:szCs w:val="22"/>
          <w:lang w:eastAsia="en-US"/>
        </w:rPr>
        <w:t>diagnostikovaný mnohopočetný myelóm: pacienti, ktorí nie sú spôsobilí na transplantáciu, liečení</w:t>
      </w:r>
      <w:r w:rsidR="00A455E1" w:rsidRPr="008422C4">
        <w:rPr>
          <w:i/>
          <w:iCs/>
          <w:szCs w:val="22"/>
          <w:lang w:eastAsia="en-US"/>
        </w:rPr>
        <w:t xml:space="preserve"> </w:t>
      </w:r>
      <w:r w:rsidR="00C4561A" w:rsidRPr="008422C4">
        <w:rPr>
          <w:i/>
          <w:iCs/>
          <w:szCs w:val="22"/>
          <w:lang w:eastAsia="en-US"/>
        </w:rPr>
        <w:t>lenalidomidom v kombinácii s melfalánom a prednizónom</w:t>
      </w:r>
    </w:p>
    <w:p w14:paraId="4DC082BA" w14:textId="77777777" w:rsidR="00C4561A" w:rsidRPr="008422C4" w:rsidRDefault="00C4561A" w:rsidP="00C4561A">
      <w:pPr>
        <w:autoSpaceDE w:val="0"/>
        <w:autoSpaceDN w:val="0"/>
        <w:adjustRightInd w:val="0"/>
        <w:ind w:left="0" w:firstLine="0"/>
        <w:rPr>
          <w:szCs w:val="22"/>
          <w:lang w:eastAsia="en-US"/>
        </w:rPr>
      </w:pPr>
      <w:r w:rsidRPr="008422C4">
        <w:rPr>
          <w:rFonts w:eastAsia="TimesNewRomanPSMT"/>
          <w:szCs w:val="22"/>
          <w:lang w:eastAsia="en-US"/>
        </w:rPr>
        <w:t xml:space="preserve">Závažné </w:t>
      </w:r>
      <w:r w:rsidR="000D10EC" w:rsidRPr="008422C4">
        <w:rPr>
          <w:rFonts w:eastAsia="TimesNewRomanPSMT"/>
          <w:szCs w:val="22"/>
          <w:lang w:eastAsia="en-US"/>
        </w:rPr>
        <w:t>nežiaduce reakcie</w:t>
      </w:r>
      <w:r w:rsidRPr="008422C4">
        <w:rPr>
          <w:rFonts w:eastAsia="TimesNewRomanPSMT"/>
          <w:szCs w:val="22"/>
          <w:lang w:eastAsia="en-US"/>
        </w:rPr>
        <w:t xml:space="preserve"> pozorované častejšie (≥5</w:t>
      </w:r>
      <w:r w:rsidR="000D10EC" w:rsidRPr="008422C4">
        <w:rPr>
          <w:rFonts w:eastAsia="TimesNewRomanPSMT"/>
          <w:szCs w:val="22"/>
          <w:lang w:eastAsia="en-US"/>
        </w:rPr>
        <w:t> </w:t>
      </w:r>
      <w:r w:rsidRPr="008422C4">
        <w:rPr>
          <w:rFonts w:eastAsia="TimesNewRomanPSMT"/>
          <w:szCs w:val="22"/>
          <w:lang w:eastAsia="en-US"/>
        </w:rPr>
        <w:t>%) pri melfaláne, prednizóne a lenalidomide</w:t>
      </w:r>
      <w:r w:rsidR="000D10EC" w:rsidRPr="008422C4">
        <w:rPr>
          <w:rFonts w:eastAsia="TimesNewRomanPSMT"/>
          <w:szCs w:val="22"/>
          <w:lang w:eastAsia="en-US"/>
        </w:rPr>
        <w:t xml:space="preserve"> </w:t>
      </w:r>
      <w:r w:rsidRPr="008422C4">
        <w:rPr>
          <w:szCs w:val="22"/>
          <w:lang w:eastAsia="en-US"/>
        </w:rPr>
        <w:t>nasledované udr</w:t>
      </w:r>
      <w:r w:rsidRPr="008422C4">
        <w:rPr>
          <w:rFonts w:eastAsia="TimesNewRomanPSMT"/>
          <w:szCs w:val="22"/>
          <w:lang w:eastAsia="en-US"/>
        </w:rPr>
        <w:t>ž</w:t>
      </w:r>
      <w:r w:rsidRPr="008422C4">
        <w:rPr>
          <w:szCs w:val="22"/>
          <w:lang w:eastAsia="en-US"/>
        </w:rPr>
        <w:t>iavacou dávkou lenalidomidu (MPR + R), alebo pri melfaláne prednizóne a</w:t>
      </w:r>
      <w:r w:rsidR="000D10EC" w:rsidRPr="008422C4">
        <w:rPr>
          <w:szCs w:val="22"/>
          <w:lang w:eastAsia="en-US"/>
        </w:rPr>
        <w:t xml:space="preserve"> </w:t>
      </w:r>
      <w:r w:rsidRPr="008422C4">
        <w:rPr>
          <w:szCs w:val="22"/>
          <w:lang w:eastAsia="en-US"/>
        </w:rPr>
        <w:t>lenalidomide nasledované placebom (MPR + p) ne</w:t>
      </w:r>
      <w:r w:rsidRPr="008422C4">
        <w:rPr>
          <w:rFonts w:eastAsia="TimesNewRomanPSMT"/>
          <w:szCs w:val="22"/>
          <w:lang w:eastAsia="en-US"/>
        </w:rPr>
        <w:t xml:space="preserve">ž </w:t>
      </w:r>
      <w:r w:rsidRPr="008422C4">
        <w:rPr>
          <w:szCs w:val="22"/>
          <w:lang w:eastAsia="en-US"/>
        </w:rPr>
        <w:t>pri melfaláne, prednizóne a placebe nasledované</w:t>
      </w:r>
      <w:r w:rsidR="000D10EC" w:rsidRPr="008422C4">
        <w:rPr>
          <w:szCs w:val="22"/>
          <w:lang w:eastAsia="en-US"/>
        </w:rPr>
        <w:t xml:space="preserve"> </w:t>
      </w:r>
      <w:r w:rsidRPr="008422C4">
        <w:rPr>
          <w:szCs w:val="22"/>
          <w:lang w:eastAsia="en-US"/>
        </w:rPr>
        <w:t>placebom (MPp + p) boli:</w:t>
      </w:r>
    </w:p>
    <w:p w14:paraId="6D63E9BE" w14:textId="77777777" w:rsidR="00C4561A" w:rsidRPr="008422C4" w:rsidRDefault="00C4561A" w:rsidP="000D10EC">
      <w:pPr>
        <w:tabs>
          <w:tab w:val="left" w:pos="426"/>
        </w:tabs>
        <w:autoSpaceDE w:val="0"/>
        <w:autoSpaceDN w:val="0"/>
        <w:adjustRightInd w:val="0"/>
        <w:ind w:left="0" w:firstLine="0"/>
        <w:rPr>
          <w:szCs w:val="22"/>
          <w:lang w:eastAsia="en-US"/>
        </w:rPr>
      </w:pPr>
      <w:r w:rsidRPr="008422C4">
        <w:rPr>
          <w:rFonts w:eastAsia="SymbolMT"/>
          <w:szCs w:val="22"/>
          <w:lang w:eastAsia="en-US"/>
        </w:rPr>
        <w:t>•</w:t>
      </w:r>
      <w:r w:rsidR="000D10EC" w:rsidRPr="008422C4">
        <w:rPr>
          <w:rFonts w:eastAsia="SymbolMT"/>
          <w:szCs w:val="22"/>
          <w:lang w:eastAsia="en-US"/>
        </w:rPr>
        <w:tab/>
      </w:r>
      <w:r w:rsidRPr="008422C4">
        <w:rPr>
          <w:szCs w:val="22"/>
          <w:lang w:eastAsia="en-US"/>
        </w:rPr>
        <w:t>febrilná neutropénia (6,0%)</w:t>
      </w:r>
    </w:p>
    <w:p w14:paraId="2D0B0580" w14:textId="77777777" w:rsidR="000D10EC" w:rsidRPr="008422C4" w:rsidRDefault="00C4561A" w:rsidP="000D10EC">
      <w:pPr>
        <w:tabs>
          <w:tab w:val="left" w:pos="426"/>
        </w:tabs>
        <w:autoSpaceDE w:val="0"/>
        <w:autoSpaceDN w:val="0"/>
        <w:adjustRightInd w:val="0"/>
        <w:ind w:left="0" w:firstLine="0"/>
        <w:rPr>
          <w:szCs w:val="22"/>
          <w:lang w:eastAsia="en-US"/>
        </w:rPr>
      </w:pPr>
      <w:r w:rsidRPr="008422C4">
        <w:rPr>
          <w:rFonts w:eastAsia="SymbolMT"/>
          <w:szCs w:val="22"/>
          <w:lang w:eastAsia="en-US"/>
        </w:rPr>
        <w:t>•</w:t>
      </w:r>
      <w:r w:rsidR="000D10EC" w:rsidRPr="008422C4">
        <w:rPr>
          <w:rFonts w:eastAsia="SymbolMT"/>
          <w:szCs w:val="22"/>
          <w:lang w:eastAsia="en-US"/>
        </w:rPr>
        <w:tab/>
      </w:r>
      <w:r w:rsidRPr="008422C4">
        <w:rPr>
          <w:szCs w:val="22"/>
          <w:lang w:eastAsia="en-US"/>
        </w:rPr>
        <w:t>anémia</w:t>
      </w:r>
      <w:r w:rsidR="000D10EC" w:rsidRPr="008422C4">
        <w:rPr>
          <w:szCs w:val="22"/>
          <w:lang w:eastAsia="en-US"/>
        </w:rPr>
        <w:t xml:space="preserve"> (5,3%)</w:t>
      </w:r>
    </w:p>
    <w:p w14:paraId="1ADED37F" w14:textId="77777777" w:rsidR="000D10EC" w:rsidRPr="008422C4" w:rsidRDefault="000D10EC" w:rsidP="000D10EC">
      <w:pPr>
        <w:autoSpaceDE w:val="0"/>
        <w:autoSpaceDN w:val="0"/>
        <w:adjustRightInd w:val="0"/>
        <w:ind w:left="0" w:firstLine="0"/>
        <w:rPr>
          <w:rFonts w:eastAsia="TimesNewRomanPSMT"/>
          <w:szCs w:val="22"/>
          <w:lang w:eastAsia="en-US"/>
        </w:rPr>
      </w:pPr>
    </w:p>
    <w:p w14:paraId="71647A5D" w14:textId="77777777" w:rsidR="000D10EC" w:rsidRPr="008422C4" w:rsidRDefault="000D10EC" w:rsidP="000D10EC">
      <w:pPr>
        <w:autoSpaceDE w:val="0"/>
        <w:autoSpaceDN w:val="0"/>
        <w:adjustRightInd w:val="0"/>
        <w:ind w:left="0" w:firstLine="0"/>
        <w:rPr>
          <w:szCs w:val="22"/>
          <w:lang w:eastAsia="en-US"/>
        </w:rPr>
      </w:pPr>
      <w:r w:rsidRPr="008422C4">
        <w:rPr>
          <w:rFonts w:eastAsia="TimesNewRomanPSMT"/>
          <w:szCs w:val="22"/>
          <w:lang w:eastAsia="en-US"/>
        </w:rPr>
        <w:t xml:space="preserve">Nežiaduce reakcie pozorované častejšie pri MPR + R alebo pri MPR + p než pri MPp + p boli: </w:t>
      </w:r>
      <w:r w:rsidRPr="008422C4">
        <w:rPr>
          <w:szCs w:val="22"/>
          <w:lang w:eastAsia="en-US"/>
        </w:rPr>
        <w:t xml:space="preserve">neutropénia (83,3%), anémia (70,7%), trombocytopénia (70,0%), leukopénia (38,8%), zápcha (34,0%), </w:t>
      </w:r>
      <w:r w:rsidRPr="008422C4">
        <w:rPr>
          <w:rFonts w:eastAsia="TimesNewRomanPSMT"/>
          <w:szCs w:val="22"/>
          <w:lang w:eastAsia="en-US"/>
        </w:rPr>
        <w:t xml:space="preserve">hnačka (33,3%), výsev (28,9%), horúčka (27,0%), periférny edém (25,0%), kašeľ (24,0%), zníženie </w:t>
      </w:r>
      <w:r w:rsidRPr="008422C4">
        <w:rPr>
          <w:szCs w:val="22"/>
          <w:lang w:eastAsia="en-US"/>
        </w:rPr>
        <w:t>chuti do jedla (23,7%), a asténia (22,0%).</w:t>
      </w:r>
    </w:p>
    <w:p w14:paraId="36B729B6" w14:textId="77777777" w:rsidR="000D10EC" w:rsidRPr="008422C4" w:rsidRDefault="000D10EC" w:rsidP="000D10EC">
      <w:pPr>
        <w:autoSpaceDE w:val="0"/>
        <w:autoSpaceDN w:val="0"/>
        <w:adjustRightInd w:val="0"/>
        <w:ind w:left="0" w:firstLine="0"/>
        <w:rPr>
          <w:i/>
          <w:iCs/>
          <w:szCs w:val="22"/>
          <w:lang w:eastAsia="en-US"/>
        </w:rPr>
      </w:pPr>
    </w:p>
    <w:p w14:paraId="2BC8028F" w14:textId="77777777" w:rsidR="000D10EC" w:rsidRPr="008422C4" w:rsidRDefault="000D10EC" w:rsidP="000D10EC">
      <w:pPr>
        <w:autoSpaceDE w:val="0"/>
        <w:autoSpaceDN w:val="0"/>
        <w:adjustRightInd w:val="0"/>
        <w:ind w:left="0" w:firstLine="0"/>
        <w:rPr>
          <w:i/>
          <w:iCs/>
          <w:szCs w:val="22"/>
          <w:lang w:eastAsia="en-US"/>
        </w:rPr>
      </w:pPr>
      <w:r w:rsidRPr="008422C4">
        <w:rPr>
          <w:i/>
          <w:iCs/>
          <w:szCs w:val="22"/>
          <w:lang w:eastAsia="en-US"/>
        </w:rPr>
        <w:t>Mnohopočetný myelóm: pacienti s aspoň jednou predchádzajúcou liečbou</w:t>
      </w:r>
    </w:p>
    <w:p w14:paraId="331700D1" w14:textId="77777777" w:rsidR="00D75E2C" w:rsidRPr="008422C4" w:rsidRDefault="000D10EC" w:rsidP="000D10EC">
      <w:pPr>
        <w:autoSpaceDE w:val="0"/>
        <w:autoSpaceDN w:val="0"/>
        <w:adjustRightInd w:val="0"/>
        <w:ind w:left="0" w:firstLine="0"/>
        <w:rPr>
          <w:szCs w:val="22"/>
        </w:rPr>
      </w:pPr>
      <w:r w:rsidRPr="008422C4">
        <w:rPr>
          <w:rFonts w:eastAsia="TimesNewRomanPSMT"/>
          <w:szCs w:val="22"/>
          <w:lang w:eastAsia="en-US"/>
        </w:rPr>
        <w:t xml:space="preserve">V dvoch štúdiách fázy III kontrolovaných placebom, bolo 353 pacientov s mnohopočetným myelómom </w:t>
      </w:r>
      <w:r w:rsidRPr="008422C4">
        <w:rPr>
          <w:szCs w:val="22"/>
          <w:lang w:eastAsia="en-US"/>
        </w:rPr>
        <w:t>vystavených kombinácii lenalidomidu/dexametazónu a 351 kombinácii placeba/dexametazónu.</w:t>
      </w:r>
    </w:p>
    <w:p w14:paraId="148715BD" w14:textId="77777777" w:rsidR="00D75E2C" w:rsidRPr="008422C4" w:rsidRDefault="00D75E2C" w:rsidP="00B31CB2">
      <w:pPr>
        <w:ind w:left="0" w:firstLine="0"/>
        <w:rPr>
          <w:szCs w:val="22"/>
        </w:rPr>
      </w:pPr>
    </w:p>
    <w:p w14:paraId="1D59B5E6" w14:textId="77777777" w:rsidR="0097114A" w:rsidRPr="008422C4" w:rsidRDefault="0097114A" w:rsidP="0097114A">
      <w:pPr>
        <w:autoSpaceDE w:val="0"/>
        <w:autoSpaceDN w:val="0"/>
        <w:adjustRightInd w:val="0"/>
        <w:ind w:left="0" w:firstLine="0"/>
        <w:rPr>
          <w:rFonts w:eastAsia="TimesNewRomanPSMT"/>
          <w:szCs w:val="22"/>
          <w:lang w:eastAsia="en-US"/>
        </w:rPr>
      </w:pPr>
      <w:r w:rsidRPr="008422C4">
        <w:rPr>
          <w:rFonts w:eastAsia="TimesNewRomanPSMT"/>
          <w:szCs w:val="22"/>
          <w:lang w:eastAsia="en-US"/>
        </w:rPr>
        <w:t>Najzávažnejšie nežiaduce reakcie pozorované častejšie pri kombinácii lenalidomid/dexametazón ako pri kombinácii placebo/dexametazón boli:</w:t>
      </w:r>
    </w:p>
    <w:p w14:paraId="15A401EA" w14:textId="77777777" w:rsidR="0097114A" w:rsidRPr="008422C4" w:rsidRDefault="0097114A" w:rsidP="0097114A">
      <w:pPr>
        <w:autoSpaceDE w:val="0"/>
        <w:autoSpaceDN w:val="0"/>
        <w:adjustRightInd w:val="0"/>
        <w:ind w:left="0" w:firstLine="0"/>
        <w:rPr>
          <w:rFonts w:eastAsia="TimesNewRomanPSMT"/>
          <w:szCs w:val="22"/>
          <w:lang w:eastAsia="en-US"/>
        </w:rPr>
      </w:pPr>
      <w:r w:rsidRPr="008422C4">
        <w:rPr>
          <w:rFonts w:eastAsia="SymbolMT"/>
          <w:szCs w:val="22"/>
          <w:lang w:eastAsia="en-US"/>
        </w:rPr>
        <w:t>•</w:t>
      </w:r>
      <w:r w:rsidRPr="008422C4">
        <w:rPr>
          <w:rFonts w:eastAsia="SymbolMT"/>
          <w:szCs w:val="22"/>
          <w:lang w:eastAsia="en-US"/>
        </w:rPr>
        <w:tab/>
      </w:r>
      <w:r w:rsidRPr="008422C4">
        <w:rPr>
          <w:rFonts w:eastAsia="TimesNewRomanPSMT"/>
          <w:szCs w:val="22"/>
          <w:lang w:eastAsia="en-US"/>
        </w:rPr>
        <w:t>venózny tromboembolizmus (trombóza hlbokých žíl a pľúcna embólia); (pozri časť 4.4)</w:t>
      </w:r>
    </w:p>
    <w:p w14:paraId="4FEA1AD0" w14:textId="77777777" w:rsidR="0097114A" w:rsidRPr="008422C4" w:rsidRDefault="0097114A" w:rsidP="0097114A">
      <w:pPr>
        <w:autoSpaceDE w:val="0"/>
        <w:autoSpaceDN w:val="0"/>
        <w:adjustRightInd w:val="0"/>
        <w:ind w:left="0" w:firstLine="0"/>
        <w:rPr>
          <w:rFonts w:eastAsia="TimesNewRomanPSMT"/>
          <w:szCs w:val="22"/>
          <w:lang w:eastAsia="en-US"/>
        </w:rPr>
      </w:pPr>
      <w:r w:rsidRPr="008422C4">
        <w:rPr>
          <w:rFonts w:eastAsia="SymbolMT"/>
          <w:szCs w:val="22"/>
          <w:lang w:eastAsia="en-US"/>
        </w:rPr>
        <w:t>•</w:t>
      </w:r>
      <w:r w:rsidRPr="008422C4">
        <w:rPr>
          <w:rFonts w:eastAsia="SymbolMT"/>
          <w:szCs w:val="22"/>
          <w:lang w:eastAsia="en-US"/>
        </w:rPr>
        <w:tab/>
        <w:t>n</w:t>
      </w:r>
      <w:r w:rsidRPr="008422C4">
        <w:rPr>
          <w:rFonts w:eastAsia="TimesNewRomanPSMT"/>
          <w:szCs w:val="22"/>
          <w:lang w:eastAsia="en-US"/>
        </w:rPr>
        <w:t>eutropénia 4. stupňa (pozri časť 4.4)</w:t>
      </w:r>
    </w:p>
    <w:p w14:paraId="63138F3A" w14:textId="77777777" w:rsidR="0097114A" w:rsidRPr="008422C4" w:rsidRDefault="0097114A" w:rsidP="0097114A">
      <w:pPr>
        <w:autoSpaceDE w:val="0"/>
        <w:autoSpaceDN w:val="0"/>
        <w:adjustRightInd w:val="0"/>
        <w:ind w:left="0" w:firstLine="0"/>
        <w:rPr>
          <w:rFonts w:eastAsia="TimesNewRomanPSMT"/>
          <w:szCs w:val="22"/>
          <w:lang w:eastAsia="en-US"/>
        </w:rPr>
      </w:pPr>
    </w:p>
    <w:p w14:paraId="006A92F8" w14:textId="6AE9DBDC" w:rsidR="0097114A" w:rsidRPr="008422C4" w:rsidRDefault="0097114A" w:rsidP="0097114A">
      <w:pPr>
        <w:autoSpaceDE w:val="0"/>
        <w:autoSpaceDN w:val="0"/>
        <w:adjustRightInd w:val="0"/>
        <w:ind w:left="0" w:firstLine="0"/>
        <w:rPr>
          <w:rFonts w:eastAsia="TimesNewRomanPSMT"/>
          <w:szCs w:val="22"/>
          <w:lang w:eastAsia="en-US"/>
        </w:rPr>
      </w:pPr>
      <w:r w:rsidRPr="008422C4">
        <w:rPr>
          <w:rFonts w:eastAsia="TimesNewRomanPSMT"/>
          <w:szCs w:val="22"/>
          <w:lang w:eastAsia="en-US"/>
        </w:rPr>
        <w:t xml:space="preserve">Pozorované nežiaduce účinky, ktoré sa častejšie vyskytli </w:t>
      </w:r>
      <w:r w:rsidR="0019320B">
        <w:rPr>
          <w:rFonts w:eastAsia="TimesNewRomanPSMT"/>
          <w:szCs w:val="22"/>
          <w:lang w:eastAsia="en-US"/>
        </w:rPr>
        <w:t>pri kombinácii</w:t>
      </w:r>
      <w:r w:rsidRPr="008422C4">
        <w:rPr>
          <w:rFonts w:eastAsia="TimesNewRomanPSMT"/>
          <w:szCs w:val="22"/>
          <w:lang w:eastAsia="en-US"/>
        </w:rPr>
        <w:t xml:space="preserve"> lenalidomid</w:t>
      </w:r>
      <w:r w:rsidR="0019320B">
        <w:rPr>
          <w:rFonts w:eastAsia="TimesNewRomanPSMT"/>
          <w:szCs w:val="22"/>
          <w:lang w:eastAsia="en-US"/>
        </w:rPr>
        <w:t>u</w:t>
      </w:r>
      <w:r w:rsidRPr="008422C4">
        <w:rPr>
          <w:rFonts w:eastAsia="TimesNewRomanPSMT"/>
          <w:szCs w:val="22"/>
          <w:lang w:eastAsia="en-US"/>
        </w:rPr>
        <w:t xml:space="preserve"> a dexametazón</w:t>
      </w:r>
      <w:r w:rsidR="0019320B">
        <w:rPr>
          <w:rFonts w:eastAsia="TimesNewRomanPSMT"/>
          <w:szCs w:val="22"/>
          <w:lang w:eastAsia="en-US"/>
        </w:rPr>
        <w:t>u</w:t>
      </w:r>
      <w:r w:rsidRPr="008422C4">
        <w:rPr>
          <w:rFonts w:eastAsia="TimesNewRomanPSMT"/>
          <w:szCs w:val="22"/>
          <w:lang w:eastAsia="en-US"/>
        </w:rPr>
        <w:t xml:space="preserve">, než </w:t>
      </w:r>
      <w:r w:rsidR="0019320B">
        <w:rPr>
          <w:rFonts w:eastAsia="TimesNewRomanPSMT"/>
          <w:szCs w:val="22"/>
          <w:lang w:eastAsia="en-US"/>
        </w:rPr>
        <w:t>pri kombinácii</w:t>
      </w:r>
      <w:r w:rsidRPr="008422C4">
        <w:rPr>
          <w:rFonts w:eastAsia="TimesNewRomanPSMT"/>
          <w:szCs w:val="22"/>
          <w:lang w:eastAsia="en-US"/>
        </w:rPr>
        <w:t xml:space="preserve"> placeb</w:t>
      </w:r>
      <w:r w:rsidR="0019320B">
        <w:rPr>
          <w:rFonts w:eastAsia="TimesNewRomanPSMT"/>
          <w:szCs w:val="22"/>
          <w:lang w:eastAsia="en-US"/>
        </w:rPr>
        <w:t>a</w:t>
      </w:r>
      <w:r w:rsidRPr="008422C4">
        <w:rPr>
          <w:rFonts w:eastAsia="TimesNewRomanPSMT"/>
          <w:szCs w:val="22"/>
          <w:lang w:eastAsia="en-US"/>
        </w:rPr>
        <w:t xml:space="preserve"> a dexametazón</w:t>
      </w:r>
      <w:r w:rsidR="0019320B">
        <w:rPr>
          <w:rFonts w:eastAsia="TimesNewRomanPSMT"/>
          <w:szCs w:val="22"/>
          <w:lang w:eastAsia="en-US"/>
        </w:rPr>
        <w:t>u</w:t>
      </w:r>
      <w:r w:rsidRPr="008422C4">
        <w:rPr>
          <w:rFonts w:eastAsia="TimesNewRomanPSMT"/>
          <w:szCs w:val="22"/>
          <w:lang w:eastAsia="en-US"/>
        </w:rPr>
        <w:t xml:space="preserve"> v</w:t>
      </w:r>
      <w:r w:rsidR="0019320B">
        <w:rPr>
          <w:rFonts w:eastAsia="TimesNewRomanPSMT"/>
          <w:szCs w:val="22"/>
          <w:lang w:eastAsia="en-US"/>
        </w:rPr>
        <w:t xml:space="preserve"> súhrne </w:t>
      </w:r>
      <w:r w:rsidRPr="008422C4">
        <w:rPr>
          <w:rFonts w:eastAsia="TimesNewRomanPSMT"/>
          <w:szCs w:val="22"/>
          <w:lang w:eastAsia="en-US"/>
        </w:rPr>
        <w:t>klinických štúdi</w:t>
      </w:r>
      <w:r w:rsidR="00556C5B">
        <w:rPr>
          <w:rFonts w:eastAsia="TimesNewRomanPSMT"/>
          <w:szCs w:val="22"/>
          <w:lang w:eastAsia="en-US"/>
        </w:rPr>
        <w:t>í</w:t>
      </w:r>
      <w:r w:rsidRPr="008422C4">
        <w:rPr>
          <w:rFonts w:eastAsia="TimesNewRomanPSMT"/>
          <w:szCs w:val="22"/>
          <w:lang w:eastAsia="en-US"/>
        </w:rPr>
        <w:t xml:space="preserve"> s mnohopočetným myelómom (MM-009 a MM-010), boli únava (43,9%), neutropénia (42,2%), zápcha (40,5%), hnačka (38,5 %), svalové kŕče (33,4%), anémia (31,4%), trombocytopénia (21,5%) a kožný výsev (21,2%).</w:t>
      </w:r>
    </w:p>
    <w:p w14:paraId="1394E0FB" w14:textId="77777777" w:rsidR="0097114A" w:rsidRPr="008422C4" w:rsidRDefault="0097114A" w:rsidP="0097114A">
      <w:pPr>
        <w:autoSpaceDE w:val="0"/>
        <w:autoSpaceDN w:val="0"/>
        <w:adjustRightInd w:val="0"/>
        <w:ind w:left="0" w:firstLine="0"/>
        <w:rPr>
          <w:rFonts w:eastAsia="TimesNewRomanPSMT"/>
          <w:i/>
          <w:iCs/>
          <w:szCs w:val="22"/>
          <w:lang w:eastAsia="en-US"/>
        </w:rPr>
      </w:pPr>
    </w:p>
    <w:p w14:paraId="5187A918" w14:textId="77777777" w:rsidR="0097114A" w:rsidRPr="008422C4" w:rsidRDefault="0097114A" w:rsidP="0097114A">
      <w:pPr>
        <w:autoSpaceDE w:val="0"/>
        <w:autoSpaceDN w:val="0"/>
        <w:adjustRightInd w:val="0"/>
        <w:ind w:left="0" w:firstLine="0"/>
        <w:rPr>
          <w:rFonts w:eastAsia="TimesNewRomanPSMT"/>
          <w:i/>
          <w:iCs/>
          <w:szCs w:val="22"/>
          <w:lang w:eastAsia="en-US"/>
        </w:rPr>
      </w:pPr>
      <w:r w:rsidRPr="008422C4">
        <w:rPr>
          <w:rFonts w:eastAsia="TimesNewRomanPSMT"/>
          <w:i/>
          <w:iCs/>
          <w:szCs w:val="22"/>
          <w:lang w:eastAsia="en-US"/>
        </w:rPr>
        <w:t>Myelodysplastický syndróm</w:t>
      </w:r>
    </w:p>
    <w:p w14:paraId="5C6ECDA1" w14:textId="77777777" w:rsidR="0097114A" w:rsidRPr="008422C4" w:rsidRDefault="0097114A" w:rsidP="0097114A">
      <w:pPr>
        <w:autoSpaceDE w:val="0"/>
        <w:autoSpaceDN w:val="0"/>
        <w:adjustRightInd w:val="0"/>
        <w:ind w:left="0" w:firstLine="0"/>
        <w:rPr>
          <w:rFonts w:eastAsia="TimesNewRomanPSMT"/>
          <w:szCs w:val="22"/>
          <w:lang w:eastAsia="en-US"/>
        </w:rPr>
      </w:pPr>
      <w:r w:rsidRPr="008422C4">
        <w:rPr>
          <w:rFonts w:eastAsia="TimesNewRomanPSMT"/>
          <w:szCs w:val="22"/>
          <w:lang w:eastAsia="en-US"/>
        </w:rPr>
        <w:t>Celkový bezpečnostný profil lenalidomidu u pacientov s myelodysplastickým syndrómom je založený na údajoch od celkovo 286 pacientov z jednej štúdie fázy II a jednej štúdie fázy III (pozri časť 5.1). V štúdii fázy II všetci 148 pacienti dostávali liečbu lenalidomidom. V štúdii fázy III dostávalo 69 pacientov 5 mg lenalidomidu, 69 pacientov 10 mg lenalidomidu a 67 pacientov dostávalo placebo v priebehu dvojito zaslepenej fázy štúdie.</w:t>
      </w:r>
    </w:p>
    <w:p w14:paraId="21D37BCC" w14:textId="77777777" w:rsidR="0097114A" w:rsidRPr="008422C4" w:rsidRDefault="0097114A" w:rsidP="0097114A">
      <w:pPr>
        <w:autoSpaceDE w:val="0"/>
        <w:autoSpaceDN w:val="0"/>
        <w:adjustRightInd w:val="0"/>
        <w:ind w:left="0" w:firstLine="0"/>
        <w:rPr>
          <w:rFonts w:eastAsia="TimesNewRomanPSMT"/>
          <w:szCs w:val="22"/>
          <w:lang w:eastAsia="en-US"/>
        </w:rPr>
      </w:pPr>
    </w:p>
    <w:p w14:paraId="49410093" w14:textId="77777777" w:rsidR="0097114A" w:rsidRPr="008422C4" w:rsidRDefault="0097114A" w:rsidP="0097114A">
      <w:pPr>
        <w:autoSpaceDE w:val="0"/>
        <w:autoSpaceDN w:val="0"/>
        <w:adjustRightInd w:val="0"/>
        <w:ind w:left="0" w:firstLine="0"/>
        <w:rPr>
          <w:rFonts w:eastAsia="TimesNewRomanPSMT"/>
          <w:szCs w:val="22"/>
          <w:lang w:eastAsia="en-US"/>
        </w:rPr>
      </w:pPr>
      <w:r w:rsidRPr="008422C4">
        <w:rPr>
          <w:rFonts w:eastAsia="TimesNewRomanPSMT"/>
          <w:szCs w:val="22"/>
          <w:lang w:eastAsia="en-US"/>
        </w:rPr>
        <w:t>Väčšina nežiaducich účinkov sa zvyčajne vyskytovala v priebehu prvých 16 týždňov liečby lenalidomidom.</w:t>
      </w:r>
    </w:p>
    <w:p w14:paraId="5DBFDB78" w14:textId="77777777" w:rsidR="0097114A" w:rsidRPr="008422C4" w:rsidRDefault="0097114A" w:rsidP="0097114A">
      <w:pPr>
        <w:autoSpaceDE w:val="0"/>
        <w:autoSpaceDN w:val="0"/>
        <w:adjustRightInd w:val="0"/>
        <w:ind w:left="0" w:firstLine="0"/>
        <w:rPr>
          <w:rFonts w:eastAsia="TimesNewRomanPSMT"/>
          <w:szCs w:val="22"/>
          <w:lang w:eastAsia="en-US"/>
        </w:rPr>
      </w:pPr>
    </w:p>
    <w:p w14:paraId="24538328" w14:textId="77777777" w:rsidR="0097114A" w:rsidRPr="008422C4" w:rsidRDefault="0097114A" w:rsidP="0097114A">
      <w:pPr>
        <w:autoSpaceDE w:val="0"/>
        <w:autoSpaceDN w:val="0"/>
        <w:adjustRightInd w:val="0"/>
        <w:ind w:left="0" w:firstLine="0"/>
        <w:rPr>
          <w:rFonts w:eastAsia="TimesNewRomanPSMT"/>
          <w:szCs w:val="22"/>
          <w:lang w:eastAsia="en-US"/>
        </w:rPr>
      </w:pPr>
      <w:r w:rsidRPr="008422C4">
        <w:rPr>
          <w:rFonts w:eastAsia="TimesNewRomanPSMT"/>
          <w:szCs w:val="22"/>
          <w:lang w:eastAsia="en-US"/>
        </w:rPr>
        <w:t>Závažné nežiaduce reakcie zahŕňajú:</w:t>
      </w:r>
    </w:p>
    <w:p w14:paraId="32DB52F9" w14:textId="77777777" w:rsidR="0097114A" w:rsidRPr="008422C4" w:rsidRDefault="0097114A" w:rsidP="0097114A">
      <w:pPr>
        <w:autoSpaceDE w:val="0"/>
        <w:autoSpaceDN w:val="0"/>
        <w:adjustRightInd w:val="0"/>
        <w:ind w:left="0" w:firstLine="0"/>
        <w:rPr>
          <w:rFonts w:eastAsia="TimesNewRomanPSMT"/>
          <w:szCs w:val="22"/>
          <w:lang w:eastAsia="en-US"/>
        </w:rPr>
      </w:pPr>
      <w:r w:rsidRPr="008422C4">
        <w:rPr>
          <w:rFonts w:eastAsia="SymbolMT"/>
          <w:szCs w:val="22"/>
          <w:lang w:eastAsia="en-US"/>
        </w:rPr>
        <w:t>•</w:t>
      </w:r>
      <w:r w:rsidRPr="008422C4">
        <w:rPr>
          <w:rFonts w:eastAsia="SymbolMT"/>
          <w:szCs w:val="22"/>
          <w:lang w:eastAsia="en-US"/>
        </w:rPr>
        <w:tab/>
        <w:t>v</w:t>
      </w:r>
      <w:r w:rsidRPr="008422C4">
        <w:rPr>
          <w:rFonts w:eastAsia="TimesNewRomanPSMT"/>
          <w:szCs w:val="22"/>
          <w:lang w:eastAsia="en-US"/>
        </w:rPr>
        <w:t>enózny trombembolizmus (trombóza hlbokých žíl a pľúcna embólia); (pozri časť 4.4)</w:t>
      </w:r>
    </w:p>
    <w:p w14:paraId="230AF233" w14:textId="77777777" w:rsidR="0097114A" w:rsidRPr="008422C4" w:rsidRDefault="0097114A" w:rsidP="0097114A">
      <w:pPr>
        <w:autoSpaceDE w:val="0"/>
        <w:autoSpaceDN w:val="0"/>
        <w:adjustRightInd w:val="0"/>
        <w:ind w:left="720" w:hanging="720"/>
        <w:rPr>
          <w:rFonts w:eastAsia="TimesNewRomanPSMT"/>
          <w:szCs w:val="22"/>
          <w:lang w:eastAsia="en-US"/>
        </w:rPr>
      </w:pPr>
      <w:r w:rsidRPr="008422C4">
        <w:rPr>
          <w:rFonts w:eastAsia="SymbolMT"/>
          <w:szCs w:val="22"/>
          <w:lang w:eastAsia="en-US"/>
        </w:rPr>
        <w:t>•</w:t>
      </w:r>
      <w:r w:rsidRPr="008422C4">
        <w:rPr>
          <w:rFonts w:eastAsia="SymbolMT"/>
          <w:szCs w:val="22"/>
          <w:lang w:eastAsia="en-US"/>
        </w:rPr>
        <w:tab/>
        <w:t>n</w:t>
      </w:r>
      <w:r w:rsidRPr="008422C4">
        <w:rPr>
          <w:rFonts w:eastAsia="TimesNewRomanPSMT"/>
          <w:szCs w:val="22"/>
          <w:lang w:eastAsia="en-US"/>
        </w:rPr>
        <w:t>eutropéniu 3. alebo 4. stupňa, febrilnú neutropéniu a trombocytopéniu 3. alebo 4. stupňa (pozri časť 4.4).</w:t>
      </w:r>
    </w:p>
    <w:p w14:paraId="75FA5CE6" w14:textId="77777777" w:rsidR="0097114A" w:rsidRPr="008422C4" w:rsidRDefault="0097114A" w:rsidP="0097114A">
      <w:pPr>
        <w:autoSpaceDE w:val="0"/>
        <w:autoSpaceDN w:val="0"/>
        <w:adjustRightInd w:val="0"/>
        <w:ind w:left="0" w:firstLine="0"/>
        <w:rPr>
          <w:rFonts w:eastAsia="TimesNewRomanPSMT"/>
          <w:szCs w:val="22"/>
          <w:lang w:eastAsia="en-US"/>
        </w:rPr>
      </w:pPr>
    </w:p>
    <w:p w14:paraId="20CAE39C" w14:textId="28A466E8" w:rsidR="0097114A" w:rsidRPr="008422C4" w:rsidRDefault="0097114A" w:rsidP="0097114A">
      <w:pPr>
        <w:autoSpaceDE w:val="0"/>
        <w:autoSpaceDN w:val="0"/>
        <w:adjustRightInd w:val="0"/>
        <w:ind w:left="0" w:firstLine="0"/>
        <w:rPr>
          <w:rFonts w:eastAsia="TimesNewRomanPSMT"/>
          <w:szCs w:val="22"/>
          <w:lang w:eastAsia="en-US"/>
        </w:rPr>
      </w:pPr>
      <w:r w:rsidRPr="008422C4">
        <w:rPr>
          <w:rFonts w:eastAsia="TimesNewRomanPSMT"/>
          <w:szCs w:val="22"/>
          <w:lang w:eastAsia="en-US"/>
        </w:rPr>
        <w:t xml:space="preserve">Najčastejšie pozorované nežiaduce reakcie, ktoré sa vyskytovali častejšie v skupinách s lenalidomidom v porovnaní s kontrolnou skupinou v štúdii fázy III, boli neutropénia (76,8%), trombocytopénia (46,4%), hnačka (34,8%), zápcha (19,6%), nauzea (19,6%), pruritus (25,4%), kožný výsev (18,1%), únava (18,1%) a svalové </w:t>
      </w:r>
      <w:r w:rsidR="0019320B">
        <w:rPr>
          <w:rFonts w:eastAsia="TimesNewRomanPSMT"/>
          <w:szCs w:val="22"/>
          <w:lang w:eastAsia="en-US"/>
        </w:rPr>
        <w:t>kŕče</w:t>
      </w:r>
      <w:r w:rsidRPr="008422C4">
        <w:rPr>
          <w:rFonts w:eastAsia="TimesNewRomanPSMT"/>
          <w:szCs w:val="22"/>
          <w:lang w:eastAsia="en-US"/>
        </w:rPr>
        <w:t xml:space="preserve"> (16,7%).</w:t>
      </w:r>
    </w:p>
    <w:p w14:paraId="228A9B7C" w14:textId="77777777" w:rsidR="0097114A" w:rsidRPr="008422C4" w:rsidRDefault="0097114A" w:rsidP="0097114A">
      <w:pPr>
        <w:autoSpaceDE w:val="0"/>
        <w:autoSpaceDN w:val="0"/>
        <w:adjustRightInd w:val="0"/>
        <w:ind w:left="0" w:firstLine="0"/>
        <w:rPr>
          <w:rFonts w:eastAsia="TimesNewRomanPSMT"/>
          <w:i/>
          <w:iCs/>
          <w:szCs w:val="22"/>
          <w:lang w:eastAsia="en-US"/>
        </w:rPr>
      </w:pPr>
    </w:p>
    <w:p w14:paraId="3A7BA649" w14:textId="77777777" w:rsidR="0097114A" w:rsidRPr="008422C4" w:rsidRDefault="0097114A" w:rsidP="0097114A">
      <w:pPr>
        <w:autoSpaceDE w:val="0"/>
        <w:autoSpaceDN w:val="0"/>
        <w:adjustRightInd w:val="0"/>
        <w:ind w:left="0" w:firstLine="0"/>
        <w:rPr>
          <w:rFonts w:eastAsia="TimesNewRomanPSMT"/>
          <w:i/>
          <w:iCs/>
          <w:szCs w:val="22"/>
          <w:lang w:eastAsia="en-US"/>
        </w:rPr>
      </w:pPr>
      <w:r w:rsidRPr="008422C4">
        <w:rPr>
          <w:rFonts w:eastAsia="TimesNewRomanPSMT"/>
          <w:i/>
          <w:iCs/>
          <w:szCs w:val="22"/>
          <w:lang w:eastAsia="en-US"/>
        </w:rPr>
        <w:t>Lymfóm z plášťových buniek</w:t>
      </w:r>
    </w:p>
    <w:p w14:paraId="34A707E0" w14:textId="77777777" w:rsidR="00D75E2C" w:rsidRPr="008422C4" w:rsidRDefault="0097114A" w:rsidP="0097114A">
      <w:pPr>
        <w:autoSpaceDE w:val="0"/>
        <w:autoSpaceDN w:val="0"/>
        <w:adjustRightInd w:val="0"/>
        <w:ind w:left="0" w:firstLine="0"/>
        <w:rPr>
          <w:szCs w:val="22"/>
        </w:rPr>
      </w:pPr>
      <w:r w:rsidRPr="008422C4">
        <w:rPr>
          <w:rFonts w:eastAsia="TimesNewRomanPSMT"/>
          <w:szCs w:val="22"/>
          <w:lang w:eastAsia="en-US"/>
        </w:rPr>
        <w:t>Celkový bezpečnostný profil lenalidomidu u pacientov s lymfómom z plášťových buniek je založený na údajoch od celkovo 254 pacientov z fázy II randomizovanej, kontrolovanej štúdie MCL-002 (pozri časť 5.1). Navyše sú v tabuľke 3 zahrnuté nežiaduce účinky z podpornej štúdie MCL-001.</w:t>
      </w:r>
    </w:p>
    <w:p w14:paraId="06E5EF8D" w14:textId="77777777" w:rsidR="00D75E2C" w:rsidRPr="008422C4" w:rsidRDefault="00D75E2C" w:rsidP="00B31CB2">
      <w:pPr>
        <w:ind w:left="0" w:firstLine="0"/>
        <w:rPr>
          <w:szCs w:val="22"/>
        </w:rPr>
      </w:pPr>
    </w:p>
    <w:p w14:paraId="3E23992A" w14:textId="77777777" w:rsidR="0097114A" w:rsidRPr="008422C4" w:rsidRDefault="0097114A" w:rsidP="0097114A">
      <w:pPr>
        <w:autoSpaceDE w:val="0"/>
        <w:autoSpaceDN w:val="0"/>
        <w:adjustRightInd w:val="0"/>
        <w:ind w:left="0" w:firstLine="0"/>
        <w:rPr>
          <w:rFonts w:eastAsia="TimesNewRomanPSMT"/>
          <w:szCs w:val="22"/>
          <w:lang w:eastAsia="en-US"/>
        </w:rPr>
      </w:pPr>
      <w:r w:rsidRPr="008422C4">
        <w:rPr>
          <w:rFonts w:eastAsia="TimesNewRomanPSMT"/>
          <w:szCs w:val="22"/>
          <w:lang w:eastAsia="en-US"/>
        </w:rPr>
        <w:t>Závažné nežiaduce reakcie boli pozorované častejšie v štúdii MCL-002 (s rozdielom najmenej 2 percentových bodov) v skupine liečenej lenalidomidom v porovnaní s kontrolnou skupinou:</w:t>
      </w:r>
    </w:p>
    <w:p w14:paraId="76B7A8C9" w14:textId="77777777" w:rsidR="0097114A" w:rsidRPr="008422C4" w:rsidRDefault="0097114A" w:rsidP="0097114A">
      <w:pPr>
        <w:autoSpaceDE w:val="0"/>
        <w:autoSpaceDN w:val="0"/>
        <w:adjustRightInd w:val="0"/>
        <w:ind w:left="0" w:firstLine="0"/>
        <w:rPr>
          <w:rFonts w:eastAsia="TimesNewRomanPSMT"/>
          <w:szCs w:val="22"/>
          <w:lang w:eastAsia="en-US"/>
        </w:rPr>
      </w:pPr>
      <w:r w:rsidRPr="008422C4">
        <w:rPr>
          <w:rFonts w:eastAsia="SymbolMT"/>
          <w:szCs w:val="22"/>
          <w:lang w:eastAsia="en-US"/>
        </w:rPr>
        <w:t>•</w:t>
      </w:r>
      <w:r w:rsidRPr="008422C4">
        <w:rPr>
          <w:rFonts w:eastAsia="SymbolMT"/>
          <w:szCs w:val="22"/>
          <w:lang w:eastAsia="en-US"/>
        </w:rPr>
        <w:tab/>
        <w:t>n</w:t>
      </w:r>
      <w:r w:rsidRPr="008422C4">
        <w:rPr>
          <w:rFonts w:eastAsia="TimesNewRomanPSMT"/>
          <w:szCs w:val="22"/>
          <w:lang w:eastAsia="en-US"/>
        </w:rPr>
        <w:t>eutropénia (3,6%)</w:t>
      </w:r>
    </w:p>
    <w:p w14:paraId="7ED320A0" w14:textId="77777777" w:rsidR="0097114A" w:rsidRPr="008422C4" w:rsidRDefault="0097114A" w:rsidP="0097114A">
      <w:pPr>
        <w:autoSpaceDE w:val="0"/>
        <w:autoSpaceDN w:val="0"/>
        <w:adjustRightInd w:val="0"/>
        <w:ind w:left="0" w:firstLine="0"/>
        <w:rPr>
          <w:rFonts w:eastAsia="TimesNewRomanPSMT"/>
          <w:szCs w:val="22"/>
          <w:lang w:eastAsia="en-US"/>
        </w:rPr>
      </w:pPr>
      <w:r w:rsidRPr="008422C4">
        <w:rPr>
          <w:rFonts w:eastAsia="SymbolMT"/>
          <w:szCs w:val="22"/>
          <w:lang w:eastAsia="en-US"/>
        </w:rPr>
        <w:t>•</w:t>
      </w:r>
      <w:r w:rsidRPr="008422C4">
        <w:rPr>
          <w:rFonts w:eastAsia="SymbolMT"/>
          <w:szCs w:val="22"/>
          <w:lang w:eastAsia="en-US"/>
        </w:rPr>
        <w:tab/>
        <w:t>p</w:t>
      </w:r>
      <w:r w:rsidRPr="008422C4">
        <w:rPr>
          <w:rFonts w:eastAsia="TimesNewRomanPSMT"/>
          <w:szCs w:val="22"/>
          <w:lang w:eastAsia="en-US"/>
        </w:rPr>
        <w:t>ľúcna embólia (3,6%)</w:t>
      </w:r>
    </w:p>
    <w:p w14:paraId="049792D7" w14:textId="77777777" w:rsidR="0097114A" w:rsidRPr="008422C4" w:rsidRDefault="0097114A" w:rsidP="0097114A">
      <w:pPr>
        <w:autoSpaceDE w:val="0"/>
        <w:autoSpaceDN w:val="0"/>
        <w:adjustRightInd w:val="0"/>
        <w:ind w:left="0" w:firstLine="0"/>
        <w:rPr>
          <w:rFonts w:eastAsia="TimesNewRomanPSMT"/>
          <w:szCs w:val="22"/>
          <w:lang w:eastAsia="en-US"/>
        </w:rPr>
      </w:pPr>
      <w:r w:rsidRPr="008422C4">
        <w:rPr>
          <w:rFonts w:eastAsia="SymbolMT"/>
          <w:szCs w:val="22"/>
          <w:lang w:eastAsia="en-US"/>
        </w:rPr>
        <w:t>•</w:t>
      </w:r>
      <w:r w:rsidRPr="008422C4">
        <w:rPr>
          <w:rFonts w:eastAsia="SymbolMT"/>
          <w:szCs w:val="22"/>
          <w:lang w:eastAsia="en-US"/>
        </w:rPr>
        <w:tab/>
        <w:t>h</w:t>
      </w:r>
      <w:r w:rsidRPr="008422C4">
        <w:rPr>
          <w:rFonts w:eastAsia="TimesNewRomanPSMT"/>
          <w:szCs w:val="22"/>
          <w:lang w:eastAsia="en-US"/>
        </w:rPr>
        <w:t>načka (3,6%)</w:t>
      </w:r>
    </w:p>
    <w:p w14:paraId="45E8E732" w14:textId="77777777" w:rsidR="0097114A" w:rsidRPr="008422C4" w:rsidRDefault="0097114A" w:rsidP="0097114A">
      <w:pPr>
        <w:autoSpaceDE w:val="0"/>
        <w:autoSpaceDN w:val="0"/>
        <w:adjustRightInd w:val="0"/>
        <w:ind w:left="0" w:firstLine="0"/>
        <w:rPr>
          <w:rFonts w:eastAsia="TimesNewRomanPSMT"/>
          <w:szCs w:val="22"/>
          <w:lang w:eastAsia="en-US"/>
        </w:rPr>
      </w:pPr>
    </w:p>
    <w:p w14:paraId="12FA3FA2" w14:textId="77777777" w:rsidR="0097114A" w:rsidRPr="008422C4" w:rsidRDefault="0097114A" w:rsidP="0097114A">
      <w:pPr>
        <w:autoSpaceDE w:val="0"/>
        <w:autoSpaceDN w:val="0"/>
        <w:adjustRightInd w:val="0"/>
        <w:ind w:left="0" w:firstLine="0"/>
        <w:rPr>
          <w:rFonts w:eastAsia="TimesNewRomanPSMT"/>
          <w:szCs w:val="22"/>
          <w:lang w:eastAsia="en-US"/>
        </w:rPr>
      </w:pPr>
      <w:r w:rsidRPr="008422C4">
        <w:rPr>
          <w:rFonts w:eastAsia="TimesNewRomanPSMT"/>
          <w:szCs w:val="22"/>
          <w:lang w:eastAsia="en-US"/>
        </w:rPr>
        <w:t>Najčastejšie pozorované nežiaduce reakcie, ktoré sa vyskytovali častejšie v skupine s lenalidomidom</w:t>
      </w:r>
      <w:r w:rsidR="000C3636" w:rsidRPr="008422C4">
        <w:rPr>
          <w:rFonts w:eastAsia="TimesNewRomanPSMT"/>
          <w:szCs w:val="22"/>
          <w:lang w:eastAsia="en-US"/>
        </w:rPr>
        <w:t xml:space="preserve"> </w:t>
      </w:r>
      <w:r w:rsidRPr="008422C4">
        <w:rPr>
          <w:rFonts w:eastAsia="TimesNewRomanPSMT"/>
          <w:szCs w:val="22"/>
          <w:lang w:eastAsia="en-US"/>
        </w:rPr>
        <w:t xml:space="preserve">v porovnaní s kontrolnou skupinou v štúdii </w:t>
      </w:r>
      <w:r w:rsidR="000C3636" w:rsidRPr="008422C4">
        <w:rPr>
          <w:rFonts w:eastAsia="TimesNewRomanPSMT"/>
          <w:szCs w:val="22"/>
          <w:lang w:eastAsia="en-US"/>
        </w:rPr>
        <w:t>MCL-002, boli neutropénia (50,9</w:t>
      </w:r>
      <w:r w:rsidRPr="008422C4">
        <w:rPr>
          <w:rFonts w:eastAsia="TimesNewRomanPSMT"/>
          <w:szCs w:val="22"/>
          <w:lang w:eastAsia="en-US"/>
        </w:rPr>
        <w:t>%), anémia (28,7%),</w:t>
      </w:r>
    </w:p>
    <w:p w14:paraId="2567F4DB" w14:textId="77777777" w:rsidR="0097114A" w:rsidRPr="008422C4" w:rsidRDefault="0097114A" w:rsidP="0097114A">
      <w:pPr>
        <w:autoSpaceDE w:val="0"/>
        <w:autoSpaceDN w:val="0"/>
        <w:adjustRightInd w:val="0"/>
        <w:ind w:left="0" w:firstLine="0"/>
        <w:rPr>
          <w:rFonts w:eastAsia="TimesNewRomanPSMT"/>
          <w:szCs w:val="22"/>
          <w:lang w:eastAsia="en-US"/>
        </w:rPr>
      </w:pPr>
      <w:r w:rsidRPr="008422C4">
        <w:rPr>
          <w:rFonts w:eastAsia="TimesNewRomanPSMT"/>
          <w:szCs w:val="22"/>
          <w:lang w:eastAsia="en-US"/>
        </w:rPr>
        <w:lastRenderedPageBreak/>
        <w:t>hnačka (22,8%), únava (21,0%), zápcha (17,4%), horúčka (16,8%) a vyrážka (zahŕňa alergickú</w:t>
      </w:r>
      <w:r w:rsidR="000C3636" w:rsidRPr="008422C4">
        <w:rPr>
          <w:rFonts w:eastAsia="TimesNewRomanPSMT"/>
          <w:szCs w:val="22"/>
          <w:lang w:eastAsia="en-US"/>
        </w:rPr>
        <w:t xml:space="preserve"> </w:t>
      </w:r>
      <w:r w:rsidRPr="008422C4">
        <w:rPr>
          <w:rFonts w:eastAsia="TimesNewRomanPSMT"/>
          <w:szCs w:val="22"/>
          <w:lang w:eastAsia="en-US"/>
        </w:rPr>
        <w:t>dermatitídu) (16,2%)</w:t>
      </w:r>
      <w:r w:rsidR="000C3636" w:rsidRPr="008422C4">
        <w:rPr>
          <w:rFonts w:eastAsia="TimesNewRomanPSMT"/>
          <w:szCs w:val="22"/>
          <w:lang w:eastAsia="en-US"/>
        </w:rPr>
        <w:t>.</w:t>
      </w:r>
    </w:p>
    <w:p w14:paraId="20294895" w14:textId="77777777" w:rsidR="000C3636" w:rsidRPr="008422C4" w:rsidRDefault="000C3636" w:rsidP="0097114A">
      <w:pPr>
        <w:autoSpaceDE w:val="0"/>
        <w:autoSpaceDN w:val="0"/>
        <w:adjustRightInd w:val="0"/>
        <w:ind w:left="0" w:firstLine="0"/>
        <w:rPr>
          <w:rFonts w:eastAsia="TimesNewRomanPSMT"/>
          <w:szCs w:val="22"/>
          <w:lang w:eastAsia="en-US"/>
        </w:rPr>
      </w:pPr>
    </w:p>
    <w:p w14:paraId="6AD2397E" w14:textId="77777777" w:rsidR="00D75E2C" w:rsidRPr="008422C4" w:rsidRDefault="0097114A" w:rsidP="000C3636">
      <w:pPr>
        <w:autoSpaceDE w:val="0"/>
        <w:autoSpaceDN w:val="0"/>
        <w:adjustRightInd w:val="0"/>
        <w:ind w:left="0" w:firstLine="0"/>
        <w:rPr>
          <w:szCs w:val="22"/>
        </w:rPr>
      </w:pPr>
      <w:r w:rsidRPr="008422C4">
        <w:rPr>
          <w:rFonts w:eastAsia="TimesNewRomanPSMT"/>
          <w:szCs w:val="22"/>
          <w:lang w:eastAsia="en-US"/>
        </w:rPr>
        <w:t>V štúdii MCL-002 bol celkový zjavný nárast predčasného (do 20 týždňov) úmrtia. U pacientov s vysokou</w:t>
      </w:r>
      <w:r w:rsidR="000C3636" w:rsidRPr="008422C4">
        <w:rPr>
          <w:rFonts w:eastAsia="TimesNewRomanPSMT"/>
          <w:szCs w:val="22"/>
          <w:lang w:eastAsia="en-US"/>
        </w:rPr>
        <w:t xml:space="preserve"> </w:t>
      </w:r>
      <w:r w:rsidRPr="008422C4">
        <w:rPr>
          <w:rFonts w:eastAsia="TimesNewRomanPSMT"/>
          <w:szCs w:val="22"/>
          <w:lang w:eastAsia="en-US"/>
        </w:rPr>
        <w:t>nádorovou záťažou pred liečbou existuje zvýšené riziko predčasného úmrtia; 16/81 (20%) predčasných</w:t>
      </w:r>
      <w:r w:rsidR="000C3636" w:rsidRPr="008422C4">
        <w:rPr>
          <w:rFonts w:eastAsia="TimesNewRomanPSMT"/>
          <w:szCs w:val="22"/>
          <w:lang w:eastAsia="en-US"/>
        </w:rPr>
        <w:t xml:space="preserve"> </w:t>
      </w:r>
      <w:r w:rsidRPr="008422C4">
        <w:rPr>
          <w:rFonts w:eastAsia="TimesNewRomanPSMT"/>
          <w:szCs w:val="22"/>
          <w:lang w:eastAsia="en-US"/>
        </w:rPr>
        <w:t>úmrtí v skupine s lenalidomidom a 2/28 (7%) predčasných úmrtí v kontrolnej skupine. V 52. týždni boli</w:t>
      </w:r>
      <w:r w:rsidR="000C3636" w:rsidRPr="008422C4">
        <w:rPr>
          <w:rFonts w:eastAsia="TimesNewRomanPSMT"/>
          <w:szCs w:val="22"/>
          <w:lang w:eastAsia="en-US"/>
        </w:rPr>
        <w:t xml:space="preserve"> </w:t>
      </w:r>
      <w:r w:rsidRPr="008422C4">
        <w:rPr>
          <w:rFonts w:eastAsia="TimesNewRomanPSMT"/>
          <w:szCs w:val="22"/>
          <w:lang w:eastAsia="en-US"/>
        </w:rPr>
        <w:t>zodpovedajúce údaje 32/81 (39,5%) a 6/28 (21%) (pozri časť 5.1).</w:t>
      </w:r>
    </w:p>
    <w:p w14:paraId="1DF48DE9" w14:textId="77777777" w:rsidR="00283F4F" w:rsidRPr="008422C4" w:rsidRDefault="00283F4F" w:rsidP="00283F4F">
      <w:pPr>
        <w:autoSpaceDE w:val="0"/>
        <w:autoSpaceDN w:val="0"/>
        <w:adjustRightInd w:val="0"/>
        <w:ind w:left="0" w:firstLine="0"/>
        <w:rPr>
          <w:rFonts w:eastAsia="TimesNewRomanPSMT"/>
          <w:szCs w:val="22"/>
          <w:lang w:eastAsia="en-US"/>
        </w:rPr>
      </w:pPr>
      <w:r w:rsidRPr="008422C4">
        <w:rPr>
          <w:rFonts w:eastAsia="TimesNewRomanPSMT"/>
          <w:szCs w:val="22"/>
          <w:lang w:eastAsia="en-US"/>
        </w:rPr>
        <w:t xml:space="preserve">Počas liečebného cyklu 1 bola u 11/81 (14%) pacientov </w:t>
      </w:r>
      <w:r w:rsidR="0019320B" w:rsidRPr="0019320B">
        <w:rPr>
          <w:rFonts w:eastAsia="TimesNewRomanPSMT"/>
          <w:szCs w:val="22"/>
          <w:lang w:eastAsia="en-US"/>
        </w:rPr>
        <w:t xml:space="preserve">s vysokou nádorovou záťažou </w:t>
      </w:r>
      <w:r w:rsidRPr="008422C4">
        <w:rPr>
          <w:rFonts w:eastAsia="TimesNewRomanPSMT"/>
          <w:szCs w:val="22"/>
          <w:lang w:eastAsia="en-US"/>
        </w:rPr>
        <w:t>v skupine s lenalidomidom liečba prerušená oproti 1/28 (4%) v kontrolnej skupine. Hlavným dôvodom prerušenia liečby u pacientov s vysokou nádorovou záťažou počas liečebného cyklu 1 v skupine s lenalidomidom boli nežiaduce účinky, 7/11 (64%). Vysoká nádorová záťaž bola definovaná ako najmenej jedna lézia s priemerom ≥5 cm alebo 3 lézie s priemerom ≥3 cm.</w:t>
      </w:r>
    </w:p>
    <w:p w14:paraId="49F4F64A" w14:textId="77777777" w:rsidR="00283F4F" w:rsidRPr="008422C4" w:rsidRDefault="00283F4F" w:rsidP="00283F4F">
      <w:pPr>
        <w:autoSpaceDE w:val="0"/>
        <w:autoSpaceDN w:val="0"/>
        <w:adjustRightInd w:val="0"/>
        <w:ind w:left="0" w:firstLine="0"/>
        <w:rPr>
          <w:rFonts w:eastAsia="TimesNewRomanPSMT"/>
          <w:szCs w:val="22"/>
          <w:lang w:eastAsia="en-US"/>
        </w:rPr>
      </w:pPr>
    </w:p>
    <w:p w14:paraId="55995C22" w14:textId="77777777" w:rsidR="00283F4F" w:rsidRPr="008422C4" w:rsidRDefault="00283F4F" w:rsidP="00283F4F">
      <w:pPr>
        <w:autoSpaceDE w:val="0"/>
        <w:autoSpaceDN w:val="0"/>
        <w:adjustRightInd w:val="0"/>
        <w:ind w:left="0" w:firstLine="0"/>
        <w:rPr>
          <w:rFonts w:eastAsia="TimesNewRomanPSMT"/>
          <w:szCs w:val="22"/>
          <w:u w:val="single"/>
          <w:lang w:eastAsia="en-US"/>
        </w:rPr>
      </w:pPr>
      <w:r w:rsidRPr="008422C4">
        <w:rPr>
          <w:rFonts w:eastAsia="TimesNewRomanPSMT"/>
          <w:szCs w:val="22"/>
          <w:u w:val="single"/>
          <w:lang w:eastAsia="en-US"/>
        </w:rPr>
        <w:t>Prehľad nežiaducich účinkov v tabuľke</w:t>
      </w:r>
    </w:p>
    <w:p w14:paraId="777069BA" w14:textId="43200675" w:rsidR="00283F4F" w:rsidRPr="008422C4" w:rsidRDefault="00283F4F" w:rsidP="00283F4F">
      <w:pPr>
        <w:autoSpaceDE w:val="0"/>
        <w:autoSpaceDN w:val="0"/>
        <w:adjustRightInd w:val="0"/>
        <w:ind w:left="0" w:firstLine="0"/>
        <w:rPr>
          <w:rFonts w:eastAsia="TimesNewRomanPSMT"/>
          <w:szCs w:val="22"/>
          <w:lang w:eastAsia="en-US"/>
        </w:rPr>
      </w:pPr>
      <w:r w:rsidRPr="008422C4">
        <w:rPr>
          <w:rFonts w:eastAsia="TimesNewRomanPSMT"/>
          <w:szCs w:val="22"/>
          <w:lang w:eastAsia="en-US"/>
        </w:rPr>
        <w:t>Nežiaduce reakcie pozorované u pacientov liečených lenalidomidom sú uvedené nižšie podľa tried orgánových systémov a frekvencie. V rámci jednotlivých skupín frekvencií sú nežiaduce účinky usporiadané v poradí klesajúcej závažnosti. Frekvencie výskytu sú definované nasledovne: veľmi časté (≥ 1/10), časté (≥ 1/100 až &lt; 1/10), menej časté (≥ 1/1</w:t>
      </w:r>
      <w:r w:rsidR="0050037D">
        <w:rPr>
          <w:rFonts w:eastAsia="TimesNewRomanPSMT"/>
          <w:szCs w:val="22"/>
          <w:lang w:eastAsia="en-US"/>
        </w:rPr>
        <w:t> </w:t>
      </w:r>
      <w:r w:rsidRPr="008422C4">
        <w:rPr>
          <w:rFonts w:eastAsia="TimesNewRomanPSMT"/>
          <w:szCs w:val="22"/>
          <w:lang w:eastAsia="en-US"/>
        </w:rPr>
        <w:t>000 až &lt; 1/100), zriedkavé (≥ 1/10 000 až &lt; 1/1</w:t>
      </w:r>
      <w:r w:rsidR="0050037D">
        <w:rPr>
          <w:rFonts w:eastAsia="TimesNewRomanPSMT"/>
          <w:szCs w:val="22"/>
          <w:lang w:eastAsia="en-US"/>
        </w:rPr>
        <w:t> </w:t>
      </w:r>
      <w:r w:rsidRPr="008422C4">
        <w:rPr>
          <w:rFonts w:eastAsia="TimesNewRomanPSMT"/>
          <w:szCs w:val="22"/>
          <w:lang w:eastAsia="en-US"/>
        </w:rPr>
        <w:t>000), veľmi zriedkavé (&lt; 1/10 000); neznáme (z dostupných údajov).</w:t>
      </w:r>
    </w:p>
    <w:p w14:paraId="2E94FB8F" w14:textId="77777777" w:rsidR="00283F4F" w:rsidRPr="008422C4" w:rsidRDefault="00283F4F" w:rsidP="00283F4F">
      <w:pPr>
        <w:autoSpaceDE w:val="0"/>
        <w:autoSpaceDN w:val="0"/>
        <w:adjustRightInd w:val="0"/>
        <w:ind w:left="0" w:firstLine="0"/>
        <w:rPr>
          <w:rFonts w:eastAsia="TimesNewRomanPSMT"/>
          <w:szCs w:val="22"/>
          <w:lang w:eastAsia="en-US"/>
        </w:rPr>
      </w:pPr>
    </w:p>
    <w:p w14:paraId="24836183" w14:textId="6D6247E2" w:rsidR="00283F4F" w:rsidRPr="008422C4" w:rsidRDefault="00283F4F" w:rsidP="00283F4F">
      <w:pPr>
        <w:autoSpaceDE w:val="0"/>
        <w:autoSpaceDN w:val="0"/>
        <w:adjustRightInd w:val="0"/>
        <w:ind w:left="0" w:firstLine="0"/>
        <w:rPr>
          <w:rFonts w:eastAsia="TimesNewRomanPSMT"/>
          <w:szCs w:val="22"/>
          <w:lang w:eastAsia="en-US"/>
        </w:rPr>
      </w:pPr>
      <w:r w:rsidRPr="008422C4">
        <w:rPr>
          <w:rFonts w:eastAsia="TimesNewRomanPSMT"/>
          <w:szCs w:val="22"/>
          <w:lang w:eastAsia="en-US"/>
        </w:rPr>
        <w:t xml:space="preserve">Nežiaduce reakcie sú zhrnuté do príslušnej kategórie v tabuľke nižšie </w:t>
      </w:r>
      <w:r w:rsidR="0019320B">
        <w:rPr>
          <w:rFonts w:eastAsia="TimesNewRomanPSMT"/>
          <w:szCs w:val="22"/>
          <w:lang w:eastAsia="en-US"/>
        </w:rPr>
        <w:t>na základe</w:t>
      </w:r>
      <w:r w:rsidRPr="008422C4">
        <w:rPr>
          <w:rFonts w:eastAsia="TimesNewRomanPSMT"/>
          <w:szCs w:val="22"/>
          <w:lang w:eastAsia="en-US"/>
        </w:rPr>
        <w:t xml:space="preserve"> najvyššej frekvenci</w:t>
      </w:r>
      <w:r w:rsidR="0019320B">
        <w:rPr>
          <w:rFonts w:eastAsia="TimesNewRomanPSMT"/>
          <w:szCs w:val="22"/>
          <w:lang w:eastAsia="en-US"/>
        </w:rPr>
        <w:t>e</w:t>
      </w:r>
      <w:r w:rsidRPr="008422C4">
        <w:rPr>
          <w:rFonts w:eastAsia="TimesNewRomanPSMT"/>
          <w:szCs w:val="22"/>
          <w:lang w:eastAsia="en-US"/>
        </w:rPr>
        <w:t xml:space="preserve"> pozorovanej v niektorej z hlavných klinických štúdií.</w:t>
      </w:r>
    </w:p>
    <w:p w14:paraId="5F4099C8" w14:textId="77777777" w:rsidR="00283F4F" w:rsidRPr="008422C4" w:rsidRDefault="00283F4F" w:rsidP="00283F4F">
      <w:pPr>
        <w:autoSpaceDE w:val="0"/>
        <w:autoSpaceDN w:val="0"/>
        <w:adjustRightInd w:val="0"/>
        <w:ind w:left="0" w:firstLine="0"/>
        <w:rPr>
          <w:rFonts w:eastAsia="TimesNewRomanPSMT"/>
          <w:szCs w:val="22"/>
          <w:lang w:eastAsia="en-US"/>
        </w:rPr>
      </w:pPr>
    </w:p>
    <w:p w14:paraId="4C587A87" w14:textId="77777777" w:rsidR="00283F4F" w:rsidRPr="008422C4" w:rsidRDefault="00283F4F" w:rsidP="00283F4F">
      <w:pPr>
        <w:autoSpaceDE w:val="0"/>
        <w:autoSpaceDN w:val="0"/>
        <w:adjustRightInd w:val="0"/>
        <w:ind w:left="0" w:firstLine="0"/>
        <w:rPr>
          <w:rFonts w:eastAsia="TimesNewRomanPSMT"/>
          <w:i/>
          <w:iCs/>
          <w:szCs w:val="22"/>
          <w:lang w:eastAsia="en-US"/>
        </w:rPr>
      </w:pPr>
      <w:r w:rsidRPr="008422C4">
        <w:rPr>
          <w:rFonts w:eastAsia="TimesNewRomanPSMT"/>
          <w:i/>
          <w:iCs/>
          <w:szCs w:val="22"/>
          <w:lang w:eastAsia="en-US"/>
        </w:rPr>
        <w:t>Tabuľkový prehľad pre monoterapiu mnohopočetného myelómu</w:t>
      </w:r>
    </w:p>
    <w:p w14:paraId="796163F5" w14:textId="3387E32D" w:rsidR="00283F4F" w:rsidRPr="008422C4" w:rsidRDefault="00283F4F" w:rsidP="00283F4F">
      <w:pPr>
        <w:autoSpaceDE w:val="0"/>
        <w:autoSpaceDN w:val="0"/>
        <w:adjustRightInd w:val="0"/>
        <w:ind w:left="0" w:firstLine="0"/>
        <w:rPr>
          <w:rFonts w:eastAsia="TimesNewRomanPSMT"/>
          <w:szCs w:val="22"/>
          <w:lang w:eastAsia="en-US"/>
        </w:rPr>
      </w:pPr>
      <w:r w:rsidRPr="008422C4">
        <w:rPr>
          <w:rFonts w:eastAsia="TimesNewRomanPSMT"/>
          <w:szCs w:val="22"/>
          <w:lang w:eastAsia="en-US"/>
        </w:rPr>
        <w:t xml:space="preserve">Nasledujúca tabuľka vychádza z údajov získaných počas štúdií s NDMM u pacientov, ktorí podstúpili ASCT, liečených udržiavacou dávkou lenalidomidu. Údaje neboli upravené pre dlhšie trvanie liečby v </w:t>
      </w:r>
      <w:r w:rsidR="00DD1E44">
        <w:rPr>
          <w:rFonts w:eastAsia="TimesNewRomanPSMT"/>
          <w:szCs w:val="22"/>
          <w:lang w:eastAsia="en-US"/>
        </w:rPr>
        <w:t>skupinách</w:t>
      </w:r>
      <w:r w:rsidRPr="008422C4">
        <w:rPr>
          <w:rFonts w:eastAsia="TimesNewRomanPSMT"/>
          <w:szCs w:val="22"/>
          <w:lang w:eastAsia="en-US"/>
        </w:rPr>
        <w:t xml:space="preserve"> s lenalidomidom, pokračujúcich až do progresie ochorenia, v porovnaní s</w:t>
      </w:r>
      <w:r w:rsidR="0019320B">
        <w:rPr>
          <w:rFonts w:eastAsia="TimesNewRomanPSMT"/>
          <w:szCs w:val="22"/>
          <w:lang w:eastAsia="en-US"/>
        </w:rPr>
        <w:t>o</w:t>
      </w:r>
      <w:r w:rsidRPr="008422C4">
        <w:rPr>
          <w:rFonts w:eastAsia="TimesNewRomanPSMT"/>
          <w:szCs w:val="22"/>
          <w:lang w:eastAsia="en-US"/>
        </w:rPr>
        <w:t xml:space="preserve"> </w:t>
      </w:r>
      <w:r w:rsidR="00DD1E44">
        <w:rPr>
          <w:rFonts w:eastAsia="TimesNewRomanPSMT"/>
          <w:szCs w:val="22"/>
          <w:lang w:eastAsia="en-US"/>
        </w:rPr>
        <w:t>skupinami</w:t>
      </w:r>
      <w:r w:rsidRPr="008422C4">
        <w:rPr>
          <w:rFonts w:eastAsia="TimesNewRomanPSMT"/>
          <w:szCs w:val="22"/>
          <w:lang w:eastAsia="en-US"/>
        </w:rPr>
        <w:t xml:space="preserve"> s placebom v kľúčových štúdiách s mnohopočetným myelómom (pozri časť 5.1).</w:t>
      </w:r>
    </w:p>
    <w:p w14:paraId="2844A2D2" w14:textId="77777777" w:rsidR="00283F4F" w:rsidRPr="008422C4" w:rsidRDefault="00283F4F" w:rsidP="00283F4F">
      <w:pPr>
        <w:autoSpaceDE w:val="0"/>
        <w:autoSpaceDN w:val="0"/>
        <w:adjustRightInd w:val="0"/>
        <w:ind w:left="0" w:firstLine="0"/>
        <w:rPr>
          <w:rFonts w:eastAsia="TimesNewRomanPSMT"/>
          <w:szCs w:val="22"/>
          <w:lang w:eastAsia="en-US"/>
        </w:rPr>
      </w:pPr>
    </w:p>
    <w:p w14:paraId="6C270CA8" w14:textId="77777777" w:rsidR="00D75E2C" w:rsidRPr="008422C4" w:rsidRDefault="00283F4F" w:rsidP="00283F4F">
      <w:pPr>
        <w:autoSpaceDE w:val="0"/>
        <w:autoSpaceDN w:val="0"/>
        <w:adjustRightInd w:val="0"/>
        <w:ind w:left="0" w:firstLine="0"/>
        <w:rPr>
          <w:szCs w:val="22"/>
        </w:rPr>
      </w:pPr>
      <w:r w:rsidRPr="008422C4">
        <w:rPr>
          <w:rFonts w:eastAsia="TimesNewRomanPSMT"/>
          <w:b/>
          <w:bCs/>
          <w:szCs w:val="22"/>
          <w:lang w:eastAsia="en-US"/>
        </w:rPr>
        <w:t>Tabuľka 1. Nežiaduce reakcie zaznamenané v klinických štúdiách u pacientov s mnohopočetným myelómom liečených udržiavacou dávkou lenalidomidu</w:t>
      </w:r>
    </w:p>
    <w:p w14:paraId="311D75FA" w14:textId="77777777" w:rsidR="00D75E2C" w:rsidRPr="003A5C41" w:rsidRDefault="00D75E2C" w:rsidP="00B31CB2">
      <w:pPr>
        <w:ind w:left="0" w:firstLine="0"/>
        <w:rPr>
          <w:szCs w:val="22"/>
        </w:rPr>
      </w:pPr>
    </w:p>
    <w:tbl>
      <w:tblPr>
        <w:tblW w:w="9854" w:type="dxa"/>
        <w:tblInd w:w="6" w:type="dxa"/>
        <w:tblLayout w:type="fixed"/>
        <w:tblCellMar>
          <w:left w:w="0" w:type="dxa"/>
          <w:right w:w="0" w:type="dxa"/>
        </w:tblCellMar>
        <w:tblLook w:val="01E0" w:firstRow="1" w:lastRow="1" w:firstColumn="1" w:lastColumn="1" w:noHBand="0" w:noVBand="0"/>
      </w:tblPr>
      <w:tblGrid>
        <w:gridCol w:w="6"/>
        <w:gridCol w:w="3260"/>
        <w:gridCol w:w="3293"/>
        <w:gridCol w:w="3289"/>
        <w:gridCol w:w="6"/>
      </w:tblGrid>
      <w:tr w:rsidR="00283F4F" w:rsidRPr="003A5C41" w14:paraId="6048E741" w14:textId="77777777" w:rsidTr="00E14828">
        <w:trPr>
          <w:gridBefore w:val="1"/>
          <w:trHeight w:hRule="exact" w:val="514"/>
        </w:trPr>
        <w:tc>
          <w:tcPr>
            <w:tcW w:w="3264" w:type="dxa"/>
            <w:tcBorders>
              <w:top w:val="single" w:sz="5" w:space="0" w:color="000000"/>
              <w:left w:val="single" w:sz="5" w:space="0" w:color="000000"/>
              <w:bottom w:val="single" w:sz="5" w:space="0" w:color="000000"/>
              <w:right w:val="single" w:sz="5" w:space="0" w:color="000000"/>
            </w:tcBorders>
          </w:tcPr>
          <w:p w14:paraId="5243D5DB" w14:textId="77777777" w:rsidR="00283F4F" w:rsidRPr="00607AC5" w:rsidRDefault="00283F4F" w:rsidP="00283F4F">
            <w:pPr>
              <w:autoSpaceDE w:val="0"/>
              <w:autoSpaceDN w:val="0"/>
              <w:adjustRightInd w:val="0"/>
              <w:ind w:left="0" w:firstLine="0"/>
              <w:rPr>
                <w:szCs w:val="22"/>
              </w:rPr>
            </w:pPr>
            <w:r w:rsidRPr="00607AC5">
              <w:rPr>
                <w:b/>
                <w:bCs/>
                <w:szCs w:val="22"/>
                <w:lang w:eastAsia="en-US"/>
              </w:rPr>
              <w:t>Trieda orgánových systémov/Prednostný názov</w:t>
            </w:r>
          </w:p>
        </w:tc>
        <w:tc>
          <w:tcPr>
            <w:tcW w:w="3297" w:type="dxa"/>
            <w:tcBorders>
              <w:top w:val="single" w:sz="5" w:space="0" w:color="000000"/>
              <w:left w:val="single" w:sz="5" w:space="0" w:color="000000"/>
              <w:bottom w:val="single" w:sz="5" w:space="0" w:color="000000"/>
              <w:right w:val="single" w:sz="5" w:space="0" w:color="000000"/>
            </w:tcBorders>
          </w:tcPr>
          <w:p w14:paraId="0F700AD4" w14:textId="77777777" w:rsidR="00283F4F" w:rsidRPr="00607AC5" w:rsidRDefault="00283F4F" w:rsidP="00283F4F">
            <w:pPr>
              <w:autoSpaceDE w:val="0"/>
              <w:autoSpaceDN w:val="0"/>
              <w:adjustRightInd w:val="0"/>
              <w:ind w:left="0" w:firstLine="0"/>
              <w:rPr>
                <w:szCs w:val="22"/>
              </w:rPr>
            </w:pPr>
            <w:r w:rsidRPr="00607AC5">
              <w:rPr>
                <w:b/>
                <w:bCs/>
                <w:szCs w:val="22"/>
                <w:lang w:eastAsia="en-US"/>
              </w:rPr>
              <w:t>Všetky nežiaduce reakcie/Frekvencia</w:t>
            </w:r>
          </w:p>
        </w:tc>
        <w:tc>
          <w:tcPr>
            <w:tcW w:w="3293" w:type="dxa"/>
            <w:gridSpan w:val="2"/>
            <w:tcBorders>
              <w:top w:val="single" w:sz="5" w:space="0" w:color="000000"/>
              <w:left w:val="single" w:sz="5" w:space="0" w:color="000000"/>
              <w:bottom w:val="single" w:sz="6" w:space="0" w:color="000000"/>
              <w:right w:val="single" w:sz="5" w:space="0" w:color="000000"/>
            </w:tcBorders>
          </w:tcPr>
          <w:p w14:paraId="585C1971" w14:textId="77777777" w:rsidR="00283F4F" w:rsidRPr="00607AC5" w:rsidRDefault="00283F4F" w:rsidP="00283F4F">
            <w:pPr>
              <w:autoSpaceDE w:val="0"/>
              <w:autoSpaceDN w:val="0"/>
              <w:adjustRightInd w:val="0"/>
              <w:ind w:left="0" w:firstLine="0"/>
              <w:rPr>
                <w:szCs w:val="22"/>
              </w:rPr>
            </w:pPr>
            <w:r w:rsidRPr="00607AC5">
              <w:rPr>
                <w:b/>
                <w:bCs/>
                <w:szCs w:val="22"/>
                <w:lang w:eastAsia="en-US"/>
              </w:rPr>
              <w:t>Nežiaduce reakcie 3.− 4. stupňa/Frekvencia</w:t>
            </w:r>
          </w:p>
        </w:tc>
      </w:tr>
      <w:tr w:rsidR="00283F4F" w:rsidRPr="003A5C41" w14:paraId="47A2A205" w14:textId="77777777" w:rsidTr="00E14828">
        <w:trPr>
          <w:gridBefore w:val="1"/>
          <w:trHeight w:val="2794"/>
        </w:trPr>
        <w:tc>
          <w:tcPr>
            <w:tcW w:w="3264" w:type="dxa"/>
            <w:tcBorders>
              <w:top w:val="single" w:sz="5" w:space="0" w:color="000000"/>
              <w:left w:val="single" w:sz="5" w:space="0" w:color="000000"/>
              <w:right w:val="single" w:sz="5" w:space="0" w:color="000000"/>
            </w:tcBorders>
            <w:vAlign w:val="center"/>
          </w:tcPr>
          <w:p w14:paraId="67DC9555" w14:textId="77777777" w:rsidR="00283F4F" w:rsidRPr="00607AC5" w:rsidRDefault="00283F4F" w:rsidP="00E956F8">
            <w:pPr>
              <w:pStyle w:val="TableParagraph"/>
              <w:rPr>
                <w:b/>
                <w:bCs/>
                <w:sz w:val="22"/>
                <w:szCs w:val="22"/>
                <w:lang w:val="sk-SK"/>
              </w:rPr>
            </w:pPr>
          </w:p>
          <w:p w14:paraId="1459CD3A" w14:textId="77777777" w:rsidR="00283F4F" w:rsidRPr="00607AC5" w:rsidRDefault="00283F4F" w:rsidP="00E956F8">
            <w:pPr>
              <w:pStyle w:val="TableParagraph"/>
              <w:spacing w:before="10"/>
              <w:rPr>
                <w:b/>
                <w:bCs/>
                <w:sz w:val="22"/>
                <w:szCs w:val="22"/>
                <w:lang w:val="sk-SK"/>
              </w:rPr>
            </w:pPr>
          </w:p>
          <w:p w14:paraId="5422DA66" w14:textId="7F23049E" w:rsidR="00283F4F" w:rsidRPr="00607AC5" w:rsidRDefault="00283F4F" w:rsidP="00FD3525">
            <w:pPr>
              <w:pStyle w:val="TableParagraph"/>
              <w:ind w:left="102"/>
              <w:rPr>
                <w:sz w:val="22"/>
                <w:szCs w:val="22"/>
                <w:lang w:val="sk-SK"/>
              </w:rPr>
            </w:pPr>
            <w:r w:rsidRPr="00607AC5">
              <w:rPr>
                <w:b/>
                <w:spacing w:val="-1"/>
                <w:sz w:val="22"/>
                <w:szCs w:val="22"/>
                <w:lang w:val="sk-SK"/>
              </w:rPr>
              <w:t>Infekcie a</w:t>
            </w:r>
            <w:r w:rsidR="00AF1F5C">
              <w:rPr>
                <w:b/>
                <w:spacing w:val="-1"/>
                <w:sz w:val="22"/>
                <w:szCs w:val="22"/>
                <w:lang w:val="sk-SK"/>
              </w:rPr>
              <w:t> </w:t>
            </w:r>
            <w:r w:rsidRPr="00607AC5">
              <w:rPr>
                <w:b/>
                <w:spacing w:val="-1"/>
                <w:sz w:val="22"/>
                <w:szCs w:val="22"/>
                <w:lang w:val="sk-SK"/>
              </w:rPr>
              <w:t>nákazy</w:t>
            </w:r>
          </w:p>
        </w:tc>
        <w:tc>
          <w:tcPr>
            <w:tcW w:w="3297" w:type="dxa"/>
            <w:tcBorders>
              <w:top w:val="single" w:sz="5" w:space="0" w:color="000000"/>
              <w:left w:val="single" w:sz="5" w:space="0" w:color="000000"/>
              <w:right w:val="single" w:sz="6" w:space="0" w:color="000000"/>
            </w:tcBorders>
          </w:tcPr>
          <w:p w14:paraId="58215AF6" w14:textId="77777777" w:rsidR="00283F4F" w:rsidRPr="00607AC5" w:rsidRDefault="00283F4F" w:rsidP="00283F4F">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Veľmi časté</w:t>
            </w:r>
          </w:p>
          <w:p w14:paraId="12AB7C64" w14:textId="77777777" w:rsidR="00283F4F" w:rsidRPr="00607AC5" w:rsidRDefault="00283F4F" w:rsidP="00283F4F">
            <w:pPr>
              <w:autoSpaceDE w:val="0"/>
              <w:autoSpaceDN w:val="0"/>
              <w:adjustRightInd w:val="0"/>
              <w:ind w:left="0" w:firstLine="0"/>
              <w:rPr>
                <w:rFonts w:eastAsia="TimesNewRomanPSMT"/>
                <w:szCs w:val="22"/>
                <w:lang w:eastAsia="en-US"/>
              </w:rPr>
            </w:pPr>
            <w:r w:rsidRPr="00607AC5">
              <w:rPr>
                <w:rFonts w:eastAsia="TimesNewRomanPSMT"/>
                <w:szCs w:val="22"/>
                <w:lang w:eastAsia="en-US"/>
              </w:rPr>
              <w:t>Pneumónie</w:t>
            </w:r>
            <w:r w:rsidRPr="00607AC5">
              <w:rPr>
                <w:rFonts w:eastAsia="TimesNewRomanPSMT"/>
                <w:szCs w:val="22"/>
                <w:vertAlign w:val="superscript"/>
                <w:lang w:eastAsia="en-US"/>
              </w:rPr>
              <w:t>◊,a</w:t>
            </w:r>
            <w:r w:rsidRPr="00607AC5">
              <w:rPr>
                <w:rFonts w:eastAsia="TimesNewRomanPSMT"/>
                <w:szCs w:val="22"/>
                <w:lang w:eastAsia="en-US"/>
              </w:rPr>
              <w:t>, infekcia horných dýchacích ciest, neutropenická infekcia, bronchitída</w:t>
            </w:r>
            <w:r w:rsidRPr="00607AC5">
              <w:rPr>
                <w:rFonts w:eastAsia="TimesNewRomanPSMT"/>
                <w:szCs w:val="22"/>
                <w:vertAlign w:val="superscript"/>
                <w:lang w:eastAsia="en-US"/>
              </w:rPr>
              <w:t>◊</w:t>
            </w:r>
            <w:r w:rsidRPr="00607AC5">
              <w:rPr>
                <w:rFonts w:eastAsia="TimesNewRomanPSMT"/>
                <w:szCs w:val="22"/>
                <w:lang w:eastAsia="en-US"/>
              </w:rPr>
              <w:t>, chrípka</w:t>
            </w:r>
            <w:r w:rsidRPr="00607AC5">
              <w:rPr>
                <w:rFonts w:eastAsia="TimesNewRomanPSMT"/>
                <w:szCs w:val="22"/>
                <w:vertAlign w:val="superscript"/>
                <w:lang w:eastAsia="en-US"/>
              </w:rPr>
              <w:t>◊</w:t>
            </w:r>
            <w:r w:rsidRPr="00607AC5">
              <w:rPr>
                <w:rFonts w:eastAsia="TimesNewRomanPSMT"/>
                <w:szCs w:val="22"/>
                <w:lang w:eastAsia="en-US"/>
              </w:rPr>
              <w:t>, gastroenteritída</w:t>
            </w:r>
            <w:r w:rsidRPr="00607AC5">
              <w:rPr>
                <w:rFonts w:eastAsia="TimesNewRomanPSMT"/>
                <w:szCs w:val="22"/>
                <w:vertAlign w:val="superscript"/>
                <w:lang w:eastAsia="en-US"/>
              </w:rPr>
              <w:t>◊</w:t>
            </w:r>
            <w:r w:rsidRPr="00607AC5">
              <w:rPr>
                <w:rFonts w:eastAsia="TimesNewRomanPSMT"/>
                <w:szCs w:val="22"/>
                <w:lang w:eastAsia="en-US"/>
              </w:rPr>
              <w:t>, sínusitída, nazofaryngitída, nádcha</w:t>
            </w:r>
          </w:p>
          <w:p w14:paraId="57CFC6D1" w14:textId="77777777" w:rsidR="00283F4F" w:rsidRPr="00607AC5" w:rsidRDefault="00283F4F" w:rsidP="00283F4F">
            <w:pPr>
              <w:autoSpaceDE w:val="0"/>
              <w:autoSpaceDN w:val="0"/>
              <w:adjustRightInd w:val="0"/>
              <w:ind w:left="0" w:firstLine="0"/>
              <w:rPr>
                <w:rFonts w:eastAsia="TimesNewRomanPSMT"/>
                <w:szCs w:val="22"/>
                <w:lang w:eastAsia="en-US"/>
              </w:rPr>
            </w:pPr>
          </w:p>
          <w:p w14:paraId="590B2C7F" w14:textId="77777777" w:rsidR="00283F4F" w:rsidRPr="00607AC5" w:rsidRDefault="00283F4F" w:rsidP="00283F4F">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Časté</w:t>
            </w:r>
          </w:p>
          <w:p w14:paraId="1CB6E58C" w14:textId="77777777" w:rsidR="00283F4F" w:rsidRPr="00607AC5" w:rsidRDefault="00283F4F" w:rsidP="00283F4F">
            <w:pPr>
              <w:autoSpaceDE w:val="0"/>
              <w:autoSpaceDN w:val="0"/>
              <w:adjustRightInd w:val="0"/>
              <w:ind w:left="0" w:firstLine="0"/>
              <w:rPr>
                <w:szCs w:val="22"/>
              </w:rPr>
            </w:pPr>
            <w:r w:rsidRPr="00607AC5">
              <w:rPr>
                <w:rFonts w:eastAsia="TimesNewRomanPSMT"/>
                <w:szCs w:val="22"/>
                <w:lang w:eastAsia="en-US"/>
              </w:rPr>
              <w:t>Infekcia</w:t>
            </w:r>
            <w:r w:rsidRPr="00607AC5">
              <w:rPr>
                <w:rFonts w:eastAsia="TimesNewRomanPSMT"/>
                <w:szCs w:val="22"/>
                <w:vertAlign w:val="superscript"/>
                <w:lang w:eastAsia="en-US"/>
              </w:rPr>
              <w:t>◊</w:t>
            </w:r>
            <w:r w:rsidRPr="00607AC5">
              <w:rPr>
                <w:rFonts w:eastAsia="TimesNewRomanPSMT"/>
                <w:szCs w:val="22"/>
                <w:lang w:eastAsia="en-US"/>
              </w:rPr>
              <w:t>, infekcia močových ciest</w:t>
            </w:r>
            <w:r w:rsidRPr="00607AC5">
              <w:rPr>
                <w:rFonts w:eastAsia="TimesNewRomanPSMT"/>
                <w:szCs w:val="22"/>
                <w:vertAlign w:val="superscript"/>
                <w:lang w:eastAsia="en-US"/>
              </w:rPr>
              <w:t>◊,*</w:t>
            </w:r>
            <w:r w:rsidRPr="00607AC5">
              <w:rPr>
                <w:rFonts w:eastAsia="TimesNewRomanPSMT"/>
                <w:szCs w:val="22"/>
                <w:lang w:eastAsia="en-US"/>
              </w:rPr>
              <w:t>, infekcia dolných dýchacích ciest, pľúcna infekcia</w:t>
            </w:r>
            <w:r w:rsidRPr="00607AC5">
              <w:rPr>
                <w:rFonts w:eastAsia="TimesNewRomanPSMT"/>
                <w:szCs w:val="22"/>
                <w:vertAlign w:val="superscript"/>
                <w:lang w:eastAsia="en-US"/>
              </w:rPr>
              <w:t>◊</w:t>
            </w:r>
          </w:p>
        </w:tc>
        <w:tc>
          <w:tcPr>
            <w:tcW w:w="3293" w:type="dxa"/>
            <w:gridSpan w:val="2"/>
            <w:tcBorders>
              <w:top w:val="single" w:sz="6" w:space="0" w:color="000000"/>
              <w:left w:val="single" w:sz="6" w:space="0" w:color="000000"/>
              <w:right w:val="single" w:sz="6" w:space="0" w:color="000000"/>
            </w:tcBorders>
          </w:tcPr>
          <w:p w14:paraId="2F90E46E" w14:textId="77777777" w:rsidR="00CF6B46" w:rsidRPr="00607AC5" w:rsidRDefault="00CF6B46" w:rsidP="00CF6B46">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Veľmi časté</w:t>
            </w:r>
          </w:p>
          <w:p w14:paraId="64982F1E" w14:textId="77777777" w:rsidR="00CF6B46" w:rsidRPr="00607AC5" w:rsidRDefault="00CF6B46" w:rsidP="00CF6B46">
            <w:pPr>
              <w:autoSpaceDE w:val="0"/>
              <w:autoSpaceDN w:val="0"/>
              <w:adjustRightInd w:val="0"/>
              <w:ind w:left="0" w:firstLine="0"/>
              <w:rPr>
                <w:rFonts w:eastAsia="TimesNewRomanPSMT"/>
                <w:szCs w:val="22"/>
                <w:lang w:eastAsia="en-US"/>
              </w:rPr>
            </w:pPr>
            <w:r w:rsidRPr="00607AC5">
              <w:rPr>
                <w:rFonts w:eastAsia="TimesNewRomanPSMT"/>
                <w:szCs w:val="22"/>
                <w:lang w:eastAsia="en-US"/>
              </w:rPr>
              <w:t>Pneumónie</w:t>
            </w:r>
            <w:r w:rsidRPr="00607AC5">
              <w:rPr>
                <w:rFonts w:eastAsia="TimesNewRomanPSMT"/>
                <w:szCs w:val="22"/>
                <w:vertAlign w:val="superscript"/>
                <w:lang w:eastAsia="en-US"/>
              </w:rPr>
              <w:t>◊,a</w:t>
            </w:r>
            <w:r w:rsidRPr="00607AC5">
              <w:rPr>
                <w:rFonts w:eastAsia="TimesNewRomanPSMT"/>
                <w:szCs w:val="22"/>
                <w:lang w:eastAsia="en-US"/>
              </w:rPr>
              <w:t>, neutropenická infekcia</w:t>
            </w:r>
          </w:p>
          <w:p w14:paraId="3D5485F6" w14:textId="77777777" w:rsidR="00CF6B46" w:rsidRPr="00607AC5" w:rsidRDefault="00CF6B46" w:rsidP="00CF6B46">
            <w:pPr>
              <w:autoSpaceDE w:val="0"/>
              <w:autoSpaceDN w:val="0"/>
              <w:adjustRightInd w:val="0"/>
              <w:ind w:left="0" w:firstLine="0"/>
              <w:rPr>
                <w:rFonts w:eastAsia="TimesNewRomanPSMT"/>
                <w:szCs w:val="22"/>
                <w:lang w:eastAsia="en-US"/>
              </w:rPr>
            </w:pPr>
          </w:p>
          <w:p w14:paraId="6EA41611" w14:textId="77777777" w:rsidR="00CF6B46" w:rsidRPr="00607AC5" w:rsidRDefault="00CF6B46" w:rsidP="00CF6B46">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Časté</w:t>
            </w:r>
          </w:p>
          <w:p w14:paraId="27EF7301" w14:textId="7D752857" w:rsidR="00CF6B46" w:rsidRPr="00607AC5" w:rsidRDefault="00CF6B46" w:rsidP="00CF6B46">
            <w:pPr>
              <w:autoSpaceDE w:val="0"/>
              <w:autoSpaceDN w:val="0"/>
              <w:adjustRightInd w:val="0"/>
              <w:ind w:left="0" w:firstLine="0"/>
              <w:rPr>
                <w:rFonts w:eastAsia="TimesNewRomanPSMT"/>
                <w:szCs w:val="22"/>
                <w:lang w:eastAsia="en-US"/>
              </w:rPr>
            </w:pPr>
            <w:r w:rsidRPr="00607AC5">
              <w:rPr>
                <w:rFonts w:eastAsia="TimesNewRomanPSMT"/>
                <w:szCs w:val="22"/>
                <w:lang w:eastAsia="en-US"/>
              </w:rPr>
              <w:t>Sepsa</w:t>
            </w:r>
            <w:r w:rsidRPr="00607AC5">
              <w:rPr>
                <w:rFonts w:eastAsia="TimesNewRomanPSMT"/>
                <w:szCs w:val="22"/>
                <w:vertAlign w:val="superscript"/>
                <w:lang w:eastAsia="en-US"/>
              </w:rPr>
              <w:t>◊,b</w:t>
            </w:r>
            <w:r w:rsidRPr="00607AC5">
              <w:rPr>
                <w:rFonts w:eastAsia="TimesNewRomanPSMT"/>
                <w:szCs w:val="22"/>
                <w:lang w:eastAsia="en-US"/>
              </w:rPr>
              <w:t>, bakterémia, pľúcna infekcia</w:t>
            </w:r>
            <w:r w:rsidRPr="00607AC5">
              <w:rPr>
                <w:rFonts w:eastAsia="TimesNewRomanPSMT"/>
                <w:szCs w:val="22"/>
                <w:vertAlign w:val="superscript"/>
                <w:lang w:eastAsia="en-US"/>
              </w:rPr>
              <w:t>◊</w:t>
            </w:r>
            <w:r w:rsidRPr="00607AC5">
              <w:rPr>
                <w:rFonts w:eastAsia="TimesNewRomanPSMT"/>
                <w:szCs w:val="22"/>
                <w:lang w:eastAsia="en-US"/>
              </w:rPr>
              <w:t>, bakteriáln</w:t>
            </w:r>
            <w:r w:rsidR="002F0916">
              <w:rPr>
                <w:rFonts w:eastAsia="TimesNewRomanPSMT"/>
                <w:szCs w:val="22"/>
                <w:lang w:eastAsia="en-US"/>
              </w:rPr>
              <w:t>a</w:t>
            </w:r>
            <w:r w:rsidRPr="00607AC5">
              <w:rPr>
                <w:rFonts w:eastAsia="TimesNewRomanPSMT"/>
                <w:szCs w:val="22"/>
                <w:lang w:eastAsia="en-US"/>
              </w:rPr>
              <w:t xml:space="preserve"> infekcia dolných dýchacích ciest, bronchitída</w:t>
            </w:r>
            <w:r w:rsidRPr="00607AC5">
              <w:rPr>
                <w:rFonts w:eastAsia="TimesNewRomanPSMT"/>
                <w:szCs w:val="22"/>
                <w:vertAlign w:val="superscript"/>
                <w:lang w:eastAsia="en-US"/>
              </w:rPr>
              <w:t>◊</w:t>
            </w:r>
            <w:r w:rsidRPr="00607AC5">
              <w:rPr>
                <w:rFonts w:eastAsia="TimesNewRomanPSMT"/>
                <w:szCs w:val="22"/>
                <w:lang w:eastAsia="en-US"/>
              </w:rPr>
              <w:t>, chrípka</w:t>
            </w:r>
            <w:r w:rsidRPr="00607AC5">
              <w:rPr>
                <w:rFonts w:eastAsia="TimesNewRomanPSMT"/>
                <w:szCs w:val="22"/>
                <w:vertAlign w:val="superscript"/>
                <w:lang w:eastAsia="en-US"/>
              </w:rPr>
              <w:t>◊</w:t>
            </w:r>
            <w:r w:rsidRPr="00607AC5">
              <w:rPr>
                <w:rFonts w:eastAsia="TimesNewRomanPSMT"/>
                <w:szCs w:val="22"/>
                <w:lang w:eastAsia="en-US"/>
              </w:rPr>
              <w:t>,</w:t>
            </w:r>
          </w:p>
          <w:p w14:paraId="281BA556" w14:textId="77777777" w:rsidR="00283F4F" w:rsidRPr="00607AC5" w:rsidRDefault="00CF6B46" w:rsidP="00CF6B46">
            <w:pPr>
              <w:autoSpaceDE w:val="0"/>
              <w:autoSpaceDN w:val="0"/>
              <w:adjustRightInd w:val="0"/>
              <w:ind w:left="0" w:firstLine="0"/>
              <w:rPr>
                <w:szCs w:val="22"/>
              </w:rPr>
            </w:pPr>
            <w:r w:rsidRPr="00607AC5">
              <w:rPr>
                <w:rFonts w:eastAsia="TimesNewRomanPSMT"/>
                <w:szCs w:val="22"/>
                <w:lang w:eastAsia="en-US"/>
              </w:rPr>
              <w:t>gastroenteritída</w:t>
            </w:r>
            <w:r w:rsidRPr="00607AC5">
              <w:rPr>
                <w:rFonts w:eastAsia="TimesNewRomanPSMT"/>
                <w:szCs w:val="22"/>
                <w:vertAlign w:val="superscript"/>
                <w:lang w:eastAsia="en-US"/>
              </w:rPr>
              <w:t>◊</w:t>
            </w:r>
            <w:r w:rsidRPr="00607AC5">
              <w:rPr>
                <w:rFonts w:eastAsia="TimesNewRomanPSMT"/>
                <w:szCs w:val="22"/>
                <w:lang w:eastAsia="en-US"/>
              </w:rPr>
              <w:t>, herpes zoster</w:t>
            </w:r>
            <w:r w:rsidRPr="00607AC5">
              <w:rPr>
                <w:rFonts w:eastAsia="TimesNewRomanPSMT"/>
                <w:szCs w:val="22"/>
                <w:vertAlign w:val="superscript"/>
                <w:lang w:eastAsia="en-US"/>
              </w:rPr>
              <w:t>◊</w:t>
            </w:r>
            <w:r w:rsidRPr="00607AC5">
              <w:rPr>
                <w:rFonts w:eastAsia="TimesNewRomanPSMT"/>
                <w:szCs w:val="22"/>
                <w:lang w:eastAsia="en-US"/>
              </w:rPr>
              <w:t>, infekcia</w:t>
            </w:r>
            <w:r w:rsidRPr="00607AC5">
              <w:rPr>
                <w:rFonts w:eastAsia="TimesNewRomanPSMT"/>
                <w:szCs w:val="22"/>
                <w:vertAlign w:val="superscript"/>
                <w:lang w:eastAsia="en-US"/>
              </w:rPr>
              <w:t>◊</w:t>
            </w:r>
          </w:p>
        </w:tc>
      </w:tr>
      <w:tr w:rsidR="00283F4F" w:rsidRPr="003A5C41" w14:paraId="45C47682" w14:textId="77777777" w:rsidTr="00E14828">
        <w:trPr>
          <w:gridBefore w:val="1"/>
          <w:trHeight w:hRule="exact" w:val="768"/>
        </w:trPr>
        <w:tc>
          <w:tcPr>
            <w:tcW w:w="3264" w:type="dxa"/>
            <w:tcBorders>
              <w:top w:val="single" w:sz="5" w:space="0" w:color="000000"/>
              <w:left w:val="single" w:sz="5" w:space="0" w:color="000000"/>
              <w:bottom w:val="single" w:sz="5" w:space="0" w:color="000000"/>
              <w:right w:val="single" w:sz="5" w:space="0" w:color="000000"/>
            </w:tcBorders>
          </w:tcPr>
          <w:p w14:paraId="452E621F" w14:textId="63D824BA" w:rsidR="00283F4F" w:rsidRPr="00607AC5" w:rsidRDefault="002F0916" w:rsidP="00BB6402">
            <w:pPr>
              <w:autoSpaceDE w:val="0"/>
              <w:autoSpaceDN w:val="0"/>
              <w:adjustRightInd w:val="0"/>
              <w:ind w:left="0" w:firstLine="0"/>
              <w:rPr>
                <w:szCs w:val="22"/>
              </w:rPr>
            </w:pPr>
            <w:r w:rsidRPr="002F0916">
              <w:rPr>
                <w:b/>
                <w:bCs/>
                <w:szCs w:val="22"/>
                <w:lang w:eastAsia="en-GB"/>
              </w:rPr>
              <w:t>Benígne a malígne nádory, vrátane nešpecifikovaných novotvarov (cysty a polypy)</w:t>
            </w:r>
            <w:r w:rsidRPr="002F0916" w:rsidDel="007D3E26">
              <w:rPr>
                <w:b/>
                <w:bCs/>
                <w:szCs w:val="22"/>
                <w:lang w:eastAsia="en-GB"/>
              </w:rPr>
              <w:t xml:space="preserve"> </w:t>
            </w:r>
          </w:p>
        </w:tc>
        <w:tc>
          <w:tcPr>
            <w:tcW w:w="3297" w:type="dxa"/>
            <w:tcBorders>
              <w:top w:val="single" w:sz="5" w:space="0" w:color="000000"/>
              <w:left w:val="single" w:sz="5" w:space="0" w:color="000000"/>
              <w:bottom w:val="single" w:sz="5" w:space="0" w:color="000000"/>
              <w:right w:val="single" w:sz="5" w:space="0" w:color="000000"/>
            </w:tcBorders>
          </w:tcPr>
          <w:p w14:paraId="1F7723F8" w14:textId="77777777" w:rsidR="00BB6402" w:rsidRPr="00607AC5" w:rsidRDefault="00BB6402" w:rsidP="00BB6402">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Časté</w:t>
            </w:r>
          </w:p>
          <w:p w14:paraId="38AB995E" w14:textId="77777777" w:rsidR="00283F4F" w:rsidRPr="00607AC5" w:rsidRDefault="00BB6402" w:rsidP="00BB6402">
            <w:pPr>
              <w:pStyle w:val="TableParagraph"/>
              <w:ind w:left="102" w:hanging="101"/>
              <w:rPr>
                <w:sz w:val="22"/>
                <w:szCs w:val="22"/>
                <w:lang w:val="sk-SK"/>
              </w:rPr>
            </w:pPr>
            <w:r w:rsidRPr="00607AC5">
              <w:rPr>
                <w:rFonts w:eastAsia="TimesNewRomanPSMT"/>
                <w:sz w:val="22"/>
                <w:szCs w:val="22"/>
                <w:lang w:val="sk-SK"/>
              </w:rPr>
              <w:t>Myelodysplastický syndróm</w:t>
            </w:r>
            <w:r w:rsidRPr="00607AC5">
              <w:rPr>
                <w:rFonts w:eastAsia="TimesNewRomanPSMT"/>
                <w:sz w:val="22"/>
                <w:szCs w:val="22"/>
                <w:vertAlign w:val="superscript"/>
                <w:lang w:val="sk-SK"/>
              </w:rPr>
              <w:t>◊,*</w:t>
            </w:r>
          </w:p>
        </w:tc>
        <w:tc>
          <w:tcPr>
            <w:tcW w:w="3293" w:type="dxa"/>
            <w:gridSpan w:val="2"/>
            <w:tcBorders>
              <w:top w:val="single" w:sz="5" w:space="0" w:color="000000"/>
              <w:left w:val="single" w:sz="5" w:space="0" w:color="000000"/>
              <w:bottom w:val="single" w:sz="5" w:space="0" w:color="000000"/>
              <w:right w:val="single" w:sz="5" w:space="0" w:color="000000"/>
            </w:tcBorders>
          </w:tcPr>
          <w:p w14:paraId="2A276E70" w14:textId="77777777" w:rsidR="00283F4F" w:rsidRPr="00607AC5" w:rsidRDefault="00283F4F" w:rsidP="00E956F8">
            <w:pPr>
              <w:rPr>
                <w:szCs w:val="22"/>
              </w:rPr>
            </w:pPr>
          </w:p>
        </w:tc>
      </w:tr>
      <w:tr w:rsidR="00283F4F" w:rsidRPr="003A5C41" w14:paraId="2ED35E90" w14:textId="77777777" w:rsidTr="00E14828">
        <w:trPr>
          <w:gridBefore w:val="1"/>
          <w:trHeight w:hRule="exact" w:val="2057"/>
        </w:trPr>
        <w:tc>
          <w:tcPr>
            <w:tcW w:w="3264" w:type="dxa"/>
            <w:tcBorders>
              <w:top w:val="single" w:sz="5" w:space="0" w:color="000000"/>
              <w:left w:val="single" w:sz="5" w:space="0" w:color="000000"/>
              <w:bottom w:val="single" w:sz="5" w:space="0" w:color="000000"/>
              <w:right w:val="single" w:sz="5" w:space="0" w:color="000000"/>
            </w:tcBorders>
          </w:tcPr>
          <w:p w14:paraId="1D033F6E" w14:textId="1E39732F" w:rsidR="00283F4F" w:rsidRPr="00607AC5" w:rsidRDefault="00283F4F" w:rsidP="00E956F8">
            <w:pPr>
              <w:pStyle w:val="TableParagraph"/>
              <w:rPr>
                <w:b/>
                <w:bCs/>
                <w:sz w:val="22"/>
                <w:szCs w:val="22"/>
                <w:lang w:val="sk-SK"/>
              </w:rPr>
            </w:pPr>
          </w:p>
          <w:p w14:paraId="20A52F83" w14:textId="77777777" w:rsidR="00283F4F" w:rsidRPr="00607AC5" w:rsidRDefault="00283F4F" w:rsidP="00E956F8">
            <w:pPr>
              <w:pStyle w:val="TableParagraph"/>
              <w:rPr>
                <w:b/>
                <w:bCs/>
                <w:sz w:val="22"/>
                <w:szCs w:val="22"/>
                <w:lang w:val="sk-SK"/>
              </w:rPr>
            </w:pPr>
          </w:p>
          <w:p w14:paraId="7C1C722D" w14:textId="77777777" w:rsidR="00283F4F" w:rsidRPr="00607AC5" w:rsidRDefault="00283F4F" w:rsidP="00E956F8">
            <w:pPr>
              <w:pStyle w:val="TableParagraph"/>
              <w:spacing w:before="9"/>
              <w:rPr>
                <w:b/>
                <w:bCs/>
                <w:sz w:val="22"/>
                <w:szCs w:val="22"/>
                <w:lang w:val="sk-SK"/>
              </w:rPr>
            </w:pPr>
          </w:p>
          <w:p w14:paraId="6A553463" w14:textId="77777777" w:rsidR="00283F4F" w:rsidRPr="00607AC5" w:rsidRDefault="00BB6402" w:rsidP="00BB6402">
            <w:pPr>
              <w:autoSpaceDE w:val="0"/>
              <w:autoSpaceDN w:val="0"/>
              <w:adjustRightInd w:val="0"/>
              <w:ind w:left="0" w:firstLine="0"/>
              <w:rPr>
                <w:szCs w:val="22"/>
              </w:rPr>
            </w:pPr>
            <w:r w:rsidRPr="00607AC5">
              <w:rPr>
                <w:b/>
                <w:bCs/>
                <w:szCs w:val="22"/>
                <w:lang w:eastAsia="en-US"/>
              </w:rPr>
              <w:t>Poruchy krvi a lymfatického systému</w:t>
            </w:r>
          </w:p>
        </w:tc>
        <w:tc>
          <w:tcPr>
            <w:tcW w:w="3297" w:type="dxa"/>
            <w:tcBorders>
              <w:top w:val="single" w:sz="5" w:space="0" w:color="000000"/>
              <w:left w:val="single" w:sz="5" w:space="0" w:color="000000"/>
              <w:bottom w:val="single" w:sz="5" w:space="0" w:color="000000"/>
              <w:right w:val="single" w:sz="5" w:space="0" w:color="000000"/>
            </w:tcBorders>
          </w:tcPr>
          <w:p w14:paraId="61C7A689" w14:textId="77777777" w:rsidR="00BB6402" w:rsidRPr="00607AC5" w:rsidRDefault="00BB6402" w:rsidP="00BB6402">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Veľmi časté</w:t>
            </w:r>
          </w:p>
          <w:p w14:paraId="434CB72D" w14:textId="77777777" w:rsidR="00283F4F" w:rsidRPr="00607AC5" w:rsidRDefault="00BB6402" w:rsidP="00A238BF">
            <w:pPr>
              <w:autoSpaceDE w:val="0"/>
              <w:autoSpaceDN w:val="0"/>
              <w:adjustRightInd w:val="0"/>
              <w:ind w:left="0" w:firstLine="0"/>
              <w:rPr>
                <w:szCs w:val="22"/>
              </w:rPr>
            </w:pPr>
            <w:r w:rsidRPr="00607AC5">
              <w:rPr>
                <w:rFonts w:eastAsia="TimesNewRomanPSMT"/>
                <w:szCs w:val="22"/>
                <w:lang w:eastAsia="en-US"/>
              </w:rPr>
              <w:t>Neutropénia</w:t>
            </w:r>
            <w:r w:rsidRPr="00607AC5">
              <w:rPr>
                <w:rFonts w:eastAsia="TimesNewRomanPSMT"/>
                <w:szCs w:val="22"/>
                <w:vertAlign w:val="superscript"/>
                <w:lang w:eastAsia="en-US"/>
              </w:rPr>
              <w:t>^,◊</w:t>
            </w:r>
            <w:r w:rsidRPr="00607AC5">
              <w:rPr>
                <w:rFonts w:eastAsia="TimesNewRomanPSMT"/>
                <w:szCs w:val="22"/>
                <w:lang w:eastAsia="en-US"/>
              </w:rPr>
              <w:t>, febrilná</w:t>
            </w:r>
            <w:r w:rsidR="00A238BF" w:rsidRPr="00607AC5">
              <w:rPr>
                <w:rFonts w:eastAsia="TimesNewRomanPSMT"/>
                <w:szCs w:val="22"/>
                <w:lang w:eastAsia="en-US"/>
              </w:rPr>
              <w:t xml:space="preserve"> </w:t>
            </w:r>
            <w:r w:rsidRPr="00607AC5">
              <w:rPr>
                <w:rFonts w:eastAsia="TimesNewRomanPSMT"/>
                <w:szCs w:val="22"/>
                <w:lang w:eastAsia="en-US"/>
              </w:rPr>
              <w:t>neutropénia</w:t>
            </w:r>
            <w:r w:rsidRPr="00607AC5">
              <w:rPr>
                <w:rFonts w:eastAsia="TimesNewRomanPSMT"/>
                <w:szCs w:val="22"/>
                <w:vertAlign w:val="superscript"/>
                <w:lang w:eastAsia="en-US"/>
              </w:rPr>
              <w:t>^,◊</w:t>
            </w:r>
            <w:r w:rsidRPr="00607AC5">
              <w:rPr>
                <w:rFonts w:eastAsia="TimesNewRomanPSMT"/>
                <w:szCs w:val="22"/>
                <w:lang w:eastAsia="en-US"/>
              </w:rPr>
              <w:t>,</w:t>
            </w:r>
            <w:r w:rsidR="00A238BF" w:rsidRPr="00607AC5">
              <w:rPr>
                <w:rFonts w:eastAsia="TimesNewRomanPSMT"/>
                <w:szCs w:val="22"/>
                <w:lang w:eastAsia="en-US"/>
              </w:rPr>
              <w:t xml:space="preserve"> </w:t>
            </w:r>
            <w:r w:rsidRPr="00607AC5">
              <w:rPr>
                <w:rFonts w:eastAsia="TimesNewRomanPSMT"/>
                <w:szCs w:val="22"/>
                <w:lang w:eastAsia="en-US"/>
              </w:rPr>
              <w:t>trombocytopénia</w:t>
            </w:r>
            <w:r w:rsidRPr="00607AC5">
              <w:rPr>
                <w:rFonts w:eastAsia="TimesNewRomanPSMT"/>
                <w:szCs w:val="22"/>
                <w:vertAlign w:val="superscript"/>
                <w:lang w:eastAsia="en-US"/>
              </w:rPr>
              <w:t>^,◊</w:t>
            </w:r>
            <w:r w:rsidRPr="00607AC5">
              <w:rPr>
                <w:rFonts w:eastAsia="TimesNewRomanPSMT"/>
                <w:szCs w:val="22"/>
                <w:lang w:eastAsia="en-US"/>
              </w:rPr>
              <w:t>, anémia,</w:t>
            </w:r>
            <w:r w:rsidR="00A238BF" w:rsidRPr="00607AC5">
              <w:rPr>
                <w:rFonts w:eastAsia="TimesNewRomanPSMT"/>
                <w:szCs w:val="22"/>
                <w:lang w:eastAsia="en-US"/>
              </w:rPr>
              <w:t xml:space="preserve"> </w:t>
            </w:r>
            <w:r w:rsidRPr="00607AC5">
              <w:rPr>
                <w:rFonts w:eastAsia="TimesNewRomanPSMT"/>
                <w:szCs w:val="22"/>
                <w:lang w:eastAsia="en-US"/>
              </w:rPr>
              <w:t>leukopénia</w:t>
            </w:r>
            <w:r w:rsidRPr="00607AC5">
              <w:rPr>
                <w:rFonts w:eastAsia="TimesNewRomanPSMT"/>
                <w:szCs w:val="22"/>
                <w:vertAlign w:val="superscript"/>
                <w:lang w:eastAsia="en-US"/>
              </w:rPr>
              <w:t>◊</w:t>
            </w:r>
            <w:r w:rsidRPr="00607AC5">
              <w:rPr>
                <w:rFonts w:eastAsia="TimesNewRomanPSMT"/>
                <w:szCs w:val="22"/>
                <w:lang w:eastAsia="en-US"/>
              </w:rPr>
              <w:t>, lymfopénia</w:t>
            </w:r>
          </w:p>
        </w:tc>
        <w:tc>
          <w:tcPr>
            <w:tcW w:w="3293" w:type="dxa"/>
            <w:gridSpan w:val="2"/>
            <w:tcBorders>
              <w:top w:val="single" w:sz="5" w:space="0" w:color="000000"/>
              <w:left w:val="single" w:sz="5" w:space="0" w:color="000000"/>
              <w:bottom w:val="single" w:sz="5" w:space="0" w:color="000000"/>
              <w:right w:val="single" w:sz="5" w:space="0" w:color="000000"/>
            </w:tcBorders>
          </w:tcPr>
          <w:p w14:paraId="711C1847" w14:textId="77777777" w:rsidR="00BB6402" w:rsidRPr="00607AC5" w:rsidRDefault="00BB6402" w:rsidP="00BB6402">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Veľmi časté</w:t>
            </w:r>
          </w:p>
          <w:p w14:paraId="5DDC6150" w14:textId="77777777" w:rsidR="00283F4F" w:rsidRPr="00607AC5" w:rsidRDefault="00BB6402" w:rsidP="00A238BF">
            <w:pPr>
              <w:autoSpaceDE w:val="0"/>
              <w:autoSpaceDN w:val="0"/>
              <w:adjustRightInd w:val="0"/>
              <w:ind w:left="0" w:firstLine="0"/>
              <w:rPr>
                <w:b/>
                <w:bCs/>
                <w:szCs w:val="22"/>
              </w:rPr>
            </w:pPr>
            <w:r w:rsidRPr="00607AC5">
              <w:rPr>
                <w:rFonts w:eastAsia="TimesNewRomanPSMT"/>
                <w:szCs w:val="22"/>
                <w:lang w:eastAsia="en-US"/>
              </w:rPr>
              <w:t>Neutropénia</w:t>
            </w:r>
            <w:r w:rsidRPr="00607AC5">
              <w:rPr>
                <w:rFonts w:eastAsia="TimesNewRomanPSMT"/>
                <w:szCs w:val="22"/>
                <w:vertAlign w:val="superscript"/>
                <w:lang w:eastAsia="en-US"/>
              </w:rPr>
              <w:t>^,◊</w:t>
            </w:r>
            <w:r w:rsidRPr="00607AC5">
              <w:rPr>
                <w:rFonts w:eastAsia="TimesNewRomanPSMT"/>
                <w:szCs w:val="22"/>
                <w:lang w:eastAsia="en-US"/>
              </w:rPr>
              <w:t>, febrilná</w:t>
            </w:r>
            <w:r w:rsidR="00A238BF" w:rsidRPr="00607AC5">
              <w:rPr>
                <w:rFonts w:eastAsia="TimesNewRomanPSMT"/>
                <w:szCs w:val="22"/>
                <w:lang w:eastAsia="en-US"/>
              </w:rPr>
              <w:t xml:space="preserve"> </w:t>
            </w:r>
            <w:r w:rsidRPr="00607AC5">
              <w:rPr>
                <w:rFonts w:eastAsia="TimesNewRomanPSMT"/>
                <w:szCs w:val="22"/>
                <w:lang w:eastAsia="en-US"/>
              </w:rPr>
              <w:t>neutropénia</w:t>
            </w:r>
            <w:r w:rsidRPr="00607AC5">
              <w:rPr>
                <w:rFonts w:eastAsia="TimesNewRomanPSMT"/>
                <w:szCs w:val="22"/>
                <w:vertAlign w:val="superscript"/>
                <w:lang w:eastAsia="en-US"/>
              </w:rPr>
              <w:t>^,◊</w:t>
            </w:r>
            <w:r w:rsidRPr="00607AC5">
              <w:rPr>
                <w:rFonts w:eastAsia="TimesNewRomanPSMT"/>
                <w:szCs w:val="22"/>
                <w:lang w:eastAsia="en-US"/>
              </w:rPr>
              <w:t>,</w:t>
            </w:r>
            <w:r w:rsidR="00A238BF" w:rsidRPr="00607AC5">
              <w:rPr>
                <w:rFonts w:eastAsia="TimesNewRomanPSMT"/>
                <w:szCs w:val="22"/>
                <w:lang w:eastAsia="en-US"/>
              </w:rPr>
              <w:t xml:space="preserve"> </w:t>
            </w:r>
            <w:r w:rsidRPr="00607AC5">
              <w:rPr>
                <w:rFonts w:eastAsia="TimesNewRomanPSMT"/>
                <w:szCs w:val="22"/>
                <w:lang w:eastAsia="en-US"/>
              </w:rPr>
              <w:t>trombocytopénia</w:t>
            </w:r>
            <w:r w:rsidRPr="00607AC5">
              <w:rPr>
                <w:rFonts w:eastAsia="TimesNewRomanPSMT"/>
                <w:szCs w:val="22"/>
                <w:vertAlign w:val="superscript"/>
                <w:lang w:eastAsia="en-US"/>
              </w:rPr>
              <w:t>^,◊</w:t>
            </w:r>
            <w:r w:rsidRPr="00607AC5">
              <w:rPr>
                <w:rFonts w:eastAsia="TimesNewRomanPSMT"/>
                <w:szCs w:val="22"/>
                <w:lang w:eastAsia="en-US"/>
              </w:rPr>
              <w:t>, anémia,</w:t>
            </w:r>
            <w:r w:rsidR="00A238BF" w:rsidRPr="00607AC5">
              <w:rPr>
                <w:rFonts w:eastAsia="TimesNewRomanPSMT"/>
                <w:szCs w:val="22"/>
                <w:lang w:eastAsia="en-US"/>
              </w:rPr>
              <w:t xml:space="preserve"> </w:t>
            </w:r>
            <w:r w:rsidRPr="00607AC5">
              <w:rPr>
                <w:rFonts w:eastAsia="TimesNewRomanPSMT"/>
                <w:szCs w:val="22"/>
                <w:lang w:eastAsia="en-US"/>
              </w:rPr>
              <w:t>leukopénia</w:t>
            </w:r>
            <w:r w:rsidRPr="00607AC5">
              <w:rPr>
                <w:rFonts w:eastAsia="TimesNewRomanPSMT"/>
                <w:szCs w:val="22"/>
                <w:vertAlign w:val="superscript"/>
                <w:lang w:eastAsia="en-US"/>
              </w:rPr>
              <w:t>◊</w:t>
            </w:r>
            <w:r w:rsidRPr="00607AC5">
              <w:rPr>
                <w:rFonts w:eastAsia="TimesNewRomanPSMT"/>
                <w:szCs w:val="22"/>
                <w:lang w:eastAsia="en-US"/>
              </w:rPr>
              <w:t>, lymfopénia</w:t>
            </w:r>
          </w:p>
          <w:p w14:paraId="6A8E2E46" w14:textId="77777777" w:rsidR="00A238BF" w:rsidRPr="00607AC5" w:rsidRDefault="00A238BF" w:rsidP="00E956F8">
            <w:pPr>
              <w:pStyle w:val="TableParagraph"/>
              <w:ind w:left="102" w:right="1920"/>
              <w:rPr>
                <w:spacing w:val="-2"/>
                <w:sz w:val="22"/>
                <w:szCs w:val="22"/>
                <w:u w:val="single" w:color="000000"/>
                <w:lang w:val="sk-SK"/>
              </w:rPr>
            </w:pPr>
          </w:p>
          <w:p w14:paraId="6B922911" w14:textId="77777777" w:rsidR="00A238BF" w:rsidRPr="00607AC5" w:rsidRDefault="00A238BF" w:rsidP="00A238BF">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Časté</w:t>
            </w:r>
          </w:p>
          <w:p w14:paraId="613E51C2" w14:textId="77777777" w:rsidR="00283F4F" w:rsidRPr="00607AC5" w:rsidRDefault="00A238BF" w:rsidP="00A238BF">
            <w:pPr>
              <w:pStyle w:val="TableParagraph"/>
              <w:ind w:left="102" w:right="1920" w:hanging="102"/>
              <w:rPr>
                <w:sz w:val="22"/>
                <w:szCs w:val="22"/>
                <w:lang w:val="sk-SK"/>
              </w:rPr>
            </w:pPr>
            <w:r w:rsidRPr="00607AC5">
              <w:rPr>
                <w:rFonts w:eastAsia="TimesNewRomanPSMT"/>
                <w:sz w:val="22"/>
                <w:szCs w:val="22"/>
                <w:lang w:val="sk-SK"/>
              </w:rPr>
              <w:t>Pancytopénia</w:t>
            </w:r>
            <w:r w:rsidRPr="00607AC5">
              <w:rPr>
                <w:rFonts w:eastAsia="TimesNewRomanPSMT"/>
                <w:sz w:val="22"/>
                <w:szCs w:val="22"/>
                <w:vertAlign w:val="superscript"/>
                <w:lang w:val="sk-SK"/>
              </w:rPr>
              <w:t>◊</w:t>
            </w:r>
          </w:p>
        </w:tc>
      </w:tr>
      <w:tr w:rsidR="00283F4F" w:rsidRPr="003A5C41" w14:paraId="1888E478" w14:textId="77777777" w:rsidTr="00E14828">
        <w:trPr>
          <w:gridBefore w:val="1"/>
          <w:trHeight w:hRule="exact" w:val="516"/>
        </w:trPr>
        <w:tc>
          <w:tcPr>
            <w:tcW w:w="3264" w:type="dxa"/>
            <w:tcBorders>
              <w:top w:val="single" w:sz="5" w:space="0" w:color="000000"/>
              <w:left w:val="single" w:sz="5" w:space="0" w:color="000000"/>
              <w:bottom w:val="single" w:sz="5" w:space="0" w:color="000000"/>
              <w:right w:val="single" w:sz="5" w:space="0" w:color="000000"/>
            </w:tcBorders>
          </w:tcPr>
          <w:p w14:paraId="7DDF810B" w14:textId="77777777" w:rsidR="00283F4F" w:rsidRPr="00607AC5" w:rsidRDefault="00E956F8" w:rsidP="00E956F8">
            <w:pPr>
              <w:autoSpaceDE w:val="0"/>
              <w:autoSpaceDN w:val="0"/>
              <w:adjustRightInd w:val="0"/>
              <w:ind w:left="0" w:firstLine="0"/>
              <w:rPr>
                <w:szCs w:val="22"/>
              </w:rPr>
            </w:pPr>
            <w:r w:rsidRPr="00607AC5">
              <w:rPr>
                <w:b/>
                <w:bCs/>
                <w:szCs w:val="22"/>
                <w:lang w:eastAsia="en-US"/>
              </w:rPr>
              <w:t>Poruchy metabolizmu a výživy</w:t>
            </w:r>
          </w:p>
        </w:tc>
        <w:tc>
          <w:tcPr>
            <w:tcW w:w="3297" w:type="dxa"/>
            <w:tcBorders>
              <w:top w:val="single" w:sz="5" w:space="0" w:color="000000"/>
              <w:left w:val="single" w:sz="5" w:space="0" w:color="000000"/>
              <w:bottom w:val="single" w:sz="5" w:space="0" w:color="000000"/>
              <w:right w:val="single" w:sz="5" w:space="0" w:color="000000"/>
            </w:tcBorders>
          </w:tcPr>
          <w:p w14:paraId="02666ED2" w14:textId="77777777" w:rsidR="00E956F8" w:rsidRPr="00607AC5" w:rsidRDefault="00E956F8" w:rsidP="00E956F8">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Veľmi časté</w:t>
            </w:r>
          </w:p>
          <w:p w14:paraId="2EB63074" w14:textId="77777777" w:rsidR="00283F4F" w:rsidRPr="00607AC5" w:rsidRDefault="00E956F8" w:rsidP="00E956F8">
            <w:pPr>
              <w:pStyle w:val="TableParagraph"/>
              <w:ind w:left="102" w:right="1869" w:hanging="101"/>
              <w:rPr>
                <w:sz w:val="22"/>
                <w:szCs w:val="22"/>
                <w:lang w:val="sk-SK"/>
              </w:rPr>
            </w:pPr>
            <w:r w:rsidRPr="00607AC5">
              <w:rPr>
                <w:rFonts w:eastAsia="TimesNewRomanPSMT"/>
                <w:sz w:val="22"/>
                <w:szCs w:val="22"/>
                <w:lang w:val="sk-SK"/>
              </w:rPr>
              <w:t>Hypokalémia</w:t>
            </w:r>
          </w:p>
        </w:tc>
        <w:tc>
          <w:tcPr>
            <w:tcW w:w="3293" w:type="dxa"/>
            <w:gridSpan w:val="2"/>
            <w:tcBorders>
              <w:top w:val="single" w:sz="5" w:space="0" w:color="000000"/>
              <w:left w:val="single" w:sz="5" w:space="0" w:color="000000"/>
              <w:bottom w:val="single" w:sz="5" w:space="0" w:color="000000"/>
              <w:right w:val="single" w:sz="5" w:space="0" w:color="000000"/>
            </w:tcBorders>
          </w:tcPr>
          <w:p w14:paraId="1E6D9488" w14:textId="77777777" w:rsidR="00E956F8" w:rsidRPr="00607AC5" w:rsidRDefault="00E956F8" w:rsidP="00E956F8">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Časté</w:t>
            </w:r>
          </w:p>
          <w:p w14:paraId="6CE7ED56" w14:textId="77777777" w:rsidR="00283F4F" w:rsidRPr="00607AC5" w:rsidRDefault="00E956F8" w:rsidP="00E956F8">
            <w:pPr>
              <w:pStyle w:val="TableParagraph"/>
              <w:spacing w:before="1"/>
              <w:ind w:left="102" w:hanging="102"/>
              <w:rPr>
                <w:sz w:val="22"/>
                <w:szCs w:val="22"/>
                <w:lang w:val="sk-SK"/>
              </w:rPr>
            </w:pPr>
            <w:r w:rsidRPr="00607AC5">
              <w:rPr>
                <w:rFonts w:eastAsia="TimesNewRomanPSMT"/>
                <w:sz w:val="22"/>
                <w:szCs w:val="22"/>
                <w:lang w:val="sk-SK"/>
              </w:rPr>
              <w:t>Hypokalémia, dehydratácia</w:t>
            </w:r>
          </w:p>
        </w:tc>
      </w:tr>
      <w:tr w:rsidR="00283F4F" w:rsidRPr="003A5C41" w14:paraId="74E45642" w14:textId="77777777" w:rsidTr="00E14828">
        <w:trPr>
          <w:gridBefore w:val="1"/>
          <w:trHeight w:hRule="exact" w:val="1274"/>
        </w:trPr>
        <w:tc>
          <w:tcPr>
            <w:tcW w:w="3264" w:type="dxa"/>
            <w:tcBorders>
              <w:top w:val="single" w:sz="5" w:space="0" w:color="000000"/>
              <w:left w:val="single" w:sz="5" w:space="0" w:color="000000"/>
              <w:bottom w:val="single" w:sz="5" w:space="0" w:color="000000"/>
              <w:right w:val="single" w:sz="5" w:space="0" w:color="000000"/>
            </w:tcBorders>
          </w:tcPr>
          <w:p w14:paraId="56B19C8B" w14:textId="77777777" w:rsidR="00283F4F" w:rsidRPr="00607AC5" w:rsidRDefault="00283F4F" w:rsidP="00E956F8">
            <w:pPr>
              <w:pStyle w:val="TableParagraph"/>
              <w:rPr>
                <w:b/>
                <w:bCs/>
                <w:sz w:val="22"/>
                <w:szCs w:val="22"/>
                <w:lang w:val="sk-SK"/>
              </w:rPr>
            </w:pPr>
          </w:p>
          <w:p w14:paraId="76CF6F3D" w14:textId="77777777" w:rsidR="00283F4F" w:rsidRPr="00607AC5" w:rsidRDefault="00E956F8" w:rsidP="00556C5B">
            <w:pPr>
              <w:pStyle w:val="TableParagraph"/>
              <w:ind w:left="102"/>
              <w:rPr>
                <w:sz w:val="22"/>
                <w:szCs w:val="22"/>
                <w:lang w:val="sk-SK"/>
              </w:rPr>
            </w:pPr>
            <w:r w:rsidRPr="00607AC5">
              <w:rPr>
                <w:b/>
                <w:bCs/>
                <w:sz w:val="22"/>
                <w:szCs w:val="22"/>
                <w:lang w:val="sk-SK"/>
              </w:rPr>
              <w:t>Poruchy nervového systému</w:t>
            </w:r>
          </w:p>
        </w:tc>
        <w:tc>
          <w:tcPr>
            <w:tcW w:w="3297" w:type="dxa"/>
            <w:tcBorders>
              <w:top w:val="single" w:sz="5" w:space="0" w:color="000000"/>
              <w:left w:val="single" w:sz="5" w:space="0" w:color="000000"/>
              <w:bottom w:val="single" w:sz="5" w:space="0" w:color="000000"/>
              <w:right w:val="single" w:sz="5" w:space="0" w:color="000000"/>
            </w:tcBorders>
          </w:tcPr>
          <w:p w14:paraId="0EEB62D6" w14:textId="77777777" w:rsidR="00E956F8" w:rsidRPr="00607AC5" w:rsidRDefault="00E956F8" w:rsidP="00E956F8">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Veľmi časté</w:t>
            </w:r>
          </w:p>
          <w:p w14:paraId="773B5FF7" w14:textId="77777777" w:rsidR="00E956F8" w:rsidRPr="00607AC5" w:rsidRDefault="00E956F8" w:rsidP="00E956F8">
            <w:pPr>
              <w:autoSpaceDE w:val="0"/>
              <w:autoSpaceDN w:val="0"/>
              <w:adjustRightInd w:val="0"/>
              <w:ind w:left="0" w:firstLine="0"/>
              <w:rPr>
                <w:rFonts w:eastAsia="TimesNewRomanPSMT"/>
                <w:szCs w:val="22"/>
                <w:lang w:eastAsia="en-US"/>
              </w:rPr>
            </w:pPr>
            <w:r w:rsidRPr="00607AC5">
              <w:rPr>
                <w:rFonts w:eastAsia="TimesNewRomanPSMT"/>
                <w:szCs w:val="22"/>
                <w:lang w:eastAsia="en-US"/>
              </w:rPr>
              <w:t>Parestézia</w:t>
            </w:r>
          </w:p>
          <w:p w14:paraId="3BDD77B9" w14:textId="77777777" w:rsidR="00E956F8" w:rsidRPr="00607AC5" w:rsidRDefault="00E956F8" w:rsidP="00E956F8">
            <w:pPr>
              <w:autoSpaceDE w:val="0"/>
              <w:autoSpaceDN w:val="0"/>
              <w:adjustRightInd w:val="0"/>
              <w:ind w:left="0" w:firstLine="0"/>
              <w:rPr>
                <w:rFonts w:eastAsia="TimesNewRomanPSMT"/>
                <w:szCs w:val="22"/>
                <w:lang w:eastAsia="en-US"/>
              </w:rPr>
            </w:pPr>
          </w:p>
          <w:p w14:paraId="3A46CAC0" w14:textId="77777777" w:rsidR="00E956F8" w:rsidRPr="00607AC5" w:rsidRDefault="00E956F8" w:rsidP="00E956F8">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Časté</w:t>
            </w:r>
          </w:p>
          <w:p w14:paraId="48DCF9B9" w14:textId="77777777" w:rsidR="00283F4F" w:rsidRPr="00607AC5" w:rsidRDefault="00E956F8" w:rsidP="00E956F8">
            <w:pPr>
              <w:pStyle w:val="TableParagraph"/>
              <w:ind w:left="102" w:hanging="102"/>
              <w:rPr>
                <w:sz w:val="22"/>
                <w:szCs w:val="22"/>
                <w:lang w:val="sk-SK"/>
              </w:rPr>
            </w:pPr>
            <w:r w:rsidRPr="00607AC5">
              <w:rPr>
                <w:rFonts w:eastAsia="TimesNewRomanPSMT"/>
                <w:sz w:val="22"/>
                <w:szCs w:val="22"/>
                <w:lang w:val="sk-SK"/>
              </w:rPr>
              <w:t>Periférna neuropatia</w:t>
            </w:r>
            <w:r w:rsidRPr="00607AC5">
              <w:rPr>
                <w:rFonts w:eastAsia="TimesNewRomanPSMT"/>
                <w:sz w:val="22"/>
                <w:szCs w:val="22"/>
                <w:vertAlign w:val="superscript"/>
                <w:lang w:val="sk-SK"/>
              </w:rPr>
              <w:t>c</w:t>
            </w:r>
          </w:p>
        </w:tc>
        <w:tc>
          <w:tcPr>
            <w:tcW w:w="3293" w:type="dxa"/>
            <w:gridSpan w:val="2"/>
            <w:tcBorders>
              <w:top w:val="single" w:sz="5" w:space="0" w:color="000000"/>
              <w:left w:val="single" w:sz="5" w:space="0" w:color="000000"/>
              <w:bottom w:val="single" w:sz="5" w:space="0" w:color="000000"/>
              <w:right w:val="single" w:sz="5" w:space="0" w:color="000000"/>
            </w:tcBorders>
          </w:tcPr>
          <w:p w14:paraId="6064FD1B" w14:textId="77777777" w:rsidR="00E956F8" w:rsidRPr="00607AC5" w:rsidRDefault="00E956F8" w:rsidP="00E956F8">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Časté</w:t>
            </w:r>
          </w:p>
          <w:p w14:paraId="1D4ED8EA" w14:textId="77777777" w:rsidR="00283F4F" w:rsidRPr="00607AC5" w:rsidRDefault="00E956F8" w:rsidP="00E956F8">
            <w:pPr>
              <w:pStyle w:val="TableParagraph"/>
              <w:ind w:right="1486"/>
              <w:rPr>
                <w:sz w:val="22"/>
                <w:szCs w:val="22"/>
                <w:lang w:val="sk-SK"/>
              </w:rPr>
            </w:pPr>
            <w:r w:rsidRPr="00607AC5">
              <w:rPr>
                <w:rFonts w:eastAsia="TimesNewRomanPSMT"/>
                <w:sz w:val="22"/>
                <w:szCs w:val="22"/>
                <w:lang w:val="sk-SK"/>
              </w:rPr>
              <w:t>Bolesť hlavy</w:t>
            </w:r>
          </w:p>
        </w:tc>
      </w:tr>
      <w:tr w:rsidR="00283F4F" w:rsidRPr="003A5C41" w14:paraId="381DE46E" w14:textId="77777777" w:rsidTr="00E14828">
        <w:trPr>
          <w:gridBefore w:val="1"/>
          <w:trHeight w:hRule="exact" w:val="516"/>
        </w:trPr>
        <w:tc>
          <w:tcPr>
            <w:tcW w:w="3264" w:type="dxa"/>
            <w:tcBorders>
              <w:top w:val="single" w:sz="5" w:space="0" w:color="000000"/>
              <w:left w:val="single" w:sz="5" w:space="0" w:color="000000"/>
              <w:bottom w:val="single" w:sz="5" w:space="0" w:color="000000"/>
              <w:right w:val="single" w:sz="5" w:space="0" w:color="000000"/>
            </w:tcBorders>
          </w:tcPr>
          <w:p w14:paraId="76CE063A" w14:textId="77777777" w:rsidR="00283F4F" w:rsidRPr="00607AC5" w:rsidRDefault="00E956F8" w:rsidP="00556C5B">
            <w:pPr>
              <w:pStyle w:val="TableParagraph"/>
              <w:spacing w:before="125"/>
              <w:ind w:left="102"/>
              <w:rPr>
                <w:sz w:val="22"/>
                <w:szCs w:val="22"/>
                <w:lang w:val="sk-SK"/>
              </w:rPr>
            </w:pPr>
            <w:r w:rsidRPr="00607AC5">
              <w:rPr>
                <w:b/>
                <w:bCs/>
                <w:sz w:val="22"/>
                <w:szCs w:val="22"/>
                <w:lang w:val="sk-SK"/>
              </w:rPr>
              <w:t>Poruchy ciev</w:t>
            </w:r>
          </w:p>
        </w:tc>
        <w:tc>
          <w:tcPr>
            <w:tcW w:w="3297" w:type="dxa"/>
            <w:tcBorders>
              <w:top w:val="single" w:sz="5" w:space="0" w:color="000000"/>
              <w:left w:val="single" w:sz="5" w:space="0" w:color="000000"/>
              <w:bottom w:val="single" w:sz="5" w:space="0" w:color="000000"/>
              <w:right w:val="single" w:sz="5" w:space="0" w:color="000000"/>
            </w:tcBorders>
          </w:tcPr>
          <w:p w14:paraId="58D1E0C5" w14:textId="77777777" w:rsidR="00E956F8" w:rsidRPr="00607AC5" w:rsidRDefault="00E956F8" w:rsidP="00E956F8">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Časté</w:t>
            </w:r>
          </w:p>
          <w:p w14:paraId="06A8CF98" w14:textId="77777777" w:rsidR="00283F4F" w:rsidRPr="00607AC5" w:rsidRDefault="00E956F8" w:rsidP="00E956F8">
            <w:pPr>
              <w:pStyle w:val="TableParagraph"/>
              <w:ind w:left="1" w:hanging="1"/>
              <w:rPr>
                <w:sz w:val="22"/>
                <w:szCs w:val="22"/>
                <w:lang w:val="sk-SK"/>
              </w:rPr>
            </w:pPr>
            <w:r w:rsidRPr="00607AC5">
              <w:rPr>
                <w:rFonts w:eastAsia="TimesNewRomanPSMT"/>
                <w:sz w:val="22"/>
                <w:szCs w:val="22"/>
                <w:lang w:val="sk-SK"/>
              </w:rPr>
              <w:t>Pľúcna embólia</w:t>
            </w:r>
            <w:r w:rsidRPr="00607AC5">
              <w:rPr>
                <w:rFonts w:eastAsia="TimesNewRomanPSMT"/>
                <w:sz w:val="22"/>
                <w:szCs w:val="22"/>
                <w:vertAlign w:val="superscript"/>
                <w:lang w:val="sk-SK"/>
              </w:rPr>
              <w:t>◊,*</w:t>
            </w:r>
          </w:p>
        </w:tc>
        <w:tc>
          <w:tcPr>
            <w:tcW w:w="3293" w:type="dxa"/>
            <w:gridSpan w:val="2"/>
            <w:tcBorders>
              <w:top w:val="single" w:sz="5" w:space="0" w:color="000000"/>
              <w:left w:val="single" w:sz="5" w:space="0" w:color="000000"/>
              <w:bottom w:val="single" w:sz="5" w:space="0" w:color="000000"/>
              <w:right w:val="single" w:sz="5" w:space="0" w:color="000000"/>
            </w:tcBorders>
          </w:tcPr>
          <w:p w14:paraId="1530AE86" w14:textId="77777777" w:rsidR="00E956F8" w:rsidRPr="00607AC5" w:rsidRDefault="00E956F8" w:rsidP="00E956F8">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Časté</w:t>
            </w:r>
          </w:p>
          <w:p w14:paraId="07A3F5EB" w14:textId="77777777" w:rsidR="00283F4F" w:rsidRPr="00607AC5" w:rsidRDefault="00E956F8" w:rsidP="00E956F8">
            <w:pPr>
              <w:pStyle w:val="TableParagraph"/>
              <w:ind w:left="102" w:hanging="102"/>
              <w:rPr>
                <w:sz w:val="22"/>
                <w:szCs w:val="22"/>
                <w:lang w:val="sk-SK"/>
              </w:rPr>
            </w:pPr>
            <w:r w:rsidRPr="00607AC5">
              <w:rPr>
                <w:rFonts w:eastAsia="TimesNewRomanPSMT"/>
                <w:sz w:val="22"/>
                <w:szCs w:val="22"/>
                <w:lang w:val="sk-SK"/>
              </w:rPr>
              <w:t>Hlboká žilná trombóza</w:t>
            </w:r>
            <w:r w:rsidRPr="00893070">
              <w:rPr>
                <w:rFonts w:eastAsia="TimesNewRomanPSMT"/>
                <w:sz w:val="22"/>
                <w:vertAlign w:val="superscript"/>
                <w:lang w:val="sk-SK"/>
              </w:rPr>
              <w:t>^,◊,d</w:t>
            </w:r>
          </w:p>
        </w:tc>
      </w:tr>
      <w:tr w:rsidR="00283F4F" w:rsidRPr="003A5C41" w14:paraId="5CE3F014" w14:textId="77777777" w:rsidTr="00E14828">
        <w:trPr>
          <w:gridBefore w:val="1"/>
          <w:trHeight w:hRule="exact" w:val="1274"/>
        </w:trPr>
        <w:tc>
          <w:tcPr>
            <w:tcW w:w="3264" w:type="dxa"/>
            <w:tcBorders>
              <w:top w:val="single" w:sz="5" w:space="0" w:color="000000"/>
              <w:left w:val="single" w:sz="5" w:space="0" w:color="000000"/>
              <w:bottom w:val="single" w:sz="5" w:space="0" w:color="000000"/>
              <w:right w:val="single" w:sz="5" w:space="0" w:color="000000"/>
            </w:tcBorders>
          </w:tcPr>
          <w:p w14:paraId="6DD1224E" w14:textId="77777777" w:rsidR="00283F4F" w:rsidRPr="00607AC5" w:rsidRDefault="00283F4F" w:rsidP="00E956F8">
            <w:pPr>
              <w:pStyle w:val="TableParagraph"/>
              <w:spacing w:before="11"/>
              <w:rPr>
                <w:b/>
                <w:bCs/>
                <w:sz w:val="22"/>
                <w:szCs w:val="22"/>
                <w:lang w:val="sk-SK"/>
              </w:rPr>
            </w:pPr>
          </w:p>
          <w:p w14:paraId="0B1DFC15" w14:textId="77777777" w:rsidR="00283F4F" w:rsidRPr="00607AC5" w:rsidRDefault="00E956F8" w:rsidP="00E956F8">
            <w:pPr>
              <w:autoSpaceDE w:val="0"/>
              <w:autoSpaceDN w:val="0"/>
              <w:adjustRightInd w:val="0"/>
              <w:ind w:left="0" w:firstLine="0"/>
              <w:rPr>
                <w:szCs w:val="22"/>
              </w:rPr>
            </w:pPr>
            <w:r w:rsidRPr="00607AC5">
              <w:rPr>
                <w:b/>
                <w:bCs/>
                <w:szCs w:val="22"/>
                <w:lang w:eastAsia="en-US"/>
              </w:rPr>
              <w:t>Poruchy dýchacej sústavy, hrudníka a mediastína</w:t>
            </w:r>
          </w:p>
        </w:tc>
        <w:tc>
          <w:tcPr>
            <w:tcW w:w="3297" w:type="dxa"/>
            <w:tcBorders>
              <w:top w:val="single" w:sz="5" w:space="0" w:color="000000"/>
              <w:left w:val="single" w:sz="5" w:space="0" w:color="000000"/>
              <w:bottom w:val="single" w:sz="5" w:space="0" w:color="000000"/>
              <w:right w:val="single" w:sz="5" w:space="0" w:color="000000"/>
            </w:tcBorders>
          </w:tcPr>
          <w:p w14:paraId="185C5AEB" w14:textId="77777777" w:rsidR="00E956F8" w:rsidRPr="00607AC5" w:rsidRDefault="00E956F8" w:rsidP="00E956F8">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Veľmi časté</w:t>
            </w:r>
          </w:p>
          <w:p w14:paraId="2A18A012" w14:textId="77777777" w:rsidR="00E956F8" w:rsidRPr="00607AC5" w:rsidRDefault="00E956F8" w:rsidP="00E956F8">
            <w:pPr>
              <w:autoSpaceDE w:val="0"/>
              <w:autoSpaceDN w:val="0"/>
              <w:adjustRightInd w:val="0"/>
              <w:ind w:left="0" w:firstLine="0"/>
              <w:rPr>
                <w:rFonts w:eastAsia="TimesNewRomanPSMT"/>
                <w:szCs w:val="22"/>
                <w:lang w:eastAsia="en-US"/>
              </w:rPr>
            </w:pPr>
            <w:r w:rsidRPr="00607AC5">
              <w:rPr>
                <w:rFonts w:eastAsia="TimesNewRomanPSMT"/>
                <w:szCs w:val="22"/>
                <w:lang w:eastAsia="en-US"/>
              </w:rPr>
              <w:t>Kašeľ</w:t>
            </w:r>
          </w:p>
          <w:p w14:paraId="0DC19CF2" w14:textId="77777777" w:rsidR="00143C96" w:rsidRPr="00607AC5" w:rsidRDefault="00143C96" w:rsidP="00E956F8">
            <w:pPr>
              <w:autoSpaceDE w:val="0"/>
              <w:autoSpaceDN w:val="0"/>
              <w:adjustRightInd w:val="0"/>
              <w:ind w:left="0" w:firstLine="0"/>
              <w:rPr>
                <w:rFonts w:eastAsia="TimesNewRomanPSMT"/>
                <w:szCs w:val="22"/>
                <w:lang w:eastAsia="en-US"/>
              </w:rPr>
            </w:pPr>
          </w:p>
          <w:p w14:paraId="57AEB18D" w14:textId="77777777" w:rsidR="00E956F8" w:rsidRPr="00607AC5" w:rsidRDefault="00E956F8" w:rsidP="00E956F8">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Časté</w:t>
            </w:r>
          </w:p>
          <w:p w14:paraId="63DE4C8E" w14:textId="77777777" w:rsidR="00283F4F" w:rsidRPr="00607AC5" w:rsidRDefault="00E956F8" w:rsidP="00834AF0">
            <w:pPr>
              <w:pStyle w:val="TableParagraph"/>
              <w:ind w:left="102" w:hanging="101"/>
              <w:rPr>
                <w:sz w:val="22"/>
                <w:szCs w:val="22"/>
                <w:lang w:val="sk-SK"/>
              </w:rPr>
            </w:pPr>
            <w:r w:rsidRPr="00607AC5">
              <w:rPr>
                <w:rFonts w:eastAsia="TimesNewRomanPSMT"/>
                <w:sz w:val="22"/>
                <w:szCs w:val="22"/>
                <w:lang w:val="sk-SK"/>
              </w:rPr>
              <w:t>Dyspnoe</w:t>
            </w:r>
            <w:r w:rsidRPr="00607AC5">
              <w:rPr>
                <w:rFonts w:eastAsia="TimesNewRomanPSMT"/>
                <w:sz w:val="22"/>
                <w:szCs w:val="22"/>
                <w:vertAlign w:val="superscript"/>
                <w:lang w:val="sk-SK"/>
              </w:rPr>
              <w:t>◊</w:t>
            </w:r>
            <w:r w:rsidRPr="00607AC5">
              <w:rPr>
                <w:rFonts w:eastAsia="TimesNewRomanPSMT"/>
                <w:sz w:val="22"/>
                <w:szCs w:val="22"/>
                <w:lang w:val="sk-SK"/>
              </w:rPr>
              <w:t>, rinore</w:t>
            </w:r>
            <w:r w:rsidR="00834AF0" w:rsidRPr="00607AC5">
              <w:rPr>
                <w:rFonts w:eastAsia="TimesNewRomanPSMT"/>
                <w:sz w:val="22"/>
                <w:szCs w:val="22"/>
                <w:lang w:val="sk-SK"/>
              </w:rPr>
              <w:t>a</w:t>
            </w:r>
          </w:p>
        </w:tc>
        <w:tc>
          <w:tcPr>
            <w:tcW w:w="3293" w:type="dxa"/>
            <w:gridSpan w:val="2"/>
            <w:tcBorders>
              <w:top w:val="single" w:sz="5" w:space="0" w:color="000000"/>
              <w:left w:val="single" w:sz="5" w:space="0" w:color="000000"/>
              <w:bottom w:val="single" w:sz="5" w:space="0" w:color="000000"/>
              <w:right w:val="single" w:sz="5" w:space="0" w:color="000000"/>
            </w:tcBorders>
          </w:tcPr>
          <w:p w14:paraId="622BD7B9" w14:textId="77777777" w:rsidR="00E956F8" w:rsidRPr="00607AC5" w:rsidRDefault="00E956F8" w:rsidP="00E956F8">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Časté</w:t>
            </w:r>
          </w:p>
          <w:p w14:paraId="46FFC2E0" w14:textId="77777777" w:rsidR="00283F4F" w:rsidRPr="00607AC5" w:rsidRDefault="00E956F8" w:rsidP="00143C96">
            <w:pPr>
              <w:pStyle w:val="TableParagraph"/>
              <w:ind w:left="102" w:right="2227" w:hanging="102"/>
              <w:rPr>
                <w:sz w:val="22"/>
                <w:szCs w:val="22"/>
                <w:lang w:val="sk-SK"/>
              </w:rPr>
            </w:pPr>
            <w:r w:rsidRPr="00607AC5">
              <w:rPr>
                <w:rFonts w:eastAsia="TimesNewRomanPSMT"/>
                <w:sz w:val="22"/>
                <w:szCs w:val="22"/>
                <w:lang w:val="sk-SK"/>
              </w:rPr>
              <w:t>Dyspnoe</w:t>
            </w:r>
            <w:r w:rsidRPr="00607AC5">
              <w:rPr>
                <w:rFonts w:eastAsia="TimesNewRomanPSMT"/>
                <w:sz w:val="22"/>
                <w:szCs w:val="22"/>
                <w:vertAlign w:val="superscript"/>
                <w:lang w:val="sk-SK"/>
              </w:rPr>
              <w:t>◊</w:t>
            </w:r>
          </w:p>
        </w:tc>
      </w:tr>
      <w:tr w:rsidR="00283F4F" w:rsidRPr="003A5C41" w14:paraId="0919970C" w14:textId="77777777" w:rsidTr="00E14828">
        <w:trPr>
          <w:gridBefore w:val="1"/>
          <w:trHeight w:hRule="exact" w:val="1529"/>
        </w:trPr>
        <w:tc>
          <w:tcPr>
            <w:tcW w:w="3264" w:type="dxa"/>
            <w:tcBorders>
              <w:top w:val="single" w:sz="5" w:space="0" w:color="000000"/>
              <w:left w:val="single" w:sz="5" w:space="0" w:color="000000"/>
              <w:bottom w:val="single" w:sz="5" w:space="0" w:color="000000"/>
              <w:right w:val="single" w:sz="5" w:space="0" w:color="000000"/>
            </w:tcBorders>
          </w:tcPr>
          <w:p w14:paraId="2F7E0DE7" w14:textId="77777777" w:rsidR="00283F4F" w:rsidRPr="00607AC5" w:rsidRDefault="00283F4F" w:rsidP="00E956F8">
            <w:pPr>
              <w:pStyle w:val="TableParagraph"/>
              <w:rPr>
                <w:b/>
                <w:bCs/>
                <w:sz w:val="22"/>
                <w:szCs w:val="22"/>
                <w:lang w:val="sk-SK"/>
              </w:rPr>
            </w:pPr>
          </w:p>
          <w:p w14:paraId="11E81A35" w14:textId="77777777" w:rsidR="00283F4F" w:rsidRPr="00607AC5" w:rsidRDefault="00283F4F" w:rsidP="00E956F8">
            <w:pPr>
              <w:pStyle w:val="TableParagraph"/>
              <w:spacing w:before="10"/>
              <w:rPr>
                <w:b/>
                <w:bCs/>
                <w:sz w:val="22"/>
                <w:szCs w:val="22"/>
                <w:lang w:val="sk-SK"/>
              </w:rPr>
            </w:pPr>
          </w:p>
          <w:p w14:paraId="10421B14" w14:textId="77777777" w:rsidR="00283F4F" w:rsidRPr="00607AC5" w:rsidRDefault="004B5A2B" w:rsidP="004B5A2B">
            <w:pPr>
              <w:autoSpaceDE w:val="0"/>
              <w:autoSpaceDN w:val="0"/>
              <w:adjustRightInd w:val="0"/>
              <w:ind w:left="0" w:firstLine="0"/>
              <w:rPr>
                <w:szCs w:val="22"/>
              </w:rPr>
            </w:pPr>
            <w:r w:rsidRPr="00607AC5">
              <w:rPr>
                <w:b/>
                <w:bCs/>
                <w:szCs w:val="22"/>
                <w:lang w:eastAsia="en-US"/>
              </w:rPr>
              <w:t>Poruchy gastrointestinálneho traktu</w:t>
            </w:r>
          </w:p>
        </w:tc>
        <w:tc>
          <w:tcPr>
            <w:tcW w:w="3297" w:type="dxa"/>
            <w:tcBorders>
              <w:top w:val="single" w:sz="5" w:space="0" w:color="000000"/>
              <w:left w:val="single" w:sz="5" w:space="0" w:color="000000"/>
              <w:bottom w:val="single" w:sz="5" w:space="0" w:color="000000"/>
              <w:right w:val="single" w:sz="5" w:space="0" w:color="000000"/>
            </w:tcBorders>
          </w:tcPr>
          <w:p w14:paraId="53158E1B" w14:textId="77777777" w:rsidR="004B5A2B" w:rsidRPr="00607AC5" w:rsidRDefault="004B5A2B" w:rsidP="004B5A2B">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Veľmi časté</w:t>
            </w:r>
          </w:p>
          <w:p w14:paraId="7CF9725A" w14:textId="77777777" w:rsidR="004B5A2B" w:rsidRPr="00607AC5" w:rsidRDefault="004B5A2B" w:rsidP="004B5A2B">
            <w:pPr>
              <w:autoSpaceDE w:val="0"/>
              <w:autoSpaceDN w:val="0"/>
              <w:adjustRightInd w:val="0"/>
              <w:ind w:left="0" w:firstLine="0"/>
              <w:rPr>
                <w:rFonts w:eastAsia="TimesNewRomanPSMT"/>
                <w:szCs w:val="22"/>
                <w:lang w:eastAsia="en-US"/>
              </w:rPr>
            </w:pPr>
            <w:r w:rsidRPr="00607AC5">
              <w:rPr>
                <w:rFonts w:eastAsia="TimesNewRomanPSMT"/>
                <w:szCs w:val="22"/>
                <w:lang w:eastAsia="en-US"/>
              </w:rPr>
              <w:t>Hnačka, zápcha, bolesť brucha,</w:t>
            </w:r>
            <w:r w:rsidR="002D3711" w:rsidRPr="00607AC5">
              <w:rPr>
                <w:rFonts w:eastAsia="TimesNewRomanPSMT"/>
                <w:szCs w:val="22"/>
                <w:lang w:eastAsia="en-US"/>
              </w:rPr>
              <w:t xml:space="preserve"> </w:t>
            </w:r>
            <w:r w:rsidRPr="00607AC5">
              <w:rPr>
                <w:rFonts w:eastAsia="TimesNewRomanPSMT"/>
                <w:szCs w:val="22"/>
                <w:lang w:eastAsia="en-US"/>
              </w:rPr>
              <w:t>nauzea</w:t>
            </w:r>
          </w:p>
          <w:p w14:paraId="08A4F104" w14:textId="77777777" w:rsidR="002D3711" w:rsidRPr="00607AC5" w:rsidRDefault="002D3711" w:rsidP="004B5A2B">
            <w:pPr>
              <w:autoSpaceDE w:val="0"/>
              <w:autoSpaceDN w:val="0"/>
              <w:adjustRightInd w:val="0"/>
              <w:ind w:left="0" w:firstLine="0"/>
              <w:rPr>
                <w:rFonts w:eastAsia="TimesNewRomanPSMT"/>
                <w:szCs w:val="22"/>
                <w:lang w:eastAsia="en-US"/>
              </w:rPr>
            </w:pPr>
          </w:p>
          <w:p w14:paraId="3ABEE5EB" w14:textId="77777777" w:rsidR="004B5A2B" w:rsidRPr="00607AC5" w:rsidRDefault="004B5A2B" w:rsidP="004B5A2B">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Časté</w:t>
            </w:r>
          </w:p>
          <w:p w14:paraId="48873C71" w14:textId="77777777" w:rsidR="00283F4F" w:rsidRPr="00607AC5" w:rsidRDefault="004B5A2B" w:rsidP="002D3711">
            <w:pPr>
              <w:autoSpaceDE w:val="0"/>
              <w:autoSpaceDN w:val="0"/>
              <w:adjustRightInd w:val="0"/>
              <w:ind w:left="0" w:firstLine="0"/>
              <w:rPr>
                <w:szCs w:val="22"/>
              </w:rPr>
            </w:pPr>
            <w:r w:rsidRPr="00607AC5">
              <w:rPr>
                <w:rFonts w:eastAsia="TimesNewRomanPSMT"/>
                <w:szCs w:val="22"/>
                <w:lang w:eastAsia="en-US"/>
              </w:rPr>
              <w:t>Vracanie, bolesť hornej časti</w:t>
            </w:r>
            <w:r w:rsidR="002D3711" w:rsidRPr="00607AC5">
              <w:rPr>
                <w:rFonts w:eastAsia="TimesNewRomanPSMT"/>
                <w:szCs w:val="22"/>
                <w:lang w:eastAsia="en-US"/>
              </w:rPr>
              <w:t xml:space="preserve"> </w:t>
            </w:r>
            <w:r w:rsidRPr="00607AC5">
              <w:rPr>
                <w:rFonts w:eastAsia="TimesNewRomanPSMT"/>
                <w:szCs w:val="22"/>
                <w:lang w:eastAsia="en-US"/>
              </w:rPr>
              <w:t>brucha</w:t>
            </w:r>
          </w:p>
        </w:tc>
        <w:tc>
          <w:tcPr>
            <w:tcW w:w="3293" w:type="dxa"/>
            <w:gridSpan w:val="2"/>
            <w:tcBorders>
              <w:top w:val="single" w:sz="5" w:space="0" w:color="000000"/>
              <w:left w:val="single" w:sz="5" w:space="0" w:color="000000"/>
              <w:bottom w:val="single" w:sz="5" w:space="0" w:color="000000"/>
              <w:right w:val="single" w:sz="5" w:space="0" w:color="000000"/>
            </w:tcBorders>
          </w:tcPr>
          <w:p w14:paraId="07268D40" w14:textId="77777777" w:rsidR="004B5A2B" w:rsidRPr="00607AC5" w:rsidRDefault="004B5A2B" w:rsidP="004B5A2B">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Časté</w:t>
            </w:r>
          </w:p>
          <w:p w14:paraId="6D058DB0" w14:textId="77777777" w:rsidR="00283F4F" w:rsidRPr="00607AC5" w:rsidRDefault="004B5A2B" w:rsidP="002D3711">
            <w:pPr>
              <w:pStyle w:val="TableParagraph"/>
              <w:ind w:left="102" w:hanging="102"/>
              <w:rPr>
                <w:sz w:val="22"/>
                <w:szCs w:val="22"/>
                <w:lang w:val="sk-SK"/>
              </w:rPr>
            </w:pPr>
            <w:r w:rsidRPr="00607AC5">
              <w:rPr>
                <w:rFonts w:eastAsia="TimesNewRomanPSMT"/>
                <w:sz w:val="22"/>
                <w:szCs w:val="22"/>
                <w:lang w:val="sk-SK"/>
              </w:rPr>
              <w:t>Hnačka, vracanie, nauzea</w:t>
            </w:r>
          </w:p>
        </w:tc>
      </w:tr>
      <w:tr w:rsidR="00283F4F" w:rsidRPr="003A5C41" w14:paraId="6D957B57" w14:textId="77777777" w:rsidTr="00893070">
        <w:trPr>
          <w:gridAfter w:val="1"/>
          <w:wAfter w:w="6" w:type="dxa"/>
          <w:trHeight w:hRule="exact" w:val="797"/>
        </w:trPr>
        <w:tc>
          <w:tcPr>
            <w:tcW w:w="3264" w:type="dxa"/>
            <w:gridSpan w:val="2"/>
            <w:tcBorders>
              <w:top w:val="single" w:sz="5" w:space="0" w:color="000000"/>
              <w:left w:val="single" w:sz="5" w:space="0" w:color="000000"/>
              <w:bottom w:val="single" w:sz="5" w:space="0" w:color="000000"/>
              <w:right w:val="single" w:sz="5" w:space="0" w:color="000000"/>
            </w:tcBorders>
          </w:tcPr>
          <w:p w14:paraId="35C44F72" w14:textId="77777777" w:rsidR="00283F4F" w:rsidRPr="00607AC5" w:rsidRDefault="00A359A2" w:rsidP="00A359A2">
            <w:pPr>
              <w:autoSpaceDE w:val="0"/>
              <w:autoSpaceDN w:val="0"/>
              <w:adjustRightInd w:val="0"/>
              <w:ind w:left="0" w:firstLine="0"/>
              <w:rPr>
                <w:szCs w:val="22"/>
              </w:rPr>
            </w:pPr>
            <w:r w:rsidRPr="00607AC5">
              <w:rPr>
                <w:b/>
                <w:bCs/>
                <w:szCs w:val="22"/>
                <w:lang w:eastAsia="en-US"/>
              </w:rPr>
              <w:t>Poruchy pečene a žlčových ciest</w:t>
            </w:r>
          </w:p>
        </w:tc>
        <w:tc>
          <w:tcPr>
            <w:tcW w:w="3297" w:type="dxa"/>
            <w:tcBorders>
              <w:top w:val="single" w:sz="5" w:space="0" w:color="000000"/>
              <w:left w:val="single" w:sz="5" w:space="0" w:color="000000"/>
              <w:bottom w:val="single" w:sz="5" w:space="0" w:color="000000"/>
              <w:right w:val="single" w:sz="5" w:space="0" w:color="000000"/>
            </w:tcBorders>
          </w:tcPr>
          <w:p w14:paraId="4728A912" w14:textId="77777777" w:rsidR="00A359A2" w:rsidRPr="00607AC5" w:rsidRDefault="00A359A2" w:rsidP="00A359A2">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Veľmi časté</w:t>
            </w:r>
          </w:p>
          <w:p w14:paraId="7DEAFD83" w14:textId="7605D5B9" w:rsidR="00283F4F" w:rsidRPr="00607AC5" w:rsidRDefault="002F0916" w:rsidP="00E14828">
            <w:pPr>
              <w:autoSpaceDE w:val="0"/>
              <w:autoSpaceDN w:val="0"/>
              <w:adjustRightInd w:val="0"/>
              <w:ind w:left="0" w:firstLine="0"/>
              <w:rPr>
                <w:szCs w:val="22"/>
              </w:rPr>
            </w:pPr>
            <w:r w:rsidRPr="002F0916">
              <w:rPr>
                <w:rFonts w:eastAsia="TimesNewRomanPSMT"/>
                <w:szCs w:val="22"/>
                <w:lang w:eastAsia="en-US"/>
              </w:rPr>
              <w:t>Abnormálne výsledky testov funkcie pečene</w:t>
            </w:r>
          </w:p>
        </w:tc>
        <w:tc>
          <w:tcPr>
            <w:tcW w:w="3293" w:type="dxa"/>
            <w:tcBorders>
              <w:top w:val="single" w:sz="5" w:space="0" w:color="000000"/>
              <w:left w:val="single" w:sz="5" w:space="0" w:color="000000"/>
              <w:bottom w:val="single" w:sz="5" w:space="0" w:color="000000"/>
              <w:right w:val="single" w:sz="5" w:space="0" w:color="000000"/>
            </w:tcBorders>
          </w:tcPr>
          <w:p w14:paraId="3B0C92F6" w14:textId="77777777" w:rsidR="00A359A2" w:rsidRPr="00607AC5" w:rsidRDefault="00A359A2" w:rsidP="00A359A2">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Časté</w:t>
            </w:r>
          </w:p>
          <w:p w14:paraId="6C6EB152" w14:textId="58E51876" w:rsidR="00283F4F" w:rsidRPr="00607AC5" w:rsidRDefault="002F0916" w:rsidP="00E14828">
            <w:pPr>
              <w:autoSpaceDE w:val="0"/>
              <w:autoSpaceDN w:val="0"/>
              <w:adjustRightInd w:val="0"/>
              <w:ind w:left="0" w:firstLine="0"/>
              <w:rPr>
                <w:szCs w:val="22"/>
              </w:rPr>
            </w:pPr>
            <w:r w:rsidRPr="002F0916">
              <w:rPr>
                <w:rFonts w:eastAsia="TimesNewRomanPSMT"/>
                <w:szCs w:val="22"/>
                <w:lang w:eastAsia="en-US"/>
              </w:rPr>
              <w:t>Abnormálne výsledky testov funkcie pečene</w:t>
            </w:r>
          </w:p>
        </w:tc>
      </w:tr>
      <w:tr w:rsidR="00283F4F" w:rsidRPr="003A5C41" w14:paraId="4F245F05" w14:textId="77777777" w:rsidTr="00E14828">
        <w:trPr>
          <w:gridBefore w:val="1"/>
          <w:trHeight w:hRule="exact" w:val="516"/>
        </w:trPr>
        <w:tc>
          <w:tcPr>
            <w:tcW w:w="3264" w:type="dxa"/>
            <w:tcBorders>
              <w:top w:val="single" w:sz="5" w:space="0" w:color="000000"/>
              <w:left w:val="single" w:sz="5" w:space="0" w:color="000000"/>
              <w:bottom w:val="single" w:sz="5" w:space="0" w:color="000000"/>
              <w:right w:val="single" w:sz="5" w:space="0" w:color="000000"/>
            </w:tcBorders>
          </w:tcPr>
          <w:p w14:paraId="1AA9AFD2" w14:textId="77777777" w:rsidR="00283F4F" w:rsidRPr="00607AC5" w:rsidRDefault="00A359A2" w:rsidP="00E14828">
            <w:pPr>
              <w:autoSpaceDE w:val="0"/>
              <w:autoSpaceDN w:val="0"/>
              <w:adjustRightInd w:val="0"/>
              <w:ind w:left="0" w:firstLine="0"/>
              <w:rPr>
                <w:szCs w:val="22"/>
              </w:rPr>
            </w:pPr>
            <w:r w:rsidRPr="00607AC5">
              <w:rPr>
                <w:b/>
                <w:bCs/>
                <w:szCs w:val="22"/>
                <w:lang w:eastAsia="en-US"/>
              </w:rPr>
              <w:t>Poruchy kože a podkožného</w:t>
            </w:r>
            <w:r w:rsidR="00E14828" w:rsidRPr="00607AC5">
              <w:rPr>
                <w:b/>
                <w:bCs/>
                <w:szCs w:val="22"/>
                <w:lang w:eastAsia="en-US"/>
              </w:rPr>
              <w:t xml:space="preserve"> </w:t>
            </w:r>
            <w:r w:rsidRPr="00607AC5">
              <w:rPr>
                <w:b/>
                <w:bCs/>
                <w:szCs w:val="22"/>
                <w:lang w:eastAsia="en-US"/>
              </w:rPr>
              <w:t>tkaniva</w:t>
            </w:r>
          </w:p>
        </w:tc>
        <w:tc>
          <w:tcPr>
            <w:tcW w:w="3297" w:type="dxa"/>
            <w:tcBorders>
              <w:top w:val="single" w:sz="5" w:space="0" w:color="000000"/>
              <w:left w:val="single" w:sz="5" w:space="0" w:color="000000"/>
              <w:bottom w:val="single" w:sz="5" w:space="0" w:color="000000"/>
              <w:right w:val="single" w:sz="5" w:space="0" w:color="000000"/>
            </w:tcBorders>
          </w:tcPr>
          <w:p w14:paraId="7ACABE76" w14:textId="77777777" w:rsidR="00A359A2" w:rsidRPr="00607AC5" w:rsidRDefault="00A359A2" w:rsidP="00A359A2">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Veľmi časté</w:t>
            </w:r>
          </w:p>
          <w:p w14:paraId="4EF9B764" w14:textId="77777777" w:rsidR="00283F4F" w:rsidRPr="00607AC5" w:rsidRDefault="00A359A2" w:rsidP="00E14828">
            <w:pPr>
              <w:pStyle w:val="TableParagraph"/>
              <w:ind w:left="568" w:right="606" w:hanging="567"/>
              <w:rPr>
                <w:sz w:val="22"/>
                <w:szCs w:val="22"/>
                <w:lang w:val="sk-SK"/>
              </w:rPr>
            </w:pPr>
            <w:r w:rsidRPr="00607AC5">
              <w:rPr>
                <w:rFonts w:eastAsia="TimesNewRomanPSMT"/>
                <w:sz w:val="22"/>
                <w:szCs w:val="22"/>
                <w:lang w:val="sk-SK"/>
              </w:rPr>
              <w:t xml:space="preserve">Vyrážky, suchá </w:t>
            </w:r>
            <w:r w:rsidR="00E14828" w:rsidRPr="00607AC5">
              <w:rPr>
                <w:rFonts w:eastAsia="TimesNewRomanPSMT"/>
                <w:sz w:val="22"/>
                <w:szCs w:val="22"/>
                <w:lang w:val="sk-SK"/>
              </w:rPr>
              <w:t>koža</w:t>
            </w:r>
          </w:p>
        </w:tc>
        <w:tc>
          <w:tcPr>
            <w:tcW w:w="3293" w:type="dxa"/>
            <w:gridSpan w:val="2"/>
            <w:tcBorders>
              <w:top w:val="single" w:sz="5" w:space="0" w:color="000000"/>
              <w:left w:val="single" w:sz="5" w:space="0" w:color="000000"/>
              <w:bottom w:val="single" w:sz="5" w:space="0" w:color="000000"/>
              <w:right w:val="single" w:sz="5" w:space="0" w:color="000000"/>
            </w:tcBorders>
          </w:tcPr>
          <w:p w14:paraId="5CFD615A" w14:textId="77777777" w:rsidR="00A359A2" w:rsidRPr="00607AC5" w:rsidRDefault="00A359A2" w:rsidP="00A359A2">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Časté</w:t>
            </w:r>
          </w:p>
          <w:p w14:paraId="7F8C945B" w14:textId="77777777" w:rsidR="00283F4F" w:rsidRPr="00607AC5" w:rsidRDefault="00A359A2" w:rsidP="00E14828">
            <w:pPr>
              <w:pStyle w:val="TableParagraph"/>
              <w:ind w:right="1486"/>
              <w:rPr>
                <w:sz w:val="22"/>
                <w:szCs w:val="22"/>
                <w:lang w:val="sk-SK"/>
              </w:rPr>
            </w:pPr>
            <w:r w:rsidRPr="00607AC5">
              <w:rPr>
                <w:rFonts w:eastAsia="TimesNewRomanPSMT"/>
                <w:sz w:val="22"/>
                <w:szCs w:val="22"/>
                <w:lang w:val="sk-SK"/>
              </w:rPr>
              <w:t>Vyrážky, pruritus</w:t>
            </w:r>
          </w:p>
        </w:tc>
      </w:tr>
      <w:tr w:rsidR="00283F4F" w:rsidRPr="003A5C41" w14:paraId="6D4091E4" w14:textId="77777777" w:rsidTr="00E14828">
        <w:trPr>
          <w:gridBefore w:val="1"/>
          <w:trHeight w:hRule="exact" w:val="1274"/>
        </w:trPr>
        <w:tc>
          <w:tcPr>
            <w:tcW w:w="3264" w:type="dxa"/>
            <w:tcBorders>
              <w:top w:val="single" w:sz="5" w:space="0" w:color="000000"/>
              <w:left w:val="single" w:sz="5" w:space="0" w:color="000000"/>
              <w:bottom w:val="single" w:sz="5" w:space="0" w:color="000000"/>
              <w:right w:val="single" w:sz="5" w:space="0" w:color="000000"/>
            </w:tcBorders>
          </w:tcPr>
          <w:p w14:paraId="415E1550" w14:textId="77777777" w:rsidR="00283F4F" w:rsidRPr="00607AC5" w:rsidRDefault="00283F4F" w:rsidP="00E956F8">
            <w:pPr>
              <w:pStyle w:val="TableParagraph"/>
              <w:spacing w:before="9"/>
              <w:rPr>
                <w:b/>
                <w:bCs/>
                <w:sz w:val="22"/>
                <w:szCs w:val="22"/>
                <w:lang w:val="sk-SK"/>
              </w:rPr>
            </w:pPr>
          </w:p>
          <w:p w14:paraId="51647760" w14:textId="77777777" w:rsidR="00283F4F" w:rsidRPr="00607AC5" w:rsidRDefault="00A359A2" w:rsidP="00E14828">
            <w:pPr>
              <w:autoSpaceDE w:val="0"/>
              <w:autoSpaceDN w:val="0"/>
              <w:adjustRightInd w:val="0"/>
              <w:ind w:left="0" w:firstLine="0"/>
              <w:rPr>
                <w:szCs w:val="22"/>
              </w:rPr>
            </w:pPr>
            <w:r w:rsidRPr="00607AC5">
              <w:rPr>
                <w:b/>
                <w:bCs/>
                <w:szCs w:val="22"/>
                <w:lang w:eastAsia="en-US"/>
              </w:rPr>
              <w:t>Poruchy kostrovej a svalovej</w:t>
            </w:r>
            <w:r w:rsidR="00E14828" w:rsidRPr="00607AC5">
              <w:rPr>
                <w:b/>
                <w:bCs/>
                <w:szCs w:val="22"/>
                <w:lang w:eastAsia="en-US"/>
              </w:rPr>
              <w:t xml:space="preserve"> </w:t>
            </w:r>
            <w:r w:rsidRPr="00607AC5">
              <w:rPr>
                <w:b/>
                <w:bCs/>
                <w:szCs w:val="22"/>
                <w:lang w:eastAsia="en-US"/>
              </w:rPr>
              <w:t>sústavy a spojivového tkaniva</w:t>
            </w:r>
          </w:p>
        </w:tc>
        <w:tc>
          <w:tcPr>
            <w:tcW w:w="3297" w:type="dxa"/>
            <w:tcBorders>
              <w:top w:val="single" w:sz="5" w:space="0" w:color="000000"/>
              <w:left w:val="single" w:sz="5" w:space="0" w:color="000000"/>
              <w:bottom w:val="single" w:sz="5" w:space="0" w:color="000000"/>
              <w:right w:val="single" w:sz="5" w:space="0" w:color="000000"/>
            </w:tcBorders>
          </w:tcPr>
          <w:p w14:paraId="16448B7F" w14:textId="77777777" w:rsidR="00A359A2" w:rsidRPr="00607AC5" w:rsidRDefault="00A359A2" w:rsidP="00A359A2">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Veľmi časté</w:t>
            </w:r>
          </w:p>
          <w:p w14:paraId="5EA85702" w14:textId="77777777" w:rsidR="00A359A2" w:rsidRPr="00607AC5" w:rsidRDefault="00A359A2" w:rsidP="00A359A2">
            <w:pPr>
              <w:autoSpaceDE w:val="0"/>
              <w:autoSpaceDN w:val="0"/>
              <w:adjustRightInd w:val="0"/>
              <w:ind w:left="0" w:firstLine="0"/>
              <w:rPr>
                <w:rFonts w:eastAsia="TimesNewRomanPSMT"/>
                <w:szCs w:val="22"/>
                <w:lang w:eastAsia="en-US"/>
              </w:rPr>
            </w:pPr>
            <w:r w:rsidRPr="00607AC5">
              <w:rPr>
                <w:rFonts w:eastAsia="TimesNewRomanPSMT"/>
                <w:szCs w:val="22"/>
                <w:lang w:eastAsia="en-US"/>
              </w:rPr>
              <w:t>Svalové kŕče</w:t>
            </w:r>
          </w:p>
          <w:p w14:paraId="7B1ED9B0" w14:textId="77777777" w:rsidR="00E14828" w:rsidRPr="00607AC5" w:rsidRDefault="00E14828" w:rsidP="00A359A2">
            <w:pPr>
              <w:autoSpaceDE w:val="0"/>
              <w:autoSpaceDN w:val="0"/>
              <w:adjustRightInd w:val="0"/>
              <w:ind w:left="0" w:firstLine="0"/>
              <w:rPr>
                <w:rFonts w:eastAsia="TimesNewRomanPSMT"/>
                <w:szCs w:val="22"/>
                <w:lang w:eastAsia="en-US"/>
              </w:rPr>
            </w:pPr>
          </w:p>
          <w:p w14:paraId="69923FB4" w14:textId="77777777" w:rsidR="00A359A2" w:rsidRPr="00607AC5" w:rsidRDefault="00A359A2" w:rsidP="00A359A2">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Časté</w:t>
            </w:r>
          </w:p>
          <w:p w14:paraId="2AA2C584" w14:textId="77777777" w:rsidR="00283F4F" w:rsidRPr="00607AC5" w:rsidRDefault="00A359A2" w:rsidP="00E14828">
            <w:pPr>
              <w:autoSpaceDE w:val="0"/>
              <w:autoSpaceDN w:val="0"/>
              <w:adjustRightInd w:val="0"/>
              <w:ind w:left="0" w:firstLine="0"/>
              <w:rPr>
                <w:szCs w:val="22"/>
              </w:rPr>
            </w:pPr>
            <w:r w:rsidRPr="00607AC5">
              <w:rPr>
                <w:rFonts w:eastAsia="TimesNewRomanPSMT"/>
                <w:szCs w:val="22"/>
                <w:lang w:eastAsia="en-US"/>
              </w:rPr>
              <w:t>Myalgia, muskuloskeletálna</w:t>
            </w:r>
            <w:r w:rsidR="00E14828" w:rsidRPr="00607AC5">
              <w:rPr>
                <w:rFonts w:eastAsia="TimesNewRomanPSMT"/>
                <w:szCs w:val="22"/>
                <w:lang w:eastAsia="en-US"/>
              </w:rPr>
              <w:t xml:space="preserve"> </w:t>
            </w:r>
            <w:r w:rsidRPr="00607AC5">
              <w:rPr>
                <w:rFonts w:eastAsia="TimesNewRomanPSMT"/>
                <w:szCs w:val="22"/>
                <w:lang w:eastAsia="en-US"/>
              </w:rPr>
              <w:t>bolesť</w:t>
            </w:r>
          </w:p>
        </w:tc>
        <w:tc>
          <w:tcPr>
            <w:tcW w:w="3293" w:type="dxa"/>
            <w:gridSpan w:val="2"/>
            <w:tcBorders>
              <w:top w:val="single" w:sz="5" w:space="0" w:color="000000"/>
              <w:left w:val="single" w:sz="5" w:space="0" w:color="000000"/>
              <w:bottom w:val="single" w:sz="5" w:space="0" w:color="000000"/>
              <w:right w:val="single" w:sz="5" w:space="0" w:color="000000"/>
            </w:tcBorders>
          </w:tcPr>
          <w:p w14:paraId="41802CB9" w14:textId="77777777" w:rsidR="00283F4F" w:rsidRPr="00607AC5" w:rsidRDefault="00283F4F" w:rsidP="00E956F8">
            <w:pPr>
              <w:rPr>
                <w:szCs w:val="22"/>
              </w:rPr>
            </w:pPr>
          </w:p>
        </w:tc>
      </w:tr>
      <w:tr w:rsidR="00283F4F" w:rsidRPr="003A5C41" w14:paraId="71AB4649" w14:textId="77777777" w:rsidTr="00E14828">
        <w:trPr>
          <w:gridBefore w:val="1"/>
          <w:trHeight w:hRule="exact" w:val="516"/>
        </w:trPr>
        <w:tc>
          <w:tcPr>
            <w:tcW w:w="3264" w:type="dxa"/>
            <w:tcBorders>
              <w:top w:val="single" w:sz="5" w:space="0" w:color="000000"/>
              <w:left w:val="single" w:sz="5" w:space="0" w:color="000000"/>
              <w:bottom w:val="single" w:sz="5" w:space="0" w:color="000000"/>
              <w:right w:val="single" w:sz="5" w:space="0" w:color="000000"/>
            </w:tcBorders>
          </w:tcPr>
          <w:p w14:paraId="6129CC1D" w14:textId="77777777" w:rsidR="00283F4F" w:rsidRPr="00607AC5" w:rsidRDefault="00E14828" w:rsidP="00E14828">
            <w:pPr>
              <w:autoSpaceDE w:val="0"/>
              <w:autoSpaceDN w:val="0"/>
              <w:adjustRightInd w:val="0"/>
              <w:ind w:left="0" w:firstLine="0"/>
              <w:rPr>
                <w:szCs w:val="22"/>
              </w:rPr>
            </w:pPr>
            <w:r w:rsidRPr="00607AC5">
              <w:rPr>
                <w:b/>
                <w:bCs/>
                <w:szCs w:val="22"/>
                <w:lang w:eastAsia="en-US"/>
              </w:rPr>
              <w:t>Celkové poruchy a reakcie v mieste podania</w:t>
            </w:r>
          </w:p>
        </w:tc>
        <w:tc>
          <w:tcPr>
            <w:tcW w:w="3297" w:type="dxa"/>
            <w:tcBorders>
              <w:top w:val="single" w:sz="5" w:space="0" w:color="000000"/>
              <w:left w:val="single" w:sz="5" w:space="0" w:color="000000"/>
              <w:bottom w:val="single" w:sz="5" w:space="0" w:color="000000"/>
              <w:right w:val="single" w:sz="5" w:space="0" w:color="000000"/>
            </w:tcBorders>
          </w:tcPr>
          <w:p w14:paraId="1B887125" w14:textId="77777777" w:rsidR="00E14828" w:rsidRPr="00607AC5" w:rsidRDefault="00E14828" w:rsidP="00E14828">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Veľmi časté</w:t>
            </w:r>
          </w:p>
          <w:p w14:paraId="5C694E8A" w14:textId="77777777" w:rsidR="00283F4F" w:rsidRPr="00607AC5" w:rsidRDefault="00E14828" w:rsidP="00E14828">
            <w:pPr>
              <w:pStyle w:val="TableParagraph"/>
              <w:spacing w:before="1"/>
              <w:rPr>
                <w:sz w:val="22"/>
                <w:szCs w:val="22"/>
                <w:lang w:val="sk-SK"/>
              </w:rPr>
            </w:pPr>
            <w:r w:rsidRPr="00607AC5">
              <w:rPr>
                <w:rFonts w:eastAsia="TimesNewRomanPSMT"/>
                <w:sz w:val="22"/>
                <w:szCs w:val="22"/>
                <w:lang w:val="sk-SK"/>
              </w:rPr>
              <w:t>Únava, asténia, pyrexia</w:t>
            </w:r>
          </w:p>
        </w:tc>
        <w:tc>
          <w:tcPr>
            <w:tcW w:w="3293" w:type="dxa"/>
            <w:gridSpan w:val="2"/>
            <w:tcBorders>
              <w:top w:val="single" w:sz="5" w:space="0" w:color="000000"/>
              <w:left w:val="single" w:sz="5" w:space="0" w:color="000000"/>
              <w:bottom w:val="single" w:sz="5" w:space="0" w:color="000000"/>
              <w:right w:val="single" w:sz="5" w:space="0" w:color="000000"/>
            </w:tcBorders>
          </w:tcPr>
          <w:p w14:paraId="4EF6E384" w14:textId="77777777" w:rsidR="00E14828" w:rsidRPr="00607AC5" w:rsidRDefault="00E14828" w:rsidP="00E14828">
            <w:pPr>
              <w:autoSpaceDE w:val="0"/>
              <w:autoSpaceDN w:val="0"/>
              <w:adjustRightInd w:val="0"/>
              <w:ind w:left="0" w:firstLine="0"/>
              <w:rPr>
                <w:rFonts w:eastAsia="TimesNewRomanPSMT"/>
                <w:szCs w:val="22"/>
                <w:u w:val="single"/>
                <w:lang w:eastAsia="en-US"/>
              </w:rPr>
            </w:pPr>
            <w:r w:rsidRPr="00607AC5">
              <w:rPr>
                <w:rFonts w:eastAsia="TimesNewRomanPSMT"/>
                <w:szCs w:val="22"/>
                <w:u w:val="single"/>
                <w:lang w:eastAsia="en-US"/>
              </w:rPr>
              <w:t>Časté</w:t>
            </w:r>
          </w:p>
          <w:p w14:paraId="7083218E" w14:textId="77777777" w:rsidR="00283F4F" w:rsidRPr="00607AC5" w:rsidRDefault="00E14828" w:rsidP="00E14828">
            <w:pPr>
              <w:pStyle w:val="TableParagraph"/>
              <w:ind w:left="-39" w:right="1622" w:firstLine="39"/>
              <w:rPr>
                <w:sz w:val="22"/>
                <w:szCs w:val="22"/>
                <w:lang w:val="sk-SK"/>
              </w:rPr>
            </w:pPr>
            <w:r w:rsidRPr="00607AC5">
              <w:rPr>
                <w:rFonts w:eastAsia="TimesNewRomanPSMT"/>
                <w:sz w:val="22"/>
                <w:szCs w:val="22"/>
                <w:lang w:val="sk-SK"/>
              </w:rPr>
              <w:t>Únava, asténia</w:t>
            </w:r>
          </w:p>
        </w:tc>
      </w:tr>
    </w:tbl>
    <w:p w14:paraId="52B4488B" w14:textId="77777777" w:rsidR="00E14828" w:rsidRPr="00607AC5" w:rsidRDefault="00E14828" w:rsidP="00E14828">
      <w:pPr>
        <w:autoSpaceDE w:val="0"/>
        <w:autoSpaceDN w:val="0"/>
        <w:adjustRightInd w:val="0"/>
        <w:ind w:left="0" w:firstLine="0"/>
        <w:rPr>
          <w:rFonts w:eastAsia="TimesNewRomanPSMT"/>
          <w:sz w:val="18"/>
          <w:szCs w:val="18"/>
          <w:lang w:eastAsia="en-US"/>
        </w:rPr>
      </w:pPr>
      <w:r w:rsidRPr="00607AC5">
        <w:rPr>
          <w:rFonts w:eastAsia="TimesNewRomanPSMT"/>
          <w:sz w:val="18"/>
          <w:szCs w:val="18"/>
          <w:vertAlign w:val="superscript"/>
          <w:lang w:eastAsia="en-US"/>
        </w:rPr>
        <w:t>◊</w:t>
      </w:r>
      <w:r w:rsidRPr="00607AC5">
        <w:rPr>
          <w:rFonts w:eastAsia="TimesNewRomanPSMT"/>
          <w:sz w:val="18"/>
          <w:szCs w:val="18"/>
          <w:lang w:eastAsia="en-US"/>
        </w:rPr>
        <w:t xml:space="preserve"> Nežiaduce reakcie hlásené ako závažné v klinických štúdiách u pacientov s NDMM, ktorí podstúpili ASCT</w:t>
      </w:r>
    </w:p>
    <w:p w14:paraId="694FD73B" w14:textId="77777777" w:rsidR="00E14828" w:rsidRPr="00607AC5" w:rsidRDefault="00E14828" w:rsidP="00E14828">
      <w:pPr>
        <w:autoSpaceDE w:val="0"/>
        <w:autoSpaceDN w:val="0"/>
        <w:adjustRightInd w:val="0"/>
        <w:ind w:left="0" w:firstLine="0"/>
        <w:rPr>
          <w:rFonts w:eastAsia="TimesNewRomanPSMT"/>
          <w:sz w:val="18"/>
          <w:szCs w:val="18"/>
          <w:lang w:eastAsia="en-US"/>
        </w:rPr>
      </w:pPr>
      <w:r w:rsidRPr="00607AC5">
        <w:rPr>
          <w:rFonts w:eastAsia="TimesNewRomanPSMT"/>
          <w:sz w:val="18"/>
          <w:szCs w:val="18"/>
          <w:lang w:eastAsia="en-US"/>
        </w:rPr>
        <w:t>* Týka sa len vážnych nežiaducich reakcií lieku</w:t>
      </w:r>
    </w:p>
    <w:p w14:paraId="3700F15D" w14:textId="77777777" w:rsidR="00E14828" w:rsidRPr="00607AC5" w:rsidRDefault="00E14828" w:rsidP="00E14828">
      <w:pPr>
        <w:autoSpaceDE w:val="0"/>
        <w:autoSpaceDN w:val="0"/>
        <w:adjustRightInd w:val="0"/>
        <w:ind w:left="0" w:firstLine="0"/>
        <w:rPr>
          <w:rFonts w:eastAsia="TimesNewRomanPSMT"/>
          <w:sz w:val="18"/>
          <w:szCs w:val="18"/>
          <w:lang w:eastAsia="en-US"/>
        </w:rPr>
      </w:pPr>
      <w:r w:rsidRPr="00607AC5">
        <w:rPr>
          <w:rFonts w:eastAsia="TimesNewRomanPSMT"/>
          <w:sz w:val="18"/>
          <w:szCs w:val="18"/>
          <w:lang w:eastAsia="en-US"/>
        </w:rPr>
        <w:t xml:space="preserve">^ Pozri časť 4.8. Popis vybraných </w:t>
      </w:r>
      <w:r w:rsidRPr="008422C4">
        <w:rPr>
          <w:rFonts w:eastAsia="TimesNewRomanPSMT"/>
          <w:sz w:val="18"/>
          <w:szCs w:val="18"/>
          <w:lang w:eastAsia="en-US"/>
        </w:rPr>
        <w:t>nežiaducich reakcií</w:t>
      </w:r>
      <w:r w:rsidRPr="00607AC5">
        <w:rPr>
          <w:rFonts w:eastAsia="TimesNewRomanPSMT"/>
          <w:sz w:val="18"/>
          <w:szCs w:val="18"/>
          <w:lang w:eastAsia="en-US"/>
        </w:rPr>
        <w:t>.</w:t>
      </w:r>
    </w:p>
    <w:p w14:paraId="3A384B16" w14:textId="31769004" w:rsidR="00E14828" w:rsidRPr="00607AC5" w:rsidRDefault="00E14828" w:rsidP="00E14828">
      <w:pPr>
        <w:autoSpaceDE w:val="0"/>
        <w:autoSpaceDN w:val="0"/>
        <w:adjustRightInd w:val="0"/>
        <w:ind w:left="0" w:firstLine="0"/>
        <w:rPr>
          <w:rFonts w:eastAsia="TimesNewRomanPSMT"/>
          <w:sz w:val="18"/>
          <w:szCs w:val="18"/>
          <w:lang w:eastAsia="en-US"/>
        </w:rPr>
      </w:pPr>
      <w:r w:rsidRPr="00607AC5">
        <w:rPr>
          <w:rFonts w:eastAsia="TimesNewRomanPSMT"/>
          <w:sz w:val="18"/>
          <w:szCs w:val="18"/>
          <w:vertAlign w:val="superscript"/>
          <w:lang w:eastAsia="en-US"/>
        </w:rPr>
        <w:t>a</w:t>
      </w:r>
      <w:r w:rsidRPr="00607AC5">
        <w:rPr>
          <w:rFonts w:eastAsia="TimesNewRomanPSMT"/>
          <w:sz w:val="18"/>
          <w:szCs w:val="18"/>
          <w:lang w:eastAsia="en-US"/>
        </w:rPr>
        <w:t xml:space="preserve"> „Pneumónie“ kombinovaný termín pre skupinu </w:t>
      </w:r>
      <w:r w:rsidR="002F0916">
        <w:rPr>
          <w:rFonts w:eastAsia="TimesNewRomanPSMT"/>
          <w:sz w:val="18"/>
          <w:szCs w:val="18"/>
          <w:lang w:eastAsia="en-US"/>
        </w:rPr>
        <w:t>nežiaducich</w:t>
      </w:r>
      <w:r w:rsidRPr="00607AC5">
        <w:rPr>
          <w:rFonts w:eastAsia="TimesNewRomanPSMT"/>
          <w:sz w:val="18"/>
          <w:szCs w:val="18"/>
          <w:lang w:eastAsia="en-US"/>
        </w:rPr>
        <w:t xml:space="preserve"> účinkov zahrňujúci nasledujúce prednostné názvy: bronchopneumónia, </w:t>
      </w:r>
      <w:r w:rsidR="002F0916">
        <w:rPr>
          <w:rFonts w:eastAsia="TimesNewRomanPSMT"/>
          <w:sz w:val="18"/>
          <w:szCs w:val="18"/>
          <w:lang w:eastAsia="en-US"/>
        </w:rPr>
        <w:t>lobárna</w:t>
      </w:r>
      <w:r w:rsidRPr="00607AC5">
        <w:rPr>
          <w:rFonts w:eastAsia="TimesNewRomanPSMT"/>
          <w:sz w:val="18"/>
          <w:szCs w:val="18"/>
          <w:lang w:eastAsia="en-US"/>
        </w:rPr>
        <w:t xml:space="preserve"> pneumónia, pneumónia spôsobená Pneumocystis jiroveci, pneumónia, pneumónia spôsobená klebsielou, pneumónia spôsobená legionelou,</w:t>
      </w:r>
      <w:r w:rsidR="00595316" w:rsidRPr="00607AC5">
        <w:rPr>
          <w:rFonts w:eastAsia="TimesNewRomanPSMT"/>
          <w:sz w:val="18"/>
          <w:szCs w:val="18"/>
          <w:lang w:eastAsia="en-US"/>
        </w:rPr>
        <w:t xml:space="preserve"> </w:t>
      </w:r>
      <w:r w:rsidRPr="00607AC5">
        <w:rPr>
          <w:rFonts w:eastAsia="TimesNewRomanPSMT"/>
          <w:sz w:val="18"/>
          <w:szCs w:val="18"/>
          <w:lang w:eastAsia="en-US"/>
        </w:rPr>
        <w:t>pneumónia spôsobená my</w:t>
      </w:r>
      <w:r w:rsidR="002F0916">
        <w:rPr>
          <w:rFonts w:eastAsia="TimesNewRomanPSMT"/>
          <w:sz w:val="18"/>
          <w:szCs w:val="18"/>
          <w:lang w:eastAsia="en-US"/>
        </w:rPr>
        <w:t>k</w:t>
      </w:r>
      <w:r w:rsidRPr="00607AC5">
        <w:rPr>
          <w:rFonts w:eastAsia="TimesNewRomanPSMT"/>
          <w:sz w:val="18"/>
          <w:szCs w:val="18"/>
          <w:lang w:eastAsia="en-US"/>
        </w:rPr>
        <w:t>opla</w:t>
      </w:r>
      <w:r w:rsidR="002F0916">
        <w:rPr>
          <w:rFonts w:eastAsia="TimesNewRomanPSMT"/>
          <w:sz w:val="18"/>
          <w:szCs w:val="18"/>
          <w:lang w:eastAsia="en-US"/>
        </w:rPr>
        <w:t>z</w:t>
      </w:r>
      <w:r w:rsidRPr="00607AC5">
        <w:rPr>
          <w:rFonts w:eastAsia="TimesNewRomanPSMT"/>
          <w:sz w:val="18"/>
          <w:szCs w:val="18"/>
          <w:lang w:eastAsia="en-US"/>
        </w:rPr>
        <w:t>mou, pneumónia spôsobená pneumokokom, pneumónia spôsobená streptokokom, vírusová pneumónia, pľúcne</w:t>
      </w:r>
      <w:r w:rsidR="00595316" w:rsidRPr="00607AC5">
        <w:rPr>
          <w:rFonts w:eastAsia="TimesNewRomanPSMT"/>
          <w:sz w:val="18"/>
          <w:szCs w:val="18"/>
          <w:lang w:eastAsia="en-US"/>
        </w:rPr>
        <w:t xml:space="preserve"> </w:t>
      </w:r>
      <w:r w:rsidRPr="00607AC5">
        <w:rPr>
          <w:rFonts w:eastAsia="TimesNewRomanPSMT"/>
          <w:sz w:val="18"/>
          <w:szCs w:val="18"/>
          <w:lang w:eastAsia="en-US"/>
        </w:rPr>
        <w:t>poruchy, pneumonitída</w:t>
      </w:r>
    </w:p>
    <w:p w14:paraId="1CA55DB7" w14:textId="2C7FAB64" w:rsidR="00E14828" w:rsidRPr="00607AC5" w:rsidRDefault="00E14828" w:rsidP="00E14828">
      <w:pPr>
        <w:autoSpaceDE w:val="0"/>
        <w:autoSpaceDN w:val="0"/>
        <w:adjustRightInd w:val="0"/>
        <w:ind w:left="0" w:firstLine="0"/>
        <w:rPr>
          <w:rFonts w:eastAsia="TimesNewRomanPSMT"/>
          <w:sz w:val="18"/>
          <w:szCs w:val="18"/>
          <w:lang w:eastAsia="en-US"/>
        </w:rPr>
      </w:pPr>
      <w:r w:rsidRPr="00607AC5">
        <w:rPr>
          <w:rFonts w:eastAsia="TimesNewRomanPSMT"/>
          <w:sz w:val="18"/>
          <w:szCs w:val="18"/>
          <w:vertAlign w:val="superscript"/>
          <w:lang w:eastAsia="en-US"/>
        </w:rPr>
        <w:t>b</w:t>
      </w:r>
      <w:r w:rsidRPr="00607AC5">
        <w:rPr>
          <w:rFonts w:eastAsia="TimesNewRomanPSMT"/>
          <w:sz w:val="18"/>
          <w:szCs w:val="18"/>
          <w:lang w:eastAsia="en-US"/>
        </w:rPr>
        <w:t xml:space="preserve"> „Sepsa“ kombinovaný termín pre skupinu </w:t>
      </w:r>
      <w:r w:rsidR="002F0916">
        <w:rPr>
          <w:rFonts w:eastAsia="TimesNewRomanPSMT"/>
          <w:sz w:val="18"/>
          <w:szCs w:val="18"/>
          <w:lang w:eastAsia="en-US"/>
        </w:rPr>
        <w:t>nežiaducich</w:t>
      </w:r>
      <w:r w:rsidRPr="00607AC5">
        <w:rPr>
          <w:rFonts w:eastAsia="TimesNewRomanPSMT"/>
          <w:sz w:val="18"/>
          <w:szCs w:val="18"/>
          <w:lang w:eastAsia="en-US"/>
        </w:rPr>
        <w:t xml:space="preserve"> účinkov zahrňujúci nasledujúce prednostné názvy: bakteriálna sepsa, pneumokoková</w:t>
      </w:r>
      <w:r w:rsidR="00595316" w:rsidRPr="00607AC5">
        <w:rPr>
          <w:rFonts w:eastAsia="TimesNewRomanPSMT"/>
          <w:sz w:val="18"/>
          <w:szCs w:val="18"/>
          <w:lang w:eastAsia="en-US"/>
        </w:rPr>
        <w:t xml:space="preserve"> </w:t>
      </w:r>
      <w:r w:rsidRPr="00607AC5">
        <w:rPr>
          <w:rFonts w:eastAsia="TimesNewRomanPSMT"/>
          <w:sz w:val="18"/>
          <w:szCs w:val="18"/>
          <w:lang w:eastAsia="en-US"/>
        </w:rPr>
        <w:t>sepsa, septický šok, stafylokoková sepsa</w:t>
      </w:r>
    </w:p>
    <w:p w14:paraId="0F08FD57" w14:textId="38DEEF2C" w:rsidR="00E14828" w:rsidRPr="00607AC5" w:rsidRDefault="00E14828" w:rsidP="00E14828">
      <w:pPr>
        <w:autoSpaceDE w:val="0"/>
        <w:autoSpaceDN w:val="0"/>
        <w:adjustRightInd w:val="0"/>
        <w:ind w:left="0" w:firstLine="0"/>
        <w:rPr>
          <w:rFonts w:eastAsia="TimesNewRomanPSMT"/>
          <w:sz w:val="18"/>
          <w:szCs w:val="18"/>
          <w:lang w:eastAsia="en-US"/>
        </w:rPr>
      </w:pPr>
      <w:r w:rsidRPr="00607AC5">
        <w:rPr>
          <w:rFonts w:eastAsia="TimesNewRomanPSMT"/>
          <w:sz w:val="18"/>
          <w:szCs w:val="18"/>
          <w:vertAlign w:val="superscript"/>
          <w:lang w:eastAsia="en-US"/>
        </w:rPr>
        <w:t>c</w:t>
      </w:r>
      <w:r w:rsidRPr="00607AC5">
        <w:rPr>
          <w:rFonts w:eastAsia="TimesNewRomanPSMT"/>
          <w:sz w:val="18"/>
          <w:szCs w:val="18"/>
          <w:lang w:eastAsia="en-US"/>
        </w:rPr>
        <w:t xml:space="preserve"> „Periférna neuropatia“ kombinovaný termín pre skupinu </w:t>
      </w:r>
      <w:r w:rsidR="002F0916">
        <w:rPr>
          <w:rFonts w:eastAsia="TimesNewRomanPSMT"/>
          <w:sz w:val="18"/>
          <w:szCs w:val="18"/>
          <w:lang w:eastAsia="en-US"/>
        </w:rPr>
        <w:t>nežiaducich</w:t>
      </w:r>
      <w:r w:rsidRPr="00607AC5">
        <w:rPr>
          <w:rFonts w:eastAsia="TimesNewRomanPSMT"/>
          <w:sz w:val="18"/>
          <w:szCs w:val="18"/>
          <w:lang w:eastAsia="en-US"/>
        </w:rPr>
        <w:t xml:space="preserve"> účinkov zahrňujúci nasledujúce prednostné názvy: periférna neuropatia,</w:t>
      </w:r>
      <w:r w:rsidR="00595316" w:rsidRPr="00607AC5">
        <w:rPr>
          <w:rFonts w:eastAsia="TimesNewRomanPSMT"/>
          <w:sz w:val="18"/>
          <w:szCs w:val="18"/>
          <w:lang w:eastAsia="en-US"/>
        </w:rPr>
        <w:t xml:space="preserve"> </w:t>
      </w:r>
      <w:r w:rsidRPr="00607AC5">
        <w:rPr>
          <w:rFonts w:eastAsia="TimesNewRomanPSMT"/>
          <w:sz w:val="18"/>
          <w:szCs w:val="18"/>
          <w:lang w:eastAsia="en-US"/>
        </w:rPr>
        <w:t>periférna senzorická neuropatia, polyneuropatia</w:t>
      </w:r>
    </w:p>
    <w:p w14:paraId="66EBAD7F" w14:textId="63F7B361" w:rsidR="00D75E2C" w:rsidRPr="00607AC5" w:rsidRDefault="00E14828" w:rsidP="00595316">
      <w:pPr>
        <w:autoSpaceDE w:val="0"/>
        <w:autoSpaceDN w:val="0"/>
        <w:adjustRightInd w:val="0"/>
        <w:ind w:left="0" w:firstLine="0"/>
        <w:rPr>
          <w:sz w:val="18"/>
          <w:szCs w:val="18"/>
        </w:rPr>
      </w:pPr>
      <w:r w:rsidRPr="00607AC5">
        <w:rPr>
          <w:rFonts w:eastAsia="TimesNewRomanPSMT"/>
          <w:sz w:val="18"/>
          <w:szCs w:val="18"/>
          <w:vertAlign w:val="superscript"/>
          <w:lang w:eastAsia="en-US"/>
        </w:rPr>
        <w:t>d</w:t>
      </w:r>
      <w:r w:rsidRPr="00607AC5">
        <w:rPr>
          <w:rFonts w:eastAsia="TimesNewRomanPSMT"/>
          <w:sz w:val="18"/>
          <w:szCs w:val="18"/>
          <w:lang w:eastAsia="en-US"/>
        </w:rPr>
        <w:t xml:space="preserve"> „Hlboká </w:t>
      </w:r>
      <w:r w:rsidR="002F0916">
        <w:rPr>
          <w:rFonts w:eastAsia="TimesNewRomanPSMT"/>
          <w:sz w:val="18"/>
          <w:szCs w:val="18"/>
          <w:lang w:eastAsia="en-US"/>
        </w:rPr>
        <w:t>venózna</w:t>
      </w:r>
      <w:r w:rsidRPr="00607AC5">
        <w:rPr>
          <w:rFonts w:eastAsia="TimesNewRomanPSMT"/>
          <w:sz w:val="18"/>
          <w:szCs w:val="18"/>
          <w:lang w:eastAsia="en-US"/>
        </w:rPr>
        <w:t xml:space="preserve"> trombóza“ kombinovaný termín pre skupinu </w:t>
      </w:r>
      <w:r w:rsidR="002F0916">
        <w:rPr>
          <w:rFonts w:eastAsia="TimesNewRomanPSMT"/>
          <w:sz w:val="18"/>
          <w:szCs w:val="18"/>
          <w:lang w:eastAsia="en-US"/>
        </w:rPr>
        <w:t>nežiaducich</w:t>
      </w:r>
      <w:r w:rsidRPr="00607AC5">
        <w:rPr>
          <w:rFonts w:eastAsia="TimesNewRomanPSMT"/>
          <w:sz w:val="18"/>
          <w:szCs w:val="18"/>
          <w:lang w:eastAsia="en-US"/>
        </w:rPr>
        <w:t xml:space="preserve"> účinkov zahrňujúci nasledujúce prednostné názvy: hlboká venózna</w:t>
      </w:r>
      <w:r w:rsidR="00595316" w:rsidRPr="00607AC5">
        <w:rPr>
          <w:rFonts w:eastAsia="TimesNewRomanPSMT"/>
          <w:sz w:val="18"/>
          <w:szCs w:val="18"/>
          <w:lang w:eastAsia="en-US"/>
        </w:rPr>
        <w:t xml:space="preserve"> </w:t>
      </w:r>
      <w:r w:rsidRPr="00607AC5">
        <w:rPr>
          <w:rFonts w:eastAsia="TimesNewRomanPSMT"/>
          <w:sz w:val="18"/>
          <w:szCs w:val="18"/>
          <w:lang w:eastAsia="en-US"/>
        </w:rPr>
        <w:t>trombóza, trombóza, venózna trombóza</w:t>
      </w:r>
    </w:p>
    <w:p w14:paraId="7A6BD87F" w14:textId="77777777" w:rsidR="00D75E2C" w:rsidRPr="003A5C41" w:rsidRDefault="00D75E2C" w:rsidP="00B31CB2">
      <w:pPr>
        <w:ind w:left="0" w:firstLine="0"/>
        <w:rPr>
          <w:szCs w:val="22"/>
        </w:rPr>
      </w:pPr>
    </w:p>
    <w:p w14:paraId="165D678A" w14:textId="30A98D38" w:rsidR="00595316" w:rsidRPr="003A5C41" w:rsidRDefault="00595316" w:rsidP="00595316">
      <w:pPr>
        <w:autoSpaceDE w:val="0"/>
        <w:autoSpaceDN w:val="0"/>
        <w:adjustRightInd w:val="0"/>
        <w:ind w:left="0" w:firstLine="0"/>
        <w:rPr>
          <w:i/>
          <w:iCs/>
          <w:szCs w:val="22"/>
          <w:lang w:eastAsia="en-US"/>
        </w:rPr>
      </w:pPr>
      <w:r w:rsidRPr="003A5C41">
        <w:rPr>
          <w:i/>
          <w:iCs/>
          <w:szCs w:val="22"/>
          <w:lang w:eastAsia="en-US"/>
        </w:rPr>
        <w:t xml:space="preserve">Tabuľkový prehľad pre kombinovanú liečbu </w:t>
      </w:r>
      <w:r w:rsidR="00FD3525">
        <w:rPr>
          <w:i/>
          <w:iCs/>
          <w:szCs w:val="22"/>
          <w:lang w:eastAsia="en-US"/>
        </w:rPr>
        <w:t>pri</w:t>
      </w:r>
      <w:r w:rsidRPr="003A5C41">
        <w:rPr>
          <w:i/>
          <w:iCs/>
          <w:szCs w:val="22"/>
          <w:lang w:eastAsia="en-US"/>
        </w:rPr>
        <w:t xml:space="preserve"> MM</w:t>
      </w:r>
    </w:p>
    <w:p w14:paraId="1859E616" w14:textId="2E15994D" w:rsidR="00595316" w:rsidRPr="003A5C41" w:rsidRDefault="00595316" w:rsidP="00595316">
      <w:pPr>
        <w:autoSpaceDE w:val="0"/>
        <w:autoSpaceDN w:val="0"/>
        <w:adjustRightInd w:val="0"/>
        <w:ind w:left="0" w:firstLine="0"/>
        <w:rPr>
          <w:rFonts w:eastAsia="TimesNewRomanPSMT"/>
          <w:szCs w:val="22"/>
          <w:lang w:eastAsia="en-US"/>
        </w:rPr>
      </w:pPr>
      <w:r w:rsidRPr="003A5C41">
        <w:rPr>
          <w:rFonts w:eastAsia="TimesNewRomanPSMT"/>
          <w:szCs w:val="22"/>
          <w:lang w:eastAsia="en-US"/>
        </w:rPr>
        <w:t xml:space="preserve">Nasledujúca tabuľka vychádza z údajov získaných počas štúdií s mnohopočetným myelómom v kombinovanej liečbe. Údaje neboli upravené pre dlhšie trvanie liečby v </w:t>
      </w:r>
      <w:r w:rsidR="00DD1E44">
        <w:rPr>
          <w:rFonts w:eastAsia="TimesNewRomanPSMT"/>
          <w:szCs w:val="22"/>
          <w:lang w:eastAsia="en-US"/>
        </w:rPr>
        <w:t>skupinách</w:t>
      </w:r>
      <w:r w:rsidRPr="003A5C41">
        <w:rPr>
          <w:rFonts w:eastAsia="TimesNewRomanPSMT"/>
          <w:szCs w:val="22"/>
          <w:lang w:eastAsia="en-US"/>
        </w:rPr>
        <w:t xml:space="preserve"> s lenalidomidom, </w:t>
      </w:r>
      <w:r w:rsidRPr="003A5C41">
        <w:rPr>
          <w:rFonts w:eastAsia="TimesNewRomanPSMT"/>
          <w:szCs w:val="22"/>
          <w:lang w:eastAsia="en-US"/>
        </w:rPr>
        <w:lastRenderedPageBreak/>
        <w:t xml:space="preserve">pokračujúcich až do progresie ochorenia v porovnaní s kontrolnými </w:t>
      </w:r>
      <w:r w:rsidR="00DD1E44">
        <w:rPr>
          <w:rFonts w:eastAsia="TimesNewRomanPSMT"/>
          <w:szCs w:val="22"/>
          <w:lang w:eastAsia="en-US"/>
        </w:rPr>
        <w:t>skupinami</w:t>
      </w:r>
      <w:r w:rsidRPr="003A5C41">
        <w:rPr>
          <w:rFonts w:eastAsia="TimesNewRomanPSMT"/>
          <w:szCs w:val="22"/>
          <w:lang w:eastAsia="en-US"/>
        </w:rPr>
        <w:t xml:space="preserve"> v kľúčových štúdiách s mnohopočetným myelómom (pozri časť 5.1).</w:t>
      </w:r>
    </w:p>
    <w:p w14:paraId="4BDCA25F" w14:textId="77777777" w:rsidR="00595316" w:rsidRPr="003A5C41" w:rsidRDefault="00595316" w:rsidP="00595316">
      <w:pPr>
        <w:autoSpaceDE w:val="0"/>
        <w:autoSpaceDN w:val="0"/>
        <w:adjustRightInd w:val="0"/>
        <w:ind w:left="0" w:firstLine="0"/>
        <w:rPr>
          <w:rFonts w:eastAsia="TimesNewRomanPSMT"/>
          <w:szCs w:val="22"/>
          <w:lang w:eastAsia="en-US"/>
        </w:rPr>
      </w:pPr>
    </w:p>
    <w:p w14:paraId="6A4E022E" w14:textId="77777777" w:rsidR="00D75E2C" w:rsidRPr="003A5C41" w:rsidRDefault="00595316" w:rsidP="00595316">
      <w:pPr>
        <w:autoSpaceDE w:val="0"/>
        <w:autoSpaceDN w:val="0"/>
        <w:adjustRightInd w:val="0"/>
        <w:ind w:left="0" w:firstLine="0"/>
        <w:rPr>
          <w:b/>
          <w:bCs/>
          <w:szCs w:val="22"/>
          <w:lang w:eastAsia="en-US"/>
        </w:rPr>
      </w:pPr>
      <w:r w:rsidRPr="003A5C41">
        <w:rPr>
          <w:b/>
          <w:bCs/>
          <w:szCs w:val="22"/>
          <w:lang w:eastAsia="en-US"/>
        </w:rPr>
        <w:t>Tabuľka 2. Nežiaduce reakcie zaznamenané v klinických štúdiách u pacientov s mnohopočetným myelómom liečených lenalidomidom v kombinácii s dexametazónom, alebo s melfalánom a prednizónom</w:t>
      </w:r>
    </w:p>
    <w:p w14:paraId="4DB69F96" w14:textId="77777777" w:rsidR="000C2C41" w:rsidRPr="003A5C41" w:rsidRDefault="000C2C41" w:rsidP="00595316">
      <w:pPr>
        <w:autoSpaceDE w:val="0"/>
        <w:autoSpaceDN w:val="0"/>
        <w:adjustRightInd w:val="0"/>
        <w:ind w:left="0" w:firstLine="0"/>
        <w:rPr>
          <w:b/>
          <w:bCs/>
          <w:szCs w:val="22"/>
          <w:lang w:eastAsia="en-US"/>
        </w:rPr>
      </w:pPr>
    </w:p>
    <w:p w14:paraId="72152783" w14:textId="77777777" w:rsidR="000C2C41" w:rsidRPr="003A5C41" w:rsidRDefault="000C2C41" w:rsidP="000C2C41">
      <w:pPr>
        <w:kinsoku w:val="0"/>
        <w:overflowPunct w:val="0"/>
        <w:autoSpaceDE w:val="0"/>
        <w:autoSpaceDN w:val="0"/>
        <w:adjustRightInd w:val="0"/>
        <w:spacing w:before="2"/>
        <w:ind w:left="0" w:firstLine="0"/>
        <w:rPr>
          <w:sz w:val="2"/>
          <w:szCs w:val="2"/>
          <w:lang w:eastAsia="en-US"/>
        </w:rPr>
      </w:pPr>
    </w:p>
    <w:tbl>
      <w:tblPr>
        <w:tblW w:w="9351" w:type="dxa"/>
        <w:tblInd w:w="119" w:type="dxa"/>
        <w:tblLayout w:type="fixed"/>
        <w:tblCellMar>
          <w:left w:w="0" w:type="dxa"/>
          <w:right w:w="0" w:type="dxa"/>
        </w:tblCellMar>
        <w:tblLook w:val="0000" w:firstRow="0" w:lastRow="0" w:firstColumn="0" w:lastColumn="0" w:noHBand="0" w:noVBand="0"/>
      </w:tblPr>
      <w:tblGrid>
        <w:gridCol w:w="2432"/>
        <w:gridCol w:w="3364"/>
        <w:gridCol w:w="3555"/>
      </w:tblGrid>
      <w:tr w:rsidR="000C2C41" w:rsidRPr="003A5C41" w14:paraId="41521994" w14:textId="77777777" w:rsidTr="008422C4">
        <w:trPr>
          <w:trHeight w:hRule="exact" w:val="770"/>
        </w:trPr>
        <w:tc>
          <w:tcPr>
            <w:tcW w:w="2432" w:type="dxa"/>
            <w:tcBorders>
              <w:top w:val="single" w:sz="4" w:space="0" w:color="000000"/>
              <w:left w:val="single" w:sz="4" w:space="0" w:color="000000"/>
              <w:bottom w:val="single" w:sz="4" w:space="0" w:color="000000"/>
              <w:right w:val="single" w:sz="4" w:space="0" w:color="000000"/>
            </w:tcBorders>
          </w:tcPr>
          <w:p w14:paraId="3099CD9E" w14:textId="77777777" w:rsidR="000C2C41" w:rsidRPr="008422C4" w:rsidRDefault="000C2C41" w:rsidP="000C2C41">
            <w:pPr>
              <w:kinsoku w:val="0"/>
              <w:overflowPunct w:val="0"/>
              <w:autoSpaceDE w:val="0"/>
              <w:autoSpaceDN w:val="0"/>
              <w:adjustRightInd w:val="0"/>
              <w:spacing w:before="1"/>
              <w:ind w:left="103" w:right="306" w:firstLine="0"/>
              <w:rPr>
                <w:szCs w:val="22"/>
                <w:lang w:eastAsia="en-US"/>
              </w:rPr>
            </w:pPr>
            <w:r w:rsidRPr="008422C4">
              <w:rPr>
                <w:b/>
                <w:bCs/>
                <w:szCs w:val="22"/>
                <w:lang w:eastAsia="en-US"/>
              </w:rPr>
              <w:t>Trieda orgánových systémov/Prednostný názov</w:t>
            </w:r>
          </w:p>
        </w:tc>
        <w:tc>
          <w:tcPr>
            <w:tcW w:w="3364" w:type="dxa"/>
            <w:tcBorders>
              <w:top w:val="single" w:sz="4" w:space="0" w:color="000000"/>
              <w:left w:val="single" w:sz="4" w:space="0" w:color="000000"/>
              <w:bottom w:val="single" w:sz="4" w:space="0" w:color="000000"/>
              <w:right w:val="single" w:sz="4" w:space="0" w:color="000000"/>
            </w:tcBorders>
          </w:tcPr>
          <w:p w14:paraId="1771F826" w14:textId="77777777" w:rsidR="000C2C41" w:rsidRPr="008422C4" w:rsidRDefault="000C2C41" w:rsidP="000C2C41">
            <w:pPr>
              <w:kinsoku w:val="0"/>
              <w:overflowPunct w:val="0"/>
              <w:autoSpaceDE w:val="0"/>
              <w:autoSpaceDN w:val="0"/>
              <w:adjustRightInd w:val="0"/>
              <w:spacing w:before="1"/>
              <w:ind w:left="103" w:right="1436" w:firstLine="0"/>
              <w:rPr>
                <w:szCs w:val="22"/>
                <w:lang w:eastAsia="en-US"/>
              </w:rPr>
            </w:pPr>
            <w:r w:rsidRPr="008422C4">
              <w:rPr>
                <w:b/>
                <w:bCs/>
                <w:szCs w:val="22"/>
                <w:lang w:eastAsia="en-US"/>
              </w:rPr>
              <w:t>Všetky nežiaduce reakcie/Frekvencia</w:t>
            </w:r>
          </w:p>
        </w:tc>
        <w:tc>
          <w:tcPr>
            <w:tcW w:w="3555" w:type="dxa"/>
            <w:tcBorders>
              <w:top w:val="single" w:sz="4" w:space="0" w:color="000000"/>
              <w:left w:val="single" w:sz="4" w:space="0" w:color="000000"/>
              <w:bottom w:val="single" w:sz="4" w:space="0" w:color="000000"/>
              <w:right w:val="single" w:sz="4" w:space="0" w:color="000000"/>
            </w:tcBorders>
          </w:tcPr>
          <w:p w14:paraId="0A4983CE" w14:textId="77777777" w:rsidR="000C2C41" w:rsidRPr="008422C4" w:rsidRDefault="000C2C41" w:rsidP="000C2C41">
            <w:pPr>
              <w:kinsoku w:val="0"/>
              <w:overflowPunct w:val="0"/>
              <w:autoSpaceDE w:val="0"/>
              <w:autoSpaceDN w:val="0"/>
              <w:adjustRightInd w:val="0"/>
              <w:spacing w:before="1"/>
              <w:ind w:left="103" w:right="1152" w:firstLine="0"/>
              <w:rPr>
                <w:szCs w:val="22"/>
                <w:lang w:eastAsia="en-US"/>
              </w:rPr>
            </w:pPr>
            <w:r w:rsidRPr="008422C4">
              <w:rPr>
                <w:b/>
                <w:bCs/>
                <w:szCs w:val="22"/>
                <w:lang w:eastAsia="en-US"/>
              </w:rPr>
              <w:t>Nežiaduce reakcie 3.− 4. stupňa/Frekvencia</w:t>
            </w:r>
          </w:p>
        </w:tc>
      </w:tr>
      <w:tr w:rsidR="000C2C41" w:rsidRPr="003A5C41" w14:paraId="0DF470A0" w14:textId="77777777" w:rsidTr="0050037D">
        <w:trPr>
          <w:trHeight w:hRule="exact" w:val="534"/>
        </w:trPr>
        <w:tc>
          <w:tcPr>
            <w:tcW w:w="2432" w:type="dxa"/>
            <w:tcBorders>
              <w:top w:val="single" w:sz="4" w:space="0" w:color="000000"/>
              <w:left w:val="single" w:sz="4" w:space="0" w:color="000000"/>
              <w:bottom w:val="none" w:sz="6" w:space="0" w:color="auto"/>
              <w:right w:val="single" w:sz="4" w:space="0" w:color="000000"/>
            </w:tcBorders>
          </w:tcPr>
          <w:p w14:paraId="05AC0EE6" w14:textId="77777777" w:rsidR="000C2C41" w:rsidRPr="008422C4" w:rsidRDefault="000C2C41" w:rsidP="000C2C41">
            <w:pPr>
              <w:kinsoku w:val="0"/>
              <w:overflowPunct w:val="0"/>
              <w:autoSpaceDE w:val="0"/>
              <w:autoSpaceDN w:val="0"/>
              <w:adjustRightInd w:val="0"/>
              <w:spacing w:line="252" w:lineRule="exact"/>
              <w:ind w:left="103" w:firstLine="0"/>
              <w:rPr>
                <w:szCs w:val="22"/>
                <w:lang w:eastAsia="en-US"/>
              </w:rPr>
            </w:pPr>
            <w:r w:rsidRPr="008422C4">
              <w:rPr>
                <w:b/>
                <w:bCs/>
                <w:szCs w:val="22"/>
                <w:lang w:eastAsia="en-US"/>
              </w:rPr>
              <w:t>Infekcie a nákazy</w:t>
            </w:r>
          </w:p>
        </w:tc>
        <w:tc>
          <w:tcPr>
            <w:tcW w:w="3364" w:type="dxa"/>
            <w:tcBorders>
              <w:top w:val="single" w:sz="4" w:space="0" w:color="000000"/>
              <w:left w:val="single" w:sz="4" w:space="0" w:color="000000"/>
              <w:bottom w:val="none" w:sz="6" w:space="0" w:color="auto"/>
              <w:right w:val="single" w:sz="4" w:space="0" w:color="000000"/>
            </w:tcBorders>
          </w:tcPr>
          <w:p w14:paraId="34C42FA6" w14:textId="77777777" w:rsidR="000C2C41" w:rsidRPr="008422C4" w:rsidRDefault="000C2C41" w:rsidP="000C2C41">
            <w:pPr>
              <w:kinsoku w:val="0"/>
              <w:overflowPunct w:val="0"/>
              <w:autoSpaceDE w:val="0"/>
              <w:autoSpaceDN w:val="0"/>
              <w:adjustRightInd w:val="0"/>
              <w:spacing w:line="244" w:lineRule="exact"/>
              <w:ind w:left="103" w:firstLine="0"/>
              <w:rPr>
                <w:szCs w:val="22"/>
                <w:lang w:eastAsia="en-US"/>
              </w:rPr>
            </w:pPr>
            <w:r w:rsidRPr="008422C4">
              <w:rPr>
                <w:szCs w:val="22"/>
                <w:u w:val="single"/>
                <w:lang w:eastAsia="en-US"/>
              </w:rPr>
              <w:t>Veľmi časté</w:t>
            </w:r>
          </w:p>
          <w:p w14:paraId="6564BF94" w14:textId="77777777" w:rsidR="000C2C41" w:rsidRPr="008422C4" w:rsidRDefault="000C2C41" w:rsidP="000C2C41">
            <w:pPr>
              <w:kinsoku w:val="0"/>
              <w:overflowPunct w:val="0"/>
              <w:autoSpaceDE w:val="0"/>
              <w:autoSpaceDN w:val="0"/>
              <w:adjustRightInd w:val="0"/>
              <w:spacing w:line="279" w:lineRule="exact"/>
              <w:ind w:left="103" w:firstLine="0"/>
              <w:rPr>
                <w:szCs w:val="22"/>
                <w:lang w:eastAsia="en-US"/>
              </w:rPr>
            </w:pPr>
            <w:r w:rsidRPr="008422C4">
              <w:rPr>
                <w:szCs w:val="22"/>
                <w:lang w:eastAsia="en-US"/>
              </w:rPr>
              <w:t>Pneumónia</w:t>
            </w:r>
            <w:r w:rsidR="008B11A3" w:rsidRPr="008422C4">
              <w:rPr>
                <w:position w:val="9"/>
                <w:szCs w:val="22"/>
                <w:lang w:eastAsia="en-US"/>
              </w:rPr>
              <w:t>◊</w:t>
            </w:r>
            <w:r w:rsidRPr="008422C4">
              <w:rPr>
                <w:szCs w:val="22"/>
                <w:lang w:eastAsia="en-US"/>
              </w:rPr>
              <w:t>, infekcie horných</w:t>
            </w:r>
          </w:p>
        </w:tc>
        <w:tc>
          <w:tcPr>
            <w:tcW w:w="3555" w:type="dxa"/>
            <w:tcBorders>
              <w:top w:val="single" w:sz="4" w:space="0" w:color="000000"/>
              <w:left w:val="single" w:sz="4" w:space="0" w:color="000000"/>
              <w:bottom w:val="none" w:sz="6" w:space="0" w:color="auto"/>
              <w:right w:val="single" w:sz="4" w:space="0" w:color="000000"/>
            </w:tcBorders>
          </w:tcPr>
          <w:p w14:paraId="65168D85" w14:textId="77777777" w:rsidR="000C2C41" w:rsidRPr="008422C4" w:rsidRDefault="000C2C41" w:rsidP="0050037D">
            <w:pPr>
              <w:kinsoku w:val="0"/>
              <w:overflowPunct w:val="0"/>
              <w:autoSpaceDE w:val="0"/>
              <w:autoSpaceDN w:val="0"/>
              <w:adjustRightInd w:val="0"/>
              <w:spacing w:line="244" w:lineRule="exact"/>
              <w:ind w:left="103" w:firstLine="0"/>
              <w:rPr>
                <w:szCs w:val="22"/>
                <w:lang w:eastAsia="en-US"/>
              </w:rPr>
            </w:pPr>
            <w:r w:rsidRPr="008422C4">
              <w:rPr>
                <w:szCs w:val="22"/>
                <w:u w:val="single"/>
                <w:lang w:eastAsia="en-US"/>
              </w:rPr>
              <w:t>Časté</w:t>
            </w:r>
          </w:p>
          <w:p w14:paraId="2D4011B7" w14:textId="77777777" w:rsidR="000C2C41" w:rsidRPr="008422C4" w:rsidRDefault="000C2C41" w:rsidP="0050037D">
            <w:pPr>
              <w:kinsoku w:val="0"/>
              <w:overflowPunct w:val="0"/>
              <w:autoSpaceDE w:val="0"/>
              <w:autoSpaceDN w:val="0"/>
              <w:adjustRightInd w:val="0"/>
              <w:spacing w:line="279" w:lineRule="exact"/>
              <w:ind w:left="103" w:firstLine="0"/>
              <w:rPr>
                <w:szCs w:val="22"/>
                <w:lang w:eastAsia="en-US"/>
              </w:rPr>
            </w:pPr>
            <w:r w:rsidRPr="008422C4">
              <w:rPr>
                <w:szCs w:val="22"/>
                <w:lang w:eastAsia="en-US"/>
              </w:rPr>
              <w:t>Pneumónia</w:t>
            </w:r>
            <w:r w:rsidR="008B11A3" w:rsidRPr="008422C4">
              <w:rPr>
                <w:position w:val="9"/>
                <w:szCs w:val="22"/>
                <w:lang w:eastAsia="en-US"/>
              </w:rPr>
              <w:t>◊</w:t>
            </w:r>
            <w:r w:rsidRPr="008422C4">
              <w:rPr>
                <w:szCs w:val="22"/>
                <w:lang w:eastAsia="en-US"/>
              </w:rPr>
              <w:t>, bakteriálne, vírusové</w:t>
            </w:r>
          </w:p>
        </w:tc>
      </w:tr>
      <w:tr w:rsidR="000C2C41" w:rsidRPr="003A5C41" w14:paraId="33F1093B" w14:textId="77777777" w:rsidTr="0050037D">
        <w:trPr>
          <w:trHeight w:hRule="exact" w:val="1029"/>
        </w:trPr>
        <w:tc>
          <w:tcPr>
            <w:tcW w:w="2432" w:type="dxa"/>
            <w:tcBorders>
              <w:top w:val="none" w:sz="6" w:space="0" w:color="auto"/>
              <w:left w:val="single" w:sz="4" w:space="0" w:color="000000"/>
              <w:bottom w:val="none" w:sz="6" w:space="0" w:color="auto"/>
              <w:right w:val="single" w:sz="4" w:space="0" w:color="000000"/>
            </w:tcBorders>
          </w:tcPr>
          <w:p w14:paraId="7591671D" w14:textId="77777777" w:rsidR="000C2C41" w:rsidRPr="008422C4" w:rsidRDefault="000C2C41" w:rsidP="000C2C41">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none" w:sz="6" w:space="0" w:color="auto"/>
              <w:right w:val="single" w:sz="4" w:space="0" w:color="000000"/>
            </w:tcBorders>
          </w:tcPr>
          <w:p w14:paraId="662DBE31" w14:textId="77777777" w:rsidR="000C2C41" w:rsidRPr="008422C4" w:rsidRDefault="000C2C41" w:rsidP="0050037D">
            <w:pPr>
              <w:kinsoku w:val="0"/>
              <w:overflowPunct w:val="0"/>
              <w:autoSpaceDE w:val="0"/>
              <w:autoSpaceDN w:val="0"/>
              <w:adjustRightInd w:val="0"/>
              <w:spacing w:line="237" w:lineRule="auto"/>
              <w:ind w:left="103" w:right="410" w:firstLine="0"/>
              <w:rPr>
                <w:szCs w:val="22"/>
                <w:lang w:eastAsia="en-US"/>
              </w:rPr>
            </w:pPr>
            <w:r w:rsidRPr="008422C4">
              <w:rPr>
                <w:szCs w:val="22"/>
                <w:lang w:eastAsia="en-US"/>
              </w:rPr>
              <w:t>dýchacích ciest, bakteriálne, vírusové a mykotické infekcie (vrátane oportúnnych infekcií)</w:t>
            </w:r>
            <w:r w:rsidRPr="008422C4">
              <w:rPr>
                <w:position w:val="9"/>
                <w:szCs w:val="22"/>
                <w:lang w:eastAsia="en-US"/>
              </w:rPr>
              <w:t>◊</w:t>
            </w:r>
            <w:r w:rsidRPr="008422C4">
              <w:rPr>
                <w:szCs w:val="22"/>
                <w:lang w:eastAsia="en-US"/>
              </w:rPr>
              <w:t>, nazofaryngitída, faryngitída,</w:t>
            </w:r>
          </w:p>
        </w:tc>
        <w:tc>
          <w:tcPr>
            <w:tcW w:w="3555" w:type="dxa"/>
            <w:tcBorders>
              <w:top w:val="none" w:sz="6" w:space="0" w:color="auto"/>
              <w:left w:val="single" w:sz="4" w:space="0" w:color="000000"/>
              <w:bottom w:val="none" w:sz="6" w:space="0" w:color="auto"/>
              <w:right w:val="single" w:sz="4" w:space="0" w:color="000000"/>
            </w:tcBorders>
          </w:tcPr>
          <w:p w14:paraId="03E644FB" w14:textId="77777777" w:rsidR="000C2C41" w:rsidRPr="008422C4" w:rsidRDefault="000C2C41" w:rsidP="0050037D">
            <w:pPr>
              <w:kinsoku w:val="0"/>
              <w:overflowPunct w:val="0"/>
              <w:autoSpaceDE w:val="0"/>
              <w:autoSpaceDN w:val="0"/>
              <w:adjustRightInd w:val="0"/>
              <w:spacing w:before="7" w:line="228" w:lineRule="auto"/>
              <w:ind w:left="103" w:right="382" w:firstLine="0"/>
              <w:rPr>
                <w:szCs w:val="22"/>
                <w:lang w:eastAsia="en-US"/>
              </w:rPr>
            </w:pPr>
            <w:r w:rsidRPr="008422C4">
              <w:rPr>
                <w:szCs w:val="22"/>
                <w:lang w:eastAsia="en-US"/>
              </w:rPr>
              <w:t>a mykotické infekcie (vrátane oportúnnych infekcií)</w:t>
            </w:r>
            <w:r w:rsidRPr="008422C4">
              <w:rPr>
                <w:position w:val="9"/>
                <w:szCs w:val="22"/>
                <w:lang w:eastAsia="en-US"/>
              </w:rPr>
              <w:t>◊</w:t>
            </w:r>
            <w:r w:rsidRPr="008422C4">
              <w:rPr>
                <w:szCs w:val="22"/>
                <w:lang w:eastAsia="en-US"/>
              </w:rPr>
              <w:t>, celulitída</w:t>
            </w:r>
            <w:r w:rsidRPr="008422C4">
              <w:rPr>
                <w:position w:val="9"/>
                <w:szCs w:val="22"/>
                <w:lang w:eastAsia="en-US"/>
              </w:rPr>
              <w:t xml:space="preserve">◊, </w:t>
            </w:r>
            <w:r w:rsidRPr="008422C4">
              <w:rPr>
                <w:szCs w:val="22"/>
                <w:lang w:eastAsia="en-US"/>
              </w:rPr>
              <w:t>sepsa</w:t>
            </w:r>
            <w:r w:rsidRPr="008422C4">
              <w:rPr>
                <w:position w:val="9"/>
                <w:szCs w:val="22"/>
                <w:lang w:eastAsia="en-US"/>
              </w:rPr>
              <w:t>◊</w:t>
            </w:r>
            <w:r w:rsidRPr="008422C4">
              <w:rPr>
                <w:szCs w:val="22"/>
                <w:lang w:eastAsia="en-US"/>
              </w:rPr>
              <w:t>, bronchitída</w:t>
            </w:r>
            <w:r w:rsidRPr="008422C4">
              <w:rPr>
                <w:position w:val="9"/>
                <w:szCs w:val="22"/>
                <w:lang w:eastAsia="en-US"/>
              </w:rPr>
              <w:t>◊</w:t>
            </w:r>
          </w:p>
        </w:tc>
      </w:tr>
      <w:tr w:rsidR="000C2C41" w:rsidRPr="003A5C41" w14:paraId="56EC6D2E" w14:textId="77777777" w:rsidTr="0050037D">
        <w:trPr>
          <w:trHeight w:hRule="exact" w:val="422"/>
        </w:trPr>
        <w:tc>
          <w:tcPr>
            <w:tcW w:w="2432" w:type="dxa"/>
            <w:tcBorders>
              <w:top w:val="none" w:sz="6" w:space="0" w:color="auto"/>
              <w:left w:val="single" w:sz="4" w:space="0" w:color="000000"/>
              <w:bottom w:val="none" w:sz="6" w:space="0" w:color="auto"/>
              <w:right w:val="single" w:sz="4" w:space="0" w:color="000000"/>
            </w:tcBorders>
          </w:tcPr>
          <w:p w14:paraId="40FBF12E" w14:textId="77777777" w:rsidR="000C2C41" w:rsidRPr="008422C4" w:rsidRDefault="000C2C41" w:rsidP="000C2C41">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none" w:sz="6" w:space="0" w:color="auto"/>
              <w:right w:val="single" w:sz="4" w:space="0" w:color="000000"/>
            </w:tcBorders>
          </w:tcPr>
          <w:p w14:paraId="1C6035E6" w14:textId="77777777" w:rsidR="000C2C41" w:rsidRPr="008422C4" w:rsidRDefault="000C2C41" w:rsidP="0050037D">
            <w:pPr>
              <w:kinsoku w:val="0"/>
              <w:overflowPunct w:val="0"/>
              <w:autoSpaceDE w:val="0"/>
              <w:autoSpaceDN w:val="0"/>
              <w:adjustRightInd w:val="0"/>
              <w:spacing w:line="278" w:lineRule="exact"/>
              <w:ind w:left="103" w:firstLine="0"/>
              <w:rPr>
                <w:szCs w:val="22"/>
                <w:lang w:eastAsia="en-US"/>
              </w:rPr>
            </w:pPr>
            <w:r w:rsidRPr="008422C4">
              <w:rPr>
                <w:szCs w:val="22"/>
                <w:lang w:eastAsia="en-US"/>
              </w:rPr>
              <w:t>bronchitída</w:t>
            </w:r>
            <w:r w:rsidRPr="008422C4">
              <w:rPr>
                <w:position w:val="9"/>
                <w:szCs w:val="22"/>
                <w:lang w:eastAsia="en-US"/>
              </w:rPr>
              <w:t>◊</w:t>
            </w:r>
          </w:p>
        </w:tc>
        <w:tc>
          <w:tcPr>
            <w:tcW w:w="3555" w:type="dxa"/>
            <w:tcBorders>
              <w:top w:val="none" w:sz="6" w:space="0" w:color="auto"/>
              <w:left w:val="single" w:sz="4" w:space="0" w:color="000000"/>
              <w:bottom w:val="none" w:sz="6" w:space="0" w:color="auto"/>
              <w:right w:val="single" w:sz="4" w:space="0" w:color="000000"/>
            </w:tcBorders>
          </w:tcPr>
          <w:p w14:paraId="32007745" w14:textId="77777777" w:rsidR="000C2C41" w:rsidRPr="008422C4" w:rsidRDefault="000C2C41" w:rsidP="000C2C41">
            <w:pPr>
              <w:autoSpaceDE w:val="0"/>
              <w:autoSpaceDN w:val="0"/>
              <w:adjustRightInd w:val="0"/>
              <w:ind w:left="0" w:firstLine="0"/>
              <w:rPr>
                <w:szCs w:val="22"/>
                <w:lang w:eastAsia="en-US"/>
              </w:rPr>
            </w:pPr>
          </w:p>
        </w:tc>
      </w:tr>
      <w:tr w:rsidR="000C2C41" w:rsidRPr="003A5C41" w14:paraId="58710C73" w14:textId="77777777" w:rsidTr="0050037D">
        <w:trPr>
          <w:trHeight w:hRule="exact" w:val="383"/>
        </w:trPr>
        <w:tc>
          <w:tcPr>
            <w:tcW w:w="2432" w:type="dxa"/>
            <w:tcBorders>
              <w:top w:val="none" w:sz="6" w:space="0" w:color="auto"/>
              <w:left w:val="single" w:sz="4" w:space="0" w:color="000000"/>
              <w:bottom w:val="none" w:sz="6" w:space="0" w:color="auto"/>
              <w:right w:val="single" w:sz="4" w:space="0" w:color="000000"/>
            </w:tcBorders>
          </w:tcPr>
          <w:p w14:paraId="472552C1" w14:textId="77777777" w:rsidR="000C2C41" w:rsidRPr="008422C4" w:rsidRDefault="000C2C41" w:rsidP="000C2C41">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none" w:sz="6" w:space="0" w:color="auto"/>
              <w:right w:val="single" w:sz="4" w:space="0" w:color="000000"/>
            </w:tcBorders>
          </w:tcPr>
          <w:p w14:paraId="7DE4962B" w14:textId="77777777" w:rsidR="000C2C41" w:rsidRPr="008422C4" w:rsidRDefault="000C2C41" w:rsidP="00BE011D">
            <w:pPr>
              <w:kinsoku w:val="0"/>
              <w:overflowPunct w:val="0"/>
              <w:autoSpaceDE w:val="0"/>
              <w:autoSpaceDN w:val="0"/>
              <w:adjustRightInd w:val="0"/>
              <w:spacing w:before="135"/>
              <w:ind w:left="103" w:firstLine="0"/>
              <w:rPr>
                <w:szCs w:val="22"/>
                <w:lang w:eastAsia="en-US"/>
              </w:rPr>
            </w:pPr>
            <w:r w:rsidRPr="008422C4">
              <w:rPr>
                <w:szCs w:val="22"/>
                <w:u w:val="single"/>
                <w:lang w:eastAsia="en-US"/>
              </w:rPr>
              <w:t>Časté</w:t>
            </w:r>
          </w:p>
        </w:tc>
        <w:tc>
          <w:tcPr>
            <w:tcW w:w="3555" w:type="dxa"/>
            <w:tcBorders>
              <w:top w:val="none" w:sz="6" w:space="0" w:color="auto"/>
              <w:left w:val="single" w:sz="4" w:space="0" w:color="000000"/>
              <w:bottom w:val="none" w:sz="6" w:space="0" w:color="auto"/>
              <w:right w:val="single" w:sz="4" w:space="0" w:color="000000"/>
            </w:tcBorders>
          </w:tcPr>
          <w:p w14:paraId="4561EA94" w14:textId="77777777" w:rsidR="000C2C41" w:rsidRPr="008422C4" w:rsidRDefault="000C2C41" w:rsidP="000C2C41">
            <w:pPr>
              <w:autoSpaceDE w:val="0"/>
              <w:autoSpaceDN w:val="0"/>
              <w:adjustRightInd w:val="0"/>
              <w:ind w:left="0" w:firstLine="0"/>
              <w:rPr>
                <w:szCs w:val="22"/>
                <w:lang w:eastAsia="en-US"/>
              </w:rPr>
            </w:pPr>
          </w:p>
        </w:tc>
      </w:tr>
      <w:tr w:rsidR="000C2C41" w:rsidRPr="003A5C41" w14:paraId="543A7B43" w14:textId="77777777" w:rsidTr="0050037D">
        <w:trPr>
          <w:trHeight w:hRule="exact" w:val="287"/>
        </w:trPr>
        <w:tc>
          <w:tcPr>
            <w:tcW w:w="2432" w:type="dxa"/>
            <w:tcBorders>
              <w:top w:val="none" w:sz="6" w:space="0" w:color="auto"/>
              <w:left w:val="single" w:sz="4" w:space="0" w:color="000000"/>
              <w:bottom w:val="single" w:sz="4" w:space="0" w:color="000000"/>
              <w:right w:val="single" w:sz="4" w:space="0" w:color="000000"/>
            </w:tcBorders>
          </w:tcPr>
          <w:p w14:paraId="03F78C12" w14:textId="77777777" w:rsidR="000C2C41" w:rsidRPr="008422C4" w:rsidRDefault="000C2C41" w:rsidP="000C2C41">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single" w:sz="4" w:space="0" w:color="000000"/>
              <w:right w:val="single" w:sz="4" w:space="0" w:color="000000"/>
            </w:tcBorders>
          </w:tcPr>
          <w:p w14:paraId="4AC53E6B" w14:textId="77777777" w:rsidR="000C2C41" w:rsidRPr="008422C4" w:rsidRDefault="000C2C41" w:rsidP="0050037D">
            <w:pPr>
              <w:kinsoku w:val="0"/>
              <w:overflowPunct w:val="0"/>
              <w:autoSpaceDE w:val="0"/>
              <w:autoSpaceDN w:val="0"/>
              <w:adjustRightInd w:val="0"/>
              <w:spacing w:line="277" w:lineRule="exact"/>
              <w:ind w:left="103" w:firstLine="0"/>
              <w:rPr>
                <w:szCs w:val="22"/>
                <w:lang w:eastAsia="en-US"/>
              </w:rPr>
            </w:pPr>
            <w:r w:rsidRPr="008422C4">
              <w:rPr>
                <w:szCs w:val="22"/>
                <w:lang w:eastAsia="en-US"/>
              </w:rPr>
              <w:t>Sepsa</w:t>
            </w:r>
            <w:r w:rsidRPr="008422C4">
              <w:rPr>
                <w:position w:val="9"/>
                <w:szCs w:val="22"/>
                <w:lang w:eastAsia="en-US"/>
              </w:rPr>
              <w:t>◊</w:t>
            </w:r>
            <w:r w:rsidRPr="008422C4">
              <w:rPr>
                <w:szCs w:val="22"/>
                <w:lang w:eastAsia="en-US"/>
              </w:rPr>
              <w:t>, sinusitída</w:t>
            </w:r>
            <w:r w:rsidRPr="008422C4">
              <w:rPr>
                <w:position w:val="9"/>
                <w:szCs w:val="22"/>
                <w:lang w:eastAsia="en-US"/>
              </w:rPr>
              <w:t>◊</w:t>
            </w:r>
          </w:p>
        </w:tc>
        <w:tc>
          <w:tcPr>
            <w:tcW w:w="3555" w:type="dxa"/>
            <w:tcBorders>
              <w:top w:val="none" w:sz="6" w:space="0" w:color="auto"/>
              <w:left w:val="single" w:sz="4" w:space="0" w:color="000000"/>
              <w:bottom w:val="single" w:sz="4" w:space="0" w:color="000000"/>
              <w:right w:val="single" w:sz="4" w:space="0" w:color="000000"/>
            </w:tcBorders>
          </w:tcPr>
          <w:p w14:paraId="0BF86B56" w14:textId="77777777" w:rsidR="000C2C41" w:rsidRPr="008422C4" w:rsidRDefault="000C2C41" w:rsidP="000C2C41">
            <w:pPr>
              <w:autoSpaceDE w:val="0"/>
              <w:autoSpaceDN w:val="0"/>
              <w:adjustRightInd w:val="0"/>
              <w:ind w:left="0" w:firstLine="0"/>
              <w:rPr>
                <w:szCs w:val="22"/>
                <w:lang w:eastAsia="en-US"/>
              </w:rPr>
            </w:pPr>
          </w:p>
        </w:tc>
      </w:tr>
      <w:tr w:rsidR="000C2C41" w:rsidRPr="003A5C41" w14:paraId="1E52666E" w14:textId="77777777" w:rsidTr="0050037D">
        <w:trPr>
          <w:trHeight w:hRule="exact" w:val="1296"/>
        </w:trPr>
        <w:tc>
          <w:tcPr>
            <w:tcW w:w="2432" w:type="dxa"/>
            <w:tcBorders>
              <w:top w:val="single" w:sz="4" w:space="0" w:color="000000"/>
              <w:left w:val="single" w:sz="4" w:space="0" w:color="000000"/>
              <w:bottom w:val="none" w:sz="6" w:space="0" w:color="auto"/>
              <w:right w:val="single" w:sz="4" w:space="0" w:color="000000"/>
            </w:tcBorders>
          </w:tcPr>
          <w:p w14:paraId="62979BF2" w14:textId="77777777" w:rsidR="000C2C41" w:rsidRPr="008422C4" w:rsidRDefault="000C2C41" w:rsidP="000C2C41">
            <w:pPr>
              <w:kinsoku w:val="0"/>
              <w:overflowPunct w:val="0"/>
              <w:autoSpaceDE w:val="0"/>
              <w:autoSpaceDN w:val="0"/>
              <w:adjustRightInd w:val="0"/>
              <w:ind w:left="103" w:right="575" w:firstLine="0"/>
              <w:rPr>
                <w:szCs w:val="22"/>
                <w:lang w:eastAsia="en-US"/>
              </w:rPr>
            </w:pPr>
            <w:r w:rsidRPr="008422C4">
              <w:rPr>
                <w:b/>
                <w:bCs/>
                <w:szCs w:val="22"/>
                <w:lang w:eastAsia="en-US"/>
              </w:rPr>
              <w:t>Benígne a malígne nádory, vrátane nešpecifikovaných novotvarov (cysty a polypy)</w:t>
            </w:r>
          </w:p>
        </w:tc>
        <w:tc>
          <w:tcPr>
            <w:tcW w:w="3364" w:type="dxa"/>
            <w:tcBorders>
              <w:top w:val="single" w:sz="4" w:space="0" w:color="000000"/>
              <w:left w:val="single" w:sz="4" w:space="0" w:color="000000"/>
              <w:bottom w:val="none" w:sz="6" w:space="0" w:color="auto"/>
              <w:right w:val="single" w:sz="4" w:space="0" w:color="000000"/>
            </w:tcBorders>
          </w:tcPr>
          <w:p w14:paraId="6D466E40" w14:textId="77777777" w:rsidR="000C2C41" w:rsidRPr="008422C4" w:rsidRDefault="000C2C41" w:rsidP="0050037D">
            <w:pPr>
              <w:kinsoku w:val="0"/>
              <w:overflowPunct w:val="0"/>
              <w:autoSpaceDE w:val="0"/>
              <w:autoSpaceDN w:val="0"/>
              <w:adjustRightInd w:val="0"/>
              <w:spacing w:line="244" w:lineRule="exact"/>
              <w:ind w:left="103" w:firstLine="0"/>
              <w:rPr>
                <w:szCs w:val="22"/>
                <w:lang w:eastAsia="en-US"/>
              </w:rPr>
            </w:pPr>
            <w:r w:rsidRPr="008422C4">
              <w:rPr>
                <w:szCs w:val="22"/>
                <w:u w:val="single"/>
                <w:lang w:eastAsia="en-US"/>
              </w:rPr>
              <w:t>Menej časté</w:t>
            </w:r>
          </w:p>
          <w:p w14:paraId="42007733" w14:textId="77777777" w:rsidR="000C2C41" w:rsidRPr="008422C4" w:rsidRDefault="000C2C41" w:rsidP="0050037D">
            <w:pPr>
              <w:kinsoku w:val="0"/>
              <w:overflowPunct w:val="0"/>
              <w:autoSpaceDE w:val="0"/>
              <w:autoSpaceDN w:val="0"/>
              <w:adjustRightInd w:val="0"/>
              <w:spacing w:before="10" w:line="276" w:lineRule="exact"/>
              <w:ind w:left="103" w:right="208" w:firstLine="0"/>
              <w:rPr>
                <w:szCs w:val="22"/>
                <w:lang w:eastAsia="en-US"/>
              </w:rPr>
            </w:pPr>
            <w:r w:rsidRPr="008422C4">
              <w:rPr>
                <w:szCs w:val="22"/>
                <w:lang w:eastAsia="en-US"/>
              </w:rPr>
              <w:t>Bazocelulárny karcinóm^</w:t>
            </w:r>
            <w:r w:rsidRPr="008422C4">
              <w:rPr>
                <w:position w:val="9"/>
                <w:szCs w:val="22"/>
                <w:lang w:eastAsia="en-US"/>
              </w:rPr>
              <w:t>,</w:t>
            </w:r>
            <w:r w:rsidRPr="008B7EFE">
              <w:rPr>
                <w:position w:val="9"/>
                <w:szCs w:val="22"/>
                <w:lang w:eastAsia="en-US"/>
              </w:rPr>
              <w:t>◊</w:t>
            </w:r>
            <w:r w:rsidRPr="008422C4">
              <w:rPr>
                <w:szCs w:val="22"/>
                <w:lang w:eastAsia="en-US"/>
              </w:rPr>
              <w:t>, spinocelulárny karcinóm kože^</w:t>
            </w:r>
            <w:r w:rsidRPr="008422C4">
              <w:rPr>
                <w:position w:val="9"/>
                <w:szCs w:val="22"/>
                <w:lang w:eastAsia="en-US"/>
              </w:rPr>
              <w:t>,◊,</w:t>
            </w:r>
            <w:r w:rsidRPr="008422C4">
              <w:rPr>
                <w:szCs w:val="22"/>
                <w:lang w:eastAsia="en-US"/>
              </w:rPr>
              <w:t>*</w:t>
            </w:r>
          </w:p>
        </w:tc>
        <w:tc>
          <w:tcPr>
            <w:tcW w:w="3555" w:type="dxa"/>
            <w:tcBorders>
              <w:top w:val="single" w:sz="4" w:space="0" w:color="000000"/>
              <w:left w:val="single" w:sz="4" w:space="0" w:color="000000"/>
              <w:bottom w:val="none" w:sz="6" w:space="0" w:color="auto"/>
              <w:right w:val="single" w:sz="4" w:space="0" w:color="000000"/>
            </w:tcBorders>
          </w:tcPr>
          <w:p w14:paraId="26E9B360" w14:textId="77777777" w:rsidR="000C2C41" w:rsidRPr="008422C4" w:rsidRDefault="000C2C41" w:rsidP="0050037D">
            <w:pPr>
              <w:kinsoku w:val="0"/>
              <w:overflowPunct w:val="0"/>
              <w:autoSpaceDE w:val="0"/>
              <w:autoSpaceDN w:val="0"/>
              <w:adjustRightInd w:val="0"/>
              <w:spacing w:line="251" w:lineRule="exact"/>
              <w:ind w:left="103" w:firstLine="0"/>
              <w:rPr>
                <w:szCs w:val="22"/>
                <w:lang w:eastAsia="en-US"/>
              </w:rPr>
            </w:pPr>
            <w:r w:rsidRPr="008422C4">
              <w:rPr>
                <w:szCs w:val="22"/>
                <w:u w:val="single"/>
                <w:lang w:eastAsia="en-US"/>
              </w:rPr>
              <w:t>Časté</w:t>
            </w:r>
          </w:p>
          <w:p w14:paraId="6E93272A" w14:textId="0DA6DD3E" w:rsidR="000C2C41" w:rsidRPr="008422C4" w:rsidRDefault="000C2C41" w:rsidP="0050037D">
            <w:pPr>
              <w:kinsoku w:val="0"/>
              <w:overflowPunct w:val="0"/>
              <w:autoSpaceDE w:val="0"/>
              <w:autoSpaceDN w:val="0"/>
              <w:adjustRightInd w:val="0"/>
              <w:spacing w:before="5" w:line="232" w:lineRule="auto"/>
              <w:ind w:left="103" w:right="256" w:firstLine="0"/>
              <w:rPr>
                <w:szCs w:val="22"/>
                <w:lang w:eastAsia="en-US"/>
              </w:rPr>
            </w:pPr>
            <w:r w:rsidRPr="008422C4">
              <w:rPr>
                <w:szCs w:val="22"/>
                <w:lang w:eastAsia="en-US"/>
              </w:rPr>
              <w:t xml:space="preserve">Akútna myeloidná leukémia, myelodysplastický syndróm, </w:t>
            </w:r>
            <w:r w:rsidR="0050037D">
              <w:rPr>
                <w:szCs w:val="22"/>
                <w:lang w:eastAsia="en-US"/>
              </w:rPr>
              <w:t>s</w:t>
            </w:r>
            <w:r w:rsidRPr="008422C4">
              <w:rPr>
                <w:szCs w:val="22"/>
                <w:lang w:eastAsia="en-US"/>
              </w:rPr>
              <w:t>pinocelulárny karcinóm kože^</w:t>
            </w:r>
            <w:r w:rsidRPr="008422C4">
              <w:rPr>
                <w:position w:val="8"/>
                <w:szCs w:val="22"/>
                <w:lang w:eastAsia="en-US"/>
              </w:rPr>
              <w:t>,</w:t>
            </w:r>
            <w:r w:rsidRPr="008422C4">
              <w:rPr>
                <w:position w:val="9"/>
                <w:szCs w:val="22"/>
                <w:lang w:eastAsia="en-US"/>
              </w:rPr>
              <w:t>◊,</w:t>
            </w:r>
            <w:r w:rsidRPr="008422C4">
              <w:rPr>
                <w:szCs w:val="22"/>
                <w:lang w:eastAsia="en-US"/>
              </w:rPr>
              <w:t>**</w:t>
            </w:r>
          </w:p>
        </w:tc>
      </w:tr>
      <w:tr w:rsidR="000C2C41" w:rsidRPr="003A5C41" w14:paraId="21E8C646" w14:textId="77777777" w:rsidTr="008422C4">
        <w:trPr>
          <w:trHeight w:hRule="exact" w:val="276"/>
        </w:trPr>
        <w:tc>
          <w:tcPr>
            <w:tcW w:w="2432" w:type="dxa"/>
            <w:tcBorders>
              <w:top w:val="none" w:sz="6" w:space="0" w:color="auto"/>
              <w:left w:val="single" w:sz="4" w:space="0" w:color="000000"/>
              <w:bottom w:val="none" w:sz="6" w:space="0" w:color="auto"/>
              <w:right w:val="single" w:sz="4" w:space="0" w:color="000000"/>
            </w:tcBorders>
          </w:tcPr>
          <w:p w14:paraId="5A303A4A" w14:textId="77777777" w:rsidR="000C2C41" w:rsidRPr="008422C4" w:rsidRDefault="000C2C41" w:rsidP="000C2C41">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none" w:sz="6" w:space="0" w:color="auto"/>
              <w:right w:val="single" w:sz="4" w:space="0" w:color="000000"/>
            </w:tcBorders>
          </w:tcPr>
          <w:p w14:paraId="073908CB" w14:textId="77777777" w:rsidR="000C2C41" w:rsidRPr="008422C4" w:rsidRDefault="000C2C41" w:rsidP="00BE011D">
            <w:pPr>
              <w:autoSpaceDE w:val="0"/>
              <w:autoSpaceDN w:val="0"/>
              <w:adjustRightInd w:val="0"/>
              <w:ind w:left="0" w:firstLine="0"/>
              <w:rPr>
                <w:szCs w:val="22"/>
                <w:lang w:eastAsia="en-US"/>
              </w:rPr>
            </w:pPr>
          </w:p>
        </w:tc>
        <w:tc>
          <w:tcPr>
            <w:tcW w:w="3555" w:type="dxa"/>
            <w:tcBorders>
              <w:top w:val="none" w:sz="6" w:space="0" w:color="auto"/>
              <w:left w:val="single" w:sz="4" w:space="0" w:color="000000"/>
              <w:bottom w:val="none" w:sz="6" w:space="0" w:color="auto"/>
              <w:right w:val="single" w:sz="4" w:space="0" w:color="000000"/>
            </w:tcBorders>
          </w:tcPr>
          <w:p w14:paraId="32131A68" w14:textId="77777777" w:rsidR="000C2C41" w:rsidRPr="008422C4" w:rsidRDefault="000C2C41" w:rsidP="00BE011D">
            <w:pPr>
              <w:kinsoku w:val="0"/>
              <w:overflowPunct w:val="0"/>
              <w:autoSpaceDE w:val="0"/>
              <w:autoSpaceDN w:val="0"/>
              <w:adjustRightInd w:val="0"/>
              <w:spacing w:before="18"/>
              <w:ind w:left="103" w:firstLine="0"/>
              <w:rPr>
                <w:szCs w:val="22"/>
                <w:lang w:eastAsia="en-US"/>
              </w:rPr>
            </w:pPr>
            <w:r w:rsidRPr="008422C4">
              <w:rPr>
                <w:szCs w:val="22"/>
                <w:u w:val="single"/>
                <w:lang w:eastAsia="en-US"/>
              </w:rPr>
              <w:t>Menej časté</w:t>
            </w:r>
          </w:p>
        </w:tc>
      </w:tr>
      <w:tr w:rsidR="000C2C41" w:rsidRPr="003A5C41" w14:paraId="7A4868D2" w14:textId="77777777" w:rsidTr="008422C4">
        <w:trPr>
          <w:trHeight w:hRule="exact" w:val="244"/>
        </w:trPr>
        <w:tc>
          <w:tcPr>
            <w:tcW w:w="2432" w:type="dxa"/>
            <w:tcBorders>
              <w:top w:val="none" w:sz="6" w:space="0" w:color="auto"/>
              <w:left w:val="single" w:sz="4" w:space="0" w:color="000000"/>
              <w:bottom w:val="none" w:sz="6" w:space="0" w:color="auto"/>
              <w:right w:val="single" w:sz="4" w:space="0" w:color="000000"/>
            </w:tcBorders>
          </w:tcPr>
          <w:p w14:paraId="7A0B31A2" w14:textId="77777777" w:rsidR="000C2C41" w:rsidRPr="008422C4" w:rsidRDefault="000C2C41" w:rsidP="000C2C41">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none" w:sz="6" w:space="0" w:color="auto"/>
              <w:right w:val="single" w:sz="4" w:space="0" w:color="000000"/>
            </w:tcBorders>
          </w:tcPr>
          <w:p w14:paraId="1A7C1BA0" w14:textId="77777777" w:rsidR="000C2C41" w:rsidRPr="008422C4" w:rsidRDefault="000C2C41" w:rsidP="00BE011D">
            <w:pPr>
              <w:autoSpaceDE w:val="0"/>
              <w:autoSpaceDN w:val="0"/>
              <w:adjustRightInd w:val="0"/>
              <w:ind w:left="0" w:firstLine="0"/>
              <w:rPr>
                <w:szCs w:val="22"/>
                <w:lang w:eastAsia="en-US"/>
              </w:rPr>
            </w:pPr>
          </w:p>
        </w:tc>
        <w:tc>
          <w:tcPr>
            <w:tcW w:w="3555" w:type="dxa"/>
            <w:tcBorders>
              <w:top w:val="none" w:sz="6" w:space="0" w:color="auto"/>
              <w:left w:val="single" w:sz="4" w:space="0" w:color="000000"/>
              <w:bottom w:val="none" w:sz="6" w:space="0" w:color="auto"/>
              <w:right w:val="single" w:sz="4" w:space="0" w:color="000000"/>
            </w:tcBorders>
          </w:tcPr>
          <w:p w14:paraId="263C81B3" w14:textId="77777777" w:rsidR="000C2C41" w:rsidRPr="008422C4" w:rsidRDefault="000C2C41" w:rsidP="0050037D">
            <w:pPr>
              <w:kinsoku w:val="0"/>
              <w:overflowPunct w:val="0"/>
              <w:autoSpaceDE w:val="0"/>
              <w:autoSpaceDN w:val="0"/>
              <w:adjustRightInd w:val="0"/>
              <w:spacing w:line="249" w:lineRule="exact"/>
              <w:ind w:left="103" w:firstLine="0"/>
              <w:rPr>
                <w:szCs w:val="22"/>
                <w:lang w:eastAsia="en-US"/>
              </w:rPr>
            </w:pPr>
            <w:r w:rsidRPr="008422C4">
              <w:rPr>
                <w:szCs w:val="22"/>
                <w:lang w:eastAsia="en-US"/>
              </w:rPr>
              <w:t>T-bunková akútna leukémia,</w:t>
            </w:r>
          </w:p>
        </w:tc>
      </w:tr>
      <w:tr w:rsidR="000C2C41" w:rsidRPr="003A5C41" w14:paraId="22F8971B" w14:textId="77777777" w:rsidTr="0050037D">
        <w:trPr>
          <w:trHeight w:hRule="exact" w:val="283"/>
        </w:trPr>
        <w:tc>
          <w:tcPr>
            <w:tcW w:w="2432" w:type="dxa"/>
            <w:tcBorders>
              <w:top w:val="none" w:sz="6" w:space="0" w:color="auto"/>
              <w:left w:val="single" w:sz="4" w:space="0" w:color="000000"/>
              <w:bottom w:val="none" w:sz="6" w:space="0" w:color="auto"/>
              <w:right w:val="single" w:sz="4" w:space="0" w:color="000000"/>
            </w:tcBorders>
          </w:tcPr>
          <w:p w14:paraId="46EA345A" w14:textId="77777777" w:rsidR="000C2C41" w:rsidRPr="008422C4" w:rsidRDefault="000C2C41" w:rsidP="000C2C41">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none" w:sz="6" w:space="0" w:color="auto"/>
              <w:right w:val="single" w:sz="4" w:space="0" w:color="000000"/>
            </w:tcBorders>
          </w:tcPr>
          <w:p w14:paraId="21E74879" w14:textId="77777777" w:rsidR="000C2C41" w:rsidRPr="008422C4" w:rsidRDefault="000C2C41" w:rsidP="00BE011D">
            <w:pPr>
              <w:autoSpaceDE w:val="0"/>
              <w:autoSpaceDN w:val="0"/>
              <w:adjustRightInd w:val="0"/>
              <w:ind w:left="0" w:firstLine="0"/>
              <w:rPr>
                <w:szCs w:val="22"/>
                <w:lang w:eastAsia="en-US"/>
              </w:rPr>
            </w:pPr>
          </w:p>
        </w:tc>
        <w:tc>
          <w:tcPr>
            <w:tcW w:w="3555" w:type="dxa"/>
            <w:tcBorders>
              <w:top w:val="none" w:sz="6" w:space="0" w:color="auto"/>
              <w:left w:val="single" w:sz="4" w:space="0" w:color="000000"/>
              <w:bottom w:val="none" w:sz="6" w:space="0" w:color="auto"/>
              <w:right w:val="single" w:sz="4" w:space="0" w:color="000000"/>
            </w:tcBorders>
          </w:tcPr>
          <w:p w14:paraId="40D41363" w14:textId="77777777" w:rsidR="000C2C41" w:rsidRPr="008422C4" w:rsidRDefault="000C2C41" w:rsidP="0050037D">
            <w:pPr>
              <w:kinsoku w:val="0"/>
              <w:overflowPunct w:val="0"/>
              <w:autoSpaceDE w:val="0"/>
              <w:autoSpaceDN w:val="0"/>
              <w:adjustRightInd w:val="0"/>
              <w:spacing w:line="277" w:lineRule="exact"/>
              <w:ind w:left="103" w:firstLine="0"/>
              <w:rPr>
                <w:szCs w:val="22"/>
                <w:lang w:eastAsia="en-US"/>
              </w:rPr>
            </w:pPr>
            <w:r w:rsidRPr="008422C4">
              <w:rPr>
                <w:szCs w:val="22"/>
                <w:lang w:eastAsia="en-US"/>
              </w:rPr>
              <w:t>bazocelulárny karcinóm^</w:t>
            </w:r>
            <w:r w:rsidRPr="008422C4">
              <w:rPr>
                <w:position w:val="8"/>
                <w:szCs w:val="22"/>
                <w:lang w:eastAsia="en-US"/>
              </w:rPr>
              <w:t>,</w:t>
            </w:r>
            <w:r w:rsidRPr="008422C4">
              <w:rPr>
                <w:position w:val="9"/>
                <w:szCs w:val="22"/>
                <w:lang w:eastAsia="en-US"/>
              </w:rPr>
              <w:t>◊</w:t>
            </w:r>
            <w:r w:rsidRPr="008422C4">
              <w:rPr>
                <w:szCs w:val="22"/>
                <w:lang w:eastAsia="en-US"/>
              </w:rPr>
              <w:t>, syndróm</w:t>
            </w:r>
          </w:p>
        </w:tc>
      </w:tr>
      <w:tr w:rsidR="000C2C41" w:rsidRPr="003A5C41" w14:paraId="5D37AC5A" w14:textId="77777777" w:rsidTr="008422C4">
        <w:trPr>
          <w:trHeight w:hRule="exact" w:val="258"/>
        </w:trPr>
        <w:tc>
          <w:tcPr>
            <w:tcW w:w="2432" w:type="dxa"/>
            <w:tcBorders>
              <w:top w:val="none" w:sz="6" w:space="0" w:color="auto"/>
              <w:left w:val="single" w:sz="4" w:space="0" w:color="000000"/>
              <w:bottom w:val="single" w:sz="4" w:space="0" w:color="000000"/>
              <w:right w:val="single" w:sz="4" w:space="0" w:color="000000"/>
            </w:tcBorders>
          </w:tcPr>
          <w:p w14:paraId="35C9ADFE" w14:textId="77777777" w:rsidR="000C2C41" w:rsidRPr="008422C4" w:rsidRDefault="000C2C41" w:rsidP="000C2C41">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single" w:sz="4" w:space="0" w:color="000000"/>
              <w:right w:val="single" w:sz="4" w:space="0" w:color="000000"/>
            </w:tcBorders>
          </w:tcPr>
          <w:p w14:paraId="1524B22E" w14:textId="77777777" w:rsidR="000C2C41" w:rsidRPr="008422C4" w:rsidRDefault="000C2C41" w:rsidP="00BE011D">
            <w:pPr>
              <w:autoSpaceDE w:val="0"/>
              <w:autoSpaceDN w:val="0"/>
              <w:adjustRightInd w:val="0"/>
              <w:ind w:left="0" w:firstLine="0"/>
              <w:rPr>
                <w:szCs w:val="22"/>
                <w:lang w:eastAsia="en-US"/>
              </w:rPr>
            </w:pPr>
          </w:p>
        </w:tc>
        <w:tc>
          <w:tcPr>
            <w:tcW w:w="3555" w:type="dxa"/>
            <w:tcBorders>
              <w:top w:val="none" w:sz="6" w:space="0" w:color="auto"/>
              <w:left w:val="single" w:sz="4" w:space="0" w:color="000000"/>
              <w:bottom w:val="single" w:sz="4" w:space="0" w:color="000000"/>
              <w:right w:val="single" w:sz="4" w:space="0" w:color="000000"/>
            </w:tcBorders>
          </w:tcPr>
          <w:p w14:paraId="3BD45E6F" w14:textId="77777777" w:rsidR="000C2C41" w:rsidRPr="008422C4" w:rsidRDefault="000C2C41" w:rsidP="0050037D">
            <w:pPr>
              <w:kinsoku w:val="0"/>
              <w:overflowPunct w:val="0"/>
              <w:autoSpaceDE w:val="0"/>
              <w:autoSpaceDN w:val="0"/>
              <w:adjustRightInd w:val="0"/>
              <w:spacing w:line="250" w:lineRule="exact"/>
              <w:ind w:left="103" w:firstLine="0"/>
              <w:rPr>
                <w:szCs w:val="22"/>
                <w:lang w:eastAsia="en-US"/>
              </w:rPr>
            </w:pPr>
            <w:r w:rsidRPr="008422C4">
              <w:rPr>
                <w:szCs w:val="22"/>
                <w:lang w:eastAsia="en-US"/>
              </w:rPr>
              <w:t>z rozpadu nádoru</w:t>
            </w:r>
          </w:p>
        </w:tc>
      </w:tr>
      <w:tr w:rsidR="000C2C41" w:rsidRPr="003A5C41" w14:paraId="14DC21BE" w14:textId="77777777" w:rsidTr="0050037D">
        <w:trPr>
          <w:trHeight w:hRule="exact" w:val="527"/>
        </w:trPr>
        <w:tc>
          <w:tcPr>
            <w:tcW w:w="2432" w:type="dxa"/>
            <w:tcBorders>
              <w:top w:val="single" w:sz="4" w:space="0" w:color="000000"/>
              <w:left w:val="single" w:sz="4" w:space="0" w:color="000000"/>
              <w:bottom w:val="none" w:sz="6" w:space="0" w:color="auto"/>
              <w:right w:val="single" w:sz="4" w:space="0" w:color="000000"/>
            </w:tcBorders>
          </w:tcPr>
          <w:p w14:paraId="3BDBE558" w14:textId="77777777" w:rsidR="000C2C41" w:rsidRPr="008422C4" w:rsidRDefault="000C2C41" w:rsidP="0050037D">
            <w:pPr>
              <w:kinsoku w:val="0"/>
              <w:overflowPunct w:val="0"/>
              <w:autoSpaceDE w:val="0"/>
              <w:autoSpaceDN w:val="0"/>
              <w:adjustRightInd w:val="0"/>
              <w:spacing w:before="1"/>
              <w:ind w:left="103" w:right="264" w:firstLine="0"/>
              <w:rPr>
                <w:szCs w:val="22"/>
                <w:lang w:eastAsia="en-US"/>
              </w:rPr>
            </w:pPr>
            <w:r w:rsidRPr="008422C4">
              <w:rPr>
                <w:b/>
                <w:bCs/>
                <w:szCs w:val="22"/>
                <w:lang w:eastAsia="en-US"/>
              </w:rPr>
              <w:t>Poruchy krvi a lymfatického systému</w:t>
            </w:r>
          </w:p>
        </w:tc>
        <w:tc>
          <w:tcPr>
            <w:tcW w:w="3364" w:type="dxa"/>
            <w:tcBorders>
              <w:top w:val="single" w:sz="4" w:space="0" w:color="000000"/>
              <w:left w:val="single" w:sz="4" w:space="0" w:color="000000"/>
              <w:bottom w:val="none" w:sz="6" w:space="0" w:color="auto"/>
              <w:right w:val="single" w:sz="4" w:space="0" w:color="000000"/>
            </w:tcBorders>
          </w:tcPr>
          <w:p w14:paraId="7DFA22FA" w14:textId="77777777" w:rsidR="000C2C41" w:rsidRPr="008422C4" w:rsidRDefault="000C2C41" w:rsidP="0050037D">
            <w:pPr>
              <w:kinsoku w:val="0"/>
              <w:overflowPunct w:val="0"/>
              <w:autoSpaceDE w:val="0"/>
              <w:autoSpaceDN w:val="0"/>
              <w:adjustRightInd w:val="0"/>
              <w:spacing w:before="1" w:line="245" w:lineRule="exact"/>
              <w:ind w:left="103" w:firstLine="0"/>
              <w:rPr>
                <w:szCs w:val="22"/>
                <w:lang w:eastAsia="en-US"/>
              </w:rPr>
            </w:pPr>
            <w:r w:rsidRPr="008422C4">
              <w:rPr>
                <w:szCs w:val="22"/>
                <w:u w:val="single"/>
                <w:lang w:eastAsia="en-US"/>
              </w:rPr>
              <w:t>Veľmi časté</w:t>
            </w:r>
          </w:p>
          <w:p w14:paraId="001CD200" w14:textId="77777777" w:rsidR="000C2C41" w:rsidRPr="008422C4" w:rsidRDefault="000C2C41" w:rsidP="0050037D">
            <w:pPr>
              <w:kinsoku w:val="0"/>
              <w:overflowPunct w:val="0"/>
              <w:autoSpaceDE w:val="0"/>
              <w:autoSpaceDN w:val="0"/>
              <w:adjustRightInd w:val="0"/>
              <w:spacing w:line="279" w:lineRule="exact"/>
              <w:ind w:left="103" w:firstLine="0"/>
              <w:rPr>
                <w:szCs w:val="22"/>
                <w:lang w:eastAsia="en-US"/>
              </w:rPr>
            </w:pPr>
            <w:r w:rsidRPr="008422C4">
              <w:rPr>
                <w:szCs w:val="22"/>
                <w:lang w:eastAsia="en-US"/>
              </w:rPr>
              <w:t>Neutropénia^</w:t>
            </w:r>
            <w:r w:rsidRPr="008422C4">
              <w:rPr>
                <w:position w:val="9"/>
                <w:szCs w:val="22"/>
                <w:lang w:eastAsia="en-US"/>
              </w:rPr>
              <w:t>,◊</w:t>
            </w:r>
            <w:r w:rsidRPr="008422C4">
              <w:rPr>
                <w:szCs w:val="22"/>
                <w:lang w:eastAsia="en-US"/>
              </w:rPr>
              <w:t>,</w:t>
            </w:r>
          </w:p>
        </w:tc>
        <w:tc>
          <w:tcPr>
            <w:tcW w:w="3555" w:type="dxa"/>
            <w:tcBorders>
              <w:top w:val="single" w:sz="4" w:space="0" w:color="000000"/>
              <w:left w:val="single" w:sz="4" w:space="0" w:color="000000"/>
              <w:bottom w:val="none" w:sz="6" w:space="0" w:color="auto"/>
              <w:right w:val="single" w:sz="4" w:space="0" w:color="000000"/>
            </w:tcBorders>
          </w:tcPr>
          <w:p w14:paraId="6CB1032B" w14:textId="77777777" w:rsidR="000C2C41" w:rsidRPr="008422C4" w:rsidRDefault="000C2C41" w:rsidP="0050037D">
            <w:pPr>
              <w:kinsoku w:val="0"/>
              <w:overflowPunct w:val="0"/>
              <w:autoSpaceDE w:val="0"/>
              <w:autoSpaceDN w:val="0"/>
              <w:adjustRightInd w:val="0"/>
              <w:spacing w:before="1" w:line="245" w:lineRule="exact"/>
              <w:ind w:left="103" w:firstLine="0"/>
              <w:rPr>
                <w:szCs w:val="22"/>
                <w:lang w:eastAsia="en-US"/>
              </w:rPr>
            </w:pPr>
            <w:r w:rsidRPr="008422C4">
              <w:rPr>
                <w:szCs w:val="22"/>
                <w:u w:val="single"/>
                <w:lang w:eastAsia="en-US"/>
              </w:rPr>
              <w:t>Veľmi časté</w:t>
            </w:r>
          </w:p>
          <w:p w14:paraId="5DD3792A" w14:textId="77777777" w:rsidR="000C2C41" w:rsidRPr="008422C4" w:rsidRDefault="000C2C41" w:rsidP="0050037D">
            <w:pPr>
              <w:kinsoku w:val="0"/>
              <w:overflowPunct w:val="0"/>
              <w:autoSpaceDE w:val="0"/>
              <w:autoSpaceDN w:val="0"/>
              <w:adjustRightInd w:val="0"/>
              <w:spacing w:line="279" w:lineRule="exact"/>
              <w:ind w:left="103" w:firstLine="0"/>
              <w:rPr>
                <w:szCs w:val="22"/>
                <w:lang w:eastAsia="en-US"/>
              </w:rPr>
            </w:pPr>
            <w:r w:rsidRPr="008422C4">
              <w:rPr>
                <w:szCs w:val="22"/>
                <w:lang w:eastAsia="en-US"/>
              </w:rPr>
              <w:t>Neutropénia^</w:t>
            </w:r>
            <w:r w:rsidRPr="008422C4">
              <w:rPr>
                <w:position w:val="9"/>
                <w:szCs w:val="22"/>
                <w:lang w:eastAsia="en-US"/>
              </w:rPr>
              <w:t>,◊</w:t>
            </w:r>
            <w:r w:rsidRPr="008422C4">
              <w:rPr>
                <w:szCs w:val="22"/>
                <w:lang w:eastAsia="en-US"/>
              </w:rPr>
              <w:t>, trombocytopénia^</w:t>
            </w:r>
            <w:r w:rsidRPr="008422C4">
              <w:rPr>
                <w:position w:val="9"/>
                <w:szCs w:val="22"/>
                <w:lang w:eastAsia="en-US"/>
              </w:rPr>
              <w:t>,◊</w:t>
            </w:r>
            <w:r w:rsidRPr="008422C4">
              <w:rPr>
                <w:szCs w:val="22"/>
                <w:lang w:eastAsia="en-US"/>
              </w:rPr>
              <w:t>,</w:t>
            </w:r>
          </w:p>
        </w:tc>
      </w:tr>
      <w:tr w:rsidR="000C2C41" w:rsidRPr="003A5C41" w14:paraId="023B7BC0" w14:textId="77777777" w:rsidTr="0050037D">
        <w:trPr>
          <w:trHeight w:hRule="exact" w:val="285"/>
        </w:trPr>
        <w:tc>
          <w:tcPr>
            <w:tcW w:w="2432" w:type="dxa"/>
            <w:tcBorders>
              <w:top w:val="none" w:sz="6" w:space="0" w:color="auto"/>
              <w:left w:val="single" w:sz="4" w:space="0" w:color="000000"/>
              <w:bottom w:val="none" w:sz="6" w:space="0" w:color="auto"/>
              <w:right w:val="single" w:sz="4" w:space="0" w:color="000000"/>
            </w:tcBorders>
          </w:tcPr>
          <w:p w14:paraId="5C073590" w14:textId="77777777" w:rsidR="000C2C41" w:rsidRPr="008422C4" w:rsidRDefault="000C2C41" w:rsidP="00BE011D">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none" w:sz="6" w:space="0" w:color="auto"/>
              <w:right w:val="single" w:sz="4" w:space="0" w:color="000000"/>
            </w:tcBorders>
          </w:tcPr>
          <w:p w14:paraId="1B9EB05A" w14:textId="77777777" w:rsidR="000C2C41" w:rsidRPr="008422C4" w:rsidRDefault="000C2C41" w:rsidP="0050037D">
            <w:pPr>
              <w:kinsoku w:val="0"/>
              <w:overflowPunct w:val="0"/>
              <w:autoSpaceDE w:val="0"/>
              <w:autoSpaceDN w:val="0"/>
              <w:adjustRightInd w:val="0"/>
              <w:spacing w:line="279" w:lineRule="exact"/>
              <w:ind w:left="103" w:firstLine="0"/>
              <w:rPr>
                <w:szCs w:val="22"/>
                <w:lang w:eastAsia="en-US"/>
              </w:rPr>
            </w:pPr>
            <w:r w:rsidRPr="008422C4">
              <w:rPr>
                <w:szCs w:val="22"/>
                <w:lang w:eastAsia="en-US"/>
              </w:rPr>
              <w:t>trombocytopénia^</w:t>
            </w:r>
            <w:r w:rsidRPr="008422C4">
              <w:rPr>
                <w:position w:val="9"/>
                <w:szCs w:val="22"/>
                <w:lang w:eastAsia="en-US"/>
              </w:rPr>
              <w:t>,◊</w:t>
            </w:r>
            <w:r w:rsidRPr="008422C4">
              <w:rPr>
                <w:szCs w:val="22"/>
                <w:lang w:eastAsia="en-US"/>
              </w:rPr>
              <w:t>, anémia</w:t>
            </w:r>
            <w:r w:rsidRPr="008422C4">
              <w:rPr>
                <w:position w:val="9"/>
                <w:szCs w:val="22"/>
                <w:lang w:eastAsia="en-US"/>
              </w:rPr>
              <w:t>◊</w:t>
            </w:r>
            <w:r w:rsidRPr="008422C4">
              <w:rPr>
                <w:szCs w:val="22"/>
                <w:lang w:eastAsia="en-US"/>
              </w:rPr>
              <w:t>,</w:t>
            </w:r>
          </w:p>
        </w:tc>
        <w:tc>
          <w:tcPr>
            <w:tcW w:w="3555" w:type="dxa"/>
            <w:tcBorders>
              <w:top w:val="none" w:sz="6" w:space="0" w:color="auto"/>
              <w:left w:val="single" w:sz="4" w:space="0" w:color="000000"/>
              <w:bottom w:val="none" w:sz="6" w:space="0" w:color="auto"/>
              <w:right w:val="single" w:sz="4" w:space="0" w:color="000000"/>
            </w:tcBorders>
          </w:tcPr>
          <w:p w14:paraId="31E03AC6" w14:textId="77777777" w:rsidR="000C2C41" w:rsidRPr="008422C4" w:rsidRDefault="000C2C41" w:rsidP="0050037D">
            <w:pPr>
              <w:kinsoku w:val="0"/>
              <w:overflowPunct w:val="0"/>
              <w:autoSpaceDE w:val="0"/>
              <w:autoSpaceDN w:val="0"/>
              <w:adjustRightInd w:val="0"/>
              <w:spacing w:line="279" w:lineRule="exact"/>
              <w:ind w:left="103" w:firstLine="0"/>
              <w:rPr>
                <w:szCs w:val="22"/>
                <w:lang w:eastAsia="en-US"/>
              </w:rPr>
            </w:pPr>
            <w:r w:rsidRPr="008422C4">
              <w:rPr>
                <w:szCs w:val="22"/>
                <w:lang w:eastAsia="en-US"/>
              </w:rPr>
              <w:t>anémia</w:t>
            </w:r>
            <w:r w:rsidRPr="008422C4">
              <w:rPr>
                <w:position w:val="9"/>
                <w:szCs w:val="22"/>
                <w:lang w:eastAsia="en-US"/>
              </w:rPr>
              <w:t>◊</w:t>
            </w:r>
            <w:r w:rsidRPr="008422C4">
              <w:rPr>
                <w:szCs w:val="22"/>
                <w:lang w:eastAsia="en-US"/>
              </w:rPr>
              <w:t>, leukopénie</w:t>
            </w:r>
          </w:p>
        </w:tc>
      </w:tr>
      <w:tr w:rsidR="000C2C41" w:rsidRPr="003A5C41" w14:paraId="14A34DD3" w14:textId="77777777" w:rsidTr="0050037D">
        <w:trPr>
          <w:trHeight w:hRule="exact" w:val="266"/>
        </w:trPr>
        <w:tc>
          <w:tcPr>
            <w:tcW w:w="2432" w:type="dxa"/>
            <w:tcBorders>
              <w:top w:val="none" w:sz="6" w:space="0" w:color="auto"/>
              <w:left w:val="single" w:sz="4" w:space="0" w:color="000000"/>
              <w:bottom w:val="none" w:sz="6" w:space="0" w:color="auto"/>
              <w:right w:val="single" w:sz="4" w:space="0" w:color="000000"/>
            </w:tcBorders>
          </w:tcPr>
          <w:p w14:paraId="3F07229B" w14:textId="77777777" w:rsidR="000C2C41" w:rsidRPr="008422C4" w:rsidRDefault="000C2C41" w:rsidP="00BE011D">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none" w:sz="6" w:space="0" w:color="auto"/>
              <w:right w:val="single" w:sz="4" w:space="0" w:color="000000"/>
            </w:tcBorders>
          </w:tcPr>
          <w:p w14:paraId="0FC77472" w14:textId="77777777" w:rsidR="000C2C41" w:rsidRPr="008422C4" w:rsidRDefault="000C2C41" w:rsidP="0050037D">
            <w:pPr>
              <w:kinsoku w:val="0"/>
              <w:overflowPunct w:val="0"/>
              <w:autoSpaceDE w:val="0"/>
              <w:autoSpaceDN w:val="0"/>
              <w:adjustRightInd w:val="0"/>
              <w:spacing w:line="250" w:lineRule="exact"/>
              <w:ind w:left="103" w:firstLine="0"/>
              <w:rPr>
                <w:szCs w:val="22"/>
                <w:lang w:eastAsia="en-US"/>
              </w:rPr>
            </w:pPr>
            <w:r w:rsidRPr="008422C4">
              <w:rPr>
                <w:szCs w:val="22"/>
                <w:lang w:eastAsia="en-US"/>
              </w:rPr>
              <w:t>hemoragická porucha^, leukopénie</w:t>
            </w:r>
          </w:p>
        </w:tc>
        <w:tc>
          <w:tcPr>
            <w:tcW w:w="3555" w:type="dxa"/>
            <w:tcBorders>
              <w:top w:val="none" w:sz="6" w:space="0" w:color="auto"/>
              <w:left w:val="single" w:sz="4" w:space="0" w:color="000000"/>
              <w:bottom w:val="none" w:sz="6" w:space="0" w:color="auto"/>
              <w:right w:val="single" w:sz="4" w:space="0" w:color="000000"/>
            </w:tcBorders>
          </w:tcPr>
          <w:p w14:paraId="71CB059D" w14:textId="77777777" w:rsidR="000C2C41" w:rsidRPr="008422C4" w:rsidRDefault="000C2C41" w:rsidP="00BE011D">
            <w:pPr>
              <w:autoSpaceDE w:val="0"/>
              <w:autoSpaceDN w:val="0"/>
              <w:adjustRightInd w:val="0"/>
              <w:ind w:left="0" w:firstLine="0"/>
              <w:rPr>
                <w:szCs w:val="22"/>
                <w:lang w:eastAsia="en-US"/>
              </w:rPr>
            </w:pPr>
          </w:p>
        </w:tc>
      </w:tr>
      <w:tr w:rsidR="000C2C41" w:rsidRPr="003A5C41" w14:paraId="76FAF335" w14:textId="77777777" w:rsidTr="008422C4">
        <w:trPr>
          <w:trHeight w:hRule="exact" w:val="255"/>
        </w:trPr>
        <w:tc>
          <w:tcPr>
            <w:tcW w:w="2432" w:type="dxa"/>
            <w:tcBorders>
              <w:top w:val="none" w:sz="6" w:space="0" w:color="auto"/>
              <w:left w:val="single" w:sz="4" w:space="0" w:color="000000"/>
              <w:bottom w:val="none" w:sz="6" w:space="0" w:color="auto"/>
              <w:right w:val="single" w:sz="4" w:space="0" w:color="000000"/>
            </w:tcBorders>
          </w:tcPr>
          <w:p w14:paraId="57ED5FCF" w14:textId="77777777" w:rsidR="000C2C41" w:rsidRPr="008422C4" w:rsidRDefault="000C2C41" w:rsidP="000C2C41">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none" w:sz="6" w:space="0" w:color="auto"/>
              <w:right w:val="single" w:sz="4" w:space="0" w:color="000000"/>
            </w:tcBorders>
          </w:tcPr>
          <w:p w14:paraId="48815EF7" w14:textId="77777777" w:rsidR="000C2C41" w:rsidRPr="008422C4" w:rsidRDefault="000C2C41" w:rsidP="00BE011D">
            <w:pPr>
              <w:autoSpaceDE w:val="0"/>
              <w:autoSpaceDN w:val="0"/>
              <w:adjustRightInd w:val="0"/>
              <w:ind w:left="0" w:firstLine="0"/>
              <w:rPr>
                <w:szCs w:val="22"/>
                <w:lang w:eastAsia="en-US"/>
              </w:rPr>
            </w:pPr>
          </w:p>
        </w:tc>
        <w:tc>
          <w:tcPr>
            <w:tcW w:w="3555" w:type="dxa"/>
            <w:tcBorders>
              <w:top w:val="none" w:sz="6" w:space="0" w:color="auto"/>
              <w:left w:val="single" w:sz="4" w:space="0" w:color="000000"/>
              <w:bottom w:val="none" w:sz="6" w:space="0" w:color="auto"/>
              <w:right w:val="single" w:sz="4" w:space="0" w:color="000000"/>
            </w:tcBorders>
          </w:tcPr>
          <w:p w14:paraId="2625109C" w14:textId="77777777" w:rsidR="000C2C41" w:rsidRPr="008422C4" w:rsidRDefault="000C2C41" w:rsidP="000C2C41">
            <w:pPr>
              <w:kinsoku w:val="0"/>
              <w:overflowPunct w:val="0"/>
              <w:autoSpaceDE w:val="0"/>
              <w:autoSpaceDN w:val="0"/>
              <w:adjustRightInd w:val="0"/>
              <w:spacing w:before="7"/>
              <w:ind w:left="103" w:firstLine="0"/>
              <w:rPr>
                <w:szCs w:val="22"/>
                <w:lang w:eastAsia="en-US"/>
              </w:rPr>
            </w:pPr>
            <w:r w:rsidRPr="008422C4">
              <w:rPr>
                <w:szCs w:val="22"/>
                <w:u w:val="single"/>
                <w:lang w:eastAsia="en-US"/>
              </w:rPr>
              <w:t>Časté</w:t>
            </w:r>
          </w:p>
        </w:tc>
      </w:tr>
      <w:tr w:rsidR="000C2C41" w:rsidRPr="003A5C41" w14:paraId="69A1A6F9" w14:textId="77777777" w:rsidTr="0050037D">
        <w:trPr>
          <w:trHeight w:hRule="exact" w:val="824"/>
        </w:trPr>
        <w:tc>
          <w:tcPr>
            <w:tcW w:w="2432" w:type="dxa"/>
            <w:tcBorders>
              <w:top w:val="none" w:sz="6" w:space="0" w:color="auto"/>
              <w:left w:val="single" w:sz="4" w:space="0" w:color="000000"/>
              <w:bottom w:val="none" w:sz="6" w:space="0" w:color="auto"/>
              <w:right w:val="single" w:sz="4" w:space="0" w:color="000000"/>
            </w:tcBorders>
          </w:tcPr>
          <w:p w14:paraId="14511D7C" w14:textId="77777777" w:rsidR="000C2C41" w:rsidRPr="008422C4" w:rsidRDefault="000C2C41" w:rsidP="000C2C41">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none" w:sz="6" w:space="0" w:color="auto"/>
              <w:right w:val="single" w:sz="4" w:space="0" w:color="000000"/>
            </w:tcBorders>
          </w:tcPr>
          <w:p w14:paraId="06E4E0D0" w14:textId="77777777" w:rsidR="000C2C41" w:rsidRPr="008422C4" w:rsidRDefault="000C2C41" w:rsidP="0050037D">
            <w:pPr>
              <w:kinsoku w:val="0"/>
              <w:overflowPunct w:val="0"/>
              <w:autoSpaceDE w:val="0"/>
              <w:autoSpaceDN w:val="0"/>
              <w:adjustRightInd w:val="0"/>
              <w:spacing w:before="4" w:line="246" w:lineRule="exact"/>
              <w:ind w:left="103" w:firstLine="0"/>
              <w:rPr>
                <w:szCs w:val="22"/>
                <w:lang w:eastAsia="en-US"/>
              </w:rPr>
            </w:pPr>
            <w:r w:rsidRPr="008422C4">
              <w:rPr>
                <w:szCs w:val="22"/>
                <w:u w:val="single"/>
                <w:lang w:eastAsia="en-US"/>
              </w:rPr>
              <w:t>Časté</w:t>
            </w:r>
          </w:p>
          <w:p w14:paraId="159138F9" w14:textId="77777777" w:rsidR="000C2C41" w:rsidRPr="008422C4" w:rsidRDefault="000C2C41" w:rsidP="0050037D">
            <w:pPr>
              <w:kinsoku w:val="0"/>
              <w:overflowPunct w:val="0"/>
              <w:autoSpaceDE w:val="0"/>
              <w:autoSpaceDN w:val="0"/>
              <w:adjustRightInd w:val="0"/>
              <w:spacing w:before="11" w:line="276" w:lineRule="exact"/>
              <w:ind w:left="103" w:right="1133" w:firstLine="0"/>
              <w:rPr>
                <w:szCs w:val="22"/>
                <w:lang w:eastAsia="en-US"/>
              </w:rPr>
            </w:pPr>
            <w:r w:rsidRPr="008422C4">
              <w:rPr>
                <w:szCs w:val="22"/>
                <w:lang w:eastAsia="en-US"/>
              </w:rPr>
              <w:t>Febrilná neutropénia^</w:t>
            </w:r>
            <w:r w:rsidRPr="008422C4">
              <w:rPr>
                <w:position w:val="8"/>
                <w:szCs w:val="22"/>
                <w:lang w:eastAsia="en-US"/>
              </w:rPr>
              <w:t>,</w:t>
            </w:r>
            <w:r w:rsidRPr="008422C4">
              <w:rPr>
                <w:position w:val="9"/>
                <w:szCs w:val="22"/>
                <w:lang w:eastAsia="en-US"/>
              </w:rPr>
              <w:t>◊</w:t>
            </w:r>
            <w:r w:rsidRPr="008422C4">
              <w:rPr>
                <w:szCs w:val="22"/>
                <w:lang w:eastAsia="en-US"/>
              </w:rPr>
              <w:t>, pancytopénia</w:t>
            </w:r>
            <w:r w:rsidRPr="008422C4">
              <w:rPr>
                <w:position w:val="9"/>
                <w:szCs w:val="22"/>
                <w:lang w:eastAsia="en-US"/>
              </w:rPr>
              <w:t>◊</w:t>
            </w:r>
          </w:p>
        </w:tc>
        <w:tc>
          <w:tcPr>
            <w:tcW w:w="3555" w:type="dxa"/>
            <w:tcBorders>
              <w:top w:val="none" w:sz="6" w:space="0" w:color="auto"/>
              <w:left w:val="single" w:sz="4" w:space="0" w:color="000000"/>
              <w:bottom w:val="none" w:sz="6" w:space="0" w:color="auto"/>
              <w:right w:val="single" w:sz="4" w:space="0" w:color="000000"/>
            </w:tcBorders>
          </w:tcPr>
          <w:p w14:paraId="7F435EC7" w14:textId="77777777" w:rsidR="000C2C41" w:rsidRDefault="000C2C41" w:rsidP="0050037D">
            <w:pPr>
              <w:kinsoku w:val="0"/>
              <w:overflowPunct w:val="0"/>
              <w:autoSpaceDE w:val="0"/>
              <w:autoSpaceDN w:val="0"/>
              <w:adjustRightInd w:val="0"/>
              <w:spacing w:before="8" w:line="276" w:lineRule="exact"/>
              <w:ind w:left="103" w:right="282" w:firstLine="0"/>
              <w:rPr>
                <w:szCs w:val="22"/>
                <w:lang w:eastAsia="en-US"/>
              </w:rPr>
            </w:pPr>
            <w:r w:rsidRPr="008422C4">
              <w:rPr>
                <w:szCs w:val="22"/>
                <w:lang w:eastAsia="en-US"/>
              </w:rPr>
              <w:t>Febrilná neutropénia^</w:t>
            </w:r>
            <w:r w:rsidRPr="008422C4">
              <w:rPr>
                <w:position w:val="9"/>
                <w:szCs w:val="22"/>
                <w:lang w:eastAsia="en-US"/>
              </w:rPr>
              <w:t>,◊</w:t>
            </w:r>
            <w:r w:rsidRPr="008422C4">
              <w:rPr>
                <w:szCs w:val="22"/>
                <w:lang w:eastAsia="en-US"/>
              </w:rPr>
              <w:t>, pancytopénia</w:t>
            </w:r>
            <w:r w:rsidRPr="008422C4">
              <w:rPr>
                <w:position w:val="9"/>
                <w:szCs w:val="22"/>
                <w:lang w:eastAsia="en-US"/>
              </w:rPr>
              <w:t>◊</w:t>
            </w:r>
            <w:r w:rsidRPr="008422C4">
              <w:rPr>
                <w:szCs w:val="22"/>
                <w:lang w:eastAsia="en-US"/>
              </w:rPr>
              <w:t>, hemolytická anémia</w:t>
            </w:r>
          </w:p>
          <w:p w14:paraId="5697EC95" w14:textId="77777777" w:rsidR="008422C4" w:rsidRDefault="008422C4" w:rsidP="000C2C41">
            <w:pPr>
              <w:kinsoku w:val="0"/>
              <w:overflowPunct w:val="0"/>
              <w:autoSpaceDE w:val="0"/>
              <w:autoSpaceDN w:val="0"/>
              <w:adjustRightInd w:val="0"/>
              <w:spacing w:before="8" w:line="276" w:lineRule="exact"/>
              <w:ind w:left="103" w:right="282" w:firstLine="0"/>
              <w:rPr>
                <w:szCs w:val="22"/>
                <w:lang w:eastAsia="en-US"/>
              </w:rPr>
            </w:pPr>
          </w:p>
          <w:p w14:paraId="1D5BE660" w14:textId="77777777" w:rsidR="008422C4" w:rsidRPr="008422C4" w:rsidRDefault="008422C4" w:rsidP="000C2C41">
            <w:pPr>
              <w:kinsoku w:val="0"/>
              <w:overflowPunct w:val="0"/>
              <w:autoSpaceDE w:val="0"/>
              <w:autoSpaceDN w:val="0"/>
              <w:adjustRightInd w:val="0"/>
              <w:spacing w:before="8" w:line="276" w:lineRule="exact"/>
              <w:ind w:left="103" w:right="282" w:firstLine="0"/>
              <w:rPr>
                <w:szCs w:val="22"/>
                <w:lang w:eastAsia="en-US"/>
              </w:rPr>
            </w:pPr>
          </w:p>
        </w:tc>
      </w:tr>
      <w:tr w:rsidR="000C2C41" w:rsidRPr="003A5C41" w14:paraId="76A92416" w14:textId="77777777" w:rsidTr="008422C4">
        <w:trPr>
          <w:trHeight w:hRule="exact" w:val="266"/>
        </w:trPr>
        <w:tc>
          <w:tcPr>
            <w:tcW w:w="2432" w:type="dxa"/>
            <w:tcBorders>
              <w:top w:val="none" w:sz="6" w:space="0" w:color="auto"/>
              <w:left w:val="single" w:sz="4" w:space="0" w:color="000000"/>
              <w:bottom w:val="none" w:sz="6" w:space="0" w:color="auto"/>
              <w:right w:val="single" w:sz="4" w:space="0" w:color="000000"/>
            </w:tcBorders>
          </w:tcPr>
          <w:p w14:paraId="798F7DD6" w14:textId="77777777" w:rsidR="000C2C41" w:rsidRPr="008422C4" w:rsidRDefault="000C2C41" w:rsidP="000C2C41">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none" w:sz="6" w:space="0" w:color="auto"/>
              <w:right w:val="single" w:sz="4" w:space="0" w:color="000000"/>
            </w:tcBorders>
          </w:tcPr>
          <w:p w14:paraId="10DB83B7" w14:textId="77777777" w:rsidR="000C2C41" w:rsidRPr="008422C4" w:rsidRDefault="000C2C41" w:rsidP="000C2C41">
            <w:pPr>
              <w:autoSpaceDE w:val="0"/>
              <w:autoSpaceDN w:val="0"/>
              <w:adjustRightInd w:val="0"/>
              <w:ind w:left="0" w:firstLine="0"/>
              <w:rPr>
                <w:szCs w:val="22"/>
                <w:lang w:eastAsia="en-US"/>
              </w:rPr>
            </w:pPr>
          </w:p>
        </w:tc>
        <w:tc>
          <w:tcPr>
            <w:tcW w:w="3555" w:type="dxa"/>
            <w:tcBorders>
              <w:top w:val="none" w:sz="6" w:space="0" w:color="auto"/>
              <w:left w:val="single" w:sz="4" w:space="0" w:color="000000"/>
              <w:bottom w:val="none" w:sz="6" w:space="0" w:color="auto"/>
              <w:right w:val="single" w:sz="4" w:space="0" w:color="000000"/>
            </w:tcBorders>
          </w:tcPr>
          <w:p w14:paraId="5058B874" w14:textId="77777777" w:rsidR="000C2C41" w:rsidRPr="008422C4" w:rsidRDefault="000C2C41" w:rsidP="000C2C41">
            <w:pPr>
              <w:kinsoku w:val="0"/>
              <w:overflowPunct w:val="0"/>
              <w:autoSpaceDE w:val="0"/>
              <w:autoSpaceDN w:val="0"/>
              <w:adjustRightInd w:val="0"/>
              <w:spacing w:before="8"/>
              <w:ind w:left="103" w:firstLine="0"/>
              <w:rPr>
                <w:szCs w:val="22"/>
                <w:lang w:eastAsia="en-US"/>
              </w:rPr>
            </w:pPr>
            <w:r w:rsidRPr="008422C4">
              <w:rPr>
                <w:szCs w:val="22"/>
                <w:u w:val="single"/>
                <w:lang w:eastAsia="en-US"/>
              </w:rPr>
              <w:t>Menej časté</w:t>
            </w:r>
          </w:p>
        </w:tc>
      </w:tr>
      <w:tr w:rsidR="000C2C41" w:rsidRPr="003A5C41" w14:paraId="0BA2E5D8" w14:textId="77777777" w:rsidTr="008422C4">
        <w:trPr>
          <w:trHeight w:hRule="exact" w:val="253"/>
        </w:trPr>
        <w:tc>
          <w:tcPr>
            <w:tcW w:w="2432" w:type="dxa"/>
            <w:tcBorders>
              <w:top w:val="none" w:sz="6" w:space="0" w:color="auto"/>
              <w:left w:val="single" w:sz="4" w:space="0" w:color="000000"/>
              <w:bottom w:val="none" w:sz="6" w:space="0" w:color="auto"/>
              <w:right w:val="single" w:sz="4" w:space="0" w:color="000000"/>
            </w:tcBorders>
          </w:tcPr>
          <w:p w14:paraId="51DA5A0D" w14:textId="77777777" w:rsidR="000C2C41" w:rsidRPr="008422C4" w:rsidRDefault="000C2C41" w:rsidP="000C2C41">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none" w:sz="6" w:space="0" w:color="auto"/>
              <w:right w:val="single" w:sz="4" w:space="0" w:color="000000"/>
            </w:tcBorders>
          </w:tcPr>
          <w:p w14:paraId="40BD7A84" w14:textId="77777777" w:rsidR="000C2C41" w:rsidRPr="008422C4" w:rsidRDefault="000C2C41" w:rsidP="000C2C41">
            <w:pPr>
              <w:kinsoku w:val="0"/>
              <w:overflowPunct w:val="0"/>
              <w:autoSpaceDE w:val="0"/>
              <w:autoSpaceDN w:val="0"/>
              <w:adjustRightInd w:val="0"/>
              <w:spacing w:line="249" w:lineRule="exact"/>
              <w:ind w:left="103" w:firstLine="0"/>
              <w:rPr>
                <w:szCs w:val="22"/>
                <w:lang w:eastAsia="en-US"/>
              </w:rPr>
            </w:pPr>
            <w:r w:rsidRPr="008422C4">
              <w:rPr>
                <w:szCs w:val="22"/>
                <w:u w:val="single"/>
                <w:lang w:eastAsia="en-US"/>
              </w:rPr>
              <w:t>Menej časté</w:t>
            </w:r>
          </w:p>
        </w:tc>
        <w:tc>
          <w:tcPr>
            <w:tcW w:w="3555" w:type="dxa"/>
            <w:tcBorders>
              <w:top w:val="none" w:sz="6" w:space="0" w:color="auto"/>
              <w:left w:val="single" w:sz="4" w:space="0" w:color="000000"/>
              <w:bottom w:val="none" w:sz="6" w:space="0" w:color="auto"/>
              <w:right w:val="single" w:sz="4" w:space="0" w:color="000000"/>
            </w:tcBorders>
          </w:tcPr>
          <w:p w14:paraId="4011F2F8" w14:textId="77777777" w:rsidR="000C2C41" w:rsidRPr="008422C4" w:rsidRDefault="000C2C41" w:rsidP="000C2C41">
            <w:pPr>
              <w:kinsoku w:val="0"/>
              <w:overflowPunct w:val="0"/>
              <w:autoSpaceDE w:val="0"/>
              <w:autoSpaceDN w:val="0"/>
              <w:adjustRightInd w:val="0"/>
              <w:spacing w:line="249" w:lineRule="exact"/>
              <w:ind w:left="103" w:firstLine="0"/>
              <w:rPr>
                <w:szCs w:val="22"/>
                <w:lang w:eastAsia="en-US"/>
              </w:rPr>
            </w:pPr>
            <w:r w:rsidRPr="008422C4">
              <w:rPr>
                <w:szCs w:val="22"/>
                <w:lang w:eastAsia="en-US"/>
              </w:rPr>
              <w:t>Hyperkoagulácia, koagulopatia</w:t>
            </w:r>
          </w:p>
        </w:tc>
      </w:tr>
      <w:tr w:rsidR="000C2C41" w:rsidRPr="003A5C41" w14:paraId="7F98DBF7" w14:textId="77777777" w:rsidTr="008422C4">
        <w:trPr>
          <w:trHeight w:hRule="exact" w:val="253"/>
        </w:trPr>
        <w:tc>
          <w:tcPr>
            <w:tcW w:w="2432" w:type="dxa"/>
            <w:tcBorders>
              <w:top w:val="none" w:sz="6" w:space="0" w:color="auto"/>
              <w:left w:val="single" w:sz="4" w:space="0" w:color="000000"/>
              <w:bottom w:val="none" w:sz="6" w:space="0" w:color="auto"/>
              <w:right w:val="single" w:sz="4" w:space="0" w:color="000000"/>
            </w:tcBorders>
          </w:tcPr>
          <w:p w14:paraId="03584978" w14:textId="77777777" w:rsidR="000C2C41" w:rsidRPr="008422C4" w:rsidRDefault="000C2C41" w:rsidP="000C2C41">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none" w:sz="6" w:space="0" w:color="auto"/>
              <w:right w:val="single" w:sz="4" w:space="0" w:color="000000"/>
            </w:tcBorders>
          </w:tcPr>
          <w:p w14:paraId="6D072455" w14:textId="77777777" w:rsidR="000C2C41" w:rsidRPr="008422C4" w:rsidRDefault="000C2C41" w:rsidP="000C2C41">
            <w:pPr>
              <w:kinsoku w:val="0"/>
              <w:overflowPunct w:val="0"/>
              <w:autoSpaceDE w:val="0"/>
              <w:autoSpaceDN w:val="0"/>
              <w:adjustRightInd w:val="0"/>
              <w:spacing w:line="248" w:lineRule="exact"/>
              <w:ind w:left="103" w:firstLine="0"/>
              <w:rPr>
                <w:szCs w:val="22"/>
                <w:lang w:eastAsia="en-US"/>
              </w:rPr>
            </w:pPr>
            <w:r w:rsidRPr="008422C4">
              <w:rPr>
                <w:szCs w:val="22"/>
                <w:lang w:eastAsia="en-US"/>
              </w:rPr>
              <w:t>Hemolýza, autoimunitná</w:t>
            </w:r>
          </w:p>
        </w:tc>
        <w:tc>
          <w:tcPr>
            <w:tcW w:w="3555" w:type="dxa"/>
            <w:tcBorders>
              <w:top w:val="none" w:sz="6" w:space="0" w:color="auto"/>
              <w:left w:val="single" w:sz="4" w:space="0" w:color="000000"/>
              <w:bottom w:val="none" w:sz="6" w:space="0" w:color="auto"/>
              <w:right w:val="single" w:sz="4" w:space="0" w:color="000000"/>
            </w:tcBorders>
          </w:tcPr>
          <w:p w14:paraId="4609C35F" w14:textId="77777777" w:rsidR="000C2C41" w:rsidRPr="008422C4" w:rsidRDefault="000C2C41" w:rsidP="000C2C41">
            <w:pPr>
              <w:autoSpaceDE w:val="0"/>
              <w:autoSpaceDN w:val="0"/>
              <w:adjustRightInd w:val="0"/>
              <w:ind w:left="0" w:firstLine="0"/>
              <w:rPr>
                <w:szCs w:val="22"/>
                <w:lang w:eastAsia="en-US"/>
              </w:rPr>
            </w:pPr>
          </w:p>
        </w:tc>
      </w:tr>
      <w:tr w:rsidR="000C2C41" w:rsidRPr="003A5C41" w14:paraId="76B6F158" w14:textId="77777777" w:rsidTr="008422C4">
        <w:trPr>
          <w:trHeight w:hRule="exact" w:val="253"/>
        </w:trPr>
        <w:tc>
          <w:tcPr>
            <w:tcW w:w="2432" w:type="dxa"/>
            <w:tcBorders>
              <w:top w:val="none" w:sz="6" w:space="0" w:color="auto"/>
              <w:left w:val="single" w:sz="4" w:space="0" w:color="000000"/>
              <w:bottom w:val="none" w:sz="6" w:space="0" w:color="auto"/>
              <w:right w:val="single" w:sz="4" w:space="0" w:color="000000"/>
            </w:tcBorders>
          </w:tcPr>
          <w:p w14:paraId="263B855F" w14:textId="77777777" w:rsidR="000C2C41" w:rsidRPr="008422C4" w:rsidRDefault="000C2C41" w:rsidP="000C2C41">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none" w:sz="6" w:space="0" w:color="auto"/>
              <w:right w:val="single" w:sz="4" w:space="0" w:color="000000"/>
            </w:tcBorders>
          </w:tcPr>
          <w:p w14:paraId="5478640E" w14:textId="77777777" w:rsidR="000C2C41" w:rsidRPr="008422C4" w:rsidRDefault="000C2C41" w:rsidP="000C2C41">
            <w:pPr>
              <w:kinsoku w:val="0"/>
              <w:overflowPunct w:val="0"/>
              <w:autoSpaceDE w:val="0"/>
              <w:autoSpaceDN w:val="0"/>
              <w:adjustRightInd w:val="0"/>
              <w:spacing w:line="249" w:lineRule="exact"/>
              <w:ind w:left="103" w:firstLine="0"/>
              <w:rPr>
                <w:szCs w:val="22"/>
                <w:lang w:eastAsia="en-US"/>
              </w:rPr>
            </w:pPr>
            <w:r w:rsidRPr="008422C4">
              <w:rPr>
                <w:szCs w:val="22"/>
                <w:lang w:eastAsia="en-US"/>
              </w:rPr>
              <w:t>hemolytická anémia, hemolytická</w:t>
            </w:r>
          </w:p>
        </w:tc>
        <w:tc>
          <w:tcPr>
            <w:tcW w:w="3555" w:type="dxa"/>
            <w:tcBorders>
              <w:top w:val="none" w:sz="6" w:space="0" w:color="auto"/>
              <w:left w:val="single" w:sz="4" w:space="0" w:color="000000"/>
              <w:bottom w:val="none" w:sz="6" w:space="0" w:color="auto"/>
              <w:right w:val="single" w:sz="4" w:space="0" w:color="000000"/>
            </w:tcBorders>
          </w:tcPr>
          <w:p w14:paraId="29A33F0F" w14:textId="77777777" w:rsidR="000C2C41" w:rsidRPr="008422C4" w:rsidRDefault="000C2C41" w:rsidP="000C2C41">
            <w:pPr>
              <w:autoSpaceDE w:val="0"/>
              <w:autoSpaceDN w:val="0"/>
              <w:adjustRightInd w:val="0"/>
              <w:ind w:left="0" w:firstLine="0"/>
              <w:rPr>
                <w:szCs w:val="22"/>
                <w:lang w:eastAsia="en-US"/>
              </w:rPr>
            </w:pPr>
          </w:p>
        </w:tc>
      </w:tr>
      <w:tr w:rsidR="000C2C41" w:rsidRPr="003A5C41" w14:paraId="01BF3964" w14:textId="77777777" w:rsidTr="008422C4">
        <w:trPr>
          <w:trHeight w:hRule="exact" w:val="253"/>
        </w:trPr>
        <w:tc>
          <w:tcPr>
            <w:tcW w:w="2432" w:type="dxa"/>
            <w:tcBorders>
              <w:top w:val="none" w:sz="6" w:space="0" w:color="auto"/>
              <w:left w:val="single" w:sz="4" w:space="0" w:color="000000"/>
              <w:bottom w:val="single" w:sz="4" w:space="0" w:color="000000"/>
              <w:right w:val="single" w:sz="4" w:space="0" w:color="000000"/>
            </w:tcBorders>
          </w:tcPr>
          <w:p w14:paraId="6355C76F" w14:textId="77777777" w:rsidR="000C2C41" w:rsidRPr="008422C4" w:rsidRDefault="000C2C41" w:rsidP="000C2C41">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single" w:sz="4" w:space="0" w:color="000000"/>
              <w:right w:val="single" w:sz="4" w:space="0" w:color="000000"/>
            </w:tcBorders>
          </w:tcPr>
          <w:p w14:paraId="6CD0E0F0" w14:textId="77777777" w:rsidR="000C2C41" w:rsidRPr="008422C4" w:rsidRDefault="000C2C41" w:rsidP="000C2C41">
            <w:pPr>
              <w:kinsoku w:val="0"/>
              <w:overflowPunct w:val="0"/>
              <w:autoSpaceDE w:val="0"/>
              <w:autoSpaceDN w:val="0"/>
              <w:adjustRightInd w:val="0"/>
              <w:spacing w:line="248" w:lineRule="exact"/>
              <w:ind w:left="103" w:firstLine="0"/>
              <w:rPr>
                <w:szCs w:val="22"/>
                <w:lang w:eastAsia="en-US"/>
              </w:rPr>
            </w:pPr>
            <w:r w:rsidRPr="008422C4">
              <w:rPr>
                <w:szCs w:val="22"/>
                <w:lang w:eastAsia="en-US"/>
              </w:rPr>
              <w:t>anémia</w:t>
            </w:r>
          </w:p>
        </w:tc>
        <w:tc>
          <w:tcPr>
            <w:tcW w:w="3555" w:type="dxa"/>
            <w:tcBorders>
              <w:top w:val="none" w:sz="6" w:space="0" w:color="auto"/>
              <w:left w:val="single" w:sz="4" w:space="0" w:color="000000"/>
              <w:bottom w:val="single" w:sz="4" w:space="0" w:color="000000"/>
              <w:right w:val="single" w:sz="4" w:space="0" w:color="000000"/>
            </w:tcBorders>
          </w:tcPr>
          <w:p w14:paraId="24523B72" w14:textId="77777777" w:rsidR="000C2C41" w:rsidRPr="008422C4" w:rsidRDefault="000C2C41" w:rsidP="000C2C41">
            <w:pPr>
              <w:autoSpaceDE w:val="0"/>
              <w:autoSpaceDN w:val="0"/>
              <w:adjustRightInd w:val="0"/>
              <w:ind w:left="0" w:firstLine="0"/>
              <w:rPr>
                <w:szCs w:val="22"/>
                <w:lang w:eastAsia="en-US"/>
              </w:rPr>
            </w:pPr>
          </w:p>
        </w:tc>
      </w:tr>
      <w:tr w:rsidR="000C2C41" w:rsidRPr="003A5C41" w14:paraId="2FD459A5" w14:textId="77777777" w:rsidTr="008422C4">
        <w:trPr>
          <w:trHeight w:hRule="exact" w:val="516"/>
        </w:trPr>
        <w:tc>
          <w:tcPr>
            <w:tcW w:w="2432" w:type="dxa"/>
            <w:tcBorders>
              <w:top w:val="single" w:sz="4" w:space="0" w:color="000000"/>
              <w:left w:val="single" w:sz="4" w:space="0" w:color="000000"/>
              <w:bottom w:val="single" w:sz="4" w:space="0" w:color="000000"/>
              <w:right w:val="single" w:sz="4" w:space="0" w:color="000000"/>
            </w:tcBorders>
          </w:tcPr>
          <w:p w14:paraId="200974EA" w14:textId="77777777" w:rsidR="000C2C41" w:rsidRPr="008422C4" w:rsidRDefault="000C2C41" w:rsidP="000C2C41">
            <w:pPr>
              <w:kinsoku w:val="0"/>
              <w:overflowPunct w:val="0"/>
              <w:autoSpaceDE w:val="0"/>
              <w:autoSpaceDN w:val="0"/>
              <w:adjustRightInd w:val="0"/>
              <w:spacing w:before="1"/>
              <w:ind w:left="103" w:right="373" w:firstLine="0"/>
              <w:rPr>
                <w:szCs w:val="22"/>
                <w:lang w:eastAsia="en-US"/>
              </w:rPr>
            </w:pPr>
            <w:r w:rsidRPr="008422C4">
              <w:rPr>
                <w:b/>
                <w:bCs/>
                <w:szCs w:val="22"/>
                <w:lang w:eastAsia="en-US"/>
              </w:rPr>
              <w:t>Poruchy imunitného systému</w:t>
            </w:r>
          </w:p>
        </w:tc>
        <w:tc>
          <w:tcPr>
            <w:tcW w:w="3364" w:type="dxa"/>
            <w:tcBorders>
              <w:top w:val="single" w:sz="4" w:space="0" w:color="000000"/>
              <w:left w:val="single" w:sz="4" w:space="0" w:color="000000"/>
              <w:bottom w:val="single" w:sz="4" w:space="0" w:color="000000"/>
              <w:right w:val="single" w:sz="4" w:space="0" w:color="000000"/>
            </w:tcBorders>
          </w:tcPr>
          <w:p w14:paraId="25D708B5" w14:textId="77777777" w:rsidR="000C2C41" w:rsidRPr="008422C4" w:rsidRDefault="000C2C41" w:rsidP="000C2C41">
            <w:pPr>
              <w:kinsoku w:val="0"/>
              <w:overflowPunct w:val="0"/>
              <w:autoSpaceDE w:val="0"/>
              <w:autoSpaceDN w:val="0"/>
              <w:adjustRightInd w:val="0"/>
              <w:spacing w:before="1" w:line="253" w:lineRule="exact"/>
              <w:ind w:left="103" w:firstLine="0"/>
              <w:rPr>
                <w:szCs w:val="22"/>
                <w:lang w:eastAsia="en-US"/>
              </w:rPr>
            </w:pPr>
            <w:r w:rsidRPr="008422C4">
              <w:rPr>
                <w:szCs w:val="22"/>
                <w:u w:val="single"/>
                <w:lang w:eastAsia="en-US"/>
              </w:rPr>
              <w:t>Menej časté</w:t>
            </w:r>
          </w:p>
          <w:p w14:paraId="4575CE1D" w14:textId="77777777" w:rsidR="000C2C41" w:rsidRPr="008422C4" w:rsidRDefault="000C2C41" w:rsidP="000C2C41">
            <w:pPr>
              <w:kinsoku w:val="0"/>
              <w:overflowPunct w:val="0"/>
              <w:autoSpaceDE w:val="0"/>
              <w:autoSpaceDN w:val="0"/>
              <w:adjustRightInd w:val="0"/>
              <w:spacing w:line="253" w:lineRule="exact"/>
              <w:ind w:left="103" w:firstLine="0"/>
              <w:rPr>
                <w:szCs w:val="22"/>
                <w:lang w:eastAsia="en-US"/>
              </w:rPr>
            </w:pPr>
            <w:r w:rsidRPr="008422C4">
              <w:rPr>
                <w:szCs w:val="22"/>
                <w:lang w:eastAsia="en-US"/>
              </w:rPr>
              <w:t>Hypersenzitivita^</w:t>
            </w:r>
          </w:p>
        </w:tc>
        <w:tc>
          <w:tcPr>
            <w:tcW w:w="3555" w:type="dxa"/>
            <w:tcBorders>
              <w:top w:val="single" w:sz="4" w:space="0" w:color="000000"/>
              <w:left w:val="single" w:sz="4" w:space="0" w:color="000000"/>
              <w:bottom w:val="single" w:sz="4" w:space="0" w:color="000000"/>
              <w:right w:val="single" w:sz="4" w:space="0" w:color="000000"/>
            </w:tcBorders>
          </w:tcPr>
          <w:p w14:paraId="5370F784" w14:textId="77777777" w:rsidR="000C2C41" w:rsidRPr="008422C4" w:rsidRDefault="000C2C41" w:rsidP="000C2C41">
            <w:pPr>
              <w:autoSpaceDE w:val="0"/>
              <w:autoSpaceDN w:val="0"/>
              <w:adjustRightInd w:val="0"/>
              <w:ind w:left="0" w:firstLine="0"/>
              <w:rPr>
                <w:szCs w:val="22"/>
                <w:lang w:eastAsia="en-US"/>
              </w:rPr>
            </w:pPr>
          </w:p>
        </w:tc>
      </w:tr>
      <w:tr w:rsidR="000C2C41" w:rsidRPr="003A5C41" w14:paraId="5705C314" w14:textId="77777777" w:rsidTr="008422C4">
        <w:trPr>
          <w:trHeight w:hRule="exact" w:val="516"/>
        </w:trPr>
        <w:tc>
          <w:tcPr>
            <w:tcW w:w="2432" w:type="dxa"/>
            <w:tcBorders>
              <w:top w:val="single" w:sz="4" w:space="0" w:color="000000"/>
              <w:left w:val="single" w:sz="4" w:space="0" w:color="000000"/>
              <w:bottom w:val="single" w:sz="4" w:space="0" w:color="000000"/>
              <w:right w:val="single" w:sz="4" w:space="0" w:color="000000"/>
            </w:tcBorders>
          </w:tcPr>
          <w:p w14:paraId="007FEEDB" w14:textId="77777777" w:rsidR="000C2C41" w:rsidRPr="008422C4" w:rsidRDefault="000C2C41" w:rsidP="000C2C41">
            <w:pPr>
              <w:kinsoku w:val="0"/>
              <w:overflowPunct w:val="0"/>
              <w:autoSpaceDE w:val="0"/>
              <w:autoSpaceDN w:val="0"/>
              <w:adjustRightInd w:val="0"/>
              <w:spacing w:before="1"/>
              <w:ind w:left="103" w:right="141" w:firstLine="0"/>
              <w:rPr>
                <w:szCs w:val="22"/>
                <w:lang w:eastAsia="en-US"/>
              </w:rPr>
            </w:pPr>
            <w:r w:rsidRPr="008422C4">
              <w:rPr>
                <w:b/>
                <w:bCs/>
                <w:szCs w:val="22"/>
                <w:lang w:eastAsia="en-US"/>
              </w:rPr>
              <w:t>Poruchy endokrinného systému</w:t>
            </w:r>
          </w:p>
        </w:tc>
        <w:tc>
          <w:tcPr>
            <w:tcW w:w="3364" w:type="dxa"/>
            <w:tcBorders>
              <w:top w:val="single" w:sz="4" w:space="0" w:color="000000"/>
              <w:left w:val="single" w:sz="4" w:space="0" w:color="000000"/>
              <w:bottom w:val="single" w:sz="4" w:space="0" w:color="000000"/>
              <w:right w:val="single" w:sz="4" w:space="0" w:color="000000"/>
            </w:tcBorders>
          </w:tcPr>
          <w:p w14:paraId="46FAE7DA" w14:textId="77777777" w:rsidR="000C2C41" w:rsidRPr="008422C4" w:rsidRDefault="000C2C41" w:rsidP="000C2C41">
            <w:pPr>
              <w:kinsoku w:val="0"/>
              <w:overflowPunct w:val="0"/>
              <w:autoSpaceDE w:val="0"/>
              <w:autoSpaceDN w:val="0"/>
              <w:adjustRightInd w:val="0"/>
              <w:spacing w:before="1" w:line="253" w:lineRule="exact"/>
              <w:ind w:left="103" w:firstLine="0"/>
              <w:rPr>
                <w:szCs w:val="22"/>
                <w:lang w:eastAsia="en-US"/>
              </w:rPr>
            </w:pPr>
            <w:r w:rsidRPr="008422C4">
              <w:rPr>
                <w:szCs w:val="22"/>
                <w:u w:val="single"/>
                <w:lang w:eastAsia="en-US"/>
              </w:rPr>
              <w:t>Časté</w:t>
            </w:r>
          </w:p>
          <w:p w14:paraId="229D7B0D" w14:textId="77777777" w:rsidR="000C2C41" w:rsidRPr="008422C4" w:rsidRDefault="000C2C41" w:rsidP="000C2C41">
            <w:pPr>
              <w:kinsoku w:val="0"/>
              <w:overflowPunct w:val="0"/>
              <w:autoSpaceDE w:val="0"/>
              <w:autoSpaceDN w:val="0"/>
              <w:adjustRightInd w:val="0"/>
              <w:spacing w:line="253" w:lineRule="exact"/>
              <w:ind w:left="103" w:firstLine="0"/>
              <w:rPr>
                <w:szCs w:val="22"/>
                <w:lang w:eastAsia="en-US"/>
              </w:rPr>
            </w:pPr>
            <w:r w:rsidRPr="008422C4">
              <w:rPr>
                <w:szCs w:val="22"/>
                <w:lang w:eastAsia="en-US"/>
              </w:rPr>
              <w:t>Hypotyreóza</w:t>
            </w:r>
          </w:p>
        </w:tc>
        <w:tc>
          <w:tcPr>
            <w:tcW w:w="3555" w:type="dxa"/>
            <w:tcBorders>
              <w:top w:val="single" w:sz="4" w:space="0" w:color="000000"/>
              <w:left w:val="single" w:sz="4" w:space="0" w:color="000000"/>
              <w:bottom w:val="single" w:sz="4" w:space="0" w:color="000000"/>
              <w:right w:val="single" w:sz="4" w:space="0" w:color="000000"/>
            </w:tcBorders>
          </w:tcPr>
          <w:p w14:paraId="0E867366" w14:textId="77777777" w:rsidR="000C2C41" w:rsidRPr="008422C4" w:rsidRDefault="000C2C41" w:rsidP="000C2C41">
            <w:pPr>
              <w:autoSpaceDE w:val="0"/>
              <w:autoSpaceDN w:val="0"/>
              <w:adjustRightInd w:val="0"/>
              <w:ind w:left="0" w:firstLine="0"/>
              <w:rPr>
                <w:szCs w:val="22"/>
                <w:lang w:eastAsia="en-US"/>
              </w:rPr>
            </w:pPr>
          </w:p>
        </w:tc>
      </w:tr>
      <w:tr w:rsidR="000C2C41" w:rsidRPr="003A5C41" w14:paraId="6D6FFF78" w14:textId="77777777" w:rsidTr="0050037D">
        <w:trPr>
          <w:trHeight w:hRule="exact" w:val="527"/>
        </w:trPr>
        <w:tc>
          <w:tcPr>
            <w:tcW w:w="2432" w:type="dxa"/>
            <w:tcBorders>
              <w:top w:val="single" w:sz="4" w:space="0" w:color="000000"/>
              <w:left w:val="single" w:sz="4" w:space="0" w:color="000000"/>
              <w:bottom w:val="none" w:sz="6" w:space="0" w:color="auto"/>
              <w:right w:val="single" w:sz="4" w:space="0" w:color="000000"/>
            </w:tcBorders>
          </w:tcPr>
          <w:p w14:paraId="1319CADB" w14:textId="558244D3" w:rsidR="000C2C41" w:rsidRPr="008422C4" w:rsidRDefault="000C2C41" w:rsidP="000C2C41">
            <w:pPr>
              <w:kinsoku w:val="0"/>
              <w:overflowPunct w:val="0"/>
              <w:autoSpaceDE w:val="0"/>
              <w:autoSpaceDN w:val="0"/>
              <w:adjustRightInd w:val="0"/>
              <w:ind w:left="103" w:right="227" w:firstLine="0"/>
              <w:rPr>
                <w:szCs w:val="22"/>
                <w:lang w:eastAsia="en-US"/>
              </w:rPr>
            </w:pPr>
            <w:r w:rsidRPr="008422C4">
              <w:rPr>
                <w:b/>
                <w:bCs/>
                <w:szCs w:val="22"/>
                <w:lang w:eastAsia="en-US"/>
              </w:rPr>
              <w:t>Poruchy metabolizmu a</w:t>
            </w:r>
            <w:r w:rsidR="00AF1F5C">
              <w:rPr>
                <w:b/>
                <w:bCs/>
                <w:szCs w:val="22"/>
                <w:lang w:eastAsia="en-US"/>
              </w:rPr>
              <w:t> </w:t>
            </w:r>
            <w:r w:rsidRPr="008422C4">
              <w:rPr>
                <w:b/>
                <w:bCs/>
                <w:szCs w:val="22"/>
                <w:lang w:eastAsia="en-US"/>
              </w:rPr>
              <w:t>výživy</w:t>
            </w:r>
          </w:p>
        </w:tc>
        <w:tc>
          <w:tcPr>
            <w:tcW w:w="3364" w:type="dxa"/>
            <w:tcBorders>
              <w:top w:val="single" w:sz="4" w:space="0" w:color="000000"/>
              <w:left w:val="single" w:sz="4" w:space="0" w:color="000000"/>
              <w:bottom w:val="none" w:sz="6" w:space="0" w:color="auto"/>
              <w:right w:val="single" w:sz="4" w:space="0" w:color="000000"/>
            </w:tcBorders>
          </w:tcPr>
          <w:p w14:paraId="5F87FF4F" w14:textId="77777777" w:rsidR="000C2C41" w:rsidRPr="008422C4" w:rsidRDefault="000C2C41" w:rsidP="0050037D">
            <w:pPr>
              <w:kinsoku w:val="0"/>
              <w:overflowPunct w:val="0"/>
              <w:autoSpaceDE w:val="0"/>
              <w:autoSpaceDN w:val="0"/>
              <w:adjustRightInd w:val="0"/>
              <w:spacing w:line="245" w:lineRule="exact"/>
              <w:ind w:left="103" w:firstLine="0"/>
              <w:rPr>
                <w:szCs w:val="22"/>
                <w:lang w:eastAsia="en-US"/>
              </w:rPr>
            </w:pPr>
            <w:r w:rsidRPr="008422C4">
              <w:rPr>
                <w:szCs w:val="22"/>
                <w:u w:val="single"/>
                <w:lang w:eastAsia="en-US"/>
              </w:rPr>
              <w:t>Veľmi časté</w:t>
            </w:r>
          </w:p>
          <w:p w14:paraId="7F5A6C09" w14:textId="77777777" w:rsidR="000C2C41" w:rsidRPr="008422C4" w:rsidRDefault="000C2C41" w:rsidP="0050037D">
            <w:pPr>
              <w:kinsoku w:val="0"/>
              <w:overflowPunct w:val="0"/>
              <w:autoSpaceDE w:val="0"/>
              <w:autoSpaceDN w:val="0"/>
              <w:adjustRightInd w:val="0"/>
              <w:spacing w:line="280" w:lineRule="exact"/>
              <w:ind w:left="103" w:firstLine="0"/>
              <w:rPr>
                <w:szCs w:val="22"/>
                <w:lang w:eastAsia="en-US"/>
              </w:rPr>
            </w:pPr>
            <w:r w:rsidRPr="008422C4">
              <w:rPr>
                <w:szCs w:val="22"/>
                <w:lang w:eastAsia="en-US"/>
              </w:rPr>
              <w:t>Hypokaliémia</w:t>
            </w:r>
            <w:r w:rsidRPr="008422C4">
              <w:rPr>
                <w:position w:val="9"/>
                <w:szCs w:val="22"/>
                <w:lang w:eastAsia="en-US"/>
              </w:rPr>
              <w:t>◊</w:t>
            </w:r>
            <w:r w:rsidRPr="008422C4">
              <w:rPr>
                <w:szCs w:val="22"/>
                <w:lang w:eastAsia="en-US"/>
              </w:rPr>
              <w:t>, hyperglykémia,</w:t>
            </w:r>
          </w:p>
        </w:tc>
        <w:tc>
          <w:tcPr>
            <w:tcW w:w="3555" w:type="dxa"/>
            <w:tcBorders>
              <w:top w:val="single" w:sz="4" w:space="0" w:color="000000"/>
              <w:left w:val="single" w:sz="4" w:space="0" w:color="000000"/>
              <w:bottom w:val="none" w:sz="6" w:space="0" w:color="auto"/>
              <w:right w:val="single" w:sz="4" w:space="0" w:color="000000"/>
            </w:tcBorders>
          </w:tcPr>
          <w:p w14:paraId="4AEF9C84" w14:textId="77777777" w:rsidR="000C2C41" w:rsidRPr="008422C4" w:rsidRDefault="000C2C41" w:rsidP="0050037D">
            <w:pPr>
              <w:kinsoku w:val="0"/>
              <w:overflowPunct w:val="0"/>
              <w:autoSpaceDE w:val="0"/>
              <w:autoSpaceDN w:val="0"/>
              <w:adjustRightInd w:val="0"/>
              <w:spacing w:line="245" w:lineRule="exact"/>
              <w:ind w:left="103" w:firstLine="0"/>
              <w:rPr>
                <w:szCs w:val="22"/>
                <w:lang w:eastAsia="en-US"/>
              </w:rPr>
            </w:pPr>
            <w:r w:rsidRPr="008422C4">
              <w:rPr>
                <w:szCs w:val="22"/>
                <w:u w:val="single"/>
                <w:lang w:eastAsia="en-US"/>
              </w:rPr>
              <w:t>Časté</w:t>
            </w:r>
          </w:p>
          <w:p w14:paraId="6554488C" w14:textId="77777777" w:rsidR="000C2C41" w:rsidRPr="008422C4" w:rsidRDefault="000C2C41" w:rsidP="0050037D">
            <w:pPr>
              <w:kinsoku w:val="0"/>
              <w:overflowPunct w:val="0"/>
              <w:autoSpaceDE w:val="0"/>
              <w:autoSpaceDN w:val="0"/>
              <w:adjustRightInd w:val="0"/>
              <w:spacing w:line="280" w:lineRule="exact"/>
              <w:ind w:left="103" w:firstLine="0"/>
              <w:rPr>
                <w:szCs w:val="22"/>
                <w:lang w:eastAsia="en-US"/>
              </w:rPr>
            </w:pPr>
            <w:r w:rsidRPr="008422C4">
              <w:rPr>
                <w:szCs w:val="22"/>
                <w:lang w:eastAsia="en-US"/>
              </w:rPr>
              <w:t>Hypokaliémia</w:t>
            </w:r>
            <w:r w:rsidRPr="008422C4">
              <w:rPr>
                <w:position w:val="9"/>
                <w:szCs w:val="22"/>
                <w:lang w:eastAsia="en-US"/>
              </w:rPr>
              <w:t>◊</w:t>
            </w:r>
            <w:r w:rsidRPr="008422C4">
              <w:rPr>
                <w:szCs w:val="22"/>
                <w:lang w:eastAsia="en-US"/>
              </w:rPr>
              <w:t>, hyperglykémia,</w:t>
            </w:r>
          </w:p>
        </w:tc>
      </w:tr>
      <w:tr w:rsidR="000C2C41" w:rsidRPr="003A5C41" w14:paraId="22D60C40" w14:textId="77777777" w:rsidTr="0050037D">
        <w:trPr>
          <w:trHeight w:hRule="exact" w:val="277"/>
        </w:trPr>
        <w:tc>
          <w:tcPr>
            <w:tcW w:w="2432" w:type="dxa"/>
            <w:tcBorders>
              <w:top w:val="none" w:sz="6" w:space="0" w:color="auto"/>
              <w:left w:val="single" w:sz="4" w:space="0" w:color="000000"/>
              <w:bottom w:val="none" w:sz="6" w:space="0" w:color="auto"/>
              <w:right w:val="single" w:sz="4" w:space="0" w:color="000000"/>
            </w:tcBorders>
          </w:tcPr>
          <w:p w14:paraId="7CA88BE9" w14:textId="77777777" w:rsidR="000C2C41" w:rsidRPr="008422C4" w:rsidRDefault="000C2C41" w:rsidP="000C2C41">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none" w:sz="6" w:space="0" w:color="auto"/>
              <w:right w:val="single" w:sz="4" w:space="0" w:color="000000"/>
            </w:tcBorders>
          </w:tcPr>
          <w:p w14:paraId="690C6A72" w14:textId="77777777" w:rsidR="000C2C41" w:rsidRPr="008422C4" w:rsidRDefault="000C2C41" w:rsidP="0050037D">
            <w:pPr>
              <w:kinsoku w:val="0"/>
              <w:overflowPunct w:val="0"/>
              <w:autoSpaceDE w:val="0"/>
              <w:autoSpaceDN w:val="0"/>
              <w:adjustRightInd w:val="0"/>
              <w:spacing w:line="279" w:lineRule="exact"/>
              <w:ind w:left="103" w:firstLine="0"/>
              <w:rPr>
                <w:szCs w:val="22"/>
                <w:lang w:eastAsia="en-US"/>
              </w:rPr>
            </w:pPr>
            <w:r w:rsidRPr="008422C4">
              <w:rPr>
                <w:szCs w:val="22"/>
                <w:lang w:eastAsia="en-US"/>
              </w:rPr>
              <w:t>hypokalciémia</w:t>
            </w:r>
            <w:r w:rsidRPr="008422C4">
              <w:rPr>
                <w:position w:val="9"/>
                <w:szCs w:val="22"/>
                <w:lang w:eastAsia="en-US"/>
              </w:rPr>
              <w:t>◊</w:t>
            </w:r>
            <w:r w:rsidRPr="008422C4">
              <w:rPr>
                <w:szCs w:val="22"/>
                <w:lang w:eastAsia="en-US"/>
              </w:rPr>
              <w:t>, znížená chuť do</w:t>
            </w:r>
          </w:p>
        </w:tc>
        <w:tc>
          <w:tcPr>
            <w:tcW w:w="3555" w:type="dxa"/>
            <w:tcBorders>
              <w:top w:val="none" w:sz="6" w:space="0" w:color="auto"/>
              <w:left w:val="single" w:sz="4" w:space="0" w:color="000000"/>
              <w:bottom w:val="none" w:sz="6" w:space="0" w:color="auto"/>
              <w:right w:val="single" w:sz="4" w:space="0" w:color="000000"/>
            </w:tcBorders>
          </w:tcPr>
          <w:p w14:paraId="1C5C7A8C" w14:textId="77777777" w:rsidR="000C2C41" w:rsidRPr="008422C4" w:rsidRDefault="000C2C41" w:rsidP="0050037D">
            <w:pPr>
              <w:kinsoku w:val="0"/>
              <w:overflowPunct w:val="0"/>
              <w:autoSpaceDE w:val="0"/>
              <w:autoSpaceDN w:val="0"/>
              <w:adjustRightInd w:val="0"/>
              <w:spacing w:line="279" w:lineRule="exact"/>
              <w:ind w:left="103" w:firstLine="0"/>
              <w:rPr>
                <w:szCs w:val="22"/>
                <w:lang w:eastAsia="en-US"/>
              </w:rPr>
            </w:pPr>
            <w:r w:rsidRPr="008422C4">
              <w:rPr>
                <w:szCs w:val="22"/>
                <w:lang w:eastAsia="en-US"/>
              </w:rPr>
              <w:t>hypokalciémia</w:t>
            </w:r>
            <w:r w:rsidRPr="008422C4">
              <w:rPr>
                <w:position w:val="9"/>
                <w:szCs w:val="22"/>
                <w:lang w:eastAsia="en-US"/>
              </w:rPr>
              <w:t>◊</w:t>
            </w:r>
            <w:r w:rsidRPr="008422C4">
              <w:rPr>
                <w:szCs w:val="22"/>
                <w:lang w:eastAsia="en-US"/>
              </w:rPr>
              <w:t>, diabetes melitus</w:t>
            </w:r>
            <w:r w:rsidRPr="008422C4">
              <w:rPr>
                <w:position w:val="9"/>
                <w:szCs w:val="22"/>
                <w:lang w:eastAsia="en-US"/>
              </w:rPr>
              <w:t>◊</w:t>
            </w:r>
            <w:r w:rsidRPr="008422C4">
              <w:rPr>
                <w:szCs w:val="22"/>
                <w:lang w:eastAsia="en-US"/>
              </w:rPr>
              <w:t>,</w:t>
            </w:r>
          </w:p>
        </w:tc>
      </w:tr>
      <w:tr w:rsidR="000C2C41" w:rsidRPr="003A5C41" w14:paraId="0ED2F295" w14:textId="77777777" w:rsidTr="0050037D">
        <w:trPr>
          <w:trHeight w:hRule="exact" w:val="284"/>
        </w:trPr>
        <w:tc>
          <w:tcPr>
            <w:tcW w:w="2432" w:type="dxa"/>
            <w:tcBorders>
              <w:top w:val="none" w:sz="6" w:space="0" w:color="auto"/>
              <w:left w:val="single" w:sz="4" w:space="0" w:color="000000"/>
              <w:bottom w:val="none" w:sz="6" w:space="0" w:color="auto"/>
              <w:right w:val="single" w:sz="4" w:space="0" w:color="000000"/>
            </w:tcBorders>
          </w:tcPr>
          <w:p w14:paraId="08A0C05B" w14:textId="77777777" w:rsidR="000C2C41" w:rsidRPr="008422C4" w:rsidRDefault="000C2C41" w:rsidP="000C2C41">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none" w:sz="6" w:space="0" w:color="auto"/>
              <w:right w:val="single" w:sz="4" w:space="0" w:color="000000"/>
            </w:tcBorders>
          </w:tcPr>
          <w:p w14:paraId="1A001304" w14:textId="77777777" w:rsidR="000C2C41" w:rsidRPr="008422C4" w:rsidRDefault="000C2C41" w:rsidP="00BE011D">
            <w:pPr>
              <w:kinsoku w:val="0"/>
              <w:overflowPunct w:val="0"/>
              <w:autoSpaceDE w:val="0"/>
              <w:autoSpaceDN w:val="0"/>
              <w:adjustRightInd w:val="0"/>
              <w:spacing w:before="5"/>
              <w:ind w:left="103" w:firstLine="0"/>
              <w:rPr>
                <w:szCs w:val="22"/>
                <w:lang w:eastAsia="en-US"/>
              </w:rPr>
            </w:pPr>
            <w:r w:rsidRPr="008422C4">
              <w:rPr>
                <w:szCs w:val="22"/>
                <w:lang w:eastAsia="en-US"/>
              </w:rPr>
              <w:t>jedla, zníženie telesnej hmotnosti</w:t>
            </w:r>
          </w:p>
        </w:tc>
        <w:tc>
          <w:tcPr>
            <w:tcW w:w="3555" w:type="dxa"/>
            <w:tcBorders>
              <w:top w:val="none" w:sz="6" w:space="0" w:color="auto"/>
              <w:left w:val="single" w:sz="4" w:space="0" w:color="000000"/>
              <w:bottom w:val="none" w:sz="6" w:space="0" w:color="auto"/>
              <w:right w:val="single" w:sz="4" w:space="0" w:color="000000"/>
            </w:tcBorders>
          </w:tcPr>
          <w:p w14:paraId="0FE63D86" w14:textId="77777777" w:rsidR="000C2C41" w:rsidRPr="008422C4" w:rsidRDefault="000C2C41" w:rsidP="0050037D">
            <w:pPr>
              <w:kinsoku w:val="0"/>
              <w:overflowPunct w:val="0"/>
              <w:autoSpaceDE w:val="0"/>
              <w:autoSpaceDN w:val="0"/>
              <w:adjustRightInd w:val="0"/>
              <w:spacing w:line="278" w:lineRule="exact"/>
              <w:ind w:left="103" w:firstLine="0"/>
              <w:rPr>
                <w:szCs w:val="22"/>
                <w:lang w:eastAsia="en-US"/>
              </w:rPr>
            </w:pPr>
            <w:r w:rsidRPr="008422C4">
              <w:rPr>
                <w:szCs w:val="22"/>
                <w:lang w:eastAsia="en-US"/>
              </w:rPr>
              <w:t>hypofosfatémia, hyponatriémia</w:t>
            </w:r>
            <w:r w:rsidRPr="008422C4">
              <w:rPr>
                <w:position w:val="9"/>
                <w:szCs w:val="22"/>
                <w:lang w:eastAsia="en-US"/>
              </w:rPr>
              <w:t>◊</w:t>
            </w:r>
            <w:r w:rsidRPr="008422C4">
              <w:rPr>
                <w:szCs w:val="22"/>
                <w:lang w:eastAsia="en-US"/>
              </w:rPr>
              <w:t>,</w:t>
            </w:r>
          </w:p>
        </w:tc>
      </w:tr>
      <w:tr w:rsidR="000C2C41" w:rsidRPr="003A5C41" w14:paraId="1082445E" w14:textId="77777777" w:rsidTr="008422C4">
        <w:trPr>
          <w:trHeight w:hRule="exact" w:val="254"/>
        </w:trPr>
        <w:tc>
          <w:tcPr>
            <w:tcW w:w="2432" w:type="dxa"/>
            <w:tcBorders>
              <w:top w:val="none" w:sz="6" w:space="0" w:color="auto"/>
              <w:left w:val="single" w:sz="4" w:space="0" w:color="000000"/>
              <w:bottom w:val="none" w:sz="6" w:space="0" w:color="auto"/>
              <w:right w:val="single" w:sz="4" w:space="0" w:color="000000"/>
            </w:tcBorders>
          </w:tcPr>
          <w:p w14:paraId="4DB0FABF" w14:textId="77777777" w:rsidR="000C2C41" w:rsidRPr="008422C4" w:rsidRDefault="000C2C41" w:rsidP="000C2C41">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none" w:sz="6" w:space="0" w:color="auto"/>
              <w:right w:val="single" w:sz="4" w:space="0" w:color="000000"/>
            </w:tcBorders>
          </w:tcPr>
          <w:p w14:paraId="19904935" w14:textId="77777777" w:rsidR="000C2C41" w:rsidRPr="008422C4" w:rsidRDefault="000C2C41" w:rsidP="000C2C41">
            <w:pPr>
              <w:autoSpaceDE w:val="0"/>
              <w:autoSpaceDN w:val="0"/>
              <w:adjustRightInd w:val="0"/>
              <w:ind w:left="0" w:firstLine="0"/>
              <w:rPr>
                <w:szCs w:val="22"/>
                <w:lang w:eastAsia="en-US"/>
              </w:rPr>
            </w:pPr>
          </w:p>
        </w:tc>
        <w:tc>
          <w:tcPr>
            <w:tcW w:w="3555" w:type="dxa"/>
            <w:tcBorders>
              <w:top w:val="none" w:sz="6" w:space="0" w:color="auto"/>
              <w:left w:val="single" w:sz="4" w:space="0" w:color="000000"/>
              <w:bottom w:val="none" w:sz="6" w:space="0" w:color="auto"/>
              <w:right w:val="single" w:sz="4" w:space="0" w:color="000000"/>
            </w:tcBorders>
          </w:tcPr>
          <w:p w14:paraId="4F55253C" w14:textId="77777777" w:rsidR="000C2C41" w:rsidRPr="008422C4" w:rsidRDefault="000C2C41" w:rsidP="0050037D">
            <w:pPr>
              <w:kinsoku w:val="0"/>
              <w:overflowPunct w:val="0"/>
              <w:autoSpaceDE w:val="0"/>
              <w:autoSpaceDN w:val="0"/>
              <w:adjustRightInd w:val="0"/>
              <w:spacing w:line="250" w:lineRule="exact"/>
              <w:ind w:left="103" w:firstLine="0"/>
              <w:rPr>
                <w:szCs w:val="22"/>
                <w:lang w:eastAsia="en-US"/>
              </w:rPr>
            </w:pPr>
            <w:r w:rsidRPr="008422C4">
              <w:rPr>
                <w:szCs w:val="22"/>
                <w:lang w:eastAsia="en-US"/>
              </w:rPr>
              <w:t>hyperurikémia, dna, znížená chuť do</w:t>
            </w:r>
          </w:p>
        </w:tc>
      </w:tr>
      <w:tr w:rsidR="000C2C41" w:rsidRPr="003A5C41" w14:paraId="39FB3CBD" w14:textId="77777777" w:rsidTr="008422C4">
        <w:trPr>
          <w:trHeight w:hRule="exact" w:val="253"/>
        </w:trPr>
        <w:tc>
          <w:tcPr>
            <w:tcW w:w="2432" w:type="dxa"/>
            <w:tcBorders>
              <w:top w:val="none" w:sz="6" w:space="0" w:color="auto"/>
              <w:left w:val="single" w:sz="4" w:space="0" w:color="000000"/>
              <w:bottom w:val="none" w:sz="6" w:space="0" w:color="auto"/>
              <w:right w:val="single" w:sz="4" w:space="0" w:color="000000"/>
            </w:tcBorders>
          </w:tcPr>
          <w:p w14:paraId="70858E41" w14:textId="77777777" w:rsidR="000C2C41" w:rsidRPr="008422C4" w:rsidRDefault="000C2C41" w:rsidP="000C2C41">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none" w:sz="6" w:space="0" w:color="auto"/>
              <w:right w:val="single" w:sz="4" w:space="0" w:color="000000"/>
            </w:tcBorders>
          </w:tcPr>
          <w:p w14:paraId="4EAF5816" w14:textId="77777777" w:rsidR="000C2C41" w:rsidRPr="008422C4" w:rsidRDefault="000C2C41" w:rsidP="0050037D">
            <w:pPr>
              <w:kinsoku w:val="0"/>
              <w:overflowPunct w:val="0"/>
              <w:autoSpaceDE w:val="0"/>
              <w:autoSpaceDN w:val="0"/>
              <w:adjustRightInd w:val="0"/>
              <w:spacing w:line="248" w:lineRule="exact"/>
              <w:ind w:left="103" w:firstLine="0"/>
              <w:rPr>
                <w:szCs w:val="22"/>
                <w:lang w:eastAsia="en-US"/>
              </w:rPr>
            </w:pPr>
            <w:r w:rsidRPr="008422C4">
              <w:rPr>
                <w:szCs w:val="22"/>
                <w:u w:val="single"/>
                <w:lang w:eastAsia="en-US"/>
              </w:rPr>
              <w:t>Časté</w:t>
            </w:r>
          </w:p>
        </w:tc>
        <w:tc>
          <w:tcPr>
            <w:tcW w:w="3555" w:type="dxa"/>
            <w:tcBorders>
              <w:top w:val="none" w:sz="6" w:space="0" w:color="auto"/>
              <w:left w:val="single" w:sz="4" w:space="0" w:color="000000"/>
              <w:bottom w:val="none" w:sz="6" w:space="0" w:color="auto"/>
              <w:right w:val="single" w:sz="4" w:space="0" w:color="000000"/>
            </w:tcBorders>
          </w:tcPr>
          <w:p w14:paraId="37D3233A" w14:textId="77777777" w:rsidR="000C2C41" w:rsidRPr="008422C4" w:rsidRDefault="000C2C41" w:rsidP="0050037D">
            <w:pPr>
              <w:kinsoku w:val="0"/>
              <w:overflowPunct w:val="0"/>
              <w:autoSpaceDE w:val="0"/>
              <w:autoSpaceDN w:val="0"/>
              <w:adjustRightInd w:val="0"/>
              <w:spacing w:line="248" w:lineRule="exact"/>
              <w:ind w:left="103" w:firstLine="0"/>
              <w:rPr>
                <w:szCs w:val="22"/>
                <w:lang w:eastAsia="en-US"/>
              </w:rPr>
            </w:pPr>
            <w:r w:rsidRPr="008422C4">
              <w:rPr>
                <w:szCs w:val="22"/>
                <w:lang w:eastAsia="en-US"/>
              </w:rPr>
              <w:t>jedla, zníženie telesnej hmotnosti</w:t>
            </w:r>
          </w:p>
        </w:tc>
      </w:tr>
      <w:tr w:rsidR="000C2C41" w:rsidRPr="003A5C41" w14:paraId="4E3FD076" w14:textId="77777777" w:rsidTr="0050037D">
        <w:trPr>
          <w:trHeight w:hRule="exact" w:val="244"/>
        </w:trPr>
        <w:tc>
          <w:tcPr>
            <w:tcW w:w="2432" w:type="dxa"/>
            <w:tcBorders>
              <w:top w:val="none" w:sz="6" w:space="0" w:color="auto"/>
              <w:left w:val="single" w:sz="4" w:space="0" w:color="000000"/>
              <w:bottom w:val="none" w:sz="6" w:space="0" w:color="auto"/>
              <w:right w:val="single" w:sz="4" w:space="0" w:color="000000"/>
            </w:tcBorders>
          </w:tcPr>
          <w:p w14:paraId="7656023D" w14:textId="77777777" w:rsidR="000C2C41" w:rsidRPr="008422C4" w:rsidRDefault="000C2C41" w:rsidP="000C2C41">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none" w:sz="6" w:space="0" w:color="auto"/>
              <w:right w:val="single" w:sz="4" w:space="0" w:color="000000"/>
            </w:tcBorders>
          </w:tcPr>
          <w:p w14:paraId="5CA0C75C" w14:textId="77777777" w:rsidR="000C2C41" w:rsidRPr="008422C4" w:rsidRDefault="000C2C41" w:rsidP="0050037D">
            <w:pPr>
              <w:kinsoku w:val="0"/>
              <w:overflowPunct w:val="0"/>
              <w:autoSpaceDE w:val="0"/>
              <w:autoSpaceDN w:val="0"/>
              <w:adjustRightInd w:val="0"/>
              <w:spacing w:line="249" w:lineRule="exact"/>
              <w:ind w:left="103" w:firstLine="0"/>
              <w:rPr>
                <w:szCs w:val="22"/>
                <w:lang w:eastAsia="en-US"/>
              </w:rPr>
            </w:pPr>
            <w:r w:rsidRPr="008422C4">
              <w:rPr>
                <w:szCs w:val="22"/>
                <w:lang w:eastAsia="en-US"/>
              </w:rPr>
              <w:t>Hypomagneziémia, hyperurikémia,</w:t>
            </w:r>
          </w:p>
        </w:tc>
        <w:tc>
          <w:tcPr>
            <w:tcW w:w="3555" w:type="dxa"/>
            <w:tcBorders>
              <w:top w:val="none" w:sz="6" w:space="0" w:color="auto"/>
              <w:left w:val="single" w:sz="4" w:space="0" w:color="000000"/>
              <w:bottom w:val="none" w:sz="6" w:space="0" w:color="auto"/>
              <w:right w:val="single" w:sz="4" w:space="0" w:color="000000"/>
            </w:tcBorders>
          </w:tcPr>
          <w:p w14:paraId="1F0CEF2A" w14:textId="77777777" w:rsidR="000C2C41" w:rsidRPr="008422C4" w:rsidRDefault="000C2C41" w:rsidP="000C2C41">
            <w:pPr>
              <w:autoSpaceDE w:val="0"/>
              <w:autoSpaceDN w:val="0"/>
              <w:adjustRightInd w:val="0"/>
              <w:ind w:left="0" w:firstLine="0"/>
              <w:rPr>
                <w:szCs w:val="22"/>
                <w:lang w:eastAsia="en-US"/>
              </w:rPr>
            </w:pPr>
          </w:p>
        </w:tc>
      </w:tr>
      <w:tr w:rsidR="000C2C41" w:rsidRPr="003A5C41" w14:paraId="74A2EB5F" w14:textId="77777777" w:rsidTr="0050037D">
        <w:trPr>
          <w:trHeight w:hRule="exact" w:val="286"/>
        </w:trPr>
        <w:tc>
          <w:tcPr>
            <w:tcW w:w="2432" w:type="dxa"/>
            <w:tcBorders>
              <w:top w:val="none" w:sz="6" w:space="0" w:color="auto"/>
              <w:left w:val="single" w:sz="4" w:space="0" w:color="000000"/>
              <w:bottom w:val="single" w:sz="4" w:space="0" w:color="000000"/>
              <w:right w:val="single" w:sz="4" w:space="0" w:color="000000"/>
            </w:tcBorders>
          </w:tcPr>
          <w:p w14:paraId="012D0D2C" w14:textId="77777777" w:rsidR="000C2C41" w:rsidRPr="008422C4" w:rsidRDefault="000C2C41" w:rsidP="000C2C41">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single" w:sz="4" w:space="0" w:color="000000"/>
              <w:right w:val="single" w:sz="4" w:space="0" w:color="000000"/>
            </w:tcBorders>
          </w:tcPr>
          <w:p w14:paraId="385EFD58" w14:textId="77777777" w:rsidR="000C2C41" w:rsidRPr="008422C4" w:rsidRDefault="000C2C41" w:rsidP="0050037D">
            <w:pPr>
              <w:kinsoku w:val="0"/>
              <w:overflowPunct w:val="0"/>
              <w:autoSpaceDE w:val="0"/>
              <w:autoSpaceDN w:val="0"/>
              <w:adjustRightInd w:val="0"/>
              <w:spacing w:line="276" w:lineRule="exact"/>
              <w:ind w:left="103" w:firstLine="0"/>
              <w:rPr>
                <w:szCs w:val="22"/>
                <w:lang w:eastAsia="en-US"/>
              </w:rPr>
            </w:pPr>
            <w:r w:rsidRPr="008422C4">
              <w:rPr>
                <w:szCs w:val="22"/>
                <w:lang w:eastAsia="en-US"/>
              </w:rPr>
              <w:t>dehydratácia</w:t>
            </w:r>
            <w:r w:rsidRPr="008422C4">
              <w:rPr>
                <w:position w:val="9"/>
                <w:szCs w:val="22"/>
                <w:lang w:eastAsia="en-US"/>
              </w:rPr>
              <w:t>◊</w:t>
            </w:r>
            <w:r w:rsidRPr="008422C4">
              <w:rPr>
                <w:szCs w:val="22"/>
                <w:lang w:eastAsia="en-US"/>
              </w:rPr>
              <w:t>, hyperkalciémia</w:t>
            </w:r>
            <w:r w:rsidRPr="008422C4">
              <w:rPr>
                <w:position w:val="9"/>
                <w:szCs w:val="22"/>
                <w:lang w:eastAsia="en-US"/>
              </w:rPr>
              <w:t>+</w:t>
            </w:r>
          </w:p>
        </w:tc>
        <w:tc>
          <w:tcPr>
            <w:tcW w:w="3555" w:type="dxa"/>
            <w:tcBorders>
              <w:top w:val="none" w:sz="6" w:space="0" w:color="auto"/>
              <w:left w:val="single" w:sz="4" w:space="0" w:color="000000"/>
              <w:bottom w:val="single" w:sz="4" w:space="0" w:color="000000"/>
              <w:right w:val="single" w:sz="4" w:space="0" w:color="000000"/>
            </w:tcBorders>
          </w:tcPr>
          <w:p w14:paraId="2F29E0D4" w14:textId="77777777" w:rsidR="000C2C41" w:rsidRPr="008422C4" w:rsidRDefault="000C2C41" w:rsidP="000C2C41">
            <w:pPr>
              <w:autoSpaceDE w:val="0"/>
              <w:autoSpaceDN w:val="0"/>
              <w:adjustRightInd w:val="0"/>
              <w:ind w:left="0" w:firstLine="0"/>
              <w:rPr>
                <w:szCs w:val="22"/>
                <w:lang w:eastAsia="en-US"/>
              </w:rPr>
            </w:pPr>
          </w:p>
        </w:tc>
      </w:tr>
      <w:tr w:rsidR="000C2C41" w:rsidRPr="003A5C41" w14:paraId="29D5414F" w14:textId="77777777" w:rsidTr="008422C4">
        <w:trPr>
          <w:trHeight w:hRule="exact" w:val="1298"/>
        </w:trPr>
        <w:tc>
          <w:tcPr>
            <w:tcW w:w="2432" w:type="dxa"/>
            <w:tcBorders>
              <w:top w:val="single" w:sz="4" w:space="0" w:color="000000"/>
              <w:left w:val="single" w:sz="4" w:space="0" w:color="000000"/>
              <w:bottom w:val="single" w:sz="4" w:space="0" w:color="000000"/>
              <w:right w:val="single" w:sz="4" w:space="0" w:color="000000"/>
            </w:tcBorders>
          </w:tcPr>
          <w:p w14:paraId="292C8ADB" w14:textId="77777777" w:rsidR="000C2C41" w:rsidRPr="008422C4" w:rsidRDefault="000C2C41" w:rsidP="000C2C41">
            <w:pPr>
              <w:kinsoku w:val="0"/>
              <w:overflowPunct w:val="0"/>
              <w:autoSpaceDE w:val="0"/>
              <w:autoSpaceDN w:val="0"/>
              <w:adjustRightInd w:val="0"/>
              <w:spacing w:line="251" w:lineRule="exact"/>
              <w:ind w:left="103" w:firstLine="0"/>
              <w:rPr>
                <w:szCs w:val="22"/>
                <w:lang w:eastAsia="en-US"/>
              </w:rPr>
            </w:pPr>
            <w:r w:rsidRPr="008422C4">
              <w:rPr>
                <w:b/>
                <w:bCs/>
                <w:szCs w:val="22"/>
                <w:lang w:eastAsia="en-US"/>
              </w:rPr>
              <w:lastRenderedPageBreak/>
              <w:t>Psychické poruchy</w:t>
            </w:r>
          </w:p>
        </w:tc>
        <w:tc>
          <w:tcPr>
            <w:tcW w:w="3364" w:type="dxa"/>
            <w:tcBorders>
              <w:top w:val="single" w:sz="4" w:space="0" w:color="000000"/>
              <w:left w:val="single" w:sz="4" w:space="0" w:color="000000"/>
              <w:bottom w:val="single" w:sz="4" w:space="0" w:color="000000"/>
              <w:right w:val="single" w:sz="4" w:space="0" w:color="000000"/>
            </w:tcBorders>
          </w:tcPr>
          <w:p w14:paraId="2CD7CA67" w14:textId="77777777" w:rsidR="000C2C41" w:rsidRPr="008422C4" w:rsidRDefault="000C2C41" w:rsidP="000C2C41">
            <w:pPr>
              <w:kinsoku w:val="0"/>
              <w:overflowPunct w:val="0"/>
              <w:autoSpaceDE w:val="0"/>
              <w:autoSpaceDN w:val="0"/>
              <w:adjustRightInd w:val="0"/>
              <w:ind w:left="103" w:right="1439" w:firstLine="0"/>
              <w:rPr>
                <w:szCs w:val="22"/>
                <w:lang w:eastAsia="en-US"/>
              </w:rPr>
            </w:pPr>
            <w:r w:rsidRPr="008422C4">
              <w:rPr>
                <w:szCs w:val="22"/>
                <w:u w:val="single"/>
                <w:lang w:eastAsia="en-US"/>
              </w:rPr>
              <w:t xml:space="preserve">Veľmi časté </w:t>
            </w:r>
            <w:r w:rsidRPr="008422C4">
              <w:rPr>
                <w:szCs w:val="22"/>
                <w:lang w:eastAsia="en-US"/>
              </w:rPr>
              <w:t>Depresia, nespavosť</w:t>
            </w:r>
          </w:p>
          <w:p w14:paraId="6D7C98E6" w14:textId="77777777" w:rsidR="000C2C41" w:rsidRPr="008422C4" w:rsidRDefault="000C2C41" w:rsidP="000C2C41">
            <w:pPr>
              <w:kinsoku w:val="0"/>
              <w:overflowPunct w:val="0"/>
              <w:autoSpaceDE w:val="0"/>
              <w:autoSpaceDN w:val="0"/>
              <w:adjustRightInd w:val="0"/>
              <w:ind w:left="0" w:firstLine="0"/>
              <w:rPr>
                <w:szCs w:val="22"/>
                <w:lang w:eastAsia="en-US"/>
              </w:rPr>
            </w:pPr>
          </w:p>
          <w:p w14:paraId="60029455" w14:textId="77777777" w:rsidR="000C2C41" w:rsidRPr="008422C4" w:rsidRDefault="000C2C41" w:rsidP="000C2C41">
            <w:pPr>
              <w:kinsoku w:val="0"/>
              <w:overflowPunct w:val="0"/>
              <w:autoSpaceDE w:val="0"/>
              <w:autoSpaceDN w:val="0"/>
              <w:adjustRightInd w:val="0"/>
              <w:spacing w:before="1" w:line="252" w:lineRule="exact"/>
              <w:ind w:left="103" w:firstLine="0"/>
              <w:rPr>
                <w:szCs w:val="22"/>
                <w:lang w:eastAsia="en-US"/>
              </w:rPr>
            </w:pPr>
            <w:r w:rsidRPr="008422C4">
              <w:rPr>
                <w:szCs w:val="22"/>
                <w:u w:val="single"/>
                <w:lang w:eastAsia="en-US"/>
              </w:rPr>
              <w:t>Menej časté</w:t>
            </w:r>
          </w:p>
          <w:p w14:paraId="5E01668E" w14:textId="77777777" w:rsidR="000C2C41" w:rsidRPr="008422C4" w:rsidRDefault="000C2C41" w:rsidP="000C2C41">
            <w:pPr>
              <w:kinsoku w:val="0"/>
              <w:overflowPunct w:val="0"/>
              <w:autoSpaceDE w:val="0"/>
              <w:autoSpaceDN w:val="0"/>
              <w:adjustRightInd w:val="0"/>
              <w:spacing w:line="252" w:lineRule="exact"/>
              <w:ind w:left="103" w:firstLine="0"/>
              <w:rPr>
                <w:szCs w:val="22"/>
                <w:lang w:eastAsia="en-US"/>
              </w:rPr>
            </w:pPr>
            <w:r w:rsidRPr="008422C4">
              <w:rPr>
                <w:szCs w:val="22"/>
                <w:lang w:eastAsia="en-US"/>
              </w:rPr>
              <w:t>Strata libida</w:t>
            </w:r>
          </w:p>
        </w:tc>
        <w:tc>
          <w:tcPr>
            <w:tcW w:w="3555" w:type="dxa"/>
            <w:tcBorders>
              <w:top w:val="single" w:sz="4" w:space="0" w:color="000000"/>
              <w:left w:val="single" w:sz="4" w:space="0" w:color="000000"/>
              <w:bottom w:val="single" w:sz="4" w:space="0" w:color="000000"/>
              <w:right w:val="single" w:sz="4" w:space="0" w:color="000000"/>
            </w:tcBorders>
          </w:tcPr>
          <w:p w14:paraId="76C84214" w14:textId="77777777" w:rsidR="000C2C41" w:rsidRPr="008422C4" w:rsidRDefault="000C2C41" w:rsidP="000C2C41">
            <w:pPr>
              <w:kinsoku w:val="0"/>
              <w:overflowPunct w:val="0"/>
              <w:autoSpaceDE w:val="0"/>
              <w:autoSpaceDN w:val="0"/>
              <w:adjustRightInd w:val="0"/>
              <w:spacing w:line="251" w:lineRule="exact"/>
              <w:ind w:left="103" w:firstLine="0"/>
              <w:rPr>
                <w:szCs w:val="22"/>
                <w:lang w:eastAsia="en-US"/>
              </w:rPr>
            </w:pPr>
            <w:r w:rsidRPr="008422C4">
              <w:rPr>
                <w:szCs w:val="22"/>
                <w:u w:val="single"/>
                <w:lang w:eastAsia="en-US"/>
              </w:rPr>
              <w:t>Časté</w:t>
            </w:r>
          </w:p>
          <w:p w14:paraId="7B9BFA10" w14:textId="77777777" w:rsidR="000C2C41" w:rsidRPr="008422C4" w:rsidRDefault="000C2C41" w:rsidP="000C2C41">
            <w:pPr>
              <w:kinsoku w:val="0"/>
              <w:overflowPunct w:val="0"/>
              <w:autoSpaceDE w:val="0"/>
              <w:autoSpaceDN w:val="0"/>
              <w:adjustRightInd w:val="0"/>
              <w:spacing w:before="1"/>
              <w:ind w:left="103" w:firstLine="0"/>
              <w:rPr>
                <w:szCs w:val="22"/>
                <w:lang w:eastAsia="en-US"/>
              </w:rPr>
            </w:pPr>
            <w:r w:rsidRPr="008422C4">
              <w:rPr>
                <w:szCs w:val="22"/>
                <w:lang w:eastAsia="en-US"/>
              </w:rPr>
              <w:t>Depresia, nespavosť</w:t>
            </w:r>
          </w:p>
        </w:tc>
      </w:tr>
      <w:tr w:rsidR="000C2C41" w:rsidRPr="003A5C41" w14:paraId="3648B71A" w14:textId="77777777" w:rsidTr="008422C4">
        <w:trPr>
          <w:trHeight w:hRule="exact" w:val="1043"/>
        </w:trPr>
        <w:tc>
          <w:tcPr>
            <w:tcW w:w="2432" w:type="dxa"/>
            <w:tcBorders>
              <w:top w:val="single" w:sz="4" w:space="0" w:color="000000"/>
              <w:left w:val="single" w:sz="4" w:space="0" w:color="000000"/>
              <w:bottom w:val="none" w:sz="6" w:space="0" w:color="auto"/>
              <w:right w:val="single" w:sz="4" w:space="0" w:color="000000"/>
            </w:tcBorders>
          </w:tcPr>
          <w:p w14:paraId="75373329" w14:textId="77777777" w:rsidR="000C2C41" w:rsidRPr="008422C4" w:rsidRDefault="000C2C41" w:rsidP="000C2C41">
            <w:pPr>
              <w:kinsoku w:val="0"/>
              <w:overflowPunct w:val="0"/>
              <w:autoSpaceDE w:val="0"/>
              <w:autoSpaceDN w:val="0"/>
              <w:adjustRightInd w:val="0"/>
              <w:ind w:left="103" w:right="471" w:firstLine="0"/>
              <w:rPr>
                <w:szCs w:val="22"/>
                <w:lang w:eastAsia="en-US"/>
              </w:rPr>
            </w:pPr>
            <w:r w:rsidRPr="008422C4">
              <w:rPr>
                <w:b/>
                <w:bCs/>
                <w:szCs w:val="22"/>
                <w:lang w:eastAsia="en-US"/>
              </w:rPr>
              <w:t>Poruchy nervového systému</w:t>
            </w:r>
          </w:p>
        </w:tc>
        <w:tc>
          <w:tcPr>
            <w:tcW w:w="3364" w:type="dxa"/>
            <w:tcBorders>
              <w:top w:val="single" w:sz="4" w:space="0" w:color="000000"/>
              <w:left w:val="single" w:sz="4" w:space="0" w:color="000000"/>
              <w:bottom w:val="none" w:sz="6" w:space="0" w:color="auto"/>
              <w:right w:val="single" w:sz="4" w:space="0" w:color="000000"/>
            </w:tcBorders>
          </w:tcPr>
          <w:p w14:paraId="61B2A653" w14:textId="77777777" w:rsidR="000C2C41" w:rsidRPr="008422C4" w:rsidRDefault="000C2C41" w:rsidP="000C2C41">
            <w:pPr>
              <w:kinsoku w:val="0"/>
              <w:overflowPunct w:val="0"/>
              <w:autoSpaceDE w:val="0"/>
              <w:autoSpaceDN w:val="0"/>
              <w:adjustRightInd w:val="0"/>
              <w:spacing w:line="251" w:lineRule="exact"/>
              <w:ind w:left="103" w:firstLine="0"/>
              <w:rPr>
                <w:szCs w:val="22"/>
                <w:lang w:eastAsia="en-US"/>
              </w:rPr>
            </w:pPr>
            <w:r w:rsidRPr="008422C4">
              <w:rPr>
                <w:szCs w:val="22"/>
                <w:u w:val="single"/>
                <w:lang w:eastAsia="en-US"/>
              </w:rPr>
              <w:t>Veľmi časté</w:t>
            </w:r>
          </w:p>
          <w:p w14:paraId="1DA3B6DD" w14:textId="77777777" w:rsidR="000C2C41" w:rsidRPr="008422C4" w:rsidRDefault="000C2C41" w:rsidP="000C2C41">
            <w:pPr>
              <w:kinsoku w:val="0"/>
              <w:overflowPunct w:val="0"/>
              <w:autoSpaceDE w:val="0"/>
              <w:autoSpaceDN w:val="0"/>
              <w:adjustRightInd w:val="0"/>
              <w:ind w:left="103" w:right="443" w:firstLine="0"/>
              <w:rPr>
                <w:szCs w:val="22"/>
                <w:lang w:eastAsia="en-US"/>
              </w:rPr>
            </w:pPr>
            <w:r w:rsidRPr="008422C4">
              <w:rPr>
                <w:szCs w:val="22"/>
                <w:lang w:eastAsia="en-US"/>
              </w:rPr>
              <w:t>Periférna neuropatia (okrem motorickej neuropatie), závrat, tremor, dysgeúzia, bolesť hlavy</w:t>
            </w:r>
          </w:p>
        </w:tc>
        <w:tc>
          <w:tcPr>
            <w:tcW w:w="3555" w:type="dxa"/>
            <w:tcBorders>
              <w:top w:val="single" w:sz="4" w:space="0" w:color="000000"/>
              <w:left w:val="single" w:sz="4" w:space="0" w:color="000000"/>
              <w:bottom w:val="none" w:sz="6" w:space="0" w:color="auto"/>
              <w:right w:val="single" w:sz="4" w:space="0" w:color="000000"/>
            </w:tcBorders>
          </w:tcPr>
          <w:p w14:paraId="2CAB07AA" w14:textId="77777777" w:rsidR="000C2C41" w:rsidRPr="008422C4" w:rsidRDefault="000C2C41" w:rsidP="000C2C41">
            <w:pPr>
              <w:kinsoku w:val="0"/>
              <w:overflowPunct w:val="0"/>
              <w:autoSpaceDE w:val="0"/>
              <w:autoSpaceDN w:val="0"/>
              <w:adjustRightInd w:val="0"/>
              <w:spacing w:line="244" w:lineRule="exact"/>
              <w:ind w:left="103" w:firstLine="0"/>
              <w:rPr>
                <w:szCs w:val="22"/>
                <w:lang w:eastAsia="en-US"/>
              </w:rPr>
            </w:pPr>
            <w:r w:rsidRPr="008422C4">
              <w:rPr>
                <w:szCs w:val="22"/>
                <w:u w:val="single"/>
                <w:lang w:eastAsia="en-US"/>
              </w:rPr>
              <w:t>Časté</w:t>
            </w:r>
          </w:p>
          <w:p w14:paraId="3851D442" w14:textId="77777777" w:rsidR="000C2C41" w:rsidRPr="008422C4" w:rsidRDefault="000C2C41" w:rsidP="000C2C41">
            <w:pPr>
              <w:kinsoku w:val="0"/>
              <w:overflowPunct w:val="0"/>
              <w:autoSpaceDE w:val="0"/>
              <w:autoSpaceDN w:val="0"/>
              <w:adjustRightInd w:val="0"/>
              <w:spacing w:line="244" w:lineRule="auto"/>
              <w:ind w:left="103" w:right="251" w:firstLine="0"/>
              <w:rPr>
                <w:szCs w:val="22"/>
                <w:lang w:eastAsia="en-US"/>
              </w:rPr>
            </w:pPr>
            <w:r w:rsidRPr="008422C4">
              <w:rPr>
                <w:szCs w:val="22"/>
                <w:lang w:eastAsia="en-US"/>
              </w:rPr>
              <w:t>Cerebrovaskulárna príhoda</w:t>
            </w:r>
            <w:r w:rsidRPr="008422C4">
              <w:rPr>
                <w:position w:val="9"/>
                <w:szCs w:val="22"/>
                <w:lang w:eastAsia="en-US"/>
              </w:rPr>
              <w:t>◊</w:t>
            </w:r>
            <w:r w:rsidRPr="008422C4">
              <w:rPr>
                <w:szCs w:val="22"/>
                <w:lang w:eastAsia="en-US"/>
              </w:rPr>
              <w:t>, závrat, synkopa</w:t>
            </w:r>
          </w:p>
        </w:tc>
      </w:tr>
      <w:tr w:rsidR="000C2C41" w:rsidRPr="003A5C41" w14:paraId="3575FA8C" w14:textId="77777777" w:rsidTr="008422C4">
        <w:trPr>
          <w:trHeight w:hRule="exact" w:val="783"/>
        </w:trPr>
        <w:tc>
          <w:tcPr>
            <w:tcW w:w="2432" w:type="dxa"/>
            <w:tcBorders>
              <w:top w:val="none" w:sz="6" w:space="0" w:color="auto"/>
              <w:left w:val="single" w:sz="4" w:space="0" w:color="000000"/>
              <w:bottom w:val="none" w:sz="6" w:space="0" w:color="auto"/>
              <w:right w:val="single" w:sz="4" w:space="0" w:color="000000"/>
            </w:tcBorders>
          </w:tcPr>
          <w:p w14:paraId="1EA53318" w14:textId="77777777" w:rsidR="000C2C41" w:rsidRPr="008422C4" w:rsidRDefault="000C2C41" w:rsidP="000C2C41">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none" w:sz="6" w:space="0" w:color="auto"/>
              <w:right w:val="single" w:sz="4" w:space="0" w:color="000000"/>
            </w:tcBorders>
          </w:tcPr>
          <w:p w14:paraId="42A5E09B" w14:textId="77777777" w:rsidR="000C2C41" w:rsidRPr="008422C4" w:rsidRDefault="000C2C41" w:rsidP="000C2C41">
            <w:pPr>
              <w:kinsoku w:val="0"/>
              <w:overflowPunct w:val="0"/>
              <w:autoSpaceDE w:val="0"/>
              <w:autoSpaceDN w:val="0"/>
              <w:adjustRightInd w:val="0"/>
              <w:spacing w:before="7"/>
              <w:ind w:left="0" w:firstLine="0"/>
              <w:rPr>
                <w:szCs w:val="22"/>
                <w:lang w:eastAsia="en-US"/>
              </w:rPr>
            </w:pPr>
          </w:p>
          <w:p w14:paraId="70A67FAF" w14:textId="77777777" w:rsidR="000C2C41" w:rsidRPr="008422C4" w:rsidRDefault="000C2C41" w:rsidP="000C2C41">
            <w:pPr>
              <w:kinsoku w:val="0"/>
              <w:overflowPunct w:val="0"/>
              <w:autoSpaceDE w:val="0"/>
              <w:autoSpaceDN w:val="0"/>
              <w:adjustRightInd w:val="0"/>
              <w:spacing w:before="1" w:line="253" w:lineRule="exact"/>
              <w:ind w:left="103" w:firstLine="0"/>
              <w:rPr>
                <w:szCs w:val="22"/>
                <w:lang w:eastAsia="en-US"/>
              </w:rPr>
            </w:pPr>
            <w:r w:rsidRPr="008422C4">
              <w:rPr>
                <w:szCs w:val="22"/>
                <w:u w:val="single"/>
                <w:lang w:eastAsia="en-US"/>
              </w:rPr>
              <w:t>Časté</w:t>
            </w:r>
          </w:p>
          <w:p w14:paraId="3E7D5390" w14:textId="77777777" w:rsidR="000C2C41" w:rsidRPr="008422C4" w:rsidRDefault="000C2C41" w:rsidP="000C2C41">
            <w:pPr>
              <w:kinsoku w:val="0"/>
              <w:overflowPunct w:val="0"/>
              <w:autoSpaceDE w:val="0"/>
              <w:autoSpaceDN w:val="0"/>
              <w:adjustRightInd w:val="0"/>
              <w:spacing w:line="253" w:lineRule="exact"/>
              <w:ind w:left="103" w:firstLine="0"/>
              <w:rPr>
                <w:szCs w:val="22"/>
                <w:lang w:eastAsia="en-US"/>
              </w:rPr>
            </w:pPr>
            <w:r w:rsidRPr="008422C4">
              <w:rPr>
                <w:szCs w:val="22"/>
                <w:lang w:eastAsia="en-US"/>
              </w:rPr>
              <w:t>Ataxia, porucha rovnováhy</w:t>
            </w:r>
          </w:p>
        </w:tc>
        <w:tc>
          <w:tcPr>
            <w:tcW w:w="3555" w:type="dxa"/>
            <w:tcBorders>
              <w:top w:val="none" w:sz="6" w:space="0" w:color="auto"/>
              <w:left w:val="single" w:sz="4" w:space="0" w:color="000000"/>
              <w:bottom w:val="none" w:sz="6" w:space="0" w:color="auto"/>
              <w:right w:val="single" w:sz="4" w:space="0" w:color="000000"/>
            </w:tcBorders>
          </w:tcPr>
          <w:p w14:paraId="68FB7FDF" w14:textId="77777777" w:rsidR="000C2C41" w:rsidRPr="008422C4" w:rsidRDefault="000C2C41" w:rsidP="000C2C41">
            <w:pPr>
              <w:kinsoku w:val="0"/>
              <w:overflowPunct w:val="0"/>
              <w:autoSpaceDE w:val="0"/>
              <w:autoSpaceDN w:val="0"/>
              <w:adjustRightInd w:val="0"/>
              <w:spacing w:before="19" w:line="253" w:lineRule="exact"/>
              <w:ind w:left="103" w:firstLine="0"/>
              <w:rPr>
                <w:szCs w:val="22"/>
                <w:lang w:eastAsia="en-US"/>
              </w:rPr>
            </w:pPr>
            <w:r w:rsidRPr="008422C4">
              <w:rPr>
                <w:szCs w:val="22"/>
                <w:u w:val="single"/>
                <w:lang w:eastAsia="en-US"/>
              </w:rPr>
              <w:t>Menej časté</w:t>
            </w:r>
          </w:p>
          <w:p w14:paraId="13656F92" w14:textId="228F4D0C" w:rsidR="000C2C41" w:rsidRPr="008422C4" w:rsidRDefault="000C2C41" w:rsidP="000C2C41">
            <w:pPr>
              <w:kinsoku w:val="0"/>
              <w:overflowPunct w:val="0"/>
              <w:autoSpaceDE w:val="0"/>
              <w:autoSpaceDN w:val="0"/>
              <w:adjustRightInd w:val="0"/>
              <w:ind w:left="103" w:right="190" w:firstLine="0"/>
              <w:rPr>
                <w:szCs w:val="22"/>
                <w:lang w:eastAsia="en-US"/>
              </w:rPr>
            </w:pPr>
            <w:r w:rsidRPr="008422C4">
              <w:rPr>
                <w:szCs w:val="22"/>
                <w:lang w:eastAsia="en-US"/>
              </w:rPr>
              <w:t>Intrakraniálne krvácanie, tranzi</w:t>
            </w:r>
            <w:r w:rsidR="008B7EFE">
              <w:rPr>
                <w:szCs w:val="22"/>
                <w:lang w:eastAsia="en-US"/>
              </w:rPr>
              <w:t>tórny</w:t>
            </w:r>
            <w:r w:rsidRPr="008422C4">
              <w:rPr>
                <w:szCs w:val="22"/>
                <w:lang w:eastAsia="en-US"/>
              </w:rPr>
              <w:t xml:space="preserve"> ischemick</w:t>
            </w:r>
            <w:r w:rsidR="008B7EFE">
              <w:rPr>
                <w:szCs w:val="22"/>
                <w:lang w:eastAsia="en-US"/>
              </w:rPr>
              <w:t>ý</w:t>
            </w:r>
            <w:r w:rsidRPr="008422C4">
              <w:rPr>
                <w:szCs w:val="22"/>
                <w:lang w:eastAsia="en-US"/>
              </w:rPr>
              <w:t xml:space="preserve"> </w:t>
            </w:r>
            <w:r w:rsidR="008B7EFE">
              <w:rPr>
                <w:szCs w:val="22"/>
                <w:lang w:eastAsia="en-US"/>
              </w:rPr>
              <w:t>atak</w:t>
            </w:r>
            <w:r w:rsidRPr="008422C4">
              <w:rPr>
                <w:szCs w:val="22"/>
                <w:lang w:eastAsia="en-US"/>
              </w:rPr>
              <w:t>, cerebrálna</w:t>
            </w:r>
          </w:p>
        </w:tc>
      </w:tr>
      <w:tr w:rsidR="000C2C41" w:rsidRPr="003A5C41" w14:paraId="5BD21D30" w14:textId="77777777" w:rsidTr="008422C4">
        <w:trPr>
          <w:trHeight w:hRule="exact" w:val="253"/>
        </w:trPr>
        <w:tc>
          <w:tcPr>
            <w:tcW w:w="2432" w:type="dxa"/>
            <w:tcBorders>
              <w:top w:val="none" w:sz="6" w:space="0" w:color="auto"/>
              <w:left w:val="single" w:sz="4" w:space="0" w:color="000000"/>
              <w:bottom w:val="single" w:sz="4" w:space="0" w:color="000000"/>
              <w:right w:val="single" w:sz="4" w:space="0" w:color="000000"/>
            </w:tcBorders>
          </w:tcPr>
          <w:p w14:paraId="0A19A3C8" w14:textId="77777777" w:rsidR="000C2C41" w:rsidRPr="008422C4" w:rsidRDefault="000C2C41" w:rsidP="000C2C41">
            <w:pPr>
              <w:autoSpaceDE w:val="0"/>
              <w:autoSpaceDN w:val="0"/>
              <w:adjustRightInd w:val="0"/>
              <w:ind w:left="0" w:firstLine="0"/>
              <w:rPr>
                <w:szCs w:val="22"/>
                <w:lang w:eastAsia="en-US"/>
              </w:rPr>
            </w:pPr>
          </w:p>
        </w:tc>
        <w:tc>
          <w:tcPr>
            <w:tcW w:w="3364" w:type="dxa"/>
            <w:tcBorders>
              <w:top w:val="none" w:sz="6" w:space="0" w:color="auto"/>
              <w:left w:val="single" w:sz="4" w:space="0" w:color="000000"/>
              <w:bottom w:val="single" w:sz="4" w:space="0" w:color="000000"/>
              <w:right w:val="single" w:sz="4" w:space="0" w:color="000000"/>
            </w:tcBorders>
          </w:tcPr>
          <w:p w14:paraId="14ACD7BF" w14:textId="77777777" w:rsidR="000C2C41" w:rsidRPr="008422C4" w:rsidRDefault="000C2C41" w:rsidP="000C2C41">
            <w:pPr>
              <w:autoSpaceDE w:val="0"/>
              <w:autoSpaceDN w:val="0"/>
              <w:adjustRightInd w:val="0"/>
              <w:ind w:left="0" w:firstLine="0"/>
              <w:rPr>
                <w:szCs w:val="22"/>
                <w:lang w:eastAsia="en-US"/>
              </w:rPr>
            </w:pPr>
          </w:p>
        </w:tc>
        <w:tc>
          <w:tcPr>
            <w:tcW w:w="3555" w:type="dxa"/>
            <w:tcBorders>
              <w:top w:val="none" w:sz="6" w:space="0" w:color="auto"/>
              <w:left w:val="single" w:sz="4" w:space="0" w:color="000000"/>
              <w:bottom w:val="single" w:sz="4" w:space="0" w:color="000000"/>
              <w:right w:val="single" w:sz="4" w:space="0" w:color="000000"/>
            </w:tcBorders>
          </w:tcPr>
          <w:p w14:paraId="45DD74AE" w14:textId="77777777" w:rsidR="000C2C41" w:rsidRPr="008422C4" w:rsidRDefault="000C2C41" w:rsidP="000C2C41">
            <w:pPr>
              <w:kinsoku w:val="0"/>
              <w:overflowPunct w:val="0"/>
              <w:autoSpaceDE w:val="0"/>
              <w:autoSpaceDN w:val="0"/>
              <w:adjustRightInd w:val="0"/>
              <w:spacing w:line="248" w:lineRule="exact"/>
              <w:ind w:left="103" w:firstLine="0"/>
              <w:rPr>
                <w:szCs w:val="22"/>
                <w:lang w:eastAsia="en-US"/>
              </w:rPr>
            </w:pPr>
            <w:r w:rsidRPr="008422C4">
              <w:rPr>
                <w:szCs w:val="22"/>
                <w:lang w:eastAsia="en-US"/>
              </w:rPr>
              <w:t>ischémia</w:t>
            </w:r>
          </w:p>
        </w:tc>
      </w:tr>
      <w:tr w:rsidR="000C2C41" w:rsidRPr="003A5C41" w14:paraId="7B007A7C" w14:textId="77777777" w:rsidTr="008422C4">
        <w:trPr>
          <w:trHeight w:hRule="exact" w:val="1299"/>
        </w:trPr>
        <w:tc>
          <w:tcPr>
            <w:tcW w:w="2432" w:type="dxa"/>
            <w:tcBorders>
              <w:top w:val="single" w:sz="4" w:space="0" w:color="000000"/>
              <w:left w:val="single" w:sz="4" w:space="0" w:color="000000"/>
              <w:bottom w:val="single" w:sz="3" w:space="0" w:color="000000"/>
              <w:right w:val="single" w:sz="4" w:space="0" w:color="000000"/>
            </w:tcBorders>
          </w:tcPr>
          <w:p w14:paraId="26B69C72" w14:textId="77777777" w:rsidR="000C2C41" w:rsidRPr="008422C4" w:rsidRDefault="000C2C41" w:rsidP="000C2C41">
            <w:pPr>
              <w:kinsoku w:val="0"/>
              <w:overflowPunct w:val="0"/>
              <w:autoSpaceDE w:val="0"/>
              <w:autoSpaceDN w:val="0"/>
              <w:adjustRightInd w:val="0"/>
              <w:spacing w:before="1"/>
              <w:ind w:left="103" w:firstLine="0"/>
              <w:rPr>
                <w:szCs w:val="22"/>
                <w:lang w:eastAsia="en-US"/>
              </w:rPr>
            </w:pPr>
            <w:r w:rsidRPr="008422C4">
              <w:rPr>
                <w:b/>
                <w:bCs/>
                <w:szCs w:val="22"/>
                <w:lang w:eastAsia="en-US"/>
              </w:rPr>
              <w:t>Poruchy oka</w:t>
            </w:r>
          </w:p>
        </w:tc>
        <w:tc>
          <w:tcPr>
            <w:tcW w:w="3364" w:type="dxa"/>
            <w:tcBorders>
              <w:top w:val="single" w:sz="4" w:space="0" w:color="000000"/>
              <w:left w:val="single" w:sz="4" w:space="0" w:color="000000"/>
              <w:bottom w:val="single" w:sz="3" w:space="0" w:color="000000"/>
              <w:right w:val="single" w:sz="4" w:space="0" w:color="000000"/>
            </w:tcBorders>
          </w:tcPr>
          <w:p w14:paraId="469C8B5E" w14:textId="77777777" w:rsidR="000C2C41" w:rsidRPr="008422C4" w:rsidRDefault="000C2C41" w:rsidP="000C2C41">
            <w:pPr>
              <w:kinsoku w:val="0"/>
              <w:overflowPunct w:val="0"/>
              <w:autoSpaceDE w:val="0"/>
              <w:autoSpaceDN w:val="0"/>
              <w:adjustRightInd w:val="0"/>
              <w:spacing w:before="1" w:line="252" w:lineRule="exact"/>
              <w:ind w:left="103" w:firstLine="0"/>
              <w:rPr>
                <w:szCs w:val="22"/>
                <w:lang w:eastAsia="en-US"/>
              </w:rPr>
            </w:pPr>
            <w:r w:rsidRPr="008422C4">
              <w:rPr>
                <w:szCs w:val="22"/>
                <w:u w:val="single"/>
                <w:lang w:eastAsia="en-US"/>
              </w:rPr>
              <w:t>Veľmi časté</w:t>
            </w:r>
          </w:p>
          <w:p w14:paraId="7E9B79B3" w14:textId="77777777" w:rsidR="000C2C41" w:rsidRPr="008422C4" w:rsidRDefault="000C2C41" w:rsidP="000C2C41">
            <w:pPr>
              <w:kinsoku w:val="0"/>
              <w:overflowPunct w:val="0"/>
              <w:autoSpaceDE w:val="0"/>
              <w:autoSpaceDN w:val="0"/>
              <w:adjustRightInd w:val="0"/>
              <w:spacing w:line="252" w:lineRule="exact"/>
              <w:ind w:left="103" w:firstLine="0"/>
              <w:rPr>
                <w:szCs w:val="22"/>
                <w:lang w:eastAsia="en-US"/>
              </w:rPr>
            </w:pPr>
            <w:r w:rsidRPr="008422C4">
              <w:rPr>
                <w:szCs w:val="22"/>
                <w:lang w:eastAsia="en-US"/>
              </w:rPr>
              <w:t>Katarakta, rozmazané videnie</w:t>
            </w:r>
          </w:p>
          <w:p w14:paraId="2D98BF17" w14:textId="77777777" w:rsidR="000C2C41" w:rsidRPr="008422C4" w:rsidRDefault="000C2C41" w:rsidP="000C2C41">
            <w:pPr>
              <w:kinsoku w:val="0"/>
              <w:overflowPunct w:val="0"/>
              <w:autoSpaceDE w:val="0"/>
              <w:autoSpaceDN w:val="0"/>
              <w:adjustRightInd w:val="0"/>
              <w:spacing w:before="10"/>
              <w:ind w:left="0" w:firstLine="0"/>
              <w:rPr>
                <w:szCs w:val="22"/>
                <w:lang w:eastAsia="en-US"/>
              </w:rPr>
            </w:pPr>
          </w:p>
          <w:p w14:paraId="57E7A0F5" w14:textId="77777777" w:rsidR="000C2C41" w:rsidRPr="008422C4" w:rsidRDefault="000C2C41" w:rsidP="000C2C41">
            <w:pPr>
              <w:kinsoku w:val="0"/>
              <w:overflowPunct w:val="0"/>
              <w:autoSpaceDE w:val="0"/>
              <w:autoSpaceDN w:val="0"/>
              <w:adjustRightInd w:val="0"/>
              <w:spacing w:before="1"/>
              <w:ind w:left="103" w:firstLine="0"/>
              <w:rPr>
                <w:szCs w:val="22"/>
                <w:lang w:eastAsia="en-US"/>
              </w:rPr>
            </w:pPr>
            <w:r w:rsidRPr="008422C4">
              <w:rPr>
                <w:szCs w:val="22"/>
                <w:u w:val="single"/>
                <w:lang w:eastAsia="en-US"/>
              </w:rPr>
              <w:t>Časté</w:t>
            </w:r>
          </w:p>
          <w:p w14:paraId="6C16BB68" w14:textId="77777777" w:rsidR="000C2C41" w:rsidRPr="008422C4" w:rsidRDefault="000C2C41" w:rsidP="000C2C41">
            <w:pPr>
              <w:kinsoku w:val="0"/>
              <w:overflowPunct w:val="0"/>
              <w:autoSpaceDE w:val="0"/>
              <w:autoSpaceDN w:val="0"/>
              <w:adjustRightInd w:val="0"/>
              <w:spacing w:before="1"/>
              <w:ind w:left="103" w:firstLine="0"/>
              <w:rPr>
                <w:szCs w:val="22"/>
                <w:lang w:eastAsia="en-US"/>
              </w:rPr>
            </w:pPr>
            <w:r w:rsidRPr="008422C4">
              <w:rPr>
                <w:szCs w:val="22"/>
                <w:lang w:eastAsia="en-US"/>
              </w:rPr>
              <w:t>Znížená ostrosť videnia</w:t>
            </w:r>
          </w:p>
        </w:tc>
        <w:tc>
          <w:tcPr>
            <w:tcW w:w="3555" w:type="dxa"/>
            <w:tcBorders>
              <w:top w:val="single" w:sz="4" w:space="0" w:color="000000"/>
              <w:left w:val="single" w:sz="4" w:space="0" w:color="000000"/>
              <w:bottom w:val="single" w:sz="3" w:space="0" w:color="000000"/>
              <w:right w:val="single" w:sz="4" w:space="0" w:color="000000"/>
            </w:tcBorders>
          </w:tcPr>
          <w:p w14:paraId="3F206DE8" w14:textId="77777777" w:rsidR="000C2C41" w:rsidRPr="008422C4" w:rsidRDefault="000C2C41" w:rsidP="000C2C41">
            <w:pPr>
              <w:kinsoku w:val="0"/>
              <w:overflowPunct w:val="0"/>
              <w:autoSpaceDE w:val="0"/>
              <w:autoSpaceDN w:val="0"/>
              <w:adjustRightInd w:val="0"/>
              <w:spacing w:before="1" w:line="252" w:lineRule="exact"/>
              <w:ind w:left="103" w:firstLine="0"/>
              <w:rPr>
                <w:szCs w:val="22"/>
                <w:lang w:eastAsia="en-US"/>
              </w:rPr>
            </w:pPr>
            <w:r w:rsidRPr="008422C4">
              <w:rPr>
                <w:szCs w:val="22"/>
                <w:u w:val="single"/>
                <w:lang w:eastAsia="en-US"/>
              </w:rPr>
              <w:t>Časté</w:t>
            </w:r>
          </w:p>
          <w:p w14:paraId="5A253120" w14:textId="77777777" w:rsidR="000C2C41" w:rsidRPr="008422C4" w:rsidRDefault="000C2C41" w:rsidP="000C2C41">
            <w:pPr>
              <w:kinsoku w:val="0"/>
              <w:overflowPunct w:val="0"/>
              <w:autoSpaceDE w:val="0"/>
              <w:autoSpaceDN w:val="0"/>
              <w:adjustRightInd w:val="0"/>
              <w:spacing w:line="252" w:lineRule="exact"/>
              <w:ind w:left="103" w:firstLine="0"/>
              <w:rPr>
                <w:szCs w:val="22"/>
                <w:lang w:eastAsia="en-US"/>
              </w:rPr>
            </w:pPr>
            <w:r w:rsidRPr="008422C4">
              <w:rPr>
                <w:szCs w:val="22"/>
                <w:lang w:eastAsia="en-US"/>
              </w:rPr>
              <w:t>Katarakta</w:t>
            </w:r>
          </w:p>
          <w:p w14:paraId="5FDA7C47" w14:textId="77777777" w:rsidR="000C2C41" w:rsidRPr="008422C4" w:rsidRDefault="000C2C41" w:rsidP="000C2C41">
            <w:pPr>
              <w:kinsoku w:val="0"/>
              <w:overflowPunct w:val="0"/>
              <w:autoSpaceDE w:val="0"/>
              <w:autoSpaceDN w:val="0"/>
              <w:adjustRightInd w:val="0"/>
              <w:spacing w:before="10"/>
              <w:ind w:left="0" w:firstLine="0"/>
              <w:rPr>
                <w:szCs w:val="22"/>
                <w:lang w:eastAsia="en-US"/>
              </w:rPr>
            </w:pPr>
          </w:p>
          <w:p w14:paraId="5BDE9FF6" w14:textId="77777777" w:rsidR="000C2C41" w:rsidRPr="008422C4" w:rsidRDefault="000C2C41" w:rsidP="000C2C41">
            <w:pPr>
              <w:kinsoku w:val="0"/>
              <w:overflowPunct w:val="0"/>
              <w:autoSpaceDE w:val="0"/>
              <w:autoSpaceDN w:val="0"/>
              <w:adjustRightInd w:val="0"/>
              <w:spacing w:before="1"/>
              <w:ind w:left="103" w:firstLine="0"/>
              <w:rPr>
                <w:szCs w:val="22"/>
                <w:lang w:eastAsia="en-US"/>
              </w:rPr>
            </w:pPr>
            <w:r w:rsidRPr="008422C4">
              <w:rPr>
                <w:szCs w:val="22"/>
                <w:u w:val="single"/>
                <w:lang w:eastAsia="en-US"/>
              </w:rPr>
              <w:t>Menej časté</w:t>
            </w:r>
          </w:p>
          <w:p w14:paraId="06AB76FD" w14:textId="77777777" w:rsidR="000C2C41" w:rsidRPr="008422C4" w:rsidRDefault="000C2C41" w:rsidP="000C2C41">
            <w:pPr>
              <w:kinsoku w:val="0"/>
              <w:overflowPunct w:val="0"/>
              <w:autoSpaceDE w:val="0"/>
              <w:autoSpaceDN w:val="0"/>
              <w:adjustRightInd w:val="0"/>
              <w:spacing w:before="1"/>
              <w:ind w:left="103" w:firstLine="0"/>
              <w:rPr>
                <w:szCs w:val="22"/>
                <w:lang w:eastAsia="en-US"/>
              </w:rPr>
            </w:pPr>
            <w:r w:rsidRPr="008422C4">
              <w:rPr>
                <w:szCs w:val="22"/>
                <w:lang w:eastAsia="en-US"/>
              </w:rPr>
              <w:t>Slepota</w:t>
            </w:r>
          </w:p>
        </w:tc>
      </w:tr>
      <w:tr w:rsidR="000C2C41" w:rsidRPr="003A5C41" w14:paraId="39826130" w14:textId="77777777" w:rsidTr="008422C4">
        <w:trPr>
          <w:trHeight w:hRule="exact" w:val="770"/>
        </w:trPr>
        <w:tc>
          <w:tcPr>
            <w:tcW w:w="2432" w:type="dxa"/>
            <w:tcBorders>
              <w:top w:val="single" w:sz="3" w:space="0" w:color="000000"/>
              <w:left w:val="single" w:sz="4" w:space="0" w:color="000000"/>
              <w:bottom w:val="single" w:sz="4" w:space="0" w:color="000000"/>
              <w:right w:val="single" w:sz="4" w:space="0" w:color="000000"/>
            </w:tcBorders>
          </w:tcPr>
          <w:p w14:paraId="5C67D830" w14:textId="77777777" w:rsidR="000C2C41" w:rsidRPr="008422C4" w:rsidRDefault="000C2C41" w:rsidP="000C2C41">
            <w:pPr>
              <w:kinsoku w:val="0"/>
              <w:overflowPunct w:val="0"/>
              <w:autoSpaceDE w:val="0"/>
              <w:autoSpaceDN w:val="0"/>
              <w:adjustRightInd w:val="0"/>
              <w:ind w:left="103" w:right="832" w:firstLine="0"/>
              <w:rPr>
                <w:szCs w:val="22"/>
                <w:lang w:eastAsia="en-US"/>
              </w:rPr>
            </w:pPr>
            <w:r w:rsidRPr="008422C4">
              <w:rPr>
                <w:b/>
                <w:bCs/>
                <w:szCs w:val="22"/>
                <w:lang w:eastAsia="en-US"/>
              </w:rPr>
              <w:t>Poruchy ucha a labyrintu</w:t>
            </w:r>
          </w:p>
        </w:tc>
        <w:tc>
          <w:tcPr>
            <w:tcW w:w="3364" w:type="dxa"/>
            <w:tcBorders>
              <w:top w:val="single" w:sz="3" w:space="0" w:color="000000"/>
              <w:left w:val="single" w:sz="4" w:space="0" w:color="000000"/>
              <w:bottom w:val="single" w:sz="4" w:space="0" w:color="000000"/>
              <w:right w:val="single" w:sz="4" w:space="0" w:color="000000"/>
            </w:tcBorders>
          </w:tcPr>
          <w:p w14:paraId="16DD8E12" w14:textId="77777777" w:rsidR="000C2C41" w:rsidRPr="008422C4" w:rsidRDefault="000C2C41" w:rsidP="000C2C41">
            <w:pPr>
              <w:kinsoku w:val="0"/>
              <w:overflowPunct w:val="0"/>
              <w:autoSpaceDE w:val="0"/>
              <w:autoSpaceDN w:val="0"/>
              <w:adjustRightInd w:val="0"/>
              <w:spacing w:line="252" w:lineRule="exact"/>
              <w:ind w:left="103" w:firstLine="0"/>
              <w:rPr>
                <w:szCs w:val="22"/>
                <w:lang w:eastAsia="en-US"/>
              </w:rPr>
            </w:pPr>
            <w:r w:rsidRPr="008422C4">
              <w:rPr>
                <w:szCs w:val="22"/>
                <w:u w:val="single"/>
                <w:lang w:eastAsia="en-US"/>
              </w:rPr>
              <w:t>Časté</w:t>
            </w:r>
          </w:p>
          <w:p w14:paraId="4C9FF9D7" w14:textId="77777777" w:rsidR="000C2C41" w:rsidRPr="008422C4" w:rsidRDefault="000C2C41" w:rsidP="000C2C41">
            <w:pPr>
              <w:kinsoku w:val="0"/>
              <w:overflowPunct w:val="0"/>
              <w:autoSpaceDE w:val="0"/>
              <w:autoSpaceDN w:val="0"/>
              <w:adjustRightInd w:val="0"/>
              <w:spacing w:before="1"/>
              <w:ind w:left="103" w:right="452" w:firstLine="0"/>
              <w:rPr>
                <w:szCs w:val="22"/>
                <w:lang w:eastAsia="en-US"/>
              </w:rPr>
            </w:pPr>
            <w:r w:rsidRPr="008422C4">
              <w:rPr>
                <w:szCs w:val="22"/>
                <w:lang w:eastAsia="en-US"/>
              </w:rPr>
              <w:t>Hluchota (vrátane hypoakúzie), tinnitus</w:t>
            </w:r>
          </w:p>
        </w:tc>
        <w:tc>
          <w:tcPr>
            <w:tcW w:w="3555" w:type="dxa"/>
            <w:tcBorders>
              <w:top w:val="single" w:sz="3" w:space="0" w:color="000000"/>
              <w:left w:val="single" w:sz="4" w:space="0" w:color="000000"/>
              <w:bottom w:val="single" w:sz="4" w:space="0" w:color="000000"/>
              <w:right w:val="single" w:sz="4" w:space="0" w:color="000000"/>
            </w:tcBorders>
          </w:tcPr>
          <w:p w14:paraId="30409AE0" w14:textId="77777777" w:rsidR="000C2C41" w:rsidRPr="008422C4" w:rsidRDefault="000C2C41" w:rsidP="000C2C41">
            <w:pPr>
              <w:autoSpaceDE w:val="0"/>
              <w:autoSpaceDN w:val="0"/>
              <w:adjustRightInd w:val="0"/>
              <w:ind w:left="0" w:firstLine="0"/>
              <w:rPr>
                <w:szCs w:val="22"/>
                <w:lang w:eastAsia="en-US"/>
              </w:rPr>
            </w:pPr>
          </w:p>
        </w:tc>
      </w:tr>
      <w:tr w:rsidR="000C2C41" w:rsidRPr="003A5C41" w14:paraId="6726929C" w14:textId="77777777" w:rsidTr="0050037D">
        <w:trPr>
          <w:trHeight w:hRule="exact" w:val="1829"/>
        </w:trPr>
        <w:tc>
          <w:tcPr>
            <w:tcW w:w="2432" w:type="dxa"/>
            <w:tcBorders>
              <w:top w:val="single" w:sz="4" w:space="0" w:color="000000"/>
              <w:left w:val="single" w:sz="4" w:space="0" w:color="000000"/>
              <w:bottom w:val="single" w:sz="4" w:space="0" w:color="000000"/>
              <w:right w:val="single" w:sz="4" w:space="0" w:color="000000"/>
            </w:tcBorders>
          </w:tcPr>
          <w:p w14:paraId="59D731CC" w14:textId="77777777" w:rsidR="000C2C41" w:rsidRPr="008422C4" w:rsidRDefault="000C2C41" w:rsidP="000C2C41">
            <w:pPr>
              <w:kinsoku w:val="0"/>
              <w:overflowPunct w:val="0"/>
              <w:autoSpaceDE w:val="0"/>
              <w:autoSpaceDN w:val="0"/>
              <w:adjustRightInd w:val="0"/>
              <w:spacing w:before="1" w:line="253" w:lineRule="exact"/>
              <w:ind w:left="103" w:firstLine="0"/>
              <w:rPr>
                <w:b/>
                <w:bCs/>
                <w:szCs w:val="22"/>
                <w:lang w:eastAsia="en-US"/>
              </w:rPr>
            </w:pPr>
            <w:r w:rsidRPr="008422C4">
              <w:rPr>
                <w:b/>
                <w:bCs/>
                <w:szCs w:val="22"/>
                <w:lang w:eastAsia="en-US"/>
              </w:rPr>
              <w:t>Poruchy srdca a</w:t>
            </w:r>
          </w:p>
          <w:p w14:paraId="2F9E4444" w14:textId="77777777" w:rsidR="000C2C41" w:rsidRPr="008422C4" w:rsidRDefault="000C2C41" w:rsidP="000C2C41">
            <w:pPr>
              <w:kinsoku w:val="0"/>
              <w:overflowPunct w:val="0"/>
              <w:autoSpaceDE w:val="0"/>
              <w:autoSpaceDN w:val="0"/>
              <w:adjustRightInd w:val="0"/>
              <w:spacing w:line="253" w:lineRule="exact"/>
              <w:ind w:left="103" w:firstLine="0"/>
              <w:rPr>
                <w:szCs w:val="22"/>
                <w:lang w:eastAsia="en-US"/>
              </w:rPr>
            </w:pPr>
            <w:r w:rsidRPr="008422C4">
              <w:rPr>
                <w:b/>
                <w:bCs/>
                <w:szCs w:val="22"/>
                <w:lang w:eastAsia="en-US"/>
              </w:rPr>
              <w:t>srdcovej činnosti</w:t>
            </w:r>
          </w:p>
        </w:tc>
        <w:tc>
          <w:tcPr>
            <w:tcW w:w="3364" w:type="dxa"/>
            <w:tcBorders>
              <w:top w:val="single" w:sz="4" w:space="0" w:color="000000"/>
              <w:left w:val="single" w:sz="4" w:space="0" w:color="000000"/>
              <w:bottom w:val="single" w:sz="4" w:space="0" w:color="000000"/>
              <w:right w:val="single" w:sz="4" w:space="0" w:color="000000"/>
            </w:tcBorders>
          </w:tcPr>
          <w:p w14:paraId="65ADA06B" w14:textId="77777777" w:rsidR="000C2C41" w:rsidRPr="008422C4" w:rsidRDefault="000C2C41" w:rsidP="0050037D">
            <w:pPr>
              <w:kinsoku w:val="0"/>
              <w:overflowPunct w:val="0"/>
              <w:autoSpaceDE w:val="0"/>
              <w:autoSpaceDN w:val="0"/>
              <w:adjustRightInd w:val="0"/>
              <w:spacing w:before="1" w:line="245" w:lineRule="exact"/>
              <w:ind w:left="103" w:firstLine="0"/>
              <w:rPr>
                <w:szCs w:val="22"/>
                <w:lang w:eastAsia="en-US"/>
              </w:rPr>
            </w:pPr>
            <w:r w:rsidRPr="008422C4">
              <w:rPr>
                <w:szCs w:val="22"/>
                <w:u w:val="single"/>
                <w:lang w:eastAsia="en-US"/>
              </w:rPr>
              <w:t>Časté</w:t>
            </w:r>
          </w:p>
          <w:p w14:paraId="50F02028" w14:textId="77777777" w:rsidR="000C2C41" w:rsidRPr="008422C4" w:rsidRDefault="000C2C41" w:rsidP="0050037D">
            <w:pPr>
              <w:kinsoku w:val="0"/>
              <w:overflowPunct w:val="0"/>
              <w:autoSpaceDE w:val="0"/>
              <w:autoSpaceDN w:val="0"/>
              <w:adjustRightInd w:val="0"/>
              <w:spacing w:line="279" w:lineRule="exact"/>
              <w:ind w:left="103" w:firstLine="0"/>
              <w:rPr>
                <w:szCs w:val="22"/>
                <w:lang w:eastAsia="en-US"/>
              </w:rPr>
            </w:pPr>
            <w:r w:rsidRPr="008422C4">
              <w:rPr>
                <w:szCs w:val="22"/>
                <w:lang w:eastAsia="en-US"/>
              </w:rPr>
              <w:t>Atriálna fibrilácia</w:t>
            </w:r>
            <w:r w:rsidRPr="008422C4">
              <w:rPr>
                <w:position w:val="9"/>
                <w:szCs w:val="22"/>
                <w:lang w:eastAsia="en-US"/>
              </w:rPr>
              <w:t>◊</w:t>
            </w:r>
            <w:r w:rsidRPr="008422C4">
              <w:rPr>
                <w:szCs w:val="22"/>
                <w:lang w:eastAsia="en-US"/>
              </w:rPr>
              <w:t>, bradykardia</w:t>
            </w:r>
          </w:p>
          <w:p w14:paraId="270E7EF7" w14:textId="77777777" w:rsidR="000C2C41" w:rsidRPr="008422C4" w:rsidRDefault="000C2C41" w:rsidP="00BE011D">
            <w:pPr>
              <w:kinsoku w:val="0"/>
              <w:overflowPunct w:val="0"/>
              <w:autoSpaceDE w:val="0"/>
              <w:autoSpaceDN w:val="0"/>
              <w:adjustRightInd w:val="0"/>
              <w:spacing w:before="3"/>
              <w:ind w:left="0" w:firstLine="0"/>
              <w:rPr>
                <w:szCs w:val="22"/>
                <w:lang w:eastAsia="en-US"/>
              </w:rPr>
            </w:pPr>
          </w:p>
          <w:p w14:paraId="72299ACD" w14:textId="77777777" w:rsidR="000C2C41" w:rsidRPr="008422C4" w:rsidRDefault="000C2C41" w:rsidP="008B7EFE">
            <w:pPr>
              <w:kinsoku w:val="0"/>
              <w:overflowPunct w:val="0"/>
              <w:autoSpaceDE w:val="0"/>
              <w:autoSpaceDN w:val="0"/>
              <w:adjustRightInd w:val="0"/>
              <w:spacing w:line="252" w:lineRule="exact"/>
              <w:ind w:left="103" w:firstLine="0"/>
              <w:rPr>
                <w:szCs w:val="22"/>
                <w:lang w:eastAsia="en-US"/>
              </w:rPr>
            </w:pPr>
            <w:r w:rsidRPr="008422C4">
              <w:rPr>
                <w:szCs w:val="22"/>
                <w:u w:val="single"/>
                <w:lang w:eastAsia="en-US"/>
              </w:rPr>
              <w:t>Menej časté</w:t>
            </w:r>
          </w:p>
          <w:p w14:paraId="412498D8" w14:textId="77777777" w:rsidR="000C2C41" w:rsidRPr="008422C4" w:rsidRDefault="000C2C41" w:rsidP="00105B97">
            <w:pPr>
              <w:kinsoku w:val="0"/>
              <w:overflowPunct w:val="0"/>
              <w:autoSpaceDE w:val="0"/>
              <w:autoSpaceDN w:val="0"/>
              <w:adjustRightInd w:val="0"/>
              <w:ind w:left="103" w:right="232" w:firstLine="0"/>
              <w:rPr>
                <w:szCs w:val="22"/>
                <w:lang w:eastAsia="en-US"/>
              </w:rPr>
            </w:pPr>
            <w:r w:rsidRPr="008422C4">
              <w:rPr>
                <w:szCs w:val="22"/>
                <w:lang w:eastAsia="en-US"/>
              </w:rPr>
              <w:t>Arytmia, predĺženie QT intervalu, atriálny flutter, ventrikulárne extrasystoly</w:t>
            </w:r>
          </w:p>
        </w:tc>
        <w:tc>
          <w:tcPr>
            <w:tcW w:w="3555" w:type="dxa"/>
            <w:tcBorders>
              <w:top w:val="single" w:sz="4" w:space="0" w:color="000000"/>
              <w:left w:val="single" w:sz="4" w:space="0" w:color="000000"/>
              <w:bottom w:val="single" w:sz="4" w:space="0" w:color="000000"/>
              <w:right w:val="single" w:sz="4" w:space="0" w:color="000000"/>
            </w:tcBorders>
          </w:tcPr>
          <w:p w14:paraId="34085F60" w14:textId="77777777" w:rsidR="000C2C41" w:rsidRPr="008422C4" w:rsidRDefault="000C2C41" w:rsidP="000C2C41">
            <w:pPr>
              <w:kinsoku w:val="0"/>
              <w:overflowPunct w:val="0"/>
              <w:autoSpaceDE w:val="0"/>
              <w:autoSpaceDN w:val="0"/>
              <w:adjustRightInd w:val="0"/>
              <w:spacing w:before="1" w:line="253" w:lineRule="exact"/>
              <w:ind w:left="103" w:firstLine="0"/>
              <w:rPr>
                <w:szCs w:val="22"/>
                <w:lang w:eastAsia="en-US"/>
              </w:rPr>
            </w:pPr>
            <w:r w:rsidRPr="008422C4">
              <w:rPr>
                <w:szCs w:val="22"/>
                <w:u w:val="single"/>
                <w:lang w:eastAsia="en-US"/>
              </w:rPr>
              <w:t>Časté</w:t>
            </w:r>
          </w:p>
          <w:p w14:paraId="403FB599" w14:textId="77777777" w:rsidR="000C2C41" w:rsidRPr="008422C4" w:rsidRDefault="000C2C41" w:rsidP="0050037D">
            <w:pPr>
              <w:kinsoku w:val="0"/>
              <w:overflowPunct w:val="0"/>
              <w:autoSpaceDE w:val="0"/>
              <w:autoSpaceDN w:val="0"/>
              <w:adjustRightInd w:val="0"/>
              <w:spacing w:before="10" w:line="228" w:lineRule="auto"/>
              <w:ind w:left="103" w:right="567" w:firstLine="0"/>
              <w:rPr>
                <w:szCs w:val="22"/>
                <w:lang w:eastAsia="en-US"/>
              </w:rPr>
            </w:pPr>
            <w:r w:rsidRPr="008422C4">
              <w:rPr>
                <w:szCs w:val="22"/>
                <w:lang w:eastAsia="en-US"/>
              </w:rPr>
              <w:t>Infarkt myokardu (vrátane akútneho)^</w:t>
            </w:r>
            <w:r w:rsidRPr="008422C4">
              <w:rPr>
                <w:position w:val="9"/>
                <w:szCs w:val="22"/>
                <w:lang w:eastAsia="en-US"/>
              </w:rPr>
              <w:t>,◊</w:t>
            </w:r>
            <w:r w:rsidRPr="008422C4">
              <w:rPr>
                <w:szCs w:val="22"/>
                <w:lang w:eastAsia="en-US"/>
              </w:rPr>
              <w:t>, atriálna fibrilácia</w:t>
            </w:r>
            <w:r w:rsidRPr="008422C4">
              <w:rPr>
                <w:position w:val="9"/>
                <w:szCs w:val="22"/>
                <w:lang w:eastAsia="en-US"/>
              </w:rPr>
              <w:t>◊</w:t>
            </w:r>
            <w:r w:rsidRPr="008422C4">
              <w:rPr>
                <w:szCs w:val="22"/>
                <w:lang w:eastAsia="en-US"/>
              </w:rPr>
              <w:t>, kongestívne zlyhanie srdca</w:t>
            </w:r>
            <w:r w:rsidRPr="008422C4">
              <w:rPr>
                <w:position w:val="9"/>
                <w:szCs w:val="22"/>
                <w:lang w:eastAsia="en-US"/>
              </w:rPr>
              <w:t>◊</w:t>
            </w:r>
            <w:r w:rsidRPr="008422C4">
              <w:rPr>
                <w:szCs w:val="22"/>
                <w:lang w:eastAsia="en-US"/>
              </w:rPr>
              <w:t>, tachykardia, zlyhanie srdca</w:t>
            </w:r>
            <w:r w:rsidRPr="008422C4">
              <w:rPr>
                <w:position w:val="9"/>
                <w:szCs w:val="22"/>
                <w:lang w:eastAsia="en-US"/>
              </w:rPr>
              <w:t>◊</w:t>
            </w:r>
            <w:r w:rsidRPr="008422C4">
              <w:rPr>
                <w:szCs w:val="22"/>
                <w:lang w:eastAsia="en-US"/>
              </w:rPr>
              <w:t>, ischémia myokardu</w:t>
            </w:r>
            <w:r w:rsidRPr="008422C4">
              <w:rPr>
                <w:position w:val="9"/>
                <w:szCs w:val="22"/>
                <w:lang w:eastAsia="en-US"/>
              </w:rPr>
              <w:t>◊</w:t>
            </w:r>
          </w:p>
        </w:tc>
      </w:tr>
      <w:tr w:rsidR="000C2C41" w:rsidRPr="003A5C41" w14:paraId="0CDE9BD7" w14:textId="77777777" w:rsidTr="0050037D">
        <w:trPr>
          <w:trHeight w:hRule="exact" w:val="3113"/>
        </w:trPr>
        <w:tc>
          <w:tcPr>
            <w:tcW w:w="2432" w:type="dxa"/>
            <w:tcBorders>
              <w:top w:val="single" w:sz="4" w:space="0" w:color="000000"/>
              <w:left w:val="single" w:sz="4" w:space="0" w:color="000000"/>
              <w:bottom w:val="single" w:sz="4" w:space="0" w:color="000000"/>
              <w:right w:val="single" w:sz="4" w:space="0" w:color="000000"/>
            </w:tcBorders>
          </w:tcPr>
          <w:p w14:paraId="4DD35751" w14:textId="77777777" w:rsidR="000C2C41" w:rsidRPr="003A5C41" w:rsidRDefault="000C2C41" w:rsidP="000C2C41">
            <w:pPr>
              <w:kinsoku w:val="0"/>
              <w:overflowPunct w:val="0"/>
              <w:autoSpaceDE w:val="0"/>
              <w:autoSpaceDN w:val="0"/>
              <w:adjustRightInd w:val="0"/>
              <w:spacing w:line="252" w:lineRule="exact"/>
              <w:ind w:left="103" w:firstLine="0"/>
              <w:rPr>
                <w:sz w:val="24"/>
                <w:lang w:eastAsia="en-US"/>
              </w:rPr>
            </w:pPr>
            <w:r w:rsidRPr="003A5C41">
              <w:rPr>
                <w:b/>
                <w:bCs/>
                <w:szCs w:val="22"/>
                <w:lang w:eastAsia="en-US"/>
              </w:rPr>
              <w:t>Poruchy ciev</w:t>
            </w:r>
          </w:p>
        </w:tc>
        <w:tc>
          <w:tcPr>
            <w:tcW w:w="3364" w:type="dxa"/>
            <w:tcBorders>
              <w:top w:val="single" w:sz="4" w:space="0" w:color="000000"/>
              <w:left w:val="single" w:sz="4" w:space="0" w:color="000000"/>
              <w:bottom w:val="single" w:sz="4" w:space="0" w:color="000000"/>
              <w:right w:val="single" w:sz="4" w:space="0" w:color="000000"/>
            </w:tcBorders>
          </w:tcPr>
          <w:p w14:paraId="3FC9A6CD" w14:textId="77777777" w:rsidR="000C2C41" w:rsidRPr="003A5C41" w:rsidRDefault="000C2C41" w:rsidP="000C2C41">
            <w:pPr>
              <w:kinsoku w:val="0"/>
              <w:overflowPunct w:val="0"/>
              <w:autoSpaceDE w:val="0"/>
              <w:autoSpaceDN w:val="0"/>
              <w:adjustRightInd w:val="0"/>
              <w:spacing w:line="251" w:lineRule="exact"/>
              <w:ind w:left="103" w:firstLine="0"/>
              <w:rPr>
                <w:szCs w:val="22"/>
                <w:lang w:eastAsia="en-US"/>
              </w:rPr>
            </w:pPr>
            <w:r w:rsidRPr="003A5C41">
              <w:rPr>
                <w:szCs w:val="22"/>
                <w:u w:val="single"/>
                <w:lang w:eastAsia="en-US"/>
              </w:rPr>
              <w:t>Veľmi časté</w:t>
            </w:r>
          </w:p>
          <w:p w14:paraId="3610E149" w14:textId="77777777" w:rsidR="000C2C41" w:rsidRPr="003A5C41" w:rsidRDefault="000C2C41" w:rsidP="000C2C41">
            <w:pPr>
              <w:kinsoku w:val="0"/>
              <w:overflowPunct w:val="0"/>
              <w:autoSpaceDE w:val="0"/>
              <w:autoSpaceDN w:val="0"/>
              <w:adjustRightInd w:val="0"/>
              <w:spacing w:before="5" w:line="232" w:lineRule="auto"/>
              <w:ind w:left="103" w:right="305" w:firstLine="0"/>
              <w:rPr>
                <w:position w:val="9"/>
                <w:sz w:val="16"/>
                <w:szCs w:val="16"/>
                <w:lang w:eastAsia="en-US"/>
              </w:rPr>
            </w:pPr>
            <w:r w:rsidRPr="003A5C41">
              <w:rPr>
                <w:szCs w:val="22"/>
                <w:lang w:eastAsia="en-US"/>
              </w:rPr>
              <w:t>Venózne tromboembolické príhody, predovšetkým trombóza hlbokých žíl a pľúcna embólia</w:t>
            </w:r>
            <w:r w:rsidR="00BE011D" w:rsidRPr="008422C4">
              <w:rPr>
                <w:szCs w:val="22"/>
                <w:lang w:eastAsia="en-US"/>
              </w:rPr>
              <w:t>^</w:t>
            </w:r>
            <w:r w:rsidR="00BE011D" w:rsidRPr="0050037D">
              <w:rPr>
                <w:position w:val="9"/>
                <w:sz w:val="16"/>
              </w:rPr>
              <w:t>,◊</w:t>
            </w:r>
          </w:p>
          <w:p w14:paraId="409F8D0E" w14:textId="77777777" w:rsidR="000C2C41" w:rsidRPr="003A5C41" w:rsidRDefault="000C2C41" w:rsidP="000C2C41">
            <w:pPr>
              <w:kinsoku w:val="0"/>
              <w:overflowPunct w:val="0"/>
              <w:autoSpaceDE w:val="0"/>
              <w:autoSpaceDN w:val="0"/>
              <w:adjustRightInd w:val="0"/>
              <w:spacing w:before="4"/>
              <w:ind w:left="0" w:firstLine="0"/>
              <w:rPr>
                <w:sz w:val="24"/>
                <w:lang w:eastAsia="en-US"/>
              </w:rPr>
            </w:pPr>
          </w:p>
          <w:p w14:paraId="43F31C44" w14:textId="77777777" w:rsidR="000C2C41" w:rsidRPr="003A5C41" w:rsidRDefault="000C2C41" w:rsidP="000C2C41">
            <w:pPr>
              <w:kinsoku w:val="0"/>
              <w:overflowPunct w:val="0"/>
              <w:autoSpaceDE w:val="0"/>
              <w:autoSpaceDN w:val="0"/>
              <w:adjustRightInd w:val="0"/>
              <w:spacing w:line="245" w:lineRule="exact"/>
              <w:ind w:left="103" w:firstLine="0"/>
              <w:rPr>
                <w:szCs w:val="22"/>
                <w:lang w:eastAsia="en-US"/>
              </w:rPr>
            </w:pPr>
            <w:r w:rsidRPr="003A5C41">
              <w:rPr>
                <w:szCs w:val="22"/>
                <w:u w:val="single"/>
                <w:lang w:eastAsia="en-US"/>
              </w:rPr>
              <w:t>Časté</w:t>
            </w:r>
          </w:p>
          <w:p w14:paraId="60902FCC" w14:textId="77777777" w:rsidR="000C2C41" w:rsidRPr="003A5C41" w:rsidRDefault="000C2C41" w:rsidP="000C2C41">
            <w:pPr>
              <w:kinsoku w:val="0"/>
              <w:overflowPunct w:val="0"/>
              <w:autoSpaceDE w:val="0"/>
              <w:autoSpaceDN w:val="0"/>
              <w:adjustRightInd w:val="0"/>
              <w:spacing w:line="244" w:lineRule="auto"/>
              <w:ind w:left="103" w:right="947" w:firstLine="0"/>
              <w:rPr>
                <w:sz w:val="24"/>
                <w:lang w:eastAsia="en-US"/>
              </w:rPr>
            </w:pPr>
            <w:r w:rsidRPr="003A5C41">
              <w:rPr>
                <w:szCs w:val="22"/>
                <w:lang w:eastAsia="en-US"/>
              </w:rPr>
              <w:t>Hypotenzia</w:t>
            </w:r>
            <w:r w:rsidR="00ED01F0" w:rsidRPr="0050037D">
              <w:rPr>
                <w:position w:val="9"/>
                <w:sz w:val="16"/>
              </w:rPr>
              <w:t>◊</w:t>
            </w:r>
            <w:r w:rsidRPr="003A5C41">
              <w:rPr>
                <w:szCs w:val="22"/>
                <w:lang w:eastAsia="en-US"/>
              </w:rPr>
              <w:t>, hypertenzia, ekchymóza^</w:t>
            </w:r>
          </w:p>
        </w:tc>
        <w:tc>
          <w:tcPr>
            <w:tcW w:w="3555" w:type="dxa"/>
            <w:tcBorders>
              <w:top w:val="single" w:sz="4" w:space="0" w:color="000000"/>
              <w:left w:val="single" w:sz="4" w:space="0" w:color="000000"/>
              <w:bottom w:val="single" w:sz="4" w:space="0" w:color="000000"/>
              <w:right w:val="single" w:sz="4" w:space="0" w:color="000000"/>
            </w:tcBorders>
          </w:tcPr>
          <w:p w14:paraId="16868FCF" w14:textId="77777777" w:rsidR="000C2C41" w:rsidRPr="003A5C41" w:rsidRDefault="000C2C41" w:rsidP="000C2C41">
            <w:pPr>
              <w:kinsoku w:val="0"/>
              <w:overflowPunct w:val="0"/>
              <w:autoSpaceDE w:val="0"/>
              <w:autoSpaceDN w:val="0"/>
              <w:adjustRightInd w:val="0"/>
              <w:spacing w:line="251" w:lineRule="exact"/>
              <w:ind w:left="103" w:firstLine="0"/>
              <w:rPr>
                <w:szCs w:val="22"/>
                <w:lang w:eastAsia="en-US"/>
              </w:rPr>
            </w:pPr>
            <w:r w:rsidRPr="003A5C41">
              <w:rPr>
                <w:szCs w:val="22"/>
                <w:u w:val="single"/>
                <w:lang w:eastAsia="en-US"/>
              </w:rPr>
              <w:t>Veľmi časté</w:t>
            </w:r>
          </w:p>
          <w:p w14:paraId="4347C4DA" w14:textId="77777777" w:rsidR="000C2C41" w:rsidRPr="003A5C41" w:rsidRDefault="000C2C41" w:rsidP="000C2C41">
            <w:pPr>
              <w:kinsoku w:val="0"/>
              <w:overflowPunct w:val="0"/>
              <w:autoSpaceDE w:val="0"/>
              <w:autoSpaceDN w:val="0"/>
              <w:adjustRightInd w:val="0"/>
              <w:spacing w:before="5" w:line="232" w:lineRule="auto"/>
              <w:ind w:left="103" w:right="140" w:firstLine="0"/>
              <w:rPr>
                <w:position w:val="9"/>
                <w:sz w:val="16"/>
                <w:szCs w:val="16"/>
                <w:lang w:eastAsia="en-US"/>
              </w:rPr>
            </w:pPr>
            <w:r w:rsidRPr="003A5C41">
              <w:rPr>
                <w:szCs w:val="22"/>
                <w:lang w:eastAsia="en-US"/>
              </w:rPr>
              <w:t>Venózne tromboembolické príhody, predovšetkým trombóza hlbokých žíl a pľúcna embólia</w:t>
            </w:r>
            <w:r w:rsidR="00BE011D" w:rsidRPr="008422C4">
              <w:rPr>
                <w:szCs w:val="22"/>
                <w:lang w:eastAsia="en-US"/>
              </w:rPr>
              <w:t>^</w:t>
            </w:r>
            <w:r w:rsidR="00BE011D" w:rsidRPr="0050037D">
              <w:rPr>
                <w:position w:val="9"/>
                <w:sz w:val="16"/>
              </w:rPr>
              <w:t>,◊</w:t>
            </w:r>
          </w:p>
          <w:p w14:paraId="3357B211" w14:textId="77777777" w:rsidR="00BE011D" w:rsidRPr="003A5C41" w:rsidRDefault="00BE011D" w:rsidP="000C2C41">
            <w:pPr>
              <w:kinsoku w:val="0"/>
              <w:overflowPunct w:val="0"/>
              <w:autoSpaceDE w:val="0"/>
              <w:autoSpaceDN w:val="0"/>
              <w:adjustRightInd w:val="0"/>
              <w:spacing w:before="4"/>
              <w:ind w:left="0" w:firstLine="0"/>
              <w:rPr>
                <w:sz w:val="24"/>
                <w:lang w:eastAsia="en-US"/>
              </w:rPr>
            </w:pPr>
          </w:p>
          <w:p w14:paraId="46570BF8" w14:textId="77777777" w:rsidR="000C2C41" w:rsidRPr="003A5C41" w:rsidRDefault="000C2C41" w:rsidP="000C2C41">
            <w:pPr>
              <w:kinsoku w:val="0"/>
              <w:overflowPunct w:val="0"/>
              <w:autoSpaceDE w:val="0"/>
              <w:autoSpaceDN w:val="0"/>
              <w:adjustRightInd w:val="0"/>
              <w:spacing w:line="253" w:lineRule="exact"/>
              <w:ind w:left="103" w:firstLine="0"/>
              <w:rPr>
                <w:szCs w:val="22"/>
                <w:lang w:eastAsia="en-US"/>
              </w:rPr>
            </w:pPr>
            <w:r w:rsidRPr="003A5C41">
              <w:rPr>
                <w:szCs w:val="22"/>
                <w:u w:val="single"/>
                <w:lang w:eastAsia="en-US"/>
              </w:rPr>
              <w:t>Časté</w:t>
            </w:r>
          </w:p>
          <w:p w14:paraId="1473021D" w14:textId="77777777" w:rsidR="000C2C41" w:rsidRPr="003A5C41" w:rsidRDefault="000C2C41" w:rsidP="000C2C41">
            <w:pPr>
              <w:kinsoku w:val="0"/>
              <w:overflowPunct w:val="0"/>
              <w:autoSpaceDE w:val="0"/>
              <w:autoSpaceDN w:val="0"/>
              <w:adjustRightInd w:val="0"/>
              <w:spacing w:line="253" w:lineRule="exact"/>
              <w:ind w:left="103" w:firstLine="0"/>
              <w:rPr>
                <w:szCs w:val="22"/>
                <w:lang w:eastAsia="en-US"/>
              </w:rPr>
            </w:pPr>
            <w:r w:rsidRPr="003A5C41">
              <w:rPr>
                <w:szCs w:val="22"/>
                <w:lang w:eastAsia="en-US"/>
              </w:rPr>
              <w:t>Vaskulitída</w:t>
            </w:r>
          </w:p>
          <w:p w14:paraId="1B24BDEC" w14:textId="77777777" w:rsidR="000C2C41" w:rsidRPr="003A5C41" w:rsidRDefault="000C2C41" w:rsidP="000C2C41">
            <w:pPr>
              <w:kinsoku w:val="0"/>
              <w:overflowPunct w:val="0"/>
              <w:autoSpaceDE w:val="0"/>
              <w:autoSpaceDN w:val="0"/>
              <w:adjustRightInd w:val="0"/>
              <w:spacing w:before="1"/>
              <w:ind w:left="0" w:firstLine="0"/>
              <w:rPr>
                <w:sz w:val="24"/>
                <w:lang w:eastAsia="en-US"/>
              </w:rPr>
            </w:pPr>
          </w:p>
          <w:p w14:paraId="6B96C0BA" w14:textId="77777777" w:rsidR="000C2C41" w:rsidRPr="003A5C41" w:rsidRDefault="000C2C41" w:rsidP="000C2C41">
            <w:pPr>
              <w:kinsoku w:val="0"/>
              <w:overflowPunct w:val="0"/>
              <w:autoSpaceDE w:val="0"/>
              <w:autoSpaceDN w:val="0"/>
              <w:adjustRightInd w:val="0"/>
              <w:spacing w:before="1" w:line="252" w:lineRule="exact"/>
              <w:ind w:left="103" w:firstLine="0"/>
              <w:rPr>
                <w:szCs w:val="22"/>
                <w:lang w:eastAsia="en-US"/>
              </w:rPr>
            </w:pPr>
            <w:r w:rsidRPr="003A5C41">
              <w:rPr>
                <w:szCs w:val="22"/>
                <w:u w:val="single"/>
                <w:lang w:eastAsia="en-US"/>
              </w:rPr>
              <w:t>Menej časté</w:t>
            </w:r>
          </w:p>
          <w:p w14:paraId="116C900A" w14:textId="77777777" w:rsidR="000C2C41" w:rsidRPr="003A5C41" w:rsidRDefault="000C2C41" w:rsidP="000C2C41">
            <w:pPr>
              <w:kinsoku w:val="0"/>
              <w:overflowPunct w:val="0"/>
              <w:autoSpaceDE w:val="0"/>
              <w:autoSpaceDN w:val="0"/>
              <w:adjustRightInd w:val="0"/>
              <w:ind w:left="103" w:right="86" w:firstLine="0"/>
              <w:rPr>
                <w:sz w:val="24"/>
                <w:lang w:eastAsia="en-US"/>
              </w:rPr>
            </w:pPr>
            <w:r w:rsidRPr="003A5C41">
              <w:rPr>
                <w:szCs w:val="22"/>
                <w:lang w:eastAsia="en-US"/>
              </w:rPr>
              <w:t>Ischémia, periférna ischémia, trombóza intrakraniálneho venózneho sínusu</w:t>
            </w:r>
          </w:p>
        </w:tc>
      </w:tr>
      <w:tr w:rsidR="000C2C41" w:rsidRPr="003A5C41" w14:paraId="4E6048F3" w14:textId="77777777" w:rsidTr="008422C4">
        <w:trPr>
          <w:trHeight w:hRule="exact" w:val="770"/>
        </w:trPr>
        <w:tc>
          <w:tcPr>
            <w:tcW w:w="2432" w:type="dxa"/>
            <w:tcBorders>
              <w:top w:val="single" w:sz="4" w:space="0" w:color="000000"/>
              <w:left w:val="single" w:sz="4" w:space="0" w:color="000000"/>
              <w:bottom w:val="single" w:sz="4" w:space="0" w:color="000000"/>
              <w:right w:val="single" w:sz="4" w:space="0" w:color="000000"/>
            </w:tcBorders>
          </w:tcPr>
          <w:p w14:paraId="530D302A" w14:textId="77777777" w:rsidR="000C2C41" w:rsidRPr="003A5C41" w:rsidRDefault="000C2C41" w:rsidP="000C2C41">
            <w:pPr>
              <w:kinsoku w:val="0"/>
              <w:overflowPunct w:val="0"/>
              <w:autoSpaceDE w:val="0"/>
              <w:autoSpaceDN w:val="0"/>
              <w:adjustRightInd w:val="0"/>
              <w:spacing w:before="1"/>
              <w:ind w:left="103" w:right="446" w:firstLine="0"/>
              <w:rPr>
                <w:sz w:val="24"/>
                <w:lang w:eastAsia="en-US"/>
              </w:rPr>
            </w:pPr>
            <w:r w:rsidRPr="003A5C41">
              <w:rPr>
                <w:b/>
                <w:bCs/>
                <w:szCs w:val="22"/>
                <w:lang w:eastAsia="en-US"/>
              </w:rPr>
              <w:t>Poruchy dýchacej sústavy, hrudníka a mediastína</w:t>
            </w:r>
          </w:p>
        </w:tc>
        <w:tc>
          <w:tcPr>
            <w:tcW w:w="3364" w:type="dxa"/>
            <w:tcBorders>
              <w:top w:val="single" w:sz="4" w:space="0" w:color="000000"/>
              <w:left w:val="single" w:sz="4" w:space="0" w:color="000000"/>
              <w:bottom w:val="single" w:sz="4" w:space="0" w:color="000000"/>
              <w:right w:val="single" w:sz="4" w:space="0" w:color="000000"/>
            </w:tcBorders>
          </w:tcPr>
          <w:p w14:paraId="3BFDA9C7" w14:textId="77777777" w:rsidR="000C2C41" w:rsidRPr="003A5C41" w:rsidRDefault="000C2C41" w:rsidP="0050037D">
            <w:pPr>
              <w:kinsoku w:val="0"/>
              <w:overflowPunct w:val="0"/>
              <w:autoSpaceDE w:val="0"/>
              <w:autoSpaceDN w:val="0"/>
              <w:adjustRightInd w:val="0"/>
              <w:spacing w:before="1" w:line="245" w:lineRule="exact"/>
              <w:ind w:left="103" w:firstLine="0"/>
              <w:rPr>
                <w:szCs w:val="22"/>
                <w:lang w:eastAsia="en-US"/>
              </w:rPr>
            </w:pPr>
            <w:r w:rsidRPr="003A5C41">
              <w:rPr>
                <w:szCs w:val="22"/>
                <w:u w:val="single"/>
                <w:lang w:eastAsia="en-US"/>
              </w:rPr>
              <w:t>Veľmi časté</w:t>
            </w:r>
          </w:p>
          <w:p w14:paraId="0D670E10" w14:textId="77777777" w:rsidR="000C2C41" w:rsidRPr="003A5C41" w:rsidRDefault="000C2C41" w:rsidP="0050037D">
            <w:pPr>
              <w:kinsoku w:val="0"/>
              <w:overflowPunct w:val="0"/>
              <w:autoSpaceDE w:val="0"/>
              <w:autoSpaceDN w:val="0"/>
              <w:adjustRightInd w:val="0"/>
              <w:spacing w:line="279" w:lineRule="exact"/>
              <w:ind w:left="103" w:firstLine="0"/>
              <w:rPr>
                <w:sz w:val="24"/>
                <w:lang w:eastAsia="en-US"/>
              </w:rPr>
            </w:pPr>
            <w:r w:rsidRPr="003A5C41">
              <w:rPr>
                <w:szCs w:val="22"/>
                <w:lang w:eastAsia="en-US"/>
              </w:rPr>
              <w:t>Dyspnoe</w:t>
            </w:r>
            <w:r w:rsidR="00ED01F0" w:rsidRPr="0050037D">
              <w:rPr>
                <w:position w:val="9"/>
                <w:sz w:val="16"/>
              </w:rPr>
              <w:t>◊</w:t>
            </w:r>
            <w:r w:rsidRPr="003A5C41">
              <w:rPr>
                <w:szCs w:val="22"/>
                <w:lang w:eastAsia="en-US"/>
              </w:rPr>
              <w:t>, epistaxa^</w:t>
            </w:r>
          </w:p>
        </w:tc>
        <w:tc>
          <w:tcPr>
            <w:tcW w:w="3555" w:type="dxa"/>
            <w:tcBorders>
              <w:top w:val="single" w:sz="4" w:space="0" w:color="000000"/>
              <w:left w:val="single" w:sz="4" w:space="0" w:color="000000"/>
              <w:bottom w:val="single" w:sz="4" w:space="0" w:color="000000"/>
              <w:right w:val="single" w:sz="4" w:space="0" w:color="000000"/>
            </w:tcBorders>
          </w:tcPr>
          <w:p w14:paraId="45933C53" w14:textId="77777777" w:rsidR="000C2C41" w:rsidRPr="003A5C41" w:rsidRDefault="000C2C41" w:rsidP="0050037D">
            <w:pPr>
              <w:kinsoku w:val="0"/>
              <w:overflowPunct w:val="0"/>
              <w:autoSpaceDE w:val="0"/>
              <w:autoSpaceDN w:val="0"/>
              <w:adjustRightInd w:val="0"/>
              <w:spacing w:before="1" w:line="245" w:lineRule="exact"/>
              <w:ind w:left="103" w:firstLine="0"/>
              <w:rPr>
                <w:szCs w:val="22"/>
                <w:lang w:eastAsia="en-US"/>
              </w:rPr>
            </w:pPr>
            <w:r w:rsidRPr="003A5C41">
              <w:rPr>
                <w:szCs w:val="22"/>
                <w:u w:val="single"/>
                <w:lang w:eastAsia="en-US"/>
              </w:rPr>
              <w:t>Časté</w:t>
            </w:r>
          </w:p>
          <w:p w14:paraId="3C7E250D" w14:textId="77777777" w:rsidR="000C2C41" w:rsidRPr="003A5C41" w:rsidRDefault="000C2C41" w:rsidP="0050037D">
            <w:pPr>
              <w:kinsoku w:val="0"/>
              <w:overflowPunct w:val="0"/>
              <w:autoSpaceDE w:val="0"/>
              <w:autoSpaceDN w:val="0"/>
              <w:adjustRightInd w:val="0"/>
              <w:spacing w:line="279" w:lineRule="exact"/>
              <w:ind w:left="103" w:firstLine="0"/>
              <w:rPr>
                <w:sz w:val="24"/>
                <w:lang w:eastAsia="en-US"/>
              </w:rPr>
            </w:pPr>
            <w:r w:rsidRPr="003A5C41">
              <w:rPr>
                <w:szCs w:val="22"/>
                <w:lang w:eastAsia="en-US"/>
              </w:rPr>
              <w:t>Respiračná tieseň</w:t>
            </w:r>
            <w:r w:rsidR="00ED01F0" w:rsidRPr="0050037D">
              <w:rPr>
                <w:position w:val="9"/>
                <w:sz w:val="16"/>
              </w:rPr>
              <w:t>◊</w:t>
            </w:r>
            <w:r w:rsidRPr="003A5C41">
              <w:rPr>
                <w:szCs w:val="22"/>
                <w:lang w:eastAsia="en-US"/>
              </w:rPr>
              <w:t>, dyspnoe</w:t>
            </w:r>
            <w:r w:rsidR="00ED01F0" w:rsidRPr="0050037D">
              <w:rPr>
                <w:position w:val="9"/>
                <w:sz w:val="16"/>
              </w:rPr>
              <w:t>◊</w:t>
            </w:r>
          </w:p>
        </w:tc>
      </w:tr>
      <w:tr w:rsidR="000C2C41" w:rsidRPr="003A5C41" w14:paraId="55602E40" w14:textId="77777777" w:rsidTr="008422C4">
        <w:trPr>
          <w:trHeight w:hRule="exact" w:val="928"/>
        </w:trPr>
        <w:tc>
          <w:tcPr>
            <w:tcW w:w="2432" w:type="dxa"/>
            <w:tcBorders>
              <w:top w:val="single" w:sz="4" w:space="0" w:color="000000"/>
              <w:left w:val="single" w:sz="4" w:space="0" w:color="000000"/>
              <w:bottom w:val="none" w:sz="6" w:space="0" w:color="auto"/>
              <w:right w:val="single" w:sz="4" w:space="0" w:color="000000"/>
            </w:tcBorders>
          </w:tcPr>
          <w:p w14:paraId="5EDB7B53" w14:textId="77777777" w:rsidR="000C2C41" w:rsidRPr="003A5C41" w:rsidRDefault="000C2C41" w:rsidP="000C2C41">
            <w:pPr>
              <w:kinsoku w:val="0"/>
              <w:overflowPunct w:val="0"/>
              <w:autoSpaceDE w:val="0"/>
              <w:autoSpaceDN w:val="0"/>
              <w:adjustRightInd w:val="0"/>
              <w:ind w:left="103" w:right="392" w:firstLine="0"/>
              <w:rPr>
                <w:sz w:val="24"/>
                <w:lang w:eastAsia="en-US"/>
              </w:rPr>
            </w:pPr>
            <w:r w:rsidRPr="003A5C41">
              <w:rPr>
                <w:b/>
                <w:bCs/>
                <w:szCs w:val="22"/>
                <w:lang w:eastAsia="en-US"/>
              </w:rPr>
              <w:t>Poruchy gastrointestinálneho traktu</w:t>
            </w:r>
          </w:p>
        </w:tc>
        <w:tc>
          <w:tcPr>
            <w:tcW w:w="3364" w:type="dxa"/>
            <w:tcBorders>
              <w:top w:val="single" w:sz="4" w:space="0" w:color="000000"/>
              <w:left w:val="single" w:sz="4" w:space="0" w:color="000000"/>
              <w:bottom w:val="none" w:sz="6" w:space="0" w:color="auto"/>
              <w:right w:val="single" w:sz="4" w:space="0" w:color="000000"/>
            </w:tcBorders>
          </w:tcPr>
          <w:p w14:paraId="25171252" w14:textId="77777777" w:rsidR="000C2C41" w:rsidRPr="003A5C41" w:rsidRDefault="000C2C41" w:rsidP="000C2C41">
            <w:pPr>
              <w:kinsoku w:val="0"/>
              <w:overflowPunct w:val="0"/>
              <w:autoSpaceDE w:val="0"/>
              <w:autoSpaceDN w:val="0"/>
              <w:adjustRightInd w:val="0"/>
              <w:spacing w:line="244" w:lineRule="exact"/>
              <w:ind w:left="103" w:firstLine="0"/>
              <w:rPr>
                <w:szCs w:val="22"/>
                <w:lang w:eastAsia="en-US"/>
              </w:rPr>
            </w:pPr>
            <w:r w:rsidRPr="003A5C41">
              <w:rPr>
                <w:szCs w:val="22"/>
                <w:u w:val="single"/>
                <w:lang w:eastAsia="en-US"/>
              </w:rPr>
              <w:t>Veľmi časté</w:t>
            </w:r>
          </w:p>
          <w:p w14:paraId="01268E3D" w14:textId="77777777" w:rsidR="000C2C41" w:rsidRPr="003A5C41" w:rsidRDefault="000C2C41" w:rsidP="000C2C41">
            <w:pPr>
              <w:kinsoku w:val="0"/>
              <w:overflowPunct w:val="0"/>
              <w:autoSpaceDE w:val="0"/>
              <w:autoSpaceDN w:val="0"/>
              <w:adjustRightInd w:val="0"/>
              <w:spacing w:line="244" w:lineRule="auto"/>
              <w:ind w:left="103" w:right="225" w:firstLine="0"/>
              <w:rPr>
                <w:sz w:val="24"/>
                <w:lang w:eastAsia="en-US"/>
              </w:rPr>
            </w:pPr>
            <w:r w:rsidRPr="003A5C41">
              <w:rPr>
                <w:szCs w:val="22"/>
                <w:lang w:eastAsia="en-US"/>
              </w:rPr>
              <w:t>Hnačka</w:t>
            </w:r>
            <w:r w:rsidR="00ED01F0" w:rsidRPr="0050037D">
              <w:rPr>
                <w:position w:val="9"/>
                <w:sz w:val="16"/>
              </w:rPr>
              <w:t>◊</w:t>
            </w:r>
            <w:r w:rsidRPr="003A5C41">
              <w:rPr>
                <w:szCs w:val="22"/>
                <w:lang w:eastAsia="en-US"/>
              </w:rPr>
              <w:t>, zápcha</w:t>
            </w:r>
            <w:r w:rsidR="00ED01F0" w:rsidRPr="0050037D">
              <w:rPr>
                <w:position w:val="9"/>
                <w:sz w:val="16"/>
              </w:rPr>
              <w:t>◊</w:t>
            </w:r>
            <w:r w:rsidRPr="003A5C41">
              <w:rPr>
                <w:szCs w:val="22"/>
                <w:lang w:eastAsia="en-US"/>
              </w:rPr>
              <w:t>, bolesť brucha</w:t>
            </w:r>
            <w:r w:rsidR="00ED01F0" w:rsidRPr="0050037D">
              <w:rPr>
                <w:position w:val="9"/>
                <w:sz w:val="16"/>
              </w:rPr>
              <w:t>◊</w:t>
            </w:r>
            <w:r w:rsidRPr="003A5C41">
              <w:rPr>
                <w:szCs w:val="22"/>
                <w:lang w:eastAsia="en-US"/>
              </w:rPr>
              <w:t>, nauzea, vracanie, dyspepsia</w:t>
            </w:r>
          </w:p>
        </w:tc>
        <w:tc>
          <w:tcPr>
            <w:tcW w:w="3555" w:type="dxa"/>
            <w:tcBorders>
              <w:top w:val="single" w:sz="4" w:space="0" w:color="000000"/>
              <w:left w:val="single" w:sz="4" w:space="0" w:color="000000"/>
              <w:bottom w:val="none" w:sz="6" w:space="0" w:color="auto"/>
              <w:right w:val="single" w:sz="4" w:space="0" w:color="000000"/>
            </w:tcBorders>
          </w:tcPr>
          <w:p w14:paraId="3F2B6159" w14:textId="77777777" w:rsidR="000C2C41" w:rsidRPr="003A5C41" w:rsidRDefault="000C2C41" w:rsidP="000C2C41">
            <w:pPr>
              <w:kinsoku w:val="0"/>
              <w:overflowPunct w:val="0"/>
              <w:autoSpaceDE w:val="0"/>
              <w:autoSpaceDN w:val="0"/>
              <w:adjustRightInd w:val="0"/>
              <w:spacing w:line="244" w:lineRule="exact"/>
              <w:ind w:left="103" w:firstLine="0"/>
              <w:rPr>
                <w:szCs w:val="22"/>
                <w:lang w:eastAsia="en-US"/>
              </w:rPr>
            </w:pPr>
            <w:r w:rsidRPr="003A5C41">
              <w:rPr>
                <w:szCs w:val="22"/>
                <w:u w:val="single"/>
                <w:lang w:eastAsia="en-US"/>
              </w:rPr>
              <w:t>Časté</w:t>
            </w:r>
          </w:p>
          <w:p w14:paraId="7E426D18" w14:textId="77777777" w:rsidR="000C2C41" w:rsidRPr="003A5C41" w:rsidRDefault="000C2C41" w:rsidP="000C2C41">
            <w:pPr>
              <w:kinsoku w:val="0"/>
              <w:overflowPunct w:val="0"/>
              <w:autoSpaceDE w:val="0"/>
              <w:autoSpaceDN w:val="0"/>
              <w:adjustRightInd w:val="0"/>
              <w:spacing w:line="244" w:lineRule="auto"/>
              <w:ind w:left="103" w:right="415" w:firstLine="0"/>
              <w:rPr>
                <w:sz w:val="24"/>
                <w:lang w:eastAsia="en-US"/>
              </w:rPr>
            </w:pPr>
            <w:r w:rsidRPr="003A5C41">
              <w:rPr>
                <w:szCs w:val="22"/>
                <w:lang w:eastAsia="en-US"/>
              </w:rPr>
              <w:t>Hnačka</w:t>
            </w:r>
            <w:r w:rsidR="00ED01F0" w:rsidRPr="0050037D">
              <w:rPr>
                <w:position w:val="9"/>
                <w:sz w:val="16"/>
              </w:rPr>
              <w:t>◊</w:t>
            </w:r>
            <w:r w:rsidRPr="003A5C41">
              <w:rPr>
                <w:szCs w:val="22"/>
                <w:lang w:eastAsia="en-US"/>
              </w:rPr>
              <w:t>, zápcha</w:t>
            </w:r>
            <w:r w:rsidR="00ED01F0" w:rsidRPr="0050037D">
              <w:rPr>
                <w:position w:val="9"/>
                <w:sz w:val="16"/>
              </w:rPr>
              <w:t>◊</w:t>
            </w:r>
            <w:r w:rsidRPr="003A5C41">
              <w:rPr>
                <w:szCs w:val="22"/>
                <w:lang w:eastAsia="en-US"/>
              </w:rPr>
              <w:t>, bolesť brucha</w:t>
            </w:r>
            <w:r w:rsidR="00ED01F0" w:rsidRPr="0050037D">
              <w:rPr>
                <w:position w:val="9"/>
                <w:sz w:val="16"/>
              </w:rPr>
              <w:t>◊</w:t>
            </w:r>
            <w:r w:rsidRPr="003A5C41">
              <w:rPr>
                <w:szCs w:val="22"/>
                <w:lang w:eastAsia="en-US"/>
              </w:rPr>
              <w:t>, nauzea, vracanie</w:t>
            </w:r>
          </w:p>
        </w:tc>
      </w:tr>
      <w:tr w:rsidR="000C2C41" w:rsidRPr="003A5C41" w14:paraId="1D426BB2" w14:textId="77777777" w:rsidTr="008422C4">
        <w:trPr>
          <w:trHeight w:hRule="exact" w:val="391"/>
        </w:trPr>
        <w:tc>
          <w:tcPr>
            <w:tcW w:w="2432" w:type="dxa"/>
            <w:tcBorders>
              <w:top w:val="none" w:sz="6" w:space="0" w:color="auto"/>
              <w:left w:val="single" w:sz="4" w:space="0" w:color="000000"/>
              <w:bottom w:val="none" w:sz="6" w:space="0" w:color="auto"/>
              <w:right w:val="single" w:sz="4" w:space="0" w:color="000000"/>
            </w:tcBorders>
          </w:tcPr>
          <w:p w14:paraId="65DB22E4"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none" w:sz="6" w:space="0" w:color="auto"/>
              <w:right w:val="single" w:sz="4" w:space="0" w:color="000000"/>
            </w:tcBorders>
          </w:tcPr>
          <w:p w14:paraId="22D67646" w14:textId="77777777" w:rsidR="000C2C41" w:rsidRPr="003A5C41" w:rsidRDefault="000C2C41" w:rsidP="000C2C41">
            <w:pPr>
              <w:kinsoku w:val="0"/>
              <w:overflowPunct w:val="0"/>
              <w:autoSpaceDE w:val="0"/>
              <w:autoSpaceDN w:val="0"/>
              <w:adjustRightInd w:val="0"/>
              <w:spacing w:before="134"/>
              <w:ind w:left="103" w:firstLine="0"/>
              <w:rPr>
                <w:sz w:val="24"/>
                <w:lang w:eastAsia="en-US"/>
              </w:rPr>
            </w:pPr>
            <w:r w:rsidRPr="003A5C41">
              <w:rPr>
                <w:szCs w:val="22"/>
                <w:u w:val="single"/>
                <w:lang w:eastAsia="en-US"/>
              </w:rPr>
              <w:t>Časté</w:t>
            </w:r>
          </w:p>
        </w:tc>
        <w:tc>
          <w:tcPr>
            <w:tcW w:w="3555" w:type="dxa"/>
            <w:tcBorders>
              <w:top w:val="none" w:sz="6" w:space="0" w:color="auto"/>
              <w:left w:val="single" w:sz="4" w:space="0" w:color="000000"/>
              <w:bottom w:val="none" w:sz="6" w:space="0" w:color="auto"/>
              <w:right w:val="single" w:sz="4" w:space="0" w:color="000000"/>
            </w:tcBorders>
          </w:tcPr>
          <w:p w14:paraId="18840F0F" w14:textId="77777777" w:rsidR="000C2C41" w:rsidRPr="003A5C41" w:rsidRDefault="000C2C41" w:rsidP="000C2C41">
            <w:pPr>
              <w:autoSpaceDE w:val="0"/>
              <w:autoSpaceDN w:val="0"/>
              <w:adjustRightInd w:val="0"/>
              <w:ind w:left="0" w:firstLine="0"/>
              <w:rPr>
                <w:sz w:val="24"/>
                <w:lang w:eastAsia="en-US"/>
              </w:rPr>
            </w:pPr>
          </w:p>
        </w:tc>
      </w:tr>
      <w:tr w:rsidR="000C2C41" w:rsidRPr="003A5C41" w14:paraId="250CA79A" w14:textId="77777777" w:rsidTr="008422C4">
        <w:trPr>
          <w:trHeight w:hRule="exact" w:val="253"/>
        </w:trPr>
        <w:tc>
          <w:tcPr>
            <w:tcW w:w="2432" w:type="dxa"/>
            <w:tcBorders>
              <w:top w:val="none" w:sz="6" w:space="0" w:color="auto"/>
              <w:left w:val="single" w:sz="4" w:space="0" w:color="000000"/>
              <w:bottom w:val="none" w:sz="6" w:space="0" w:color="auto"/>
              <w:right w:val="single" w:sz="4" w:space="0" w:color="000000"/>
            </w:tcBorders>
          </w:tcPr>
          <w:p w14:paraId="182A5CD0"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none" w:sz="6" w:space="0" w:color="auto"/>
              <w:right w:val="single" w:sz="4" w:space="0" w:color="000000"/>
            </w:tcBorders>
          </w:tcPr>
          <w:p w14:paraId="2C37668A" w14:textId="77777777" w:rsidR="000C2C41" w:rsidRPr="003A5C41" w:rsidRDefault="000C2C41" w:rsidP="000C2C41">
            <w:pPr>
              <w:kinsoku w:val="0"/>
              <w:overflowPunct w:val="0"/>
              <w:autoSpaceDE w:val="0"/>
              <w:autoSpaceDN w:val="0"/>
              <w:adjustRightInd w:val="0"/>
              <w:spacing w:line="248" w:lineRule="exact"/>
              <w:ind w:left="103" w:firstLine="0"/>
              <w:rPr>
                <w:sz w:val="24"/>
                <w:lang w:eastAsia="en-US"/>
              </w:rPr>
            </w:pPr>
            <w:r w:rsidRPr="003A5C41">
              <w:rPr>
                <w:szCs w:val="22"/>
                <w:lang w:eastAsia="en-US"/>
              </w:rPr>
              <w:t>Gastrointestinálne krvácanie</w:t>
            </w:r>
          </w:p>
        </w:tc>
        <w:tc>
          <w:tcPr>
            <w:tcW w:w="3555" w:type="dxa"/>
            <w:tcBorders>
              <w:top w:val="none" w:sz="6" w:space="0" w:color="auto"/>
              <w:left w:val="single" w:sz="4" w:space="0" w:color="000000"/>
              <w:bottom w:val="none" w:sz="6" w:space="0" w:color="auto"/>
              <w:right w:val="single" w:sz="4" w:space="0" w:color="000000"/>
            </w:tcBorders>
          </w:tcPr>
          <w:p w14:paraId="646580D7" w14:textId="77777777" w:rsidR="000C2C41" w:rsidRPr="003A5C41" w:rsidRDefault="000C2C41" w:rsidP="000C2C41">
            <w:pPr>
              <w:autoSpaceDE w:val="0"/>
              <w:autoSpaceDN w:val="0"/>
              <w:adjustRightInd w:val="0"/>
              <w:ind w:left="0" w:firstLine="0"/>
              <w:rPr>
                <w:sz w:val="24"/>
                <w:lang w:eastAsia="en-US"/>
              </w:rPr>
            </w:pPr>
          </w:p>
        </w:tc>
      </w:tr>
      <w:tr w:rsidR="000C2C41" w:rsidRPr="003A5C41" w14:paraId="5128B4A6" w14:textId="77777777" w:rsidTr="008422C4">
        <w:trPr>
          <w:trHeight w:hRule="exact" w:val="253"/>
        </w:trPr>
        <w:tc>
          <w:tcPr>
            <w:tcW w:w="2432" w:type="dxa"/>
            <w:tcBorders>
              <w:top w:val="none" w:sz="6" w:space="0" w:color="auto"/>
              <w:left w:val="single" w:sz="4" w:space="0" w:color="000000"/>
              <w:bottom w:val="none" w:sz="6" w:space="0" w:color="auto"/>
              <w:right w:val="single" w:sz="4" w:space="0" w:color="000000"/>
            </w:tcBorders>
          </w:tcPr>
          <w:p w14:paraId="71867D35"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none" w:sz="6" w:space="0" w:color="auto"/>
              <w:right w:val="single" w:sz="4" w:space="0" w:color="000000"/>
            </w:tcBorders>
          </w:tcPr>
          <w:p w14:paraId="4F7E5848" w14:textId="77777777" w:rsidR="000C2C41" w:rsidRPr="003A5C41" w:rsidRDefault="000C2C41" w:rsidP="000C2C41">
            <w:pPr>
              <w:kinsoku w:val="0"/>
              <w:overflowPunct w:val="0"/>
              <w:autoSpaceDE w:val="0"/>
              <w:autoSpaceDN w:val="0"/>
              <w:adjustRightInd w:val="0"/>
              <w:spacing w:line="249" w:lineRule="exact"/>
              <w:ind w:left="103" w:firstLine="0"/>
              <w:rPr>
                <w:sz w:val="24"/>
                <w:lang w:eastAsia="en-US"/>
              </w:rPr>
            </w:pPr>
            <w:r w:rsidRPr="003A5C41">
              <w:rPr>
                <w:szCs w:val="22"/>
                <w:lang w:eastAsia="en-US"/>
              </w:rPr>
              <w:t>(vrátane rektálneho krvácania,</w:t>
            </w:r>
          </w:p>
        </w:tc>
        <w:tc>
          <w:tcPr>
            <w:tcW w:w="3555" w:type="dxa"/>
            <w:tcBorders>
              <w:top w:val="none" w:sz="6" w:space="0" w:color="auto"/>
              <w:left w:val="single" w:sz="4" w:space="0" w:color="000000"/>
              <w:bottom w:val="none" w:sz="6" w:space="0" w:color="auto"/>
              <w:right w:val="single" w:sz="4" w:space="0" w:color="000000"/>
            </w:tcBorders>
          </w:tcPr>
          <w:p w14:paraId="3D0DB014" w14:textId="77777777" w:rsidR="000C2C41" w:rsidRPr="003A5C41" w:rsidRDefault="000C2C41" w:rsidP="000C2C41">
            <w:pPr>
              <w:autoSpaceDE w:val="0"/>
              <w:autoSpaceDN w:val="0"/>
              <w:adjustRightInd w:val="0"/>
              <w:ind w:left="0" w:firstLine="0"/>
              <w:rPr>
                <w:sz w:val="24"/>
                <w:lang w:eastAsia="en-US"/>
              </w:rPr>
            </w:pPr>
          </w:p>
        </w:tc>
      </w:tr>
      <w:tr w:rsidR="000C2C41" w:rsidRPr="003A5C41" w14:paraId="72E4AF01" w14:textId="77777777" w:rsidTr="008422C4">
        <w:trPr>
          <w:trHeight w:hRule="exact" w:val="252"/>
        </w:trPr>
        <w:tc>
          <w:tcPr>
            <w:tcW w:w="2432" w:type="dxa"/>
            <w:tcBorders>
              <w:top w:val="none" w:sz="6" w:space="0" w:color="auto"/>
              <w:left w:val="single" w:sz="4" w:space="0" w:color="000000"/>
              <w:bottom w:val="none" w:sz="6" w:space="0" w:color="auto"/>
              <w:right w:val="single" w:sz="4" w:space="0" w:color="000000"/>
            </w:tcBorders>
          </w:tcPr>
          <w:p w14:paraId="21A725CA"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none" w:sz="6" w:space="0" w:color="auto"/>
              <w:right w:val="single" w:sz="4" w:space="0" w:color="000000"/>
            </w:tcBorders>
          </w:tcPr>
          <w:p w14:paraId="246175ED" w14:textId="77777777" w:rsidR="000C2C41" w:rsidRPr="003A5C41" w:rsidRDefault="000C2C41" w:rsidP="000C2C41">
            <w:pPr>
              <w:kinsoku w:val="0"/>
              <w:overflowPunct w:val="0"/>
              <w:autoSpaceDE w:val="0"/>
              <w:autoSpaceDN w:val="0"/>
              <w:adjustRightInd w:val="0"/>
              <w:spacing w:line="248" w:lineRule="exact"/>
              <w:ind w:left="103" w:firstLine="0"/>
              <w:rPr>
                <w:sz w:val="24"/>
                <w:lang w:eastAsia="en-US"/>
              </w:rPr>
            </w:pPr>
            <w:r w:rsidRPr="003A5C41">
              <w:rPr>
                <w:szCs w:val="22"/>
                <w:lang w:eastAsia="en-US"/>
              </w:rPr>
              <w:t>hemoroidálneho krvácania,</w:t>
            </w:r>
          </w:p>
        </w:tc>
        <w:tc>
          <w:tcPr>
            <w:tcW w:w="3555" w:type="dxa"/>
            <w:tcBorders>
              <w:top w:val="none" w:sz="6" w:space="0" w:color="auto"/>
              <w:left w:val="single" w:sz="4" w:space="0" w:color="000000"/>
              <w:bottom w:val="none" w:sz="6" w:space="0" w:color="auto"/>
              <w:right w:val="single" w:sz="4" w:space="0" w:color="000000"/>
            </w:tcBorders>
          </w:tcPr>
          <w:p w14:paraId="49F5B9C6" w14:textId="77777777" w:rsidR="000C2C41" w:rsidRPr="003A5C41" w:rsidRDefault="000C2C41" w:rsidP="000C2C41">
            <w:pPr>
              <w:autoSpaceDE w:val="0"/>
              <w:autoSpaceDN w:val="0"/>
              <w:adjustRightInd w:val="0"/>
              <w:ind w:left="0" w:firstLine="0"/>
              <w:rPr>
                <w:sz w:val="24"/>
                <w:lang w:eastAsia="en-US"/>
              </w:rPr>
            </w:pPr>
          </w:p>
        </w:tc>
      </w:tr>
      <w:tr w:rsidR="000C2C41" w:rsidRPr="003A5C41" w14:paraId="04F8617E" w14:textId="77777777" w:rsidTr="008422C4">
        <w:trPr>
          <w:trHeight w:hRule="exact" w:val="253"/>
        </w:trPr>
        <w:tc>
          <w:tcPr>
            <w:tcW w:w="2432" w:type="dxa"/>
            <w:tcBorders>
              <w:top w:val="none" w:sz="6" w:space="0" w:color="auto"/>
              <w:left w:val="single" w:sz="4" w:space="0" w:color="000000"/>
              <w:bottom w:val="none" w:sz="6" w:space="0" w:color="auto"/>
              <w:right w:val="single" w:sz="4" w:space="0" w:color="000000"/>
            </w:tcBorders>
          </w:tcPr>
          <w:p w14:paraId="4A1A9D8B"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none" w:sz="6" w:space="0" w:color="auto"/>
              <w:right w:val="single" w:sz="4" w:space="0" w:color="000000"/>
            </w:tcBorders>
          </w:tcPr>
          <w:p w14:paraId="7A1AB1CA" w14:textId="77777777" w:rsidR="000C2C41" w:rsidRPr="003A5C41" w:rsidRDefault="000C2C41" w:rsidP="000C2C41">
            <w:pPr>
              <w:kinsoku w:val="0"/>
              <w:overflowPunct w:val="0"/>
              <w:autoSpaceDE w:val="0"/>
              <w:autoSpaceDN w:val="0"/>
              <w:adjustRightInd w:val="0"/>
              <w:spacing w:line="248" w:lineRule="exact"/>
              <w:ind w:left="103" w:firstLine="0"/>
              <w:rPr>
                <w:sz w:val="24"/>
                <w:lang w:eastAsia="en-US"/>
              </w:rPr>
            </w:pPr>
            <w:r w:rsidRPr="003A5C41">
              <w:rPr>
                <w:szCs w:val="22"/>
                <w:lang w:eastAsia="en-US"/>
              </w:rPr>
              <w:t>krvácania z peptického vredu a</w:t>
            </w:r>
          </w:p>
        </w:tc>
        <w:tc>
          <w:tcPr>
            <w:tcW w:w="3555" w:type="dxa"/>
            <w:tcBorders>
              <w:top w:val="none" w:sz="6" w:space="0" w:color="auto"/>
              <w:left w:val="single" w:sz="4" w:space="0" w:color="000000"/>
              <w:bottom w:val="none" w:sz="6" w:space="0" w:color="auto"/>
              <w:right w:val="single" w:sz="4" w:space="0" w:color="000000"/>
            </w:tcBorders>
          </w:tcPr>
          <w:p w14:paraId="6D23797B" w14:textId="77777777" w:rsidR="000C2C41" w:rsidRPr="003A5C41" w:rsidRDefault="000C2C41" w:rsidP="000C2C41">
            <w:pPr>
              <w:autoSpaceDE w:val="0"/>
              <w:autoSpaceDN w:val="0"/>
              <w:adjustRightInd w:val="0"/>
              <w:ind w:left="0" w:firstLine="0"/>
              <w:rPr>
                <w:sz w:val="24"/>
                <w:lang w:eastAsia="en-US"/>
              </w:rPr>
            </w:pPr>
          </w:p>
        </w:tc>
      </w:tr>
      <w:tr w:rsidR="000C2C41" w:rsidRPr="003A5C41" w14:paraId="045F946C" w14:textId="77777777" w:rsidTr="008422C4">
        <w:trPr>
          <w:trHeight w:hRule="exact" w:val="253"/>
        </w:trPr>
        <w:tc>
          <w:tcPr>
            <w:tcW w:w="2432" w:type="dxa"/>
            <w:tcBorders>
              <w:top w:val="none" w:sz="6" w:space="0" w:color="auto"/>
              <w:left w:val="single" w:sz="4" w:space="0" w:color="000000"/>
              <w:bottom w:val="none" w:sz="6" w:space="0" w:color="auto"/>
              <w:right w:val="single" w:sz="4" w:space="0" w:color="000000"/>
            </w:tcBorders>
          </w:tcPr>
          <w:p w14:paraId="47C0D15A"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none" w:sz="6" w:space="0" w:color="auto"/>
              <w:right w:val="single" w:sz="4" w:space="0" w:color="000000"/>
            </w:tcBorders>
          </w:tcPr>
          <w:p w14:paraId="4B2C3479" w14:textId="77777777" w:rsidR="000C2C41" w:rsidRPr="003A5C41" w:rsidRDefault="000C2C41" w:rsidP="000C2C41">
            <w:pPr>
              <w:kinsoku w:val="0"/>
              <w:overflowPunct w:val="0"/>
              <w:autoSpaceDE w:val="0"/>
              <w:autoSpaceDN w:val="0"/>
              <w:adjustRightInd w:val="0"/>
              <w:spacing w:line="249" w:lineRule="exact"/>
              <w:ind w:left="103" w:firstLine="0"/>
              <w:rPr>
                <w:sz w:val="24"/>
                <w:lang w:eastAsia="en-US"/>
              </w:rPr>
            </w:pPr>
            <w:r w:rsidRPr="003A5C41">
              <w:rPr>
                <w:szCs w:val="22"/>
                <w:lang w:eastAsia="en-US"/>
              </w:rPr>
              <w:t>gingiválneho krvácania)^, sucho v</w:t>
            </w:r>
          </w:p>
        </w:tc>
        <w:tc>
          <w:tcPr>
            <w:tcW w:w="3555" w:type="dxa"/>
            <w:tcBorders>
              <w:top w:val="none" w:sz="6" w:space="0" w:color="auto"/>
              <w:left w:val="single" w:sz="4" w:space="0" w:color="000000"/>
              <w:bottom w:val="none" w:sz="6" w:space="0" w:color="auto"/>
              <w:right w:val="single" w:sz="4" w:space="0" w:color="000000"/>
            </w:tcBorders>
          </w:tcPr>
          <w:p w14:paraId="79E5EA6F" w14:textId="77777777" w:rsidR="000C2C41" w:rsidRPr="003A5C41" w:rsidRDefault="000C2C41" w:rsidP="000C2C41">
            <w:pPr>
              <w:autoSpaceDE w:val="0"/>
              <w:autoSpaceDN w:val="0"/>
              <w:adjustRightInd w:val="0"/>
              <w:ind w:left="0" w:firstLine="0"/>
              <w:rPr>
                <w:sz w:val="24"/>
                <w:lang w:eastAsia="en-US"/>
              </w:rPr>
            </w:pPr>
          </w:p>
        </w:tc>
      </w:tr>
      <w:tr w:rsidR="000C2C41" w:rsidRPr="003A5C41" w14:paraId="18E71195" w14:textId="77777777" w:rsidTr="008422C4">
        <w:trPr>
          <w:trHeight w:hRule="exact" w:val="391"/>
        </w:trPr>
        <w:tc>
          <w:tcPr>
            <w:tcW w:w="2432" w:type="dxa"/>
            <w:tcBorders>
              <w:top w:val="none" w:sz="6" w:space="0" w:color="auto"/>
              <w:left w:val="single" w:sz="4" w:space="0" w:color="000000"/>
              <w:bottom w:val="none" w:sz="6" w:space="0" w:color="auto"/>
              <w:right w:val="single" w:sz="4" w:space="0" w:color="000000"/>
            </w:tcBorders>
          </w:tcPr>
          <w:p w14:paraId="61CD9C85"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none" w:sz="6" w:space="0" w:color="auto"/>
              <w:right w:val="single" w:sz="4" w:space="0" w:color="000000"/>
            </w:tcBorders>
          </w:tcPr>
          <w:p w14:paraId="27FA7761" w14:textId="77777777" w:rsidR="000C2C41" w:rsidRPr="003A5C41" w:rsidRDefault="000C2C41" w:rsidP="000C2C41">
            <w:pPr>
              <w:kinsoku w:val="0"/>
              <w:overflowPunct w:val="0"/>
              <w:autoSpaceDE w:val="0"/>
              <w:autoSpaceDN w:val="0"/>
              <w:adjustRightInd w:val="0"/>
              <w:spacing w:line="248" w:lineRule="exact"/>
              <w:ind w:left="103" w:firstLine="0"/>
              <w:rPr>
                <w:sz w:val="24"/>
                <w:lang w:eastAsia="en-US"/>
              </w:rPr>
            </w:pPr>
            <w:r w:rsidRPr="003A5C41">
              <w:rPr>
                <w:szCs w:val="22"/>
                <w:lang w:eastAsia="en-US"/>
              </w:rPr>
              <w:t>ústach, stomatitída, dysfágia</w:t>
            </w:r>
          </w:p>
        </w:tc>
        <w:tc>
          <w:tcPr>
            <w:tcW w:w="3555" w:type="dxa"/>
            <w:tcBorders>
              <w:top w:val="none" w:sz="6" w:space="0" w:color="auto"/>
              <w:left w:val="single" w:sz="4" w:space="0" w:color="000000"/>
              <w:bottom w:val="none" w:sz="6" w:space="0" w:color="auto"/>
              <w:right w:val="single" w:sz="4" w:space="0" w:color="000000"/>
            </w:tcBorders>
          </w:tcPr>
          <w:p w14:paraId="4EC28EA4" w14:textId="77777777" w:rsidR="000C2C41" w:rsidRPr="003A5C41" w:rsidRDefault="000C2C41" w:rsidP="000C2C41">
            <w:pPr>
              <w:autoSpaceDE w:val="0"/>
              <w:autoSpaceDN w:val="0"/>
              <w:adjustRightInd w:val="0"/>
              <w:ind w:left="0" w:firstLine="0"/>
              <w:rPr>
                <w:sz w:val="24"/>
                <w:lang w:eastAsia="en-US"/>
              </w:rPr>
            </w:pPr>
          </w:p>
        </w:tc>
      </w:tr>
      <w:tr w:rsidR="000C2C41" w:rsidRPr="003A5C41" w14:paraId="76F2E69B" w14:textId="77777777" w:rsidTr="008422C4">
        <w:trPr>
          <w:trHeight w:hRule="exact" w:val="391"/>
        </w:trPr>
        <w:tc>
          <w:tcPr>
            <w:tcW w:w="2432" w:type="dxa"/>
            <w:tcBorders>
              <w:top w:val="none" w:sz="6" w:space="0" w:color="auto"/>
              <w:left w:val="single" w:sz="4" w:space="0" w:color="000000"/>
              <w:bottom w:val="none" w:sz="6" w:space="0" w:color="auto"/>
              <w:right w:val="single" w:sz="4" w:space="0" w:color="000000"/>
            </w:tcBorders>
          </w:tcPr>
          <w:p w14:paraId="739A3919"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none" w:sz="6" w:space="0" w:color="auto"/>
              <w:right w:val="single" w:sz="4" w:space="0" w:color="000000"/>
            </w:tcBorders>
          </w:tcPr>
          <w:p w14:paraId="7E8D6838" w14:textId="77777777" w:rsidR="000C2C41" w:rsidRPr="003A5C41" w:rsidRDefault="000C2C41" w:rsidP="000C2C41">
            <w:pPr>
              <w:kinsoku w:val="0"/>
              <w:overflowPunct w:val="0"/>
              <w:autoSpaceDE w:val="0"/>
              <w:autoSpaceDN w:val="0"/>
              <w:adjustRightInd w:val="0"/>
              <w:spacing w:before="134"/>
              <w:ind w:left="103" w:firstLine="0"/>
              <w:rPr>
                <w:sz w:val="24"/>
                <w:lang w:eastAsia="en-US"/>
              </w:rPr>
            </w:pPr>
            <w:r w:rsidRPr="003A5C41">
              <w:rPr>
                <w:szCs w:val="22"/>
                <w:u w:val="single"/>
                <w:lang w:eastAsia="en-US"/>
              </w:rPr>
              <w:t>Menej časté</w:t>
            </w:r>
          </w:p>
        </w:tc>
        <w:tc>
          <w:tcPr>
            <w:tcW w:w="3555" w:type="dxa"/>
            <w:tcBorders>
              <w:top w:val="none" w:sz="6" w:space="0" w:color="auto"/>
              <w:left w:val="single" w:sz="4" w:space="0" w:color="000000"/>
              <w:bottom w:val="none" w:sz="6" w:space="0" w:color="auto"/>
              <w:right w:val="single" w:sz="4" w:space="0" w:color="000000"/>
            </w:tcBorders>
          </w:tcPr>
          <w:p w14:paraId="11E41B2A" w14:textId="77777777" w:rsidR="000C2C41" w:rsidRPr="003A5C41" w:rsidRDefault="000C2C41" w:rsidP="000C2C41">
            <w:pPr>
              <w:autoSpaceDE w:val="0"/>
              <w:autoSpaceDN w:val="0"/>
              <w:adjustRightInd w:val="0"/>
              <w:ind w:left="0" w:firstLine="0"/>
              <w:rPr>
                <w:sz w:val="24"/>
                <w:lang w:eastAsia="en-US"/>
              </w:rPr>
            </w:pPr>
          </w:p>
        </w:tc>
      </w:tr>
      <w:tr w:rsidR="000C2C41" w:rsidRPr="003A5C41" w14:paraId="17F90B79" w14:textId="77777777" w:rsidTr="0050037D">
        <w:trPr>
          <w:trHeight w:hRule="exact" w:val="253"/>
        </w:trPr>
        <w:tc>
          <w:tcPr>
            <w:tcW w:w="2432" w:type="dxa"/>
            <w:tcBorders>
              <w:top w:val="none" w:sz="6" w:space="0" w:color="auto"/>
              <w:left w:val="single" w:sz="4" w:space="0" w:color="000000"/>
              <w:bottom w:val="single" w:sz="4" w:space="0" w:color="000000"/>
              <w:right w:val="single" w:sz="4" w:space="0" w:color="000000"/>
            </w:tcBorders>
          </w:tcPr>
          <w:p w14:paraId="5F85CC08"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single" w:sz="4" w:space="0" w:color="000000"/>
              <w:right w:val="single" w:sz="4" w:space="0" w:color="000000"/>
            </w:tcBorders>
          </w:tcPr>
          <w:p w14:paraId="2AF13556" w14:textId="6E8B88B8" w:rsidR="000C2C41" w:rsidRPr="003A5C41" w:rsidRDefault="000C2C41" w:rsidP="000C2C41">
            <w:pPr>
              <w:kinsoku w:val="0"/>
              <w:overflowPunct w:val="0"/>
              <w:autoSpaceDE w:val="0"/>
              <w:autoSpaceDN w:val="0"/>
              <w:adjustRightInd w:val="0"/>
              <w:spacing w:line="248" w:lineRule="exact"/>
              <w:ind w:left="103" w:firstLine="0"/>
              <w:rPr>
                <w:sz w:val="24"/>
                <w:lang w:eastAsia="en-US"/>
              </w:rPr>
            </w:pPr>
            <w:r w:rsidRPr="003A5C41">
              <w:rPr>
                <w:szCs w:val="22"/>
                <w:lang w:eastAsia="en-US"/>
              </w:rPr>
              <w:t xml:space="preserve">Kolitída, zápal </w:t>
            </w:r>
            <w:r w:rsidR="000E3EE2">
              <w:rPr>
                <w:szCs w:val="22"/>
                <w:lang w:eastAsia="en-US"/>
              </w:rPr>
              <w:t>slepého čreva</w:t>
            </w:r>
          </w:p>
        </w:tc>
        <w:tc>
          <w:tcPr>
            <w:tcW w:w="3555" w:type="dxa"/>
            <w:tcBorders>
              <w:top w:val="none" w:sz="6" w:space="0" w:color="auto"/>
              <w:left w:val="single" w:sz="4" w:space="0" w:color="000000"/>
              <w:bottom w:val="single" w:sz="4" w:space="0" w:color="000000"/>
              <w:right w:val="single" w:sz="4" w:space="0" w:color="000000"/>
            </w:tcBorders>
          </w:tcPr>
          <w:p w14:paraId="0297E356" w14:textId="77777777" w:rsidR="000C2C41" w:rsidRPr="003A5C41" w:rsidRDefault="000C2C41" w:rsidP="000C2C41">
            <w:pPr>
              <w:autoSpaceDE w:val="0"/>
              <w:autoSpaceDN w:val="0"/>
              <w:adjustRightInd w:val="0"/>
              <w:ind w:left="0" w:firstLine="0"/>
              <w:rPr>
                <w:sz w:val="24"/>
                <w:lang w:eastAsia="en-US"/>
              </w:rPr>
            </w:pPr>
          </w:p>
        </w:tc>
      </w:tr>
      <w:tr w:rsidR="000C2C41" w:rsidRPr="003A5C41" w14:paraId="139FEAA0" w14:textId="77777777" w:rsidTr="0050037D">
        <w:trPr>
          <w:trHeight w:hRule="exact" w:val="938"/>
        </w:trPr>
        <w:tc>
          <w:tcPr>
            <w:tcW w:w="2432" w:type="dxa"/>
            <w:tcBorders>
              <w:top w:val="single" w:sz="4" w:space="0" w:color="000000"/>
              <w:left w:val="single" w:sz="4" w:space="0" w:color="000000"/>
              <w:bottom w:val="none" w:sz="6" w:space="0" w:color="auto"/>
              <w:right w:val="single" w:sz="4" w:space="0" w:color="000000"/>
            </w:tcBorders>
          </w:tcPr>
          <w:p w14:paraId="4839E166" w14:textId="77777777" w:rsidR="000C2C41" w:rsidRPr="003A5C41" w:rsidRDefault="000C2C41" w:rsidP="000C2C41">
            <w:pPr>
              <w:kinsoku w:val="0"/>
              <w:overflowPunct w:val="0"/>
              <w:autoSpaceDE w:val="0"/>
              <w:autoSpaceDN w:val="0"/>
              <w:adjustRightInd w:val="0"/>
              <w:spacing w:before="1"/>
              <w:ind w:left="103" w:right="649" w:firstLine="0"/>
              <w:rPr>
                <w:sz w:val="24"/>
                <w:lang w:eastAsia="en-US"/>
              </w:rPr>
            </w:pPr>
            <w:r w:rsidRPr="003A5C41">
              <w:rPr>
                <w:b/>
                <w:bCs/>
                <w:szCs w:val="22"/>
                <w:lang w:eastAsia="en-US"/>
              </w:rPr>
              <w:t>Poruchy pečene a žlčových ciest</w:t>
            </w:r>
          </w:p>
        </w:tc>
        <w:tc>
          <w:tcPr>
            <w:tcW w:w="3364" w:type="dxa"/>
            <w:tcBorders>
              <w:top w:val="single" w:sz="4" w:space="0" w:color="000000"/>
              <w:left w:val="single" w:sz="4" w:space="0" w:color="000000"/>
              <w:bottom w:val="none" w:sz="6" w:space="0" w:color="auto"/>
              <w:right w:val="single" w:sz="4" w:space="0" w:color="000000"/>
            </w:tcBorders>
          </w:tcPr>
          <w:p w14:paraId="6F88D8A0" w14:textId="77777777" w:rsidR="000C2C41" w:rsidRPr="003A5C41" w:rsidRDefault="000C2C41" w:rsidP="0050037D">
            <w:pPr>
              <w:kinsoku w:val="0"/>
              <w:overflowPunct w:val="0"/>
              <w:autoSpaceDE w:val="0"/>
              <w:autoSpaceDN w:val="0"/>
              <w:adjustRightInd w:val="0"/>
              <w:spacing w:before="1" w:line="252" w:lineRule="exact"/>
              <w:ind w:left="103" w:firstLine="0"/>
              <w:rPr>
                <w:szCs w:val="22"/>
                <w:lang w:eastAsia="en-US"/>
              </w:rPr>
            </w:pPr>
            <w:r w:rsidRPr="003A5C41">
              <w:rPr>
                <w:szCs w:val="22"/>
                <w:u w:val="single"/>
                <w:lang w:eastAsia="en-US"/>
              </w:rPr>
              <w:t>Časté</w:t>
            </w:r>
          </w:p>
          <w:p w14:paraId="6FEB5268" w14:textId="77777777" w:rsidR="000C2C41" w:rsidRPr="003A5C41" w:rsidRDefault="000E3EE2" w:rsidP="0050037D">
            <w:pPr>
              <w:kinsoku w:val="0"/>
              <w:overflowPunct w:val="0"/>
              <w:autoSpaceDE w:val="0"/>
              <w:autoSpaceDN w:val="0"/>
              <w:adjustRightInd w:val="0"/>
              <w:spacing w:line="279" w:lineRule="exact"/>
              <w:ind w:left="103" w:firstLine="0"/>
              <w:rPr>
                <w:sz w:val="24"/>
                <w:lang w:eastAsia="en-US"/>
              </w:rPr>
            </w:pPr>
            <w:r w:rsidRPr="000E3EE2">
              <w:rPr>
                <w:rFonts w:eastAsia="Calibri"/>
                <w:spacing w:val="-1"/>
                <w:szCs w:val="22"/>
                <w:lang w:eastAsia="en-US"/>
              </w:rPr>
              <w:t xml:space="preserve">Abnormálne výsledky </w:t>
            </w:r>
            <w:r w:rsidRPr="0050037D">
              <w:rPr>
                <w:rFonts w:eastAsia="Calibri"/>
              </w:rPr>
              <w:t>testov</w:t>
            </w:r>
            <w:r w:rsidRPr="000E3EE2">
              <w:rPr>
                <w:rFonts w:eastAsia="Calibri"/>
                <w:spacing w:val="-1"/>
                <w:szCs w:val="22"/>
                <w:lang w:eastAsia="en-US"/>
              </w:rPr>
              <w:t xml:space="preserve"> funkcie pečene</w:t>
            </w:r>
            <w:r w:rsidR="00ED01F0" w:rsidRPr="0050037D">
              <w:rPr>
                <w:position w:val="9"/>
                <w:sz w:val="16"/>
              </w:rPr>
              <w:t>◊</w:t>
            </w:r>
          </w:p>
        </w:tc>
        <w:tc>
          <w:tcPr>
            <w:tcW w:w="3555" w:type="dxa"/>
            <w:tcBorders>
              <w:top w:val="single" w:sz="4" w:space="0" w:color="000000"/>
              <w:left w:val="single" w:sz="4" w:space="0" w:color="000000"/>
              <w:bottom w:val="none" w:sz="6" w:space="0" w:color="auto"/>
              <w:right w:val="single" w:sz="4" w:space="0" w:color="000000"/>
            </w:tcBorders>
          </w:tcPr>
          <w:p w14:paraId="31C5495B" w14:textId="77777777" w:rsidR="000C2C41" w:rsidRPr="003A5C41" w:rsidRDefault="000C2C41" w:rsidP="0050037D">
            <w:pPr>
              <w:kinsoku w:val="0"/>
              <w:overflowPunct w:val="0"/>
              <w:autoSpaceDE w:val="0"/>
              <w:autoSpaceDN w:val="0"/>
              <w:adjustRightInd w:val="0"/>
              <w:spacing w:before="1" w:line="245" w:lineRule="exact"/>
              <w:ind w:left="103" w:firstLine="0"/>
              <w:rPr>
                <w:szCs w:val="22"/>
                <w:lang w:eastAsia="en-US"/>
              </w:rPr>
            </w:pPr>
            <w:r w:rsidRPr="003A5C41">
              <w:rPr>
                <w:szCs w:val="22"/>
                <w:u w:val="single"/>
                <w:lang w:eastAsia="en-US"/>
              </w:rPr>
              <w:t>Časté</w:t>
            </w:r>
          </w:p>
          <w:p w14:paraId="789BFF59" w14:textId="022A9595" w:rsidR="000C2C41" w:rsidRPr="003A5C41" w:rsidRDefault="000C2C41" w:rsidP="0050037D">
            <w:pPr>
              <w:kinsoku w:val="0"/>
              <w:overflowPunct w:val="0"/>
              <w:autoSpaceDE w:val="0"/>
              <w:autoSpaceDN w:val="0"/>
              <w:adjustRightInd w:val="0"/>
              <w:spacing w:line="281" w:lineRule="exact"/>
              <w:ind w:left="103" w:firstLine="0"/>
              <w:rPr>
                <w:sz w:val="24"/>
                <w:lang w:eastAsia="en-US"/>
              </w:rPr>
            </w:pPr>
            <w:r w:rsidRPr="003A5C41">
              <w:rPr>
                <w:szCs w:val="22"/>
                <w:lang w:eastAsia="en-US"/>
              </w:rPr>
              <w:t>Cholestáza</w:t>
            </w:r>
            <w:r w:rsidR="00ED01F0" w:rsidRPr="0050037D">
              <w:rPr>
                <w:position w:val="9"/>
                <w:sz w:val="16"/>
              </w:rPr>
              <w:t>◊</w:t>
            </w:r>
            <w:r w:rsidRPr="003A5C41">
              <w:rPr>
                <w:szCs w:val="22"/>
                <w:lang w:eastAsia="en-US"/>
              </w:rPr>
              <w:t xml:space="preserve">, </w:t>
            </w:r>
            <w:r w:rsidR="000E3EE2">
              <w:rPr>
                <w:rFonts w:eastAsia="Calibri"/>
                <w:spacing w:val="-1"/>
                <w:szCs w:val="22"/>
                <w:lang w:eastAsia="en-US"/>
              </w:rPr>
              <w:t>a</w:t>
            </w:r>
            <w:r w:rsidR="000E3EE2" w:rsidRPr="000E3EE2">
              <w:rPr>
                <w:rFonts w:eastAsia="Calibri"/>
                <w:spacing w:val="-1"/>
                <w:szCs w:val="22"/>
                <w:lang w:eastAsia="en-US"/>
              </w:rPr>
              <w:t>bnormálne výsledky</w:t>
            </w:r>
            <w:r w:rsidR="000E3EE2" w:rsidRPr="0050037D">
              <w:rPr>
                <w:rFonts w:eastAsia="Calibri"/>
              </w:rPr>
              <w:t xml:space="preserve"> testov</w:t>
            </w:r>
            <w:r w:rsidR="000E3EE2" w:rsidRPr="000E3EE2">
              <w:rPr>
                <w:rFonts w:eastAsia="Calibri"/>
                <w:spacing w:val="-1"/>
                <w:szCs w:val="22"/>
                <w:lang w:eastAsia="en-US"/>
              </w:rPr>
              <w:t xml:space="preserve"> funkcie pečene</w:t>
            </w:r>
            <w:r w:rsidR="00ED01F0" w:rsidRPr="0050037D">
              <w:rPr>
                <w:position w:val="9"/>
                <w:sz w:val="16"/>
              </w:rPr>
              <w:t>◊</w:t>
            </w:r>
          </w:p>
        </w:tc>
      </w:tr>
      <w:tr w:rsidR="000C2C41" w:rsidRPr="003A5C41" w14:paraId="29F37BEF" w14:textId="77777777" w:rsidTr="0050037D">
        <w:trPr>
          <w:trHeight w:hRule="exact" w:val="660"/>
        </w:trPr>
        <w:tc>
          <w:tcPr>
            <w:tcW w:w="2432" w:type="dxa"/>
            <w:tcBorders>
              <w:top w:val="none" w:sz="6" w:space="0" w:color="auto"/>
              <w:left w:val="single" w:sz="4" w:space="0" w:color="000000"/>
              <w:bottom w:val="single" w:sz="4" w:space="0" w:color="000000"/>
              <w:right w:val="single" w:sz="4" w:space="0" w:color="000000"/>
            </w:tcBorders>
          </w:tcPr>
          <w:p w14:paraId="78F8C82D"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single" w:sz="4" w:space="0" w:color="000000"/>
              <w:right w:val="single" w:sz="4" w:space="0" w:color="000000"/>
            </w:tcBorders>
          </w:tcPr>
          <w:p w14:paraId="7B244E32" w14:textId="77777777" w:rsidR="000C2C41" w:rsidRPr="003A5C41" w:rsidRDefault="000C2C41" w:rsidP="00ED01F0">
            <w:pPr>
              <w:kinsoku w:val="0"/>
              <w:overflowPunct w:val="0"/>
              <w:autoSpaceDE w:val="0"/>
              <w:autoSpaceDN w:val="0"/>
              <w:adjustRightInd w:val="0"/>
              <w:spacing w:before="123"/>
              <w:ind w:left="103" w:right="1681" w:firstLine="0"/>
              <w:rPr>
                <w:sz w:val="24"/>
                <w:lang w:eastAsia="en-US"/>
              </w:rPr>
            </w:pPr>
            <w:r w:rsidRPr="003A5C41">
              <w:rPr>
                <w:szCs w:val="22"/>
                <w:u w:val="single"/>
                <w:lang w:eastAsia="en-US"/>
              </w:rPr>
              <w:t xml:space="preserve">Menej časté </w:t>
            </w:r>
            <w:r w:rsidRPr="003A5C41">
              <w:rPr>
                <w:szCs w:val="22"/>
                <w:lang w:eastAsia="en-US"/>
              </w:rPr>
              <w:t>Zlyhanie pečene^</w:t>
            </w:r>
          </w:p>
        </w:tc>
        <w:tc>
          <w:tcPr>
            <w:tcW w:w="3555" w:type="dxa"/>
            <w:tcBorders>
              <w:top w:val="none" w:sz="6" w:space="0" w:color="auto"/>
              <w:left w:val="single" w:sz="4" w:space="0" w:color="000000"/>
              <w:bottom w:val="single" w:sz="4" w:space="0" w:color="000000"/>
              <w:right w:val="single" w:sz="4" w:space="0" w:color="000000"/>
            </w:tcBorders>
          </w:tcPr>
          <w:p w14:paraId="3AD8CB13" w14:textId="77777777" w:rsidR="000C2C41" w:rsidRPr="003A5C41" w:rsidRDefault="000C2C41" w:rsidP="001F4FF7">
            <w:pPr>
              <w:kinsoku w:val="0"/>
              <w:overflowPunct w:val="0"/>
              <w:autoSpaceDE w:val="0"/>
              <w:autoSpaceDN w:val="0"/>
              <w:adjustRightInd w:val="0"/>
              <w:spacing w:before="147"/>
              <w:ind w:left="103" w:right="1871" w:firstLine="0"/>
              <w:rPr>
                <w:sz w:val="24"/>
                <w:lang w:eastAsia="en-US"/>
              </w:rPr>
            </w:pPr>
            <w:r w:rsidRPr="003A5C41">
              <w:rPr>
                <w:szCs w:val="22"/>
                <w:u w:val="single"/>
                <w:lang w:eastAsia="en-US"/>
              </w:rPr>
              <w:t xml:space="preserve">Menej časté </w:t>
            </w:r>
            <w:r w:rsidRPr="003A5C41">
              <w:rPr>
                <w:szCs w:val="22"/>
                <w:lang w:eastAsia="en-US"/>
              </w:rPr>
              <w:t>Zlyhanie pečene^</w:t>
            </w:r>
          </w:p>
        </w:tc>
      </w:tr>
      <w:tr w:rsidR="000C2C41" w:rsidRPr="003A5C41" w14:paraId="3F0CE6DF" w14:textId="77777777" w:rsidTr="008422C4">
        <w:trPr>
          <w:trHeight w:hRule="exact" w:val="263"/>
        </w:trPr>
        <w:tc>
          <w:tcPr>
            <w:tcW w:w="2432" w:type="dxa"/>
            <w:tcBorders>
              <w:top w:val="single" w:sz="4" w:space="0" w:color="000000"/>
              <w:left w:val="single" w:sz="4" w:space="0" w:color="000000"/>
              <w:bottom w:val="none" w:sz="6" w:space="0" w:color="auto"/>
              <w:right w:val="single" w:sz="4" w:space="0" w:color="000000"/>
            </w:tcBorders>
          </w:tcPr>
          <w:p w14:paraId="7CE6461B" w14:textId="77777777" w:rsidR="000C2C41" w:rsidRPr="003A5C41" w:rsidRDefault="000C2C41" w:rsidP="000C2C41">
            <w:pPr>
              <w:kinsoku w:val="0"/>
              <w:overflowPunct w:val="0"/>
              <w:autoSpaceDE w:val="0"/>
              <w:autoSpaceDN w:val="0"/>
              <w:adjustRightInd w:val="0"/>
              <w:spacing w:before="1"/>
              <w:ind w:left="103" w:firstLine="0"/>
              <w:rPr>
                <w:sz w:val="24"/>
                <w:lang w:eastAsia="en-US"/>
              </w:rPr>
            </w:pPr>
            <w:r w:rsidRPr="003A5C41">
              <w:rPr>
                <w:b/>
                <w:bCs/>
                <w:szCs w:val="22"/>
                <w:lang w:eastAsia="en-US"/>
              </w:rPr>
              <w:t>Poruchy kože a</w:t>
            </w:r>
          </w:p>
        </w:tc>
        <w:tc>
          <w:tcPr>
            <w:tcW w:w="3364" w:type="dxa"/>
            <w:tcBorders>
              <w:top w:val="single" w:sz="4" w:space="0" w:color="000000"/>
              <w:left w:val="single" w:sz="4" w:space="0" w:color="000000"/>
              <w:bottom w:val="none" w:sz="6" w:space="0" w:color="auto"/>
              <w:right w:val="single" w:sz="4" w:space="0" w:color="000000"/>
            </w:tcBorders>
          </w:tcPr>
          <w:p w14:paraId="291C622F" w14:textId="77777777" w:rsidR="000C2C41" w:rsidRPr="003A5C41" w:rsidRDefault="000C2C41" w:rsidP="000C2C41">
            <w:pPr>
              <w:kinsoku w:val="0"/>
              <w:overflowPunct w:val="0"/>
              <w:autoSpaceDE w:val="0"/>
              <w:autoSpaceDN w:val="0"/>
              <w:adjustRightInd w:val="0"/>
              <w:spacing w:before="1"/>
              <w:ind w:left="103" w:firstLine="0"/>
              <w:rPr>
                <w:sz w:val="24"/>
                <w:lang w:eastAsia="en-US"/>
              </w:rPr>
            </w:pPr>
            <w:r w:rsidRPr="003A5C41">
              <w:rPr>
                <w:szCs w:val="22"/>
                <w:u w:val="single"/>
                <w:lang w:eastAsia="en-US"/>
              </w:rPr>
              <w:t>Veľmi časté</w:t>
            </w:r>
          </w:p>
        </w:tc>
        <w:tc>
          <w:tcPr>
            <w:tcW w:w="3555" w:type="dxa"/>
            <w:tcBorders>
              <w:top w:val="single" w:sz="4" w:space="0" w:color="000000"/>
              <w:left w:val="single" w:sz="4" w:space="0" w:color="000000"/>
              <w:bottom w:val="none" w:sz="6" w:space="0" w:color="auto"/>
              <w:right w:val="single" w:sz="4" w:space="0" w:color="000000"/>
            </w:tcBorders>
          </w:tcPr>
          <w:p w14:paraId="40EF7FF6" w14:textId="77777777" w:rsidR="000C2C41" w:rsidRPr="003A5C41" w:rsidRDefault="000C2C41" w:rsidP="000C2C41">
            <w:pPr>
              <w:kinsoku w:val="0"/>
              <w:overflowPunct w:val="0"/>
              <w:autoSpaceDE w:val="0"/>
              <w:autoSpaceDN w:val="0"/>
              <w:adjustRightInd w:val="0"/>
              <w:spacing w:before="1"/>
              <w:ind w:left="103" w:firstLine="0"/>
              <w:rPr>
                <w:sz w:val="24"/>
                <w:lang w:eastAsia="en-US"/>
              </w:rPr>
            </w:pPr>
            <w:r w:rsidRPr="003A5C41">
              <w:rPr>
                <w:szCs w:val="22"/>
                <w:u w:val="single"/>
                <w:lang w:eastAsia="en-US"/>
              </w:rPr>
              <w:t>Časté</w:t>
            </w:r>
          </w:p>
        </w:tc>
      </w:tr>
      <w:tr w:rsidR="000C2C41" w:rsidRPr="003A5C41" w14:paraId="7EF1B424" w14:textId="77777777" w:rsidTr="008422C4">
        <w:trPr>
          <w:trHeight w:hRule="exact" w:val="390"/>
        </w:trPr>
        <w:tc>
          <w:tcPr>
            <w:tcW w:w="2432" w:type="dxa"/>
            <w:tcBorders>
              <w:top w:val="none" w:sz="6" w:space="0" w:color="auto"/>
              <w:left w:val="single" w:sz="4" w:space="0" w:color="000000"/>
              <w:bottom w:val="none" w:sz="6" w:space="0" w:color="auto"/>
              <w:right w:val="single" w:sz="4" w:space="0" w:color="000000"/>
            </w:tcBorders>
          </w:tcPr>
          <w:p w14:paraId="6D01BF11" w14:textId="77777777" w:rsidR="000C2C41" w:rsidRPr="003A5C41" w:rsidRDefault="000C2C41" w:rsidP="000C2C41">
            <w:pPr>
              <w:kinsoku w:val="0"/>
              <w:overflowPunct w:val="0"/>
              <w:autoSpaceDE w:val="0"/>
              <w:autoSpaceDN w:val="0"/>
              <w:adjustRightInd w:val="0"/>
              <w:spacing w:line="248" w:lineRule="exact"/>
              <w:ind w:left="103" w:firstLine="0"/>
              <w:rPr>
                <w:sz w:val="24"/>
                <w:lang w:eastAsia="en-US"/>
              </w:rPr>
            </w:pPr>
            <w:r w:rsidRPr="003A5C41">
              <w:rPr>
                <w:b/>
                <w:bCs/>
                <w:szCs w:val="22"/>
                <w:lang w:eastAsia="en-US"/>
              </w:rPr>
              <w:t>podkožného tkaniva</w:t>
            </w:r>
          </w:p>
        </w:tc>
        <w:tc>
          <w:tcPr>
            <w:tcW w:w="3364" w:type="dxa"/>
            <w:tcBorders>
              <w:top w:val="none" w:sz="6" w:space="0" w:color="auto"/>
              <w:left w:val="single" w:sz="4" w:space="0" w:color="000000"/>
              <w:bottom w:val="none" w:sz="6" w:space="0" w:color="auto"/>
              <w:right w:val="single" w:sz="4" w:space="0" w:color="000000"/>
            </w:tcBorders>
          </w:tcPr>
          <w:p w14:paraId="770BE902" w14:textId="77777777" w:rsidR="000C2C41" w:rsidRPr="003A5C41" w:rsidRDefault="000C2C41" w:rsidP="000C2C41">
            <w:pPr>
              <w:kinsoku w:val="0"/>
              <w:overflowPunct w:val="0"/>
              <w:autoSpaceDE w:val="0"/>
              <w:autoSpaceDN w:val="0"/>
              <w:adjustRightInd w:val="0"/>
              <w:spacing w:line="248" w:lineRule="exact"/>
              <w:ind w:left="103" w:firstLine="0"/>
              <w:rPr>
                <w:sz w:val="24"/>
                <w:lang w:eastAsia="en-US"/>
              </w:rPr>
            </w:pPr>
            <w:r w:rsidRPr="003A5C41">
              <w:rPr>
                <w:szCs w:val="22"/>
                <w:lang w:eastAsia="en-US"/>
              </w:rPr>
              <w:t>Výsev, pruritus</w:t>
            </w:r>
          </w:p>
        </w:tc>
        <w:tc>
          <w:tcPr>
            <w:tcW w:w="3555" w:type="dxa"/>
            <w:tcBorders>
              <w:top w:val="none" w:sz="6" w:space="0" w:color="auto"/>
              <w:left w:val="single" w:sz="4" w:space="0" w:color="000000"/>
              <w:bottom w:val="none" w:sz="6" w:space="0" w:color="auto"/>
              <w:right w:val="single" w:sz="4" w:space="0" w:color="000000"/>
            </w:tcBorders>
          </w:tcPr>
          <w:p w14:paraId="1EF6D90E" w14:textId="77777777" w:rsidR="000C2C41" w:rsidRPr="003A5C41" w:rsidRDefault="000C2C41" w:rsidP="000C2C41">
            <w:pPr>
              <w:kinsoku w:val="0"/>
              <w:overflowPunct w:val="0"/>
              <w:autoSpaceDE w:val="0"/>
              <w:autoSpaceDN w:val="0"/>
              <w:adjustRightInd w:val="0"/>
              <w:spacing w:line="248" w:lineRule="exact"/>
              <w:ind w:left="103" w:firstLine="0"/>
              <w:rPr>
                <w:sz w:val="24"/>
                <w:lang w:eastAsia="en-US"/>
              </w:rPr>
            </w:pPr>
            <w:r w:rsidRPr="003A5C41">
              <w:rPr>
                <w:szCs w:val="22"/>
                <w:lang w:eastAsia="en-US"/>
              </w:rPr>
              <w:t>Výsev</w:t>
            </w:r>
          </w:p>
        </w:tc>
      </w:tr>
      <w:tr w:rsidR="000C2C41" w:rsidRPr="003A5C41" w14:paraId="3DF79C8E" w14:textId="77777777" w:rsidTr="008422C4">
        <w:trPr>
          <w:trHeight w:hRule="exact" w:val="391"/>
        </w:trPr>
        <w:tc>
          <w:tcPr>
            <w:tcW w:w="2432" w:type="dxa"/>
            <w:tcBorders>
              <w:top w:val="none" w:sz="6" w:space="0" w:color="auto"/>
              <w:left w:val="single" w:sz="4" w:space="0" w:color="000000"/>
              <w:bottom w:val="none" w:sz="6" w:space="0" w:color="auto"/>
              <w:right w:val="single" w:sz="4" w:space="0" w:color="000000"/>
            </w:tcBorders>
          </w:tcPr>
          <w:p w14:paraId="1998C2EA"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none" w:sz="6" w:space="0" w:color="auto"/>
              <w:right w:val="single" w:sz="4" w:space="0" w:color="000000"/>
            </w:tcBorders>
          </w:tcPr>
          <w:p w14:paraId="147A4BF9" w14:textId="77777777" w:rsidR="000C2C41" w:rsidRPr="003A5C41" w:rsidRDefault="000C2C41" w:rsidP="000C2C41">
            <w:pPr>
              <w:kinsoku w:val="0"/>
              <w:overflowPunct w:val="0"/>
              <w:autoSpaceDE w:val="0"/>
              <w:autoSpaceDN w:val="0"/>
              <w:adjustRightInd w:val="0"/>
              <w:spacing w:before="133"/>
              <w:ind w:left="103" w:firstLine="0"/>
              <w:rPr>
                <w:sz w:val="24"/>
                <w:lang w:eastAsia="en-US"/>
              </w:rPr>
            </w:pPr>
            <w:r w:rsidRPr="003A5C41">
              <w:rPr>
                <w:szCs w:val="22"/>
                <w:u w:val="single"/>
                <w:lang w:eastAsia="en-US"/>
              </w:rPr>
              <w:t>Časté</w:t>
            </w:r>
          </w:p>
        </w:tc>
        <w:tc>
          <w:tcPr>
            <w:tcW w:w="3555" w:type="dxa"/>
            <w:tcBorders>
              <w:top w:val="none" w:sz="6" w:space="0" w:color="auto"/>
              <w:left w:val="single" w:sz="4" w:space="0" w:color="000000"/>
              <w:bottom w:val="none" w:sz="6" w:space="0" w:color="auto"/>
              <w:right w:val="single" w:sz="4" w:space="0" w:color="000000"/>
            </w:tcBorders>
          </w:tcPr>
          <w:p w14:paraId="32C15571" w14:textId="77777777" w:rsidR="000C2C41" w:rsidRPr="003A5C41" w:rsidRDefault="000C2C41" w:rsidP="000C2C41">
            <w:pPr>
              <w:autoSpaceDE w:val="0"/>
              <w:autoSpaceDN w:val="0"/>
              <w:adjustRightInd w:val="0"/>
              <w:ind w:left="0" w:firstLine="0"/>
              <w:rPr>
                <w:sz w:val="24"/>
                <w:lang w:eastAsia="en-US"/>
              </w:rPr>
            </w:pPr>
          </w:p>
        </w:tc>
      </w:tr>
      <w:tr w:rsidR="000C2C41" w:rsidRPr="003A5C41" w14:paraId="4F8AFE28" w14:textId="77777777" w:rsidTr="008422C4">
        <w:trPr>
          <w:trHeight w:hRule="exact" w:val="253"/>
        </w:trPr>
        <w:tc>
          <w:tcPr>
            <w:tcW w:w="2432" w:type="dxa"/>
            <w:tcBorders>
              <w:top w:val="none" w:sz="6" w:space="0" w:color="auto"/>
              <w:left w:val="single" w:sz="4" w:space="0" w:color="000000"/>
              <w:bottom w:val="none" w:sz="6" w:space="0" w:color="auto"/>
              <w:right w:val="single" w:sz="4" w:space="0" w:color="000000"/>
            </w:tcBorders>
          </w:tcPr>
          <w:p w14:paraId="5F3DB885"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none" w:sz="6" w:space="0" w:color="auto"/>
              <w:right w:val="single" w:sz="4" w:space="0" w:color="000000"/>
            </w:tcBorders>
          </w:tcPr>
          <w:p w14:paraId="5DDCA45A" w14:textId="77777777" w:rsidR="000C2C41" w:rsidRPr="003A5C41" w:rsidRDefault="000C2C41" w:rsidP="000C2C41">
            <w:pPr>
              <w:kinsoku w:val="0"/>
              <w:overflowPunct w:val="0"/>
              <w:autoSpaceDE w:val="0"/>
              <w:autoSpaceDN w:val="0"/>
              <w:adjustRightInd w:val="0"/>
              <w:spacing w:line="249" w:lineRule="exact"/>
              <w:ind w:left="103" w:firstLine="0"/>
              <w:rPr>
                <w:sz w:val="24"/>
                <w:lang w:eastAsia="en-US"/>
              </w:rPr>
            </w:pPr>
            <w:r w:rsidRPr="003A5C41">
              <w:rPr>
                <w:szCs w:val="22"/>
                <w:lang w:eastAsia="en-US"/>
              </w:rPr>
              <w:t>Urtikária, hyperhidróza, suchá</w:t>
            </w:r>
          </w:p>
        </w:tc>
        <w:tc>
          <w:tcPr>
            <w:tcW w:w="3555" w:type="dxa"/>
            <w:tcBorders>
              <w:top w:val="none" w:sz="6" w:space="0" w:color="auto"/>
              <w:left w:val="single" w:sz="4" w:space="0" w:color="000000"/>
              <w:bottom w:val="none" w:sz="6" w:space="0" w:color="auto"/>
              <w:right w:val="single" w:sz="4" w:space="0" w:color="000000"/>
            </w:tcBorders>
          </w:tcPr>
          <w:p w14:paraId="7499E8F5" w14:textId="77777777" w:rsidR="000C2C41" w:rsidRPr="003A5C41" w:rsidRDefault="000C2C41" w:rsidP="000C2C41">
            <w:pPr>
              <w:autoSpaceDE w:val="0"/>
              <w:autoSpaceDN w:val="0"/>
              <w:adjustRightInd w:val="0"/>
              <w:ind w:left="0" w:firstLine="0"/>
              <w:rPr>
                <w:sz w:val="24"/>
                <w:lang w:eastAsia="en-US"/>
              </w:rPr>
            </w:pPr>
          </w:p>
        </w:tc>
      </w:tr>
      <w:tr w:rsidR="000C2C41" w:rsidRPr="003A5C41" w14:paraId="1D1D8502" w14:textId="77777777" w:rsidTr="008422C4">
        <w:trPr>
          <w:trHeight w:hRule="exact" w:val="253"/>
        </w:trPr>
        <w:tc>
          <w:tcPr>
            <w:tcW w:w="2432" w:type="dxa"/>
            <w:tcBorders>
              <w:top w:val="none" w:sz="6" w:space="0" w:color="auto"/>
              <w:left w:val="single" w:sz="4" w:space="0" w:color="000000"/>
              <w:bottom w:val="none" w:sz="6" w:space="0" w:color="auto"/>
              <w:right w:val="single" w:sz="4" w:space="0" w:color="000000"/>
            </w:tcBorders>
          </w:tcPr>
          <w:p w14:paraId="224527D0"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none" w:sz="6" w:space="0" w:color="auto"/>
              <w:right w:val="single" w:sz="4" w:space="0" w:color="000000"/>
            </w:tcBorders>
          </w:tcPr>
          <w:p w14:paraId="521523E3" w14:textId="77777777" w:rsidR="000C2C41" w:rsidRPr="003A5C41" w:rsidRDefault="000C2C41" w:rsidP="000C2C41">
            <w:pPr>
              <w:kinsoku w:val="0"/>
              <w:overflowPunct w:val="0"/>
              <w:autoSpaceDE w:val="0"/>
              <w:autoSpaceDN w:val="0"/>
              <w:adjustRightInd w:val="0"/>
              <w:spacing w:line="248" w:lineRule="exact"/>
              <w:ind w:left="103" w:firstLine="0"/>
              <w:rPr>
                <w:sz w:val="24"/>
                <w:lang w:eastAsia="en-US"/>
              </w:rPr>
            </w:pPr>
            <w:r w:rsidRPr="003A5C41">
              <w:rPr>
                <w:szCs w:val="22"/>
                <w:lang w:eastAsia="en-US"/>
              </w:rPr>
              <w:t>koža, hyperpigmentácia kože,</w:t>
            </w:r>
          </w:p>
        </w:tc>
        <w:tc>
          <w:tcPr>
            <w:tcW w:w="3555" w:type="dxa"/>
            <w:tcBorders>
              <w:top w:val="none" w:sz="6" w:space="0" w:color="auto"/>
              <w:left w:val="single" w:sz="4" w:space="0" w:color="000000"/>
              <w:bottom w:val="none" w:sz="6" w:space="0" w:color="auto"/>
              <w:right w:val="single" w:sz="4" w:space="0" w:color="000000"/>
            </w:tcBorders>
          </w:tcPr>
          <w:p w14:paraId="100EA6B1" w14:textId="77777777" w:rsidR="000C2C41" w:rsidRPr="003A5C41" w:rsidRDefault="000C2C41" w:rsidP="000C2C41">
            <w:pPr>
              <w:autoSpaceDE w:val="0"/>
              <w:autoSpaceDN w:val="0"/>
              <w:adjustRightInd w:val="0"/>
              <w:ind w:left="0" w:firstLine="0"/>
              <w:rPr>
                <w:sz w:val="24"/>
                <w:lang w:eastAsia="en-US"/>
              </w:rPr>
            </w:pPr>
          </w:p>
        </w:tc>
      </w:tr>
      <w:tr w:rsidR="000C2C41" w:rsidRPr="003A5C41" w14:paraId="56321882" w14:textId="77777777" w:rsidTr="008422C4">
        <w:trPr>
          <w:trHeight w:hRule="exact" w:val="391"/>
        </w:trPr>
        <w:tc>
          <w:tcPr>
            <w:tcW w:w="2432" w:type="dxa"/>
            <w:tcBorders>
              <w:top w:val="none" w:sz="6" w:space="0" w:color="auto"/>
              <w:left w:val="single" w:sz="4" w:space="0" w:color="000000"/>
              <w:bottom w:val="none" w:sz="6" w:space="0" w:color="auto"/>
              <w:right w:val="single" w:sz="4" w:space="0" w:color="000000"/>
            </w:tcBorders>
          </w:tcPr>
          <w:p w14:paraId="108453C1"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none" w:sz="6" w:space="0" w:color="auto"/>
              <w:right w:val="single" w:sz="4" w:space="0" w:color="000000"/>
            </w:tcBorders>
          </w:tcPr>
          <w:p w14:paraId="3F8DC52A" w14:textId="77777777" w:rsidR="000C2C41" w:rsidRPr="003A5C41" w:rsidRDefault="000C2C41" w:rsidP="000C2C41">
            <w:pPr>
              <w:kinsoku w:val="0"/>
              <w:overflowPunct w:val="0"/>
              <w:autoSpaceDE w:val="0"/>
              <w:autoSpaceDN w:val="0"/>
              <w:adjustRightInd w:val="0"/>
              <w:spacing w:line="249" w:lineRule="exact"/>
              <w:ind w:left="103" w:firstLine="0"/>
              <w:rPr>
                <w:sz w:val="24"/>
                <w:lang w:eastAsia="en-US"/>
              </w:rPr>
            </w:pPr>
            <w:r w:rsidRPr="003A5C41">
              <w:rPr>
                <w:szCs w:val="22"/>
                <w:lang w:eastAsia="en-US"/>
              </w:rPr>
              <w:t>ekzém, erytém</w:t>
            </w:r>
          </w:p>
        </w:tc>
        <w:tc>
          <w:tcPr>
            <w:tcW w:w="3555" w:type="dxa"/>
            <w:tcBorders>
              <w:top w:val="none" w:sz="6" w:space="0" w:color="auto"/>
              <w:left w:val="single" w:sz="4" w:space="0" w:color="000000"/>
              <w:bottom w:val="none" w:sz="6" w:space="0" w:color="auto"/>
              <w:right w:val="single" w:sz="4" w:space="0" w:color="000000"/>
            </w:tcBorders>
          </w:tcPr>
          <w:p w14:paraId="3CD1C2FC" w14:textId="77777777" w:rsidR="000C2C41" w:rsidRPr="003A5C41" w:rsidRDefault="000C2C41" w:rsidP="000C2C41">
            <w:pPr>
              <w:autoSpaceDE w:val="0"/>
              <w:autoSpaceDN w:val="0"/>
              <w:adjustRightInd w:val="0"/>
              <w:ind w:left="0" w:firstLine="0"/>
              <w:rPr>
                <w:sz w:val="24"/>
                <w:lang w:eastAsia="en-US"/>
              </w:rPr>
            </w:pPr>
          </w:p>
        </w:tc>
      </w:tr>
      <w:tr w:rsidR="000C2C41" w:rsidRPr="003A5C41" w14:paraId="6FEEDA0E" w14:textId="77777777" w:rsidTr="008422C4">
        <w:trPr>
          <w:trHeight w:hRule="exact" w:val="390"/>
        </w:trPr>
        <w:tc>
          <w:tcPr>
            <w:tcW w:w="2432" w:type="dxa"/>
            <w:tcBorders>
              <w:top w:val="none" w:sz="6" w:space="0" w:color="auto"/>
              <w:left w:val="single" w:sz="4" w:space="0" w:color="000000"/>
              <w:bottom w:val="none" w:sz="6" w:space="0" w:color="auto"/>
              <w:right w:val="single" w:sz="4" w:space="0" w:color="000000"/>
            </w:tcBorders>
          </w:tcPr>
          <w:p w14:paraId="5AE320B2"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none" w:sz="6" w:space="0" w:color="auto"/>
              <w:right w:val="single" w:sz="4" w:space="0" w:color="000000"/>
            </w:tcBorders>
          </w:tcPr>
          <w:p w14:paraId="566A34F7" w14:textId="77777777" w:rsidR="000C2C41" w:rsidRPr="003A5C41" w:rsidRDefault="000C2C41" w:rsidP="000C2C41">
            <w:pPr>
              <w:kinsoku w:val="0"/>
              <w:overflowPunct w:val="0"/>
              <w:autoSpaceDE w:val="0"/>
              <w:autoSpaceDN w:val="0"/>
              <w:adjustRightInd w:val="0"/>
              <w:spacing w:before="133"/>
              <w:ind w:left="103" w:firstLine="0"/>
              <w:rPr>
                <w:sz w:val="24"/>
                <w:lang w:eastAsia="en-US"/>
              </w:rPr>
            </w:pPr>
            <w:r w:rsidRPr="003A5C41">
              <w:rPr>
                <w:szCs w:val="22"/>
                <w:u w:val="single"/>
                <w:lang w:eastAsia="en-US"/>
              </w:rPr>
              <w:t>Menej časté</w:t>
            </w:r>
          </w:p>
        </w:tc>
        <w:tc>
          <w:tcPr>
            <w:tcW w:w="3555" w:type="dxa"/>
            <w:tcBorders>
              <w:top w:val="none" w:sz="6" w:space="0" w:color="auto"/>
              <w:left w:val="single" w:sz="4" w:space="0" w:color="000000"/>
              <w:bottom w:val="none" w:sz="6" w:space="0" w:color="auto"/>
              <w:right w:val="single" w:sz="4" w:space="0" w:color="000000"/>
            </w:tcBorders>
          </w:tcPr>
          <w:p w14:paraId="437EBB93" w14:textId="77777777" w:rsidR="000C2C41" w:rsidRPr="003A5C41" w:rsidRDefault="000C2C41" w:rsidP="000C2C41">
            <w:pPr>
              <w:autoSpaceDE w:val="0"/>
              <w:autoSpaceDN w:val="0"/>
              <w:adjustRightInd w:val="0"/>
              <w:ind w:left="0" w:firstLine="0"/>
              <w:rPr>
                <w:sz w:val="24"/>
                <w:lang w:eastAsia="en-US"/>
              </w:rPr>
            </w:pPr>
          </w:p>
        </w:tc>
      </w:tr>
      <w:tr w:rsidR="000C2C41" w:rsidRPr="003A5C41" w14:paraId="6169E28B" w14:textId="77777777" w:rsidTr="008422C4">
        <w:trPr>
          <w:trHeight w:hRule="exact" w:val="253"/>
        </w:trPr>
        <w:tc>
          <w:tcPr>
            <w:tcW w:w="2432" w:type="dxa"/>
            <w:tcBorders>
              <w:top w:val="none" w:sz="6" w:space="0" w:color="auto"/>
              <w:left w:val="single" w:sz="4" w:space="0" w:color="000000"/>
              <w:bottom w:val="none" w:sz="6" w:space="0" w:color="auto"/>
              <w:right w:val="single" w:sz="4" w:space="0" w:color="000000"/>
            </w:tcBorders>
          </w:tcPr>
          <w:p w14:paraId="39303B41"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none" w:sz="6" w:space="0" w:color="auto"/>
              <w:right w:val="single" w:sz="4" w:space="0" w:color="000000"/>
            </w:tcBorders>
          </w:tcPr>
          <w:p w14:paraId="0A5E034F" w14:textId="77777777" w:rsidR="000C2C41" w:rsidRPr="003A5C41" w:rsidRDefault="000C2C41" w:rsidP="000C2C41">
            <w:pPr>
              <w:kinsoku w:val="0"/>
              <w:overflowPunct w:val="0"/>
              <w:autoSpaceDE w:val="0"/>
              <w:autoSpaceDN w:val="0"/>
              <w:adjustRightInd w:val="0"/>
              <w:spacing w:line="248" w:lineRule="exact"/>
              <w:ind w:left="103" w:firstLine="0"/>
              <w:rPr>
                <w:sz w:val="24"/>
                <w:lang w:eastAsia="en-US"/>
              </w:rPr>
            </w:pPr>
            <w:r w:rsidRPr="003A5C41">
              <w:rPr>
                <w:szCs w:val="22"/>
                <w:lang w:eastAsia="en-US"/>
              </w:rPr>
              <w:t>Zmena sfarbenia kože,</w:t>
            </w:r>
          </w:p>
        </w:tc>
        <w:tc>
          <w:tcPr>
            <w:tcW w:w="3555" w:type="dxa"/>
            <w:tcBorders>
              <w:top w:val="none" w:sz="6" w:space="0" w:color="auto"/>
              <w:left w:val="single" w:sz="4" w:space="0" w:color="000000"/>
              <w:bottom w:val="none" w:sz="6" w:space="0" w:color="auto"/>
              <w:right w:val="single" w:sz="4" w:space="0" w:color="000000"/>
            </w:tcBorders>
          </w:tcPr>
          <w:p w14:paraId="53B1A73E" w14:textId="77777777" w:rsidR="000C2C41" w:rsidRPr="003A5C41" w:rsidRDefault="000C2C41" w:rsidP="000C2C41">
            <w:pPr>
              <w:autoSpaceDE w:val="0"/>
              <w:autoSpaceDN w:val="0"/>
              <w:adjustRightInd w:val="0"/>
              <w:ind w:left="0" w:firstLine="0"/>
              <w:rPr>
                <w:sz w:val="24"/>
                <w:lang w:eastAsia="en-US"/>
              </w:rPr>
            </w:pPr>
          </w:p>
        </w:tc>
      </w:tr>
      <w:tr w:rsidR="000C2C41" w:rsidRPr="003A5C41" w14:paraId="2D1C6317" w14:textId="77777777" w:rsidTr="0050037D">
        <w:trPr>
          <w:trHeight w:hRule="exact" w:val="254"/>
        </w:trPr>
        <w:tc>
          <w:tcPr>
            <w:tcW w:w="2432" w:type="dxa"/>
            <w:tcBorders>
              <w:top w:val="none" w:sz="6" w:space="0" w:color="auto"/>
              <w:left w:val="single" w:sz="4" w:space="0" w:color="000000"/>
              <w:bottom w:val="single" w:sz="4" w:space="0" w:color="000000"/>
              <w:right w:val="single" w:sz="4" w:space="0" w:color="000000"/>
            </w:tcBorders>
          </w:tcPr>
          <w:p w14:paraId="3624D35A"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single" w:sz="4" w:space="0" w:color="000000"/>
              <w:right w:val="single" w:sz="4" w:space="0" w:color="000000"/>
            </w:tcBorders>
          </w:tcPr>
          <w:p w14:paraId="3DCCE9E7" w14:textId="77777777" w:rsidR="000C2C41" w:rsidRPr="003A5C41" w:rsidRDefault="000C2C41" w:rsidP="000C2C41">
            <w:pPr>
              <w:kinsoku w:val="0"/>
              <w:overflowPunct w:val="0"/>
              <w:autoSpaceDE w:val="0"/>
              <w:autoSpaceDN w:val="0"/>
              <w:adjustRightInd w:val="0"/>
              <w:spacing w:line="249" w:lineRule="exact"/>
              <w:ind w:left="103" w:firstLine="0"/>
              <w:rPr>
                <w:sz w:val="24"/>
                <w:lang w:eastAsia="en-US"/>
              </w:rPr>
            </w:pPr>
            <w:r w:rsidRPr="003A5C41">
              <w:rPr>
                <w:szCs w:val="22"/>
                <w:lang w:eastAsia="en-US"/>
              </w:rPr>
              <w:t>fotosenzitívna reakcia</w:t>
            </w:r>
          </w:p>
        </w:tc>
        <w:tc>
          <w:tcPr>
            <w:tcW w:w="3555" w:type="dxa"/>
            <w:tcBorders>
              <w:top w:val="none" w:sz="6" w:space="0" w:color="auto"/>
              <w:left w:val="single" w:sz="4" w:space="0" w:color="000000"/>
              <w:bottom w:val="single" w:sz="4" w:space="0" w:color="000000"/>
              <w:right w:val="single" w:sz="4" w:space="0" w:color="000000"/>
            </w:tcBorders>
          </w:tcPr>
          <w:p w14:paraId="79362452" w14:textId="77777777" w:rsidR="000C2C41" w:rsidRPr="003A5C41" w:rsidRDefault="000C2C41" w:rsidP="000C2C41">
            <w:pPr>
              <w:autoSpaceDE w:val="0"/>
              <w:autoSpaceDN w:val="0"/>
              <w:adjustRightInd w:val="0"/>
              <w:ind w:left="0" w:firstLine="0"/>
              <w:rPr>
                <w:sz w:val="24"/>
                <w:lang w:eastAsia="en-US"/>
              </w:rPr>
            </w:pPr>
          </w:p>
        </w:tc>
      </w:tr>
      <w:tr w:rsidR="000C2C41" w:rsidRPr="003A5C41" w14:paraId="56D5E375" w14:textId="77777777" w:rsidTr="0050037D">
        <w:trPr>
          <w:trHeight w:hRule="exact" w:val="791"/>
        </w:trPr>
        <w:tc>
          <w:tcPr>
            <w:tcW w:w="2432" w:type="dxa"/>
            <w:tcBorders>
              <w:top w:val="single" w:sz="4" w:space="0" w:color="000000"/>
              <w:left w:val="single" w:sz="4" w:space="0" w:color="000000"/>
              <w:bottom w:val="none" w:sz="6" w:space="0" w:color="auto"/>
              <w:right w:val="single" w:sz="4" w:space="0" w:color="000000"/>
            </w:tcBorders>
          </w:tcPr>
          <w:p w14:paraId="3512223A" w14:textId="77777777" w:rsidR="000C2C41" w:rsidRPr="003A5C41" w:rsidRDefault="000C2C41" w:rsidP="000C2C41">
            <w:pPr>
              <w:kinsoku w:val="0"/>
              <w:overflowPunct w:val="0"/>
              <w:autoSpaceDE w:val="0"/>
              <w:autoSpaceDN w:val="0"/>
              <w:adjustRightInd w:val="0"/>
              <w:ind w:left="103" w:right="404" w:firstLine="0"/>
              <w:rPr>
                <w:sz w:val="24"/>
                <w:lang w:eastAsia="en-US"/>
              </w:rPr>
            </w:pPr>
            <w:r w:rsidRPr="003A5C41">
              <w:rPr>
                <w:b/>
                <w:bCs/>
                <w:szCs w:val="22"/>
                <w:lang w:eastAsia="en-US"/>
              </w:rPr>
              <w:t>Poruchy kostrovej a svalovej sústavy a spojivového tkaniva</w:t>
            </w:r>
          </w:p>
        </w:tc>
        <w:tc>
          <w:tcPr>
            <w:tcW w:w="3364" w:type="dxa"/>
            <w:tcBorders>
              <w:top w:val="single" w:sz="4" w:space="0" w:color="000000"/>
              <w:left w:val="single" w:sz="4" w:space="0" w:color="000000"/>
              <w:bottom w:val="none" w:sz="6" w:space="0" w:color="auto"/>
              <w:right w:val="single" w:sz="4" w:space="0" w:color="000000"/>
            </w:tcBorders>
          </w:tcPr>
          <w:p w14:paraId="13B7DFBE" w14:textId="77777777" w:rsidR="000C2C41" w:rsidRPr="003A5C41" w:rsidRDefault="000C2C41" w:rsidP="0050037D">
            <w:pPr>
              <w:kinsoku w:val="0"/>
              <w:overflowPunct w:val="0"/>
              <w:autoSpaceDE w:val="0"/>
              <w:autoSpaceDN w:val="0"/>
              <w:adjustRightInd w:val="0"/>
              <w:spacing w:line="245" w:lineRule="exact"/>
              <w:ind w:left="103" w:firstLine="0"/>
              <w:rPr>
                <w:szCs w:val="22"/>
                <w:lang w:eastAsia="en-US"/>
              </w:rPr>
            </w:pPr>
            <w:r w:rsidRPr="003A5C41">
              <w:rPr>
                <w:szCs w:val="22"/>
                <w:u w:val="single"/>
                <w:lang w:eastAsia="en-US"/>
              </w:rPr>
              <w:t>Veľmi časté</w:t>
            </w:r>
          </w:p>
          <w:p w14:paraId="100F393E" w14:textId="36B9186C" w:rsidR="000C2C41" w:rsidRPr="003A5C41" w:rsidRDefault="000C2C41" w:rsidP="0050037D">
            <w:pPr>
              <w:kinsoku w:val="0"/>
              <w:overflowPunct w:val="0"/>
              <w:autoSpaceDE w:val="0"/>
              <w:autoSpaceDN w:val="0"/>
              <w:adjustRightInd w:val="0"/>
              <w:spacing w:line="244" w:lineRule="auto"/>
              <w:ind w:left="103" w:right="334" w:firstLine="0"/>
              <w:rPr>
                <w:sz w:val="24"/>
                <w:lang w:eastAsia="en-US"/>
              </w:rPr>
            </w:pPr>
            <w:r w:rsidRPr="003A5C41">
              <w:rPr>
                <w:szCs w:val="22"/>
                <w:lang w:eastAsia="en-US"/>
              </w:rPr>
              <w:t>Svalové kŕče, bolesť v kostiach</w:t>
            </w:r>
            <w:r w:rsidR="001F4FF7" w:rsidRPr="0050037D">
              <w:rPr>
                <w:position w:val="9"/>
                <w:sz w:val="16"/>
              </w:rPr>
              <w:t>◊</w:t>
            </w:r>
            <w:r w:rsidRPr="003A5C41">
              <w:rPr>
                <w:szCs w:val="22"/>
                <w:lang w:eastAsia="en-US"/>
              </w:rPr>
              <w:t>, bolesť a d</w:t>
            </w:r>
            <w:r w:rsidR="004E43E2">
              <w:rPr>
                <w:szCs w:val="22"/>
                <w:lang w:eastAsia="en-US"/>
              </w:rPr>
              <w:t>i</w:t>
            </w:r>
            <w:r w:rsidRPr="003A5C41">
              <w:rPr>
                <w:szCs w:val="22"/>
                <w:lang w:eastAsia="en-US"/>
              </w:rPr>
              <w:t>skomfort kostrovej</w:t>
            </w:r>
          </w:p>
        </w:tc>
        <w:tc>
          <w:tcPr>
            <w:tcW w:w="3555" w:type="dxa"/>
            <w:tcBorders>
              <w:top w:val="single" w:sz="4" w:space="0" w:color="000000"/>
              <w:left w:val="single" w:sz="4" w:space="0" w:color="000000"/>
              <w:bottom w:val="none" w:sz="6" w:space="0" w:color="auto"/>
              <w:right w:val="single" w:sz="4" w:space="0" w:color="000000"/>
            </w:tcBorders>
          </w:tcPr>
          <w:p w14:paraId="3313C25C" w14:textId="77777777" w:rsidR="000C2C41" w:rsidRPr="003A5C41" w:rsidRDefault="000C2C41" w:rsidP="0050037D">
            <w:pPr>
              <w:kinsoku w:val="0"/>
              <w:overflowPunct w:val="0"/>
              <w:autoSpaceDE w:val="0"/>
              <w:autoSpaceDN w:val="0"/>
              <w:adjustRightInd w:val="0"/>
              <w:spacing w:line="245" w:lineRule="exact"/>
              <w:ind w:left="103" w:firstLine="0"/>
              <w:rPr>
                <w:szCs w:val="22"/>
                <w:lang w:eastAsia="en-US"/>
              </w:rPr>
            </w:pPr>
            <w:r w:rsidRPr="003A5C41">
              <w:rPr>
                <w:szCs w:val="22"/>
                <w:u w:val="single"/>
                <w:lang w:eastAsia="en-US"/>
              </w:rPr>
              <w:t>Časté</w:t>
            </w:r>
          </w:p>
          <w:p w14:paraId="18141E2A" w14:textId="75EAAFEA" w:rsidR="000C2C41" w:rsidRPr="003A5C41" w:rsidRDefault="000C2C41" w:rsidP="0050037D">
            <w:pPr>
              <w:kinsoku w:val="0"/>
              <w:overflowPunct w:val="0"/>
              <w:autoSpaceDE w:val="0"/>
              <w:autoSpaceDN w:val="0"/>
              <w:adjustRightInd w:val="0"/>
              <w:spacing w:line="244" w:lineRule="auto"/>
              <w:ind w:left="103" w:right="258" w:firstLine="0"/>
              <w:rPr>
                <w:sz w:val="24"/>
                <w:lang w:eastAsia="en-US"/>
              </w:rPr>
            </w:pPr>
            <w:r w:rsidRPr="003A5C41">
              <w:rPr>
                <w:szCs w:val="22"/>
                <w:lang w:eastAsia="en-US"/>
              </w:rPr>
              <w:t>Svalová slabosť, bolesť v kostiach</w:t>
            </w:r>
            <w:r w:rsidR="001F4FF7" w:rsidRPr="0050037D">
              <w:rPr>
                <w:position w:val="9"/>
                <w:sz w:val="16"/>
              </w:rPr>
              <w:t>◊</w:t>
            </w:r>
            <w:r w:rsidRPr="003A5C41">
              <w:rPr>
                <w:szCs w:val="22"/>
                <w:lang w:eastAsia="en-US"/>
              </w:rPr>
              <w:t>, bolesť a d</w:t>
            </w:r>
            <w:r w:rsidR="004E43E2">
              <w:rPr>
                <w:szCs w:val="22"/>
                <w:lang w:eastAsia="en-US"/>
              </w:rPr>
              <w:t>i</w:t>
            </w:r>
            <w:r w:rsidRPr="003A5C41">
              <w:rPr>
                <w:szCs w:val="22"/>
                <w:lang w:eastAsia="en-US"/>
              </w:rPr>
              <w:t>skomfort kostrovej</w:t>
            </w:r>
          </w:p>
        </w:tc>
      </w:tr>
      <w:tr w:rsidR="000C2C41" w:rsidRPr="003A5C41" w14:paraId="38CD62FC" w14:textId="77777777" w:rsidTr="008422C4">
        <w:trPr>
          <w:trHeight w:hRule="exact" w:val="244"/>
        </w:trPr>
        <w:tc>
          <w:tcPr>
            <w:tcW w:w="2432" w:type="dxa"/>
            <w:tcBorders>
              <w:top w:val="none" w:sz="6" w:space="0" w:color="auto"/>
              <w:left w:val="single" w:sz="4" w:space="0" w:color="000000"/>
              <w:bottom w:val="none" w:sz="6" w:space="0" w:color="auto"/>
              <w:right w:val="single" w:sz="4" w:space="0" w:color="000000"/>
            </w:tcBorders>
          </w:tcPr>
          <w:p w14:paraId="6683F42A"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none" w:sz="6" w:space="0" w:color="auto"/>
              <w:right w:val="single" w:sz="4" w:space="0" w:color="000000"/>
            </w:tcBorders>
          </w:tcPr>
          <w:p w14:paraId="6F3AE857" w14:textId="77777777" w:rsidR="000C2C41" w:rsidRPr="003A5C41" w:rsidRDefault="000C2C41" w:rsidP="00D6163D">
            <w:pPr>
              <w:kinsoku w:val="0"/>
              <w:overflowPunct w:val="0"/>
              <w:autoSpaceDE w:val="0"/>
              <w:autoSpaceDN w:val="0"/>
              <w:adjustRightInd w:val="0"/>
              <w:spacing w:line="248" w:lineRule="exact"/>
              <w:ind w:left="103" w:firstLine="0"/>
              <w:rPr>
                <w:sz w:val="24"/>
                <w:lang w:eastAsia="en-US"/>
              </w:rPr>
            </w:pPr>
            <w:r w:rsidRPr="003A5C41">
              <w:rPr>
                <w:szCs w:val="22"/>
                <w:lang w:eastAsia="en-US"/>
              </w:rPr>
              <w:t>a svalovej sústavy a spojivového</w:t>
            </w:r>
          </w:p>
        </w:tc>
        <w:tc>
          <w:tcPr>
            <w:tcW w:w="3555" w:type="dxa"/>
            <w:tcBorders>
              <w:top w:val="none" w:sz="6" w:space="0" w:color="auto"/>
              <w:left w:val="single" w:sz="4" w:space="0" w:color="000000"/>
              <w:bottom w:val="none" w:sz="6" w:space="0" w:color="auto"/>
              <w:right w:val="single" w:sz="4" w:space="0" w:color="000000"/>
            </w:tcBorders>
          </w:tcPr>
          <w:p w14:paraId="41F03FD3" w14:textId="77777777" w:rsidR="000C2C41" w:rsidRPr="003A5C41" w:rsidRDefault="000C2C41" w:rsidP="00D6163D">
            <w:pPr>
              <w:kinsoku w:val="0"/>
              <w:overflowPunct w:val="0"/>
              <w:autoSpaceDE w:val="0"/>
              <w:autoSpaceDN w:val="0"/>
              <w:adjustRightInd w:val="0"/>
              <w:spacing w:line="248" w:lineRule="exact"/>
              <w:ind w:left="103" w:firstLine="0"/>
              <w:rPr>
                <w:sz w:val="24"/>
                <w:lang w:eastAsia="en-US"/>
              </w:rPr>
            </w:pPr>
            <w:r w:rsidRPr="003A5C41">
              <w:rPr>
                <w:szCs w:val="22"/>
                <w:lang w:eastAsia="en-US"/>
              </w:rPr>
              <w:t>a svalovej sústavy a spojivového</w:t>
            </w:r>
          </w:p>
        </w:tc>
      </w:tr>
      <w:tr w:rsidR="000C2C41" w:rsidRPr="003A5C41" w14:paraId="355FD377" w14:textId="77777777" w:rsidTr="00D6163D">
        <w:trPr>
          <w:trHeight w:hRule="exact" w:val="276"/>
        </w:trPr>
        <w:tc>
          <w:tcPr>
            <w:tcW w:w="2432" w:type="dxa"/>
            <w:tcBorders>
              <w:top w:val="none" w:sz="6" w:space="0" w:color="auto"/>
              <w:left w:val="single" w:sz="4" w:space="0" w:color="000000"/>
              <w:bottom w:val="none" w:sz="6" w:space="0" w:color="auto"/>
              <w:right w:val="single" w:sz="4" w:space="0" w:color="000000"/>
            </w:tcBorders>
          </w:tcPr>
          <w:p w14:paraId="3A5B3583"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none" w:sz="6" w:space="0" w:color="auto"/>
              <w:right w:val="single" w:sz="4" w:space="0" w:color="000000"/>
            </w:tcBorders>
          </w:tcPr>
          <w:p w14:paraId="5820C5DE" w14:textId="77777777" w:rsidR="000C2C41" w:rsidRPr="003A5C41" w:rsidRDefault="000C2C41" w:rsidP="00D6163D">
            <w:pPr>
              <w:kinsoku w:val="0"/>
              <w:overflowPunct w:val="0"/>
              <w:autoSpaceDE w:val="0"/>
              <w:autoSpaceDN w:val="0"/>
              <w:adjustRightInd w:val="0"/>
              <w:spacing w:line="277" w:lineRule="exact"/>
              <w:ind w:left="103" w:firstLine="0"/>
              <w:rPr>
                <w:sz w:val="24"/>
                <w:lang w:eastAsia="en-US"/>
              </w:rPr>
            </w:pPr>
            <w:r w:rsidRPr="003A5C41">
              <w:rPr>
                <w:szCs w:val="22"/>
                <w:lang w:eastAsia="en-US"/>
              </w:rPr>
              <w:t>tkaniva (vrátane bolesti chrbta</w:t>
            </w:r>
            <w:r w:rsidR="001F4FF7" w:rsidRPr="00D6163D">
              <w:rPr>
                <w:position w:val="9"/>
                <w:sz w:val="16"/>
              </w:rPr>
              <w:t>◊</w:t>
            </w:r>
            <w:r w:rsidR="00221953" w:rsidRPr="00D6163D">
              <w:rPr>
                <w:position w:val="9"/>
                <w:sz w:val="16"/>
              </w:rPr>
              <w:t>)</w:t>
            </w:r>
            <w:r w:rsidRPr="003A5C41">
              <w:rPr>
                <w:szCs w:val="22"/>
                <w:lang w:eastAsia="en-US"/>
              </w:rPr>
              <w:t>,</w:t>
            </w:r>
          </w:p>
        </w:tc>
        <w:tc>
          <w:tcPr>
            <w:tcW w:w="3555" w:type="dxa"/>
            <w:tcBorders>
              <w:top w:val="none" w:sz="6" w:space="0" w:color="auto"/>
              <w:left w:val="single" w:sz="4" w:space="0" w:color="000000"/>
              <w:bottom w:val="none" w:sz="6" w:space="0" w:color="auto"/>
              <w:right w:val="single" w:sz="4" w:space="0" w:color="000000"/>
            </w:tcBorders>
          </w:tcPr>
          <w:p w14:paraId="7C53C956" w14:textId="77777777" w:rsidR="000C2C41" w:rsidRPr="003A5C41" w:rsidRDefault="000C2C41" w:rsidP="00D6163D">
            <w:pPr>
              <w:kinsoku w:val="0"/>
              <w:overflowPunct w:val="0"/>
              <w:autoSpaceDE w:val="0"/>
              <w:autoSpaceDN w:val="0"/>
              <w:adjustRightInd w:val="0"/>
              <w:spacing w:line="277" w:lineRule="exact"/>
              <w:ind w:left="103" w:firstLine="0"/>
              <w:rPr>
                <w:sz w:val="24"/>
                <w:lang w:eastAsia="en-US"/>
              </w:rPr>
            </w:pPr>
            <w:r w:rsidRPr="003A5C41">
              <w:rPr>
                <w:szCs w:val="22"/>
                <w:lang w:eastAsia="en-US"/>
              </w:rPr>
              <w:t>tkaniva (vrátane bolesti chrbta</w:t>
            </w:r>
            <w:r w:rsidR="001F4FF7" w:rsidRPr="00D6163D">
              <w:rPr>
                <w:position w:val="9"/>
                <w:sz w:val="16"/>
              </w:rPr>
              <w:t>◊</w:t>
            </w:r>
            <w:r w:rsidR="00221953" w:rsidRPr="00D6163D">
              <w:rPr>
                <w:position w:val="9"/>
                <w:sz w:val="16"/>
              </w:rPr>
              <w:t>)</w:t>
            </w:r>
          </w:p>
        </w:tc>
      </w:tr>
      <w:tr w:rsidR="000C2C41" w:rsidRPr="003A5C41" w14:paraId="04C7B2A8" w14:textId="77777777" w:rsidTr="00D6163D">
        <w:trPr>
          <w:trHeight w:hRule="exact" w:val="284"/>
        </w:trPr>
        <w:tc>
          <w:tcPr>
            <w:tcW w:w="2432" w:type="dxa"/>
            <w:tcBorders>
              <w:top w:val="none" w:sz="6" w:space="0" w:color="auto"/>
              <w:left w:val="single" w:sz="4" w:space="0" w:color="000000"/>
              <w:bottom w:val="none" w:sz="6" w:space="0" w:color="auto"/>
              <w:right w:val="single" w:sz="4" w:space="0" w:color="000000"/>
            </w:tcBorders>
          </w:tcPr>
          <w:p w14:paraId="3840535F"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none" w:sz="6" w:space="0" w:color="auto"/>
              <w:right w:val="single" w:sz="4" w:space="0" w:color="000000"/>
            </w:tcBorders>
          </w:tcPr>
          <w:p w14:paraId="16CB46DF" w14:textId="77777777" w:rsidR="000C2C41" w:rsidRPr="003A5C41" w:rsidRDefault="000C2C41" w:rsidP="00D6163D">
            <w:pPr>
              <w:kinsoku w:val="0"/>
              <w:overflowPunct w:val="0"/>
              <w:autoSpaceDE w:val="0"/>
              <w:autoSpaceDN w:val="0"/>
              <w:adjustRightInd w:val="0"/>
              <w:spacing w:line="278" w:lineRule="exact"/>
              <w:ind w:left="103" w:firstLine="0"/>
              <w:rPr>
                <w:sz w:val="24"/>
                <w:lang w:eastAsia="en-US"/>
              </w:rPr>
            </w:pPr>
            <w:r w:rsidRPr="003A5C41">
              <w:rPr>
                <w:szCs w:val="22"/>
                <w:lang w:eastAsia="en-US"/>
              </w:rPr>
              <w:t>artralgia</w:t>
            </w:r>
            <w:r w:rsidR="001F4FF7" w:rsidRPr="00D6163D">
              <w:rPr>
                <w:position w:val="9"/>
                <w:sz w:val="16"/>
              </w:rPr>
              <w:t>◊</w:t>
            </w:r>
          </w:p>
        </w:tc>
        <w:tc>
          <w:tcPr>
            <w:tcW w:w="3555" w:type="dxa"/>
            <w:tcBorders>
              <w:top w:val="none" w:sz="6" w:space="0" w:color="auto"/>
              <w:left w:val="single" w:sz="4" w:space="0" w:color="000000"/>
              <w:bottom w:val="none" w:sz="6" w:space="0" w:color="auto"/>
              <w:right w:val="single" w:sz="4" w:space="0" w:color="000000"/>
            </w:tcBorders>
          </w:tcPr>
          <w:p w14:paraId="0F6A86F2" w14:textId="77777777" w:rsidR="000C2C41" w:rsidRPr="003A5C41" w:rsidRDefault="000C2C41" w:rsidP="001F4FF7">
            <w:pPr>
              <w:autoSpaceDE w:val="0"/>
              <w:autoSpaceDN w:val="0"/>
              <w:adjustRightInd w:val="0"/>
              <w:ind w:left="0" w:firstLine="0"/>
              <w:rPr>
                <w:sz w:val="24"/>
                <w:lang w:eastAsia="en-US"/>
              </w:rPr>
            </w:pPr>
          </w:p>
        </w:tc>
      </w:tr>
      <w:tr w:rsidR="000C2C41" w:rsidRPr="003A5C41" w14:paraId="2E983965" w14:textId="77777777" w:rsidTr="008422C4">
        <w:trPr>
          <w:trHeight w:hRule="exact" w:val="254"/>
        </w:trPr>
        <w:tc>
          <w:tcPr>
            <w:tcW w:w="2432" w:type="dxa"/>
            <w:tcBorders>
              <w:top w:val="none" w:sz="6" w:space="0" w:color="auto"/>
              <w:left w:val="single" w:sz="4" w:space="0" w:color="000000"/>
              <w:bottom w:val="none" w:sz="6" w:space="0" w:color="auto"/>
              <w:right w:val="single" w:sz="4" w:space="0" w:color="000000"/>
            </w:tcBorders>
          </w:tcPr>
          <w:p w14:paraId="7C1D881B"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none" w:sz="6" w:space="0" w:color="auto"/>
              <w:right w:val="single" w:sz="4" w:space="0" w:color="000000"/>
            </w:tcBorders>
          </w:tcPr>
          <w:p w14:paraId="13FB730A" w14:textId="77777777" w:rsidR="000C2C41" w:rsidRPr="003A5C41" w:rsidRDefault="000C2C41" w:rsidP="001F4FF7">
            <w:pPr>
              <w:autoSpaceDE w:val="0"/>
              <w:autoSpaceDN w:val="0"/>
              <w:adjustRightInd w:val="0"/>
              <w:ind w:left="0" w:firstLine="0"/>
              <w:rPr>
                <w:sz w:val="24"/>
                <w:lang w:eastAsia="en-US"/>
              </w:rPr>
            </w:pPr>
          </w:p>
        </w:tc>
        <w:tc>
          <w:tcPr>
            <w:tcW w:w="3555" w:type="dxa"/>
            <w:tcBorders>
              <w:top w:val="none" w:sz="6" w:space="0" w:color="auto"/>
              <w:left w:val="single" w:sz="4" w:space="0" w:color="000000"/>
              <w:bottom w:val="none" w:sz="6" w:space="0" w:color="auto"/>
              <w:right w:val="single" w:sz="4" w:space="0" w:color="000000"/>
            </w:tcBorders>
          </w:tcPr>
          <w:p w14:paraId="30790A98" w14:textId="77777777" w:rsidR="000C2C41" w:rsidRPr="003A5C41" w:rsidRDefault="000C2C41" w:rsidP="00D6163D">
            <w:pPr>
              <w:kinsoku w:val="0"/>
              <w:overflowPunct w:val="0"/>
              <w:autoSpaceDE w:val="0"/>
              <w:autoSpaceDN w:val="0"/>
              <w:adjustRightInd w:val="0"/>
              <w:spacing w:line="250" w:lineRule="exact"/>
              <w:ind w:left="103" w:firstLine="0"/>
              <w:rPr>
                <w:sz w:val="24"/>
                <w:lang w:eastAsia="en-US"/>
              </w:rPr>
            </w:pPr>
            <w:r w:rsidRPr="003A5C41">
              <w:rPr>
                <w:szCs w:val="22"/>
                <w:u w:val="single"/>
                <w:lang w:eastAsia="en-US"/>
              </w:rPr>
              <w:t>Menej časté</w:t>
            </w:r>
          </w:p>
        </w:tc>
      </w:tr>
      <w:tr w:rsidR="000C2C41" w:rsidRPr="003A5C41" w14:paraId="67F19057" w14:textId="77777777" w:rsidTr="008422C4">
        <w:trPr>
          <w:trHeight w:hRule="exact" w:val="276"/>
        </w:trPr>
        <w:tc>
          <w:tcPr>
            <w:tcW w:w="2432" w:type="dxa"/>
            <w:tcBorders>
              <w:top w:val="none" w:sz="6" w:space="0" w:color="auto"/>
              <w:left w:val="single" w:sz="4" w:space="0" w:color="000000"/>
              <w:bottom w:val="none" w:sz="6" w:space="0" w:color="auto"/>
              <w:right w:val="single" w:sz="4" w:space="0" w:color="000000"/>
            </w:tcBorders>
          </w:tcPr>
          <w:p w14:paraId="20DE98CE"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none" w:sz="6" w:space="0" w:color="auto"/>
              <w:right w:val="single" w:sz="4" w:space="0" w:color="000000"/>
            </w:tcBorders>
          </w:tcPr>
          <w:p w14:paraId="1698EAC2" w14:textId="77777777" w:rsidR="000C2C41" w:rsidRPr="003A5C41" w:rsidRDefault="000C2C41" w:rsidP="001F4FF7">
            <w:pPr>
              <w:kinsoku w:val="0"/>
              <w:overflowPunct w:val="0"/>
              <w:autoSpaceDE w:val="0"/>
              <w:autoSpaceDN w:val="0"/>
              <w:adjustRightInd w:val="0"/>
              <w:spacing w:before="19"/>
              <w:ind w:left="103" w:firstLine="0"/>
              <w:rPr>
                <w:sz w:val="24"/>
                <w:lang w:eastAsia="en-US"/>
              </w:rPr>
            </w:pPr>
            <w:r w:rsidRPr="003A5C41">
              <w:rPr>
                <w:szCs w:val="22"/>
                <w:u w:val="single"/>
                <w:lang w:eastAsia="en-US"/>
              </w:rPr>
              <w:t>Časté</w:t>
            </w:r>
          </w:p>
        </w:tc>
        <w:tc>
          <w:tcPr>
            <w:tcW w:w="3555" w:type="dxa"/>
            <w:tcBorders>
              <w:top w:val="none" w:sz="6" w:space="0" w:color="auto"/>
              <w:left w:val="single" w:sz="4" w:space="0" w:color="000000"/>
              <w:bottom w:val="none" w:sz="6" w:space="0" w:color="auto"/>
              <w:right w:val="single" w:sz="4" w:space="0" w:color="000000"/>
            </w:tcBorders>
          </w:tcPr>
          <w:p w14:paraId="0372D8BE" w14:textId="77777777" w:rsidR="000C2C41" w:rsidRPr="003A5C41" w:rsidRDefault="000C2C41" w:rsidP="00D6163D">
            <w:pPr>
              <w:kinsoku w:val="0"/>
              <w:overflowPunct w:val="0"/>
              <w:autoSpaceDE w:val="0"/>
              <w:autoSpaceDN w:val="0"/>
              <w:adjustRightInd w:val="0"/>
              <w:spacing w:line="248" w:lineRule="exact"/>
              <w:ind w:left="103" w:firstLine="0"/>
              <w:rPr>
                <w:sz w:val="24"/>
                <w:lang w:eastAsia="en-US"/>
              </w:rPr>
            </w:pPr>
            <w:r w:rsidRPr="003A5C41">
              <w:rPr>
                <w:szCs w:val="22"/>
                <w:lang w:eastAsia="en-US"/>
              </w:rPr>
              <w:t>Edém kĺbov</w:t>
            </w:r>
          </w:p>
        </w:tc>
      </w:tr>
      <w:tr w:rsidR="000C2C41" w:rsidRPr="003A5C41" w14:paraId="0EC8CCF1" w14:textId="77777777" w:rsidTr="008422C4">
        <w:trPr>
          <w:trHeight w:hRule="exact" w:val="252"/>
        </w:trPr>
        <w:tc>
          <w:tcPr>
            <w:tcW w:w="2432" w:type="dxa"/>
            <w:tcBorders>
              <w:top w:val="none" w:sz="6" w:space="0" w:color="auto"/>
              <w:left w:val="single" w:sz="4" w:space="0" w:color="000000"/>
              <w:bottom w:val="none" w:sz="6" w:space="0" w:color="auto"/>
              <w:right w:val="single" w:sz="4" w:space="0" w:color="000000"/>
            </w:tcBorders>
          </w:tcPr>
          <w:p w14:paraId="393B56F6"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none" w:sz="6" w:space="0" w:color="auto"/>
              <w:right w:val="single" w:sz="4" w:space="0" w:color="000000"/>
            </w:tcBorders>
          </w:tcPr>
          <w:p w14:paraId="3483F0C9" w14:textId="77777777" w:rsidR="000C2C41" w:rsidRPr="003A5C41" w:rsidRDefault="000C2C41" w:rsidP="00D6163D">
            <w:pPr>
              <w:kinsoku w:val="0"/>
              <w:overflowPunct w:val="0"/>
              <w:autoSpaceDE w:val="0"/>
              <w:autoSpaceDN w:val="0"/>
              <w:adjustRightInd w:val="0"/>
              <w:spacing w:line="248" w:lineRule="exact"/>
              <w:ind w:left="103" w:firstLine="0"/>
              <w:rPr>
                <w:sz w:val="24"/>
                <w:lang w:eastAsia="en-US"/>
              </w:rPr>
            </w:pPr>
            <w:r w:rsidRPr="003A5C41">
              <w:rPr>
                <w:szCs w:val="22"/>
                <w:lang w:eastAsia="en-US"/>
              </w:rPr>
              <w:t>Svalová slabosť, edém kĺbov,</w:t>
            </w:r>
          </w:p>
        </w:tc>
        <w:tc>
          <w:tcPr>
            <w:tcW w:w="3555" w:type="dxa"/>
            <w:tcBorders>
              <w:top w:val="none" w:sz="6" w:space="0" w:color="auto"/>
              <w:left w:val="single" w:sz="4" w:space="0" w:color="000000"/>
              <w:bottom w:val="none" w:sz="6" w:space="0" w:color="auto"/>
              <w:right w:val="single" w:sz="4" w:space="0" w:color="000000"/>
            </w:tcBorders>
          </w:tcPr>
          <w:p w14:paraId="44B92B8E" w14:textId="77777777" w:rsidR="000C2C41" w:rsidRPr="003A5C41" w:rsidRDefault="000C2C41" w:rsidP="001F4FF7">
            <w:pPr>
              <w:autoSpaceDE w:val="0"/>
              <w:autoSpaceDN w:val="0"/>
              <w:adjustRightInd w:val="0"/>
              <w:ind w:left="0" w:firstLine="0"/>
              <w:rPr>
                <w:sz w:val="24"/>
                <w:lang w:eastAsia="en-US"/>
              </w:rPr>
            </w:pPr>
          </w:p>
        </w:tc>
      </w:tr>
      <w:tr w:rsidR="000C2C41" w:rsidRPr="003A5C41" w14:paraId="46B1C14F" w14:textId="77777777" w:rsidTr="008422C4">
        <w:trPr>
          <w:trHeight w:hRule="exact" w:val="256"/>
        </w:trPr>
        <w:tc>
          <w:tcPr>
            <w:tcW w:w="2432" w:type="dxa"/>
            <w:tcBorders>
              <w:top w:val="none" w:sz="6" w:space="0" w:color="auto"/>
              <w:left w:val="single" w:sz="4" w:space="0" w:color="000000"/>
              <w:bottom w:val="single" w:sz="4" w:space="0" w:color="000000"/>
              <w:right w:val="single" w:sz="4" w:space="0" w:color="000000"/>
            </w:tcBorders>
          </w:tcPr>
          <w:p w14:paraId="486AF1AC"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single" w:sz="4" w:space="0" w:color="000000"/>
              <w:right w:val="single" w:sz="4" w:space="0" w:color="000000"/>
            </w:tcBorders>
          </w:tcPr>
          <w:p w14:paraId="49C62F32" w14:textId="77777777" w:rsidR="000C2C41" w:rsidRPr="003A5C41" w:rsidRDefault="000C2C41" w:rsidP="00D6163D">
            <w:pPr>
              <w:kinsoku w:val="0"/>
              <w:overflowPunct w:val="0"/>
              <w:autoSpaceDE w:val="0"/>
              <w:autoSpaceDN w:val="0"/>
              <w:adjustRightInd w:val="0"/>
              <w:spacing w:line="248" w:lineRule="exact"/>
              <w:ind w:left="103" w:firstLine="0"/>
              <w:rPr>
                <w:sz w:val="24"/>
                <w:lang w:eastAsia="en-US"/>
              </w:rPr>
            </w:pPr>
            <w:r w:rsidRPr="003A5C41">
              <w:rPr>
                <w:szCs w:val="22"/>
                <w:lang w:eastAsia="en-US"/>
              </w:rPr>
              <w:t>myalgia</w:t>
            </w:r>
          </w:p>
        </w:tc>
        <w:tc>
          <w:tcPr>
            <w:tcW w:w="3555" w:type="dxa"/>
            <w:tcBorders>
              <w:top w:val="none" w:sz="6" w:space="0" w:color="auto"/>
              <w:left w:val="single" w:sz="4" w:space="0" w:color="000000"/>
              <w:bottom w:val="single" w:sz="4" w:space="0" w:color="000000"/>
              <w:right w:val="single" w:sz="4" w:space="0" w:color="000000"/>
            </w:tcBorders>
          </w:tcPr>
          <w:p w14:paraId="530D7797" w14:textId="77777777" w:rsidR="000C2C41" w:rsidRPr="003A5C41" w:rsidRDefault="000C2C41" w:rsidP="001F4FF7">
            <w:pPr>
              <w:autoSpaceDE w:val="0"/>
              <w:autoSpaceDN w:val="0"/>
              <w:adjustRightInd w:val="0"/>
              <w:ind w:left="0" w:firstLine="0"/>
              <w:rPr>
                <w:sz w:val="24"/>
                <w:lang w:eastAsia="en-US"/>
              </w:rPr>
            </w:pPr>
          </w:p>
        </w:tc>
      </w:tr>
      <w:tr w:rsidR="000C2C41" w:rsidRPr="003A5C41" w14:paraId="1A26A937" w14:textId="77777777" w:rsidTr="008422C4">
        <w:trPr>
          <w:trHeight w:hRule="exact" w:val="260"/>
        </w:trPr>
        <w:tc>
          <w:tcPr>
            <w:tcW w:w="2432" w:type="dxa"/>
            <w:tcBorders>
              <w:top w:val="single" w:sz="4" w:space="0" w:color="000000"/>
              <w:left w:val="single" w:sz="4" w:space="0" w:color="000000"/>
              <w:bottom w:val="none" w:sz="6" w:space="0" w:color="auto"/>
              <w:right w:val="single" w:sz="4" w:space="0" w:color="000000"/>
            </w:tcBorders>
          </w:tcPr>
          <w:p w14:paraId="2C51CB4B" w14:textId="77777777" w:rsidR="000C2C41" w:rsidRPr="003A5C41" w:rsidRDefault="000C2C41" w:rsidP="000C2C41">
            <w:pPr>
              <w:kinsoku w:val="0"/>
              <w:overflowPunct w:val="0"/>
              <w:autoSpaceDE w:val="0"/>
              <w:autoSpaceDN w:val="0"/>
              <w:adjustRightInd w:val="0"/>
              <w:spacing w:line="252" w:lineRule="exact"/>
              <w:ind w:left="103" w:firstLine="0"/>
              <w:rPr>
                <w:sz w:val="24"/>
                <w:lang w:eastAsia="en-US"/>
              </w:rPr>
            </w:pPr>
            <w:r w:rsidRPr="003A5C41">
              <w:rPr>
                <w:b/>
                <w:bCs/>
                <w:szCs w:val="22"/>
                <w:lang w:eastAsia="en-US"/>
              </w:rPr>
              <w:t>Poruchy obličiek a</w:t>
            </w:r>
          </w:p>
        </w:tc>
        <w:tc>
          <w:tcPr>
            <w:tcW w:w="3364" w:type="dxa"/>
            <w:tcBorders>
              <w:top w:val="single" w:sz="4" w:space="0" w:color="000000"/>
              <w:left w:val="single" w:sz="4" w:space="0" w:color="000000"/>
              <w:bottom w:val="none" w:sz="6" w:space="0" w:color="auto"/>
              <w:right w:val="single" w:sz="4" w:space="0" w:color="000000"/>
            </w:tcBorders>
          </w:tcPr>
          <w:p w14:paraId="58F0BCAF" w14:textId="77777777" w:rsidR="000C2C41" w:rsidRPr="003A5C41" w:rsidRDefault="000C2C41" w:rsidP="000C2C41">
            <w:pPr>
              <w:kinsoku w:val="0"/>
              <w:overflowPunct w:val="0"/>
              <w:autoSpaceDE w:val="0"/>
              <w:autoSpaceDN w:val="0"/>
              <w:adjustRightInd w:val="0"/>
              <w:spacing w:line="252" w:lineRule="exact"/>
              <w:ind w:left="103" w:firstLine="0"/>
              <w:rPr>
                <w:sz w:val="24"/>
                <w:lang w:eastAsia="en-US"/>
              </w:rPr>
            </w:pPr>
            <w:r w:rsidRPr="003A5C41">
              <w:rPr>
                <w:szCs w:val="22"/>
                <w:u w:val="single"/>
                <w:lang w:eastAsia="en-US"/>
              </w:rPr>
              <w:t>Veľmi časté</w:t>
            </w:r>
          </w:p>
        </w:tc>
        <w:tc>
          <w:tcPr>
            <w:tcW w:w="3555" w:type="dxa"/>
            <w:tcBorders>
              <w:top w:val="single" w:sz="4" w:space="0" w:color="000000"/>
              <w:left w:val="single" w:sz="4" w:space="0" w:color="000000"/>
              <w:bottom w:val="none" w:sz="6" w:space="0" w:color="auto"/>
              <w:right w:val="single" w:sz="4" w:space="0" w:color="000000"/>
            </w:tcBorders>
          </w:tcPr>
          <w:p w14:paraId="26836782" w14:textId="77777777" w:rsidR="000C2C41" w:rsidRPr="003A5C41" w:rsidRDefault="000C2C41" w:rsidP="000C2C41">
            <w:pPr>
              <w:kinsoku w:val="0"/>
              <w:overflowPunct w:val="0"/>
              <w:autoSpaceDE w:val="0"/>
              <w:autoSpaceDN w:val="0"/>
              <w:adjustRightInd w:val="0"/>
              <w:spacing w:line="252" w:lineRule="exact"/>
              <w:ind w:left="103" w:firstLine="0"/>
              <w:rPr>
                <w:sz w:val="24"/>
                <w:lang w:eastAsia="en-US"/>
              </w:rPr>
            </w:pPr>
            <w:r w:rsidRPr="003A5C41">
              <w:rPr>
                <w:szCs w:val="22"/>
                <w:u w:val="single"/>
                <w:lang w:eastAsia="en-US"/>
              </w:rPr>
              <w:t>Menej časté</w:t>
            </w:r>
          </w:p>
        </w:tc>
      </w:tr>
      <w:tr w:rsidR="000C2C41" w:rsidRPr="003A5C41" w14:paraId="4E3D5C08" w14:textId="77777777" w:rsidTr="008422C4">
        <w:trPr>
          <w:trHeight w:hRule="exact" w:val="666"/>
        </w:trPr>
        <w:tc>
          <w:tcPr>
            <w:tcW w:w="2432" w:type="dxa"/>
            <w:tcBorders>
              <w:top w:val="none" w:sz="6" w:space="0" w:color="auto"/>
              <w:left w:val="single" w:sz="4" w:space="0" w:color="000000"/>
              <w:bottom w:val="none" w:sz="6" w:space="0" w:color="auto"/>
              <w:right w:val="single" w:sz="4" w:space="0" w:color="000000"/>
            </w:tcBorders>
          </w:tcPr>
          <w:p w14:paraId="5836654A" w14:textId="77777777" w:rsidR="000C2C41" w:rsidRPr="003A5C41" w:rsidRDefault="000C2C41" w:rsidP="000C2C41">
            <w:pPr>
              <w:kinsoku w:val="0"/>
              <w:overflowPunct w:val="0"/>
              <w:autoSpaceDE w:val="0"/>
              <w:autoSpaceDN w:val="0"/>
              <w:adjustRightInd w:val="0"/>
              <w:spacing w:line="248" w:lineRule="exact"/>
              <w:ind w:left="103" w:firstLine="0"/>
              <w:rPr>
                <w:sz w:val="24"/>
                <w:lang w:eastAsia="en-US"/>
              </w:rPr>
            </w:pPr>
            <w:r w:rsidRPr="003A5C41">
              <w:rPr>
                <w:b/>
                <w:bCs/>
                <w:szCs w:val="22"/>
                <w:lang w:eastAsia="en-US"/>
              </w:rPr>
              <w:t>močových ciest</w:t>
            </w:r>
          </w:p>
        </w:tc>
        <w:tc>
          <w:tcPr>
            <w:tcW w:w="3364" w:type="dxa"/>
            <w:tcBorders>
              <w:top w:val="none" w:sz="6" w:space="0" w:color="auto"/>
              <w:left w:val="single" w:sz="4" w:space="0" w:color="000000"/>
              <w:bottom w:val="none" w:sz="6" w:space="0" w:color="auto"/>
              <w:right w:val="single" w:sz="4" w:space="0" w:color="000000"/>
            </w:tcBorders>
          </w:tcPr>
          <w:p w14:paraId="39D8BE92" w14:textId="73A97F87" w:rsidR="000C2C41" w:rsidRPr="003A5C41" w:rsidRDefault="000C2C41" w:rsidP="000C2C41">
            <w:pPr>
              <w:kinsoku w:val="0"/>
              <w:overflowPunct w:val="0"/>
              <w:autoSpaceDE w:val="0"/>
              <w:autoSpaceDN w:val="0"/>
              <w:adjustRightInd w:val="0"/>
              <w:spacing w:before="5" w:line="228" w:lineRule="auto"/>
              <w:ind w:left="103" w:right="935" w:firstLine="0"/>
              <w:rPr>
                <w:sz w:val="24"/>
                <w:lang w:eastAsia="en-US"/>
              </w:rPr>
            </w:pPr>
            <w:r w:rsidRPr="003A5C41">
              <w:rPr>
                <w:szCs w:val="22"/>
                <w:lang w:eastAsia="en-US"/>
              </w:rPr>
              <w:t>Renálne zlyhanie (vrátane akútneho)</w:t>
            </w:r>
            <w:r w:rsidRPr="003A5C41">
              <w:rPr>
                <w:position w:val="9"/>
                <w:sz w:val="16"/>
                <w:szCs w:val="16"/>
                <w:lang w:eastAsia="en-US"/>
              </w:rPr>
              <w:t>◊</w:t>
            </w:r>
          </w:p>
        </w:tc>
        <w:tc>
          <w:tcPr>
            <w:tcW w:w="3555" w:type="dxa"/>
            <w:tcBorders>
              <w:top w:val="none" w:sz="6" w:space="0" w:color="auto"/>
              <w:left w:val="single" w:sz="4" w:space="0" w:color="000000"/>
              <w:bottom w:val="none" w:sz="6" w:space="0" w:color="auto"/>
              <w:right w:val="single" w:sz="4" w:space="0" w:color="000000"/>
            </w:tcBorders>
          </w:tcPr>
          <w:p w14:paraId="4B13B617" w14:textId="77777777" w:rsidR="000C2C41" w:rsidRPr="003A5C41" w:rsidRDefault="000C2C41" w:rsidP="000C2C41">
            <w:pPr>
              <w:kinsoku w:val="0"/>
              <w:overflowPunct w:val="0"/>
              <w:autoSpaceDE w:val="0"/>
              <w:autoSpaceDN w:val="0"/>
              <w:adjustRightInd w:val="0"/>
              <w:spacing w:line="248" w:lineRule="exact"/>
              <w:ind w:left="103" w:firstLine="0"/>
              <w:rPr>
                <w:sz w:val="24"/>
                <w:lang w:eastAsia="en-US"/>
              </w:rPr>
            </w:pPr>
            <w:r w:rsidRPr="003A5C41">
              <w:rPr>
                <w:szCs w:val="22"/>
                <w:lang w:eastAsia="en-US"/>
              </w:rPr>
              <w:t>Renálna tubulárna nekróza</w:t>
            </w:r>
          </w:p>
        </w:tc>
      </w:tr>
      <w:tr w:rsidR="000C2C41" w:rsidRPr="003A5C41" w14:paraId="60B31EC7" w14:textId="77777777" w:rsidTr="008422C4">
        <w:trPr>
          <w:trHeight w:hRule="exact" w:val="392"/>
        </w:trPr>
        <w:tc>
          <w:tcPr>
            <w:tcW w:w="2432" w:type="dxa"/>
            <w:tcBorders>
              <w:top w:val="none" w:sz="6" w:space="0" w:color="auto"/>
              <w:left w:val="single" w:sz="4" w:space="0" w:color="000000"/>
              <w:bottom w:val="none" w:sz="6" w:space="0" w:color="auto"/>
              <w:right w:val="single" w:sz="4" w:space="0" w:color="000000"/>
            </w:tcBorders>
          </w:tcPr>
          <w:p w14:paraId="23008A48"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none" w:sz="6" w:space="0" w:color="auto"/>
              <w:right w:val="single" w:sz="4" w:space="0" w:color="000000"/>
            </w:tcBorders>
          </w:tcPr>
          <w:p w14:paraId="66C5AACB" w14:textId="77777777" w:rsidR="000C2C41" w:rsidRPr="003A5C41" w:rsidRDefault="000C2C41" w:rsidP="000C2C41">
            <w:pPr>
              <w:kinsoku w:val="0"/>
              <w:overflowPunct w:val="0"/>
              <w:autoSpaceDE w:val="0"/>
              <w:autoSpaceDN w:val="0"/>
              <w:adjustRightInd w:val="0"/>
              <w:spacing w:before="135"/>
              <w:ind w:left="103" w:firstLine="0"/>
              <w:rPr>
                <w:sz w:val="24"/>
                <w:lang w:eastAsia="en-US"/>
              </w:rPr>
            </w:pPr>
            <w:r w:rsidRPr="003A5C41">
              <w:rPr>
                <w:szCs w:val="22"/>
                <w:u w:val="single"/>
                <w:lang w:eastAsia="en-US"/>
              </w:rPr>
              <w:t>Časté</w:t>
            </w:r>
          </w:p>
        </w:tc>
        <w:tc>
          <w:tcPr>
            <w:tcW w:w="3555" w:type="dxa"/>
            <w:tcBorders>
              <w:top w:val="none" w:sz="6" w:space="0" w:color="auto"/>
              <w:left w:val="single" w:sz="4" w:space="0" w:color="000000"/>
              <w:bottom w:val="none" w:sz="6" w:space="0" w:color="auto"/>
              <w:right w:val="single" w:sz="4" w:space="0" w:color="000000"/>
            </w:tcBorders>
          </w:tcPr>
          <w:p w14:paraId="48362841" w14:textId="77777777" w:rsidR="000C2C41" w:rsidRPr="003A5C41" w:rsidRDefault="000C2C41" w:rsidP="000C2C41">
            <w:pPr>
              <w:autoSpaceDE w:val="0"/>
              <w:autoSpaceDN w:val="0"/>
              <w:adjustRightInd w:val="0"/>
              <w:ind w:left="0" w:firstLine="0"/>
              <w:rPr>
                <w:sz w:val="24"/>
                <w:lang w:eastAsia="en-US"/>
              </w:rPr>
            </w:pPr>
          </w:p>
        </w:tc>
      </w:tr>
      <w:tr w:rsidR="000C2C41" w:rsidRPr="003A5C41" w14:paraId="71111614" w14:textId="77777777" w:rsidTr="008422C4">
        <w:trPr>
          <w:trHeight w:hRule="exact" w:val="253"/>
        </w:trPr>
        <w:tc>
          <w:tcPr>
            <w:tcW w:w="2432" w:type="dxa"/>
            <w:tcBorders>
              <w:top w:val="none" w:sz="6" w:space="0" w:color="auto"/>
              <w:left w:val="single" w:sz="4" w:space="0" w:color="000000"/>
              <w:bottom w:val="none" w:sz="6" w:space="0" w:color="auto"/>
              <w:right w:val="single" w:sz="4" w:space="0" w:color="000000"/>
            </w:tcBorders>
          </w:tcPr>
          <w:p w14:paraId="52B097FA"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none" w:sz="6" w:space="0" w:color="auto"/>
              <w:right w:val="single" w:sz="4" w:space="0" w:color="000000"/>
            </w:tcBorders>
          </w:tcPr>
          <w:p w14:paraId="5BC329EF" w14:textId="77777777" w:rsidR="000C2C41" w:rsidRPr="003A5C41" w:rsidRDefault="000C2C41" w:rsidP="000C2C41">
            <w:pPr>
              <w:kinsoku w:val="0"/>
              <w:overflowPunct w:val="0"/>
              <w:autoSpaceDE w:val="0"/>
              <w:autoSpaceDN w:val="0"/>
              <w:adjustRightInd w:val="0"/>
              <w:spacing w:line="248" w:lineRule="exact"/>
              <w:ind w:left="103" w:firstLine="0"/>
              <w:rPr>
                <w:sz w:val="24"/>
                <w:lang w:eastAsia="en-US"/>
              </w:rPr>
            </w:pPr>
            <w:r w:rsidRPr="003A5C41">
              <w:rPr>
                <w:szCs w:val="22"/>
                <w:lang w:eastAsia="en-US"/>
              </w:rPr>
              <w:t>Hematúria^, retencia moču,</w:t>
            </w:r>
          </w:p>
        </w:tc>
        <w:tc>
          <w:tcPr>
            <w:tcW w:w="3555" w:type="dxa"/>
            <w:tcBorders>
              <w:top w:val="none" w:sz="6" w:space="0" w:color="auto"/>
              <w:left w:val="single" w:sz="4" w:space="0" w:color="000000"/>
              <w:bottom w:val="none" w:sz="6" w:space="0" w:color="auto"/>
              <w:right w:val="single" w:sz="4" w:space="0" w:color="000000"/>
            </w:tcBorders>
          </w:tcPr>
          <w:p w14:paraId="692CA70A" w14:textId="77777777" w:rsidR="000C2C41" w:rsidRPr="003A5C41" w:rsidRDefault="000C2C41" w:rsidP="000C2C41">
            <w:pPr>
              <w:autoSpaceDE w:val="0"/>
              <w:autoSpaceDN w:val="0"/>
              <w:adjustRightInd w:val="0"/>
              <w:ind w:left="0" w:firstLine="0"/>
              <w:rPr>
                <w:sz w:val="24"/>
                <w:lang w:eastAsia="en-US"/>
              </w:rPr>
            </w:pPr>
          </w:p>
        </w:tc>
      </w:tr>
      <w:tr w:rsidR="000C2C41" w:rsidRPr="003A5C41" w14:paraId="6F91C216" w14:textId="77777777" w:rsidTr="008422C4">
        <w:trPr>
          <w:trHeight w:hRule="exact" w:val="391"/>
        </w:trPr>
        <w:tc>
          <w:tcPr>
            <w:tcW w:w="2432" w:type="dxa"/>
            <w:tcBorders>
              <w:top w:val="none" w:sz="6" w:space="0" w:color="auto"/>
              <w:left w:val="single" w:sz="4" w:space="0" w:color="000000"/>
              <w:bottom w:val="none" w:sz="6" w:space="0" w:color="auto"/>
              <w:right w:val="single" w:sz="4" w:space="0" w:color="000000"/>
            </w:tcBorders>
          </w:tcPr>
          <w:p w14:paraId="3788E93D"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none" w:sz="6" w:space="0" w:color="auto"/>
              <w:right w:val="single" w:sz="4" w:space="0" w:color="000000"/>
            </w:tcBorders>
          </w:tcPr>
          <w:p w14:paraId="1A689943" w14:textId="77777777" w:rsidR="000C2C41" w:rsidRPr="003A5C41" w:rsidRDefault="000C2C41" w:rsidP="000C2C41">
            <w:pPr>
              <w:kinsoku w:val="0"/>
              <w:overflowPunct w:val="0"/>
              <w:autoSpaceDE w:val="0"/>
              <w:autoSpaceDN w:val="0"/>
              <w:adjustRightInd w:val="0"/>
              <w:spacing w:line="249" w:lineRule="exact"/>
              <w:ind w:left="103" w:firstLine="0"/>
              <w:rPr>
                <w:sz w:val="24"/>
                <w:lang w:eastAsia="en-US"/>
              </w:rPr>
            </w:pPr>
            <w:r w:rsidRPr="003A5C41">
              <w:rPr>
                <w:szCs w:val="22"/>
                <w:lang w:eastAsia="en-US"/>
              </w:rPr>
              <w:t>inkontinencia moču</w:t>
            </w:r>
          </w:p>
        </w:tc>
        <w:tc>
          <w:tcPr>
            <w:tcW w:w="3555" w:type="dxa"/>
            <w:tcBorders>
              <w:top w:val="none" w:sz="6" w:space="0" w:color="auto"/>
              <w:left w:val="single" w:sz="4" w:space="0" w:color="000000"/>
              <w:bottom w:val="none" w:sz="6" w:space="0" w:color="auto"/>
              <w:right w:val="single" w:sz="4" w:space="0" w:color="000000"/>
            </w:tcBorders>
          </w:tcPr>
          <w:p w14:paraId="39CC597C" w14:textId="77777777" w:rsidR="000C2C41" w:rsidRPr="003A5C41" w:rsidRDefault="000C2C41" w:rsidP="000C2C41">
            <w:pPr>
              <w:autoSpaceDE w:val="0"/>
              <w:autoSpaceDN w:val="0"/>
              <w:adjustRightInd w:val="0"/>
              <w:ind w:left="0" w:firstLine="0"/>
              <w:rPr>
                <w:sz w:val="24"/>
                <w:lang w:eastAsia="en-US"/>
              </w:rPr>
            </w:pPr>
          </w:p>
        </w:tc>
      </w:tr>
      <w:tr w:rsidR="000C2C41" w:rsidRPr="003A5C41" w14:paraId="4F7E32F2" w14:textId="77777777" w:rsidTr="008422C4">
        <w:trPr>
          <w:trHeight w:hRule="exact" w:val="390"/>
        </w:trPr>
        <w:tc>
          <w:tcPr>
            <w:tcW w:w="2432" w:type="dxa"/>
            <w:tcBorders>
              <w:top w:val="none" w:sz="6" w:space="0" w:color="auto"/>
              <w:left w:val="single" w:sz="4" w:space="0" w:color="000000"/>
              <w:bottom w:val="none" w:sz="6" w:space="0" w:color="auto"/>
              <w:right w:val="single" w:sz="4" w:space="0" w:color="000000"/>
            </w:tcBorders>
          </w:tcPr>
          <w:p w14:paraId="45CFB03E"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none" w:sz="6" w:space="0" w:color="auto"/>
              <w:right w:val="single" w:sz="4" w:space="0" w:color="000000"/>
            </w:tcBorders>
          </w:tcPr>
          <w:p w14:paraId="4BA903E1" w14:textId="77777777" w:rsidR="000C2C41" w:rsidRPr="003A5C41" w:rsidRDefault="000C2C41" w:rsidP="000C2C41">
            <w:pPr>
              <w:kinsoku w:val="0"/>
              <w:overflowPunct w:val="0"/>
              <w:autoSpaceDE w:val="0"/>
              <w:autoSpaceDN w:val="0"/>
              <w:adjustRightInd w:val="0"/>
              <w:spacing w:before="133"/>
              <w:ind w:left="103" w:firstLine="0"/>
              <w:rPr>
                <w:sz w:val="24"/>
                <w:lang w:eastAsia="en-US"/>
              </w:rPr>
            </w:pPr>
            <w:r w:rsidRPr="003A5C41">
              <w:rPr>
                <w:szCs w:val="22"/>
                <w:u w:val="single"/>
                <w:lang w:eastAsia="en-US"/>
              </w:rPr>
              <w:t>Menej časté</w:t>
            </w:r>
          </w:p>
        </w:tc>
        <w:tc>
          <w:tcPr>
            <w:tcW w:w="3555" w:type="dxa"/>
            <w:tcBorders>
              <w:top w:val="none" w:sz="6" w:space="0" w:color="auto"/>
              <w:left w:val="single" w:sz="4" w:space="0" w:color="000000"/>
              <w:bottom w:val="none" w:sz="6" w:space="0" w:color="auto"/>
              <w:right w:val="single" w:sz="4" w:space="0" w:color="000000"/>
            </w:tcBorders>
          </w:tcPr>
          <w:p w14:paraId="2E06A1E9" w14:textId="77777777" w:rsidR="000C2C41" w:rsidRPr="003A5C41" w:rsidRDefault="000C2C41" w:rsidP="000C2C41">
            <w:pPr>
              <w:autoSpaceDE w:val="0"/>
              <w:autoSpaceDN w:val="0"/>
              <w:adjustRightInd w:val="0"/>
              <w:ind w:left="0" w:firstLine="0"/>
              <w:rPr>
                <w:sz w:val="24"/>
                <w:lang w:eastAsia="en-US"/>
              </w:rPr>
            </w:pPr>
          </w:p>
        </w:tc>
      </w:tr>
      <w:tr w:rsidR="000C2C41" w:rsidRPr="003A5C41" w14:paraId="5A5D7359" w14:textId="77777777" w:rsidTr="008422C4">
        <w:trPr>
          <w:trHeight w:hRule="exact" w:val="256"/>
        </w:trPr>
        <w:tc>
          <w:tcPr>
            <w:tcW w:w="2432" w:type="dxa"/>
            <w:tcBorders>
              <w:top w:val="none" w:sz="6" w:space="0" w:color="auto"/>
              <w:left w:val="single" w:sz="4" w:space="0" w:color="000000"/>
              <w:bottom w:val="single" w:sz="4" w:space="0" w:color="000000"/>
              <w:right w:val="single" w:sz="4" w:space="0" w:color="000000"/>
            </w:tcBorders>
          </w:tcPr>
          <w:p w14:paraId="37755CCF" w14:textId="77777777" w:rsidR="000C2C41" w:rsidRPr="003A5C41" w:rsidRDefault="000C2C41" w:rsidP="000C2C41">
            <w:pPr>
              <w:autoSpaceDE w:val="0"/>
              <w:autoSpaceDN w:val="0"/>
              <w:adjustRightInd w:val="0"/>
              <w:ind w:left="0" w:firstLine="0"/>
              <w:rPr>
                <w:sz w:val="24"/>
                <w:lang w:eastAsia="en-US"/>
              </w:rPr>
            </w:pPr>
          </w:p>
        </w:tc>
        <w:tc>
          <w:tcPr>
            <w:tcW w:w="3364" w:type="dxa"/>
            <w:tcBorders>
              <w:top w:val="none" w:sz="6" w:space="0" w:color="auto"/>
              <w:left w:val="single" w:sz="4" w:space="0" w:color="000000"/>
              <w:bottom w:val="single" w:sz="4" w:space="0" w:color="000000"/>
              <w:right w:val="single" w:sz="4" w:space="0" w:color="000000"/>
            </w:tcBorders>
          </w:tcPr>
          <w:p w14:paraId="2C764472" w14:textId="77777777" w:rsidR="000C2C41" w:rsidRPr="003A5C41" w:rsidRDefault="000C2C41" w:rsidP="000C2C41">
            <w:pPr>
              <w:kinsoku w:val="0"/>
              <w:overflowPunct w:val="0"/>
              <w:autoSpaceDE w:val="0"/>
              <w:autoSpaceDN w:val="0"/>
              <w:adjustRightInd w:val="0"/>
              <w:spacing w:line="248" w:lineRule="exact"/>
              <w:ind w:left="103" w:firstLine="0"/>
              <w:rPr>
                <w:sz w:val="24"/>
                <w:lang w:eastAsia="en-US"/>
              </w:rPr>
            </w:pPr>
            <w:r w:rsidRPr="003A5C41">
              <w:rPr>
                <w:szCs w:val="22"/>
                <w:lang w:eastAsia="en-US"/>
              </w:rPr>
              <w:t>Získaný Fanconiho syndróm</w:t>
            </w:r>
          </w:p>
        </w:tc>
        <w:tc>
          <w:tcPr>
            <w:tcW w:w="3555" w:type="dxa"/>
            <w:tcBorders>
              <w:top w:val="none" w:sz="6" w:space="0" w:color="auto"/>
              <w:left w:val="single" w:sz="4" w:space="0" w:color="000000"/>
              <w:bottom w:val="single" w:sz="4" w:space="0" w:color="000000"/>
              <w:right w:val="single" w:sz="4" w:space="0" w:color="000000"/>
            </w:tcBorders>
          </w:tcPr>
          <w:p w14:paraId="502C9BAF" w14:textId="77777777" w:rsidR="000C2C41" w:rsidRPr="003A5C41" w:rsidRDefault="000C2C41" w:rsidP="000C2C41">
            <w:pPr>
              <w:autoSpaceDE w:val="0"/>
              <w:autoSpaceDN w:val="0"/>
              <w:adjustRightInd w:val="0"/>
              <w:ind w:left="0" w:firstLine="0"/>
              <w:rPr>
                <w:sz w:val="24"/>
                <w:lang w:eastAsia="en-US"/>
              </w:rPr>
            </w:pPr>
          </w:p>
        </w:tc>
      </w:tr>
      <w:tr w:rsidR="000C2C41" w:rsidRPr="003A5C41" w14:paraId="5268F9FE" w14:textId="77777777" w:rsidTr="008422C4">
        <w:trPr>
          <w:trHeight w:hRule="exact" w:val="768"/>
        </w:trPr>
        <w:tc>
          <w:tcPr>
            <w:tcW w:w="2432" w:type="dxa"/>
            <w:tcBorders>
              <w:top w:val="single" w:sz="4" w:space="0" w:color="000000"/>
              <w:left w:val="single" w:sz="4" w:space="0" w:color="000000"/>
              <w:bottom w:val="single" w:sz="4" w:space="0" w:color="000000"/>
              <w:right w:val="single" w:sz="4" w:space="0" w:color="000000"/>
            </w:tcBorders>
          </w:tcPr>
          <w:p w14:paraId="4E1EF0F4" w14:textId="77777777" w:rsidR="000C2C41" w:rsidRPr="00D6163D" w:rsidRDefault="000C2C41" w:rsidP="000C2C41">
            <w:pPr>
              <w:kinsoku w:val="0"/>
              <w:overflowPunct w:val="0"/>
              <w:autoSpaceDE w:val="0"/>
              <w:autoSpaceDN w:val="0"/>
              <w:adjustRightInd w:val="0"/>
              <w:ind w:left="103" w:right="489" w:firstLine="0"/>
              <w:rPr>
                <w:szCs w:val="22"/>
                <w:lang w:eastAsia="en-US"/>
              </w:rPr>
            </w:pPr>
            <w:r w:rsidRPr="00D6163D">
              <w:rPr>
                <w:b/>
                <w:bCs/>
                <w:szCs w:val="22"/>
                <w:lang w:eastAsia="en-US"/>
              </w:rPr>
              <w:t>Poruchy reprodukčného systému a prsníkov</w:t>
            </w:r>
          </w:p>
        </w:tc>
        <w:tc>
          <w:tcPr>
            <w:tcW w:w="3364" w:type="dxa"/>
            <w:tcBorders>
              <w:top w:val="single" w:sz="4" w:space="0" w:color="000000"/>
              <w:left w:val="single" w:sz="4" w:space="0" w:color="000000"/>
              <w:bottom w:val="single" w:sz="4" w:space="0" w:color="000000"/>
              <w:right w:val="single" w:sz="4" w:space="0" w:color="000000"/>
            </w:tcBorders>
          </w:tcPr>
          <w:p w14:paraId="140E8F65" w14:textId="77777777" w:rsidR="000C2C41" w:rsidRPr="003A5C41" w:rsidRDefault="000C2C41" w:rsidP="000C2C41">
            <w:pPr>
              <w:kinsoku w:val="0"/>
              <w:overflowPunct w:val="0"/>
              <w:autoSpaceDE w:val="0"/>
              <w:autoSpaceDN w:val="0"/>
              <w:adjustRightInd w:val="0"/>
              <w:spacing w:line="251" w:lineRule="exact"/>
              <w:ind w:left="103" w:firstLine="0"/>
              <w:rPr>
                <w:szCs w:val="22"/>
                <w:lang w:eastAsia="en-US"/>
              </w:rPr>
            </w:pPr>
            <w:r w:rsidRPr="003A5C41">
              <w:rPr>
                <w:szCs w:val="22"/>
                <w:u w:val="single"/>
                <w:lang w:eastAsia="en-US"/>
              </w:rPr>
              <w:t>Časté</w:t>
            </w:r>
          </w:p>
          <w:p w14:paraId="0D9FC580" w14:textId="77777777" w:rsidR="000C2C41" w:rsidRPr="003A5C41" w:rsidRDefault="000C2C41" w:rsidP="000C2C41">
            <w:pPr>
              <w:kinsoku w:val="0"/>
              <w:overflowPunct w:val="0"/>
              <w:autoSpaceDE w:val="0"/>
              <w:autoSpaceDN w:val="0"/>
              <w:adjustRightInd w:val="0"/>
              <w:spacing w:line="252" w:lineRule="exact"/>
              <w:ind w:left="103" w:firstLine="0"/>
              <w:rPr>
                <w:sz w:val="24"/>
                <w:lang w:eastAsia="en-US"/>
              </w:rPr>
            </w:pPr>
            <w:r w:rsidRPr="003A5C41">
              <w:rPr>
                <w:szCs w:val="22"/>
                <w:lang w:eastAsia="en-US"/>
              </w:rPr>
              <w:t>Erektilná dysfunkcia</w:t>
            </w:r>
          </w:p>
        </w:tc>
        <w:tc>
          <w:tcPr>
            <w:tcW w:w="3555" w:type="dxa"/>
            <w:tcBorders>
              <w:top w:val="single" w:sz="4" w:space="0" w:color="000000"/>
              <w:left w:val="single" w:sz="4" w:space="0" w:color="000000"/>
              <w:bottom w:val="single" w:sz="4" w:space="0" w:color="000000"/>
              <w:right w:val="single" w:sz="4" w:space="0" w:color="000000"/>
            </w:tcBorders>
          </w:tcPr>
          <w:p w14:paraId="45686EA1" w14:textId="77777777" w:rsidR="000C2C41" w:rsidRPr="003A5C41" w:rsidRDefault="000C2C41" w:rsidP="000C2C41">
            <w:pPr>
              <w:autoSpaceDE w:val="0"/>
              <w:autoSpaceDN w:val="0"/>
              <w:adjustRightInd w:val="0"/>
              <w:ind w:left="0" w:firstLine="0"/>
              <w:rPr>
                <w:sz w:val="24"/>
                <w:lang w:eastAsia="en-US"/>
              </w:rPr>
            </w:pPr>
          </w:p>
        </w:tc>
      </w:tr>
      <w:tr w:rsidR="000C2C41" w:rsidRPr="003A5C41" w14:paraId="126B9706" w14:textId="77777777" w:rsidTr="00D6163D">
        <w:trPr>
          <w:trHeight w:hRule="exact" w:val="2609"/>
        </w:trPr>
        <w:tc>
          <w:tcPr>
            <w:tcW w:w="2432" w:type="dxa"/>
            <w:tcBorders>
              <w:top w:val="single" w:sz="4" w:space="0" w:color="000000"/>
              <w:left w:val="single" w:sz="4" w:space="0" w:color="000000"/>
              <w:bottom w:val="single" w:sz="4" w:space="0" w:color="000000"/>
              <w:right w:val="single" w:sz="4" w:space="0" w:color="000000"/>
            </w:tcBorders>
          </w:tcPr>
          <w:p w14:paraId="204B6782" w14:textId="77777777" w:rsidR="000C2C41" w:rsidRPr="00D6163D" w:rsidRDefault="000C2C41" w:rsidP="000C2C41">
            <w:pPr>
              <w:kinsoku w:val="0"/>
              <w:overflowPunct w:val="0"/>
              <w:autoSpaceDE w:val="0"/>
              <w:autoSpaceDN w:val="0"/>
              <w:adjustRightInd w:val="0"/>
              <w:ind w:left="103" w:right="538" w:firstLine="0"/>
              <w:rPr>
                <w:szCs w:val="22"/>
                <w:lang w:eastAsia="en-US"/>
              </w:rPr>
            </w:pPr>
            <w:r w:rsidRPr="00D6163D">
              <w:rPr>
                <w:b/>
                <w:bCs/>
                <w:szCs w:val="22"/>
                <w:lang w:eastAsia="en-US"/>
              </w:rPr>
              <w:t>Celkové poruchy a reakcie v mieste podania</w:t>
            </w:r>
          </w:p>
        </w:tc>
        <w:tc>
          <w:tcPr>
            <w:tcW w:w="3364" w:type="dxa"/>
            <w:tcBorders>
              <w:top w:val="single" w:sz="4" w:space="0" w:color="000000"/>
              <w:left w:val="single" w:sz="4" w:space="0" w:color="000000"/>
              <w:bottom w:val="single" w:sz="4" w:space="0" w:color="000000"/>
              <w:right w:val="single" w:sz="4" w:space="0" w:color="000000"/>
            </w:tcBorders>
          </w:tcPr>
          <w:p w14:paraId="07CE9EBA" w14:textId="77777777" w:rsidR="000C2C41" w:rsidRPr="003A5C41" w:rsidRDefault="000C2C41" w:rsidP="00D6163D">
            <w:pPr>
              <w:kinsoku w:val="0"/>
              <w:overflowPunct w:val="0"/>
              <w:autoSpaceDE w:val="0"/>
              <w:autoSpaceDN w:val="0"/>
              <w:adjustRightInd w:val="0"/>
              <w:spacing w:line="245" w:lineRule="exact"/>
              <w:ind w:left="103" w:firstLine="0"/>
              <w:rPr>
                <w:szCs w:val="22"/>
                <w:lang w:eastAsia="en-US"/>
              </w:rPr>
            </w:pPr>
            <w:r w:rsidRPr="003A5C41">
              <w:rPr>
                <w:szCs w:val="22"/>
                <w:u w:val="single"/>
                <w:lang w:eastAsia="en-US"/>
              </w:rPr>
              <w:t>Veľmi časté</w:t>
            </w:r>
          </w:p>
          <w:p w14:paraId="1CABF766" w14:textId="476B9C31" w:rsidR="000C2C41" w:rsidRPr="003A5C41" w:rsidRDefault="00833578" w:rsidP="00893070">
            <w:pPr>
              <w:kinsoku w:val="0"/>
              <w:overflowPunct w:val="0"/>
              <w:autoSpaceDE w:val="0"/>
              <w:autoSpaceDN w:val="0"/>
              <w:adjustRightInd w:val="0"/>
              <w:spacing w:after="120" w:line="237" w:lineRule="auto"/>
              <w:ind w:left="102" w:right="195" w:firstLine="0"/>
              <w:rPr>
                <w:szCs w:val="22"/>
                <w:lang w:eastAsia="en-US"/>
              </w:rPr>
            </w:pPr>
            <w:r w:rsidRPr="00833578">
              <w:rPr>
                <w:szCs w:val="22"/>
                <w:lang w:eastAsia="en-US"/>
              </w:rPr>
              <w:t>Únava</w:t>
            </w:r>
            <w:r w:rsidR="001F4FF7" w:rsidRPr="00893070">
              <w:rPr>
                <w:position w:val="9"/>
              </w:rPr>
              <w:t>◊</w:t>
            </w:r>
            <w:r w:rsidR="000C2C41" w:rsidRPr="003A5C41">
              <w:rPr>
                <w:szCs w:val="22"/>
                <w:lang w:eastAsia="en-US"/>
              </w:rPr>
              <w:t>, edém (vrátane periférneho edému), pyrexia</w:t>
            </w:r>
            <w:r w:rsidR="001F4FF7" w:rsidRPr="00893070">
              <w:rPr>
                <w:position w:val="9"/>
              </w:rPr>
              <w:t>◊</w:t>
            </w:r>
            <w:r w:rsidR="000C2C41" w:rsidRPr="003A5C41">
              <w:rPr>
                <w:szCs w:val="22"/>
                <w:lang w:eastAsia="en-US"/>
              </w:rPr>
              <w:t>, asténia, syndróm podobný chrípke (vrátane pyrexie, kašľa, myalgie, muskuloskeletálnej bolesti, bolesti hlavy a zimnice)</w:t>
            </w:r>
          </w:p>
          <w:p w14:paraId="619FD9B3" w14:textId="77777777" w:rsidR="000C2C41" w:rsidRPr="003A5C41" w:rsidRDefault="000C2C41" w:rsidP="00893070">
            <w:pPr>
              <w:kinsoku w:val="0"/>
              <w:overflowPunct w:val="0"/>
              <w:autoSpaceDE w:val="0"/>
              <w:autoSpaceDN w:val="0"/>
              <w:adjustRightInd w:val="0"/>
              <w:spacing w:line="238" w:lineRule="auto"/>
              <w:ind w:left="102" w:firstLine="0"/>
              <w:rPr>
                <w:szCs w:val="22"/>
                <w:lang w:eastAsia="en-US"/>
              </w:rPr>
            </w:pPr>
            <w:r w:rsidRPr="003A5C41">
              <w:rPr>
                <w:szCs w:val="22"/>
                <w:u w:val="single"/>
                <w:lang w:eastAsia="en-US"/>
              </w:rPr>
              <w:t>Časté</w:t>
            </w:r>
          </w:p>
          <w:p w14:paraId="73F3731C" w14:textId="0D20F440" w:rsidR="000C2C41" w:rsidRPr="00902DE4" w:rsidRDefault="000C2C41" w:rsidP="00893070">
            <w:pPr>
              <w:kinsoku w:val="0"/>
              <w:overflowPunct w:val="0"/>
              <w:autoSpaceDE w:val="0"/>
              <w:autoSpaceDN w:val="0"/>
              <w:adjustRightInd w:val="0"/>
              <w:spacing w:line="238" w:lineRule="auto"/>
              <w:ind w:left="103" w:firstLine="0"/>
              <w:rPr>
                <w:sz w:val="24"/>
                <w:lang w:eastAsia="en-US"/>
              </w:rPr>
            </w:pPr>
            <w:r w:rsidRPr="003A5C41">
              <w:rPr>
                <w:szCs w:val="22"/>
                <w:lang w:eastAsia="en-US"/>
              </w:rPr>
              <w:t>Bolesť na hrudi, letargia</w:t>
            </w:r>
          </w:p>
        </w:tc>
        <w:tc>
          <w:tcPr>
            <w:tcW w:w="3555" w:type="dxa"/>
            <w:tcBorders>
              <w:top w:val="single" w:sz="4" w:space="0" w:color="000000"/>
              <w:left w:val="single" w:sz="4" w:space="0" w:color="000000"/>
              <w:bottom w:val="single" w:sz="4" w:space="0" w:color="000000"/>
              <w:right w:val="single" w:sz="4" w:space="0" w:color="000000"/>
            </w:tcBorders>
          </w:tcPr>
          <w:p w14:paraId="6F9BF360" w14:textId="77777777" w:rsidR="000C2C41" w:rsidRPr="003A5C41" w:rsidRDefault="000C2C41" w:rsidP="004E43E2">
            <w:pPr>
              <w:kinsoku w:val="0"/>
              <w:overflowPunct w:val="0"/>
              <w:autoSpaceDE w:val="0"/>
              <w:autoSpaceDN w:val="0"/>
              <w:adjustRightInd w:val="0"/>
              <w:spacing w:line="245" w:lineRule="exact"/>
              <w:ind w:left="103" w:firstLine="0"/>
              <w:rPr>
                <w:szCs w:val="22"/>
                <w:lang w:eastAsia="en-US"/>
              </w:rPr>
            </w:pPr>
            <w:r w:rsidRPr="003A5C41">
              <w:rPr>
                <w:szCs w:val="22"/>
                <w:u w:val="single"/>
                <w:lang w:eastAsia="en-US"/>
              </w:rPr>
              <w:t>Časté</w:t>
            </w:r>
          </w:p>
          <w:p w14:paraId="4CD4952C" w14:textId="0653EB21" w:rsidR="000C2C41" w:rsidRPr="003A5C41" w:rsidRDefault="00833578" w:rsidP="004E43E2">
            <w:pPr>
              <w:kinsoku w:val="0"/>
              <w:overflowPunct w:val="0"/>
              <w:autoSpaceDE w:val="0"/>
              <w:autoSpaceDN w:val="0"/>
              <w:adjustRightInd w:val="0"/>
              <w:spacing w:line="280" w:lineRule="exact"/>
              <w:ind w:left="103" w:firstLine="0"/>
              <w:rPr>
                <w:sz w:val="24"/>
                <w:lang w:eastAsia="en-US"/>
              </w:rPr>
            </w:pPr>
            <w:r w:rsidRPr="00221953">
              <w:rPr>
                <w:caps/>
                <w:szCs w:val="22"/>
                <w:lang w:eastAsia="en-US"/>
              </w:rPr>
              <w:t>ú</w:t>
            </w:r>
            <w:r>
              <w:rPr>
                <w:szCs w:val="22"/>
                <w:lang w:eastAsia="en-US"/>
              </w:rPr>
              <w:t>nava</w:t>
            </w:r>
            <w:r w:rsidR="001F4FF7" w:rsidRPr="00893070">
              <w:rPr>
                <w:position w:val="9"/>
              </w:rPr>
              <w:t>◊</w:t>
            </w:r>
            <w:r w:rsidR="000C2C41" w:rsidRPr="003A5C41">
              <w:rPr>
                <w:szCs w:val="22"/>
                <w:lang w:eastAsia="en-US"/>
              </w:rPr>
              <w:t>, pyrexia</w:t>
            </w:r>
            <w:r w:rsidR="001F4FF7" w:rsidRPr="00893070">
              <w:rPr>
                <w:position w:val="9"/>
              </w:rPr>
              <w:t>◊</w:t>
            </w:r>
            <w:r w:rsidR="000C2C41" w:rsidRPr="003A5C41">
              <w:rPr>
                <w:szCs w:val="22"/>
                <w:lang w:eastAsia="en-US"/>
              </w:rPr>
              <w:t>, asténia</w:t>
            </w:r>
          </w:p>
        </w:tc>
      </w:tr>
      <w:tr w:rsidR="000C2C41" w:rsidRPr="003A5C41" w14:paraId="3980A3CA" w14:textId="77777777" w:rsidTr="008422C4">
        <w:trPr>
          <w:trHeight w:hRule="exact" w:val="701"/>
        </w:trPr>
        <w:tc>
          <w:tcPr>
            <w:tcW w:w="2432" w:type="dxa"/>
            <w:tcBorders>
              <w:top w:val="single" w:sz="4" w:space="0" w:color="000000"/>
              <w:left w:val="single" w:sz="4" w:space="0" w:color="000000"/>
              <w:bottom w:val="single" w:sz="4" w:space="0" w:color="000000"/>
              <w:right w:val="single" w:sz="4" w:space="0" w:color="000000"/>
            </w:tcBorders>
          </w:tcPr>
          <w:p w14:paraId="448D7315" w14:textId="77777777" w:rsidR="000C2C41" w:rsidRPr="00D6163D" w:rsidRDefault="000C2C41" w:rsidP="000C2C41">
            <w:pPr>
              <w:kinsoku w:val="0"/>
              <w:overflowPunct w:val="0"/>
              <w:autoSpaceDE w:val="0"/>
              <w:autoSpaceDN w:val="0"/>
              <w:adjustRightInd w:val="0"/>
              <w:spacing w:line="275" w:lineRule="exact"/>
              <w:ind w:left="103" w:firstLine="0"/>
              <w:rPr>
                <w:b/>
                <w:szCs w:val="22"/>
              </w:rPr>
            </w:pPr>
            <w:r w:rsidRPr="00D6163D">
              <w:rPr>
                <w:b/>
                <w:szCs w:val="22"/>
              </w:rPr>
              <w:lastRenderedPageBreak/>
              <w:t>Laboratórne a</w:t>
            </w:r>
          </w:p>
          <w:p w14:paraId="0184C56C" w14:textId="77777777" w:rsidR="000C2C41" w:rsidRPr="00D6163D" w:rsidRDefault="000C2C41" w:rsidP="000C2C41">
            <w:pPr>
              <w:kinsoku w:val="0"/>
              <w:overflowPunct w:val="0"/>
              <w:autoSpaceDE w:val="0"/>
              <w:autoSpaceDN w:val="0"/>
              <w:adjustRightInd w:val="0"/>
              <w:ind w:left="103" w:firstLine="0"/>
              <w:rPr>
                <w:szCs w:val="22"/>
              </w:rPr>
            </w:pPr>
            <w:r w:rsidRPr="00D6163D">
              <w:rPr>
                <w:b/>
                <w:szCs w:val="22"/>
              </w:rPr>
              <w:t xml:space="preserve">funkčné </w:t>
            </w:r>
            <w:r w:rsidRPr="00D6163D">
              <w:rPr>
                <w:b/>
                <w:bCs/>
                <w:szCs w:val="22"/>
                <w:lang w:eastAsia="en-US"/>
              </w:rPr>
              <w:t>vyšetrenia</w:t>
            </w:r>
          </w:p>
        </w:tc>
        <w:tc>
          <w:tcPr>
            <w:tcW w:w="3364" w:type="dxa"/>
            <w:tcBorders>
              <w:top w:val="single" w:sz="4" w:space="0" w:color="000000"/>
              <w:left w:val="single" w:sz="4" w:space="0" w:color="000000"/>
              <w:bottom w:val="single" w:sz="4" w:space="0" w:color="000000"/>
              <w:right w:val="single" w:sz="4" w:space="0" w:color="000000"/>
            </w:tcBorders>
          </w:tcPr>
          <w:p w14:paraId="5D967D13" w14:textId="77777777" w:rsidR="000C2C41" w:rsidRPr="003A5C41" w:rsidRDefault="000C2C41" w:rsidP="000C2C41">
            <w:pPr>
              <w:kinsoku w:val="0"/>
              <w:overflowPunct w:val="0"/>
              <w:autoSpaceDE w:val="0"/>
              <w:autoSpaceDN w:val="0"/>
              <w:adjustRightInd w:val="0"/>
              <w:spacing w:line="252" w:lineRule="exact"/>
              <w:ind w:left="103" w:firstLine="0"/>
              <w:rPr>
                <w:szCs w:val="22"/>
                <w:lang w:eastAsia="en-US"/>
              </w:rPr>
            </w:pPr>
            <w:r w:rsidRPr="003A5C41">
              <w:rPr>
                <w:szCs w:val="22"/>
                <w:u w:val="single"/>
                <w:lang w:eastAsia="en-US"/>
              </w:rPr>
              <w:t>Časté</w:t>
            </w:r>
          </w:p>
          <w:p w14:paraId="71492E9F" w14:textId="77777777" w:rsidR="000C2C41" w:rsidRPr="003A5C41" w:rsidRDefault="000C2C41" w:rsidP="000C2C41">
            <w:pPr>
              <w:kinsoku w:val="0"/>
              <w:overflowPunct w:val="0"/>
              <w:autoSpaceDE w:val="0"/>
              <w:autoSpaceDN w:val="0"/>
              <w:adjustRightInd w:val="0"/>
              <w:spacing w:before="1"/>
              <w:ind w:left="103" w:firstLine="0"/>
              <w:rPr>
                <w:sz w:val="24"/>
                <w:lang w:eastAsia="en-US"/>
              </w:rPr>
            </w:pPr>
            <w:r w:rsidRPr="003A5C41">
              <w:rPr>
                <w:szCs w:val="22"/>
                <w:lang w:eastAsia="en-US"/>
              </w:rPr>
              <w:t>Zvýšený C-reaktívny proteín</w:t>
            </w:r>
          </w:p>
        </w:tc>
        <w:tc>
          <w:tcPr>
            <w:tcW w:w="3555" w:type="dxa"/>
            <w:tcBorders>
              <w:top w:val="single" w:sz="4" w:space="0" w:color="000000"/>
              <w:left w:val="single" w:sz="4" w:space="0" w:color="000000"/>
              <w:bottom w:val="single" w:sz="4" w:space="0" w:color="000000"/>
              <w:right w:val="single" w:sz="4" w:space="0" w:color="000000"/>
            </w:tcBorders>
          </w:tcPr>
          <w:p w14:paraId="1F8E8492" w14:textId="77777777" w:rsidR="000C2C41" w:rsidRPr="003A5C41" w:rsidRDefault="000C2C41" w:rsidP="000C2C41">
            <w:pPr>
              <w:autoSpaceDE w:val="0"/>
              <w:autoSpaceDN w:val="0"/>
              <w:adjustRightInd w:val="0"/>
              <w:ind w:left="0" w:firstLine="0"/>
              <w:rPr>
                <w:sz w:val="24"/>
                <w:lang w:eastAsia="en-US"/>
              </w:rPr>
            </w:pPr>
          </w:p>
        </w:tc>
      </w:tr>
      <w:tr w:rsidR="000C2C41" w:rsidRPr="003A5C41" w14:paraId="5660D55C" w14:textId="77777777" w:rsidTr="008422C4">
        <w:trPr>
          <w:trHeight w:hRule="exact" w:val="938"/>
        </w:trPr>
        <w:tc>
          <w:tcPr>
            <w:tcW w:w="2432" w:type="dxa"/>
            <w:tcBorders>
              <w:top w:val="single" w:sz="4" w:space="0" w:color="000000"/>
              <w:left w:val="single" w:sz="4" w:space="0" w:color="000000"/>
              <w:bottom w:val="single" w:sz="4" w:space="0" w:color="000000"/>
              <w:right w:val="single" w:sz="4" w:space="0" w:color="000000"/>
            </w:tcBorders>
          </w:tcPr>
          <w:p w14:paraId="1718528E" w14:textId="77777777" w:rsidR="000C2C41" w:rsidRPr="00D6163D" w:rsidRDefault="000C2C41" w:rsidP="000C2C41">
            <w:pPr>
              <w:kinsoku w:val="0"/>
              <w:overflowPunct w:val="0"/>
              <w:autoSpaceDE w:val="0"/>
              <w:autoSpaceDN w:val="0"/>
              <w:adjustRightInd w:val="0"/>
              <w:spacing w:line="275" w:lineRule="exact"/>
              <w:ind w:left="103" w:firstLine="0"/>
              <w:rPr>
                <w:b/>
                <w:szCs w:val="22"/>
              </w:rPr>
            </w:pPr>
            <w:r w:rsidRPr="00D6163D">
              <w:rPr>
                <w:b/>
                <w:szCs w:val="22"/>
              </w:rPr>
              <w:t>Úrazy, otravy a komplikácie</w:t>
            </w:r>
          </w:p>
          <w:p w14:paraId="1B23C0B8" w14:textId="77777777" w:rsidR="000C2C41" w:rsidRPr="00D6163D" w:rsidRDefault="000C2C41" w:rsidP="000C2C41">
            <w:pPr>
              <w:kinsoku w:val="0"/>
              <w:overflowPunct w:val="0"/>
              <w:autoSpaceDE w:val="0"/>
              <w:autoSpaceDN w:val="0"/>
              <w:adjustRightInd w:val="0"/>
              <w:spacing w:line="275" w:lineRule="exact"/>
              <w:ind w:left="103" w:firstLine="0"/>
              <w:rPr>
                <w:b/>
                <w:szCs w:val="22"/>
              </w:rPr>
            </w:pPr>
            <w:r w:rsidRPr="00D6163D">
              <w:rPr>
                <w:b/>
                <w:szCs w:val="22"/>
              </w:rPr>
              <w:t>liečebného postupu</w:t>
            </w:r>
          </w:p>
        </w:tc>
        <w:tc>
          <w:tcPr>
            <w:tcW w:w="3364" w:type="dxa"/>
            <w:tcBorders>
              <w:top w:val="single" w:sz="4" w:space="0" w:color="000000"/>
              <w:left w:val="single" w:sz="4" w:space="0" w:color="000000"/>
              <w:bottom w:val="single" w:sz="4" w:space="0" w:color="000000"/>
              <w:right w:val="single" w:sz="4" w:space="0" w:color="000000"/>
            </w:tcBorders>
          </w:tcPr>
          <w:p w14:paraId="45A50FFC" w14:textId="77777777" w:rsidR="000C2C41" w:rsidRPr="003A5C41" w:rsidRDefault="000C2C41" w:rsidP="000C2C41">
            <w:pPr>
              <w:kinsoku w:val="0"/>
              <w:overflowPunct w:val="0"/>
              <w:autoSpaceDE w:val="0"/>
              <w:autoSpaceDN w:val="0"/>
              <w:adjustRightInd w:val="0"/>
              <w:spacing w:line="252" w:lineRule="exact"/>
              <w:ind w:left="103" w:firstLine="0"/>
              <w:rPr>
                <w:szCs w:val="22"/>
                <w:u w:val="single"/>
                <w:lang w:eastAsia="en-US"/>
              </w:rPr>
            </w:pPr>
            <w:r w:rsidRPr="003A5C41">
              <w:rPr>
                <w:szCs w:val="22"/>
                <w:u w:val="single"/>
                <w:lang w:eastAsia="en-US"/>
              </w:rPr>
              <w:t>Časté</w:t>
            </w:r>
          </w:p>
          <w:p w14:paraId="686318C7" w14:textId="77777777" w:rsidR="000C2C41" w:rsidRPr="003A5C41" w:rsidRDefault="000C2C41" w:rsidP="000C2C41">
            <w:pPr>
              <w:kinsoku w:val="0"/>
              <w:overflowPunct w:val="0"/>
              <w:autoSpaceDE w:val="0"/>
              <w:autoSpaceDN w:val="0"/>
              <w:adjustRightInd w:val="0"/>
              <w:spacing w:line="252" w:lineRule="exact"/>
              <w:ind w:left="103" w:firstLine="0"/>
              <w:rPr>
                <w:szCs w:val="22"/>
                <w:lang w:eastAsia="en-US"/>
              </w:rPr>
            </w:pPr>
            <w:r w:rsidRPr="003A5C41">
              <w:rPr>
                <w:szCs w:val="22"/>
                <w:lang w:eastAsia="en-US"/>
              </w:rPr>
              <w:t>Pády, kontúzia^</w:t>
            </w:r>
          </w:p>
        </w:tc>
        <w:tc>
          <w:tcPr>
            <w:tcW w:w="3555" w:type="dxa"/>
            <w:tcBorders>
              <w:top w:val="single" w:sz="4" w:space="0" w:color="000000"/>
              <w:left w:val="single" w:sz="4" w:space="0" w:color="000000"/>
              <w:bottom w:val="single" w:sz="4" w:space="0" w:color="000000"/>
              <w:right w:val="single" w:sz="4" w:space="0" w:color="000000"/>
            </w:tcBorders>
          </w:tcPr>
          <w:p w14:paraId="3CBA6927" w14:textId="77777777" w:rsidR="000C2C41" w:rsidRPr="003A5C41" w:rsidRDefault="000C2C41" w:rsidP="000C2C41">
            <w:pPr>
              <w:autoSpaceDE w:val="0"/>
              <w:autoSpaceDN w:val="0"/>
              <w:adjustRightInd w:val="0"/>
              <w:ind w:left="0" w:firstLine="0"/>
              <w:rPr>
                <w:sz w:val="24"/>
                <w:lang w:eastAsia="en-US"/>
              </w:rPr>
            </w:pPr>
          </w:p>
        </w:tc>
      </w:tr>
    </w:tbl>
    <w:p w14:paraId="5BE5FC3E" w14:textId="77777777" w:rsidR="00D46E1F" w:rsidRPr="008422C4" w:rsidRDefault="00D46E1F" w:rsidP="00D46E1F">
      <w:pPr>
        <w:autoSpaceDE w:val="0"/>
        <w:autoSpaceDN w:val="0"/>
        <w:adjustRightInd w:val="0"/>
        <w:ind w:left="0" w:firstLine="0"/>
        <w:rPr>
          <w:rFonts w:eastAsia="TimesNewRomanPSMT"/>
          <w:sz w:val="18"/>
          <w:szCs w:val="18"/>
          <w:lang w:eastAsia="en-US"/>
        </w:rPr>
      </w:pPr>
      <w:r w:rsidRPr="008422C4">
        <w:rPr>
          <w:rFonts w:eastAsia="TimesNewRomanPSMT"/>
          <w:sz w:val="18"/>
          <w:szCs w:val="18"/>
          <w:lang w:eastAsia="en-US"/>
        </w:rPr>
        <w:t>^ Pozri časť 4.8. Popis vybraných nežiaducich reakcií.</w:t>
      </w:r>
    </w:p>
    <w:p w14:paraId="210ABDDA" w14:textId="77777777" w:rsidR="00D46E1F" w:rsidRPr="008422C4" w:rsidRDefault="001F4FF7" w:rsidP="00D46E1F">
      <w:pPr>
        <w:autoSpaceDE w:val="0"/>
        <w:autoSpaceDN w:val="0"/>
        <w:adjustRightInd w:val="0"/>
        <w:ind w:left="142" w:hanging="142"/>
        <w:rPr>
          <w:rFonts w:eastAsia="TimesNewRomanPSMT"/>
          <w:sz w:val="18"/>
          <w:szCs w:val="18"/>
          <w:lang w:eastAsia="en-US"/>
        </w:rPr>
      </w:pPr>
      <w:r w:rsidRPr="00D6163D">
        <w:rPr>
          <w:sz w:val="18"/>
          <w:vertAlign w:val="superscript"/>
        </w:rPr>
        <w:t>◊</w:t>
      </w:r>
      <w:r w:rsidR="00D46E1F" w:rsidRPr="008422C4">
        <w:rPr>
          <w:rFonts w:eastAsia="TimesNewRomanPSMT"/>
          <w:sz w:val="18"/>
          <w:szCs w:val="18"/>
          <w:lang w:eastAsia="en-US"/>
        </w:rPr>
        <w:t xml:space="preserve"> Nežiaduce reakcie označené ako závažné v klinických skúšaniach u pacientov s mnohopočetným myelómom liečených lenalidomidom v kombinácii s dexametazónom, alebo melfalánom a prednizónom</w:t>
      </w:r>
    </w:p>
    <w:p w14:paraId="34221A2E" w14:textId="77777777" w:rsidR="00D46E1F" w:rsidRPr="008422C4" w:rsidRDefault="00D46E1F" w:rsidP="00D46E1F">
      <w:pPr>
        <w:autoSpaceDE w:val="0"/>
        <w:autoSpaceDN w:val="0"/>
        <w:adjustRightInd w:val="0"/>
        <w:ind w:left="0" w:firstLine="0"/>
        <w:rPr>
          <w:rFonts w:eastAsia="TimesNewRomanPSMT"/>
          <w:sz w:val="18"/>
          <w:szCs w:val="18"/>
          <w:lang w:eastAsia="en-US"/>
        </w:rPr>
      </w:pPr>
      <w:r w:rsidRPr="008422C4">
        <w:rPr>
          <w:rFonts w:eastAsia="TimesNewRomanPSMT"/>
          <w:sz w:val="18"/>
          <w:szCs w:val="18"/>
          <w:lang w:eastAsia="en-US"/>
        </w:rPr>
        <w:t>+ Platí len pre závažné nežiaduce reakcie</w:t>
      </w:r>
    </w:p>
    <w:p w14:paraId="1B532337" w14:textId="5C7016F8" w:rsidR="00D46E1F" w:rsidRPr="008422C4" w:rsidRDefault="00D46E1F" w:rsidP="00D46E1F">
      <w:pPr>
        <w:autoSpaceDE w:val="0"/>
        <w:autoSpaceDN w:val="0"/>
        <w:adjustRightInd w:val="0"/>
        <w:ind w:left="142" w:hanging="142"/>
        <w:rPr>
          <w:rFonts w:eastAsia="TimesNewRomanPSMT"/>
          <w:sz w:val="18"/>
          <w:szCs w:val="18"/>
          <w:lang w:eastAsia="en-US"/>
        </w:rPr>
      </w:pPr>
      <w:r w:rsidRPr="008422C4">
        <w:rPr>
          <w:rFonts w:eastAsia="TimesNewRomanPSMT"/>
          <w:sz w:val="18"/>
          <w:szCs w:val="18"/>
          <w:lang w:eastAsia="en-US"/>
        </w:rPr>
        <w:t>* Spinocelulárny karcinóm kože bol hlásený v klinických štúdiách u pacientov s mnohopočetným myelómom predtým liečených lenalidomidom/dexametazónom v porovnaní s</w:t>
      </w:r>
      <w:r w:rsidR="00833578">
        <w:rPr>
          <w:rFonts w:eastAsia="TimesNewRomanPSMT"/>
          <w:sz w:val="18"/>
          <w:szCs w:val="18"/>
          <w:lang w:eastAsia="en-US"/>
        </w:rPr>
        <w:t> </w:t>
      </w:r>
      <w:r w:rsidRPr="008422C4">
        <w:rPr>
          <w:rFonts w:eastAsia="TimesNewRomanPSMT"/>
          <w:sz w:val="18"/>
          <w:szCs w:val="18"/>
          <w:lang w:eastAsia="en-US"/>
        </w:rPr>
        <w:t>kontrol</w:t>
      </w:r>
      <w:r w:rsidR="00833578">
        <w:rPr>
          <w:rFonts w:eastAsia="TimesNewRomanPSMT"/>
          <w:sz w:val="18"/>
          <w:szCs w:val="18"/>
          <w:lang w:eastAsia="en-US"/>
        </w:rPr>
        <w:t>nými skupinami</w:t>
      </w:r>
    </w:p>
    <w:p w14:paraId="5F7AB9EA" w14:textId="532E1AF5" w:rsidR="00D46E1F" w:rsidRPr="008422C4" w:rsidRDefault="00D46E1F" w:rsidP="00D46E1F">
      <w:pPr>
        <w:autoSpaceDE w:val="0"/>
        <w:autoSpaceDN w:val="0"/>
        <w:adjustRightInd w:val="0"/>
        <w:ind w:left="142" w:hanging="142"/>
        <w:rPr>
          <w:rFonts w:eastAsia="TimesNewRomanPSMT"/>
          <w:sz w:val="18"/>
          <w:szCs w:val="18"/>
          <w:lang w:eastAsia="en-US"/>
        </w:rPr>
      </w:pPr>
      <w:r w:rsidRPr="008422C4">
        <w:rPr>
          <w:rFonts w:eastAsia="TimesNewRomanPSMT"/>
          <w:sz w:val="18"/>
          <w:szCs w:val="18"/>
          <w:lang w:eastAsia="en-US"/>
        </w:rPr>
        <w:t>**Spinocelulárny karcinóm kože bol hlásený v klinických štúdiách u pacientov s novodiagnostikovaným mnohopočetným myelómom liečených lenalidomidom/dexametazónom v porovnaní s</w:t>
      </w:r>
      <w:r w:rsidR="00833578">
        <w:rPr>
          <w:rFonts w:eastAsia="TimesNewRomanPSMT"/>
          <w:sz w:val="18"/>
          <w:szCs w:val="18"/>
          <w:lang w:eastAsia="en-US"/>
        </w:rPr>
        <w:t> </w:t>
      </w:r>
      <w:r w:rsidRPr="008422C4">
        <w:rPr>
          <w:rFonts w:eastAsia="TimesNewRomanPSMT"/>
          <w:sz w:val="18"/>
          <w:szCs w:val="18"/>
          <w:lang w:eastAsia="en-US"/>
        </w:rPr>
        <w:t>kontrol</w:t>
      </w:r>
      <w:r w:rsidR="00833578">
        <w:rPr>
          <w:rFonts w:eastAsia="TimesNewRomanPSMT"/>
          <w:sz w:val="18"/>
          <w:szCs w:val="18"/>
          <w:lang w:eastAsia="en-US"/>
        </w:rPr>
        <w:t>nými skupinami</w:t>
      </w:r>
    </w:p>
    <w:p w14:paraId="023B240C" w14:textId="77777777" w:rsidR="00D46E1F" w:rsidRPr="008422C4" w:rsidRDefault="00D46E1F" w:rsidP="00D46E1F">
      <w:pPr>
        <w:autoSpaceDE w:val="0"/>
        <w:autoSpaceDN w:val="0"/>
        <w:adjustRightInd w:val="0"/>
        <w:ind w:left="0" w:firstLine="0"/>
        <w:rPr>
          <w:rFonts w:eastAsia="TimesNewRomanPSMT"/>
          <w:i/>
          <w:iCs/>
          <w:sz w:val="18"/>
          <w:szCs w:val="18"/>
          <w:lang w:eastAsia="en-US"/>
        </w:rPr>
      </w:pPr>
    </w:p>
    <w:p w14:paraId="31E29243" w14:textId="77777777" w:rsidR="00D46E1F" w:rsidRPr="008422C4" w:rsidRDefault="00D46E1F" w:rsidP="00D46E1F">
      <w:pPr>
        <w:autoSpaceDE w:val="0"/>
        <w:autoSpaceDN w:val="0"/>
        <w:adjustRightInd w:val="0"/>
        <w:ind w:left="0" w:firstLine="0"/>
        <w:rPr>
          <w:rFonts w:eastAsia="TimesNewRomanPSMT"/>
          <w:i/>
          <w:iCs/>
          <w:szCs w:val="22"/>
          <w:u w:val="single"/>
          <w:lang w:eastAsia="en-US"/>
        </w:rPr>
      </w:pPr>
      <w:r w:rsidRPr="008422C4">
        <w:rPr>
          <w:rFonts w:eastAsia="TimesNewRomanPSMT"/>
          <w:i/>
          <w:iCs/>
          <w:szCs w:val="22"/>
          <w:u w:val="single"/>
          <w:lang w:eastAsia="en-US"/>
        </w:rPr>
        <w:t>Tabuľkový prehľad pre monoterapiu</w:t>
      </w:r>
    </w:p>
    <w:p w14:paraId="5C11ED21" w14:textId="77777777" w:rsidR="00D46E1F" w:rsidRPr="008422C4" w:rsidRDefault="00D46E1F" w:rsidP="00D46E1F">
      <w:pPr>
        <w:autoSpaceDE w:val="0"/>
        <w:autoSpaceDN w:val="0"/>
        <w:adjustRightInd w:val="0"/>
        <w:ind w:left="0" w:firstLine="0"/>
        <w:rPr>
          <w:rFonts w:eastAsia="TimesNewRomanPSMT"/>
          <w:szCs w:val="22"/>
          <w:lang w:eastAsia="en-US"/>
        </w:rPr>
      </w:pPr>
      <w:r w:rsidRPr="008422C4">
        <w:rPr>
          <w:rFonts w:eastAsia="TimesNewRomanPSMT"/>
          <w:szCs w:val="22"/>
          <w:lang w:eastAsia="en-US"/>
        </w:rPr>
        <w:t>Nasledujúce tabuľky vychádzajú z údajov získaných počas hlavných štúdií v monoterapii myelodysplastického syndrómu a lymfómu z plášťových buniek.</w:t>
      </w:r>
    </w:p>
    <w:p w14:paraId="36C30532" w14:textId="77777777" w:rsidR="00D46E1F" w:rsidRPr="008422C4" w:rsidRDefault="00D46E1F" w:rsidP="00D46E1F">
      <w:pPr>
        <w:autoSpaceDE w:val="0"/>
        <w:autoSpaceDN w:val="0"/>
        <w:adjustRightInd w:val="0"/>
        <w:ind w:left="0" w:firstLine="0"/>
        <w:rPr>
          <w:rFonts w:eastAsia="TimesNewRomanPSMT"/>
          <w:szCs w:val="22"/>
          <w:lang w:eastAsia="en-US"/>
        </w:rPr>
      </w:pPr>
    </w:p>
    <w:p w14:paraId="72AB32D1" w14:textId="77777777" w:rsidR="00D75E2C" w:rsidRPr="008422C4" w:rsidRDefault="00D46E1F" w:rsidP="00D46E1F">
      <w:pPr>
        <w:autoSpaceDE w:val="0"/>
        <w:autoSpaceDN w:val="0"/>
        <w:adjustRightInd w:val="0"/>
        <w:ind w:left="0" w:firstLine="0"/>
        <w:rPr>
          <w:szCs w:val="22"/>
        </w:rPr>
      </w:pPr>
      <w:r w:rsidRPr="008422C4">
        <w:rPr>
          <w:rFonts w:eastAsia="TimesNewRomanPSMT"/>
          <w:b/>
          <w:bCs/>
          <w:szCs w:val="22"/>
          <w:lang w:eastAsia="en-US"/>
        </w:rPr>
        <w:t>Tabuľka 3. Nežiaduce reakcie zaznamenané v klinických štúdiách u pacientov s myelodysplastickým syndrómom liečených lenalidomidom#</w:t>
      </w:r>
    </w:p>
    <w:p w14:paraId="2CC96C18" w14:textId="77777777" w:rsidR="00D75E2C" w:rsidRPr="008422C4" w:rsidRDefault="00D75E2C" w:rsidP="00B31CB2">
      <w:pPr>
        <w:ind w:left="0" w:firstLine="0"/>
        <w:rPr>
          <w:szCs w:val="22"/>
        </w:rPr>
      </w:pPr>
    </w:p>
    <w:tbl>
      <w:tblPr>
        <w:tblW w:w="9000" w:type="dxa"/>
        <w:tblInd w:w="119" w:type="dxa"/>
        <w:tblLayout w:type="fixed"/>
        <w:tblCellMar>
          <w:left w:w="0" w:type="dxa"/>
          <w:right w:w="0" w:type="dxa"/>
        </w:tblCellMar>
        <w:tblLook w:val="0000" w:firstRow="0" w:lastRow="0" w:firstColumn="0" w:lastColumn="0" w:noHBand="0" w:noVBand="0"/>
      </w:tblPr>
      <w:tblGrid>
        <w:gridCol w:w="2340"/>
        <w:gridCol w:w="3240"/>
        <w:gridCol w:w="3420"/>
      </w:tblGrid>
      <w:tr w:rsidR="00D46E1F" w:rsidRPr="008422C4" w14:paraId="673C33E0" w14:textId="77777777" w:rsidTr="00CA7A4F">
        <w:trPr>
          <w:trHeight w:hRule="exact" w:val="768"/>
        </w:trPr>
        <w:tc>
          <w:tcPr>
            <w:tcW w:w="2340" w:type="dxa"/>
            <w:tcBorders>
              <w:top w:val="single" w:sz="4" w:space="0" w:color="000000"/>
              <w:left w:val="single" w:sz="4" w:space="0" w:color="000000"/>
              <w:bottom w:val="single" w:sz="3" w:space="0" w:color="000000"/>
              <w:right w:val="single" w:sz="4" w:space="0" w:color="000000"/>
            </w:tcBorders>
          </w:tcPr>
          <w:p w14:paraId="4644AB69" w14:textId="77777777" w:rsidR="00D46E1F" w:rsidRPr="008422C4" w:rsidRDefault="00D46E1F">
            <w:pPr>
              <w:pStyle w:val="TableParagraph"/>
              <w:kinsoku w:val="0"/>
              <w:overflowPunct w:val="0"/>
              <w:ind w:right="215"/>
              <w:rPr>
                <w:sz w:val="22"/>
                <w:szCs w:val="22"/>
                <w:lang w:val="sk-SK"/>
              </w:rPr>
            </w:pPr>
            <w:r w:rsidRPr="008422C4">
              <w:rPr>
                <w:b/>
                <w:bCs/>
                <w:sz w:val="22"/>
                <w:szCs w:val="22"/>
                <w:lang w:val="sk-SK"/>
              </w:rPr>
              <w:t>Trieda orgánových systémov/Prednostný názov</w:t>
            </w:r>
          </w:p>
        </w:tc>
        <w:tc>
          <w:tcPr>
            <w:tcW w:w="3240" w:type="dxa"/>
            <w:tcBorders>
              <w:top w:val="single" w:sz="4" w:space="0" w:color="000000"/>
              <w:left w:val="single" w:sz="4" w:space="0" w:color="000000"/>
              <w:bottom w:val="single" w:sz="3" w:space="0" w:color="000000"/>
              <w:right w:val="single" w:sz="4" w:space="0" w:color="000000"/>
            </w:tcBorders>
          </w:tcPr>
          <w:p w14:paraId="5370BB0D" w14:textId="77777777" w:rsidR="00D46E1F" w:rsidRPr="008422C4" w:rsidRDefault="00D46E1F">
            <w:pPr>
              <w:pStyle w:val="TableParagraph"/>
              <w:kinsoku w:val="0"/>
              <w:overflowPunct w:val="0"/>
              <w:ind w:right="1311"/>
              <w:rPr>
                <w:sz w:val="22"/>
                <w:szCs w:val="22"/>
                <w:lang w:val="sk-SK"/>
              </w:rPr>
            </w:pPr>
            <w:r w:rsidRPr="008422C4">
              <w:rPr>
                <w:b/>
                <w:bCs/>
                <w:sz w:val="22"/>
                <w:szCs w:val="22"/>
                <w:lang w:val="sk-SK"/>
              </w:rPr>
              <w:t>Všetky nežiaduce reakcie/Frekvencia</w:t>
            </w:r>
          </w:p>
        </w:tc>
        <w:tc>
          <w:tcPr>
            <w:tcW w:w="3420" w:type="dxa"/>
            <w:tcBorders>
              <w:top w:val="single" w:sz="4" w:space="0" w:color="000000"/>
              <w:left w:val="single" w:sz="4" w:space="0" w:color="000000"/>
              <w:bottom w:val="single" w:sz="3" w:space="0" w:color="000000"/>
              <w:right w:val="single" w:sz="4" w:space="0" w:color="000000"/>
            </w:tcBorders>
          </w:tcPr>
          <w:p w14:paraId="26C4CEBF" w14:textId="77777777" w:rsidR="00D46E1F" w:rsidRPr="008422C4" w:rsidRDefault="00D46E1F">
            <w:pPr>
              <w:pStyle w:val="TableParagraph"/>
              <w:kinsoku w:val="0"/>
              <w:overflowPunct w:val="0"/>
              <w:ind w:right="1017"/>
              <w:rPr>
                <w:sz w:val="22"/>
                <w:szCs w:val="22"/>
                <w:lang w:val="sk-SK"/>
              </w:rPr>
            </w:pPr>
            <w:r w:rsidRPr="008422C4">
              <w:rPr>
                <w:b/>
                <w:bCs/>
                <w:sz w:val="22"/>
                <w:szCs w:val="22"/>
                <w:lang w:val="sk-SK"/>
              </w:rPr>
              <w:t>Nežiaduce reakcie 3.− 4. stupňa/Frekvencia</w:t>
            </w:r>
          </w:p>
        </w:tc>
      </w:tr>
      <w:tr w:rsidR="00D46E1F" w:rsidRPr="008422C4" w14:paraId="4A9D2D61" w14:textId="77777777" w:rsidTr="00D6163D">
        <w:trPr>
          <w:trHeight w:hRule="exact" w:val="1829"/>
        </w:trPr>
        <w:tc>
          <w:tcPr>
            <w:tcW w:w="2340" w:type="dxa"/>
            <w:tcBorders>
              <w:top w:val="single" w:sz="3" w:space="0" w:color="000000"/>
              <w:left w:val="single" w:sz="4" w:space="0" w:color="000000"/>
              <w:bottom w:val="single" w:sz="4" w:space="0" w:color="000000"/>
              <w:right w:val="single" w:sz="4" w:space="0" w:color="000000"/>
            </w:tcBorders>
          </w:tcPr>
          <w:p w14:paraId="0B9F04F3" w14:textId="77777777" w:rsidR="00D46E1F" w:rsidRPr="008422C4" w:rsidRDefault="00D46E1F">
            <w:pPr>
              <w:pStyle w:val="TableParagraph"/>
              <w:kinsoku w:val="0"/>
              <w:overflowPunct w:val="0"/>
              <w:spacing w:before="1"/>
              <w:rPr>
                <w:sz w:val="22"/>
                <w:szCs w:val="22"/>
                <w:lang w:val="sk-SK"/>
              </w:rPr>
            </w:pPr>
            <w:r w:rsidRPr="008422C4">
              <w:rPr>
                <w:b/>
                <w:bCs/>
                <w:sz w:val="22"/>
                <w:szCs w:val="22"/>
                <w:lang w:val="sk-SK"/>
              </w:rPr>
              <w:t>Infekcie a nákazy</w:t>
            </w:r>
          </w:p>
        </w:tc>
        <w:tc>
          <w:tcPr>
            <w:tcW w:w="3240" w:type="dxa"/>
            <w:tcBorders>
              <w:top w:val="single" w:sz="3" w:space="0" w:color="000000"/>
              <w:left w:val="single" w:sz="4" w:space="0" w:color="000000"/>
              <w:bottom w:val="single" w:sz="4" w:space="0" w:color="000000"/>
              <w:right w:val="single" w:sz="4" w:space="0" w:color="000000"/>
            </w:tcBorders>
          </w:tcPr>
          <w:p w14:paraId="6E8D9951" w14:textId="77777777" w:rsidR="00D46E1F" w:rsidRPr="008422C4" w:rsidRDefault="00D46E1F">
            <w:pPr>
              <w:pStyle w:val="TableParagraph"/>
              <w:kinsoku w:val="0"/>
              <w:overflowPunct w:val="0"/>
              <w:spacing w:before="1" w:line="253" w:lineRule="exact"/>
              <w:rPr>
                <w:sz w:val="22"/>
                <w:szCs w:val="22"/>
                <w:lang w:val="sk-SK"/>
              </w:rPr>
            </w:pPr>
            <w:r w:rsidRPr="008422C4">
              <w:rPr>
                <w:sz w:val="22"/>
                <w:szCs w:val="22"/>
                <w:u w:val="single"/>
                <w:lang w:val="sk-SK"/>
              </w:rPr>
              <w:t>Veľmi časté</w:t>
            </w:r>
          </w:p>
          <w:p w14:paraId="493FBDB9" w14:textId="77777777" w:rsidR="00D46E1F" w:rsidRPr="008422C4" w:rsidRDefault="00D46E1F">
            <w:pPr>
              <w:pStyle w:val="TableParagraph"/>
              <w:kinsoku w:val="0"/>
              <w:overflowPunct w:val="0"/>
              <w:spacing w:before="5" w:line="232" w:lineRule="auto"/>
              <w:ind w:right="89"/>
              <w:rPr>
                <w:sz w:val="22"/>
                <w:szCs w:val="22"/>
                <w:lang w:val="sk-SK"/>
              </w:rPr>
            </w:pPr>
            <w:r w:rsidRPr="008422C4">
              <w:rPr>
                <w:sz w:val="22"/>
                <w:szCs w:val="22"/>
                <w:lang w:val="sk-SK"/>
              </w:rPr>
              <w:t>Bakteriálne, vírusové a mykotické infekcie (vrátane oportúnnych infekcií)</w:t>
            </w:r>
            <w:r w:rsidRPr="008422C4">
              <w:rPr>
                <w:position w:val="9"/>
                <w:sz w:val="22"/>
                <w:szCs w:val="22"/>
                <w:lang w:val="sk-SK"/>
              </w:rPr>
              <w:t>◊</w:t>
            </w:r>
          </w:p>
        </w:tc>
        <w:tc>
          <w:tcPr>
            <w:tcW w:w="3420" w:type="dxa"/>
            <w:tcBorders>
              <w:top w:val="single" w:sz="3" w:space="0" w:color="000000"/>
              <w:left w:val="single" w:sz="4" w:space="0" w:color="000000"/>
              <w:bottom w:val="single" w:sz="4" w:space="0" w:color="000000"/>
              <w:right w:val="single" w:sz="4" w:space="0" w:color="000000"/>
            </w:tcBorders>
          </w:tcPr>
          <w:p w14:paraId="2D5E4171" w14:textId="77777777" w:rsidR="00D46E1F" w:rsidRPr="008422C4" w:rsidRDefault="00D46E1F" w:rsidP="00D6163D">
            <w:pPr>
              <w:pStyle w:val="TableParagraph"/>
              <w:kinsoku w:val="0"/>
              <w:overflowPunct w:val="0"/>
              <w:spacing w:before="1" w:line="250" w:lineRule="exact"/>
              <w:rPr>
                <w:sz w:val="22"/>
                <w:szCs w:val="22"/>
                <w:lang w:val="sk-SK"/>
              </w:rPr>
            </w:pPr>
            <w:r w:rsidRPr="008422C4">
              <w:rPr>
                <w:sz w:val="22"/>
                <w:szCs w:val="22"/>
                <w:u w:val="single"/>
                <w:lang w:val="sk-SK"/>
              </w:rPr>
              <w:t>Veľmi časté</w:t>
            </w:r>
          </w:p>
          <w:p w14:paraId="140160B9" w14:textId="77777777" w:rsidR="00D46E1F" w:rsidRPr="008422C4" w:rsidRDefault="00D46E1F" w:rsidP="00D6163D">
            <w:pPr>
              <w:pStyle w:val="TableParagraph"/>
              <w:kinsoku w:val="0"/>
              <w:overflowPunct w:val="0"/>
              <w:spacing w:line="255" w:lineRule="exact"/>
              <w:rPr>
                <w:position w:val="8"/>
                <w:sz w:val="22"/>
                <w:szCs w:val="22"/>
                <w:lang w:val="sk-SK"/>
              </w:rPr>
            </w:pPr>
            <w:r w:rsidRPr="008422C4">
              <w:rPr>
                <w:sz w:val="22"/>
                <w:szCs w:val="22"/>
                <w:lang w:val="sk-SK"/>
              </w:rPr>
              <w:t>Pneumónia</w:t>
            </w:r>
            <w:r w:rsidRPr="008422C4">
              <w:rPr>
                <w:position w:val="8"/>
                <w:sz w:val="22"/>
                <w:szCs w:val="22"/>
                <w:lang w:val="sk-SK"/>
              </w:rPr>
              <w:t>◊</w:t>
            </w:r>
          </w:p>
          <w:p w14:paraId="13E8566D" w14:textId="77777777" w:rsidR="00D46E1F" w:rsidRPr="008422C4" w:rsidRDefault="00D46E1F">
            <w:pPr>
              <w:pStyle w:val="TableParagraph"/>
              <w:kinsoku w:val="0"/>
              <w:overflowPunct w:val="0"/>
              <w:spacing w:before="10"/>
              <w:rPr>
                <w:sz w:val="22"/>
                <w:szCs w:val="22"/>
                <w:lang w:val="sk-SK"/>
              </w:rPr>
            </w:pPr>
          </w:p>
          <w:p w14:paraId="5348566F" w14:textId="77777777" w:rsidR="00D46E1F" w:rsidRPr="008422C4" w:rsidRDefault="00D46E1F">
            <w:pPr>
              <w:pStyle w:val="TableParagraph"/>
              <w:kinsoku w:val="0"/>
              <w:overflowPunct w:val="0"/>
              <w:rPr>
                <w:sz w:val="22"/>
                <w:szCs w:val="22"/>
                <w:lang w:val="sk-SK"/>
              </w:rPr>
            </w:pPr>
            <w:r w:rsidRPr="008422C4">
              <w:rPr>
                <w:sz w:val="22"/>
                <w:szCs w:val="22"/>
                <w:u w:val="single"/>
                <w:lang w:val="sk-SK"/>
              </w:rPr>
              <w:t>Časté</w:t>
            </w:r>
          </w:p>
          <w:p w14:paraId="1928BB11" w14:textId="77777777" w:rsidR="00D46E1F" w:rsidRPr="008422C4" w:rsidRDefault="00D46E1F">
            <w:pPr>
              <w:pStyle w:val="TableParagraph"/>
              <w:kinsoku w:val="0"/>
              <w:overflowPunct w:val="0"/>
              <w:spacing w:before="7" w:line="232" w:lineRule="auto"/>
              <w:ind w:right="269"/>
              <w:rPr>
                <w:sz w:val="22"/>
                <w:szCs w:val="22"/>
                <w:lang w:val="sk-SK"/>
              </w:rPr>
            </w:pPr>
            <w:r w:rsidRPr="008422C4">
              <w:rPr>
                <w:sz w:val="22"/>
                <w:szCs w:val="22"/>
                <w:lang w:val="sk-SK"/>
              </w:rPr>
              <w:t>Bakteriálne, vírusové a mykotické infekcie (vrátane oportúnnych infekcií)</w:t>
            </w:r>
            <w:r w:rsidRPr="008422C4">
              <w:rPr>
                <w:position w:val="9"/>
                <w:sz w:val="22"/>
                <w:szCs w:val="22"/>
                <w:lang w:val="sk-SK"/>
              </w:rPr>
              <w:t>◊</w:t>
            </w:r>
            <w:r w:rsidRPr="008422C4">
              <w:rPr>
                <w:sz w:val="22"/>
                <w:szCs w:val="22"/>
                <w:lang w:val="sk-SK"/>
              </w:rPr>
              <w:t>, bronchitída</w:t>
            </w:r>
          </w:p>
        </w:tc>
      </w:tr>
      <w:tr w:rsidR="00D46E1F" w:rsidRPr="003A5C41" w14:paraId="4F7683EE" w14:textId="77777777" w:rsidTr="00D6163D">
        <w:trPr>
          <w:trHeight w:hRule="exact" w:val="525"/>
        </w:trPr>
        <w:tc>
          <w:tcPr>
            <w:tcW w:w="2340" w:type="dxa"/>
            <w:tcBorders>
              <w:top w:val="single" w:sz="4" w:space="0" w:color="000000"/>
              <w:left w:val="single" w:sz="4" w:space="0" w:color="000000"/>
              <w:bottom w:val="none" w:sz="6" w:space="0" w:color="auto"/>
              <w:right w:val="single" w:sz="4" w:space="0" w:color="000000"/>
            </w:tcBorders>
          </w:tcPr>
          <w:p w14:paraId="0AE2B08B" w14:textId="77777777" w:rsidR="00D46E1F" w:rsidRPr="008422C4" w:rsidRDefault="00D46E1F">
            <w:pPr>
              <w:pStyle w:val="TableParagraph"/>
              <w:kinsoku w:val="0"/>
              <w:overflowPunct w:val="0"/>
              <w:ind w:right="172"/>
              <w:rPr>
                <w:sz w:val="22"/>
                <w:szCs w:val="22"/>
                <w:lang w:val="sk-SK"/>
              </w:rPr>
            </w:pPr>
            <w:r w:rsidRPr="008422C4">
              <w:rPr>
                <w:b/>
                <w:bCs/>
                <w:sz w:val="22"/>
                <w:szCs w:val="22"/>
                <w:lang w:val="sk-SK"/>
              </w:rPr>
              <w:t>Poruchy krvi a lymfatického systému</w:t>
            </w:r>
          </w:p>
        </w:tc>
        <w:tc>
          <w:tcPr>
            <w:tcW w:w="3240" w:type="dxa"/>
            <w:tcBorders>
              <w:top w:val="single" w:sz="4" w:space="0" w:color="000000"/>
              <w:left w:val="single" w:sz="4" w:space="0" w:color="000000"/>
              <w:bottom w:val="none" w:sz="6" w:space="0" w:color="auto"/>
              <w:right w:val="single" w:sz="4" w:space="0" w:color="000000"/>
            </w:tcBorders>
          </w:tcPr>
          <w:p w14:paraId="359B70DB" w14:textId="77777777" w:rsidR="00D46E1F" w:rsidRPr="008422C4" w:rsidRDefault="00D46E1F" w:rsidP="00D6163D">
            <w:pPr>
              <w:pStyle w:val="TableParagraph"/>
              <w:kinsoku w:val="0"/>
              <w:overflowPunct w:val="0"/>
              <w:spacing w:line="244" w:lineRule="exact"/>
              <w:rPr>
                <w:sz w:val="22"/>
                <w:szCs w:val="22"/>
                <w:lang w:val="sk-SK"/>
              </w:rPr>
            </w:pPr>
            <w:r w:rsidRPr="008422C4">
              <w:rPr>
                <w:sz w:val="22"/>
                <w:szCs w:val="22"/>
                <w:u w:val="single"/>
                <w:lang w:val="sk-SK"/>
              </w:rPr>
              <w:t>Veľmi časté</w:t>
            </w:r>
          </w:p>
          <w:p w14:paraId="2745496B" w14:textId="77777777" w:rsidR="00D46E1F" w:rsidRPr="008422C4" w:rsidRDefault="00D46E1F" w:rsidP="00D6163D">
            <w:pPr>
              <w:pStyle w:val="TableParagraph"/>
              <w:kinsoku w:val="0"/>
              <w:overflowPunct w:val="0"/>
              <w:spacing w:line="279" w:lineRule="exact"/>
              <w:rPr>
                <w:sz w:val="22"/>
                <w:szCs w:val="22"/>
                <w:lang w:val="sk-SK"/>
              </w:rPr>
            </w:pPr>
            <w:r w:rsidRPr="008422C4">
              <w:rPr>
                <w:sz w:val="22"/>
                <w:szCs w:val="22"/>
                <w:lang w:val="sk-SK"/>
              </w:rPr>
              <w:t>Trombocytopénia^</w:t>
            </w:r>
            <w:r w:rsidRPr="008422C4">
              <w:rPr>
                <w:position w:val="9"/>
                <w:sz w:val="22"/>
                <w:szCs w:val="22"/>
                <w:lang w:val="sk-SK"/>
              </w:rPr>
              <w:t>,◊</w:t>
            </w:r>
            <w:r w:rsidRPr="008422C4">
              <w:rPr>
                <w:sz w:val="22"/>
                <w:szCs w:val="22"/>
                <w:lang w:val="sk-SK"/>
              </w:rPr>
              <w:t>,</w:t>
            </w:r>
          </w:p>
        </w:tc>
        <w:tc>
          <w:tcPr>
            <w:tcW w:w="3420" w:type="dxa"/>
            <w:tcBorders>
              <w:top w:val="single" w:sz="4" w:space="0" w:color="000000"/>
              <w:left w:val="single" w:sz="4" w:space="0" w:color="000000"/>
              <w:bottom w:val="none" w:sz="6" w:space="0" w:color="auto"/>
              <w:right w:val="single" w:sz="4" w:space="0" w:color="000000"/>
            </w:tcBorders>
          </w:tcPr>
          <w:p w14:paraId="281E48C4" w14:textId="77777777" w:rsidR="00D46E1F" w:rsidRPr="008422C4" w:rsidRDefault="00D46E1F" w:rsidP="00D6163D">
            <w:pPr>
              <w:pStyle w:val="TableParagraph"/>
              <w:kinsoku w:val="0"/>
              <w:overflowPunct w:val="0"/>
              <w:spacing w:line="244" w:lineRule="exact"/>
              <w:rPr>
                <w:sz w:val="22"/>
                <w:szCs w:val="22"/>
                <w:lang w:val="sk-SK"/>
              </w:rPr>
            </w:pPr>
            <w:r w:rsidRPr="008422C4">
              <w:rPr>
                <w:sz w:val="22"/>
                <w:szCs w:val="22"/>
                <w:u w:val="single"/>
                <w:lang w:val="sk-SK"/>
              </w:rPr>
              <w:t>Veľmi časté</w:t>
            </w:r>
          </w:p>
          <w:p w14:paraId="2CDA5834" w14:textId="77777777" w:rsidR="00D46E1F" w:rsidRPr="008422C4" w:rsidRDefault="00D46E1F" w:rsidP="00D6163D">
            <w:pPr>
              <w:pStyle w:val="TableParagraph"/>
              <w:kinsoku w:val="0"/>
              <w:overflowPunct w:val="0"/>
              <w:spacing w:line="279" w:lineRule="exact"/>
              <w:rPr>
                <w:sz w:val="22"/>
                <w:szCs w:val="22"/>
                <w:lang w:val="sk-SK"/>
              </w:rPr>
            </w:pPr>
            <w:r w:rsidRPr="008422C4">
              <w:rPr>
                <w:sz w:val="22"/>
                <w:szCs w:val="22"/>
                <w:lang w:val="sk-SK"/>
              </w:rPr>
              <w:t>Trombocytopénia^</w:t>
            </w:r>
            <w:r w:rsidRPr="008422C4">
              <w:rPr>
                <w:position w:val="9"/>
                <w:sz w:val="22"/>
                <w:szCs w:val="22"/>
                <w:lang w:val="sk-SK"/>
              </w:rPr>
              <w:t>,◊</w:t>
            </w:r>
            <w:r w:rsidRPr="008422C4">
              <w:rPr>
                <w:sz w:val="22"/>
                <w:szCs w:val="22"/>
                <w:lang w:val="sk-SK"/>
              </w:rPr>
              <w:t>,</w:t>
            </w:r>
          </w:p>
        </w:tc>
      </w:tr>
      <w:tr w:rsidR="00D46E1F" w:rsidRPr="003A5C41" w14:paraId="2423093B" w14:textId="77777777" w:rsidTr="00CA7A4F">
        <w:trPr>
          <w:trHeight w:hRule="exact" w:val="423"/>
        </w:trPr>
        <w:tc>
          <w:tcPr>
            <w:tcW w:w="2340" w:type="dxa"/>
            <w:tcBorders>
              <w:top w:val="none" w:sz="6" w:space="0" w:color="auto"/>
              <w:left w:val="single" w:sz="4" w:space="0" w:color="000000"/>
              <w:bottom w:val="none" w:sz="6" w:space="0" w:color="auto"/>
              <w:right w:val="single" w:sz="4" w:space="0" w:color="000000"/>
            </w:tcBorders>
          </w:tcPr>
          <w:p w14:paraId="10B00E6A" w14:textId="77777777" w:rsidR="00D46E1F" w:rsidRPr="008422C4" w:rsidRDefault="00D46E1F">
            <w:pPr>
              <w:rPr>
                <w:szCs w:val="22"/>
              </w:rPr>
            </w:pPr>
          </w:p>
        </w:tc>
        <w:tc>
          <w:tcPr>
            <w:tcW w:w="3240" w:type="dxa"/>
            <w:tcBorders>
              <w:top w:val="none" w:sz="6" w:space="0" w:color="auto"/>
              <w:left w:val="single" w:sz="4" w:space="0" w:color="000000"/>
              <w:bottom w:val="none" w:sz="6" w:space="0" w:color="auto"/>
              <w:right w:val="single" w:sz="4" w:space="0" w:color="000000"/>
            </w:tcBorders>
          </w:tcPr>
          <w:p w14:paraId="4D25C0E3" w14:textId="77777777" w:rsidR="00D46E1F" w:rsidRPr="008422C4" w:rsidRDefault="00D46E1F" w:rsidP="00D6163D">
            <w:pPr>
              <w:pStyle w:val="TableParagraph"/>
              <w:kinsoku w:val="0"/>
              <w:overflowPunct w:val="0"/>
              <w:spacing w:line="279" w:lineRule="exact"/>
              <w:rPr>
                <w:sz w:val="22"/>
                <w:szCs w:val="22"/>
                <w:lang w:val="sk-SK"/>
              </w:rPr>
            </w:pPr>
            <w:r w:rsidRPr="008422C4">
              <w:rPr>
                <w:sz w:val="22"/>
                <w:szCs w:val="22"/>
                <w:lang w:val="sk-SK"/>
              </w:rPr>
              <w:t>neutropénia^</w:t>
            </w:r>
            <w:r w:rsidRPr="008422C4">
              <w:rPr>
                <w:position w:val="9"/>
                <w:sz w:val="22"/>
                <w:szCs w:val="22"/>
                <w:lang w:val="sk-SK"/>
              </w:rPr>
              <w:t>,◊</w:t>
            </w:r>
            <w:r w:rsidRPr="008422C4">
              <w:rPr>
                <w:sz w:val="22"/>
                <w:szCs w:val="22"/>
                <w:lang w:val="sk-SK"/>
              </w:rPr>
              <w:t>, leukopénie</w:t>
            </w:r>
          </w:p>
        </w:tc>
        <w:tc>
          <w:tcPr>
            <w:tcW w:w="3420" w:type="dxa"/>
            <w:tcBorders>
              <w:top w:val="none" w:sz="6" w:space="0" w:color="auto"/>
              <w:left w:val="single" w:sz="4" w:space="0" w:color="000000"/>
              <w:bottom w:val="none" w:sz="6" w:space="0" w:color="auto"/>
              <w:right w:val="single" w:sz="4" w:space="0" w:color="000000"/>
            </w:tcBorders>
          </w:tcPr>
          <w:p w14:paraId="3C65B023" w14:textId="77777777" w:rsidR="00D46E1F" w:rsidRPr="008422C4" w:rsidRDefault="00D46E1F" w:rsidP="00D6163D">
            <w:pPr>
              <w:pStyle w:val="TableParagraph"/>
              <w:kinsoku w:val="0"/>
              <w:overflowPunct w:val="0"/>
              <w:spacing w:line="279" w:lineRule="exact"/>
              <w:rPr>
                <w:sz w:val="22"/>
                <w:szCs w:val="22"/>
                <w:lang w:val="sk-SK"/>
              </w:rPr>
            </w:pPr>
            <w:r w:rsidRPr="008422C4">
              <w:rPr>
                <w:sz w:val="22"/>
                <w:szCs w:val="22"/>
                <w:lang w:val="sk-SK"/>
              </w:rPr>
              <w:t>neutropénia^</w:t>
            </w:r>
            <w:r w:rsidRPr="008422C4">
              <w:rPr>
                <w:position w:val="9"/>
                <w:sz w:val="22"/>
                <w:szCs w:val="22"/>
                <w:lang w:val="sk-SK"/>
              </w:rPr>
              <w:t>,◊</w:t>
            </w:r>
            <w:r w:rsidRPr="008422C4">
              <w:rPr>
                <w:sz w:val="22"/>
                <w:szCs w:val="22"/>
                <w:lang w:val="sk-SK"/>
              </w:rPr>
              <w:t>, leukopénie</w:t>
            </w:r>
          </w:p>
        </w:tc>
      </w:tr>
      <w:tr w:rsidR="00D46E1F" w:rsidRPr="003A5C41" w14:paraId="1DCCBEB1" w14:textId="77777777" w:rsidTr="00CA7A4F">
        <w:trPr>
          <w:trHeight w:hRule="exact" w:val="384"/>
        </w:trPr>
        <w:tc>
          <w:tcPr>
            <w:tcW w:w="2340" w:type="dxa"/>
            <w:tcBorders>
              <w:top w:val="none" w:sz="6" w:space="0" w:color="auto"/>
              <w:left w:val="single" w:sz="4" w:space="0" w:color="000000"/>
              <w:bottom w:val="none" w:sz="6" w:space="0" w:color="auto"/>
              <w:right w:val="single" w:sz="4" w:space="0" w:color="000000"/>
            </w:tcBorders>
          </w:tcPr>
          <w:p w14:paraId="6F25E017" w14:textId="77777777" w:rsidR="00D46E1F" w:rsidRPr="008422C4" w:rsidRDefault="00D46E1F">
            <w:pPr>
              <w:rPr>
                <w:szCs w:val="22"/>
              </w:rPr>
            </w:pPr>
          </w:p>
        </w:tc>
        <w:tc>
          <w:tcPr>
            <w:tcW w:w="3240" w:type="dxa"/>
            <w:tcBorders>
              <w:top w:val="none" w:sz="6" w:space="0" w:color="auto"/>
              <w:left w:val="single" w:sz="4" w:space="0" w:color="000000"/>
              <w:bottom w:val="none" w:sz="6" w:space="0" w:color="auto"/>
              <w:right w:val="single" w:sz="4" w:space="0" w:color="000000"/>
            </w:tcBorders>
          </w:tcPr>
          <w:p w14:paraId="1B12D362" w14:textId="77777777" w:rsidR="00D46E1F" w:rsidRPr="008422C4" w:rsidRDefault="00D46E1F" w:rsidP="00CC7E5E">
            <w:pPr>
              <w:rPr>
                <w:szCs w:val="22"/>
              </w:rPr>
            </w:pPr>
          </w:p>
        </w:tc>
        <w:tc>
          <w:tcPr>
            <w:tcW w:w="3420" w:type="dxa"/>
            <w:tcBorders>
              <w:top w:val="none" w:sz="6" w:space="0" w:color="auto"/>
              <w:left w:val="single" w:sz="4" w:space="0" w:color="000000"/>
              <w:bottom w:val="none" w:sz="6" w:space="0" w:color="auto"/>
              <w:right w:val="single" w:sz="4" w:space="0" w:color="000000"/>
            </w:tcBorders>
          </w:tcPr>
          <w:p w14:paraId="3C442859" w14:textId="77777777" w:rsidR="00D46E1F" w:rsidRPr="008422C4" w:rsidRDefault="00D46E1F" w:rsidP="00CC7E5E">
            <w:pPr>
              <w:pStyle w:val="TableParagraph"/>
              <w:kinsoku w:val="0"/>
              <w:overflowPunct w:val="0"/>
              <w:spacing w:before="135"/>
              <w:rPr>
                <w:sz w:val="22"/>
                <w:szCs w:val="22"/>
                <w:lang w:val="sk-SK"/>
              </w:rPr>
            </w:pPr>
            <w:r w:rsidRPr="008422C4">
              <w:rPr>
                <w:sz w:val="22"/>
                <w:szCs w:val="22"/>
                <w:u w:val="single"/>
                <w:lang w:val="sk-SK"/>
              </w:rPr>
              <w:t>Časté</w:t>
            </w:r>
          </w:p>
        </w:tc>
      </w:tr>
      <w:tr w:rsidR="00D46E1F" w:rsidRPr="003A5C41" w14:paraId="4EB98FB9" w14:textId="77777777" w:rsidTr="00D6163D">
        <w:trPr>
          <w:trHeight w:hRule="exact" w:val="288"/>
        </w:trPr>
        <w:tc>
          <w:tcPr>
            <w:tcW w:w="2340" w:type="dxa"/>
            <w:tcBorders>
              <w:top w:val="none" w:sz="6" w:space="0" w:color="auto"/>
              <w:left w:val="single" w:sz="4" w:space="0" w:color="000000"/>
              <w:bottom w:val="single" w:sz="4" w:space="0" w:color="000000"/>
              <w:right w:val="single" w:sz="4" w:space="0" w:color="000000"/>
            </w:tcBorders>
          </w:tcPr>
          <w:p w14:paraId="52BC5667" w14:textId="77777777" w:rsidR="00D46E1F" w:rsidRPr="008422C4" w:rsidRDefault="00D46E1F">
            <w:pPr>
              <w:rPr>
                <w:szCs w:val="22"/>
              </w:rPr>
            </w:pPr>
          </w:p>
        </w:tc>
        <w:tc>
          <w:tcPr>
            <w:tcW w:w="3240" w:type="dxa"/>
            <w:tcBorders>
              <w:top w:val="none" w:sz="6" w:space="0" w:color="auto"/>
              <w:left w:val="single" w:sz="4" w:space="0" w:color="000000"/>
              <w:bottom w:val="single" w:sz="4" w:space="0" w:color="000000"/>
              <w:right w:val="single" w:sz="4" w:space="0" w:color="000000"/>
            </w:tcBorders>
          </w:tcPr>
          <w:p w14:paraId="1E4B9FE9" w14:textId="77777777" w:rsidR="00D46E1F" w:rsidRPr="008422C4" w:rsidRDefault="00D46E1F" w:rsidP="00CC7E5E">
            <w:pPr>
              <w:rPr>
                <w:szCs w:val="22"/>
              </w:rPr>
            </w:pPr>
          </w:p>
        </w:tc>
        <w:tc>
          <w:tcPr>
            <w:tcW w:w="3420" w:type="dxa"/>
            <w:tcBorders>
              <w:top w:val="none" w:sz="6" w:space="0" w:color="auto"/>
              <w:left w:val="single" w:sz="4" w:space="0" w:color="000000"/>
              <w:bottom w:val="single" w:sz="4" w:space="0" w:color="000000"/>
              <w:right w:val="single" w:sz="4" w:space="0" w:color="000000"/>
            </w:tcBorders>
          </w:tcPr>
          <w:p w14:paraId="56427619" w14:textId="77777777" w:rsidR="00D46E1F" w:rsidRPr="008422C4" w:rsidRDefault="00D46E1F" w:rsidP="00D6163D">
            <w:pPr>
              <w:pStyle w:val="TableParagraph"/>
              <w:kinsoku w:val="0"/>
              <w:overflowPunct w:val="0"/>
              <w:spacing w:line="278" w:lineRule="exact"/>
              <w:rPr>
                <w:sz w:val="22"/>
                <w:szCs w:val="22"/>
                <w:lang w:val="sk-SK"/>
              </w:rPr>
            </w:pPr>
            <w:r w:rsidRPr="008422C4">
              <w:rPr>
                <w:sz w:val="22"/>
                <w:szCs w:val="22"/>
                <w:lang w:val="sk-SK"/>
              </w:rPr>
              <w:t>Febrilná neutropénia^</w:t>
            </w:r>
            <w:r w:rsidRPr="008422C4">
              <w:rPr>
                <w:position w:val="9"/>
                <w:sz w:val="22"/>
                <w:szCs w:val="22"/>
                <w:lang w:val="sk-SK"/>
              </w:rPr>
              <w:t>,◊</w:t>
            </w:r>
          </w:p>
        </w:tc>
      </w:tr>
      <w:tr w:rsidR="00D46E1F" w:rsidRPr="003A5C41" w14:paraId="4F07BF64" w14:textId="77777777" w:rsidTr="00CA7A4F">
        <w:trPr>
          <w:trHeight w:hRule="exact" w:val="516"/>
        </w:trPr>
        <w:tc>
          <w:tcPr>
            <w:tcW w:w="2340" w:type="dxa"/>
            <w:tcBorders>
              <w:top w:val="single" w:sz="4" w:space="0" w:color="000000"/>
              <w:left w:val="single" w:sz="4" w:space="0" w:color="000000"/>
              <w:bottom w:val="single" w:sz="4" w:space="0" w:color="000000"/>
              <w:right w:val="single" w:sz="4" w:space="0" w:color="000000"/>
            </w:tcBorders>
          </w:tcPr>
          <w:p w14:paraId="3FCB829A" w14:textId="77777777" w:rsidR="00D46E1F" w:rsidRPr="008422C4" w:rsidRDefault="00D46E1F">
            <w:pPr>
              <w:pStyle w:val="TableParagraph"/>
              <w:kinsoku w:val="0"/>
              <w:overflowPunct w:val="0"/>
              <w:ind w:right="100"/>
              <w:rPr>
                <w:sz w:val="22"/>
                <w:szCs w:val="22"/>
                <w:lang w:val="sk-SK"/>
              </w:rPr>
            </w:pPr>
            <w:r w:rsidRPr="008422C4">
              <w:rPr>
                <w:b/>
                <w:bCs/>
                <w:sz w:val="22"/>
                <w:szCs w:val="22"/>
                <w:lang w:val="sk-SK"/>
              </w:rPr>
              <w:t>Poruchy endokrinného</w:t>
            </w:r>
            <w:r w:rsidRPr="008422C4">
              <w:rPr>
                <w:b/>
                <w:bCs/>
                <w:spacing w:val="-3"/>
                <w:sz w:val="22"/>
                <w:szCs w:val="22"/>
                <w:lang w:val="sk-SK"/>
              </w:rPr>
              <w:t xml:space="preserve"> </w:t>
            </w:r>
            <w:r w:rsidRPr="008422C4">
              <w:rPr>
                <w:b/>
                <w:bCs/>
                <w:sz w:val="22"/>
                <w:szCs w:val="22"/>
                <w:lang w:val="sk-SK"/>
              </w:rPr>
              <w:t>systému</w:t>
            </w:r>
          </w:p>
        </w:tc>
        <w:tc>
          <w:tcPr>
            <w:tcW w:w="3240" w:type="dxa"/>
            <w:tcBorders>
              <w:top w:val="single" w:sz="4" w:space="0" w:color="000000"/>
              <w:left w:val="single" w:sz="4" w:space="0" w:color="000000"/>
              <w:bottom w:val="single" w:sz="4" w:space="0" w:color="000000"/>
              <w:right w:val="single" w:sz="4" w:space="0" w:color="000000"/>
            </w:tcBorders>
          </w:tcPr>
          <w:p w14:paraId="7D5E11FA" w14:textId="77777777" w:rsidR="00D46E1F" w:rsidRPr="008422C4" w:rsidRDefault="00D46E1F">
            <w:pPr>
              <w:pStyle w:val="TableParagraph"/>
              <w:kinsoku w:val="0"/>
              <w:overflowPunct w:val="0"/>
              <w:spacing w:line="251" w:lineRule="exact"/>
              <w:rPr>
                <w:sz w:val="22"/>
                <w:szCs w:val="22"/>
                <w:lang w:val="sk-SK"/>
              </w:rPr>
            </w:pPr>
            <w:r w:rsidRPr="008422C4">
              <w:rPr>
                <w:sz w:val="22"/>
                <w:szCs w:val="22"/>
                <w:u w:val="single"/>
                <w:lang w:val="sk-SK"/>
              </w:rPr>
              <w:t>Časté</w:t>
            </w:r>
          </w:p>
          <w:p w14:paraId="1CE4A154" w14:textId="77777777" w:rsidR="00D46E1F" w:rsidRPr="008422C4" w:rsidRDefault="00D46E1F">
            <w:pPr>
              <w:pStyle w:val="TableParagraph"/>
              <w:kinsoku w:val="0"/>
              <w:overflowPunct w:val="0"/>
              <w:spacing w:line="253" w:lineRule="exact"/>
              <w:rPr>
                <w:sz w:val="22"/>
                <w:szCs w:val="22"/>
                <w:lang w:val="sk-SK"/>
              </w:rPr>
            </w:pPr>
            <w:r w:rsidRPr="008422C4">
              <w:rPr>
                <w:sz w:val="22"/>
                <w:szCs w:val="22"/>
                <w:lang w:val="sk-SK"/>
              </w:rPr>
              <w:t>Hypotyreóza</w:t>
            </w:r>
          </w:p>
        </w:tc>
        <w:tc>
          <w:tcPr>
            <w:tcW w:w="3420" w:type="dxa"/>
            <w:tcBorders>
              <w:top w:val="single" w:sz="4" w:space="0" w:color="000000"/>
              <w:left w:val="single" w:sz="4" w:space="0" w:color="000000"/>
              <w:bottom w:val="single" w:sz="4" w:space="0" w:color="000000"/>
              <w:right w:val="single" w:sz="4" w:space="0" w:color="000000"/>
            </w:tcBorders>
          </w:tcPr>
          <w:p w14:paraId="0A0DD096" w14:textId="77777777" w:rsidR="00D46E1F" w:rsidRPr="008422C4" w:rsidRDefault="00D46E1F">
            <w:pPr>
              <w:rPr>
                <w:szCs w:val="22"/>
              </w:rPr>
            </w:pPr>
          </w:p>
        </w:tc>
      </w:tr>
      <w:tr w:rsidR="00D46E1F" w:rsidRPr="003A5C41" w14:paraId="3C052A2E" w14:textId="77777777" w:rsidTr="00CA7A4F">
        <w:trPr>
          <w:trHeight w:hRule="exact" w:val="257"/>
        </w:trPr>
        <w:tc>
          <w:tcPr>
            <w:tcW w:w="2340" w:type="dxa"/>
            <w:tcBorders>
              <w:top w:val="single" w:sz="4" w:space="0" w:color="000000"/>
              <w:left w:val="single" w:sz="4" w:space="0" w:color="000000"/>
              <w:bottom w:val="none" w:sz="6" w:space="0" w:color="auto"/>
              <w:right w:val="single" w:sz="4" w:space="0" w:color="000000"/>
            </w:tcBorders>
          </w:tcPr>
          <w:p w14:paraId="7746424E" w14:textId="77777777" w:rsidR="00D46E1F" w:rsidRPr="008422C4" w:rsidRDefault="00D46E1F">
            <w:pPr>
              <w:pStyle w:val="TableParagraph"/>
              <w:kinsoku w:val="0"/>
              <w:overflowPunct w:val="0"/>
              <w:spacing w:line="251" w:lineRule="exact"/>
              <w:rPr>
                <w:sz w:val="22"/>
                <w:szCs w:val="22"/>
                <w:lang w:val="sk-SK"/>
              </w:rPr>
            </w:pPr>
            <w:r w:rsidRPr="008422C4">
              <w:rPr>
                <w:b/>
                <w:bCs/>
                <w:sz w:val="22"/>
                <w:szCs w:val="22"/>
                <w:lang w:val="sk-SK"/>
              </w:rPr>
              <w:t>Poruchy metabolizmu</w:t>
            </w:r>
          </w:p>
        </w:tc>
        <w:tc>
          <w:tcPr>
            <w:tcW w:w="3240" w:type="dxa"/>
            <w:tcBorders>
              <w:top w:val="single" w:sz="4" w:space="0" w:color="000000"/>
              <w:left w:val="single" w:sz="4" w:space="0" w:color="000000"/>
              <w:bottom w:val="none" w:sz="6" w:space="0" w:color="auto"/>
              <w:right w:val="single" w:sz="4" w:space="0" w:color="000000"/>
            </w:tcBorders>
          </w:tcPr>
          <w:p w14:paraId="5D6AA884" w14:textId="77777777" w:rsidR="00D46E1F" w:rsidRPr="008422C4" w:rsidRDefault="00D46E1F">
            <w:pPr>
              <w:pStyle w:val="TableParagraph"/>
              <w:kinsoku w:val="0"/>
              <w:overflowPunct w:val="0"/>
              <w:spacing w:line="251" w:lineRule="exact"/>
              <w:rPr>
                <w:sz w:val="22"/>
                <w:szCs w:val="22"/>
                <w:lang w:val="sk-SK"/>
              </w:rPr>
            </w:pPr>
            <w:r w:rsidRPr="008422C4">
              <w:rPr>
                <w:sz w:val="22"/>
                <w:szCs w:val="22"/>
                <w:u w:val="single"/>
                <w:lang w:val="sk-SK"/>
              </w:rPr>
              <w:t>Veľmi časté</w:t>
            </w:r>
          </w:p>
        </w:tc>
        <w:tc>
          <w:tcPr>
            <w:tcW w:w="3420" w:type="dxa"/>
            <w:tcBorders>
              <w:top w:val="single" w:sz="4" w:space="0" w:color="000000"/>
              <w:left w:val="single" w:sz="4" w:space="0" w:color="000000"/>
              <w:bottom w:val="none" w:sz="6" w:space="0" w:color="auto"/>
              <w:right w:val="single" w:sz="4" w:space="0" w:color="000000"/>
            </w:tcBorders>
          </w:tcPr>
          <w:p w14:paraId="5FCFA54B" w14:textId="77777777" w:rsidR="00D46E1F" w:rsidRPr="008422C4" w:rsidRDefault="00D46E1F">
            <w:pPr>
              <w:pStyle w:val="TableParagraph"/>
              <w:kinsoku w:val="0"/>
              <w:overflowPunct w:val="0"/>
              <w:spacing w:line="251" w:lineRule="exact"/>
              <w:rPr>
                <w:sz w:val="22"/>
                <w:szCs w:val="22"/>
                <w:lang w:val="sk-SK"/>
              </w:rPr>
            </w:pPr>
            <w:r w:rsidRPr="008422C4">
              <w:rPr>
                <w:sz w:val="22"/>
                <w:szCs w:val="22"/>
                <w:u w:val="single"/>
                <w:lang w:val="sk-SK"/>
              </w:rPr>
              <w:t>Časté</w:t>
            </w:r>
          </w:p>
        </w:tc>
      </w:tr>
      <w:tr w:rsidR="00D46E1F" w:rsidRPr="003A5C41" w14:paraId="0C4F8B8E" w14:textId="77777777" w:rsidTr="00D6163D">
        <w:trPr>
          <w:trHeight w:hRule="exact" w:val="257"/>
        </w:trPr>
        <w:tc>
          <w:tcPr>
            <w:tcW w:w="2340" w:type="dxa"/>
            <w:tcBorders>
              <w:top w:val="none" w:sz="6" w:space="0" w:color="auto"/>
              <w:left w:val="single" w:sz="4" w:space="0" w:color="000000"/>
              <w:bottom w:val="none" w:sz="6" w:space="0" w:color="auto"/>
              <w:right w:val="single" w:sz="4" w:space="0" w:color="000000"/>
            </w:tcBorders>
          </w:tcPr>
          <w:p w14:paraId="2D2FEAD2" w14:textId="77777777" w:rsidR="00D46E1F" w:rsidRPr="008422C4" w:rsidRDefault="00D46E1F">
            <w:pPr>
              <w:pStyle w:val="TableParagraph"/>
              <w:kinsoku w:val="0"/>
              <w:overflowPunct w:val="0"/>
              <w:spacing w:line="251" w:lineRule="exact"/>
              <w:rPr>
                <w:sz w:val="22"/>
                <w:szCs w:val="22"/>
                <w:lang w:val="sk-SK"/>
              </w:rPr>
            </w:pPr>
            <w:r w:rsidRPr="008422C4">
              <w:rPr>
                <w:b/>
                <w:bCs/>
                <w:sz w:val="22"/>
                <w:szCs w:val="22"/>
                <w:lang w:val="sk-SK"/>
              </w:rPr>
              <w:t>a výživy</w:t>
            </w:r>
          </w:p>
        </w:tc>
        <w:tc>
          <w:tcPr>
            <w:tcW w:w="3240" w:type="dxa"/>
            <w:tcBorders>
              <w:top w:val="none" w:sz="6" w:space="0" w:color="auto"/>
              <w:left w:val="single" w:sz="4" w:space="0" w:color="000000"/>
              <w:bottom w:val="none" w:sz="6" w:space="0" w:color="auto"/>
              <w:right w:val="single" w:sz="4" w:space="0" w:color="000000"/>
            </w:tcBorders>
          </w:tcPr>
          <w:p w14:paraId="22505867" w14:textId="77777777" w:rsidR="00D46E1F" w:rsidRPr="008422C4" w:rsidRDefault="00D46E1F">
            <w:pPr>
              <w:pStyle w:val="TableParagraph"/>
              <w:kinsoku w:val="0"/>
              <w:overflowPunct w:val="0"/>
              <w:spacing w:line="251" w:lineRule="exact"/>
              <w:rPr>
                <w:sz w:val="22"/>
                <w:szCs w:val="22"/>
                <w:lang w:val="sk-SK"/>
              </w:rPr>
            </w:pPr>
            <w:r w:rsidRPr="008422C4">
              <w:rPr>
                <w:sz w:val="22"/>
                <w:szCs w:val="22"/>
                <w:lang w:val="sk-SK"/>
              </w:rPr>
              <w:t>Znížená chuť do jedla</w:t>
            </w:r>
          </w:p>
        </w:tc>
        <w:tc>
          <w:tcPr>
            <w:tcW w:w="3420" w:type="dxa"/>
            <w:tcBorders>
              <w:top w:val="none" w:sz="6" w:space="0" w:color="auto"/>
              <w:left w:val="single" w:sz="4" w:space="0" w:color="000000"/>
              <w:bottom w:val="none" w:sz="6" w:space="0" w:color="auto"/>
              <w:right w:val="single" w:sz="4" w:space="0" w:color="000000"/>
            </w:tcBorders>
          </w:tcPr>
          <w:p w14:paraId="7F5C2049" w14:textId="77777777" w:rsidR="00D46E1F" w:rsidRPr="008422C4" w:rsidRDefault="00D46E1F" w:rsidP="00D6163D">
            <w:pPr>
              <w:pStyle w:val="TableParagraph"/>
              <w:kinsoku w:val="0"/>
              <w:overflowPunct w:val="0"/>
              <w:spacing w:line="251" w:lineRule="exact"/>
              <w:rPr>
                <w:sz w:val="22"/>
                <w:szCs w:val="22"/>
                <w:lang w:val="sk-SK"/>
              </w:rPr>
            </w:pPr>
            <w:r w:rsidRPr="008422C4">
              <w:rPr>
                <w:sz w:val="22"/>
                <w:szCs w:val="22"/>
                <w:lang w:val="sk-SK"/>
              </w:rPr>
              <w:t>Hyperglykémia</w:t>
            </w:r>
            <w:r w:rsidR="00CC7E5E" w:rsidRPr="00D6163D">
              <w:rPr>
                <w:position w:val="8"/>
                <w:sz w:val="22"/>
                <w:lang w:val="sk-SK"/>
              </w:rPr>
              <w:t>◊</w:t>
            </w:r>
            <w:r w:rsidRPr="008422C4">
              <w:rPr>
                <w:sz w:val="22"/>
                <w:szCs w:val="22"/>
                <w:lang w:val="sk-SK"/>
              </w:rPr>
              <w:t>, znížená chuť do</w:t>
            </w:r>
          </w:p>
        </w:tc>
      </w:tr>
      <w:tr w:rsidR="00D46E1F" w:rsidRPr="003A5C41" w14:paraId="396278AE" w14:textId="77777777" w:rsidTr="00CA7A4F">
        <w:trPr>
          <w:trHeight w:hRule="exact" w:val="265"/>
        </w:trPr>
        <w:tc>
          <w:tcPr>
            <w:tcW w:w="2340" w:type="dxa"/>
            <w:tcBorders>
              <w:top w:val="none" w:sz="6" w:space="0" w:color="auto"/>
              <w:left w:val="single" w:sz="4" w:space="0" w:color="000000"/>
              <w:bottom w:val="none" w:sz="6" w:space="0" w:color="auto"/>
              <w:right w:val="single" w:sz="4" w:space="0" w:color="000000"/>
            </w:tcBorders>
          </w:tcPr>
          <w:p w14:paraId="62A983F3" w14:textId="77777777" w:rsidR="00D46E1F" w:rsidRPr="008422C4" w:rsidRDefault="00D46E1F">
            <w:pPr>
              <w:rPr>
                <w:szCs w:val="22"/>
              </w:rPr>
            </w:pPr>
          </w:p>
        </w:tc>
        <w:tc>
          <w:tcPr>
            <w:tcW w:w="3240" w:type="dxa"/>
            <w:tcBorders>
              <w:top w:val="none" w:sz="6" w:space="0" w:color="auto"/>
              <w:left w:val="single" w:sz="4" w:space="0" w:color="000000"/>
              <w:bottom w:val="none" w:sz="6" w:space="0" w:color="auto"/>
              <w:right w:val="single" w:sz="4" w:space="0" w:color="000000"/>
            </w:tcBorders>
          </w:tcPr>
          <w:p w14:paraId="1C37F86A" w14:textId="77777777" w:rsidR="00D46E1F" w:rsidRPr="008422C4" w:rsidRDefault="00D46E1F">
            <w:pPr>
              <w:rPr>
                <w:szCs w:val="22"/>
              </w:rPr>
            </w:pPr>
          </w:p>
        </w:tc>
        <w:tc>
          <w:tcPr>
            <w:tcW w:w="3420" w:type="dxa"/>
            <w:tcBorders>
              <w:top w:val="none" w:sz="6" w:space="0" w:color="auto"/>
              <w:left w:val="single" w:sz="4" w:space="0" w:color="000000"/>
              <w:bottom w:val="none" w:sz="6" w:space="0" w:color="auto"/>
              <w:right w:val="single" w:sz="4" w:space="0" w:color="000000"/>
            </w:tcBorders>
          </w:tcPr>
          <w:p w14:paraId="2A41CD01" w14:textId="77777777" w:rsidR="00D46E1F" w:rsidRPr="008422C4" w:rsidRDefault="00D46E1F" w:rsidP="00D6163D">
            <w:pPr>
              <w:pStyle w:val="TableParagraph"/>
              <w:kinsoku w:val="0"/>
              <w:overflowPunct w:val="0"/>
              <w:spacing w:line="249" w:lineRule="exact"/>
              <w:rPr>
                <w:sz w:val="22"/>
                <w:szCs w:val="22"/>
                <w:lang w:val="sk-SK"/>
              </w:rPr>
            </w:pPr>
            <w:r w:rsidRPr="008422C4">
              <w:rPr>
                <w:sz w:val="22"/>
                <w:szCs w:val="22"/>
                <w:lang w:val="sk-SK"/>
              </w:rPr>
              <w:t>jedla</w:t>
            </w:r>
          </w:p>
        </w:tc>
      </w:tr>
      <w:tr w:rsidR="00D46E1F" w:rsidRPr="003A5C41" w14:paraId="0A974A92" w14:textId="77777777" w:rsidTr="00CA7A4F">
        <w:trPr>
          <w:trHeight w:hRule="exact" w:val="264"/>
        </w:trPr>
        <w:tc>
          <w:tcPr>
            <w:tcW w:w="2340" w:type="dxa"/>
            <w:tcBorders>
              <w:top w:val="none" w:sz="6" w:space="0" w:color="auto"/>
              <w:left w:val="single" w:sz="4" w:space="0" w:color="000000"/>
              <w:bottom w:val="none" w:sz="6" w:space="0" w:color="auto"/>
              <w:right w:val="single" w:sz="4" w:space="0" w:color="000000"/>
            </w:tcBorders>
          </w:tcPr>
          <w:p w14:paraId="11BC7279" w14:textId="77777777" w:rsidR="00D46E1F" w:rsidRPr="008422C4" w:rsidRDefault="00D46E1F">
            <w:pPr>
              <w:rPr>
                <w:szCs w:val="22"/>
              </w:rPr>
            </w:pPr>
          </w:p>
        </w:tc>
        <w:tc>
          <w:tcPr>
            <w:tcW w:w="3240" w:type="dxa"/>
            <w:tcBorders>
              <w:top w:val="none" w:sz="6" w:space="0" w:color="auto"/>
              <w:left w:val="single" w:sz="4" w:space="0" w:color="000000"/>
              <w:bottom w:val="none" w:sz="6" w:space="0" w:color="auto"/>
              <w:right w:val="single" w:sz="4" w:space="0" w:color="000000"/>
            </w:tcBorders>
          </w:tcPr>
          <w:p w14:paraId="05803579" w14:textId="77777777" w:rsidR="00D46E1F" w:rsidRPr="008422C4" w:rsidRDefault="00D46E1F">
            <w:pPr>
              <w:pStyle w:val="TableParagraph"/>
              <w:kinsoku w:val="0"/>
              <w:overflowPunct w:val="0"/>
              <w:spacing w:before="7"/>
              <w:rPr>
                <w:sz w:val="22"/>
                <w:szCs w:val="22"/>
                <w:lang w:val="sk-SK"/>
              </w:rPr>
            </w:pPr>
            <w:r w:rsidRPr="008422C4">
              <w:rPr>
                <w:sz w:val="22"/>
                <w:szCs w:val="22"/>
                <w:u w:val="single"/>
                <w:lang w:val="sk-SK"/>
              </w:rPr>
              <w:t>Časté</w:t>
            </w:r>
          </w:p>
        </w:tc>
        <w:tc>
          <w:tcPr>
            <w:tcW w:w="3420" w:type="dxa"/>
            <w:tcBorders>
              <w:top w:val="none" w:sz="6" w:space="0" w:color="auto"/>
              <w:left w:val="single" w:sz="4" w:space="0" w:color="000000"/>
              <w:bottom w:val="none" w:sz="6" w:space="0" w:color="auto"/>
              <w:right w:val="single" w:sz="4" w:space="0" w:color="000000"/>
            </w:tcBorders>
          </w:tcPr>
          <w:p w14:paraId="22900833" w14:textId="77777777" w:rsidR="00D46E1F" w:rsidRPr="008422C4" w:rsidRDefault="00D46E1F">
            <w:pPr>
              <w:rPr>
                <w:szCs w:val="22"/>
              </w:rPr>
            </w:pPr>
          </w:p>
        </w:tc>
      </w:tr>
      <w:tr w:rsidR="00D46E1F" w:rsidRPr="003A5C41" w14:paraId="5FC6958A" w14:textId="77777777" w:rsidTr="00CA7A4F">
        <w:trPr>
          <w:trHeight w:hRule="exact" w:val="252"/>
        </w:trPr>
        <w:tc>
          <w:tcPr>
            <w:tcW w:w="2340" w:type="dxa"/>
            <w:tcBorders>
              <w:top w:val="none" w:sz="6" w:space="0" w:color="auto"/>
              <w:left w:val="single" w:sz="4" w:space="0" w:color="000000"/>
              <w:bottom w:val="none" w:sz="6" w:space="0" w:color="auto"/>
              <w:right w:val="single" w:sz="4" w:space="0" w:color="000000"/>
            </w:tcBorders>
          </w:tcPr>
          <w:p w14:paraId="691485CC" w14:textId="77777777" w:rsidR="00D46E1F" w:rsidRPr="008422C4" w:rsidRDefault="00D46E1F">
            <w:pPr>
              <w:rPr>
                <w:szCs w:val="22"/>
              </w:rPr>
            </w:pPr>
          </w:p>
        </w:tc>
        <w:tc>
          <w:tcPr>
            <w:tcW w:w="3240" w:type="dxa"/>
            <w:tcBorders>
              <w:top w:val="none" w:sz="6" w:space="0" w:color="auto"/>
              <w:left w:val="single" w:sz="4" w:space="0" w:color="000000"/>
              <w:bottom w:val="none" w:sz="6" w:space="0" w:color="auto"/>
              <w:right w:val="single" w:sz="4" w:space="0" w:color="000000"/>
            </w:tcBorders>
          </w:tcPr>
          <w:p w14:paraId="535DDD3E" w14:textId="77777777" w:rsidR="00D46E1F" w:rsidRPr="008422C4" w:rsidRDefault="00D46E1F">
            <w:pPr>
              <w:pStyle w:val="TableParagraph"/>
              <w:kinsoku w:val="0"/>
              <w:overflowPunct w:val="0"/>
              <w:spacing w:line="248" w:lineRule="exact"/>
              <w:rPr>
                <w:sz w:val="22"/>
                <w:szCs w:val="22"/>
                <w:lang w:val="sk-SK"/>
              </w:rPr>
            </w:pPr>
            <w:r w:rsidRPr="008422C4">
              <w:rPr>
                <w:sz w:val="22"/>
                <w:szCs w:val="22"/>
                <w:lang w:val="sk-SK"/>
              </w:rPr>
              <w:t>Preťaženie organizmu železom,</w:t>
            </w:r>
          </w:p>
        </w:tc>
        <w:tc>
          <w:tcPr>
            <w:tcW w:w="3420" w:type="dxa"/>
            <w:tcBorders>
              <w:top w:val="none" w:sz="6" w:space="0" w:color="auto"/>
              <w:left w:val="single" w:sz="4" w:space="0" w:color="000000"/>
              <w:bottom w:val="none" w:sz="6" w:space="0" w:color="auto"/>
              <w:right w:val="single" w:sz="4" w:space="0" w:color="000000"/>
            </w:tcBorders>
          </w:tcPr>
          <w:p w14:paraId="52FD7035" w14:textId="77777777" w:rsidR="00D46E1F" w:rsidRPr="008422C4" w:rsidRDefault="00D46E1F">
            <w:pPr>
              <w:rPr>
                <w:szCs w:val="22"/>
              </w:rPr>
            </w:pPr>
          </w:p>
        </w:tc>
      </w:tr>
      <w:tr w:rsidR="00D46E1F" w:rsidRPr="003A5C41" w14:paraId="7FAE6E9E" w14:textId="77777777" w:rsidTr="00CA7A4F">
        <w:trPr>
          <w:trHeight w:hRule="exact" w:val="256"/>
        </w:trPr>
        <w:tc>
          <w:tcPr>
            <w:tcW w:w="2340" w:type="dxa"/>
            <w:tcBorders>
              <w:top w:val="none" w:sz="6" w:space="0" w:color="auto"/>
              <w:left w:val="single" w:sz="4" w:space="0" w:color="000000"/>
              <w:bottom w:val="single" w:sz="4" w:space="0" w:color="000000"/>
              <w:right w:val="single" w:sz="4" w:space="0" w:color="000000"/>
            </w:tcBorders>
          </w:tcPr>
          <w:p w14:paraId="6063CBBD" w14:textId="77777777" w:rsidR="00D46E1F" w:rsidRPr="008422C4" w:rsidRDefault="00D46E1F">
            <w:pPr>
              <w:rPr>
                <w:szCs w:val="22"/>
              </w:rPr>
            </w:pPr>
          </w:p>
        </w:tc>
        <w:tc>
          <w:tcPr>
            <w:tcW w:w="3240" w:type="dxa"/>
            <w:tcBorders>
              <w:top w:val="none" w:sz="6" w:space="0" w:color="auto"/>
              <w:left w:val="single" w:sz="4" w:space="0" w:color="000000"/>
              <w:bottom w:val="single" w:sz="4" w:space="0" w:color="000000"/>
              <w:right w:val="single" w:sz="4" w:space="0" w:color="000000"/>
            </w:tcBorders>
          </w:tcPr>
          <w:p w14:paraId="6F8BEE1E" w14:textId="77777777" w:rsidR="00D46E1F" w:rsidRPr="008422C4" w:rsidRDefault="00D46E1F">
            <w:pPr>
              <w:pStyle w:val="TableParagraph"/>
              <w:kinsoku w:val="0"/>
              <w:overflowPunct w:val="0"/>
              <w:spacing w:line="248" w:lineRule="exact"/>
              <w:rPr>
                <w:sz w:val="22"/>
                <w:szCs w:val="22"/>
                <w:lang w:val="sk-SK"/>
              </w:rPr>
            </w:pPr>
            <w:r w:rsidRPr="008422C4">
              <w:rPr>
                <w:sz w:val="22"/>
                <w:szCs w:val="22"/>
                <w:lang w:val="sk-SK"/>
              </w:rPr>
              <w:t>zníženie telesnej hmotnosti</w:t>
            </w:r>
          </w:p>
        </w:tc>
        <w:tc>
          <w:tcPr>
            <w:tcW w:w="3420" w:type="dxa"/>
            <w:tcBorders>
              <w:top w:val="none" w:sz="6" w:space="0" w:color="auto"/>
              <w:left w:val="single" w:sz="4" w:space="0" w:color="000000"/>
              <w:bottom w:val="single" w:sz="4" w:space="0" w:color="000000"/>
              <w:right w:val="single" w:sz="4" w:space="0" w:color="000000"/>
            </w:tcBorders>
          </w:tcPr>
          <w:p w14:paraId="663AFAA5" w14:textId="77777777" w:rsidR="00D46E1F" w:rsidRPr="008422C4" w:rsidRDefault="00D46E1F">
            <w:pPr>
              <w:rPr>
                <w:szCs w:val="22"/>
              </w:rPr>
            </w:pPr>
          </w:p>
        </w:tc>
      </w:tr>
      <w:tr w:rsidR="00D46E1F" w:rsidRPr="003A5C41" w14:paraId="79A1E61E" w14:textId="77777777" w:rsidTr="00D6163D">
        <w:trPr>
          <w:trHeight w:hRule="exact" w:val="538"/>
        </w:trPr>
        <w:tc>
          <w:tcPr>
            <w:tcW w:w="2340" w:type="dxa"/>
            <w:tcBorders>
              <w:top w:val="single" w:sz="4" w:space="0" w:color="000000"/>
              <w:left w:val="single" w:sz="4" w:space="0" w:color="000000"/>
              <w:bottom w:val="single" w:sz="4" w:space="0" w:color="000000"/>
              <w:right w:val="single" w:sz="4" w:space="0" w:color="000000"/>
            </w:tcBorders>
          </w:tcPr>
          <w:p w14:paraId="61D6AC11" w14:textId="77777777" w:rsidR="00D46E1F" w:rsidRPr="003A5C41" w:rsidRDefault="00D46E1F">
            <w:pPr>
              <w:pStyle w:val="TableParagraph"/>
              <w:kinsoku w:val="0"/>
              <w:overflowPunct w:val="0"/>
              <w:spacing w:line="252" w:lineRule="exact"/>
              <w:rPr>
                <w:lang w:val="sk-SK"/>
              </w:rPr>
            </w:pPr>
            <w:r w:rsidRPr="003A5C41">
              <w:rPr>
                <w:b/>
                <w:bCs/>
                <w:sz w:val="22"/>
                <w:szCs w:val="22"/>
                <w:lang w:val="sk-SK"/>
              </w:rPr>
              <w:t>Psychické poruchy</w:t>
            </w:r>
          </w:p>
        </w:tc>
        <w:tc>
          <w:tcPr>
            <w:tcW w:w="3240" w:type="dxa"/>
            <w:tcBorders>
              <w:top w:val="single" w:sz="4" w:space="0" w:color="000000"/>
              <w:left w:val="single" w:sz="4" w:space="0" w:color="000000"/>
              <w:bottom w:val="single" w:sz="4" w:space="0" w:color="000000"/>
              <w:right w:val="single" w:sz="4" w:space="0" w:color="000000"/>
            </w:tcBorders>
          </w:tcPr>
          <w:p w14:paraId="0393EE02" w14:textId="77777777" w:rsidR="00D46E1F" w:rsidRPr="003A5C41" w:rsidRDefault="00D46E1F"/>
        </w:tc>
        <w:tc>
          <w:tcPr>
            <w:tcW w:w="3420" w:type="dxa"/>
            <w:tcBorders>
              <w:top w:val="single" w:sz="4" w:space="0" w:color="000000"/>
              <w:left w:val="single" w:sz="4" w:space="0" w:color="000000"/>
              <w:bottom w:val="single" w:sz="4" w:space="0" w:color="000000"/>
              <w:right w:val="single" w:sz="4" w:space="0" w:color="000000"/>
            </w:tcBorders>
          </w:tcPr>
          <w:p w14:paraId="5D1E706E" w14:textId="77777777" w:rsidR="00D46E1F" w:rsidRPr="003A5C41" w:rsidRDefault="00D46E1F" w:rsidP="00D6163D">
            <w:pPr>
              <w:pStyle w:val="TableParagraph"/>
              <w:kinsoku w:val="0"/>
              <w:overflowPunct w:val="0"/>
              <w:spacing w:line="244" w:lineRule="exact"/>
              <w:rPr>
                <w:sz w:val="22"/>
                <w:szCs w:val="22"/>
                <w:lang w:val="sk-SK"/>
              </w:rPr>
            </w:pPr>
            <w:r w:rsidRPr="003A5C41">
              <w:rPr>
                <w:sz w:val="22"/>
                <w:szCs w:val="22"/>
                <w:u w:val="single"/>
                <w:lang w:val="sk-SK"/>
              </w:rPr>
              <w:t>Časté</w:t>
            </w:r>
          </w:p>
          <w:p w14:paraId="73CC2485" w14:textId="77777777" w:rsidR="00D46E1F" w:rsidRPr="003A5C41" w:rsidRDefault="00D46E1F" w:rsidP="00D6163D">
            <w:pPr>
              <w:pStyle w:val="TableParagraph"/>
              <w:kinsoku w:val="0"/>
              <w:overflowPunct w:val="0"/>
              <w:spacing w:line="279" w:lineRule="exact"/>
              <w:rPr>
                <w:lang w:val="sk-SK"/>
              </w:rPr>
            </w:pPr>
            <w:r w:rsidRPr="003A5C41">
              <w:rPr>
                <w:sz w:val="22"/>
                <w:szCs w:val="22"/>
                <w:lang w:val="sk-SK"/>
              </w:rPr>
              <w:t>Zmeny nálad</w:t>
            </w:r>
            <w:r w:rsidR="00CC7E5E" w:rsidRPr="00D6163D">
              <w:rPr>
                <w:position w:val="9"/>
                <w:sz w:val="16"/>
                <w:lang w:val="sk-SK"/>
              </w:rPr>
              <w:t>◊</w:t>
            </w:r>
            <w:r w:rsidRPr="003A5C41">
              <w:rPr>
                <w:position w:val="9"/>
                <w:sz w:val="16"/>
                <w:szCs w:val="16"/>
                <w:lang w:val="sk-SK"/>
              </w:rPr>
              <w:t>,~</w:t>
            </w:r>
          </w:p>
        </w:tc>
      </w:tr>
      <w:tr w:rsidR="00D46E1F" w:rsidRPr="003A5C41" w14:paraId="45E37152" w14:textId="77777777" w:rsidTr="00CA7A4F">
        <w:trPr>
          <w:trHeight w:hRule="exact" w:val="263"/>
        </w:trPr>
        <w:tc>
          <w:tcPr>
            <w:tcW w:w="2340" w:type="dxa"/>
            <w:tcBorders>
              <w:top w:val="single" w:sz="4" w:space="0" w:color="000000"/>
              <w:left w:val="single" w:sz="4" w:space="0" w:color="000000"/>
              <w:bottom w:val="none" w:sz="6" w:space="0" w:color="auto"/>
              <w:right w:val="single" w:sz="4" w:space="0" w:color="000000"/>
            </w:tcBorders>
          </w:tcPr>
          <w:p w14:paraId="53060B00" w14:textId="77777777" w:rsidR="00D46E1F" w:rsidRPr="003A5C41" w:rsidRDefault="00D46E1F">
            <w:pPr>
              <w:pStyle w:val="TableParagraph"/>
              <w:kinsoku w:val="0"/>
              <w:overflowPunct w:val="0"/>
              <w:spacing w:before="1"/>
              <w:rPr>
                <w:lang w:val="sk-SK"/>
              </w:rPr>
            </w:pPr>
            <w:r w:rsidRPr="003A5C41">
              <w:rPr>
                <w:b/>
                <w:bCs/>
                <w:sz w:val="22"/>
                <w:szCs w:val="22"/>
                <w:lang w:val="sk-SK"/>
              </w:rPr>
              <w:t>Poruchy nervového</w:t>
            </w:r>
          </w:p>
        </w:tc>
        <w:tc>
          <w:tcPr>
            <w:tcW w:w="3240" w:type="dxa"/>
            <w:tcBorders>
              <w:top w:val="single" w:sz="4" w:space="0" w:color="000000"/>
              <w:left w:val="single" w:sz="4" w:space="0" w:color="000000"/>
              <w:bottom w:val="none" w:sz="6" w:space="0" w:color="auto"/>
              <w:right w:val="single" w:sz="4" w:space="0" w:color="000000"/>
            </w:tcBorders>
          </w:tcPr>
          <w:p w14:paraId="29E0F3D1" w14:textId="77777777" w:rsidR="00D46E1F" w:rsidRPr="003A5C41" w:rsidRDefault="00D46E1F">
            <w:pPr>
              <w:pStyle w:val="TableParagraph"/>
              <w:kinsoku w:val="0"/>
              <w:overflowPunct w:val="0"/>
              <w:spacing w:before="1"/>
              <w:rPr>
                <w:lang w:val="sk-SK"/>
              </w:rPr>
            </w:pPr>
            <w:r w:rsidRPr="003A5C41">
              <w:rPr>
                <w:sz w:val="22"/>
                <w:szCs w:val="22"/>
                <w:u w:val="single"/>
                <w:lang w:val="sk-SK"/>
              </w:rPr>
              <w:t>Veľmi časté</w:t>
            </w:r>
          </w:p>
        </w:tc>
        <w:tc>
          <w:tcPr>
            <w:tcW w:w="3420" w:type="dxa"/>
            <w:vMerge w:val="restart"/>
            <w:tcBorders>
              <w:top w:val="single" w:sz="4" w:space="0" w:color="000000"/>
              <w:left w:val="single" w:sz="4" w:space="0" w:color="000000"/>
              <w:bottom w:val="single" w:sz="4" w:space="0" w:color="000000"/>
              <w:right w:val="single" w:sz="4" w:space="0" w:color="000000"/>
            </w:tcBorders>
          </w:tcPr>
          <w:p w14:paraId="35F65339" w14:textId="77777777" w:rsidR="00D46E1F" w:rsidRPr="003A5C41" w:rsidRDefault="00D46E1F"/>
        </w:tc>
      </w:tr>
      <w:tr w:rsidR="00D46E1F" w:rsidRPr="003A5C41" w14:paraId="03D81CDA" w14:textId="77777777" w:rsidTr="00CA7A4F">
        <w:trPr>
          <w:trHeight w:hRule="exact" w:val="390"/>
        </w:trPr>
        <w:tc>
          <w:tcPr>
            <w:tcW w:w="2340" w:type="dxa"/>
            <w:tcBorders>
              <w:top w:val="none" w:sz="6" w:space="0" w:color="auto"/>
              <w:left w:val="single" w:sz="4" w:space="0" w:color="000000"/>
              <w:bottom w:val="none" w:sz="6" w:space="0" w:color="auto"/>
              <w:right w:val="single" w:sz="4" w:space="0" w:color="000000"/>
            </w:tcBorders>
          </w:tcPr>
          <w:p w14:paraId="417F38CC" w14:textId="77777777" w:rsidR="00D46E1F" w:rsidRPr="003A5C41" w:rsidRDefault="00D46E1F">
            <w:pPr>
              <w:pStyle w:val="TableParagraph"/>
              <w:kinsoku w:val="0"/>
              <w:overflowPunct w:val="0"/>
              <w:spacing w:line="248" w:lineRule="exact"/>
              <w:rPr>
                <w:lang w:val="sk-SK"/>
              </w:rPr>
            </w:pPr>
            <w:r w:rsidRPr="003A5C41">
              <w:rPr>
                <w:b/>
                <w:bCs/>
                <w:sz w:val="22"/>
                <w:szCs w:val="22"/>
                <w:lang w:val="sk-SK"/>
              </w:rPr>
              <w:t>systému</w:t>
            </w:r>
          </w:p>
        </w:tc>
        <w:tc>
          <w:tcPr>
            <w:tcW w:w="3240" w:type="dxa"/>
            <w:tcBorders>
              <w:top w:val="none" w:sz="6" w:space="0" w:color="auto"/>
              <w:left w:val="single" w:sz="4" w:space="0" w:color="000000"/>
              <w:bottom w:val="none" w:sz="6" w:space="0" w:color="auto"/>
              <w:right w:val="single" w:sz="4" w:space="0" w:color="000000"/>
            </w:tcBorders>
          </w:tcPr>
          <w:p w14:paraId="48B2B410" w14:textId="77777777" w:rsidR="00D46E1F" w:rsidRPr="003A5C41" w:rsidRDefault="00D46E1F">
            <w:pPr>
              <w:pStyle w:val="TableParagraph"/>
              <w:kinsoku w:val="0"/>
              <w:overflowPunct w:val="0"/>
              <w:spacing w:line="248" w:lineRule="exact"/>
              <w:rPr>
                <w:lang w:val="sk-SK"/>
              </w:rPr>
            </w:pPr>
            <w:r w:rsidRPr="003A5C41">
              <w:rPr>
                <w:sz w:val="22"/>
                <w:szCs w:val="22"/>
                <w:lang w:val="sk-SK"/>
              </w:rPr>
              <w:t>Závrat, bolesť hlavy</w:t>
            </w:r>
          </w:p>
        </w:tc>
        <w:tc>
          <w:tcPr>
            <w:tcW w:w="3420" w:type="dxa"/>
            <w:vMerge/>
            <w:tcBorders>
              <w:top w:val="single" w:sz="4" w:space="0" w:color="000000"/>
              <w:left w:val="single" w:sz="4" w:space="0" w:color="000000"/>
              <w:bottom w:val="single" w:sz="4" w:space="0" w:color="000000"/>
              <w:right w:val="single" w:sz="4" w:space="0" w:color="000000"/>
            </w:tcBorders>
          </w:tcPr>
          <w:p w14:paraId="0AB2AE5F" w14:textId="77777777" w:rsidR="00D46E1F" w:rsidRPr="003A5C41" w:rsidRDefault="00D46E1F">
            <w:pPr>
              <w:pStyle w:val="TableParagraph"/>
              <w:kinsoku w:val="0"/>
              <w:overflowPunct w:val="0"/>
              <w:spacing w:line="248" w:lineRule="exact"/>
              <w:rPr>
                <w:lang w:val="sk-SK"/>
              </w:rPr>
            </w:pPr>
          </w:p>
        </w:tc>
      </w:tr>
      <w:tr w:rsidR="00D46E1F" w:rsidRPr="003A5C41" w14:paraId="088D7A3C" w14:textId="77777777" w:rsidTr="00CA7A4F">
        <w:trPr>
          <w:trHeight w:hRule="exact" w:val="391"/>
        </w:trPr>
        <w:tc>
          <w:tcPr>
            <w:tcW w:w="2340" w:type="dxa"/>
            <w:tcBorders>
              <w:top w:val="none" w:sz="6" w:space="0" w:color="auto"/>
              <w:left w:val="single" w:sz="4" w:space="0" w:color="000000"/>
              <w:bottom w:val="none" w:sz="6" w:space="0" w:color="auto"/>
              <w:right w:val="single" w:sz="4" w:space="0" w:color="000000"/>
            </w:tcBorders>
          </w:tcPr>
          <w:p w14:paraId="14D77C5D" w14:textId="77777777" w:rsidR="00D46E1F" w:rsidRPr="003A5C41" w:rsidRDefault="00D46E1F"/>
        </w:tc>
        <w:tc>
          <w:tcPr>
            <w:tcW w:w="3240" w:type="dxa"/>
            <w:tcBorders>
              <w:top w:val="none" w:sz="6" w:space="0" w:color="auto"/>
              <w:left w:val="single" w:sz="4" w:space="0" w:color="000000"/>
              <w:bottom w:val="none" w:sz="6" w:space="0" w:color="auto"/>
              <w:right w:val="single" w:sz="4" w:space="0" w:color="000000"/>
            </w:tcBorders>
          </w:tcPr>
          <w:p w14:paraId="29CAB2DC" w14:textId="77777777" w:rsidR="00D46E1F" w:rsidRPr="003A5C41" w:rsidRDefault="00D46E1F">
            <w:pPr>
              <w:pStyle w:val="TableParagraph"/>
              <w:kinsoku w:val="0"/>
              <w:overflowPunct w:val="0"/>
              <w:spacing w:before="133"/>
              <w:rPr>
                <w:lang w:val="sk-SK"/>
              </w:rPr>
            </w:pPr>
            <w:r w:rsidRPr="003A5C41">
              <w:rPr>
                <w:sz w:val="22"/>
                <w:szCs w:val="22"/>
                <w:u w:val="single"/>
                <w:lang w:val="sk-SK"/>
              </w:rPr>
              <w:t>Časté</w:t>
            </w:r>
          </w:p>
        </w:tc>
        <w:tc>
          <w:tcPr>
            <w:tcW w:w="3420" w:type="dxa"/>
            <w:vMerge/>
            <w:tcBorders>
              <w:top w:val="single" w:sz="4" w:space="0" w:color="000000"/>
              <w:left w:val="single" w:sz="4" w:space="0" w:color="000000"/>
              <w:bottom w:val="single" w:sz="4" w:space="0" w:color="000000"/>
              <w:right w:val="single" w:sz="4" w:space="0" w:color="000000"/>
            </w:tcBorders>
          </w:tcPr>
          <w:p w14:paraId="603C68CD" w14:textId="77777777" w:rsidR="00D46E1F" w:rsidRPr="003A5C41" w:rsidRDefault="00D46E1F">
            <w:pPr>
              <w:pStyle w:val="TableParagraph"/>
              <w:kinsoku w:val="0"/>
              <w:overflowPunct w:val="0"/>
              <w:spacing w:before="133"/>
              <w:rPr>
                <w:lang w:val="sk-SK"/>
              </w:rPr>
            </w:pPr>
          </w:p>
        </w:tc>
      </w:tr>
      <w:tr w:rsidR="00D46E1F" w:rsidRPr="003A5C41" w14:paraId="74B79D33" w14:textId="77777777" w:rsidTr="00CA7A4F">
        <w:trPr>
          <w:trHeight w:hRule="exact" w:val="255"/>
        </w:trPr>
        <w:tc>
          <w:tcPr>
            <w:tcW w:w="2340" w:type="dxa"/>
            <w:tcBorders>
              <w:top w:val="none" w:sz="6" w:space="0" w:color="auto"/>
              <w:left w:val="single" w:sz="4" w:space="0" w:color="000000"/>
              <w:bottom w:val="single" w:sz="4" w:space="0" w:color="000000"/>
              <w:right w:val="single" w:sz="4" w:space="0" w:color="000000"/>
            </w:tcBorders>
          </w:tcPr>
          <w:p w14:paraId="369709A4" w14:textId="77777777" w:rsidR="00D46E1F" w:rsidRPr="003A5C41" w:rsidRDefault="00D46E1F"/>
        </w:tc>
        <w:tc>
          <w:tcPr>
            <w:tcW w:w="3240" w:type="dxa"/>
            <w:tcBorders>
              <w:top w:val="none" w:sz="6" w:space="0" w:color="auto"/>
              <w:left w:val="single" w:sz="4" w:space="0" w:color="000000"/>
              <w:bottom w:val="single" w:sz="4" w:space="0" w:color="000000"/>
              <w:right w:val="single" w:sz="4" w:space="0" w:color="000000"/>
            </w:tcBorders>
          </w:tcPr>
          <w:p w14:paraId="5B59BB1C" w14:textId="77777777" w:rsidR="00D46E1F" w:rsidRPr="003A5C41" w:rsidRDefault="00D46E1F">
            <w:pPr>
              <w:pStyle w:val="TableParagraph"/>
              <w:kinsoku w:val="0"/>
              <w:overflowPunct w:val="0"/>
              <w:spacing w:line="249" w:lineRule="exact"/>
              <w:rPr>
                <w:lang w:val="sk-SK"/>
              </w:rPr>
            </w:pPr>
            <w:r w:rsidRPr="003A5C41">
              <w:rPr>
                <w:sz w:val="22"/>
                <w:szCs w:val="22"/>
                <w:lang w:val="sk-SK"/>
              </w:rPr>
              <w:t>Parestézie</w:t>
            </w:r>
          </w:p>
        </w:tc>
        <w:tc>
          <w:tcPr>
            <w:tcW w:w="3420" w:type="dxa"/>
            <w:vMerge/>
            <w:tcBorders>
              <w:top w:val="single" w:sz="4" w:space="0" w:color="000000"/>
              <w:left w:val="single" w:sz="4" w:space="0" w:color="000000"/>
              <w:bottom w:val="single" w:sz="4" w:space="0" w:color="000000"/>
              <w:right w:val="single" w:sz="4" w:space="0" w:color="000000"/>
            </w:tcBorders>
          </w:tcPr>
          <w:p w14:paraId="1C6BF58B" w14:textId="77777777" w:rsidR="00D46E1F" w:rsidRPr="003A5C41" w:rsidRDefault="00D46E1F">
            <w:pPr>
              <w:pStyle w:val="TableParagraph"/>
              <w:kinsoku w:val="0"/>
              <w:overflowPunct w:val="0"/>
              <w:spacing w:line="249" w:lineRule="exact"/>
              <w:rPr>
                <w:lang w:val="sk-SK"/>
              </w:rPr>
            </w:pPr>
          </w:p>
        </w:tc>
      </w:tr>
      <w:tr w:rsidR="00D46E1F" w:rsidRPr="003A5C41" w14:paraId="16496245" w14:textId="77777777" w:rsidTr="00D6163D">
        <w:trPr>
          <w:trHeight w:hRule="exact" w:val="792"/>
        </w:trPr>
        <w:tc>
          <w:tcPr>
            <w:tcW w:w="2340" w:type="dxa"/>
            <w:tcBorders>
              <w:top w:val="single" w:sz="4" w:space="0" w:color="000000"/>
              <w:left w:val="single" w:sz="4" w:space="0" w:color="000000"/>
              <w:bottom w:val="single" w:sz="4" w:space="0" w:color="000000"/>
              <w:right w:val="single" w:sz="4" w:space="0" w:color="000000"/>
            </w:tcBorders>
          </w:tcPr>
          <w:p w14:paraId="4316A736" w14:textId="77777777" w:rsidR="00D46E1F" w:rsidRPr="003A5C41" w:rsidRDefault="00D46E1F">
            <w:pPr>
              <w:pStyle w:val="TableParagraph"/>
              <w:kinsoku w:val="0"/>
              <w:overflowPunct w:val="0"/>
              <w:spacing w:before="1" w:line="253" w:lineRule="exact"/>
              <w:rPr>
                <w:b/>
                <w:bCs/>
                <w:sz w:val="22"/>
                <w:szCs w:val="22"/>
                <w:lang w:val="sk-SK"/>
              </w:rPr>
            </w:pPr>
            <w:r w:rsidRPr="003A5C41">
              <w:rPr>
                <w:b/>
                <w:bCs/>
                <w:sz w:val="22"/>
                <w:szCs w:val="22"/>
                <w:lang w:val="sk-SK"/>
              </w:rPr>
              <w:t>Poruchy srdca a</w:t>
            </w:r>
          </w:p>
          <w:p w14:paraId="57199BDB" w14:textId="77777777" w:rsidR="00D46E1F" w:rsidRPr="003A5C41" w:rsidRDefault="00D46E1F">
            <w:pPr>
              <w:pStyle w:val="TableParagraph"/>
              <w:kinsoku w:val="0"/>
              <w:overflowPunct w:val="0"/>
              <w:spacing w:line="253" w:lineRule="exact"/>
              <w:rPr>
                <w:lang w:val="sk-SK"/>
              </w:rPr>
            </w:pPr>
            <w:r w:rsidRPr="003A5C41">
              <w:rPr>
                <w:b/>
                <w:bCs/>
                <w:sz w:val="22"/>
                <w:szCs w:val="22"/>
                <w:lang w:val="sk-SK"/>
              </w:rPr>
              <w:t>srdcovej činnosti</w:t>
            </w:r>
          </w:p>
        </w:tc>
        <w:tc>
          <w:tcPr>
            <w:tcW w:w="3240" w:type="dxa"/>
            <w:tcBorders>
              <w:top w:val="single" w:sz="4" w:space="0" w:color="000000"/>
              <w:left w:val="single" w:sz="4" w:space="0" w:color="000000"/>
              <w:bottom w:val="single" w:sz="4" w:space="0" w:color="000000"/>
              <w:right w:val="single" w:sz="4" w:space="0" w:color="000000"/>
            </w:tcBorders>
          </w:tcPr>
          <w:p w14:paraId="0C7D0737" w14:textId="77777777" w:rsidR="00D46E1F" w:rsidRPr="003A5C41" w:rsidRDefault="00D46E1F"/>
        </w:tc>
        <w:tc>
          <w:tcPr>
            <w:tcW w:w="3420" w:type="dxa"/>
            <w:tcBorders>
              <w:top w:val="single" w:sz="4" w:space="0" w:color="000000"/>
              <w:left w:val="single" w:sz="4" w:space="0" w:color="000000"/>
              <w:bottom w:val="single" w:sz="4" w:space="0" w:color="000000"/>
              <w:right w:val="single" w:sz="4" w:space="0" w:color="000000"/>
            </w:tcBorders>
          </w:tcPr>
          <w:p w14:paraId="338A769D" w14:textId="77777777" w:rsidR="00D46E1F" w:rsidRPr="003A5C41" w:rsidRDefault="00D46E1F" w:rsidP="00D6163D">
            <w:pPr>
              <w:pStyle w:val="TableParagraph"/>
              <w:kinsoku w:val="0"/>
              <w:overflowPunct w:val="0"/>
              <w:spacing w:before="1" w:line="245" w:lineRule="exact"/>
              <w:rPr>
                <w:sz w:val="22"/>
                <w:szCs w:val="22"/>
                <w:lang w:val="sk-SK"/>
              </w:rPr>
            </w:pPr>
            <w:r w:rsidRPr="003A5C41">
              <w:rPr>
                <w:sz w:val="22"/>
                <w:szCs w:val="22"/>
                <w:u w:val="single"/>
                <w:lang w:val="sk-SK"/>
              </w:rPr>
              <w:t>Časté</w:t>
            </w:r>
          </w:p>
          <w:p w14:paraId="61F53043" w14:textId="77777777" w:rsidR="00D46E1F" w:rsidRPr="003A5C41" w:rsidRDefault="00D46E1F" w:rsidP="00D6163D">
            <w:pPr>
              <w:pStyle w:val="TableParagraph"/>
              <w:kinsoku w:val="0"/>
              <w:overflowPunct w:val="0"/>
              <w:spacing w:before="26" w:line="256" w:lineRule="exact"/>
              <w:ind w:right="266"/>
              <w:rPr>
                <w:lang w:val="sk-SK"/>
              </w:rPr>
            </w:pPr>
            <w:r w:rsidRPr="003A5C41">
              <w:rPr>
                <w:sz w:val="22"/>
                <w:szCs w:val="22"/>
                <w:lang w:val="sk-SK"/>
              </w:rPr>
              <w:t>Akútny infarkt myokardu^</w:t>
            </w:r>
            <w:r w:rsidRPr="003A5C41">
              <w:rPr>
                <w:position w:val="9"/>
                <w:sz w:val="16"/>
                <w:szCs w:val="16"/>
                <w:lang w:val="sk-SK"/>
              </w:rPr>
              <w:t>,</w:t>
            </w:r>
            <w:r w:rsidR="00CC7E5E" w:rsidRPr="00D6163D">
              <w:rPr>
                <w:position w:val="9"/>
                <w:sz w:val="16"/>
                <w:lang w:val="sk-SK"/>
              </w:rPr>
              <w:t>◊</w:t>
            </w:r>
            <w:r w:rsidRPr="003A5C41">
              <w:rPr>
                <w:sz w:val="22"/>
                <w:szCs w:val="22"/>
                <w:lang w:val="sk-SK"/>
              </w:rPr>
              <w:t>, atriálna fibrilácia</w:t>
            </w:r>
            <w:r w:rsidR="00CC7E5E" w:rsidRPr="00D6163D">
              <w:rPr>
                <w:position w:val="8"/>
                <w:sz w:val="14"/>
                <w:lang w:val="sk-SK"/>
              </w:rPr>
              <w:t>◊</w:t>
            </w:r>
            <w:r w:rsidRPr="003A5C41">
              <w:rPr>
                <w:sz w:val="22"/>
                <w:szCs w:val="22"/>
                <w:lang w:val="sk-SK"/>
              </w:rPr>
              <w:t>, zlyhanie srdca</w:t>
            </w:r>
            <w:r w:rsidR="00CC7E5E" w:rsidRPr="00D6163D">
              <w:rPr>
                <w:position w:val="8"/>
                <w:sz w:val="14"/>
                <w:lang w:val="sk-SK"/>
              </w:rPr>
              <w:t>◊</w:t>
            </w:r>
          </w:p>
        </w:tc>
      </w:tr>
      <w:tr w:rsidR="00D46E1F" w:rsidRPr="003A5C41" w14:paraId="3484BDC7" w14:textId="77777777" w:rsidTr="00D6163D">
        <w:trPr>
          <w:trHeight w:hRule="exact" w:val="1023"/>
        </w:trPr>
        <w:tc>
          <w:tcPr>
            <w:tcW w:w="2340" w:type="dxa"/>
            <w:tcBorders>
              <w:top w:val="single" w:sz="4" w:space="0" w:color="000000"/>
              <w:left w:val="single" w:sz="4" w:space="0" w:color="000000"/>
              <w:bottom w:val="single" w:sz="4" w:space="0" w:color="000000"/>
              <w:right w:val="single" w:sz="4" w:space="0" w:color="000000"/>
            </w:tcBorders>
          </w:tcPr>
          <w:p w14:paraId="184BA212" w14:textId="77777777" w:rsidR="00D46E1F" w:rsidRPr="003A5C41" w:rsidRDefault="00D46E1F">
            <w:pPr>
              <w:pStyle w:val="TableParagraph"/>
              <w:kinsoku w:val="0"/>
              <w:overflowPunct w:val="0"/>
              <w:spacing w:before="1"/>
              <w:rPr>
                <w:lang w:val="sk-SK"/>
              </w:rPr>
            </w:pPr>
            <w:r w:rsidRPr="003A5C41">
              <w:rPr>
                <w:b/>
                <w:bCs/>
                <w:sz w:val="22"/>
                <w:szCs w:val="22"/>
                <w:lang w:val="sk-SK"/>
              </w:rPr>
              <w:lastRenderedPageBreak/>
              <w:t>Poruchy ciev</w:t>
            </w:r>
          </w:p>
        </w:tc>
        <w:tc>
          <w:tcPr>
            <w:tcW w:w="3240" w:type="dxa"/>
            <w:tcBorders>
              <w:top w:val="single" w:sz="4" w:space="0" w:color="000000"/>
              <w:left w:val="single" w:sz="4" w:space="0" w:color="000000"/>
              <w:bottom w:val="single" w:sz="4" w:space="0" w:color="000000"/>
              <w:right w:val="single" w:sz="4" w:space="0" w:color="000000"/>
            </w:tcBorders>
          </w:tcPr>
          <w:p w14:paraId="28955E70" w14:textId="77777777" w:rsidR="00D46E1F" w:rsidRPr="00CC7E5E" w:rsidRDefault="00D46E1F" w:rsidP="00D6163D">
            <w:pPr>
              <w:pStyle w:val="TableParagraph"/>
              <w:kinsoku w:val="0"/>
              <w:overflowPunct w:val="0"/>
              <w:spacing w:before="1" w:line="252" w:lineRule="exact"/>
              <w:rPr>
                <w:sz w:val="22"/>
                <w:szCs w:val="22"/>
                <w:lang w:val="sk-SK"/>
              </w:rPr>
            </w:pPr>
            <w:r w:rsidRPr="00CC7E5E">
              <w:rPr>
                <w:sz w:val="22"/>
                <w:szCs w:val="22"/>
                <w:u w:val="single"/>
                <w:lang w:val="sk-SK"/>
              </w:rPr>
              <w:t>Časté</w:t>
            </w:r>
          </w:p>
          <w:p w14:paraId="0554B69F" w14:textId="77777777" w:rsidR="00D46E1F" w:rsidRPr="00D6163D" w:rsidRDefault="00D46E1F" w:rsidP="00D6163D">
            <w:pPr>
              <w:pStyle w:val="TableParagraph"/>
              <w:kinsoku w:val="0"/>
              <w:overflowPunct w:val="0"/>
              <w:spacing w:line="252" w:lineRule="exact"/>
              <w:rPr>
                <w:lang w:val="sk-SK"/>
              </w:rPr>
            </w:pPr>
            <w:r w:rsidRPr="00CC7E5E">
              <w:rPr>
                <w:sz w:val="22"/>
                <w:szCs w:val="22"/>
                <w:lang w:val="sk-SK"/>
              </w:rPr>
              <w:t>Hypertenzia, hematóm</w:t>
            </w:r>
          </w:p>
        </w:tc>
        <w:tc>
          <w:tcPr>
            <w:tcW w:w="3420" w:type="dxa"/>
            <w:tcBorders>
              <w:top w:val="single" w:sz="4" w:space="0" w:color="000000"/>
              <w:left w:val="single" w:sz="4" w:space="0" w:color="000000"/>
              <w:bottom w:val="single" w:sz="4" w:space="0" w:color="000000"/>
              <w:right w:val="single" w:sz="4" w:space="0" w:color="000000"/>
            </w:tcBorders>
          </w:tcPr>
          <w:p w14:paraId="1DEEB3A0" w14:textId="77777777" w:rsidR="00D46E1F" w:rsidRPr="00CC7E5E" w:rsidRDefault="00D46E1F" w:rsidP="00D6163D">
            <w:pPr>
              <w:pStyle w:val="TableParagraph"/>
              <w:kinsoku w:val="0"/>
              <w:overflowPunct w:val="0"/>
              <w:spacing w:before="1" w:line="252" w:lineRule="exact"/>
              <w:rPr>
                <w:sz w:val="22"/>
                <w:szCs w:val="22"/>
                <w:lang w:val="sk-SK"/>
              </w:rPr>
            </w:pPr>
            <w:r w:rsidRPr="00CC7E5E">
              <w:rPr>
                <w:sz w:val="22"/>
                <w:szCs w:val="22"/>
                <w:u w:val="single"/>
                <w:lang w:val="sk-SK"/>
              </w:rPr>
              <w:t>Časté</w:t>
            </w:r>
          </w:p>
          <w:p w14:paraId="696DCE00" w14:textId="77777777" w:rsidR="00D46E1F" w:rsidRPr="00D6163D" w:rsidRDefault="00D46E1F" w:rsidP="00D6163D">
            <w:pPr>
              <w:pStyle w:val="TableParagraph"/>
              <w:kinsoku w:val="0"/>
              <w:overflowPunct w:val="0"/>
              <w:spacing w:before="1" w:line="237" w:lineRule="auto"/>
              <w:ind w:right="104"/>
              <w:rPr>
                <w:lang w:val="sk-SK"/>
              </w:rPr>
            </w:pPr>
            <w:r w:rsidRPr="00CC7E5E">
              <w:rPr>
                <w:sz w:val="22"/>
                <w:szCs w:val="22"/>
                <w:lang w:val="sk-SK"/>
              </w:rPr>
              <w:t>Venózne tromboembolické príhody, predovšetkým trombóza hlbokých žíl a pľúcna embólia^</w:t>
            </w:r>
            <w:r w:rsidRPr="00D6163D">
              <w:rPr>
                <w:position w:val="8"/>
                <w:sz w:val="14"/>
                <w:lang w:val="sk-SK"/>
              </w:rPr>
              <w:t>,</w:t>
            </w:r>
            <w:r w:rsidR="00CC7E5E" w:rsidRPr="00D6163D">
              <w:rPr>
                <w:position w:val="8"/>
                <w:sz w:val="14"/>
                <w:lang w:val="sk-SK"/>
              </w:rPr>
              <w:t>◊</w:t>
            </w:r>
          </w:p>
        </w:tc>
      </w:tr>
      <w:tr w:rsidR="00D46E1F" w:rsidRPr="003A5C41" w14:paraId="22C33FB9" w14:textId="77777777" w:rsidTr="00CA7A4F">
        <w:trPr>
          <w:trHeight w:hRule="exact" w:val="770"/>
        </w:trPr>
        <w:tc>
          <w:tcPr>
            <w:tcW w:w="2340" w:type="dxa"/>
            <w:tcBorders>
              <w:top w:val="single" w:sz="4" w:space="0" w:color="000000"/>
              <w:left w:val="single" w:sz="4" w:space="0" w:color="000000"/>
              <w:bottom w:val="single" w:sz="4" w:space="0" w:color="000000"/>
              <w:right w:val="single" w:sz="4" w:space="0" w:color="000000"/>
            </w:tcBorders>
          </w:tcPr>
          <w:p w14:paraId="637144B9" w14:textId="77777777" w:rsidR="00D46E1F" w:rsidRPr="003A5C41" w:rsidRDefault="00D46E1F">
            <w:pPr>
              <w:pStyle w:val="TableParagraph"/>
              <w:kinsoku w:val="0"/>
              <w:overflowPunct w:val="0"/>
              <w:ind w:right="355"/>
              <w:rPr>
                <w:lang w:val="sk-SK"/>
              </w:rPr>
            </w:pPr>
            <w:r w:rsidRPr="003A5C41">
              <w:rPr>
                <w:b/>
                <w:bCs/>
                <w:sz w:val="22"/>
                <w:szCs w:val="22"/>
                <w:lang w:val="sk-SK"/>
              </w:rPr>
              <w:t>Poruchy dýchacej sústavy, hrudníka a mediastína</w:t>
            </w:r>
          </w:p>
        </w:tc>
        <w:tc>
          <w:tcPr>
            <w:tcW w:w="3240" w:type="dxa"/>
            <w:tcBorders>
              <w:top w:val="single" w:sz="4" w:space="0" w:color="000000"/>
              <w:left w:val="single" w:sz="4" w:space="0" w:color="000000"/>
              <w:bottom w:val="single" w:sz="4" w:space="0" w:color="000000"/>
              <w:right w:val="single" w:sz="4" w:space="0" w:color="000000"/>
            </w:tcBorders>
          </w:tcPr>
          <w:p w14:paraId="0B664759" w14:textId="77777777" w:rsidR="00D46E1F" w:rsidRPr="003A5C41" w:rsidRDefault="00D46E1F">
            <w:pPr>
              <w:pStyle w:val="TableParagraph"/>
              <w:kinsoku w:val="0"/>
              <w:overflowPunct w:val="0"/>
              <w:spacing w:line="252" w:lineRule="exact"/>
              <w:rPr>
                <w:sz w:val="22"/>
                <w:szCs w:val="22"/>
                <w:lang w:val="sk-SK"/>
              </w:rPr>
            </w:pPr>
            <w:r w:rsidRPr="003A5C41">
              <w:rPr>
                <w:sz w:val="22"/>
                <w:szCs w:val="22"/>
                <w:u w:val="single"/>
                <w:lang w:val="sk-SK"/>
              </w:rPr>
              <w:t>Veľmi časté</w:t>
            </w:r>
          </w:p>
          <w:p w14:paraId="6DCBE883" w14:textId="77777777" w:rsidR="00D46E1F" w:rsidRPr="003A5C41" w:rsidRDefault="00D46E1F">
            <w:pPr>
              <w:pStyle w:val="TableParagraph"/>
              <w:kinsoku w:val="0"/>
              <w:overflowPunct w:val="0"/>
              <w:spacing w:before="1"/>
              <w:rPr>
                <w:lang w:val="sk-SK"/>
              </w:rPr>
            </w:pPr>
            <w:r w:rsidRPr="003A5C41">
              <w:rPr>
                <w:sz w:val="22"/>
                <w:szCs w:val="22"/>
                <w:lang w:val="sk-SK"/>
              </w:rPr>
              <w:t>Epistaxa^</w:t>
            </w:r>
          </w:p>
        </w:tc>
        <w:tc>
          <w:tcPr>
            <w:tcW w:w="3420" w:type="dxa"/>
            <w:tcBorders>
              <w:top w:val="single" w:sz="4" w:space="0" w:color="000000"/>
              <w:left w:val="single" w:sz="4" w:space="0" w:color="000000"/>
              <w:bottom w:val="single" w:sz="4" w:space="0" w:color="000000"/>
              <w:right w:val="single" w:sz="4" w:space="0" w:color="000000"/>
            </w:tcBorders>
          </w:tcPr>
          <w:p w14:paraId="42A3D8DC" w14:textId="77777777" w:rsidR="00D46E1F" w:rsidRPr="003A5C41" w:rsidRDefault="00D46E1F"/>
        </w:tc>
      </w:tr>
      <w:tr w:rsidR="00221953" w:rsidRPr="003A5C41" w14:paraId="7C11E9AB" w14:textId="77777777" w:rsidTr="00D6163D">
        <w:trPr>
          <w:trHeight w:hRule="exact" w:val="789"/>
        </w:trPr>
        <w:tc>
          <w:tcPr>
            <w:tcW w:w="2340" w:type="dxa"/>
            <w:tcBorders>
              <w:top w:val="single" w:sz="4" w:space="0" w:color="000000"/>
              <w:left w:val="single" w:sz="4" w:space="0" w:color="000000"/>
              <w:bottom w:val="none" w:sz="6" w:space="0" w:color="auto"/>
              <w:right w:val="single" w:sz="4" w:space="0" w:color="000000"/>
            </w:tcBorders>
          </w:tcPr>
          <w:p w14:paraId="377060D8" w14:textId="77777777" w:rsidR="00221953" w:rsidRPr="003A5C41" w:rsidRDefault="00221953">
            <w:pPr>
              <w:pStyle w:val="TableParagraph"/>
              <w:kinsoku w:val="0"/>
              <w:overflowPunct w:val="0"/>
              <w:ind w:right="300"/>
              <w:rPr>
                <w:lang w:val="sk-SK"/>
              </w:rPr>
            </w:pPr>
            <w:r w:rsidRPr="003A5C41">
              <w:rPr>
                <w:b/>
                <w:bCs/>
                <w:sz w:val="22"/>
                <w:szCs w:val="22"/>
                <w:lang w:val="sk-SK"/>
              </w:rPr>
              <w:t>Poruchy gastrointestinálneho traktu</w:t>
            </w:r>
          </w:p>
        </w:tc>
        <w:tc>
          <w:tcPr>
            <w:tcW w:w="3240" w:type="dxa"/>
            <w:tcBorders>
              <w:top w:val="single" w:sz="4" w:space="0" w:color="000000"/>
              <w:left w:val="single" w:sz="4" w:space="0" w:color="000000"/>
              <w:bottom w:val="none" w:sz="6" w:space="0" w:color="auto"/>
              <w:right w:val="single" w:sz="4" w:space="0" w:color="000000"/>
            </w:tcBorders>
          </w:tcPr>
          <w:p w14:paraId="6D4000A1" w14:textId="77777777" w:rsidR="00221953" w:rsidRPr="00CC7E5E" w:rsidRDefault="00221953" w:rsidP="00D6163D">
            <w:pPr>
              <w:pStyle w:val="TableParagraph"/>
              <w:kinsoku w:val="0"/>
              <w:overflowPunct w:val="0"/>
              <w:spacing w:line="244" w:lineRule="exact"/>
              <w:rPr>
                <w:sz w:val="22"/>
                <w:szCs w:val="22"/>
                <w:lang w:val="sk-SK"/>
              </w:rPr>
            </w:pPr>
            <w:r w:rsidRPr="00CC7E5E">
              <w:rPr>
                <w:sz w:val="22"/>
                <w:szCs w:val="22"/>
                <w:u w:val="single"/>
                <w:lang w:val="sk-SK"/>
              </w:rPr>
              <w:t>Veľmi časté</w:t>
            </w:r>
          </w:p>
          <w:p w14:paraId="365B2CD0" w14:textId="7AD687EF" w:rsidR="00221953" w:rsidRPr="0013110C" w:rsidRDefault="00221953" w:rsidP="00D6163D">
            <w:pPr>
              <w:pStyle w:val="TableParagraph"/>
              <w:kinsoku w:val="0"/>
              <w:overflowPunct w:val="0"/>
              <w:spacing w:line="244" w:lineRule="auto"/>
              <w:ind w:right="259"/>
            </w:pPr>
            <w:r w:rsidRPr="00CC7E5E">
              <w:rPr>
                <w:sz w:val="22"/>
                <w:szCs w:val="22"/>
                <w:lang w:val="sk-SK"/>
              </w:rPr>
              <w:t>Hnačka</w:t>
            </w:r>
            <w:r w:rsidRPr="00D6163D">
              <w:rPr>
                <w:position w:val="9"/>
                <w:sz w:val="16"/>
                <w:lang w:val="sk-SK"/>
              </w:rPr>
              <w:t>◊</w:t>
            </w:r>
            <w:r w:rsidRPr="00CC7E5E">
              <w:rPr>
                <w:sz w:val="22"/>
                <w:szCs w:val="22"/>
                <w:lang w:val="sk-SK"/>
              </w:rPr>
              <w:t>, bolesť brucha (vrátane hornej časti), nauzea, vracanie,</w:t>
            </w:r>
          </w:p>
        </w:tc>
        <w:tc>
          <w:tcPr>
            <w:tcW w:w="3420" w:type="dxa"/>
            <w:tcBorders>
              <w:top w:val="single" w:sz="4" w:space="0" w:color="000000"/>
              <w:left w:val="single" w:sz="4" w:space="0" w:color="000000"/>
              <w:bottom w:val="none" w:sz="6" w:space="0" w:color="auto"/>
              <w:right w:val="single" w:sz="4" w:space="0" w:color="000000"/>
            </w:tcBorders>
          </w:tcPr>
          <w:p w14:paraId="62D2EB85" w14:textId="77777777" w:rsidR="00221953" w:rsidRPr="00CC7E5E" w:rsidRDefault="00221953" w:rsidP="00D6163D">
            <w:pPr>
              <w:pStyle w:val="TableParagraph"/>
              <w:kinsoku w:val="0"/>
              <w:overflowPunct w:val="0"/>
              <w:spacing w:line="248" w:lineRule="exact"/>
              <w:rPr>
                <w:sz w:val="22"/>
                <w:szCs w:val="22"/>
                <w:lang w:val="sk-SK"/>
              </w:rPr>
            </w:pPr>
            <w:r w:rsidRPr="00CC7E5E">
              <w:rPr>
                <w:sz w:val="22"/>
                <w:szCs w:val="22"/>
                <w:u w:val="single"/>
                <w:lang w:val="sk-SK"/>
              </w:rPr>
              <w:t>Časté</w:t>
            </w:r>
          </w:p>
          <w:p w14:paraId="50A243DA" w14:textId="77777777" w:rsidR="00221953" w:rsidRPr="00D6163D" w:rsidRDefault="00221953" w:rsidP="00D6163D">
            <w:pPr>
              <w:pStyle w:val="TableParagraph"/>
              <w:kinsoku w:val="0"/>
              <w:overflowPunct w:val="0"/>
              <w:spacing w:line="255" w:lineRule="exact"/>
              <w:rPr>
                <w:lang w:val="sk-SK"/>
              </w:rPr>
            </w:pPr>
            <w:r w:rsidRPr="00CC7E5E">
              <w:rPr>
                <w:sz w:val="22"/>
                <w:szCs w:val="22"/>
                <w:lang w:val="sk-SK"/>
              </w:rPr>
              <w:t>Hnačka</w:t>
            </w:r>
            <w:r w:rsidRPr="00D6163D">
              <w:rPr>
                <w:position w:val="8"/>
                <w:sz w:val="14"/>
                <w:lang w:val="sk-SK"/>
              </w:rPr>
              <w:t>◊</w:t>
            </w:r>
            <w:r w:rsidRPr="00CC7E5E">
              <w:rPr>
                <w:sz w:val="22"/>
                <w:szCs w:val="22"/>
                <w:lang w:val="sk-SK"/>
              </w:rPr>
              <w:t>, nauzea, bolesť zubov</w:t>
            </w:r>
          </w:p>
        </w:tc>
      </w:tr>
      <w:tr w:rsidR="00221953" w:rsidRPr="003A5C41" w14:paraId="2E69AE34" w14:textId="77777777" w:rsidTr="00D6163D">
        <w:trPr>
          <w:trHeight w:hRule="exact" w:val="391"/>
        </w:trPr>
        <w:tc>
          <w:tcPr>
            <w:tcW w:w="2340" w:type="dxa"/>
            <w:tcBorders>
              <w:top w:val="none" w:sz="6" w:space="0" w:color="auto"/>
              <w:left w:val="single" w:sz="4" w:space="0" w:color="000000"/>
              <w:bottom w:val="none" w:sz="6" w:space="0" w:color="auto"/>
              <w:right w:val="single" w:sz="4" w:space="0" w:color="000000"/>
            </w:tcBorders>
          </w:tcPr>
          <w:p w14:paraId="563E3F67" w14:textId="77777777" w:rsidR="00221953" w:rsidRPr="003A5C41" w:rsidRDefault="00221953"/>
        </w:tc>
        <w:tc>
          <w:tcPr>
            <w:tcW w:w="3240" w:type="dxa"/>
            <w:tcBorders>
              <w:top w:val="none" w:sz="6" w:space="0" w:color="auto"/>
              <w:left w:val="single" w:sz="4" w:space="0" w:color="000000"/>
              <w:bottom w:val="none" w:sz="6" w:space="0" w:color="auto"/>
              <w:right w:val="single" w:sz="4" w:space="0" w:color="000000"/>
            </w:tcBorders>
          </w:tcPr>
          <w:p w14:paraId="2D133D0B" w14:textId="1D5F196A" w:rsidR="00221953" w:rsidRPr="00D6163D" w:rsidRDefault="00902DE4" w:rsidP="00D6163D">
            <w:pPr>
              <w:pStyle w:val="TableParagraph"/>
              <w:kinsoku w:val="0"/>
              <w:overflowPunct w:val="0"/>
              <w:spacing w:line="249" w:lineRule="exact"/>
              <w:rPr>
                <w:lang w:val="sk-SK"/>
              </w:rPr>
            </w:pPr>
            <w:r w:rsidRPr="00CC7E5E">
              <w:rPr>
                <w:sz w:val="22"/>
                <w:szCs w:val="22"/>
                <w:lang w:val="sk-SK"/>
              </w:rPr>
              <w:t>Z</w:t>
            </w:r>
            <w:r w:rsidR="00221953" w:rsidRPr="00CC7E5E">
              <w:rPr>
                <w:sz w:val="22"/>
                <w:szCs w:val="22"/>
                <w:lang w:val="sk-SK"/>
              </w:rPr>
              <w:t>ápcha</w:t>
            </w:r>
          </w:p>
        </w:tc>
        <w:tc>
          <w:tcPr>
            <w:tcW w:w="3420" w:type="dxa"/>
            <w:tcBorders>
              <w:top w:val="none" w:sz="6" w:space="0" w:color="auto"/>
              <w:left w:val="single" w:sz="4" w:space="0" w:color="000000"/>
              <w:bottom w:val="none" w:sz="6" w:space="0" w:color="auto"/>
              <w:right w:val="single" w:sz="4" w:space="0" w:color="000000"/>
            </w:tcBorders>
          </w:tcPr>
          <w:p w14:paraId="561994AE" w14:textId="77777777" w:rsidR="00221953" w:rsidRPr="00CC7E5E" w:rsidRDefault="00221953" w:rsidP="00CC7E5E">
            <w:pPr>
              <w:rPr>
                <w:szCs w:val="22"/>
              </w:rPr>
            </w:pPr>
          </w:p>
        </w:tc>
      </w:tr>
      <w:tr w:rsidR="00D46E1F" w:rsidRPr="003A5C41" w14:paraId="6F1A1D49" w14:textId="77777777" w:rsidTr="00CA7A4F">
        <w:trPr>
          <w:trHeight w:hRule="exact" w:val="390"/>
        </w:trPr>
        <w:tc>
          <w:tcPr>
            <w:tcW w:w="2340" w:type="dxa"/>
            <w:tcBorders>
              <w:top w:val="none" w:sz="6" w:space="0" w:color="auto"/>
              <w:left w:val="single" w:sz="4" w:space="0" w:color="000000"/>
              <w:bottom w:val="none" w:sz="6" w:space="0" w:color="auto"/>
              <w:right w:val="single" w:sz="4" w:space="0" w:color="000000"/>
            </w:tcBorders>
          </w:tcPr>
          <w:p w14:paraId="274CD650" w14:textId="77777777" w:rsidR="00D46E1F" w:rsidRPr="003A5C41" w:rsidRDefault="00D46E1F"/>
        </w:tc>
        <w:tc>
          <w:tcPr>
            <w:tcW w:w="3240" w:type="dxa"/>
            <w:tcBorders>
              <w:top w:val="none" w:sz="6" w:space="0" w:color="auto"/>
              <w:left w:val="single" w:sz="4" w:space="0" w:color="000000"/>
              <w:bottom w:val="none" w:sz="6" w:space="0" w:color="auto"/>
              <w:right w:val="single" w:sz="4" w:space="0" w:color="000000"/>
            </w:tcBorders>
          </w:tcPr>
          <w:p w14:paraId="49C6713C" w14:textId="77777777" w:rsidR="00D46E1F" w:rsidRPr="00D6163D" w:rsidRDefault="00D46E1F" w:rsidP="00CC7E5E">
            <w:pPr>
              <w:pStyle w:val="TableParagraph"/>
              <w:kinsoku w:val="0"/>
              <w:overflowPunct w:val="0"/>
              <w:spacing w:before="133"/>
              <w:rPr>
                <w:lang w:val="sk-SK"/>
              </w:rPr>
            </w:pPr>
            <w:r w:rsidRPr="00CC7E5E">
              <w:rPr>
                <w:sz w:val="22"/>
                <w:szCs w:val="22"/>
                <w:u w:val="single"/>
                <w:lang w:val="sk-SK"/>
              </w:rPr>
              <w:t>Časté</w:t>
            </w:r>
          </w:p>
        </w:tc>
        <w:tc>
          <w:tcPr>
            <w:tcW w:w="3420" w:type="dxa"/>
            <w:tcBorders>
              <w:top w:val="none" w:sz="6" w:space="0" w:color="auto"/>
              <w:left w:val="single" w:sz="4" w:space="0" w:color="000000"/>
              <w:bottom w:val="none" w:sz="6" w:space="0" w:color="auto"/>
              <w:right w:val="single" w:sz="4" w:space="0" w:color="000000"/>
            </w:tcBorders>
          </w:tcPr>
          <w:p w14:paraId="5CF2F126" w14:textId="77777777" w:rsidR="00D46E1F" w:rsidRPr="00CC7E5E" w:rsidRDefault="00D46E1F" w:rsidP="00CC7E5E">
            <w:pPr>
              <w:rPr>
                <w:szCs w:val="22"/>
              </w:rPr>
            </w:pPr>
          </w:p>
        </w:tc>
      </w:tr>
      <w:tr w:rsidR="00D46E1F" w:rsidRPr="003A5C41" w14:paraId="4EA0F948" w14:textId="77777777" w:rsidTr="00CA7A4F">
        <w:trPr>
          <w:trHeight w:hRule="exact" w:val="256"/>
        </w:trPr>
        <w:tc>
          <w:tcPr>
            <w:tcW w:w="2340" w:type="dxa"/>
            <w:tcBorders>
              <w:top w:val="none" w:sz="6" w:space="0" w:color="auto"/>
              <w:left w:val="single" w:sz="4" w:space="0" w:color="000000"/>
              <w:bottom w:val="single" w:sz="4" w:space="0" w:color="000000"/>
              <w:right w:val="single" w:sz="4" w:space="0" w:color="000000"/>
            </w:tcBorders>
          </w:tcPr>
          <w:p w14:paraId="57E27B98" w14:textId="77777777" w:rsidR="00D46E1F" w:rsidRPr="003A5C41" w:rsidRDefault="00D46E1F"/>
        </w:tc>
        <w:tc>
          <w:tcPr>
            <w:tcW w:w="3240" w:type="dxa"/>
            <w:tcBorders>
              <w:top w:val="none" w:sz="6" w:space="0" w:color="auto"/>
              <w:left w:val="single" w:sz="4" w:space="0" w:color="000000"/>
              <w:bottom w:val="single" w:sz="4" w:space="0" w:color="000000"/>
              <w:right w:val="single" w:sz="4" w:space="0" w:color="000000"/>
            </w:tcBorders>
          </w:tcPr>
          <w:p w14:paraId="26AC5CA6" w14:textId="77777777" w:rsidR="00D46E1F" w:rsidRPr="003A5C41" w:rsidRDefault="00D46E1F">
            <w:pPr>
              <w:pStyle w:val="TableParagraph"/>
              <w:kinsoku w:val="0"/>
              <w:overflowPunct w:val="0"/>
              <w:spacing w:line="248" w:lineRule="exact"/>
              <w:rPr>
                <w:lang w:val="sk-SK"/>
              </w:rPr>
            </w:pPr>
            <w:r w:rsidRPr="003A5C41">
              <w:rPr>
                <w:sz w:val="22"/>
                <w:szCs w:val="22"/>
                <w:lang w:val="sk-SK"/>
              </w:rPr>
              <w:t>Sucho v ústach, dyspepsia</w:t>
            </w:r>
          </w:p>
        </w:tc>
        <w:tc>
          <w:tcPr>
            <w:tcW w:w="3420" w:type="dxa"/>
            <w:tcBorders>
              <w:top w:val="none" w:sz="6" w:space="0" w:color="auto"/>
              <w:left w:val="single" w:sz="4" w:space="0" w:color="000000"/>
              <w:bottom w:val="single" w:sz="4" w:space="0" w:color="000000"/>
              <w:right w:val="single" w:sz="4" w:space="0" w:color="000000"/>
            </w:tcBorders>
          </w:tcPr>
          <w:p w14:paraId="3D6B0B65" w14:textId="77777777" w:rsidR="00D46E1F" w:rsidRPr="003A5C41" w:rsidRDefault="00D46E1F"/>
        </w:tc>
      </w:tr>
      <w:tr w:rsidR="00D46E1F" w:rsidRPr="003A5C41" w14:paraId="472673C3" w14:textId="77777777" w:rsidTr="00CA7A4F">
        <w:trPr>
          <w:trHeight w:hRule="exact" w:val="768"/>
        </w:trPr>
        <w:tc>
          <w:tcPr>
            <w:tcW w:w="2340" w:type="dxa"/>
            <w:tcBorders>
              <w:top w:val="single" w:sz="4" w:space="0" w:color="000000"/>
              <w:left w:val="single" w:sz="4" w:space="0" w:color="000000"/>
              <w:bottom w:val="single" w:sz="4" w:space="0" w:color="000000"/>
              <w:right w:val="single" w:sz="4" w:space="0" w:color="000000"/>
            </w:tcBorders>
          </w:tcPr>
          <w:p w14:paraId="108825F6" w14:textId="77777777" w:rsidR="00D46E1F" w:rsidRPr="003A5C41" w:rsidRDefault="00D46E1F">
            <w:pPr>
              <w:pStyle w:val="TableParagraph"/>
              <w:kinsoku w:val="0"/>
              <w:overflowPunct w:val="0"/>
              <w:ind w:right="557"/>
              <w:rPr>
                <w:lang w:val="sk-SK"/>
              </w:rPr>
            </w:pPr>
            <w:r w:rsidRPr="003A5C41">
              <w:rPr>
                <w:b/>
                <w:bCs/>
                <w:sz w:val="22"/>
                <w:szCs w:val="22"/>
                <w:lang w:val="sk-SK"/>
              </w:rPr>
              <w:t>Poruchy pečene a žlčových ciest</w:t>
            </w:r>
          </w:p>
        </w:tc>
        <w:tc>
          <w:tcPr>
            <w:tcW w:w="3240" w:type="dxa"/>
            <w:tcBorders>
              <w:top w:val="single" w:sz="4" w:space="0" w:color="000000"/>
              <w:left w:val="single" w:sz="4" w:space="0" w:color="000000"/>
              <w:bottom w:val="single" w:sz="4" w:space="0" w:color="000000"/>
              <w:right w:val="single" w:sz="4" w:space="0" w:color="000000"/>
            </w:tcBorders>
          </w:tcPr>
          <w:p w14:paraId="522509EF" w14:textId="77777777" w:rsidR="00D46E1F" w:rsidRPr="003A5C41" w:rsidRDefault="00D46E1F">
            <w:pPr>
              <w:pStyle w:val="TableParagraph"/>
              <w:kinsoku w:val="0"/>
              <w:overflowPunct w:val="0"/>
              <w:spacing w:line="251" w:lineRule="exact"/>
              <w:rPr>
                <w:sz w:val="22"/>
                <w:szCs w:val="22"/>
                <w:lang w:val="sk-SK"/>
              </w:rPr>
            </w:pPr>
            <w:r w:rsidRPr="003A5C41">
              <w:rPr>
                <w:sz w:val="22"/>
                <w:szCs w:val="22"/>
                <w:u w:val="single"/>
                <w:lang w:val="sk-SK"/>
              </w:rPr>
              <w:t>Časté</w:t>
            </w:r>
          </w:p>
          <w:p w14:paraId="71FAFF2C" w14:textId="0123A0FF" w:rsidR="00D46E1F" w:rsidRPr="003A5C41" w:rsidRDefault="00D6163D" w:rsidP="00902DE4">
            <w:pPr>
              <w:pStyle w:val="TableParagraph"/>
              <w:kinsoku w:val="0"/>
              <w:overflowPunct w:val="0"/>
              <w:spacing w:line="252" w:lineRule="exact"/>
              <w:rPr>
                <w:lang w:val="sk-SK"/>
              </w:rPr>
            </w:pPr>
            <w:r w:rsidRPr="00D6163D">
              <w:rPr>
                <w:sz w:val="22"/>
                <w:szCs w:val="22"/>
                <w:lang w:val="sk-SK"/>
              </w:rPr>
              <w:t>Abnormálne výsledky testov funkcie pečene</w:t>
            </w:r>
          </w:p>
        </w:tc>
        <w:tc>
          <w:tcPr>
            <w:tcW w:w="3420" w:type="dxa"/>
            <w:tcBorders>
              <w:top w:val="single" w:sz="4" w:space="0" w:color="000000"/>
              <w:left w:val="single" w:sz="4" w:space="0" w:color="000000"/>
              <w:bottom w:val="single" w:sz="4" w:space="0" w:color="000000"/>
              <w:right w:val="single" w:sz="4" w:space="0" w:color="000000"/>
            </w:tcBorders>
          </w:tcPr>
          <w:p w14:paraId="451C23A9" w14:textId="77777777" w:rsidR="00D46E1F" w:rsidRPr="003A5C41" w:rsidRDefault="00D46E1F">
            <w:pPr>
              <w:pStyle w:val="TableParagraph"/>
              <w:kinsoku w:val="0"/>
              <w:overflowPunct w:val="0"/>
              <w:spacing w:line="251" w:lineRule="exact"/>
              <w:rPr>
                <w:sz w:val="22"/>
                <w:szCs w:val="22"/>
                <w:lang w:val="sk-SK"/>
              </w:rPr>
            </w:pPr>
            <w:r w:rsidRPr="003A5C41">
              <w:rPr>
                <w:sz w:val="22"/>
                <w:szCs w:val="22"/>
                <w:u w:val="single"/>
                <w:lang w:val="sk-SK"/>
              </w:rPr>
              <w:t>Časté</w:t>
            </w:r>
          </w:p>
          <w:p w14:paraId="6390DACA" w14:textId="372127A4" w:rsidR="00D46E1F" w:rsidRPr="003A5C41" w:rsidRDefault="00D6163D" w:rsidP="00902DE4">
            <w:pPr>
              <w:pStyle w:val="TableParagraph"/>
              <w:kinsoku w:val="0"/>
              <w:overflowPunct w:val="0"/>
              <w:spacing w:before="1"/>
              <w:rPr>
                <w:lang w:val="sk-SK"/>
              </w:rPr>
            </w:pPr>
            <w:r w:rsidRPr="00D6163D">
              <w:rPr>
                <w:sz w:val="22"/>
                <w:szCs w:val="22"/>
                <w:lang w:val="sk-SK"/>
              </w:rPr>
              <w:t>Abnormálne výsledky testov funkcie pečene</w:t>
            </w:r>
          </w:p>
        </w:tc>
      </w:tr>
      <w:tr w:rsidR="00D46E1F" w:rsidRPr="003A5C41" w14:paraId="038A4E05" w14:textId="77777777" w:rsidTr="00CA7A4F">
        <w:trPr>
          <w:trHeight w:hRule="exact" w:val="516"/>
        </w:trPr>
        <w:tc>
          <w:tcPr>
            <w:tcW w:w="2340" w:type="dxa"/>
            <w:tcBorders>
              <w:top w:val="single" w:sz="4" w:space="0" w:color="000000"/>
              <w:left w:val="single" w:sz="4" w:space="0" w:color="000000"/>
              <w:bottom w:val="single" w:sz="4" w:space="0" w:color="000000"/>
              <w:right w:val="single" w:sz="4" w:space="0" w:color="000000"/>
            </w:tcBorders>
          </w:tcPr>
          <w:p w14:paraId="2933EDC3" w14:textId="77777777" w:rsidR="00D46E1F" w:rsidRPr="003A5C41" w:rsidRDefault="00D46E1F">
            <w:pPr>
              <w:pStyle w:val="TableParagraph"/>
              <w:kinsoku w:val="0"/>
              <w:overflowPunct w:val="0"/>
              <w:ind w:right="306"/>
              <w:rPr>
                <w:lang w:val="sk-SK"/>
              </w:rPr>
            </w:pPr>
            <w:r w:rsidRPr="003A5C41">
              <w:rPr>
                <w:b/>
                <w:bCs/>
                <w:sz w:val="22"/>
                <w:szCs w:val="22"/>
                <w:lang w:val="sk-SK"/>
              </w:rPr>
              <w:t>Poruchy kože a podkožného tkaniva</w:t>
            </w:r>
          </w:p>
        </w:tc>
        <w:tc>
          <w:tcPr>
            <w:tcW w:w="3240" w:type="dxa"/>
            <w:tcBorders>
              <w:top w:val="single" w:sz="4" w:space="0" w:color="000000"/>
              <w:left w:val="single" w:sz="4" w:space="0" w:color="000000"/>
              <w:bottom w:val="single" w:sz="4" w:space="0" w:color="000000"/>
              <w:right w:val="single" w:sz="4" w:space="0" w:color="000000"/>
            </w:tcBorders>
          </w:tcPr>
          <w:p w14:paraId="48351739" w14:textId="77777777" w:rsidR="00D46E1F" w:rsidRPr="003A5C41" w:rsidRDefault="00D46E1F">
            <w:pPr>
              <w:pStyle w:val="TableParagraph"/>
              <w:kinsoku w:val="0"/>
              <w:overflowPunct w:val="0"/>
              <w:spacing w:line="252" w:lineRule="exact"/>
              <w:rPr>
                <w:sz w:val="22"/>
                <w:szCs w:val="22"/>
                <w:lang w:val="sk-SK"/>
              </w:rPr>
            </w:pPr>
            <w:r w:rsidRPr="003A5C41">
              <w:rPr>
                <w:sz w:val="22"/>
                <w:szCs w:val="22"/>
                <w:u w:val="single"/>
                <w:lang w:val="sk-SK"/>
              </w:rPr>
              <w:t>Veľmi časté</w:t>
            </w:r>
          </w:p>
          <w:p w14:paraId="37C8C731" w14:textId="77777777" w:rsidR="00D46E1F" w:rsidRPr="003A5C41" w:rsidRDefault="00D46E1F">
            <w:pPr>
              <w:pStyle w:val="TableParagraph"/>
              <w:kinsoku w:val="0"/>
              <w:overflowPunct w:val="0"/>
              <w:spacing w:before="1"/>
              <w:rPr>
                <w:lang w:val="sk-SK"/>
              </w:rPr>
            </w:pPr>
            <w:r w:rsidRPr="003A5C41">
              <w:rPr>
                <w:sz w:val="22"/>
                <w:szCs w:val="22"/>
                <w:lang w:val="sk-SK"/>
              </w:rPr>
              <w:t>Výsev, suchá koža, pruritus</w:t>
            </w:r>
          </w:p>
        </w:tc>
        <w:tc>
          <w:tcPr>
            <w:tcW w:w="3420" w:type="dxa"/>
            <w:tcBorders>
              <w:top w:val="single" w:sz="4" w:space="0" w:color="000000"/>
              <w:left w:val="single" w:sz="4" w:space="0" w:color="000000"/>
              <w:bottom w:val="single" w:sz="4" w:space="0" w:color="000000"/>
              <w:right w:val="single" w:sz="4" w:space="0" w:color="000000"/>
            </w:tcBorders>
          </w:tcPr>
          <w:p w14:paraId="2C8E6257" w14:textId="77777777" w:rsidR="00D46E1F" w:rsidRPr="003A5C41" w:rsidRDefault="00D46E1F">
            <w:pPr>
              <w:pStyle w:val="TableParagraph"/>
              <w:kinsoku w:val="0"/>
              <w:overflowPunct w:val="0"/>
              <w:spacing w:line="252" w:lineRule="exact"/>
              <w:rPr>
                <w:sz w:val="22"/>
                <w:szCs w:val="22"/>
                <w:lang w:val="sk-SK"/>
              </w:rPr>
            </w:pPr>
            <w:r w:rsidRPr="003A5C41">
              <w:rPr>
                <w:sz w:val="22"/>
                <w:szCs w:val="22"/>
                <w:u w:val="single"/>
                <w:lang w:val="sk-SK"/>
              </w:rPr>
              <w:t>Časté</w:t>
            </w:r>
          </w:p>
          <w:p w14:paraId="6D5F7EA4" w14:textId="77777777" w:rsidR="00D46E1F" w:rsidRPr="003A5C41" w:rsidRDefault="00D46E1F">
            <w:pPr>
              <w:pStyle w:val="TableParagraph"/>
              <w:kinsoku w:val="0"/>
              <w:overflowPunct w:val="0"/>
              <w:spacing w:before="1"/>
              <w:rPr>
                <w:lang w:val="sk-SK"/>
              </w:rPr>
            </w:pPr>
            <w:r w:rsidRPr="003A5C41">
              <w:rPr>
                <w:sz w:val="22"/>
                <w:szCs w:val="22"/>
                <w:lang w:val="sk-SK"/>
              </w:rPr>
              <w:t>Výsev, pruritus</w:t>
            </w:r>
          </w:p>
        </w:tc>
      </w:tr>
      <w:tr w:rsidR="00D46E1F" w:rsidRPr="003A5C41" w14:paraId="3CCC706F" w14:textId="77777777" w:rsidTr="00D6163D">
        <w:trPr>
          <w:trHeight w:hRule="exact" w:val="1044"/>
        </w:trPr>
        <w:tc>
          <w:tcPr>
            <w:tcW w:w="2340" w:type="dxa"/>
            <w:tcBorders>
              <w:top w:val="single" w:sz="4" w:space="0" w:color="000000"/>
              <w:left w:val="single" w:sz="4" w:space="0" w:color="000000"/>
              <w:bottom w:val="single" w:sz="4" w:space="0" w:color="000000"/>
              <w:right w:val="single" w:sz="4" w:space="0" w:color="000000"/>
            </w:tcBorders>
          </w:tcPr>
          <w:p w14:paraId="6BDFD3C8" w14:textId="77777777" w:rsidR="00D46E1F" w:rsidRPr="003A5C41" w:rsidRDefault="00D46E1F">
            <w:pPr>
              <w:pStyle w:val="TableParagraph"/>
              <w:kinsoku w:val="0"/>
              <w:overflowPunct w:val="0"/>
              <w:ind w:right="313"/>
              <w:rPr>
                <w:lang w:val="sk-SK"/>
              </w:rPr>
            </w:pPr>
            <w:r w:rsidRPr="003A5C41">
              <w:rPr>
                <w:b/>
                <w:bCs/>
                <w:sz w:val="22"/>
                <w:szCs w:val="22"/>
                <w:lang w:val="sk-SK"/>
              </w:rPr>
              <w:t>Poruchy kostrovej a svalovej sústavy a spojivového tkaniva</w:t>
            </w:r>
          </w:p>
        </w:tc>
        <w:tc>
          <w:tcPr>
            <w:tcW w:w="3240" w:type="dxa"/>
            <w:tcBorders>
              <w:top w:val="single" w:sz="4" w:space="0" w:color="000000"/>
              <w:left w:val="single" w:sz="4" w:space="0" w:color="000000"/>
              <w:bottom w:val="single" w:sz="4" w:space="0" w:color="000000"/>
              <w:right w:val="single" w:sz="4" w:space="0" w:color="000000"/>
            </w:tcBorders>
          </w:tcPr>
          <w:p w14:paraId="04CC81D1" w14:textId="77777777" w:rsidR="00D46E1F" w:rsidRPr="00CC7E5E" w:rsidRDefault="00D46E1F" w:rsidP="00D6163D">
            <w:pPr>
              <w:pStyle w:val="TableParagraph"/>
              <w:kinsoku w:val="0"/>
              <w:overflowPunct w:val="0"/>
              <w:spacing w:line="251" w:lineRule="exact"/>
              <w:rPr>
                <w:sz w:val="22"/>
                <w:szCs w:val="22"/>
                <w:lang w:val="sk-SK"/>
              </w:rPr>
            </w:pPr>
            <w:r w:rsidRPr="00CC7E5E">
              <w:rPr>
                <w:sz w:val="22"/>
                <w:szCs w:val="22"/>
                <w:u w:val="single"/>
                <w:lang w:val="sk-SK"/>
              </w:rPr>
              <w:t>Veľmi časté</w:t>
            </w:r>
          </w:p>
          <w:p w14:paraId="349CE09B" w14:textId="77777777" w:rsidR="00D46E1F" w:rsidRPr="00D6163D" w:rsidRDefault="00D46E1F" w:rsidP="00D6163D">
            <w:pPr>
              <w:pStyle w:val="TableParagraph"/>
              <w:kinsoku w:val="0"/>
              <w:overflowPunct w:val="0"/>
              <w:spacing w:before="13" w:line="225" w:lineRule="auto"/>
              <w:ind w:right="217"/>
              <w:rPr>
                <w:position w:val="9"/>
                <w:sz w:val="16"/>
                <w:lang w:val="sk-SK"/>
              </w:rPr>
            </w:pPr>
            <w:r w:rsidRPr="00CC7E5E">
              <w:rPr>
                <w:sz w:val="22"/>
                <w:szCs w:val="22"/>
                <w:lang w:val="sk-SK"/>
              </w:rPr>
              <w:t>Svalové kŕče, muskuloskeletálna bolesť (vrátane bolesti chrbta</w:t>
            </w:r>
            <w:r w:rsidR="00CC7E5E" w:rsidRPr="00D6163D">
              <w:rPr>
                <w:position w:val="9"/>
                <w:sz w:val="16"/>
                <w:lang w:val="sk-SK"/>
              </w:rPr>
              <w:t>◊</w:t>
            </w:r>
          </w:p>
          <w:p w14:paraId="01615E33" w14:textId="77777777" w:rsidR="00D46E1F" w:rsidRPr="003A5C41" w:rsidRDefault="00D46E1F" w:rsidP="00CC7E5E">
            <w:pPr>
              <w:pStyle w:val="TableParagraph"/>
              <w:kinsoku w:val="0"/>
              <w:overflowPunct w:val="0"/>
              <w:spacing w:before="6"/>
              <w:rPr>
                <w:lang w:val="sk-SK"/>
              </w:rPr>
            </w:pPr>
            <w:r w:rsidRPr="00CC7E5E">
              <w:rPr>
                <w:sz w:val="22"/>
                <w:szCs w:val="22"/>
                <w:lang w:val="sk-SK"/>
              </w:rPr>
              <w:t>a končatín), artralgia, myalgia</w:t>
            </w:r>
          </w:p>
        </w:tc>
        <w:tc>
          <w:tcPr>
            <w:tcW w:w="3420" w:type="dxa"/>
            <w:tcBorders>
              <w:top w:val="single" w:sz="4" w:space="0" w:color="000000"/>
              <w:left w:val="single" w:sz="4" w:space="0" w:color="000000"/>
              <w:bottom w:val="single" w:sz="4" w:space="0" w:color="000000"/>
              <w:right w:val="single" w:sz="4" w:space="0" w:color="000000"/>
            </w:tcBorders>
          </w:tcPr>
          <w:p w14:paraId="0F676D5F" w14:textId="77777777" w:rsidR="00D46E1F" w:rsidRPr="003A5C41" w:rsidRDefault="00D46E1F" w:rsidP="00D6163D">
            <w:pPr>
              <w:pStyle w:val="TableParagraph"/>
              <w:kinsoku w:val="0"/>
              <w:overflowPunct w:val="0"/>
              <w:spacing w:line="245" w:lineRule="exact"/>
              <w:rPr>
                <w:sz w:val="22"/>
                <w:szCs w:val="22"/>
                <w:lang w:val="sk-SK"/>
              </w:rPr>
            </w:pPr>
            <w:r w:rsidRPr="003A5C41">
              <w:rPr>
                <w:sz w:val="22"/>
                <w:szCs w:val="22"/>
                <w:u w:val="single"/>
                <w:lang w:val="sk-SK"/>
              </w:rPr>
              <w:t>Časté</w:t>
            </w:r>
          </w:p>
          <w:p w14:paraId="0DDB9AC0" w14:textId="77777777" w:rsidR="00D46E1F" w:rsidRPr="003A5C41" w:rsidRDefault="00D46E1F" w:rsidP="00D6163D">
            <w:pPr>
              <w:pStyle w:val="TableParagraph"/>
              <w:kinsoku w:val="0"/>
              <w:overflowPunct w:val="0"/>
              <w:spacing w:line="280" w:lineRule="exact"/>
              <w:rPr>
                <w:lang w:val="sk-SK"/>
              </w:rPr>
            </w:pPr>
            <w:r w:rsidRPr="003A5C41">
              <w:rPr>
                <w:sz w:val="22"/>
                <w:szCs w:val="22"/>
                <w:lang w:val="sk-SK"/>
              </w:rPr>
              <w:t>Bolesť chrbta</w:t>
            </w:r>
            <w:r w:rsidR="00CC7E5E" w:rsidRPr="00D6163D">
              <w:rPr>
                <w:position w:val="9"/>
                <w:sz w:val="16"/>
                <w:lang w:val="sk-SK"/>
              </w:rPr>
              <w:t>◊</w:t>
            </w:r>
          </w:p>
        </w:tc>
      </w:tr>
      <w:tr w:rsidR="00D46E1F" w:rsidRPr="003A5C41" w14:paraId="46E2D399" w14:textId="77777777" w:rsidTr="00D6163D">
        <w:trPr>
          <w:trHeight w:hRule="exact" w:val="540"/>
        </w:trPr>
        <w:tc>
          <w:tcPr>
            <w:tcW w:w="2340" w:type="dxa"/>
            <w:tcBorders>
              <w:top w:val="single" w:sz="4" w:space="0" w:color="000000"/>
              <w:left w:val="single" w:sz="4" w:space="0" w:color="000000"/>
              <w:bottom w:val="single" w:sz="4" w:space="0" w:color="000000"/>
              <w:right w:val="single" w:sz="4" w:space="0" w:color="000000"/>
            </w:tcBorders>
          </w:tcPr>
          <w:p w14:paraId="0A0228C2" w14:textId="77777777" w:rsidR="00D46E1F" w:rsidRPr="003A5C41" w:rsidRDefault="00D46E1F">
            <w:pPr>
              <w:pStyle w:val="TableParagraph"/>
              <w:kinsoku w:val="0"/>
              <w:overflowPunct w:val="0"/>
              <w:spacing w:before="1"/>
              <w:ind w:right="459"/>
              <w:rPr>
                <w:lang w:val="sk-SK"/>
              </w:rPr>
            </w:pPr>
            <w:r w:rsidRPr="003A5C41">
              <w:rPr>
                <w:b/>
                <w:bCs/>
                <w:sz w:val="22"/>
                <w:szCs w:val="22"/>
                <w:lang w:val="sk-SK"/>
              </w:rPr>
              <w:t>Poruchy obličiek a močových ciest</w:t>
            </w:r>
          </w:p>
        </w:tc>
        <w:tc>
          <w:tcPr>
            <w:tcW w:w="3240" w:type="dxa"/>
            <w:tcBorders>
              <w:top w:val="single" w:sz="4" w:space="0" w:color="000000"/>
              <w:left w:val="single" w:sz="4" w:space="0" w:color="000000"/>
              <w:bottom w:val="single" w:sz="4" w:space="0" w:color="000000"/>
              <w:right w:val="single" w:sz="4" w:space="0" w:color="000000"/>
            </w:tcBorders>
          </w:tcPr>
          <w:p w14:paraId="0FE24EC8" w14:textId="77777777" w:rsidR="00D46E1F" w:rsidRPr="003A5C41" w:rsidRDefault="00D46E1F"/>
        </w:tc>
        <w:tc>
          <w:tcPr>
            <w:tcW w:w="3420" w:type="dxa"/>
            <w:tcBorders>
              <w:top w:val="single" w:sz="4" w:space="0" w:color="000000"/>
              <w:left w:val="single" w:sz="4" w:space="0" w:color="000000"/>
              <w:bottom w:val="single" w:sz="4" w:space="0" w:color="000000"/>
              <w:right w:val="single" w:sz="4" w:space="0" w:color="000000"/>
            </w:tcBorders>
          </w:tcPr>
          <w:p w14:paraId="77F4F9E3" w14:textId="77777777" w:rsidR="00D46E1F" w:rsidRPr="003A5C41" w:rsidRDefault="00D46E1F" w:rsidP="00D6163D">
            <w:pPr>
              <w:pStyle w:val="TableParagraph"/>
              <w:kinsoku w:val="0"/>
              <w:overflowPunct w:val="0"/>
              <w:spacing w:before="1" w:line="245" w:lineRule="exact"/>
              <w:rPr>
                <w:sz w:val="22"/>
                <w:szCs w:val="22"/>
                <w:lang w:val="sk-SK"/>
              </w:rPr>
            </w:pPr>
            <w:r w:rsidRPr="003A5C41">
              <w:rPr>
                <w:sz w:val="22"/>
                <w:szCs w:val="22"/>
                <w:u w:val="single"/>
                <w:lang w:val="sk-SK"/>
              </w:rPr>
              <w:t>Menej časté</w:t>
            </w:r>
          </w:p>
          <w:p w14:paraId="0C237241" w14:textId="77777777" w:rsidR="00D46E1F" w:rsidRPr="003A5C41" w:rsidRDefault="00D46E1F" w:rsidP="00D6163D">
            <w:pPr>
              <w:pStyle w:val="TableParagraph"/>
              <w:kinsoku w:val="0"/>
              <w:overflowPunct w:val="0"/>
              <w:spacing w:line="279" w:lineRule="exact"/>
              <w:rPr>
                <w:lang w:val="sk-SK"/>
              </w:rPr>
            </w:pPr>
            <w:r w:rsidRPr="003A5C41">
              <w:rPr>
                <w:sz w:val="22"/>
                <w:szCs w:val="22"/>
                <w:lang w:val="sk-SK"/>
              </w:rPr>
              <w:t>Renálne zlyhanie</w:t>
            </w:r>
            <w:r w:rsidR="00CC7E5E" w:rsidRPr="00D6163D">
              <w:rPr>
                <w:position w:val="9"/>
                <w:sz w:val="16"/>
                <w:lang w:val="sk-SK"/>
              </w:rPr>
              <w:t>◊</w:t>
            </w:r>
          </w:p>
        </w:tc>
      </w:tr>
      <w:tr w:rsidR="00D46E1F" w:rsidRPr="003A5C41" w14:paraId="453B4C93" w14:textId="77777777" w:rsidTr="00CA7A4F">
        <w:trPr>
          <w:trHeight w:hRule="exact" w:val="262"/>
        </w:trPr>
        <w:tc>
          <w:tcPr>
            <w:tcW w:w="2340" w:type="dxa"/>
            <w:tcBorders>
              <w:top w:val="single" w:sz="4" w:space="0" w:color="000000"/>
              <w:left w:val="single" w:sz="4" w:space="0" w:color="000000"/>
              <w:bottom w:val="none" w:sz="6" w:space="0" w:color="auto"/>
              <w:right w:val="single" w:sz="4" w:space="0" w:color="000000"/>
            </w:tcBorders>
          </w:tcPr>
          <w:p w14:paraId="06DC5FF7" w14:textId="77777777" w:rsidR="00D46E1F" w:rsidRPr="003A5C41" w:rsidRDefault="00D46E1F">
            <w:pPr>
              <w:pStyle w:val="TableParagraph"/>
              <w:kinsoku w:val="0"/>
              <w:overflowPunct w:val="0"/>
              <w:spacing w:line="252" w:lineRule="exact"/>
              <w:rPr>
                <w:lang w:val="sk-SK"/>
              </w:rPr>
            </w:pPr>
            <w:r w:rsidRPr="003A5C41">
              <w:rPr>
                <w:b/>
                <w:bCs/>
                <w:sz w:val="22"/>
                <w:szCs w:val="22"/>
                <w:lang w:val="sk-SK"/>
              </w:rPr>
              <w:t>Celkové poruchy a</w:t>
            </w:r>
          </w:p>
        </w:tc>
        <w:tc>
          <w:tcPr>
            <w:tcW w:w="3240" w:type="dxa"/>
            <w:tcBorders>
              <w:top w:val="single" w:sz="4" w:space="0" w:color="000000"/>
              <w:left w:val="single" w:sz="4" w:space="0" w:color="000000"/>
              <w:bottom w:val="none" w:sz="6" w:space="0" w:color="auto"/>
              <w:right w:val="single" w:sz="4" w:space="0" w:color="000000"/>
            </w:tcBorders>
          </w:tcPr>
          <w:p w14:paraId="4F5A2FDE" w14:textId="77777777" w:rsidR="00D46E1F" w:rsidRPr="003A5C41" w:rsidRDefault="00D46E1F">
            <w:pPr>
              <w:pStyle w:val="TableParagraph"/>
              <w:kinsoku w:val="0"/>
              <w:overflowPunct w:val="0"/>
              <w:spacing w:line="252" w:lineRule="exact"/>
              <w:rPr>
                <w:lang w:val="sk-SK"/>
              </w:rPr>
            </w:pPr>
            <w:r w:rsidRPr="003A5C41">
              <w:rPr>
                <w:sz w:val="22"/>
                <w:szCs w:val="22"/>
                <w:u w:val="single"/>
                <w:lang w:val="sk-SK"/>
              </w:rPr>
              <w:t>Veľmi časté</w:t>
            </w:r>
          </w:p>
        </w:tc>
        <w:tc>
          <w:tcPr>
            <w:tcW w:w="3420" w:type="dxa"/>
            <w:tcBorders>
              <w:top w:val="single" w:sz="4" w:space="0" w:color="000000"/>
              <w:left w:val="single" w:sz="4" w:space="0" w:color="000000"/>
              <w:bottom w:val="none" w:sz="6" w:space="0" w:color="auto"/>
              <w:right w:val="single" w:sz="4" w:space="0" w:color="000000"/>
            </w:tcBorders>
          </w:tcPr>
          <w:p w14:paraId="51EB26C6" w14:textId="77777777" w:rsidR="00D46E1F" w:rsidRPr="003A5C41" w:rsidRDefault="00D46E1F">
            <w:pPr>
              <w:pStyle w:val="TableParagraph"/>
              <w:kinsoku w:val="0"/>
              <w:overflowPunct w:val="0"/>
              <w:spacing w:line="252" w:lineRule="exact"/>
              <w:rPr>
                <w:lang w:val="sk-SK"/>
              </w:rPr>
            </w:pPr>
            <w:r w:rsidRPr="003A5C41">
              <w:rPr>
                <w:sz w:val="22"/>
                <w:szCs w:val="22"/>
                <w:u w:val="single"/>
                <w:lang w:val="sk-SK"/>
              </w:rPr>
              <w:t>Časté</w:t>
            </w:r>
          </w:p>
        </w:tc>
      </w:tr>
      <w:tr w:rsidR="00D46E1F" w:rsidRPr="003A5C41" w14:paraId="5B47321B" w14:textId="77777777" w:rsidTr="00CA7A4F">
        <w:trPr>
          <w:trHeight w:hRule="exact" w:val="253"/>
        </w:trPr>
        <w:tc>
          <w:tcPr>
            <w:tcW w:w="2340" w:type="dxa"/>
            <w:tcBorders>
              <w:top w:val="none" w:sz="6" w:space="0" w:color="auto"/>
              <w:left w:val="single" w:sz="4" w:space="0" w:color="000000"/>
              <w:bottom w:val="none" w:sz="6" w:space="0" w:color="auto"/>
              <w:right w:val="single" w:sz="4" w:space="0" w:color="000000"/>
            </w:tcBorders>
          </w:tcPr>
          <w:p w14:paraId="0EF58AA8" w14:textId="77777777" w:rsidR="00D46E1F" w:rsidRPr="003A5C41" w:rsidRDefault="00D46E1F">
            <w:pPr>
              <w:pStyle w:val="TableParagraph"/>
              <w:kinsoku w:val="0"/>
              <w:overflowPunct w:val="0"/>
              <w:spacing w:line="249" w:lineRule="exact"/>
              <w:rPr>
                <w:lang w:val="sk-SK"/>
              </w:rPr>
            </w:pPr>
            <w:r w:rsidRPr="003A5C41">
              <w:rPr>
                <w:b/>
                <w:bCs/>
                <w:sz w:val="22"/>
                <w:szCs w:val="22"/>
                <w:lang w:val="sk-SK"/>
              </w:rPr>
              <w:t>reakcie v mieste</w:t>
            </w:r>
          </w:p>
        </w:tc>
        <w:tc>
          <w:tcPr>
            <w:tcW w:w="3240" w:type="dxa"/>
            <w:tcBorders>
              <w:top w:val="none" w:sz="6" w:space="0" w:color="auto"/>
              <w:left w:val="single" w:sz="4" w:space="0" w:color="000000"/>
              <w:bottom w:val="none" w:sz="6" w:space="0" w:color="auto"/>
              <w:right w:val="single" w:sz="4" w:space="0" w:color="000000"/>
            </w:tcBorders>
          </w:tcPr>
          <w:p w14:paraId="7CD50E0B" w14:textId="0DFA7F8B" w:rsidR="00D46E1F" w:rsidRPr="003A5C41" w:rsidRDefault="00D6163D">
            <w:pPr>
              <w:pStyle w:val="TableParagraph"/>
              <w:kinsoku w:val="0"/>
              <w:overflowPunct w:val="0"/>
              <w:spacing w:line="249" w:lineRule="exact"/>
              <w:rPr>
                <w:lang w:val="sk-SK"/>
              </w:rPr>
            </w:pPr>
            <w:r w:rsidRPr="00D6163D">
              <w:rPr>
                <w:sz w:val="22"/>
                <w:szCs w:val="22"/>
                <w:lang w:val="sk-SK"/>
              </w:rPr>
              <w:t>Únava</w:t>
            </w:r>
            <w:r w:rsidR="00D46E1F" w:rsidRPr="003A5C41">
              <w:rPr>
                <w:sz w:val="22"/>
                <w:szCs w:val="22"/>
                <w:lang w:val="sk-SK"/>
              </w:rPr>
              <w:t>, periférny edém,</w:t>
            </w:r>
          </w:p>
        </w:tc>
        <w:tc>
          <w:tcPr>
            <w:tcW w:w="3420" w:type="dxa"/>
            <w:tcBorders>
              <w:top w:val="none" w:sz="6" w:space="0" w:color="auto"/>
              <w:left w:val="single" w:sz="4" w:space="0" w:color="000000"/>
              <w:bottom w:val="none" w:sz="6" w:space="0" w:color="auto"/>
              <w:right w:val="single" w:sz="4" w:space="0" w:color="000000"/>
            </w:tcBorders>
          </w:tcPr>
          <w:p w14:paraId="1488B2FC" w14:textId="77777777" w:rsidR="00D46E1F" w:rsidRPr="003A5C41" w:rsidRDefault="00D46E1F">
            <w:pPr>
              <w:pStyle w:val="TableParagraph"/>
              <w:kinsoku w:val="0"/>
              <w:overflowPunct w:val="0"/>
              <w:spacing w:line="249" w:lineRule="exact"/>
              <w:rPr>
                <w:lang w:val="sk-SK"/>
              </w:rPr>
            </w:pPr>
            <w:r w:rsidRPr="003A5C41">
              <w:rPr>
                <w:sz w:val="22"/>
                <w:szCs w:val="22"/>
                <w:lang w:val="sk-SK"/>
              </w:rPr>
              <w:t>Horúčka</w:t>
            </w:r>
          </w:p>
        </w:tc>
      </w:tr>
      <w:tr w:rsidR="00D46E1F" w:rsidRPr="003A5C41" w14:paraId="5EAF7EBA" w14:textId="77777777" w:rsidTr="00CA7A4F">
        <w:trPr>
          <w:trHeight w:hRule="exact" w:val="252"/>
        </w:trPr>
        <w:tc>
          <w:tcPr>
            <w:tcW w:w="2340" w:type="dxa"/>
            <w:tcBorders>
              <w:top w:val="none" w:sz="6" w:space="0" w:color="auto"/>
              <w:left w:val="single" w:sz="4" w:space="0" w:color="000000"/>
              <w:bottom w:val="none" w:sz="6" w:space="0" w:color="auto"/>
              <w:right w:val="single" w:sz="4" w:space="0" w:color="000000"/>
            </w:tcBorders>
          </w:tcPr>
          <w:p w14:paraId="555A175D" w14:textId="77777777" w:rsidR="00D46E1F" w:rsidRPr="003A5C41" w:rsidRDefault="00D46E1F">
            <w:pPr>
              <w:pStyle w:val="TableParagraph"/>
              <w:kinsoku w:val="0"/>
              <w:overflowPunct w:val="0"/>
              <w:spacing w:line="248" w:lineRule="exact"/>
              <w:rPr>
                <w:lang w:val="sk-SK"/>
              </w:rPr>
            </w:pPr>
            <w:r w:rsidRPr="003A5C41">
              <w:rPr>
                <w:b/>
                <w:bCs/>
                <w:sz w:val="22"/>
                <w:szCs w:val="22"/>
                <w:lang w:val="sk-SK"/>
              </w:rPr>
              <w:t>podania</w:t>
            </w:r>
          </w:p>
        </w:tc>
        <w:tc>
          <w:tcPr>
            <w:tcW w:w="3240" w:type="dxa"/>
            <w:tcBorders>
              <w:top w:val="none" w:sz="6" w:space="0" w:color="auto"/>
              <w:left w:val="single" w:sz="4" w:space="0" w:color="000000"/>
              <w:bottom w:val="none" w:sz="6" w:space="0" w:color="auto"/>
              <w:right w:val="single" w:sz="4" w:space="0" w:color="000000"/>
            </w:tcBorders>
          </w:tcPr>
          <w:p w14:paraId="7C3F37A7" w14:textId="77777777" w:rsidR="00D46E1F" w:rsidRPr="003A5C41" w:rsidRDefault="00D46E1F">
            <w:pPr>
              <w:pStyle w:val="TableParagraph"/>
              <w:kinsoku w:val="0"/>
              <w:overflowPunct w:val="0"/>
              <w:spacing w:line="248" w:lineRule="exact"/>
              <w:rPr>
                <w:lang w:val="sk-SK"/>
              </w:rPr>
            </w:pPr>
            <w:r w:rsidRPr="003A5C41">
              <w:rPr>
                <w:sz w:val="22"/>
                <w:szCs w:val="22"/>
                <w:lang w:val="sk-SK"/>
              </w:rPr>
              <w:t>syndróm podobný chrípke</w:t>
            </w:r>
          </w:p>
        </w:tc>
        <w:tc>
          <w:tcPr>
            <w:tcW w:w="3420" w:type="dxa"/>
            <w:tcBorders>
              <w:top w:val="none" w:sz="6" w:space="0" w:color="auto"/>
              <w:left w:val="single" w:sz="4" w:space="0" w:color="000000"/>
              <w:bottom w:val="none" w:sz="6" w:space="0" w:color="auto"/>
              <w:right w:val="single" w:sz="4" w:space="0" w:color="000000"/>
            </w:tcBorders>
          </w:tcPr>
          <w:p w14:paraId="2046FEF3" w14:textId="77777777" w:rsidR="00D46E1F" w:rsidRPr="003A5C41" w:rsidRDefault="00D46E1F"/>
        </w:tc>
      </w:tr>
      <w:tr w:rsidR="00D46E1F" w:rsidRPr="003A5C41" w14:paraId="4176431A" w14:textId="77777777" w:rsidTr="00CA7A4F">
        <w:trPr>
          <w:trHeight w:hRule="exact" w:val="253"/>
        </w:trPr>
        <w:tc>
          <w:tcPr>
            <w:tcW w:w="2340" w:type="dxa"/>
            <w:tcBorders>
              <w:top w:val="none" w:sz="6" w:space="0" w:color="auto"/>
              <w:left w:val="single" w:sz="4" w:space="0" w:color="000000"/>
              <w:bottom w:val="none" w:sz="6" w:space="0" w:color="auto"/>
              <w:right w:val="single" w:sz="4" w:space="0" w:color="000000"/>
            </w:tcBorders>
          </w:tcPr>
          <w:p w14:paraId="0D9D863B" w14:textId="77777777" w:rsidR="00D46E1F" w:rsidRPr="003A5C41" w:rsidRDefault="00D46E1F"/>
        </w:tc>
        <w:tc>
          <w:tcPr>
            <w:tcW w:w="3240" w:type="dxa"/>
            <w:tcBorders>
              <w:top w:val="none" w:sz="6" w:space="0" w:color="auto"/>
              <w:left w:val="single" w:sz="4" w:space="0" w:color="000000"/>
              <w:bottom w:val="none" w:sz="6" w:space="0" w:color="auto"/>
              <w:right w:val="single" w:sz="4" w:space="0" w:color="000000"/>
            </w:tcBorders>
          </w:tcPr>
          <w:p w14:paraId="6F33450C" w14:textId="77777777" w:rsidR="00D46E1F" w:rsidRPr="003A5C41" w:rsidRDefault="00D46E1F">
            <w:pPr>
              <w:pStyle w:val="TableParagraph"/>
              <w:kinsoku w:val="0"/>
              <w:overflowPunct w:val="0"/>
              <w:spacing w:line="248" w:lineRule="exact"/>
              <w:rPr>
                <w:lang w:val="sk-SK"/>
              </w:rPr>
            </w:pPr>
            <w:r w:rsidRPr="003A5C41">
              <w:rPr>
                <w:sz w:val="22"/>
                <w:szCs w:val="22"/>
                <w:lang w:val="sk-SK"/>
              </w:rPr>
              <w:t>(vrátane horúčky, kašľa,</w:t>
            </w:r>
          </w:p>
        </w:tc>
        <w:tc>
          <w:tcPr>
            <w:tcW w:w="3420" w:type="dxa"/>
            <w:tcBorders>
              <w:top w:val="none" w:sz="6" w:space="0" w:color="auto"/>
              <w:left w:val="single" w:sz="4" w:space="0" w:color="000000"/>
              <w:bottom w:val="none" w:sz="6" w:space="0" w:color="auto"/>
              <w:right w:val="single" w:sz="4" w:space="0" w:color="000000"/>
            </w:tcBorders>
          </w:tcPr>
          <w:p w14:paraId="1CECBF5E" w14:textId="77777777" w:rsidR="00D46E1F" w:rsidRPr="003A5C41" w:rsidRDefault="00D46E1F"/>
        </w:tc>
      </w:tr>
      <w:tr w:rsidR="00D46E1F" w:rsidRPr="003A5C41" w14:paraId="46425FE4" w14:textId="77777777" w:rsidTr="00CA7A4F">
        <w:trPr>
          <w:trHeight w:hRule="exact" w:val="253"/>
        </w:trPr>
        <w:tc>
          <w:tcPr>
            <w:tcW w:w="2340" w:type="dxa"/>
            <w:tcBorders>
              <w:top w:val="none" w:sz="6" w:space="0" w:color="auto"/>
              <w:left w:val="single" w:sz="4" w:space="0" w:color="000000"/>
              <w:bottom w:val="none" w:sz="6" w:space="0" w:color="auto"/>
              <w:right w:val="single" w:sz="4" w:space="0" w:color="000000"/>
            </w:tcBorders>
          </w:tcPr>
          <w:p w14:paraId="70F920FF" w14:textId="77777777" w:rsidR="00D46E1F" w:rsidRPr="003A5C41" w:rsidRDefault="00D46E1F"/>
        </w:tc>
        <w:tc>
          <w:tcPr>
            <w:tcW w:w="3240" w:type="dxa"/>
            <w:tcBorders>
              <w:top w:val="none" w:sz="6" w:space="0" w:color="auto"/>
              <w:left w:val="single" w:sz="4" w:space="0" w:color="000000"/>
              <w:bottom w:val="none" w:sz="6" w:space="0" w:color="auto"/>
              <w:right w:val="single" w:sz="4" w:space="0" w:color="000000"/>
            </w:tcBorders>
          </w:tcPr>
          <w:p w14:paraId="2073CDB3" w14:textId="77777777" w:rsidR="00D46E1F" w:rsidRPr="003A5C41" w:rsidRDefault="00D46E1F">
            <w:pPr>
              <w:pStyle w:val="TableParagraph"/>
              <w:kinsoku w:val="0"/>
              <w:overflowPunct w:val="0"/>
              <w:spacing w:line="249" w:lineRule="exact"/>
              <w:rPr>
                <w:lang w:val="sk-SK"/>
              </w:rPr>
            </w:pPr>
            <w:r w:rsidRPr="003A5C41">
              <w:rPr>
                <w:sz w:val="22"/>
                <w:szCs w:val="22"/>
                <w:lang w:val="sk-SK"/>
              </w:rPr>
              <w:t>faryngitídy, myalgie,</w:t>
            </w:r>
          </w:p>
        </w:tc>
        <w:tc>
          <w:tcPr>
            <w:tcW w:w="3420" w:type="dxa"/>
            <w:tcBorders>
              <w:top w:val="none" w:sz="6" w:space="0" w:color="auto"/>
              <w:left w:val="single" w:sz="4" w:space="0" w:color="000000"/>
              <w:bottom w:val="none" w:sz="6" w:space="0" w:color="auto"/>
              <w:right w:val="single" w:sz="4" w:space="0" w:color="000000"/>
            </w:tcBorders>
          </w:tcPr>
          <w:p w14:paraId="15A717A2" w14:textId="77777777" w:rsidR="00D46E1F" w:rsidRPr="003A5C41" w:rsidRDefault="00D46E1F"/>
        </w:tc>
      </w:tr>
      <w:tr w:rsidR="00D46E1F" w:rsidRPr="003A5C41" w14:paraId="07ED230D" w14:textId="77777777" w:rsidTr="00CA7A4F">
        <w:trPr>
          <w:trHeight w:hRule="exact" w:val="253"/>
        </w:trPr>
        <w:tc>
          <w:tcPr>
            <w:tcW w:w="2340" w:type="dxa"/>
            <w:tcBorders>
              <w:top w:val="none" w:sz="6" w:space="0" w:color="auto"/>
              <w:left w:val="single" w:sz="4" w:space="0" w:color="000000"/>
              <w:bottom w:val="none" w:sz="6" w:space="0" w:color="auto"/>
              <w:right w:val="single" w:sz="4" w:space="0" w:color="000000"/>
            </w:tcBorders>
          </w:tcPr>
          <w:p w14:paraId="7B6596F3" w14:textId="77777777" w:rsidR="00D46E1F" w:rsidRPr="003A5C41" w:rsidRDefault="00D46E1F"/>
        </w:tc>
        <w:tc>
          <w:tcPr>
            <w:tcW w:w="3240" w:type="dxa"/>
            <w:tcBorders>
              <w:top w:val="none" w:sz="6" w:space="0" w:color="auto"/>
              <w:left w:val="single" w:sz="4" w:space="0" w:color="000000"/>
              <w:bottom w:val="none" w:sz="6" w:space="0" w:color="auto"/>
              <w:right w:val="single" w:sz="4" w:space="0" w:color="000000"/>
            </w:tcBorders>
          </w:tcPr>
          <w:p w14:paraId="035CE26A" w14:textId="77777777" w:rsidR="00D46E1F" w:rsidRPr="003A5C41" w:rsidRDefault="00D46E1F">
            <w:pPr>
              <w:pStyle w:val="TableParagraph"/>
              <w:kinsoku w:val="0"/>
              <w:overflowPunct w:val="0"/>
              <w:spacing w:line="248" w:lineRule="exact"/>
              <w:rPr>
                <w:lang w:val="sk-SK"/>
              </w:rPr>
            </w:pPr>
            <w:r w:rsidRPr="003A5C41">
              <w:rPr>
                <w:sz w:val="22"/>
                <w:szCs w:val="22"/>
                <w:lang w:val="sk-SK"/>
              </w:rPr>
              <w:t>muskuloskeletálnej bolesti,</w:t>
            </w:r>
          </w:p>
        </w:tc>
        <w:tc>
          <w:tcPr>
            <w:tcW w:w="3420" w:type="dxa"/>
            <w:tcBorders>
              <w:top w:val="none" w:sz="6" w:space="0" w:color="auto"/>
              <w:left w:val="single" w:sz="4" w:space="0" w:color="000000"/>
              <w:bottom w:val="none" w:sz="6" w:space="0" w:color="auto"/>
              <w:right w:val="single" w:sz="4" w:space="0" w:color="000000"/>
            </w:tcBorders>
          </w:tcPr>
          <w:p w14:paraId="1D66B2FC" w14:textId="77777777" w:rsidR="00D46E1F" w:rsidRPr="003A5C41" w:rsidRDefault="00D46E1F"/>
        </w:tc>
      </w:tr>
      <w:tr w:rsidR="00D46E1F" w:rsidRPr="003A5C41" w14:paraId="67EC658F" w14:textId="77777777" w:rsidTr="00CA7A4F">
        <w:trPr>
          <w:trHeight w:hRule="exact" w:val="254"/>
        </w:trPr>
        <w:tc>
          <w:tcPr>
            <w:tcW w:w="2340" w:type="dxa"/>
            <w:tcBorders>
              <w:top w:val="none" w:sz="6" w:space="0" w:color="auto"/>
              <w:left w:val="single" w:sz="4" w:space="0" w:color="000000"/>
              <w:bottom w:val="single" w:sz="4" w:space="0" w:color="000000"/>
              <w:right w:val="single" w:sz="4" w:space="0" w:color="000000"/>
            </w:tcBorders>
          </w:tcPr>
          <w:p w14:paraId="2F66515C" w14:textId="77777777" w:rsidR="00D46E1F" w:rsidRPr="003A5C41" w:rsidRDefault="00D46E1F"/>
        </w:tc>
        <w:tc>
          <w:tcPr>
            <w:tcW w:w="3240" w:type="dxa"/>
            <w:tcBorders>
              <w:top w:val="none" w:sz="6" w:space="0" w:color="auto"/>
              <w:left w:val="single" w:sz="4" w:space="0" w:color="000000"/>
              <w:bottom w:val="single" w:sz="4" w:space="0" w:color="000000"/>
              <w:right w:val="single" w:sz="4" w:space="0" w:color="000000"/>
            </w:tcBorders>
          </w:tcPr>
          <w:p w14:paraId="034C13A3" w14:textId="77777777" w:rsidR="00D46E1F" w:rsidRPr="003A5C41" w:rsidRDefault="00D46E1F">
            <w:pPr>
              <w:pStyle w:val="TableParagraph"/>
              <w:kinsoku w:val="0"/>
              <w:overflowPunct w:val="0"/>
              <w:spacing w:line="249" w:lineRule="exact"/>
              <w:rPr>
                <w:lang w:val="sk-SK"/>
              </w:rPr>
            </w:pPr>
            <w:r w:rsidRPr="003A5C41">
              <w:rPr>
                <w:sz w:val="22"/>
                <w:szCs w:val="22"/>
                <w:lang w:val="sk-SK"/>
              </w:rPr>
              <w:t>bolesti hlavy)</w:t>
            </w:r>
          </w:p>
        </w:tc>
        <w:tc>
          <w:tcPr>
            <w:tcW w:w="3420" w:type="dxa"/>
            <w:tcBorders>
              <w:top w:val="none" w:sz="6" w:space="0" w:color="auto"/>
              <w:left w:val="single" w:sz="4" w:space="0" w:color="000000"/>
              <w:bottom w:val="single" w:sz="4" w:space="0" w:color="000000"/>
              <w:right w:val="single" w:sz="4" w:space="0" w:color="000000"/>
            </w:tcBorders>
          </w:tcPr>
          <w:p w14:paraId="189A0632" w14:textId="77777777" w:rsidR="00D46E1F" w:rsidRPr="003A5C41" w:rsidRDefault="00D46E1F"/>
        </w:tc>
      </w:tr>
      <w:tr w:rsidR="00D46E1F" w:rsidRPr="003A5C41" w14:paraId="112777F2" w14:textId="77777777" w:rsidTr="00CA7A4F">
        <w:trPr>
          <w:trHeight w:hRule="exact" w:val="771"/>
        </w:trPr>
        <w:tc>
          <w:tcPr>
            <w:tcW w:w="2340" w:type="dxa"/>
            <w:tcBorders>
              <w:top w:val="single" w:sz="4" w:space="0" w:color="000000"/>
              <w:left w:val="single" w:sz="4" w:space="0" w:color="000000"/>
              <w:bottom w:val="single" w:sz="3" w:space="0" w:color="000000"/>
              <w:right w:val="single" w:sz="4" w:space="0" w:color="000000"/>
            </w:tcBorders>
          </w:tcPr>
          <w:p w14:paraId="73011509" w14:textId="77777777" w:rsidR="00D46E1F" w:rsidRPr="003A5C41" w:rsidRDefault="00D46E1F">
            <w:pPr>
              <w:pStyle w:val="TableParagraph"/>
              <w:kinsoku w:val="0"/>
              <w:overflowPunct w:val="0"/>
              <w:ind w:right="893"/>
              <w:rPr>
                <w:b/>
                <w:bCs/>
                <w:sz w:val="22"/>
                <w:szCs w:val="22"/>
                <w:lang w:val="sk-SK"/>
              </w:rPr>
            </w:pPr>
            <w:r w:rsidRPr="003A5C41">
              <w:rPr>
                <w:b/>
                <w:bCs/>
                <w:sz w:val="22"/>
                <w:szCs w:val="22"/>
                <w:lang w:val="sk-SK"/>
              </w:rPr>
              <w:t>Úrazy, otravy a komplikácie</w:t>
            </w:r>
          </w:p>
          <w:p w14:paraId="0B90DE4D" w14:textId="77777777" w:rsidR="00D46E1F" w:rsidRPr="003A5C41" w:rsidRDefault="00D46E1F">
            <w:pPr>
              <w:pStyle w:val="TableParagraph"/>
              <w:kinsoku w:val="0"/>
              <w:overflowPunct w:val="0"/>
              <w:spacing w:before="1" w:line="252" w:lineRule="exact"/>
              <w:rPr>
                <w:lang w:val="sk-SK"/>
              </w:rPr>
            </w:pPr>
            <w:r w:rsidRPr="003A5C41">
              <w:rPr>
                <w:b/>
                <w:bCs/>
                <w:sz w:val="22"/>
                <w:szCs w:val="22"/>
                <w:lang w:val="sk-SK"/>
              </w:rPr>
              <w:t>liečebného postupu</w:t>
            </w:r>
          </w:p>
        </w:tc>
        <w:tc>
          <w:tcPr>
            <w:tcW w:w="3240" w:type="dxa"/>
            <w:tcBorders>
              <w:top w:val="single" w:sz="4" w:space="0" w:color="000000"/>
              <w:left w:val="single" w:sz="4" w:space="0" w:color="000000"/>
              <w:bottom w:val="single" w:sz="3" w:space="0" w:color="000000"/>
              <w:right w:val="single" w:sz="4" w:space="0" w:color="000000"/>
            </w:tcBorders>
          </w:tcPr>
          <w:p w14:paraId="4FACF654" w14:textId="77777777" w:rsidR="00D46E1F" w:rsidRPr="003A5C41" w:rsidRDefault="00D46E1F"/>
        </w:tc>
        <w:tc>
          <w:tcPr>
            <w:tcW w:w="3420" w:type="dxa"/>
            <w:tcBorders>
              <w:top w:val="single" w:sz="4" w:space="0" w:color="000000"/>
              <w:left w:val="single" w:sz="4" w:space="0" w:color="000000"/>
              <w:bottom w:val="single" w:sz="3" w:space="0" w:color="000000"/>
              <w:right w:val="single" w:sz="4" w:space="0" w:color="000000"/>
            </w:tcBorders>
          </w:tcPr>
          <w:p w14:paraId="3972E3DC" w14:textId="77777777" w:rsidR="00D46E1F" w:rsidRPr="003A5C41" w:rsidRDefault="00D46E1F">
            <w:pPr>
              <w:pStyle w:val="TableParagraph"/>
              <w:kinsoku w:val="0"/>
              <w:overflowPunct w:val="0"/>
              <w:spacing w:line="252" w:lineRule="exact"/>
              <w:rPr>
                <w:sz w:val="22"/>
                <w:szCs w:val="22"/>
                <w:lang w:val="sk-SK"/>
              </w:rPr>
            </w:pPr>
            <w:r w:rsidRPr="003A5C41">
              <w:rPr>
                <w:sz w:val="22"/>
                <w:szCs w:val="22"/>
                <w:u w:val="single"/>
                <w:lang w:val="sk-SK"/>
              </w:rPr>
              <w:t>Časté</w:t>
            </w:r>
          </w:p>
          <w:p w14:paraId="079C459E" w14:textId="77777777" w:rsidR="00D46E1F" w:rsidRPr="003A5C41" w:rsidRDefault="00D46E1F">
            <w:pPr>
              <w:pStyle w:val="TableParagraph"/>
              <w:kinsoku w:val="0"/>
              <w:overflowPunct w:val="0"/>
              <w:spacing w:before="1"/>
              <w:rPr>
                <w:lang w:val="sk-SK"/>
              </w:rPr>
            </w:pPr>
            <w:r w:rsidRPr="003A5C41">
              <w:rPr>
                <w:sz w:val="22"/>
                <w:szCs w:val="22"/>
                <w:lang w:val="sk-SK"/>
              </w:rPr>
              <w:t>Pády</w:t>
            </w:r>
          </w:p>
        </w:tc>
      </w:tr>
    </w:tbl>
    <w:p w14:paraId="32314593" w14:textId="77777777" w:rsidR="00CA7A4F" w:rsidRPr="008422C4" w:rsidRDefault="00CA7A4F" w:rsidP="00CA7A4F">
      <w:pPr>
        <w:autoSpaceDE w:val="0"/>
        <w:autoSpaceDN w:val="0"/>
        <w:adjustRightInd w:val="0"/>
        <w:ind w:left="0" w:firstLine="0"/>
        <w:rPr>
          <w:rFonts w:eastAsia="TimesNewRomanPSMT"/>
          <w:color w:val="000000"/>
          <w:sz w:val="18"/>
          <w:szCs w:val="18"/>
          <w:lang w:eastAsia="en-US"/>
        </w:rPr>
      </w:pPr>
      <w:r w:rsidRPr="008422C4">
        <w:rPr>
          <w:rFonts w:eastAsia="TimesNewRomanPSMT"/>
          <w:color w:val="000000"/>
          <w:sz w:val="18"/>
          <w:szCs w:val="18"/>
          <w:lang w:eastAsia="en-US"/>
        </w:rPr>
        <w:t>^ Pozri časť 4.8. Popis vybraných nežiaducich reakcií.</w:t>
      </w:r>
    </w:p>
    <w:p w14:paraId="2746D6E5" w14:textId="77777777" w:rsidR="00CA7A4F" w:rsidRPr="008422C4" w:rsidRDefault="00CA7A4F" w:rsidP="00CA7A4F">
      <w:pPr>
        <w:autoSpaceDE w:val="0"/>
        <w:autoSpaceDN w:val="0"/>
        <w:adjustRightInd w:val="0"/>
        <w:ind w:left="0" w:firstLine="0"/>
        <w:rPr>
          <w:rFonts w:eastAsia="TimesNewRomanPSMT"/>
          <w:color w:val="000000"/>
          <w:sz w:val="18"/>
          <w:szCs w:val="18"/>
          <w:lang w:eastAsia="en-US"/>
        </w:rPr>
      </w:pPr>
      <w:r w:rsidRPr="008422C4">
        <w:rPr>
          <w:rFonts w:eastAsia="TimesNewRomanPSMT"/>
          <w:color w:val="000000"/>
          <w:sz w:val="18"/>
          <w:szCs w:val="18"/>
          <w:lang w:eastAsia="en-US"/>
        </w:rPr>
        <w:t>◊ Nežiaduce príhody hlásené ako závažné v klinických štúdiách s myelodysplastickým syndrómom.</w:t>
      </w:r>
    </w:p>
    <w:p w14:paraId="63AED566" w14:textId="77777777" w:rsidR="00CA7A4F" w:rsidRPr="008422C4" w:rsidRDefault="00CA7A4F" w:rsidP="00CA7A4F">
      <w:pPr>
        <w:autoSpaceDE w:val="0"/>
        <w:autoSpaceDN w:val="0"/>
        <w:adjustRightInd w:val="0"/>
        <w:ind w:left="0" w:firstLine="0"/>
        <w:rPr>
          <w:rFonts w:eastAsia="TimesNewRomanPSMT"/>
          <w:color w:val="000000"/>
          <w:sz w:val="18"/>
          <w:szCs w:val="18"/>
          <w:lang w:eastAsia="en-US"/>
        </w:rPr>
      </w:pPr>
      <w:r w:rsidRPr="008422C4">
        <w:rPr>
          <w:rFonts w:eastAsia="TimesNewRomanPSMT"/>
          <w:color w:val="000000"/>
          <w:sz w:val="18"/>
          <w:szCs w:val="18"/>
          <w:lang w:eastAsia="en-US"/>
        </w:rPr>
        <w:t>~ Zmenená nálada bola hlásená ako častá závažná nežiaduca príhoda v štúdii fázy III s myelodysplastickým syndrómom; nezaznamenala sa ako nežiaduca príhoda 3. ani 4. stupňa.</w:t>
      </w:r>
    </w:p>
    <w:p w14:paraId="453D8B76" w14:textId="1DA0E430" w:rsidR="00CA7A4F" w:rsidRPr="008422C4" w:rsidRDefault="00CA7A4F" w:rsidP="00CA7A4F">
      <w:pPr>
        <w:autoSpaceDE w:val="0"/>
        <w:autoSpaceDN w:val="0"/>
        <w:adjustRightInd w:val="0"/>
        <w:ind w:left="0" w:firstLine="0"/>
        <w:rPr>
          <w:rFonts w:eastAsia="TimesNewRomanPSMT"/>
          <w:color w:val="000000"/>
          <w:sz w:val="18"/>
          <w:szCs w:val="18"/>
          <w:lang w:eastAsia="en-US"/>
        </w:rPr>
      </w:pPr>
      <w:r w:rsidRPr="008422C4">
        <w:rPr>
          <w:rFonts w:eastAsia="TimesNewRomanPSMT"/>
          <w:color w:val="000000"/>
          <w:sz w:val="18"/>
          <w:szCs w:val="18"/>
          <w:lang w:eastAsia="en-US"/>
        </w:rPr>
        <w:t xml:space="preserve">Algoritmus použitý pre zaradenie do súhrnu charakteristických vlastností lieku (SPC): Všetky nežiaduce </w:t>
      </w:r>
      <w:r w:rsidRPr="00B574FF">
        <w:rPr>
          <w:rFonts w:eastAsia="TimesNewRomanPSMT"/>
          <w:color w:val="000000"/>
          <w:sz w:val="18"/>
          <w:szCs w:val="18"/>
          <w:lang w:eastAsia="en-US"/>
        </w:rPr>
        <w:t xml:space="preserve">reakcie </w:t>
      </w:r>
      <w:r w:rsidR="00B574FF" w:rsidRPr="00221953">
        <w:rPr>
          <w:rFonts w:eastAsia="Calibri"/>
          <w:sz w:val="18"/>
          <w:szCs w:val="18"/>
          <w:lang w:eastAsia="en-US"/>
        </w:rPr>
        <w:t>vyhovujúce algoritmu</w:t>
      </w:r>
      <w:r w:rsidRPr="00B574FF">
        <w:rPr>
          <w:rFonts w:eastAsia="TimesNewRomanPSMT"/>
          <w:color w:val="000000"/>
          <w:sz w:val="18"/>
          <w:szCs w:val="18"/>
          <w:lang w:eastAsia="en-US"/>
        </w:rPr>
        <w:t xml:space="preserve"> štúdii fázy III sú zahrnuté do SPC pre EU. Pre tieto nežiaduce reakcie bola urobená dodatočná kontrola frekvencie</w:t>
      </w:r>
      <w:r w:rsidRPr="008422C4">
        <w:rPr>
          <w:rFonts w:eastAsia="TimesNewRomanPSMT"/>
          <w:color w:val="000000"/>
          <w:sz w:val="18"/>
          <w:szCs w:val="18"/>
          <w:lang w:eastAsia="en-US"/>
        </w:rPr>
        <w:t xml:space="preserve"> nežiaducich reakcií </w:t>
      </w:r>
      <w:r w:rsidR="00B574FF" w:rsidRPr="00B574FF">
        <w:rPr>
          <w:rFonts w:eastAsia="TimesNewRomanPSMT"/>
          <w:color w:val="000000"/>
          <w:sz w:val="18"/>
          <w:szCs w:val="18"/>
          <w:lang w:eastAsia="en-US"/>
        </w:rPr>
        <w:t xml:space="preserve">vyhovujúcich algoritmu </w:t>
      </w:r>
      <w:r w:rsidRPr="008422C4">
        <w:rPr>
          <w:rFonts w:eastAsia="TimesNewRomanPSMT"/>
          <w:color w:val="000000"/>
          <w:sz w:val="18"/>
          <w:szCs w:val="18"/>
          <w:lang w:eastAsia="en-US"/>
        </w:rPr>
        <w:t>štúdii fázy II a ak frekvencia nežiaducich reakcií v štúdii fázy II bola vyššia ako v štúdii fázy III, reakcia bola zahrnutá do SPC s frekvenciou, s akou sa vyskytovala v štúdii fázy II.</w:t>
      </w:r>
    </w:p>
    <w:p w14:paraId="651C0CCD" w14:textId="77777777" w:rsidR="00CA7A4F" w:rsidRPr="008422C4" w:rsidRDefault="00CA7A4F" w:rsidP="00CA7A4F">
      <w:pPr>
        <w:autoSpaceDE w:val="0"/>
        <w:autoSpaceDN w:val="0"/>
        <w:adjustRightInd w:val="0"/>
        <w:ind w:left="0" w:firstLine="0"/>
        <w:rPr>
          <w:rFonts w:eastAsia="TimesNewRomanPSMT"/>
          <w:color w:val="000000"/>
          <w:sz w:val="18"/>
          <w:szCs w:val="18"/>
          <w:lang w:eastAsia="en-US"/>
        </w:rPr>
      </w:pPr>
      <w:r w:rsidRPr="008422C4">
        <w:rPr>
          <w:rFonts w:eastAsia="TimesNewRomanPSMT"/>
          <w:color w:val="000000"/>
          <w:sz w:val="18"/>
          <w:szCs w:val="18"/>
          <w:lang w:eastAsia="en-US"/>
        </w:rPr>
        <w:t># Algoritmus aplikovaný pre myelodysplastický syndróm:</w:t>
      </w:r>
    </w:p>
    <w:p w14:paraId="0023F3A3" w14:textId="77777777" w:rsidR="00CA7A4F" w:rsidRPr="008422C4" w:rsidRDefault="00CA7A4F" w:rsidP="00CA7A4F">
      <w:pPr>
        <w:autoSpaceDE w:val="0"/>
        <w:autoSpaceDN w:val="0"/>
        <w:adjustRightInd w:val="0"/>
        <w:ind w:left="580" w:firstLine="0"/>
        <w:rPr>
          <w:color w:val="212121"/>
          <w:sz w:val="18"/>
          <w:szCs w:val="18"/>
        </w:rPr>
      </w:pPr>
      <w:r w:rsidRPr="008422C4">
        <w:rPr>
          <w:rFonts w:eastAsia="SymbolMT"/>
          <w:color w:val="000000"/>
          <w:sz w:val="18"/>
          <w:szCs w:val="18"/>
          <w:lang w:eastAsia="en-US"/>
        </w:rPr>
        <w:t xml:space="preserve">• </w:t>
      </w:r>
      <w:r w:rsidRPr="008422C4">
        <w:rPr>
          <w:rFonts w:eastAsia="TimesNewRomanPSMT"/>
          <w:color w:val="222222"/>
          <w:sz w:val="18"/>
          <w:szCs w:val="18"/>
          <w:lang w:eastAsia="en-US"/>
        </w:rPr>
        <w:t>Štúdia fázy III s myelodysplastickým syndrómom (dvojito zaslepená populácia pre hodnotenie bezpečnosti, rozdiel medzi 5/10 mg lenalidomidu a placebom pri začiatočnej schéme dávkovania vyskytujúci sa minimálne u 2 osôb)</w:t>
      </w:r>
    </w:p>
    <w:p w14:paraId="7E465B8C" w14:textId="405ECA5F" w:rsidR="00CA7A4F" w:rsidRPr="008422C4" w:rsidRDefault="00CA7A4F" w:rsidP="00B574FF">
      <w:pPr>
        <w:numPr>
          <w:ilvl w:val="0"/>
          <w:numId w:val="19"/>
        </w:numPr>
        <w:autoSpaceDE w:val="0"/>
        <w:autoSpaceDN w:val="0"/>
        <w:adjustRightInd w:val="0"/>
        <w:ind w:left="1134" w:hanging="425"/>
        <w:rPr>
          <w:rFonts w:eastAsia="TimesNewRomanPSMT"/>
          <w:sz w:val="18"/>
          <w:szCs w:val="18"/>
          <w:lang w:eastAsia="en-US"/>
        </w:rPr>
      </w:pPr>
      <w:r w:rsidRPr="008422C4">
        <w:rPr>
          <w:rFonts w:eastAsia="TimesNewRomanPSMT"/>
          <w:sz w:val="18"/>
          <w:szCs w:val="18"/>
          <w:lang w:eastAsia="en-US"/>
        </w:rPr>
        <w:t xml:space="preserve">Všetky nežiaduce účinky </w:t>
      </w:r>
      <w:r w:rsidR="00B574FF">
        <w:rPr>
          <w:rFonts w:eastAsia="TimesNewRomanPSMT"/>
          <w:sz w:val="18"/>
          <w:szCs w:val="18"/>
          <w:lang w:eastAsia="en-US"/>
        </w:rPr>
        <w:t>súvisiace s liečbou u</w:t>
      </w:r>
      <w:r w:rsidRPr="008422C4">
        <w:rPr>
          <w:rFonts w:eastAsia="TimesNewRomanPSMT"/>
          <w:sz w:val="18"/>
          <w:szCs w:val="18"/>
          <w:lang w:eastAsia="en-US"/>
        </w:rPr>
        <w:t xml:space="preserve"> ≥ 5% osôb s lenalidomidom a s minimálne 2 % rozdielom v pomere medzi lenalidomidom a placebom</w:t>
      </w:r>
    </w:p>
    <w:p w14:paraId="6C3317EC" w14:textId="0F867C8D" w:rsidR="00CA7A4F" w:rsidRPr="008422C4" w:rsidRDefault="00CA7A4F" w:rsidP="00B574FF">
      <w:pPr>
        <w:numPr>
          <w:ilvl w:val="0"/>
          <w:numId w:val="19"/>
        </w:numPr>
        <w:autoSpaceDE w:val="0"/>
        <w:autoSpaceDN w:val="0"/>
        <w:adjustRightInd w:val="0"/>
        <w:ind w:left="1134" w:hanging="425"/>
        <w:rPr>
          <w:rFonts w:eastAsia="TimesNewRomanPSMT"/>
          <w:sz w:val="18"/>
          <w:szCs w:val="18"/>
          <w:lang w:eastAsia="en-US"/>
        </w:rPr>
      </w:pPr>
      <w:r w:rsidRPr="008422C4">
        <w:rPr>
          <w:rFonts w:eastAsia="TimesNewRomanPSMT"/>
          <w:sz w:val="18"/>
          <w:szCs w:val="18"/>
          <w:lang w:eastAsia="en-US"/>
        </w:rPr>
        <w:t xml:space="preserve">Všetky nežiaduce účinky 3. alebo 4. stupňa </w:t>
      </w:r>
      <w:r w:rsidR="00B574FF">
        <w:rPr>
          <w:rFonts w:eastAsia="TimesNewRomanPSMT"/>
          <w:sz w:val="18"/>
          <w:szCs w:val="18"/>
          <w:lang w:eastAsia="en-US"/>
        </w:rPr>
        <w:t>súvisiace s liečbou</w:t>
      </w:r>
      <w:r w:rsidRPr="008422C4">
        <w:rPr>
          <w:rFonts w:eastAsia="TimesNewRomanPSMT"/>
          <w:sz w:val="18"/>
          <w:szCs w:val="18"/>
          <w:lang w:eastAsia="en-US"/>
        </w:rPr>
        <w:t xml:space="preserve"> u 1% osôb s lenalidomidom a s minimálne 1% rozdielom v pomere medzi lenalidomidom a placebom</w:t>
      </w:r>
    </w:p>
    <w:p w14:paraId="7F29AFF1" w14:textId="3564DF20" w:rsidR="00CA7A4F" w:rsidRPr="008422C4" w:rsidRDefault="00CA7A4F" w:rsidP="00B574FF">
      <w:pPr>
        <w:numPr>
          <w:ilvl w:val="0"/>
          <w:numId w:val="19"/>
        </w:numPr>
        <w:autoSpaceDE w:val="0"/>
        <w:autoSpaceDN w:val="0"/>
        <w:adjustRightInd w:val="0"/>
        <w:ind w:left="1134" w:hanging="425"/>
        <w:rPr>
          <w:rFonts w:eastAsia="TimesNewRomanPSMT"/>
          <w:sz w:val="18"/>
          <w:szCs w:val="18"/>
          <w:lang w:eastAsia="en-US"/>
        </w:rPr>
      </w:pPr>
      <w:r w:rsidRPr="008422C4">
        <w:rPr>
          <w:rFonts w:eastAsia="TimesNewRomanPSMT"/>
          <w:sz w:val="18"/>
          <w:szCs w:val="18"/>
          <w:lang w:eastAsia="en-US"/>
        </w:rPr>
        <w:t xml:space="preserve">Všetky závažné nežiaduce účinky </w:t>
      </w:r>
      <w:r w:rsidR="00B574FF">
        <w:rPr>
          <w:rFonts w:eastAsia="TimesNewRomanPSMT"/>
          <w:sz w:val="18"/>
          <w:szCs w:val="18"/>
          <w:lang w:eastAsia="en-US"/>
        </w:rPr>
        <w:t>súvisiace s liečbou</w:t>
      </w:r>
      <w:r w:rsidRPr="008422C4">
        <w:rPr>
          <w:rFonts w:eastAsia="TimesNewRomanPSMT"/>
          <w:sz w:val="18"/>
          <w:szCs w:val="18"/>
          <w:lang w:eastAsia="en-US"/>
        </w:rPr>
        <w:t xml:space="preserve"> u 1% osôb s lenalidomidom a s minimálne 1% rozdielom v pomere medzi lenalidomidom a placebom</w:t>
      </w:r>
    </w:p>
    <w:p w14:paraId="7D4FB073" w14:textId="77777777" w:rsidR="00CA7A4F" w:rsidRPr="008422C4" w:rsidRDefault="00CA7A4F" w:rsidP="00CA7A4F">
      <w:pPr>
        <w:autoSpaceDE w:val="0"/>
        <w:autoSpaceDN w:val="0"/>
        <w:adjustRightInd w:val="0"/>
        <w:ind w:left="0" w:firstLine="567"/>
        <w:rPr>
          <w:rFonts w:eastAsia="TimesNewRomanPSMT"/>
          <w:sz w:val="18"/>
          <w:szCs w:val="18"/>
          <w:lang w:eastAsia="en-US"/>
        </w:rPr>
      </w:pPr>
      <w:r w:rsidRPr="008422C4">
        <w:rPr>
          <w:rFonts w:eastAsia="SymbolMT"/>
          <w:sz w:val="18"/>
          <w:szCs w:val="18"/>
          <w:lang w:eastAsia="en-US"/>
        </w:rPr>
        <w:t xml:space="preserve">• </w:t>
      </w:r>
      <w:r w:rsidRPr="008422C4">
        <w:rPr>
          <w:rFonts w:eastAsia="TimesNewRomanPSMT"/>
          <w:sz w:val="18"/>
          <w:szCs w:val="18"/>
          <w:lang w:eastAsia="en-US"/>
        </w:rPr>
        <w:t>Štúdia fázy II s myelodysplastickým syndrómom</w:t>
      </w:r>
    </w:p>
    <w:p w14:paraId="75312E60" w14:textId="79D0A769" w:rsidR="00CA7A4F" w:rsidRPr="008422C4" w:rsidRDefault="00B802FA" w:rsidP="00B574FF">
      <w:pPr>
        <w:numPr>
          <w:ilvl w:val="0"/>
          <w:numId w:val="20"/>
        </w:numPr>
        <w:autoSpaceDE w:val="0"/>
        <w:autoSpaceDN w:val="0"/>
        <w:adjustRightInd w:val="0"/>
        <w:ind w:left="1134" w:hanging="425"/>
        <w:rPr>
          <w:rFonts w:eastAsia="TimesNewRomanPSMT"/>
          <w:sz w:val="18"/>
          <w:szCs w:val="18"/>
          <w:lang w:eastAsia="en-US"/>
        </w:rPr>
      </w:pPr>
      <w:r w:rsidRPr="008422C4">
        <w:rPr>
          <w:rFonts w:eastAsia="TimesNewRomanPSMT"/>
          <w:sz w:val="18"/>
          <w:szCs w:val="18"/>
          <w:lang w:eastAsia="en-US"/>
        </w:rPr>
        <w:t>V</w:t>
      </w:r>
      <w:r w:rsidR="00CA7A4F" w:rsidRPr="008422C4">
        <w:rPr>
          <w:rFonts w:eastAsia="TimesNewRomanPSMT"/>
          <w:sz w:val="18"/>
          <w:szCs w:val="18"/>
          <w:lang w:eastAsia="en-US"/>
        </w:rPr>
        <w:t xml:space="preserve">šetky nežiaduce účinky </w:t>
      </w:r>
      <w:r w:rsidR="00B574FF">
        <w:rPr>
          <w:rFonts w:eastAsia="TimesNewRomanPSMT"/>
          <w:sz w:val="18"/>
          <w:szCs w:val="18"/>
          <w:lang w:eastAsia="en-US"/>
        </w:rPr>
        <w:t>súvisiace s liečbou</w:t>
      </w:r>
      <w:r w:rsidR="00CA7A4F" w:rsidRPr="008422C4">
        <w:rPr>
          <w:rFonts w:eastAsia="TimesNewRomanPSMT"/>
          <w:sz w:val="18"/>
          <w:szCs w:val="18"/>
          <w:lang w:eastAsia="en-US"/>
        </w:rPr>
        <w:t xml:space="preserve"> u ≥ 5 % osôb liečených lenalidomidom,</w:t>
      </w:r>
    </w:p>
    <w:p w14:paraId="7ACD09CA" w14:textId="54B370B6" w:rsidR="00CA7A4F" w:rsidRPr="008422C4" w:rsidRDefault="00B802FA" w:rsidP="00B574FF">
      <w:pPr>
        <w:numPr>
          <w:ilvl w:val="0"/>
          <w:numId w:val="20"/>
        </w:numPr>
        <w:autoSpaceDE w:val="0"/>
        <w:autoSpaceDN w:val="0"/>
        <w:adjustRightInd w:val="0"/>
        <w:ind w:left="1134" w:hanging="425"/>
        <w:rPr>
          <w:rFonts w:eastAsia="TimesNewRomanPSMT"/>
          <w:sz w:val="18"/>
          <w:szCs w:val="18"/>
          <w:lang w:eastAsia="en-US"/>
        </w:rPr>
      </w:pPr>
      <w:r w:rsidRPr="008422C4">
        <w:rPr>
          <w:rFonts w:eastAsia="TimesNewRomanPSMT"/>
          <w:sz w:val="18"/>
          <w:szCs w:val="18"/>
          <w:lang w:eastAsia="en-US"/>
        </w:rPr>
        <w:t>V</w:t>
      </w:r>
      <w:r w:rsidR="00CA7A4F" w:rsidRPr="008422C4">
        <w:rPr>
          <w:rFonts w:eastAsia="TimesNewRomanPSMT"/>
          <w:sz w:val="18"/>
          <w:szCs w:val="18"/>
          <w:lang w:eastAsia="en-US"/>
        </w:rPr>
        <w:t xml:space="preserve">šetky nežiaduce účinky 3. alebo 4. stupňa </w:t>
      </w:r>
      <w:r w:rsidR="00B574FF">
        <w:rPr>
          <w:rFonts w:eastAsia="TimesNewRomanPSMT"/>
          <w:sz w:val="18"/>
          <w:szCs w:val="18"/>
          <w:lang w:eastAsia="en-US"/>
        </w:rPr>
        <w:t>súvisiace s liečbou</w:t>
      </w:r>
      <w:r w:rsidR="00CA7A4F" w:rsidRPr="008422C4">
        <w:rPr>
          <w:rFonts w:eastAsia="TimesNewRomanPSMT"/>
          <w:sz w:val="18"/>
          <w:szCs w:val="18"/>
          <w:lang w:eastAsia="en-US"/>
        </w:rPr>
        <w:t xml:space="preserve"> u 1 % osôb liečených lenalidomidom,</w:t>
      </w:r>
    </w:p>
    <w:p w14:paraId="26FD8066" w14:textId="02F7E2D8" w:rsidR="00CA7A4F" w:rsidRPr="008422C4" w:rsidRDefault="00B802FA" w:rsidP="00B574FF">
      <w:pPr>
        <w:numPr>
          <w:ilvl w:val="0"/>
          <w:numId w:val="20"/>
        </w:numPr>
        <w:autoSpaceDE w:val="0"/>
        <w:autoSpaceDN w:val="0"/>
        <w:adjustRightInd w:val="0"/>
        <w:ind w:left="1134" w:hanging="425"/>
        <w:rPr>
          <w:rFonts w:eastAsia="TimesNewRomanPSMT"/>
          <w:sz w:val="18"/>
          <w:szCs w:val="18"/>
          <w:lang w:eastAsia="en-US"/>
        </w:rPr>
      </w:pPr>
      <w:r w:rsidRPr="008422C4">
        <w:rPr>
          <w:rFonts w:eastAsia="TimesNewRomanPSMT"/>
          <w:sz w:val="18"/>
          <w:szCs w:val="18"/>
          <w:lang w:eastAsia="en-US"/>
        </w:rPr>
        <w:t>V</w:t>
      </w:r>
      <w:r w:rsidR="00CA7A4F" w:rsidRPr="008422C4">
        <w:rPr>
          <w:rFonts w:eastAsia="TimesNewRomanPSMT"/>
          <w:sz w:val="18"/>
          <w:szCs w:val="18"/>
          <w:lang w:eastAsia="en-US"/>
        </w:rPr>
        <w:t xml:space="preserve">šetky závažné nežiaduce účinky </w:t>
      </w:r>
      <w:r w:rsidR="00B574FF">
        <w:rPr>
          <w:rFonts w:eastAsia="TimesNewRomanPSMT"/>
          <w:sz w:val="18"/>
          <w:szCs w:val="18"/>
          <w:lang w:eastAsia="en-US"/>
        </w:rPr>
        <w:t>súvisiace s liečbou</w:t>
      </w:r>
      <w:r w:rsidR="00CA7A4F" w:rsidRPr="008422C4">
        <w:rPr>
          <w:rFonts w:eastAsia="TimesNewRomanPSMT"/>
          <w:sz w:val="18"/>
          <w:szCs w:val="18"/>
          <w:lang w:eastAsia="en-US"/>
        </w:rPr>
        <w:t xml:space="preserve"> u 1 % osôb liečených lenalidomidom.</w:t>
      </w:r>
    </w:p>
    <w:p w14:paraId="66337FD3" w14:textId="77777777" w:rsidR="00B54801" w:rsidRPr="003A5C41" w:rsidRDefault="00B54801" w:rsidP="00B31CB2">
      <w:pPr>
        <w:ind w:left="0" w:firstLine="0"/>
        <w:rPr>
          <w:szCs w:val="22"/>
        </w:rPr>
      </w:pPr>
    </w:p>
    <w:p w14:paraId="60BBB963" w14:textId="77777777" w:rsidR="00B54801" w:rsidRPr="00741D52" w:rsidRDefault="00B802FA" w:rsidP="00B802FA">
      <w:pPr>
        <w:autoSpaceDE w:val="0"/>
        <w:autoSpaceDN w:val="0"/>
        <w:adjustRightInd w:val="0"/>
        <w:ind w:left="0" w:firstLine="0"/>
        <w:rPr>
          <w:szCs w:val="22"/>
        </w:rPr>
      </w:pPr>
      <w:r w:rsidRPr="00741D52">
        <w:rPr>
          <w:b/>
          <w:bCs/>
          <w:szCs w:val="22"/>
          <w:lang w:eastAsia="en-US"/>
        </w:rPr>
        <w:t>Tabuľka 4. Nežiaduce reakcie zaznamenané v klinických štúdiách u pacientov s lymfómom z plášťových buniek liečených lenalidomidom</w:t>
      </w:r>
    </w:p>
    <w:p w14:paraId="1CC3EED9" w14:textId="77777777" w:rsidR="00B54801" w:rsidRPr="00741D52" w:rsidRDefault="00B54801" w:rsidP="00B31CB2">
      <w:pPr>
        <w:ind w:left="0" w:firstLine="0"/>
        <w:rPr>
          <w:szCs w:val="22"/>
        </w:rPr>
      </w:pPr>
    </w:p>
    <w:tbl>
      <w:tblPr>
        <w:tblW w:w="9497" w:type="dxa"/>
        <w:tblInd w:w="119" w:type="dxa"/>
        <w:tblLayout w:type="fixed"/>
        <w:tblCellMar>
          <w:left w:w="0" w:type="dxa"/>
          <w:right w:w="0" w:type="dxa"/>
        </w:tblCellMar>
        <w:tblLook w:val="0000" w:firstRow="0" w:lastRow="0" w:firstColumn="0" w:lastColumn="0" w:noHBand="0" w:noVBand="0"/>
      </w:tblPr>
      <w:tblGrid>
        <w:gridCol w:w="2268"/>
        <w:gridCol w:w="3262"/>
        <w:gridCol w:w="3967"/>
      </w:tblGrid>
      <w:tr w:rsidR="00C118E2" w:rsidRPr="00741D52" w14:paraId="3641B853" w14:textId="77777777" w:rsidTr="00C118E2">
        <w:trPr>
          <w:trHeight w:hRule="exact" w:val="768"/>
        </w:trPr>
        <w:tc>
          <w:tcPr>
            <w:tcW w:w="2268" w:type="dxa"/>
            <w:tcBorders>
              <w:top w:val="single" w:sz="4" w:space="0" w:color="000000"/>
              <w:left w:val="single" w:sz="4" w:space="0" w:color="000000"/>
              <w:bottom w:val="single" w:sz="4" w:space="0" w:color="000000"/>
              <w:right w:val="single" w:sz="4" w:space="0" w:color="000000"/>
            </w:tcBorders>
          </w:tcPr>
          <w:p w14:paraId="23AEB32E" w14:textId="77777777" w:rsidR="00C118E2" w:rsidRPr="00741D52" w:rsidRDefault="00C118E2">
            <w:pPr>
              <w:pStyle w:val="TableParagraph"/>
              <w:kinsoku w:val="0"/>
              <w:overflowPunct w:val="0"/>
              <w:ind w:right="143"/>
              <w:rPr>
                <w:sz w:val="22"/>
                <w:szCs w:val="22"/>
                <w:lang w:val="sk-SK"/>
              </w:rPr>
            </w:pPr>
            <w:r w:rsidRPr="00741D52">
              <w:rPr>
                <w:b/>
                <w:bCs/>
                <w:sz w:val="22"/>
                <w:szCs w:val="22"/>
                <w:lang w:val="sk-SK"/>
              </w:rPr>
              <w:t>Trieda orgánových systémov/Prednostný názov</w:t>
            </w:r>
          </w:p>
        </w:tc>
        <w:tc>
          <w:tcPr>
            <w:tcW w:w="3262" w:type="dxa"/>
            <w:tcBorders>
              <w:top w:val="single" w:sz="4" w:space="0" w:color="000000"/>
              <w:left w:val="single" w:sz="4" w:space="0" w:color="000000"/>
              <w:bottom w:val="single" w:sz="4" w:space="0" w:color="000000"/>
              <w:right w:val="single" w:sz="4" w:space="0" w:color="000000"/>
            </w:tcBorders>
          </w:tcPr>
          <w:p w14:paraId="001CB5F8" w14:textId="77777777" w:rsidR="00C118E2" w:rsidRPr="00741D52" w:rsidRDefault="00C118E2">
            <w:pPr>
              <w:pStyle w:val="TableParagraph"/>
              <w:kinsoku w:val="0"/>
              <w:overflowPunct w:val="0"/>
              <w:ind w:right="1332"/>
              <w:rPr>
                <w:sz w:val="22"/>
                <w:szCs w:val="22"/>
                <w:lang w:val="sk-SK"/>
              </w:rPr>
            </w:pPr>
            <w:r w:rsidRPr="00741D52">
              <w:rPr>
                <w:b/>
                <w:bCs/>
                <w:sz w:val="22"/>
                <w:szCs w:val="22"/>
                <w:lang w:val="sk-SK"/>
              </w:rPr>
              <w:t>Všetky nežiaduce reakcie/Frekvencia</w:t>
            </w:r>
          </w:p>
        </w:tc>
        <w:tc>
          <w:tcPr>
            <w:tcW w:w="3967" w:type="dxa"/>
            <w:tcBorders>
              <w:top w:val="single" w:sz="4" w:space="0" w:color="000000"/>
              <w:left w:val="single" w:sz="4" w:space="0" w:color="000000"/>
              <w:bottom w:val="single" w:sz="4" w:space="0" w:color="000000"/>
              <w:right w:val="single" w:sz="4" w:space="0" w:color="000000"/>
            </w:tcBorders>
          </w:tcPr>
          <w:p w14:paraId="687D9ECB" w14:textId="77777777" w:rsidR="00C118E2" w:rsidRPr="00741D52" w:rsidRDefault="00C118E2">
            <w:pPr>
              <w:pStyle w:val="TableParagraph"/>
              <w:kinsoku w:val="0"/>
              <w:overflowPunct w:val="0"/>
              <w:ind w:right="1564"/>
              <w:rPr>
                <w:sz w:val="22"/>
                <w:szCs w:val="22"/>
                <w:lang w:val="sk-SK"/>
              </w:rPr>
            </w:pPr>
            <w:r w:rsidRPr="00741D52">
              <w:rPr>
                <w:b/>
                <w:bCs/>
                <w:sz w:val="22"/>
                <w:szCs w:val="22"/>
                <w:lang w:val="sk-SK"/>
              </w:rPr>
              <w:t>Nežiaduce reakcie 3.− 4. stupňa/Frekvencia</w:t>
            </w:r>
          </w:p>
        </w:tc>
      </w:tr>
      <w:tr w:rsidR="00C118E2" w:rsidRPr="00741D52" w14:paraId="05C5E9D3" w14:textId="77777777" w:rsidTr="00C118E2">
        <w:trPr>
          <w:trHeight w:hRule="exact" w:val="261"/>
        </w:trPr>
        <w:tc>
          <w:tcPr>
            <w:tcW w:w="2268" w:type="dxa"/>
            <w:tcBorders>
              <w:top w:val="single" w:sz="4" w:space="0" w:color="000000"/>
              <w:left w:val="single" w:sz="4" w:space="0" w:color="000000"/>
              <w:bottom w:val="none" w:sz="6" w:space="0" w:color="auto"/>
              <w:right w:val="single" w:sz="4" w:space="0" w:color="000000"/>
            </w:tcBorders>
          </w:tcPr>
          <w:p w14:paraId="12492391" w14:textId="77777777" w:rsidR="00C118E2" w:rsidRPr="00741D52" w:rsidRDefault="00C118E2">
            <w:pPr>
              <w:pStyle w:val="TableParagraph"/>
              <w:kinsoku w:val="0"/>
              <w:overflowPunct w:val="0"/>
              <w:spacing w:line="252" w:lineRule="exact"/>
              <w:rPr>
                <w:sz w:val="22"/>
                <w:szCs w:val="22"/>
                <w:lang w:val="sk-SK"/>
              </w:rPr>
            </w:pPr>
            <w:r w:rsidRPr="00741D52">
              <w:rPr>
                <w:b/>
                <w:bCs/>
                <w:sz w:val="22"/>
                <w:szCs w:val="22"/>
                <w:lang w:val="sk-SK"/>
              </w:rPr>
              <w:t>Infekcie a nákazy</w:t>
            </w:r>
          </w:p>
        </w:tc>
        <w:tc>
          <w:tcPr>
            <w:tcW w:w="3262" w:type="dxa"/>
            <w:tcBorders>
              <w:top w:val="single" w:sz="4" w:space="0" w:color="000000"/>
              <w:left w:val="single" w:sz="4" w:space="0" w:color="000000"/>
              <w:bottom w:val="none" w:sz="6" w:space="0" w:color="auto"/>
              <w:right w:val="single" w:sz="4" w:space="0" w:color="000000"/>
            </w:tcBorders>
          </w:tcPr>
          <w:p w14:paraId="1AE63C3B" w14:textId="77777777" w:rsidR="00C118E2" w:rsidRPr="00741D52" w:rsidRDefault="00C118E2" w:rsidP="00D6163D">
            <w:pPr>
              <w:pStyle w:val="TableParagraph"/>
              <w:kinsoku w:val="0"/>
              <w:overflowPunct w:val="0"/>
              <w:spacing w:line="252" w:lineRule="exact"/>
              <w:rPr>
                <w:sz w:val="22"/>
                <w:szCs w:val="22"/>
                <w:lang w:val="sk-SK"/>
              </w:rPr>
            </w:pPr>
            <w:r w:rsidRPr="00741D52">
              <w:rPr>
                <w:sz w:val="22"/>
                <w:szCs w:val="22"/>
                <w:u w:val="single" w:color="000000"/>
                <w:lang w:val="sk-SK"/>
              </w:rPr>
              <w:t>Veľmi časté</w:t>
            </w:r>
          </w:p>
        </w:tc>
        <w:tc>
          <w:tcPr>
            <w:tcW w:w="3967" w:type="dxa"/>
            <w:tcBorders>
              <w:top w:val="single" w:sz="4" w:space="0" w:color="000000"/>
              <w:left w:val="single" w:sz="4" w:space="0" w:color="000000"/>
              <w:bottom w:val="none" w:sz="6" w:space="0" w:color="auto"/>
              <w:right w:val="single" w:sz="4" w:space="0" w:color="000000"/>
            </w:tcBorders>
          </w:tcPr>
          <w:p w14:paraId="0DA17303" w14:textId="77777777" w:rsidR="00C118E2" w:rsidRPr="00741D52" w:rsidRDefault="00C118E2" w:rsidP="00D6163D">
            <w:pPr>
              <w:pStyle w:val="TableParagraph"/>
              <w:kinsoku w:val="0"/>
              <w:overflowPunct w:val="0"/>
              <w:spacing w:line="252" w:lineRule="exact"/>
              <w:rPr>
                <w:sz w:val="22"/>
                <w:szCs w:val="22"/>
                <w:lang w:val="sk-SK"/>
              </w:rPr>
            </w:pPr>
            <w:r w:rsidRPr="00741D52">
              <w:rPr>
                <w:sz w:val="22"/>
                <w:szCs w:val="22"/>
                <w:u w:val="single" w:color="000000"/>
                <w:lang w:val="sk-SK"/>
              </w:rPr>
              <w:t>Časté</w:t>
            </w:r>
          </w:p>
        </w:tc>
      </w:tr>
      <w:tr w:rsidR="00C118E2" w:rsidRPr="00741D52" w14:paraId="40B688A1" w14:textId="77777777" w:rsidTr="00C118E2">
        <w:trPr>
          <w:trHeight w:hRule="exact" w:val="250"/>
        </w:trPr>
        <w:tc>
          <w:tcPr>
            <w:tcW w:w="2268" w:type="dxa"/>
            <w:tcBorders>
              <w:top w:val="none" w:sz="6" w:space="0" w:color="auto"/>
              <w:left w:val="single" w:sz="4" w:space="0" w:color="000000"/>
              <w:bottom w:val="none" w:sz="6" w:space="0" w:color="auto"/>
              <w:right w:val="single" w:sz="4" w:space="0" w:color="000000"/>
            </w:tcBorders>
          </w:tcPr>
          <w:p w14:paraId="14A7EBD1" w14:textId="77777777" w:rsidR="00C118E2" w:rsidRPr="00741D52" w:rsidRDefault="00C118E2">
            <w:pPr>
              <w:rPr>
                <w:szCs w:val="22"/>
              </w:rPr>
            </w:pPr>
          </w:p>
        </w:tc>
        <w:tc>
          <w:tcPr>
            <w:tcW w:w="3262" w:type="dxa"/>
            <w:tcBorders>
              <w:top w:val="none" w:sz="6" w:space="0" w:color="auto"/>
              <w:left w:val="single" w:sz="4" w:space="0" w:color="000000"/>
              <w:bottom w:val="none" w:sz="6" w:space="0" w:color="auto"/>
              <w:right w:val="single" w:sz="4" w:space="0" w:color="000000"/>
            </w:tcBorders>
          </w:tcPr>
          <w:p w14:paraId="090E7231" w14:textId="77777777" w:rsidR="00C118E2" w:rsidRPr="00741D52" w:rsidRDefault="00C118E2" w:rsidP="00D6163D">
            <w:pPr>
              <w:pStyle w:val="TableParagraph"/>
              <w:kinsoku w:val="0"/>
              <w:overflowPunct w:val="0"/>
              <w:spacing w:line="249" w:lineRule="exact"/>
              <w:rPr>
                <w:sz w:val="22"/>
                <w:szCs w:val="22"/>
                <w:lang w:val="sk-SK"/>
              </w:rPr>
            </w:pPr>
            <w:r w:rsidRPr="00741D52">
              <w:rPr>
                <w:sz w:val="22"/>
                <w:szCs w:val="22"/>
                <w:lang w:val="sk-SK"/>
              </w:rPr>
              <w:t>Bakteriálne, vírusové a mykotické</w:t>
            </w:r>
          </w:p>
        </w:tc>
        <w:tc>
          <w:tcPr>
            <w:tcW w:w="3967" w:type="dxa"/>
            <w:tcBorders>
              <w:top w:val="none" w:sz="6" w:space="0" w:color="auto"/>
              <w:left w:val="single" w:sz="4" w:space="0" w:color="000000"/>
              <w:bottom w:val="none" w:sz="6" w:space="0" w:color="auto"/>
              <w:right w:val="single" w:sz="4" w:space="0" w:color="000000"/>
            </w:tcBorders>
          </w:tcPr>
          <w:p w14:paraId="0A3F7D4C" w14:textId="77777777" w:rsidR="00C118E2" w:rsidRPr="00741D52" w:rsidRDefault="00C118E2" w:rsidP="00D6163D">
            <w:pPr>
              <w:pStyle w:val="TableParagraph"/>
              <w:kinsoku w:val="0"/>
              <w:overflowPunct w:val="0"/>
              <w:spacing w:line="249" w:lineRule="exact"/>
              <w:rPr>
                <w:sz w:val="22"/>
                <w:szCs w:val="22"/>
                <w:lang w:val="sk-SK"/>
              </w:rPr>
            </w:pPr>
            <w:r w:rsidRPr="00741D52">
              <w:rPr>
                <w:sz w:val="22"/>
                <w:szCs w:val="22"/>
                <w:lang w:val="sk-SK"/>
              </w:rPr>
              <w:t>Bakteriálne, vírusové a mykotické</w:t>
            </w:r>
          </w:p>
        </w:tc>
      </w:tr>
      <w:tr w:rsidR="00854416" w:rsidRPr="00741D52" w14:paraId="7F08DA96" w14:textId="77777777" w:rsidTr="00D6163D">
        <w:trPr>
          <w:trHeight w:hRule="exact" w:val="252"/>
        </w:trPr>
        <w:tc>
          <w:tcPr>
            <w:tcW w:w="2268" w:type="dxa"/>
            <w:tcBorders>
              <w:top w:val="none" w:sz="6" w:space="0" w:color="auto"/>
              <w:left w:val="single" w:sz="4" w:space="0" w:color="000000"/>
              <w:bottom w:val="none" w:sz="6" w:space="0" w:color="auto"/>
              <w:right w:val="single" w:sz="4" w:space="0" w:color="000000"/>
            </w:tcBorders>
          </w:tcPr>
          <w:p w14:paraId="35A44EEC" w14:textId="77777777" w:rsidR="00854416" w:rsidRPr="00741D52" w:rsidRDefault="00854416">
            <w:pPr>
              <w:rPr>
                <w:szCs w:val="22"/>
              </w:rPr>
            </w:pPr>
          </w:p>
        </w:tc>
        <w:tc>
          <w:tcPr>
            <w:tcW w:w="3262" w:type="dxa"/>
            <w:tcBorders>
              <w:top w:val="none" w:sz="6" w:space="0" w:color="auto"/>
              <w:left w:val="single" w:sz="4" w:space="0" w:color="000000"/>
              <w:bottom w:val="none" w:sz="6" w:space="0" w:color="auto"/>
              <w:right w:val="single" w:sz="4" w:space="0" w:color="000000"/>
            </w:tcBorders>
          </w:tcPr>
          <w:p w14:paraId="743BA2DF" w14:textId="6C05341E" w:rsidR="00854416" w:rsidRPr="00741D52" w:rsidRDefault="00854416" w:rsidP="00D6163D">
            <w:pPr>
              <w:pStyle w:val="TableParagraph"/>
              <w:kinsoku w:val="0"/>
              <w:overflowPunct w:val="0"/>
              <w:spacing w:line="252" w:lineRule="exact"/>
              <w:rPr>
                <w:sz w:val="22"/>
                <w:szCs w:val="22"/>
                <w:lang w:val="sk-SK"/>
              </w:rPr>
            </w:pPr>
            <w:r w:rsidRPr="00741D52">
              <w:rPr>
                <w:sz w:val="22"/>
                <w:szCs w:val="22"/>
                <w:lang w:val="sk-SK"/>
              </w:rPr>
              <w:t>infekcie (vrátane oportúnnych</w:t>
            </w:r>
          </w:p>
        </w:tc>
        <w:tc>
          <w:tcPr>
            <w:tcW w:w="3967" w:type="dxa"/>
            <w:tcBorders>
              <w:top w:val="none" w:sz="6" w:space="0" w:color="auto"/>
              <w:left w:val="single" w:sz="4" w:space="0" w:color="000000"/>
              <w:bottom w:val="none" w:sz="6" w:space="0" w:color="auto"/>
              <w:right w:val="single" w:sz="4" w:space="0" w:color="000000"/>
            </w:tcBorders>
          </w:tcPr>
          <w:p w14:paraId="04EFCFF0" w14:textId="595D6913" w:rsidR="00854416" w:rsidRPr="00741D52" w:rsidRDefault="00854416" w:rsidP="00D6163D">
            <w:pPr>
              <w:pStyle w:val="TableParagraph"/>
              <w:kinsoku w:val="0"/>
              <w:overflowPunct w:val="0"/>
              <w:spacing w:line="252" w:lineRule="exact"/>
              <w:rPr>
                <w:sz w:val="22"/>
                <w:szCs w:val="22"/>
                <w:lang w:val="sk-SK"/>
              </w:rPr>
            </w:pPr>
            <w:r w:rsidRPr="00741D52">
              <w:rPr>
                <w:sz w:val="22"/>
                <w:szCs w:val="22"/>
                <w:lang w:val="sk-SK"/>
              </w:rPr>
              <w:t>infekcie (vrátane oportúnnych infekcií)</w:t>
            </w:r>
            <w:r w:rsidRPr="00741D52">
              <w:rPr>
                <w:position w:val="9"/>
                <w:sz w:val="22"/>
                <w:szCs w:val="22"/>
                <w:lang w:val="sk-SK"/>
              </w:rPr>
              <w:t xml:space="preserve"> ◊</w:t>
            </w:r>
            <w:r w:rsidRPr="00741D52">
              <w:rPr>
                <w:sz w:val="22"/>
                <w:szCs w:val="22"/>
                <w:lang w:val="sk-SK"/>
              </w:rPr>
              <w:t>,</w:t>
            </w:r>
          </w:p>
        </w:tc>
      </w:tr>
      <w:tr w:rsidR="00854416" w:rsidRPr="00741D52" w14:paraId="40849840" w14:textId="77777777" w:rsidTr="00D6163D">
        <w:trPr>
          <w:trHeight w:hRule="exact" w:val="253"/>
        </w:trPr>
        <w:tc>
          <w:tcPr>
            <w:tcW w:w="2268" w:type="dxa"/>
            <w:tcBorders>
              <w:top w:val="none" w:sz="6" w:space="0" w:color="auto"/>
              <w:left w:val="single" w:sz="4" w:space="0" w:color="000000"/>
              <w:bottom w:val="none" w:sz="6" w:space="0" w:color="auto"/>
              <w:right w:val="single" w:sz="4" w:space="0" w:color="000000"/>
            </w:tcBorders>
          </w:tcPr>
          <w:p w14:paraId="11B6B9BC" w14:textId="77777777" w:rsidR="00854416" w:rsidRPr="00741D52" w:rsidRDefault="00854416">
            <w:pPr>
              <w:rPr>
                <w:szCs w:val="22"/>
              </w:rPr>
            </w:pPr>
          </w:p>
        </w:tc>
        <w:tc>
          <w:tcPr>
            <w:tcW w:w="3262" w:type="dxa"/>
            <w:tcBorders>
              <w:top w:val="none" w:sz="6" w:space="0" w:color="auto"/>
              <w:left w:val="single" w:sz="4" w:space="0" w:color="000000"/>
              <w:bottom w:val="none" w:sz="6" w:space="0" w:color="auto"/>
              <w:right w:val="single" w:sz="4" w:space="0" w:color="000000"/>
            </w:tcBorders>
          </w:tcPr>
          <w:p w14:paraId="2A0023E9" w14:textId="2385F644" w:rsidR="00854416" w:rsidRPr="00741D52" w:rsidRDefault="00854416" w:rsidP="00D6163D">
            <w:pPr>
              <w:pStyle w:val="TableParagraph"/>
              <w:kinsoku w:val="0"/>
              <w:overflowPunct w:val="0"/>
              <w:spacing w:line="251" w:lineRule="exact"/>
              <w:rPr>
                <w:sz w:val="22"/>
                <w:szCs w:val="22"/>
                <w:lang w:val="sk-SK"/>
              </w:rPr>
            </w:pPr>
            <w:r w:rsidRPr="00741D52">
              <w:rPr>
                <w:sz w:val="22"/>
                <w:szCs w:val="22"/>
                <w:lang w:val="sk-SK"/>
              </w:rPr>
              <w:t>infekcií)</w:t>
            </w:r>
            <w:r w:rsidRPr="00741D52">
              <w:rPr>
                <w:position w:val="9"/>
                <w:sz w:val="22"/>
                <w:szCs w:val="22"/>
                <w:lang w:val="sk-SK"/>
              </w:rPr>
              <w:t xml:space="preserve"> ◊</w:t>
            </w:r>
            <w:r w:rsidRPr="00741D52">
              <w:rPr>
                <w:sz w:val="22"/>
                <w:szCs w:val="22"/>
                <w:lang w:val="sk-SK"/>
              </w:rPr>
              <w:t>, nazofaryngitída,</w:t>
            </w:r>
          </w:p>
        </w:tc>
        <w:tc>
          <w:tcPr>
            <w:tcW w:w="3967" w:type="dxa"/>
            <w:tcBorders>
              <w:top w:val="none" w:sz="6" w:space="0" w:color="auto"/>
              <w:left w:val="single" w:sz="4" w:space="0" w:color="000000"/>
              <w:bottom w:val="none" w:sz="6" w:space="0" w:color="auto"/>
              <w:right w:val="single" w:sz="4" w:space="0" w:color="000000"/>
            </w:tcBorders>
          </w:tcPr>
          <w:p w14:paraId="626E677A" w14:textId="3B5C580B" w:rsidR="00854416" w:rsidRPr="00741D52" w:rsidRDefault="00854416" w:rsidP="00D6163D">
            <w:pPr>
              <w:pStyle w:val="TableParagraph"/>
              <w:kinsoku w:val="0"/>
              <w:overflowPunct w:val="0"/>
              <w:spacing w:line="251" w:lineRule="exact"/>
              <w:rPr>
                <w:sz w:val="22"/>
                <w:szCs w:val="22"/>
                <w:lang w:val="sk-SK"/>
              </w:rPr>
            </w:pPr>
            <w:r w:rsidRPr="00741D52">
              <w:rPr>
                <w:sz w:val="22"/>
                <w:szCs w:val="22"/>
                <w:lang w:val="sk-SK"/>
              </w:rPr>
              <w:t>pneumónia</w:t>
            </w:r>
            <w:r w:rsidRPr="00741D52">
              <w:rPr>
                <w:position w:val="9"/>
                <w:sz w:val="22"/>
                <w:szCs w:val="22"/>
                <w:lang w:val="sk-SK"/>
              </w:rPr>
              <w:t>◊</w:t>
            </w:r>
          </w:p>
        </w:tc>
      </w:tr>
      <w:tr w:rsidR="00854416" w:rsidRPr="00741D52" w14:paraId="07F38EC9" w14:textId="77777777" w:rsidTr="00D6163D">
        <w:trPr>
          <w:trHeight w:hRule="exact" w:val="384"/>
        </w:trPr>
        <w:tc>
          <w:tcPr>
            <w:tcW w:w="2268" w:type="dxa"/>
            <w:tcBorders>
              <w:top w:val="none" w:sz="6" w:space="0" w:color="auto"/>
              <w:left w:val="single" w:sz="4" w:space="0" w:color="000000"/>
              <w:bottom w:val="none" w:sz="6" w:space="0" w:color="auto"/>
              <w:right w:val="single" w:sz="4" w:space="0" w:color="000000"/>
            </w:tcBorders>
          </w:tcPr>
          <w:p w14:paraId="39D19C6D" w14:textId="77777777" w:rsidR="00854416" w:rsidRPr="00741D52" w:rsidRDefault="00854416">
            <w:pPr>
              <w:rPr>
                <w:szCs w:val="22"/>
              </w:rPr>
            </w:pPr>
          </w:p>
        </w:tc>
        <w:tc>
          <w:tcPr>
            <w:tcW w:w="3262" w:type="dxa"/>
            <w:tcBorders>
              <w:top w:val="none" w:sz="6" w:space="0" w:color="auto"/>
              <w:left w:val="single" w:sz="4" w:space="0" w:color="000000"/>
              <w:bottom w:val="none" w:sz="6" w:space="0" w:color="auto"/>
              <w:right w:val="single" w:sz="4" w:space="0" w:color="000000"/>
            </w:tcBorders>
          </w:tcPr>
          <w:p w14:paraId="396ADEE2" w14:textId="5B5EE0AF" w:rsidR="00854416" w:rsidRPr="00741D52" w:rsidRDefault="00854416" w:rsidP="00D6163D">
            <w:pPr>
              <w:pStyle w:val="TableParagraph"/>
              <w:kinsoku w:val="0"/>
              <w:overflowPunct w:val="0"/>
              <w:spacing w:line="253" w:lineRule="exact"/>
              <w:rPr>
                <w:sz w:val="22"/>
                <w:szCs w:val="22"/>
                <w:lang w:val="sk-SK"/>
              </w:rPr>
            </w:pPr>
            <w:r w:rsidRPr="00741D52">
              <w:rPr>
                <w:sz w:val="22"/>
                <w:szCs w:val="22"/>
                <w:lang w:val="sk-SK"/>
              </w:rPr>
              <w:t>pneumónia</w:t>
            </w:r>
            <w:r w:rsidRPr="00741D52">
              <w:rPr>
                <w:position w:val="9"/>
                <w:sz w:val="22"/>
                <w:szCs w:val="22"/>
                <w:lang w:val="sk-SK"/>
              </w:rPr>
              <w:t>◊</w:t>
            </w:r>
          </w:p>
        </w:tc>
        <w:tc>
          <w:tcPr>
            <w:tcW w:w="3967" w:type="dxa"/>
            <w:tcBorders>
              <w:top w:val="none" w:sz="6" w:space="0" w:color="auto"/>
              <w:left w:val="single" w:sz="4" w:space="0" w:color="000000"/>
              <w:bottom w:val="none" w:sz="6" w:space="0" w:color="auto"/>
              <w:right w:val="single" w:sz="4" w:space="0" w:color="000000"/>
            </w:tcBorders>
          </w:tcPr>
          <w:p w14:paraId="53F56369" w14:textId="77777777" w:rsidR="00854416" w:rsidRPr="00741D52" w:rsidRDefault="00854416" w:rsidP="008148FC">
            <w:pPr>
              <w:rPr>
                <w:szCs w:val="22"/>
              </w:rPr>
            </w:pPr>
          </w:p>
        </w:tc>
      </w:tr>
      <w:tr w:rsidR="00C118E2" w:rsidRPr="00741D52" w14:paraId="7877FD49" w14:textId="77777777" w:rsidTr="00C118E2">
        <w:trPr>
          <w:trHeight w:hRule="exact" w:val="379"/>
        </w:trPr>
        <w:tc>
          <w:tcPr>
            <w:tcW w:w="2268" w:type="dxa"/>
            <w:tcBorders>
              <w:top w:val="none" w:sz="6" w:space="0" w:color="auto"/>
              <w:left w:val="single" w:sz="4" w:space="0" w:color="000000"/>
              <w:bottom w:val="none" w:sz="6" w:space="0" w:color="auto"/>
              <w:right w:val="single" w:sz="4" w:space="0" w:color="000000"/>
            </w:tcBorders>
          </w:tcPr>
          <w:p w14:paraId="25B96E1E" w14:textId="77777777" w:rsidR="00C118E2" w:rsidRPr="00741D52" w:rsidRDefault="00C118E2">
            <w:pPr>
              <w:rPr>
                <w:szCs w:val="22"/>
              </w:rPr>
            </w:pPr>
          </w:p>
        </w:tc>
        <w:tc>
          <w:tcPr>
            <w:tcW w:w="3262" w:type="dxa"/>
            <w:tcBorders>
              <w:top w:val="none" w:sz="6" w:space="0" w:color="auto"/>
              <w:left w:val="single" w:sz="4" w:space="0" w:color="000000"/>
              <w:bottom w:val="none" w:sz="6" w:space="0" w:color="auto"/>
              <w:right w:val="single" w:sz="4" w:space="0" w:color="000000"/>
            </w:tcBorders>
          </w:tcPr>
          <w:p w14:paraId="55C2381C" w14:textId="77777777" w:rsidR="00C118E2" w:rsidRPr="00741D52" w:rsidRDefault="00C118E2" w:rsidP="008148FC">
            <w:pPr>
              <w:pStyle w:val="TableParagraph"/>
              <w:kinsoku w:val="0"/>
              <w:overflowPunct w:val="0"/>
              <w:spacing w:before="122"/>
              <w:rPr>
                <w:sz w:val="22"/>
                <w:szCs w:val="22"/>
                <w:lang w:val="sk-SK"/>
              </w:rPr>
            </w:pPr>
            <w:r w:rsidRPr="00741D52">
              <w:rPr>
                <w:sz w:val="22"/>
                <w:szCs w:val="22"/>
                <w:u w:val="single" w:color="000000"/>
                <w:lang w:val="sk-SK"/>
              </w:rPr>
              <w:t>Časté</w:t>
            </w:r>
          </w:p>
        </w:tc>
        <w:tc>
          <w:tcPr>
            <w:tcW w:w="3967" w:type="dxa"/>
            <w:tcBorders>
              <w:top w:val="none" w:sz="6" w:space="0" w:color="auto"/>
              <w:left w:val="single" w:sz="4" w:space="0" w:color="000000"/>
              <w:bottom w:val="none" w:sz="6" w:space="0" w:color="auto"/>
              <w:right w:val="single" w:sz="4" w:space="0" w:color="000000"/>
            </w:tcBorders>
          </w:tcPr>
          <w:p w14:paraId="16EF6164" w14:textId="77777777" w:rsidR="00C118E2" w:rsidRPr="00741D52" w:rsidRDefault="00C118E2" w:rsidP="008148FC">
            <w:pPr>
              <w:rPr>
                <w:szCs w:val="22"/>
              </w:rPr>
            </w:pPr>
          </w:p>
        </w:tc>
      </w:tr>
      <w:tr w:rsidR="00C118E2" w:rsidRPr="00741D52" w14:paraId="1A096DFE" w14:textId="77777777" w:rsidTr="00D6163D">
        <w:trPr>
          <w:trHeight w:hRule="exact" w:val="253"/>
        </w:trPr>
        <w:tc>
          <w:tcPr>
            <w:tcW w:w="2268" w:type="dxa"/>
            <w:tcBorders>
              <w:top w:val="none" w:sz="6" w:space="0" w:color="auto"/>
              <w:left w:val="single" w:sz="4" w:space="0" w:color="000000"/>
              <w:bottom w:val="single" w:sz="3" w:space="0" w:color="000000"/>
              <w:right w:val="single" w:sz="4" w:space="0" w:color="000000"/>
            </w:tcBorders>
          </w:tcPr>
          <w:p w14:paraId="2E3CD00F" w14:textId="77777777" w:rsidR="00C118E2" w:rsidRPr="00741D52" w:rsidRDefault="00C118E2">
            <w:pPr>
              <w:rPr>
                <w:szCs w:val="22"/>
              </w:rPr>
            </w:pPr>
          </w:p>
        </w:tc>
        <w:tc>
          <w:tcPr>
            <w:tcW w:w="3262" w:type="dxa"/>
            <w:tcBorders>
              <w:top w:val="none" w:sz="6" w:space="0" w:color="auto"/>
              <w:left w:val="single" w:sz="4" w:space="0" w:color="000000"/>
              <w:bottom w:val="single" w:sz="3" w:space="0" w:color="000000"/>
              <w:right w:val="single" w:sz="4" w:space="0" w:color="000000"/>
            </w:tcBorders>
          </w:tcPr>
          <w:p w14:paraId="6E0690B6" w14:textId="77777777" w:rsidR="00C118E2" w:rsidRPr="00741D52" w:rsidRDefault="00C118E2">
            <w:pPr>
              <w:pStyle w:val="TableParagraph"/>
              <w:kinsoku w:val="0"/>
              <w:overflowPunct w:val="0"/>
              <w:spacing w:line="248" w:lineRule="exact"/>
              <w:rPr>
                <w:sz w:val="22"/>
                <w:szCs w:val="22"/>
                <w:lang w:val="sk-SK"/>
              </w:rPr>
            </w:pPr>
            <w:r w:rsidRPr="00741D52">
              <w:rPr>
                <w:sz w:val="22"/>
                <w:szCs w:val="22"/>
                <w:lang w:val="sk-SK"/>
              </w:rPr>
              <w:t>Sinusitída</w:t>
            </w:r>
          </w:p>
        </w:tc>
        <w:tc>
          <w:tcPr>
            <w:tcW w:w="3967" w:type="dxa"/>
            <w:tcBorders>
              <w:top w:val="none" w:sz="6" w:space="0" w:color="auto"/>
              <w:left w:val="single" w:sz="4" w:space="0" w:color="000000"/>
              <w:bottom w:val="single" w:sz="3" w:space="0" w:color="000000"/>
              <w:right w:val="single" w:sz="4" w:space="0" w:color="000000"/>
            </w:tcBorders>
          </w:tcPr>
          <w:p w14:paraId="0CEA77FA" w14:textId="77777777" w:rsidR="00C118E2" w:rsidRPr="00741D52" w:rsidRDefault="00C118E2">
            <w:pPr>
              <w:rPr>
                <w:szCs w:val="22"/>
              </w:rPr>
            </w:pPr>
          </w:p>
        </w:tc>
      </w:tr>
      <w:tr w:rsidR="00C118E2" w:rsidRPr="00741D52" w14:paraId="1A260C6C" w14:textId="77777777" w:rsidTr="00C118E2">
        <w:trPr>
          <w:trHeight w:hRule="exact" w:val="263"/>
        </w:trPr>
        <w:tc>
          <w:tcPr>
            <w:tcW w:w="2268" w:type="dxa"/>
            <w:tcBorders>
              <w:top w:val="single" w:sz="3" w:space="0" w:color="000000"/>
              <w:left w:val="single" w:sz="4" w:space="0" w:color="000000"/>
              <w:bottom w:val="none" w:sz="6" w:space="0" w:color="auto"/>
              <w:right w:val="single" w:sz="4" w:space="0" w:color="000000"/>
            </w:tcBorders>
          </w:tcPr>
          <w:p w14:paraId="76CD5747" w14:textId="77777777" w:rsidR="00C118E2" w:rsidRPr="00741D52" w:rsidRDefault="00C118E2">
            <w:pPr>
              <w:pStyle w:val="TableParagraph"/>
              <w:kinsoku w:val="0"/>
              <w:overflowPunct w:val="0"/>
              <w:spacing w:before="1"/>
              <w:rPr>
                <w:sz w:val="22"/>
                <w:szCs w:val="22"/>
                <w:lang w:val="sk-SK"/>
              </w:rPr>
            </w:pPr>
            <w:r w:rsidRPr="00741D52">
              <w:rPr>
                <w:b/>
                <w:bCs/>
                <w:sz w:val="22"/>
                <w:szCs w:val="22"/>
                <w:lang w:val="sk-SK"/>
              </w:rPr>
              <w:t>Benígne a malígne</w:t>
            </w:r>
          </w:p>
        </w:tc>
        <w:tc>
          <w:tcPr>
            <w:tcW w:w="3262" w:type="dxa"/>
            <w:tcBorders>
              <w:top w:val="single" w:sz="3" w:space="0" w:color="000000"/>
              <w:left w:val="single" w:sz="4" w:space="0" w:color="000000"/>
              <w:bottom w:val="none" w:sz="6" w:space="0" w:color="auto"/>
              <w:right w:val="single" w:sz="4" w:space="0" w:color="000000"/>
            </w:tcBorders>
          </w:tcPr>
          <w:p w14:paraId="3E9A2CDD" w14:textId="77777777" w:rsidR="00C118E2" w:rsidRPr="00741D52" w:rsidRDefault="00C118E2">
            <w:pPr>
              <w:pStyle w:val="TableParagraph"/>
              <w:kinsoku w:val="0"/>
              <w:overflowPunct w:val="0"/>
              <w:spacing w:before="1"/>
              <w:rPr>
                <w:sz w:val="22"/>
                <w:szCs w:val="22"/>
                <w:lang w:val="sk-SK"/>
              </w:rPr>
            </w:pPr>
            <w:r w:rsidRPr="00741D52">
              <w:rPr>
                <w:sz w:val="22"/>
                <w:szCs w:val="22"/>
                <w:u w:val="single" w:color="000000"/>
                <w:lang w:val="sk-SK"/>
              </w:rPr>
              <w:t>Časté</w:t>
            </w:r>
          </w:p>
        </w:tc>
        <w:tc>
          <w:tcPr>
            <w:tcW w:w="3967" w:type="dxa"/>
            <w:tcBorders>
              <w:top w:val="single" w:sz="3" w:space="0" w:color="000000"/>
              <w:left w:val="single" w:sz="4" w:space="0" w:color="000000"/>
              <w:bottom w:val="none" w:sz="6" w:space="0" w:color="auto"/>
              <w:right w:val="single" w:sz="4" w:space="0" w:color="000000"/>
            </w:tcBorders>
          </w:tcPr>
          <w:p w14:paraId="3BB7EDAE" w14:textId="77777777" w:rsidR="00C118E2" w:rsidRPr="00741D52" w:rsidRDefault="00C118E2">
            <w:pPr>
              <w:pStyle w:val="TableParagraph"/>
              <w:kinsoku w:val="0"/>
              <w:overflowPunct w:val="0"/>
              <w:spacing w:before="1"/>
              <w:rPr>
                <w:sz w:val="22"/>
                <w:szCs w:val="22"/>
                <w:lang w:val="sk-SK"/>
              </w:rPr>
            </w:pPr>
            <w:r w:rsidRPr="00741D52">
              <w:rPr>
                <w:sz w:val="22"/>
                <w:szCs w:val="22"/>
                <w:u w:val="single" w:color="000000"/>
                <w:lang w:val="sk-SK"/>
              </w:rPr>
              <w:t>Časté</w:t>
            </w:r>
          </w:p>
        </w:tc>
      </w:tr>
      <w:tr w:rsidR="00C118E2" w:rsidRPr="00741D52" w14:paraId="7955FCAC" w14:textId="77777777" w:rsidTr="00C118E2">
        <w:trPr>
          <w:trHeight w:hRule="exact" w:val="1036"/>
        </w:trPr>
        <w:tc>
          <w:tcPr>
            <w:tcW w:w="2268" w:type="dxa"/>
            <w:tcBorders>
              <w:top w:val="none" w:sz="6" w:space="0" w:color="auto"/>
              <w:left w:val="single" w:sz="4" w:space="0" w:color="000000"/>
              <w:bottom w:val="single" w:sz="4" w:space="0" w:color="000000"/>
              <w:right w:val="single" w:sz="4" w:space="0" w:color="000000"/>
            </w:tcBorders>
          </w:tcPr>
          <w:p w14:paraId="40B74767" w14:textId="77777777" w:rsidR="00C118E2" w:rsidRPr="00741D52" w:rsidRDefault="00C118E2">
            <w:pPr>
              <w:pStyle w:val="TableParagraph"/>
              <w:kinsoku w:val="0"/>
              <w:overflowPunct w:val="0"/>
              <w:ind w:right="302"/>
              <w:rPr>
                <w:sz w:val="22"/>
                <w:szCs w:val="22"/>
                <w:lang w:val="sk-SK"/>
              </w:rPr>
            </w:pPr>
            <w:r w:rsidRPr="00741D52">
              <w:rPr>
                <w:b/>
                <w:bCs/>
                <w:sz w:val="22"/>
                <w:szCs w:val="22"/>
                <w:lang w:val="sk-SK"/>
              </w:rPr>
              <w:t>nádory, vrátane nešpecifikovaných novotvarov (cysty a polypy)</w:t>
            </w:r>
          </w:p>
        </w:tc>
        <w:tc>
          <w:tcPr>
            <w:tcW w:w="3262" w:type="dxa"/>
            <w:tcBorders>
              <w:top w:val="none" w:sz="6" w:space="0" w:color="auto"/>
              <w:left w:val="single" w:sz="4" w:space="0" w:color="000000"/>
              <w:bottom w:val="single" w:sz="4" w:space="0" w:color="000000"/>
              <w:right w:val="single" w:sz="4" w:space="0" w:color="000000"/>
            </w:tcBorders>
          </w:tcPr>
          <w:p w14:paraId="523B0EC9" w14:textId="7AC61B15" w:rsidR="00C118E2" w:rsidRPr="00741D52" w:rsidRDefault="00C118E2">
            <w:pPr>
              <w:pStyle w:val="TableParagraph"/>
              <w:kinsoku w:val="0"/>
              <w:overflowPunct w:val="0"/>
              <w:ind w:right="758"/>
              <w:rPr>
                <w:sz w:val="22"/>
                <w:szCs w:val="22"/>
                <w:lang w:val="sk-SK"/>
              </w:rPr>
            </w:pPr>
            <w:r w:rsidRPr="00741D52">
              <w:rPr>
                <w:sz w:val="22"/>
                <w:szCs w:val="22"/>
                <w:lang w:val="sk-SK"/>
              </w:rPr>
              <w:t xml:space="preserve">Reakcia vzplanutia </w:t>
            </w:r>
            <w:r w:rsidR="00D6163D">
              <w:rPr>
                <w:sz w:val="22"/>
                <w:szCs w:val="22"/>
                <w:lang w:val="sk-SK"/>
              </w:rPr>
              <w:t>nádoru</w:t>
            </w:r>
            <w:r w:rsidRPr="00741D52">
              <w:rPr>
                <w:sz w:val="22"/>
                <w:szCs w:val="22"/>
                <w:lang w:val="sk-SK"/>
              </w:rPr>
              <w:t xml:space="preserve"> (tumour flare reaction)</w:t>
            </w:r>
          </w:p>
        </w:tc>
        <w:tc>
          <w:tcPr>
            <w:tcW w:w="3967" w:type="dxa"/>
            <w:tcBorders>
              <w:top w:val="none" w:sz="6" w:space="0" w:color="auto"/>
              <w:left w:val="single" w:sz="4" w:space="0" w:color="000000"/>
              <w:bottom w:val="single" w:sz="4" w:space="0" w:color="000000"/>
              <w:right w:val="single" w:sz="4" w:space="0" w:color="000000"/>
            </w:tcBorders>
          </w:tcPr>
          <w:p w14:paraId="3EB32317" w14:textId="1D09F1B0" w:rsidR="00C118E2" w:rsidRPr="00741D52" w:rsidRDefault="00C118E2">
            <w:pPr>
              <w:pStyle w:val="TableParagraph"/>
              <w:kinsoku w:val="0"/>
              <w:overflowPunct w:val="0"/>
              <w:spacing w:before="7" w:line="225" w:lineRule="auto"/>
              <w:ind w:right="891"/>
              <w:rPr>
                <w:sz w:val="22"/>
                <w:szCs w:val="22"/>
                <w:lang w:val="sk-SK"/>
              </w:rPr>
            </w:pPr>
            <w:r w:rsidRPr="00741D52">
              <w:rPr>
                <w:sz w:val="22"/>
                <w:szCs w:val="22"/>
                <w:lang w:val="sk-SK"/>
              </w:rPr>
              <w:t xml:space="preserve">Reakcia vzplanutia </w:t>
            </w:r>
            <w:r w:rsidR="00D6163D">
              <w:rPr>
                <w:sz w:val="22"/>
                <w:szCs w:val="22"/>
                <w:lang w:val="sk-SK"/>
              </w:rPr>
              <w:t>nádoru</w:t>
            </w:r>
            <w:r w:rsidRPr="00741D52">
              <w:rPr>
                <w:sz w:val="22"/>
                <w:szCs w:val="22"/>
                <w:lang w:val="sk-SK"/>
              </w:rPr>
              <w:t>, spinocelulárny karcinóm kože^</w:t>
            </w:r>
            <w:r w:rsidRPr="00741D52">
              <w:rPr>
                <w:position w:val="9"/>
                <w:sz w:val="22"/>
                <w:szCs w:val="22"/>
                <w:lang w:val="sk-SK"/>
              </w:rPr>
              <w:t>,◊</w:t>
            </w:r>
            <w:r w:rsidRPr="00741D52">
              <w:rPr>
                <w:sz w:val="22"/>
                <w:szCs w:val="22"/>
                <w:lang w:val="sk-SK"/>
              </w:rPr>
              <w:t>, bazocelulárny karcinóm^</w:t>
            </w:r>
            <w:r w:rsidRPr="00741D52">
              <w:rPr>
                <w:position w:val="9"/>
                <w:sz w:val="22"/>
                <w:szCs w:val="22"/>
                <w:lang w:val="sk-SK"/>
              </w:rPr>
              <w:t>,◊</w:t>
            </w:r>
          </w:p>
        </w:tc>
      </w:tr>
      <w:tr w:rsidR="00C118E2" w:rsidRPr="00741D52" w14:paraId="11267F67" w14:textId="77777777" w:rsidTr="00C118E2">
        <w:trPr>
          <w:trHeight w:val="20"/>
        </w:trPr>
        <w:tc>
          <w:tcPr>
            <w:tcW w:w="2268" w:type="dxa"/>
            <w:tcBorders>
              <w:top w:val="single" w:sz="4" w:space="0" w:color="000000"/>
              <w:left w:val="single" w:sz="4" w:space="0" w:color="000000"/>
              <w:bottom w:val="none" w:sz="6" w:space="0" w:color="auto"/>
              <w:right w:val="single" w:sz="4" w:space="0" w:color="000000"/>
            </w:tcBorders>
          </w:tcPr>
          <w:p w14:paraId="72CB5216" w14:textId="77777777" w:rsidR="00C118E2" w:rsidRPr="00741D52" w:rsidRDefault="00C118E2">
            <w:pPr>
              <w:pStyle w:val="TableParagraph"/>
              <w:kinsoku w:val="0"/>
              <w:overflowPunct w:val="0"/>
              <w:ind w:right="100"/>
              <w:rPr>
                <w:sz w:val="22"/>
                <w:szCs w:val="22"/>
                <w:lang w:val="sk-SK"/>
              </w:rPr>
            </w:pPr>
            <w:r w:rsidRPr="00741D52">
              <w:rPr>
                <w:b/>
                <w:bCs/>
                <w:sz w:val="22"/>
                <w:szCs w:val="22"/>
                <w:lang w:val="sk-SK"/>
              </w:rPr>
              <w:t>Poruchy krvi a lymfatického systému</w:t>
            </w:r>
          </w:p>
        </w:tc>
        <w:tc>
          <w:tcPr>
            <w:tcW w:w="3262" w:type="dxa"/>
            <w:tcBorders>
              <w:top w:val="single" w:sz="4" w:space="0" w:color="000000"/>
              <w:left w:val="single" w:sz="4" w:space="0" w:color="000000"/>
              <w:bottom w:val="none" w:sz="6" w:space="0" w:color="auto"/>
              <w:right w:val="single" w:sz="4" w:space="0" w:color="000000"/>
            </w:tcBorders>
          </w:tcPr>
          <w:p w14:paraId="7D18FCB7" w14:textId="77777777" w:rsidR="00C118E2" w:rsidRPr="00741D52" w:rsidRDefault="00C118E2" w:rsidP="008148FC">
            <w:pPr>
              <w:pStyle w:val="TableParagraph"/>
              <w:kinsoku w:val="0"/>
              <w:overflowPunct w:val="0"/>
              <w:ind w:right="658"/>
              <w:rPr>
                <w:sz w:val="22"/>
                <w:szCs w:val="22"/>
                <w:vertAlign w:val="superscript"/>
                <w:lang w:val="sk-SK"/>
              </w:rPr>
            </w:pPr>
            <w:r w:rsidRPr="00741D52">
              <w:rPr>
                <w:sz w:val="22"/>
                <w:szCs w:val="22"/>
                <w:u w:val="single" w:color="000000"/>
                <w:lang w:val="sk-SK"/>
              </w:rPr>
              <w:t xml:space="preserve">Veľmi časté </w:t>
            </w:r>
            <w:r w:rsidRPr="00741D52">
              <w:rPr>
                <w:sz w:val="22"/>
                <w:szCs w:val="22"/>
                <w:lang w:val="sk-SK"/>
              </w:rPr>
              <w:t>Trombocytopénia^, neutropénia^</w:t>
            </w:r>
            <w:r w:rsidRPr="00741D52">
              <w:rPr>
                <w:position w:val="9"/>
                <w:sz w:val="22"/>
                <w:szCs w:val="22"/>
                <w:lang w:val="sk-SK"/>
              </w:rPr>
              <w:t>,◊</w:t>
            </w:r>
            <w:r w:rsidRPr="00741D52">
              <w:rPr>
                <w:sz w:val="22"/>
                <w:szCs w:val="22"/>
                <w:lang w:val="sk-SK"/>
              </w:rPr>
              <w:t>, leukopénie</w:t>
            </w:r>
            <w:r w:rsidRPr="00741D52">
              <w:rPr>
                <w:position w:val="9"/>
                <w:sz w:val="22"/>
                <w:szCs w:val="22"/>
                <w:lang w:val="sk-SK"/>
              </w:rPr>
              <w:t>◊</w:t>
            </w:r>
            <w:r w:rsidRPr="00741D52">
              <w:rPr>
                <w:sz w:val="22"/>
                <w:szCs w:val="22"/>
                <w:lang w:val="sk-SK"/>
              </w:rPr>
              <w:t>, anémia</w:t>
            </w:r>
            <w:r w:rsidRPr="00741D52">
              <w:rPr>
                <w:position w:val="9"/>
                <w:sz w:val="22"/>
                <w:szCs w:val="22"/>
                <w:lang w:val="sk-SK"/>
              </w:rPr>
              <w:t>◊</w:t>
            </w:r>
          </w:p>
        </w:tc>
        <w:tc>
          <w:tcPr>
            <w:tcW w:w="3967" w:type="dxa"/>
            <w:tcBorders>
              <w:top w:val="single" w:sz="4" w:space="0" w:color="000000"/>
              <w:left w:val="single" w:sz="4" w:space="0" w:color="000000"/>
              <w:bottom w:val="none" w:sz="6" w:space="0" w:color="auto"/>
              <w:right w:val="single" w:sz="4" w:space="0" w:color="000000"/>
            </w:tcBorders>
          </w:tcPr>
          <w:p w14:paraId="42A3F9E2" w14:textId="77777777" w:rsidR="00C118E2" w:rsidRPr="00741D52" w:rsidRDefault="00C118E2" w:rsidP="00D6163D">
            <w:pPr>
              <w:pStyle w:val="TableParagraph"/>
              <w:kinsoku w:val="0"/>
              <w:overflowPunct w:val="0"/>
              <w:spacing w:line="245" w:lineRule="exact"/>
              <w:rPr>
                <w:sz w:val="22"/>
                <w:szCs w:val="22"/>
                <w:lang w:val="sk-SK"/>
              </w:rPr>
            </w:pPr>
            <w:r w:rsidRPr="00741D52">
              <w:rPr>
                <w:sz w:val="22"/>
                <w:szCs w:val="22"/>
                <w:u w:val="single" w:color="000000"/>
                <w:lang w:val="sk-SK"/>
              </w:rPr>
              <w:t>Veľmi časté</w:t>
            </w:r>
          </w:p>
          <w:p w14:paraId="27B62141" w14:textId="77777777" w:rsidR="00C118E2" w:rsidRPr="00741D52" w:rsidRDefault="00C118E2" w:rsidP="00D6163D">
            <w:pPr>
              <w:pStyle w:val="TableParagraph"/>
              <w:kinsoku w:val="0"/>
              <w:overflowPunct w:val="0"/>
              <w:spacing w:before="28" w:line="256" w:lineRule="exact"/>
              <w:ind w:right="672"/>
              <w:rPr>
                <w:sz w:val="22"/>
                <w:szCs w:val="22"/>
                <w:lang w:val="sk-SK"/>
              </w:rPr>
            </w:pPr>
            <w:r w:rsidRPr="00741D52">
              <w:rPr>
                <w:sz w:val="22"/>
                <w:szCs w:val="22"/>
                <w:lang w:val="sk-SK"/>
              </w:rPr>
              <w:t>Trombocytopénia^</w:t>
            </w:r>
            <w:r w:rsidRPr="00741D52">
              <w:rPr>
                <w:position w:val="9"/>
                <w:sz w:val="22"/>
                <w:szCs w:val="22"/>
                <w:lang w:val="sk-SK"/>
              </w:rPr>
              <w:t>◊</w:t>
            </w:r>
            <w:r w:rsidRPr="00741D52">
              <w:rPr>
                <w:sz w:val="22"/>
                <w:szCs w:val="22"/>
                <w:lang w:val="sk-SK"/>
              </w:rPr>
              <w:t>, neutropénia^</w:t>
            </w:r>
            <w:r w:rsidRPr="00741D52">
              <w:rPr>
                <w:position w:val="9"/>
                <w:sz w:val="22"/>
                <w:szCs w:val="22"/>
                <w:lang w:val="sk-SK"/>
              </w:rPr>
              <w:t>,◊</w:t>
            </w:r>
            <w:r w:rsidRPr="00741D52">
              <w:rPr>
                <w:sz w:val="22"/>
                <w:szCs w:val="22"/>
                <w:lang w:val="sk-SK"/>
              </w:rPr>
              <w:t>, anémia</w:t>
            </w:r>
            <w:r w:rsidRPr="00741D52">
              <w:rPr>
                <w:position w:val="9"/>
                <w:sz w:val="22"/>
                <w:szCs w:val="22"/>
                <w:lang w:val="sk-SK"/>
              </w:rPr>
              <w:t>◊</w:t>
            </w:r>
          </w:p>
        </w:tc>
      </w:tr>
      <w:tr w:rsidR="00C118E2" w:rsidRPr="00741D52" w14:paraId="0881C6B8" w14:textId="77777777" w:rsidTr="00C118E2">
        <w:trPr>
          <w:trHeight w:val="20"/>
        </w:trPr>
        <w:tc>
          <w:tcPr>
            <w:tcW w:w="2268" w:type="dxa"/>
            <w:tcBorders>
              <w:top w:val="none" w:sz="6" w:space="0" w:color="auto"/>
              <w:left w:val="single" w:sz="4" w:space="0" w:color="000000"/>
              <w:bottom w:val="none" w:sz="6" w:space="0" w:color="auto"/>
              <w:right w:val="single" w:sz="4" w:space="0" w:color="000000"/>
            </w:tcBorders>
          </w:tcPr>
          <w:p w14:paraId="0CF23C28" w14:textId="77777777" w:rsidR="00C118E2" w:rsidRPr="00741D52" w:rsidRDefault="00C118E2">
            <w:pPr>
              <w:rPr>
                <w:szCs w:val="22"/>
              </w:rPr>
            </w:pPr>
          </w:p>
        </w:tc>
        <w:tc>
          <w:tcPr>
            <w:tcW w:w="3262" w:type="dxa"/>
            <w:tcBorders>
              <w:top w:val="none" w:sz="6" w:space="0" w:color="auto"/>
              <w:left w:val="single" w:sz="4" w:space="0" w:color="000000"/>
              <w:bottom w:val="none" w:sz="6" w:space="0" w:color="auto"/>
              <w:right w:val="single" w:sz="4" w:space="0" w:color="000000"/>
            </w:tcBorders>
          </w:tcPr>
          <w:p w14:paraId="43FA84AD" w14:textId="77777777" w:rsidR="00C118E2" w:rsidRPr="00741D52" w:rsidRDefault="00C118E2" w:rsidP="008148FC">
            <w:pPr>
              <w:rPr>
                <w:szCs w:val="22"/>
              </w:rPr>
            </w:pPr>
          </w:p>
        </w:tc>
        <w:tc>
          <w:tcPr>
            <w:tcW w:w="3967" w:type="dxa"/>
            <w:tcBorders>
              <w:top w:val="none" w:sz="6" w:space="0" w:color="auto"/>
              <w:left w:val="single" w:sz="4" w:space="0" w:color="000000"/>
              <w:bottom w:val="none" w:sz="6" w:space="0" w:color="auto"/>
              <w:right w:val="single" w:sz="4" w:space="0" w:color="000000"/>
            </w:tcBorders>
          </w:tcPr>
          <w:p w14:paraId="7CC0B8E3" w14:textId="77777777" w:rsidR="00C118E2" w:rsidRPr="00741D52" w:rsidRDefault="00C118E2" w:rsidP="00D6163D">
            <w:pPr>
              <w:pStyle w:val="TableParagraph"/>
              <w:kinsoku w:val="0"/>
              <w:overflowPunct w:val="0"/>
              <w:spacing w:line="250" w:lineRule="exact"/>
              <w:rPr>
                <w:sz w:val="22"/>
                <w:szCs w:val="22"/>
                <w:lang w:val="sk-SK"/>
              </w:rPr>
            </w:pPr>
            <w:r w:rsidRPr="00741D52">
              <w:rPr>
                <w:sz w:val="22"/>
                <w:szCs w:val="22"/>
                <w:u w:val="single" w:color="000000"/>
                <w:lang w:val="sk-SK"/>
              </w:rPr>
              <w:t>Časté</w:t>
            </w:r>
          </w:p>
        </w:tc>
      </w:tr>
      <w:tr w:rsidR="00C118E2" w:rsidRPr="00741D52" w14:paraId="358A2456" w14:textId="77777777" w:rsidTr="00C118E2">
        <w:trPr>
          <w:trHeight w:val="20"/>
        </w:trPr>
        <w:tc>
          <w:tcPr>
            <w:tcW w:w="2268" w:type="dxa"/>
            <w:tcBorders>
              <w:top w:val="none" w:sz="6" w:space="0" w:color="auto"/>
              <w:left w:val="single" w:sz="4" w:space="0" w:color="000000"/>
              <w:bottom w:val="none" w:sz="6" w:space="0" w:color="auto"/>
              <w:right w:val="single" w:sz="4" w:space="0" w:color="000000"/>
            </w:tcBorders>
          </w:tcPr>
          <w:p w14:paraId="75B123D5" w14:textId="77777777" w:rsidR="00C118E2" w:rsidRPr="00741D52" w:rsidRDefault="00C118E2">
            <w:pPr>
              <w:rPr>
                <w:szCs w:val="22"/>
              </w:rPr>
            </w:pPr>
          </w:p>
        </w:tc>
        <w:tc>
          <w:tcPr>
            <w:tcW w:w="3262" w:type="dxa"/>
            <w:tcBorders>
              <w:top w:val="none" w:sz="6" w:space="0" w:color="auto"/>
              <w:left w:val="single" w:sz="4" w:space="0" w:color="000000"/>
              <w:bottom w:val="none" w:sz="6" w:space="0" w:color="auto"/>
              <w:right w:val="single" w:sz="4" w:space="0" w:color="000000"/>
            </w:tcBorders>
          </w:tcPr>
          <w:p w14:paraId="27B89BEA" w14:textId="77777777" w:rsidR="00C118E2" w:rsidRPr="00741D52" w:rsidRDefault="00C118E2" w:rsidP="008148FC">
            <w:pPr>
              <w:pStyle w:val="TableParagraph"/>
              <w:kinsoku w:val="0"/>
              <w:overflowPunct w:val="0"/>
              <w:spacing w:before="27"/>
              <w:rPr>
                <w:sz w:val="22"/>
                <w:szCs w:val="22"/>
                <w:lang w:val="sk-SK"/>
              </w:rPr>
            </w:pPr>
            <w:r w:rsidRPr="00741D52">
              <w:rPr>
                <w:sz w:val="22"/>
                <w:szCs w:val="22"/>
                <w:u w:val="single" w:color="000000"/>
                <w:lang w:val="sk-SK"/>
              </w:rPr>
              <w:t>Časté</w:t>
            </w:r>
          </w:p>
        </w:tc>
        <w:tc>
          <w:tcPr>
            <w:tcW w:w="3967" w:type="dxa"/>
            <w:tcBorders>
              <w:top w:val="none" w:sz="6" w:space="0" w:color="auto"/>
              <w:left w:val="single" w:sz="4" w:space="0" w:color="000000"/>
              <w:bottom w:val="none" w:sz="6" w:space="0" w:color="auto"/>
              <w:right w:val="single" w:sz="4" w:space="0" w:color="000000"/>
            </w:tcBorders>
          </w:tcPr>
          <w:p w14:paraId="70422B75" w14:textId="77777777" w:rsidR="00C118E2" w:rsidRPr="00741D52" w:rsidRDefault="00C118E2" w:rsidP="00D6163D">
            <w:pPr>
              <w:pStyle w:val="TableParagraph"/>
              <w:kinsoku w:val="0"/>
              <w:overflowPunct w:val="0"/>
              <w:spacing w:line="278" w:lineRule="exact"/>
              <w:rPr>
                <w:sz w:val="22"/>
                <w:szCs w:val="22"/>
                <w:lang w:val="sk-SK"/>
              </w:rPr>
            </w:pPr>
            <w:r w:rsidRPr="00741D52">
              <w:rPr>
                <w:sz w:val="22"/>
                <w:szCs w:val="22"/>
                <w:lang w:val="sk-SK"/>
              </w:rPr>
              <w:t>Febrilná neutropénia^</w:t>
            </w:r>
            <w:r w:rsidRPr="00741D52">
              <w:rPr>
                <w:position w:val="9"/>
                <w:sz w:val="22"/>
                <w:szCs w:val="22"/>
                <w:lang w:val="sk-SK"/>
              </w:rPr>
              <w:t>,◊</w:t>
            </w:r>
            <w:r w:rsidRPr="00741D52">
              <w:rPr>
                <w:sz w:val="22"/>
                <w:szCs w:val="22"/>
                <w:lang w:val="sk-SK"/>
              </w:rPr>
              <w:t>, leukopénie</w:t>
            </w:r>
            <w:r w:rsidRPr="00741D52">
              <w:rPr>
                <w:position w:val="9"/>
                <w:sz w:val="22"/>
                <w:szCs w:val="22"/>
                <w:lang w:val="sk-SK"/>
              </w:rPr>
              <w:t>◊</w:t>
            </w:r>
          </w:p>
        </w:tc>
      </w:tr>
      <w:tr w:rsidR="00C118E2" w:rsidRPr="00741D52" w14:paraId="118B5145" w14:textId="77777777" w:rsidTr="00D6163D">
        <w:trPr>
          <w:trHeight w:hRule="exact" w:val="287"/>
        </w:trPr>
        <w:tc>
          <w:tcPr>
            <w:tcW w:w="2268" w:type="dxa"/>
            <w:tcBorders>
              <w:top w:val="none" w:sz="6" w:space="0" w:color="auto"/>
              <w:left w:val="single" w:sz="4" w:space="0" w:color="000000"/>
              <w:bottom w:val="single" w:sz="4" w:space="0" w:color="000000"/>
              <w:right w:val="single" w:sz="4" w:space="0" w:color="000000"/>
            </w:tcBorders>
          </w:tcPr>
          <w:p w14:paraId="0FA0C266" w14:textId="77777777" w:rsidR="00C118E2" w:rsidRPr="00741D52" w:rsidRDefault="00C118E2">
            <w:pPr>
              <w:rPr>
                <w:szCs w:val="22"/>
              </w:rPr>
            </w:pPr>
          </w:p>
        </w:tc>
        <w:tc>
          <w:tcPr>
            <w:tcW w:w="3262" w:type="dxa"/>
            <w:tcBorders>
              <w:top w:val="none" w:sz="6" w:space="0" w:color="auto"/>
              <w:left w:val="single" w:sz="4" w:space="0" w:color="000000"/>
              <w:bottom w:val="single" w:sz="4" w:space="0" w:color="000000"/>
              <w:right w:val="single" w:sz="4" w:space="0" w:color="000000"/>
            </w:tcBorders>
          </w:tcPr>
          <w:p w14:paraId="254E7DA7" w14:textId="77777777" w:rsidR="00C118E2" w:rsidRPr="00741D52" w:rsidRDefault="00C118E2" w:rsidP="00D6163D">
            <w:pPr>
              <w:pStyle w:val="TableParagraph"/>
              <w:kinsoku w:val="0"/>
              <w:overflowPunct w:val="0"/>
              <w:spacing w:line="281" w:lineRule="exact"/>
              <w:rPr>
                <w:sz w:val="22"/>
                <w:szCs w:val="22"/>
                <w:lang w:val="sk-SK"/>
              </w:rPr>
            </w:pPr>
            <w:r w:rsidRPr="00741D52">
              <w:rPr>
                <w:sz w:val="22"/>
                <w:szCs w:val="22"/>
                <w:lang w:val="sk-SK"/>
              </w:rPr>
              <w:t>Febrilná neutropénia^</w:t>
            </w:r>
            <w:r w:rsidRPr="00741D52">
              <w:rPr>
                <w:position w:val="9"/>
                <w:sz w:val="22"/>
                <w:szCs w:val="22"/>
                <w:lang w:val="sk-SK"/>
              </w:rPr>
              <w:t>,◊</w:t>
            </w:r>
          </w:p>
        </w:tc>
        <w:tc>
          <w:tcPr>
            <w:tcW w:w="3967" w:type="dxa"/>
            <w:tcBorders>
              <w:top w:val="none" w:sz="6" w:space="0" w:color="auto"/>
              <w:left w:val="single" w:sz="4" w:space="0" w:color="000000"/>
              <w:bottom w:val="single" w:sz="4" w:space="0" w:color="000000"/>
              <w:right w:val="single" w:sz="4" w:space="0" w:color="000000"/>
            </w:tcBorders>
          </w:tcPr>
          <w:p w14:paraId="4F3724CB" w14:textId="77777777" w:rsidR="00C118E2" w:rsidRPr="00741D52" w:rsidRDefault="00C118E2" w:rsidP="008148FC">
            <w:pPr>
              <w:rPr>
                <w:szCs w:val="22"/>
              </w:rPr>
            </w:pPr>
          </w:p>
        </w:tc>
      </w:tr>
      <w:tr w:rsidR="00C118E2" w:rsidRPr="00741D52" w14:paraId="01CA9058" w14:textId="77777777" w:rsidTr="00C118E2">
        <w:trPr>
          <w:trHeight w:hRule="exact" w:val="916"/>
        </w:trPr>
        <w:tc>
          <w:tcPr>
            <w:tcW w:w="2268" w:type="dxa"/>
            <w:tcBorders>
              <w:top w:val="single" w:sz="4" w:space="0" w:color="000000"/>
              <w:left w:val="single" w:sz="4" w:space="0" w:color="000000"/>
              <w:bottom w:val="none" w:sz="6" w:space="0" w:color="auto"/>
              <w:right w:val="single" w:sz="4" w:space="0" w:color="000000"/>
            </w:tcBorders>
          </w:tcPr>
          <w:p w14:paraId="28B98F85" w14:textId="77777777" w:rsidR="00C118E2" w:rsidRPr="00741D52" w:rsidRDefault="00C118E2">
            <w:pPr>
              <w:pStyle w:val="TableParagraph"/>
              <w:kinsoku w:val="0"/>
              <w:overflowPunct w:val="0"/>
              <w:ind w:right="110"/>
              <w:rPr>
                <w:sz w:val="22"/>
                <w:szCs w:val="22"/>
                <w:lang w:val="sk-SK"/>
              </w:rPr>
            </w:pPr>
            <w:r w:rsidRPr="00741D52">
              <w:rPr>
                <w:b/>
                <w:bCs/>
                <w:sz w:val="22"/>
                <w:szCs w:val="22"/>
                <w:lang w:val="sk-SK"/>
              </w:rPr>
              <w:t>Poruchy metabolizmu a</w:t>
            </w:r>
            <w:r w:rsidRPr="00741D52">
              <w:rPr>
                <w:b/>
                <w:bCs/>
                <w:spacing w:val="-5"/>
                <w:sz w:val="22"/>
                <w:szCs w:val="22"/>
                <w:lang w:val="sk-SK"/>
              </w:rPr>
              <w:t xml:space="preserve"> </w:t>
            </w:r>
            <w:r w:rsidRPr="00741D52">
              <w:rPr>
                <w:b/>
                <w:bCs/>
                <w:sz w:val="22"/>
                <w:szCs w:val="22"/>
                <w:lang w:val="sk-SK"/>
              </w:rPr>
              <w:t>výživy</w:t>
            </w:r>
          </w:p>
        </w:tc>
        <w:tc>
          <w:tcPr>
            <w:tcW w:w="3262" w:type="dxa"/>
            <w:tcBorders>
              <w:top w:val="single" w:sz="4" w:space="0" w:color="000000"/>
              <w:left w:val="single" w:sz="4" w:space="0" w:color="000000"/>
              <w:bottom w:val="none" w:sz="6" w:space="0" w:color="auto"/>
              <w:right w:val="single" w:sz="4" w:space="0" w:color="000000"/>
            </w:tcBorders>
          </w:tcPr>
          <w:p w14:paraId="71C3B7C8" w14:textId="77777777" w:rsidR="00C118E2" w:rsidRPr="00741D52" w:rsidRDefault="00C118E2">
            <w:pPr>
              <w:pStyle w:val="TableParagraph"/>
              <w:kinsoku w:val="0"/>
              <w:overflowPunct w:val="0"/>
              <w:spacing w:line="251" w:lineRule="exact"/>
              <w:rPr>
                <w:sz w:val="22"/>
                <w:szCs w:val="22"/>
                <w:lang w:val="sk-SK"/>
              </w:rPr>
            </w:pPr>
            <w:r w:rsidRPr="00741D52">
              <w:rPr>
                <w:sz w:val="22"/>
                <w:szCs w:val="22"/>
                <w:u w:val="single" w:color="000000"/>
                <w:lang w:val="sk-SK"/>
              </w:rPr>
              <w:t>Veľmi časté</w:t>
            </w:r>
          </w:p>
          <w:p w14:paraId="7C6E6505" w14:textId="77777777" w:rsidR="00C118E2" w:rsidRPr="00741D52" w:rsidRDefault="00C118E2">
            <w:pPr>
              <w:pStyle w:val="TableParagraph"/>
              <w:kinsoku w:val="0"/>
              <w:overflowPunct w:val="0"/>
              <w:spacing w:line="252" w:lineRule="exact"/>
              <w:rPr>
                <w:sz w:val="22"/>
                <w:szCs w:val="22"/>
                <w:lang w:val="sk-SK"/>
              </w:rPr>
            </w:pPr>
            <w:r w:rsidRPr="00741D52">
              <w:rPr>
                <w:sz w:val="22"/>
                <w:szCs w:val="22"/>
                <w:lang w:val="sk-SK"/>
              </w:rPr>
              <w:t>Znížená chuť do jedla, zníženie</w:t>
            </w:r>
          </w:p>
          <w:p w14:paraId="32266A47" w14:textId="77777777" w:rsidR="00C118E2" w:rsidRPr="00741D52" w:rsidRDefault="00C118E2">
            <w:pPr>
              <w:pStyle w:val="TableParagraph"/>
              <w:kinsoku w:val="0"/>
              <w:overflowPunct w:val="0"/>
              <w:spacing w:before="1"/>
              <w:rPr>
                <w:sz w:val="22"/>
                <w:szCs w:val="22"/>
                <w:lang w:val="sk-SK"/>
              </w:rPr>
            </w:pPr>
            <w:r w:rsidRPr="00741D52">
              <w:rPr>
                <w:sz w:val="22"/>
                <w:szCs w:val="22"/>
                <w:lang w:val="sk-SK"/>
              </w:rPr>
              <w:t>telesnej hmotnosti, hypokaliémia</w:t>
            </w:r>
          </w:p>
        </w:tc>
        <w:tc>
          <w:tcPr>
            <w:tcW w:w="3967" w:type="dxa"/>
            <w:tcBorders>
              <w:top w:val="single" w:sz="4" w:space="0" w:color="000000"/>
              <w:left w:val="single" w:sz="4" w:space="0" w:color="000000"/>
              <w:bottom w:val="none" w:sz="6" w:space="0" w:color="auto"/>
              <w:right w:val="single" w:sz="4" w:space="0" w:color="000000"/>
            </w:tcBorders>
          </w:tcPr>
          <w:p w14:paraId="06C7EA35" w14:textId="77777777" w:rsidR="00C118E2" w:rsidRPr="00741D52" w:rsidRDefault="00C118E2">
            <w:pPr>
              <w:pStyle w:val="TableParagraph"/>
              <w:kinsoku w:val="0"/>
              <w:overflowPunct w:val="0"/>
              <w:spacing w:line="244" w:lineRule="exact"/>
              <w:rPr>
                <w:sz w:val="22"/>
                <w:szCs w:val="22"/>
                <w:lang w:val="sk-SK"/>
              </w:rPr>
            </w:pPr>
            <w:r w:rsidRPr="00741D52">
              <w:rPr>
                <w:sz w:val="22"/>
                <w:szCs w:val="22"/>
                <w:u w:val="single" w:color="000000"/>
                <w:lang w:val="sk-SK"/>
              </w:rPr>
              <w:t>Časté</w:t>
            </w:r>
          </w:p>
          <w:p w14:paraId="3E70A083" w14:textId="77777777" w:rsidR="00C118E2" w:rsidRPr="00741D52" w:rsidRDefault="00C118E2">
            <w:pPr>
              <w:pStyle w:val="TableParagraph"/>
              <w:kinsoku w:val="0"/>
              <w:overflowPunct w:val="0"/>
              <w:spacing w:line="244" w:lineRule="auto"/>
              <w:ind w:right="1147"/>
              <w:rPr>
                <w:sz w:val="22"/>
                <w:szCs w:val="22"/>
                <w:lang w:val="sk-SK"/>
              </w:rPr>
            </w:pPr>
            <w:r w:rsidRPr="00741D52">
              <w:rPr>
                <w:sz w:val="22"/>
                <w:szCs w:val="22"/>
                <w:lang w:val="sk-SK"/>
              </w:rPr>
              <w:t>Dehydratácia</w:t>
            </w:r>
            <w:r w:rsidRPr="00741D52">
              <w:rPr>
                <w:position w:val="9"/>
                <w:sz w:val="22"/>
                <w:szCs w:val="22"/>
                <w:lang w:val="sk-SK"/>
              </w:rPr>
              <w:t>◊</w:t>
            </w:r>
            <w:r w:rsidRPr="00741D52">
              <w:rPr>
                <w:sz w:val="22"/>
                <w:szCs w:val="22"/>
                <w:lang w:val="sk-SK"/>
              </w:rPr>
              <w:t>, hyponatriémia, hypokalciémia</w:t>
            </w:r>
          </w:p>
        </w:tc>
      </w:tr>
      <w:tr w:rsidR="00C118E2" w:rsidRPr="00741D52" w14:paraId="3E7C6B30" w14:textId="77777777" w:rsidTr="00C118E2">
        <w:trPr>
          <w:trHeight w:hRule="exact" w:val="370"/>
        </w:trPr>
        <w:tc>
          <w:tcPr>
            <w:tcW w:w="2268" w:type="dxa"/>
            <w:tcBorders>
              <w:top w:val="none" w:sz="6" w:space="0" w:color="auto"/>
              <w:left w:val="single" w:sz="4" w:space="0" w:color="000000"/>
              <w:bottom w:val="none" w:sz="6" w:space="0" w:color="auto"/>
              <w:right w:val="single" w:sz="4" w:space="0" w:color="000000"/>
            </w:tcBorders>
          </w:tcPr>
          <w:p w14:paraId="53102FC6" w14:textId="77777777" w:rsidR="00C118E2" w:rsidRPr="00741D52" w:rsidRDefault="00C118E2">
            <w:pPr>
              <w:rPr>
                <w:szCs w:val="22"/>
              </w:rPr>
            </w:pPr>
          </w:p>
        </w:tc>
        <w:tc>
          <w:tcPr>
            <w:tcW w:w="3262" w:type="dxa"/>
            <w:tcBorders>
              <w:top w:val="none" w:sz="6" w:space="0" w:color="auto"/>
              <w:left w:val="single" w:sz="4" w:space="0" w:color="000000"/>
              <w:bottom w:val="none" w:sz="6" w:space="0" w:color="auto"/>
              <w:right w:val="single" w:sz="4" w:space="0" w:color="000000"/>
            </w:tcBorders>
          </w:tcPr>
          <w:p w14:paraId="2F05946D" w14:textId="77777777" w:rsidR="00C118E2" w:rsidRPr="00741D52" w:rsidRDefault="00C118E2" w:rsidP="008148FC">
            <w:pPr>
              <w:pStyle w:val="TableParagraph"/>
              <w:kinsoku w:val="0"/>
              <w:overflowPunct w:val="0"/>
              <w:spacing w:before="122"/>
              <w:rPr>
                <w:sz w:val="22"/>
                <w:szCs w:val="22"/>
                <w:lang w:val="sk-SK"/>
              </w:rPr>
            </w:pPr>
            <w:r w:rsidRPr="00741D52">
              <w:rPr>
                <w:sz w:val="22"/>
                <w:szCs w:val="22"/>
                <w:u w:val="single" w:color="000000"/>
                <w:lang w:val="sk-SK"/>
              </w:rPr>
              <w:t>Časté</w:t>
            </w:r>
          </w:p>
        </w:tc>
        <w:tc>
          <w:tcPr>
            <w:tcW w:w="3967" w:type="dxa"/>
            <w:tcBorders>
              <w:top w:val="none" w:sz="6" w:space="0" w:color="auto"/>
              <w:left w:val="single" w:sz="4" w:space="0" w:color="000000"/>
              <w:bottom w:val="none" w:sz="6" w:space="0" w:color="auto"/>
              <w:right w:val="single" w:sz="4" w:space="0" w:color="000000"/>
            </w:tcBorders>
          </w:tcPr>
          <w:p w14:paraId="041BEDBF" w14:textId="77777777" w:rsidR="00C118E2" w:rsidRPr="00741D52" w:rsidRDefault="00C118E2">
            <w:pPr>
              <w:rPr>
                <w:szCs w:val="22"/>
              </w:rPr>
            </w:pPr>
          </w:p>
        </w:tc>
      </w:tr>
      <w:tr w:rsidR="00C118E2" w:rsidRPr="00741D52" w14:paraId="19C6B6CE" w14:textId="77777777" w:rsidTr="00D6163D">
        <w:trPr>
          <w:trHeight w:hRule="exact" w:val="286"/>
        </w:trPr>
        <w:tc>
          <w:tcPr>
            <w:tcW w:w="2268" w:type="dxa"/>
            <w:tcBorders>
              <w:top w:val="none" w:sz="6" w:space="0" w:color="auto"/>
              <w:left w:val="single" w:sz="4" w:space="0" w:color="000000"/>
              <w:bottom w:val="single" w:sz="4" w:space="0" w:color="000000"/>
              <w:right w:val="single" w:sz="4" w:space="0" w:color="000000"/>
            </w:tcBorders>
          </w:tcPr>
          <w:p w14:paraId="4628F01F" w14:textId="77777777" w:rsidR="00C118E2" w:rsidRPr="00741D52" w:rsidRDefault="00C118E2">
            <w:pPr>
              <w:rPr>
                <w:szCs w:val="22"/>
              </w:rPr>
            </w:pPr>
          </w:p>
        </w:tc>
        <w:tc>
          <w:tcPr>
            <w:tcW w:w="3262" w:type="dxa"/>
            <w:tcBorders>
              <w:top w:val="none" w:sz="6" w:space="0" w:color="auto"/>
              <w:left w:val="single" w:sz="4" w:space="0" w:color="000000"/>
              <w:bottom w:val="single" w:sz="4" w:space="0" w:color="000000"/>
              <w:right w:val="single" w:sz="4" w:space="0" w:color="000000"/>
            </w:tcBorders>
          </w:tcPr>
          <w:p w14:paraId="2B90AD61" w14:textId="77777777" w:rsidR="00C118E2" w:rsidRPr="00741D52" w:rsidRDefault="00C118E2" w:rsidP="00D6163D">
            <w:pPr>
              <w:pStyle w:val="TableParagraph"/>
              <w:kinsoku w:val="0"/>
              <w:overflowPunct w:val="0"/>
              <w:spacing w:line="276" w:lineRule="exact"/>
              <w:rPr>
                <w:sz w:val="22"/>
                <w:szCs w:val="22"/>
                <w:lang w:val="sk-SK"/>
              </w:rPr>
            </w:pPr>
            <w:r w:rsidRPr="00741D52">
              <w:rPr>
                <w:sz w:val="22"/>
                <w:szCs w:val="22"/>
                <w:lang w:val="sk-SK"/>
              </w:rPr>
              <w:t>Dehydratácia</w:t>
            </w:r>
            <w:r w:rsidRPr="00741D52">
              <w:rPr>
                <w:position w:val="9"/>
                <w:sz w:val="22"/>
                <w:szCs w:val="22"/>
                <w:lang w:val="sk-SK"/>
              </w:rPr>
              <w:t>◊</w:t>
            </w:r>
          </w:p>
        </w:tc>
        <w:tc>
          <w:tcPr>
            <w:tcW w:w="3967" w:type="dxa"/>
            <w:tcBorders>
              <w:top w:val="none" w:sz="6" w:space="0" w:color="auto"/>
              <w:left w:val="single" w:sz="4" w:space="0" w:color="000000"/>
              <w:bottom w:val="single" w:sz="4" w:space="0" w:color="000000"/>
              <w:right w:val="single" w:sz="4" w:space="0" w:color="000000"/>
            </w:tcBorders>
          </w:tcPr>
          <w:p w14:paraId="68582D17" w14:textId="77777777" w:rsidR="00C118E2" w:rsidRPr="00741D52" w:rsidRDefault="00C118E2">
            <w:pPr>
              <w:rPr>
                <w:szCs w:val="22"/>
              </w:rPr>
            </w:pPr>
          </w:p>
        </w:tc>
      </w:tr>
      <w:tr w:rsidR="00C118E2" w:rsidRPr="00741D52" w14:paraId="1CDDFE3C" w14:textId="77777777" w:rsidTr="00C118E2">
        <w:trPr>
          <w:trHeight w:hRule="exact" w:val="516"/>
        </w:trPr>
        <w:tc>
          <w:tcPr>
            <w:tcW w:w="2268" w:type="dxa"/>
            <w:tcBorders>
              <w:top w:val="single" w:sz="4" w:space="0" w:color="000000"/>
              <w:left w:val="single" w:sz="4" w:space="0" w:color="000000"/>
              <w:bottom w:val="single" w:sz="4" w:space="0" w:color="000000"/>
              <w:right w:val="single" w:sz="4" w:space="0" w:color="000000"/>
            </w:tcBorders>
          </w:tcPr>
          <w:p w14:paraId="775FC271" w14:textId="77777777" w:rsidR="00C118E2" w:rsidRPr="00741D52" w:rsidRDefault="00C118E2">
            <w:pPr>
              <w:pStyle w:val="TableParagraph"/>
              <w:kinsoku w:val="0"/>
              <w:overflowPunct w:val="0"/>
              <w:spacing w:before="1"/>
              <w:rPr>
                <w:sz w:val="22"/>
                <w:szCs w:val="22"/>
                <w:lang w:val="sk-SK"/>
              </w:rPr>
            </w:pPr>
            <w:r w:rsidRPr="00741D52">
              <w:rPr>
                <w:b/>
                <w:bCs/>
                <w:sz w:val="22"/>
                <w:szCs w:val="22"/>
                <w:lang w:val="sk-SK"/>
              </w:rPr>
              <w:t>Psychické poruchy</w:t>
            </w:r>
          </w:p>
        </w:tc>
        <w:tc>
          <w:tcPr>
            <w:tcW w:w="3262" w:type="dxa"/>
            <w:tcBorders>
              <w:top w:val="single" w:sz="4" w:space="0" w:color="000000"/>
              <w:left w:val="single" w:sz="4" w:space="0" w:color="000000"/>
              <w:bottom w:val="single" w:sz="4" w:space="0" w:color="000000"/>
              <w:right w:val="single" w:sz="4" w:space="0" w:color="000000"/>
            </w:tcBorders>
          </w:tcPr>
          <w:p w14:paraId="2FB35F70" w14:textId="77777777" w:rsidR="00C118E2" w:rsidRPr="00741D52" w:rsidRDefault="00C118E2">
            <w:pPr>
              <w:pStyle w:val="TableParagraph"/>
              <w:kinsoku w:val="0"/>
              <w:overflowPunct w:val="0"/>
              <w:spacing w:before="1"/>
              <w:ind w:right="2179"/>
              <w:rPr>
                <w:sz w:val="22"/>
                <w:szCs w:val="22"/>
                <w:lang w:val="sk-SK"/>
              </w:rPr>
            </w:pPr>
            <w:r w:rsidRPr="00741D52">
              <w:rPr>
                <w:sz w:val="22"/>
                <w:szCs w:val="22"/>
                <w:u w:val="single" w:color="000000"/>
                <w:lang w:val="sk-SK"/>
              </w:rPr>
              <w:t xml:space="preserve">Časté </w:t>
            </w:r>
            <w:r w:rsidRPr="00741D52">
              <w:rPr>
                <w:sz w:val="22"/>
                <w:szCs w:val="22"/>
                <w:lang w:val="sk-SK"/>
              </w:rPr>
              <w:t>Nespavosť</w:t>
            </w:r>
          </w:p>
        </w:tc>
        <w:tc>
          <w:tcPr>
            <w:tcW w:w="3967" w:type="dxa"/>
            <w:tcBorders>
              <w:top w:val="single" w:sz="4" w:space="0" w:color="000000"/>
              <w:left w:val="single" w:sz="4" w:space="0" w:color="000000"/>
              <w:bottom w:val="single" w:sz="4" w:space="0" w:color="000000"/>
              <w:right w:val="single" w:sz="4" w:space="0" w:color="000000"/>
            </w:tcBorders>
          </w:tcPr>
          <w:p w14:paraId="0F61253B" w14:textId="77777777" w:rsidR="00C118E2" w:rsidRPr="00741D52" w:rsidRDefault="00C118E2">
            <w:pPr>
              <w:rPr>
                <w:szCs w:val="22"/>
              </w:rPr>
            </w:pPr>
          </w:p>
        </w:tc>
      </w:tr>
      <w:tr w:rsidR="00C118E2" w:rsidRPr="003A5C41" w14:paraId="1548AF23" w14:textId="77777777" w:rsidTr="00C118E2">
        <w:trPr>
          <w:trHeight w:hRule="exact" w:val="770"/>
        </w:trPr>
        <w:tc>
          <w:tcPr>
            <w:tcW w:w="2268" w:type="dxa"/>
            <w:tcBorders>
              <w:top w:val="single" w:sz="4" w:space="0" w:color="000000"/>
              <w:left w:val="single" w:sz="4" w:space="0" w:color="000000"/>
              <w:bottom w:val="single" w:sz="4" w:space="0" w:color="000000"/>
              <w:right w:val="single" w:sz="4" w:space="0" w:color="000000"/>
            </w:tcBorders>
          </w:tcPr>
          <w:p w14:paraId="0B6F0750" w14:textId="77777777" w:rsidR="00C118E2" w:rsidRPr="003A5C41" w:rsidRDefault="00C118E2">
            <w:pPr>
              <w:pStyle w:val="TableParagraph"/>
              <w:kinsoku w:val="0"/>
              <w:overflowPunct w:val="0"/>
              <w:ind w:right="308"/>
              <w:rPr>
                <w:sz w:val="22"/>
                <w:szCs w:val="22"/>
                <w:lang w:val="sk-SK"/>
              </w:rPr>
            </w:pPr>
            <w:r w:rsidRPr="003A5C41">
              <w:rPr>
                <w:b/>
                <w:bCs/>
                <w:sz w:val="22"/>
                <w:szCs w:val="22"/>
                <w:lang w:val="sk-SK"/>
              </w:rPr>
              <w:t>Poruchy nervového systému</w:t>
            </w:r>
          </w:p>
        </w:tc>
        <w:tc>
          <w:tcPr>
            <w:tcW w:w="3262" w:type="dxa"/>
            <w:tcBorders>
              <w:top w:val="single" w:sz="4" w:space="0" w:color="000000"/>
              <w:left w:val="single" w:sz="4" w:space="0" w:color="000000"/>
              <w:bottom w:val="single" w:sz="4" w:space="0" w:color="000000"/>
              <w:right w:val="single" w:sz="4" w:space="0" w:color="000000"/>
            </w:tcBorders>
          </w:tcPr>
          <w:p w14:paraId="3D782E6D" w14:textId="77777777" w:rsidR="00C118E2" w:rsidRPr="003A5C41" w:rsidRDefault="00C118E2">
            <w:pPr>
              <w:pStyle w:val="TableParagraph"/>
              <w:kinsoku w:val="0"/>
              <w:overflowPunct w:val="0"/>
              <w:spacing w:line="252" w:lineRule="exact"/>
              <w:rPr>
                <w:sz w:val="22"/>
                <w:szCs w:val="22"/>
                <w:lang w:val="sk-SK"/>
              </w:rPr>
            </w:pPr>
            <w:r w:rsidRPr="003A5C41">
              <w:rPr>
                <w:sz w:val="22"/>
                <w:szCs w:val="22"/>
                <w:u w:val="single" w:color="000000"/>
                <w:lang w:val="sk-SK"/>
              </w:rPr>
              <w:t>Časté</w:t>
            </w:r>
          </w:p>
          <w:p w14:paraId="4699E570" w14:textId="77777777" w:rsidR="00C118E2" w:rsidRPr="003A5C41" w:rsidRDefault="00C118E2">
            <w:pPr>
              <w:pStyle w:val="TableParagraph"/>
              <w:kinsoku w:val="0"/>
              <w:overflowPunct w:val="0"/>
              <w:spacing w:before="1" w:line="253" w:lineRule="exact"/>
              <w:rPr>
                <w:sz w:val="22"/>
                <w:szCs w:val="22"/>
                <w:lang w:val="sk-SK"/>
              </w:rPr>
            </w:pPr>
            <w:r w:rsidRPr="003A5C41">
              <w:rPr>
                <w:sz w:val="22"/>
                <w:szCs w:val="22"/>
                <w:lang w:val="sk-SK"/>
              </w:rPr>
              <w:t>Dysgeúzia, bolesť hlavy, periférna</w:t>
            </w:r>
          </w:p>
          <w:p w14:paraId="1903CB5D" w14:textId="213F3B49" w:rsidR="00C118E2" w:rsidRPr="003A5C41" w:rsidRDefault="00902DE4">
            <w:pPr>
              <w:pStyle w:val="TableParagraph"/>
              <w:kinsoku w:val="0"/>
              <w:overflowPunct w:val="0"/>
              <w:spacing w:line="253" w:lineRule="exact"/>
              <w:rPr>
                <w:sz w:val="22"/>
                <w:szCs w:val="22"/>
                <w:lang w:val="sk-SK"/>
              </w:rPr>
            </w:pPr>
            <w:r w:rsidRPr="003A5C41">
              <w:rPr>
                <w:sz w:val="22"/>
                <w:szCs w:val="22"/>
                <w:lang w:val="sk-SK"/>
              </w:rPr>
              <w:t>N</w:t>
            </w:r>
            <w:r w:rsidR="00C118E2" w:rsidRPr="003A5C41">
              <w:rPr>
                <w:sz w:val="22"/>
                <w:szCs w:val="22"/>
                <w:lang w:val="sk-SK"/>
              </w:rPr>
              <w:t>europatia</w:t>
            </w:r>
          </w:p>
        </w:tc>
        <w:tc>
          <w:tcPr>
            <w:tcW w:w="3967" w:type="dxa"/>
            <w:tcBorders>
              <w:top w:val="single" w:sz="4" w:space="0" w:color="000000"/>
              <w:left w:val="single" w:sz="4" w:space="0" w:color="000000"/>
              <w:bottom w:val="single" w:sz="4" w:space="0" w:color="000000"/>
              <w:right w:val="single" w:sz="4" w:space="0" w:color="000000"/>
            </w:tcBorders>
          </w:tcPr>
          <w:p w14:paraId="419D61D0" w14:textId="77777777" w:rsidR="00C118E2" w:rsidRPr="003A5C41" w:rsidRDefault="00C118E2">
            <w:pPr>
              <w:pStyle w:val="TableParagraph"/>
              <w:kinsoku w:val="0"/>
              <w:overflowPunct w:val="0"/>
              <w:spacing w:line="252" w:lineRule="exact"/>
              <w:rPr>
                <w:sz w:val="22"/>
                <w:szCs w:val="22"/>
                <w:lang w:val="sk-SK"/>
              </w:rPr>
            </w:pPr>
            <w:r w:rsidRPr="003A5C41">
              <w:rPr>
                <w:sz w:val="22"/>
                <w:szCs w:val="22"/>
                <w:u w:val="single" w:color="000000"/>
                <w:lang w:val="sk-SK"/>
              </w:rPr>
              <w:t>Časté</w:t>
            </w:r>
          </w:p>
          <w:p w14:paraId="4DBE36CA" w14:textId="77777777" w:rsidR="00C118E2" w:rsidRPr="003A5C41" w:rsidRDefault="00C118E2">
            <w:pPr>
              <w:pStyle w:val="TableParagraph"/>
              <w:kinsoku w:val="0"/>
              <w:overflowPunct w:val="0"/>
              <w:spacing w:before="1"/>
              <w:rPr>
                <w:sz w:val="22"/>
                <w:szCs w:val="22"/>
                <w:lang w:val="sk-SK"/>
              </w:rPr>
            </w:pPr>
            <w:r w:rsidRPr="003A5C41">
              <w:rPr>
                <w:sz w:val="22"/>
                <w:szCs w:val="22"/>
                <w:lang w:val="sk-SK"/>
              </w:rPr>
              <w:t>Periférna senzorická neuropatia, letargia</w:t>
            </w:r>
          </w:p>
        </w:tc>
      </w:tr>
      <w:tr w:rsidR="00C118E2" w:rsidRPr="003A5C41" w14:paraId="674DDC5C" w14:textId="77777777" w:rsidTr="00C118E2">
        <w:trPr>
          <w:trHeight w:hRule="exact" w:val="516"/>
        </w:trPr>
        <w:tc>
          <w:tcPr>
            <w:tcW w:w="2268" w:type="dxa"/>
            <w:tcBorders>
              <w:top w:val="single" w:sz="4" w:space="0" w:color="000000"/>
              <w:left w:val="single" w:sz="4" w:space="0" w:color="000000"/>
              <w:bottom w:val="single" w:sz="4" w:space="0" w:color="000000"/>
              <w:right w:val="single" w:sz="4" w:space="0" w:color="000000"/>
            </w:tcBorders>
          </w:tcPr>
          <w:p w14:paraId="20739DB2" w14:textId="77777777" w:rsidR="00C118E2" w:rsidRPr="003A5C41" w:rsidRDefault="00C118E2">
            <w:pPr>
              <w:pStyle w:val="TableParagraph"/>
              <w:kinsoku w:val="0"/>
              <w:overflowPunct w:val="0"/>
              <w:ind w:right="668"/>
              <w:rPr>
                <w:sz w:val="22"/>
                <w:szCs w:val="22"/>
                <w:lang w:val="sk-SK"/>
              </w:rPr>
            </w:pPr>
            <w:r w:rsidRPr="003A5C41">
              <w:rPr>
                <w:b/>
                <w:bCs/>
                <w:sz w:val="22"/>
                <w:szCs w:val="22"/>
                <w:lang w:val="sk-SK"/>
              </w:rPr>
              <w:t>Poruchy ucha a labyrintu</w:t>
            </w:r>
          </w:p>
        </w:tc>
        <w:tc>
          <w:tcPr>
            <w:tcW w:w="3262" w:type="dxa"/>
            <w:tcBorders>
              <w:top w:val="single" w:sz="4" w:space="0" w:color="000000"/>
              <w:left w:val="single" w:sz="4" w:space="0" w:color="000000"/>
              <w:bottom w:val="single" w:sz="4" w:space="0" w:color="000000"/>
              <w:right w:val="single" w:sz="4" w:space="0" w:color="000000"/>
            </w:tcBorders>
          </w:tcPr>
          <w:p w14:paraId="0E757030" w14:textId="77777777" w:rsidR="00C118E2" w:rsidRPr="003A5C41" w:rsidRDefault="00C118E2">
            <w:pPr>
              <w:pStyle w:val="TableParagraph"/>
              <w:kinsoku w:val="0"/>
              <w:overflowPunct w:val="0"/>
              <w:spacing w:line="251" w:lineRule="exact"/>
              <w:rPr>
                <w:sz w:val="22"/>
                <w:szCs w:val="22"/>
                <w:lang w:val="sk-SK"/>
              </w:rPr>
            </w:pPr>
            <w:r w:rsidRPr="003A5C41">
              <w:rPr>
                <w:sz w:val="22"/>
                <w:szCs w:val="22"/>
                <w:u w:val="single" w:color="000000"/>
                <w:lang w:val="sk-SK"/>
              </w:rPr>
              <w:t>Časté</w:t>
            </w:r>
          </w:p>
          <w:p w14:paraId="4A5D8F98" w14:textId="77777777" w:rsidR="00C118E2" w:rsidRPr="003A5C41" w:rsidRDefault="00C118E2">
            <w:pPr>
              <w:pStyle w:val="TableParagraph"/>
              <w:kinsoku w:val="0"/>
              <w:overflowPunct w:val="0"/>
              <w:spacing w:line="253" w:lineRule="exact"/>
              <w:rPr>
                <w:sz w:val="22"/>
                <w:szCs w:val="22"/>
                <w:lang w:val="sk-SK"/>
              </w:rPr>
            </w:pPr>
            <w:r w:rsidRPr="003A5C41">
              <w:rPr>
                <w:sz w:val="22"/>
                <w:szCs w:val="22"/>
                <w:lang w:val="sk-SK"/>
              </w:rPr>
              <w:t>Vertigo</w:t>
            </w:r>
          </w:p>
        </w:tc>
        <w:tc>
          <w:tcPr>
            <w:tcW w:w="3967" w:type="dxa"/>
            <w:tcBorders>
              <w:top w:val="single" w:sz="4" w:space="0" w:color="000000"/>
              <w:left w:val="single" w:sz="4" w:space="0" w:color="000000"/>
              <w:bottom w:val="single" w:sz="4" w:space="0" w:color="000000"/>
              <w:right w:val="single" w:sz="4" w:space="0" w:color="000000"/>
            </w:tcBorders>
          </w:tcPr>
          <w:p w14:paraId="025A8FDE" w14:textId="77777777" w:rsidR="00C118E2" w:rsidRPr="003A5C41" w:rsidRDefault="00C118E2">
            <w:pPr>
              <w:rPr>
                <w:szCs w:val="22"/>
              </w:rPr>
            </w:pPr>
          </w:p>
        </w:tc>
      </w:tr>
      <w:tr w:rsidR="00C118E2" w:rsidRPr="003A5C41" w14:paraId="75064618" w14:textId="77777777" w:rsidTr="00D6163D">
        <w:trPr>
          <w:trHeight w:hRule="exact" w:val="537"/>
        </w:trPr>
        <w:tc>
          <w:tcPr>
            <w:tcW w:w="2268" w:type="dxa"/>
            <w:tcBorders>
              <w:top w:val="single" w:sz="4" w:space="0" w:color="000000"/>
              <w:left w:val="single" w:sz="4" w:space="0" w:color="000000"/>
              <w:bottom w:val="single" w:sz="4" w:space="0" w:color="000000"/>
              <w:right w:val="single" w:sz="4" w:space="0" w:color="000000"/>
            </w:tcBorders>
          </w:tcPr>
          <w:p w14:paraId="310BB5C7" w14:textId="77777777" w:rsidR="00C118E2" w:rsidRPr="003A5C41" w:rsidRDefault="00C118E2">
            <w:pPr>
              <w:pStyle w:val="TableParagraph"/>
              <w:kinsoku w:val="0"/>
              <w:overflowPunct w:val="0"/>
              <w:spacing w:line="251" w:lineRule="exact"/>
              <w:rPr>
                <w:b/>
                <w:bCs/>
                <w:sz w:val="22"/>
                <w:szCs w:val="22"/>
                <w:lang w:val="sk-SK"/>
              </w:rPr>
            </w:pPr>
            <w:r w:rsidRPr="003A5C41">
              <w:rPr>
                <w:b/>
                <w:bCs/>
                <w:sz w:val="22"/>
                <w:szCs w:val="22"/>
                <w:lang w:val="sk-SK"/>
              </w:rPr>
              <w:t>Poruchy srdca a</w:t>
            </w:r>
          </w:p>
          <w:p w14:paraId="2949638B" w14:textId="77777777" w:rsidR="00C118E2" w:rsidRPr="003A5C41" w:rsidRDefault="00C118E2">
            <w:pPr>
              <w:pStyle w:val="TableParagraph"/>
              <w:kinsoku w:val="0"/>
              <w:overflowPunct w:val="0"/>
              <w:spacing w:line="252" w:lineRule="exact"/>
              <w:rPr>
                <w:sz w:val="22"/>
                <w:szCs w:val="22"/>
                <w:lang w:val="sk-SK"/>
              </w:rPr>
            </w:pPr>
            <w:r w:rsidRPr="003A5C41">
              <w:rPr>
                <w:b/>
                <w:bCs/>
                <w:sz w:val="22"/>
                <w:szCs w:val="22"/>
                <w:lang w:val="sk-SK"/>
              </w:rPr>
              <w:t>srdcovej činnosti</w:t>
            </w:r>
          </w:p>
        </w:tc>
        <w:tc>
          <w:tcPr>
            <w:tcW w:w="3262" w:type="dxa"/>
            <w:tcBorders>
              <w:top w:val="single" w:sz="4" w:space="0" w:color="000000"/>
              <w:left w:val="single" w:sz="4" w:space="0" w:color="000000"/>
              <w:bottom w:val="single" w:sz="4" w:space="0" w:color="000000"/>
              <w:right w:val="single" w:sz="4" w:space="0" w:color="000000"/>
            </w:tcBorders>
          </w:tcPr>
          <w:p w14:paraId="7F7C9393" w14:textId="77777777" w:rsidR="00C118E2" w:rsidRPr="003A5C41" w:rsidRDefault="00C118E2">
            <w:pPr>
              <w:rPr>
                <w:szCs w:val="22"/>
              </w:rPr>
            </w:pPr>
          </w:p>
        </w:tc>
        <w:tc>
          <w:tcPr>
            <w:tcW w:w="3967" w:type="dxa"/>
            <w:tcBorders>
              <w:top w:val="single" w:sz="4" w:space="0" w:color="000000"/>
              <w:left w:val="single" w:sz="4" w:space="0" w:color="000000"/>
              <w:bottom w:val="single" w:sz="4" w:space="0" w:color="000000"/>
              <w:right w:val="single" w:sz="4" w:space="0" w:color="000000"/>
            </w:tcBorders>
          </w:tcPr>
          <w:p w14:paraId="69366490" w14:textId="77777777" w:rsidR="00C118E2" w:rsidRPr="003A5C41" w:rsidRDefault="00C118E2" w:rsidP="00D6163D">
            <w:pPr>
              <w:pStyle w:val="TableParagraph"/>
              <w:kinsoku w:val="0"/>
              <w:overflowPunct w:val="0"/>
              <w:spacing w:line="244" w:lineRule="exact"/>
              <w:rPr>
                <w:sz w:val="22"/>
                <w:szCs w:val="22"/>
                <w:lang w:val="sk-SK"/>
              </w:rPr>
            </w:pPr>
            <w:r w:rsidRPr="003A5C41">
              <w:rPr>
                <w:sz w:val="22"/>
                <w:szCs w:val="22"/>
                <w:u w:val="single" w:color="000000"/>
                <w:lang w:val="sk-SK"/>
              </w:rPr>
              <w:t>Časté</w:t>
            </w:r>
          </w:p>
          <w:p w14:paraId="66BCD362" w14:textId="7FBEE878" w:rsidR="00C118E2" w:rsidRPr="003A5C41" w:rsidRDefault="00C118E2" w:rsidP="00D6163D">
            <w:pPr>
              <w:pStyle w:val="TableParagraph"/>
              <w:kinsoku w:val="0"/>
              <w:overflowPunct w:val="0"/>
              <w:spacing w:line="279" w:lineRule="exact"/>
              <w:rPr>
                <w:sz w:val="22"/>
                <w:szCs w:val="22"/>
                <w:lang w:val="sk-SK"/>
              </w:rPr>
            </w:pPr>
            <w:r w:rsidRPr="003A5C41">
              <w:rPr>
                <w:sz w:val="22"/>
                <w:szCs w:val="22"/>
                <w:lang w:val="sk-SK"/>
              </w:rPr>
              <w:t>Infarkt myokardu</w:t>
            </w:r>
            <w:r w:rsidR="005B7936">
              <w:rPr>
                <w:sz w:val="22"/>
                <w:szCs w:val="22"/>
                <w:lang w:val="sk-SK"/>
              </w:rPr>
              <w:t xml:space="preserve"> </w:t>
            </w:r>
            <w:r w:rsidR="005B7936" w:rsidRPr="005B7936">
              <w:rPr>
                <w:sz w:val="22"/>
                <w:szCs w:val="22"/>
                <w:lang w:val="sk-SK"/>
              </w:rPr>
              <w:t>(vrátane akútneho)</w:t>
            </w:r>
            <w:r w:rsidRPr="003A5C41">
              <w:rPr>
                <w:sz w:val="22"/>
                <w:szCs w:val="22"/>
                <w:lang w:val="sk-SK"/>
              </w:rPr>
              <w:t>^</w:t>
            </w:r>
            <w:r w:rsidRPr="003A5C41">
              <w:rPr>
                <w:position w:val="9"/>
                <w:sz w:val="22"/>
                <w:szCs w:val="22"/>
                <w:lang w:val="sk-SK"/>
              </w:rPr>
              <w:t>,</w:t>
            </w:r>
            <w:r w:rsidRPr="003A5C41">
              <w:rPr>
                <w:position w:val="9"/>
                <w:sz w:val="16"/>
                <w:szCs w:val="16"/>
                <w:lang w:val="sk-SK"/>
              </w:rPr>
              <w:t>◊</w:t>
            </w:r>
            <w:r w:rsidRPr="003A5C41">
              <w:rPr>
                <w:sz w:val="22"/>
                <w:szCs w:val="22"/>
                <w:lang w:val="sk-SK"/>
              </w:rPr>
              <w:t>, zlyhanie srdca</w:t>
            </w:r>
            <w:r w:rsidR="008148FC" w:rsidRPr="00D6163D">
              <w:rPr>
                <w:position w:val="9"/>
                <w:sz w:val="16"/>
                <w:lang w:val="sk-SK"/>
              </w:rPr>
              <w:t>◊</w:t>
            </w:r>
          </w:p>
        </w:tc>
      </w:tr>
      <w:tr w:rsidR="00C118E2" w:rsidRPr="003A5C41" w14:paraId="32FD7F5C" w14:textId="77777777" w:rsidTr="00D6163D">
        <w:trPr>
          <w:trHeight w:hRule="exact" w:val="792"/>
        </w:trPr>
        <w:tc>
          <w:tcPr>
            <w:tcW w:w="2268" w:type="dxa"/>
            <w:tcBorders>
              <w:top w:val="single" w:sz="4" w:space="0" w:color="000000"/>
              <w:left w:val="single" w:sz="4" w:space="0" w:color="000000"/>
              <w:bottom w:val="single" w:sz="4" w:space="0" w:color="000000"/>
              <w:right w:val="single" w:sz="4" w:space="0" w:color="000000"/>
            </w:tcBorders>
          </w:tcPr>
          <w:p w14:paraId="0CBBEB5A" w14:textId="77777777" w:rsidR="00C118E2" w:rsidRPr="003A5C41" w:rsidRDefault="00C118E2">
            <w:pPr>
              <w:pStyle w:val="TableParagraph"/>
              <w:kinsoku w:val="0"/>
              <w:overflowPunct w:val="0"/>
              <w:spacing w:before="1"/>
              <w:rPr>
                <w:sz w:val="22"/>
                <w:szCs w:val="22"/>
                <w:lang w:val="sk-SK"/>
              </w:rPr>
            </w:pPr>
            <w:r w:rsidRPr="003A5C41">
              <w:rPr>
                <w:b/>
                <w:bCs/>
                <w:sz w:val="22"/>
                <w:szCs w:val="22"/>
                <w:lang w:val="sk-SK"/>
              </w:rPr>
              <w:t>Poruchy ciev</w:t>
            </w:r>
          </w:p>
        </w:tc>
        <w:tc>
          <w:tcPr>
            <w:tcW w:w="3262" w:type="dxa"/>
            <w:tcBorders>
              <w:top w:val="single" w:sz="4" w:space="0" w:color="000000"/>
              <w:left w:val="single" w:sz="4" w:space="0" w:color="000000"/>
              <w:bottom w:val="single" w:sz="4" w:space="0" w:color="000000"/>
              <w:right w:val="single" w:sz="4" w:space="0" w:color="000000"/>
            </w:tcBorders>
          </w:tcPr>
          <w:p w14:paraId="20408D13" w14:textId="77777777" w:rsidR="00C118E2" w:rsidRPr="008148FC" w:rsidRDefault="00C118E2" w:rsidP="00D6163D">
            <w:pPr>
              <w:pStyle w:val="TableParagraph"/>
              <w:kinsoku w:val="0"/>
              <w:overflowPunct w:val="0"/>
              <w:spacing w:before="1" w:line="245" w:lineRule="exact"/>
              <w:rPr>
                <w:sz w:val="22"/>
                <w:szCs w:val="22"/>
                <w:lang w:val="sk-SK"/>
              </w:rPr>
            </w:pPr>
            <w:r w:rsidRPr="008148FC">
              <w:rPr>
                <w:sz w:val="22"/>
                <w:szCs w:val="22"/>
                <w:u w:val="single" w:color="000000"/>
                <w:lang w:val="sk-SK"/>
              </w:rPr>
              <w:t>Časté</w:t>
            </w:r>
          </w:p>
          <w:p w14:paraId="6770E046" w14:textId="77777777" w:rsidR="00C118E2" w:rsidRPr="008148FC" w:rsidRDefault="00C118E2" w:rsidP="00D6163D">
            <w:pPr>
              <w:pStyle w:val="TableParagraph"/>
              <w:kinsoku w:val="0"/>
              <w:overflowPunct w:val="0"/>
              <w:spacing w:line="279" w:lineRule="exact"/>
              <w:rPr>
                <w:sz w:val="22"/>
                <w:szCs w:val="22"/>
                <w:lang w:val="sk-SK"/>
              </w:rPr>
            </w:pPr>
            <w:r w:rsidRPr="008148FC">
              <w:rPr>
                <w:sz w:val="22"/>
                <w:szCs w:val="22"/>
                <w:lang w:val="sk-SK"/>
              </w:rPr>
              <w:t>Hypotenzia</w:t>
            </w:r>
            <w:r w:rsidR="008148FC" w:rsidRPr="00D6163D">
              <w:rPr>
                <w:position w:val="9"/>
                <w:sz w:val="16"/>
                <w:lang w:val="sk-SK"/>
              </w:rPr>
              <w:t>◊</w:t>
            </w:r>
          </w:p>
        </w:tc>
        <w:tc>
          <w:tcPr>
            <w:tcW w:w="3967" w:type="dxa"/>
            <w:tcBorders>
              <w:top w:val="single" w:sz="4" w:space="0" w:color="000000"/>
              <w:left w:val="single" w:sz="4" w:space="0" w:color="000000"/>
              <w:bottom w:val="single" w:sz="4" w:space="0" w:color="000000"/>
              <w:right w:val="single" w:sz="4" w:space="0" w:color="000000"/>
            </w:tcBorders>
          </w:tcPr>
          <w:p w14:paraId="7058DD7B" w14:textId="77777777" w:rsidR="00C118E2" w:rsidRPr="008148FC" w:rsidRDefault="00C118E2" w:rsidP="00D6163D">
            <w:pPr>
              <w:pStyle w:val="TableParagraph"/>
              <w:kinsoku w:val="0"/>
              <w:overflowPunct w:val="0"/>
              <w:spacing w:before="1" w:line="250" w:lineRule="exact"/>
              <w:rPr>
                <w:sz w:val="22"/>
                <w:szCs w:val="22"/>
                <w:lang w:val="sk-SK"/>
              </w:rPr>
            </w:pPr>
            <w:r w:rsidRPr="008148FC">
              <w:rPr>
                <w:sz w:val="22"/>
                <w:szCs w:val="22"/>
                <w:u w:val="single" w:color="000000"/>
                <w:lang w:val="sk-SK"/>
              </w:rPr>
              <w:t>Časté</w:t>
            </w:r>
          </w:p>
          <w:p w14:paraId="1C35A1C9" w14:textId="77777777" w:rsidR="00C118E2" w:rsidRPr="008148FC" w:rsidRDefault="00C118E2" w:rsidP="00D6163D">
            <w:pPr>
              <w:pStyle w:val="TableParagraph"/>
              <w:kinsoku w:val="0"/>
              <w:overflowPunct w:val="0"/>
              <w:spacing w:line="247" w:lineRule="exact"/>
              <w:rPr>
                <w:sz w:val="22"/>
                <w:szCs w:val="22"/>
                <w:lang w:val="sk-SK"/>
              </w:rPr>
            </w:pPr>
            <w:r w:rsidRPr="008148FC">
              <w:rPr>
                <w:sz w:val="22"/>
                <w:szCs w:val="22"/>
                <w:lang w:val="sk-SK"/>
              </w:rPr>
              <w:t>Trombóza hlbokých žíl</w:t>
            </w:r>
            <w:r w:rsidR="008148FC" w:rsidRPr="00D6163D">
              <w:rPr>
                <w:position w:val="9"/>
                <w:sz w:val="16"/>
                <w:lang w:val="sk-SK"/>
              </w:rPr>
              <w:t>◊</w:t>
            </w:r>
            <w:r w:rsidRPr="008148FC">
              <w:rPr>
                <w:sz w:val="22"/>
                <w:szCs w:val="22"/>
                <w:lang w:val="sk-SK"/>
              </w:rPr>
              <w:t>, pľúcna</w:t>
            </w:r>
          </w:p>
          <w:p w14:paraId="508C574A" w14:textId="77777777" w:rsidR="00C118E2" w:rsidRPr="008148FC" w:rsidRDefault="00C118E2" w:rsidP="00D6163D">
            <w:pPr>
              <w:pStyle w:val="TableParagraph"/>
              <w:kinsoku w:val="0"/>
              <w:overflowPunct w:val="0"/>
              <w:spacing w:line="279" w:lineRule="exact"/>
              <w:rPr>
                <w:sz w:val="22"/>
                <w:szCs w:val="22"/>
                <w:lang w:val="sk-SK"/>
              </w:rPr>
            </w:pPr>
            <w:r w:rsidRPr="008148FC">
              <w:rPr>
                <w:sz w:val="22"/>
                <w:szCs w:val="22"/>
                <w:lang w:val="sk-SK"/>
              </w:rPr>
              <w:t>embólia^</w:t>
            </w:r>
            <w:r w:rsidRPr="008148FC">
              <w:rPr>
                <w:position w:val="9"/>
                <w:sz w:val="22"/>
                <w:szCs w:val="22"/>
                <w:lang w:val="sk-SK"/>
              </w:rPr>
              <w:t>,</w:t>
            </w:r>
            <w:r w:rsidR="008148FC" w:rsidRPr="00D6163D">
              <w:rPr>
                <w:position w:val="9"/>
                <w:sz w:val="16"/>
                <w:lang w:val="sk-SK"/>
              </w:rPr>
              <w:t>◊</w:t>
            </w:r>
            <w:r w:rsidRPr="008148FC">
              <w:rPr>
                <w:sz w:val="22"/>
                <w:szCs w:val="22"/>
                <w:lang w:val="sk-SK"/>
              </w:rPr>
              <w:t>, hypotenzia</w:t>
            </w:r>
            <w:r w:rsidR="008148FC" w:rsidRPr="00D6163D">
              <w:rPr>
                <w:position w:val="9"/>
                <w:sz w:val="16"/>
                <w:lang w:val="sk-SK"/>
              </w:rPr>
              <w:t>◊</w:t>
            </w:r>
            <w:r w:rsidRPr="008148FC">
              <w:rPr>
                <w:sz w:val="22"/>
                <w:szCs w:val="22"/>
                <w:lang w:val="sk-SK"/>
              </w:rPr>
              <w:t>,</w:t>
            </w:r>
          </w:p>
        </w:tc>
      </w:tr>
      <w:tr w:rsidR="00C118E2" w:rsidRPr="003A5C41" w14:paraId="56D923D3" w14:textId="77777777" w:rsidTr="00C118E2">
        <w:trPr>
          <w:trHeight w:hRule="exact" w:val="770"/>
        </w:trPr>
        <w:tc>
          <w:tcPr>
            <w:tcW w:w="2268" w:type="dxa"/>
            <w:tcBorders>
              <w:top w:val="single" w:sz="4" w:space="0" w:color="000000"/>
              <w:left w:val="single" w:sz="4" w:space="0" w:color="000000"/>
              <w:bottom w:val="single" w:sz="4" w:space="0" w:color="000000"/>
              <w:right w:val="single" w:sz="4" w:space="0" w:color="000000"/>
            </w:tcBorders>
          </w:tcPr>
          <w:p w14:paraId="420BBF38" w14:textId="77777777" w:rsidR="00C118E2" w:rsidRPr="003A5C41" w:rsidRDefault="00C118E2">
            <w:pPr>
              <w:pStyle w:val="TableParagraph"/>
              <w:kinsoku w:val="0"/>
              <w:overflowPunct w:val="0"/>
              <w:spacing w:before="1"/>
              <w:ind w:right="283"/>
              <w:rPr>
                <w:sz w:val="22"/>
                <w:szCs w:val="22"/>
                <w:lang w:val="sk-SK"/>
              </w:rPr>
            </w:pPr>
            <w:r w:rsidRPr="003A5C41">
              <w:rPr>
                <w:b/>
                <w:bCs/>
                <w:sz w:val="22"/>
                <w:szCs w:val="22"/>
                <w:lang w:val="sk-SK"/>
              </w:rPr>
              <w:t>Poruchy dýchacej sústavy, hrudníka a mediastína</w:t>
            </w:r>
          </w:p>
        </w:tc>
        <w:tc>
          <w:tcPr>
            <w:tcW w:w="3262" w:type="dxa"/>
            <w:tcBorders>
              <w:top w:val="single" w:sz="4" w:space="0" w:color="000000"/>
              <w:left w:val="single" w:sz="4" w:space="0" w:color="000000"/>
              <w:bottom w:val="single" w:sz="4" w:space="0" w:color="000000"/>
              <w:right w:val="single" w:sz="4" w:space="0" w:color="000000"/>
            </w:tcBorders>
          </w:tcPr>
          <w:p w14:paraId="57B3962B" w14:textId="77777777" w:rsidR="00C118E2" w:rsidRPr="008148FC" w:rsidRDefault="00C118E2" w:rsidP="00D6163D">
            <w:pPr>
              <w:pStyle w:val="TableParagraph"/>
              <w:kinsoku w:val="0"/>
              <w:overflowPunct w:val="0"/>
              <w:spacing w:before="1" w:line="245" w:lineRule="exact"/>
              <w:rPr>
                <w:sz w:val="22"/>
                <w:szCs w:val="22"/>
                <w:lang w:val="sk-SK"/>
              </w:rPr>
            </w:pPr>
            <w:r w:rsidRPr="008148FC">
              <w:rPr>
                <w:sz w:val="22"/>
                <w:szCs w:val="22"/>
                <w:u w:val="single" w:color="000000"/>
                <w:lang w:val="sk-SK"/>
              </w:rPr>
              <w:t>Veľmi časté</w:t>
            </w:r>
          </w:p>
          <w:p w14:paraId="1F94CCC2" w14:textId="77777777" w:rsidR="00C118E2" w:rsidRPr="008148FC" w:rsidRDefault="00C118E2" w:rsidP="00D6163D">
            <w:pPr>
              <w:pStyle w:val="TableParagraph"/>
              <w:kinsoku w:val="0"/>
              <w:overflowPunct w:val="0"/>
              <w:spacing w:line="279" w:lineRule="exact"/>
              <w:rPr>
                <w:sz w:val="22"/>
                <w:szCs w:val="22"/>
                <w:lang w:val="sk-SK"/>
              </w:rPr>
            </w:pPr>
            <w:r w:rsidRPr="008148FC">
              <w:rPr>
                <w:sz w:val="22"/>
                <w:szCs w:val="22"/>
                <w:lang w:val="sk-SK"/>
              </w:rPr>
              <w:t>Dyspnoe</w:t>
            </w:r>
            <w:r w:rsidR="008148FC" w:rsidRPr="00D6163D">
              <w:rPr>
                <w:position w:val="9"/>
                <w:sz w:val="16"/>
                <w:lang w:val="sk-SK"/>
              </w:rPr>
              <w:t>◊</w:t>
            </w:r>
          </w:p>
        </w:tc>
        <w:tc>
          <w:tcPr>
            <w:tcW w:w="3967" w:type="dxa"/>
            <w:tcBorders>
              <w:top w:val="single" w:sz="4" w:space="0" w:color="000000"/>
              <w:left w:val="single" w:sz="4" w:space="0" w:color="000000"/>
              <w:bottom w:val="single" w:sz="4" w:space="0" w:color="000000"/>
              <w:right w:val="single" w:sz="4" w:space="0" w:color="000000"/>
            </w:tcBorders>
          </w:tcPr>
          <w:p w14:paraId="2A7FFFDA" w14:textId="77777777" w:rsidR="00C118E2" w:rsidRPr="008148FC" w:rsidRDefault="00C118E2" w:rsidP="00D6163D">
            <w:pPr>
              <w:pStyle w:val="TableParagraph"/>
              <w:kinsoku w:val="0"/>
              <w:overflowPunct w:val="0"/>
              <w:spacing w:before="1" w:line="250" w:lineRule="exact"/>
              <w:rPr>
                <w:sz w:val="22"/>
                <w:szCs w:val="22"/>
                <w:lang w:val="sk-SK"/>
              </w:rPr>
            </w:pPr>
            <w:r w:rsidRPr="008148FC">
              <w:rPr>
                <w:sz w:val="22"/>
                <w:szCs w:val="22"/>
                <w:u w:val="single" w:color="000000"/>
                <w:lang w:val="sk-SK"/>
              </w:rPr>
              <w:t>Časté</w:t>
            </w:r>
          </w:p>
          <w:p w14:paraId="0B870BB7" w14:textId="77777777" w:rsidR="00C118E2" w:rsidRPr="008148FC" w:rsidRDefault="00C118E2" w:rsidP="00D6163D">
            <w:pPr>
              <w:pStyle w:val="TableParagraph"/>
              <w:kinsoku w:val="0"/>
              <w:overflowPunct w:val="0"/>
              <w:spacing w:line="255" w:lineRule="exact"/>
              <w:rPr>
                <w:sz w:val="22"/>
                <w:szCs w:val="22"/>
                <w:lang w:val="sk-SK"/>
              </w:rPr>
            </w:pPr>
            <w:r w:rsidRPr="008148FC">
              <w:rPr>
                <w:sz w:val="22"/>
                <w:szCs w:val="22"/>
                <w:lang w:val="sk-SK"/>
              </w:rPr>
              <w:t>Dyspnoe</w:t>
            </w:r>
            <w:r w:rsidR="008148FC" w:rsidRPr="00D6163D">
              <w:rPr>
                <w:position w:val="9"/>
                <w:sz w:val="16"/>
                <w:lang w:val="sk-SK"/>
              </w:rPr>
              <w:t>◊</w:t>
            </w:r>
          </w:p>
        </w:tc>
      </w:tr>
      <w:tr w:rsidR="00C118E2" w:rsidRPr="003A5C41" w14:paraId="21BBE837" w14:textId="77777777" w:rsidTr="00C118E2">
        <w:trPr>
          <w:trHeight w:hRule="exact" w:val="928"/>
        </w:trPr>
        <w:tc>
          <w:tcPr>
            <w:tcW w:w="2268" w:type="dxa"/>
            <w:tcBorders>
              <w:top w:val="single" w:sz="4" w:space="0" w:color="000000"/>
              <w:left w:val="single" w:sz="4" w:space="0" w:color="000000"/>
              <w:bottom w:val="none" w:sz="6" w:space="0" w:color="auto"/>
              <w:right w:val="single" w:sz="4" w:space="0" w:color="000000"/>
            </w:tcBorders>
          </w:tcPr>
          <w:p w14:paraId="63404645" w14:textId="77777777" w:rsidR="00C118E2" w:rsidRPr="003A5C41" w:rsidRDefault="00C118E2">
            <w:pPr>
              <w:pStyle w:val="TableParagraph"/>
              <w:kinsoku w:val="0"/>
              <w:overflowPunct w:val="0"/>
              <w:ind w:right="228"/>
              <w:rPr>
                <w:sz w:val="22"/>
                <w:szCs w:val="22"/>
                <w:lang w:val="sk-SK"/>
              </w:rPr>
            </w:pPr>
            <w:r w:rsidRPr="003A5C41">
              <w:rPr>
                <w:b/>
                <w:bCs/>
                <w:sz w:val="22"/>
                <w:szCs w:val="22"/>
                <w:lang w:val="sk-SK"/>
              </w:rPr>
              <w:t>Poruchy gastrointestinálneho traktu</w:t>
            </w:r>
          </w:p>
        </w:tc>
        <w:tc>
          <w:tcPr>
            <w:tcW w:w="3262" w:type="dxa"/>
            <w:tcBorders>
              <w:top w:val="single" w:sz="4" w:space="0" w:color="000000"/>
              <w:left w:val="single" w:sz="4" w:space="0" w:color="000000"/>
              <w:bottom w:val="none" w:sz="6" w:space="0" w:color="auto"/>
              <w:right w:val="single" w:sz="4" w:space="0" w:color="000000"/>
            </w:tcBorders>
          </w:tcPr>
          <w:p w14:paraId="33D49F22" w14:textId="77777777" w:rsidR="00C118E2" w:rsidRPr="008148FC" w:rsidRDefault="00C118E2" w:rsidP="00D6163D">
            <w:pPr>
              <w:pStyle w:val="TableParagraph"/>
              <w:kinsoku w:val="0"/>
              <w:overflowPunct w:val="0"/>
              <w:spacing w:line="244" w:lineRule="exact"/>
              <w:rPr>
                <w:sz w:val="22"/>
                <w:szCs w:val="22"/>
                <w:lang w:val="sk-SK"/>
              </w:rPr>
            </w:pPr>
            <w:r w:rsidRPr="008148FC">
              <w:rPr>
                <w:sz w:val="22"/>
                <w:szCs w:val="22"/>
                <w:u w:val="single" w:color="000000"/>
                <w:lang w:val="sk-SK"/>
              </w:rPr>
              <w:t>Veľmi časté</w:t>
            </w:r>
          </w:p>
          <w:p w14:paraId="7EE99B90" w14:textId="77777777" w:rsidR="00C118E2" w:rsidRPr="008148FC" w:rsidRDefault="00C118E2" w:rsidP="00D6163D">
            <w:pPr>
              <w:pStyle w:val="TableParagraph"/>
              <w:kinsoku w:val="0"/>
              <w:overflowPunct w:val="0"/>
              <w:spacing w:line="244" w:lineRule="auto"/>
              <w:ind w:right="589"/>
              <w:rPr>
                <w:sz w:val="22"/>
                <w:szCs w:val="22"/>
                <w:lang w:val="sk-SK"/>
              </w:rPr>
            </w:pPr>
            <w:r w:rsidRPr="008148FC">
              <w:rPr>
                <w:sz w:val="22"/>
                <w:szCs w:val="22"/>
                <w:lang w:val="sk-SK"/>
              </w:rPr>
              <w:t>Hnačka</w:t>
            </w:r>
            <w:r w:rsidR="008148FC" w:rsidRPr="00D6163D">
              <w:rPr>
                <w:position w:val="9"/>
                <w:sz w:val="16"/>
                <w:lang w:val="sk-SK"/>
              </w:rPr>
              <w:t>◊</w:t>
            </w:r>
            <w:r w:rsidRPr="008148FC">
              <w:rPr>
                <w:sz w:val="22"/>
                <w:szCs w:val="22"/>
                <w:lang w:val="sk-SK"/>
              </w:rPr>
              <w:t>, nauzea</w:t>
            </w:r>
            <w:r w:rsidR="008148FC" w:rsidRPr="00D6163D">
              <w:rPr>
                <w:position w:val="9"/>
                <w:sz w:val="16"/>
                <w:lang w:val="sk-SK"/>
              </w:rPr>
              <w:t>◊</w:t>
            </w:r>
            <w:r w:rsidRPr="008148FC">
              <w:rPr>
                <w:sz w:val="22"/>
                <w:szCs w:val="22"/>
                <w:lang w:val="sk-SK"/>
              </w:rPr>
              <w:t>, vracanie</w:t>
            </w:r>
            <w:r w:rsidR="008148FC" w:rsidRPr="00D6163D">
              <w:rPr>
                <w:position w:val="9"/>
                <w:sz w:val="16"/>
                <w:lang w:val="sk-SK"/>
              </w:rPr>
              <w:t>◊</w:t>
            </w:r>
            <w:r w:rsidRPr="008148FC">
              <w:rPr>
                <w:sz w:val="22"/>
                <w:szCs w:val="22"/>
                <w:lang w:val="sk-SK"/>
              </w:rPr>
              <w:t>, zápcha</w:t>
            </w:r>
          </w:p>
        </w:tc>
        <w:tc>
          <w:tcPr>
            <w:tcW w:w="3967" w:type="dxa"/>
            <w:tcBorders>
              <w:top w:val="single" w:sz="4" w:space="0" w:color="000000"/>
              <w:left w:val="single" w:sz="4" w:space="0" w:color="000000"/>
              <w:bottom w:val="none" w:sz="6" w:space="0" w:color="auto"/>
              <w:right w:val="single" w:sz="4" w:space="0" w:color="000000"/>
            </w:tcBorders>
          </w:tcPr>
          <w:p w14:paraId="6301D6B3" w14:textId="77777777" w:rsidR="00C118E2" w:rsidRPr="008148FC" w:rsidRDefault="00C118E2" w:rsidP="00D6163D">
            <w:pPr>
              <w:pStyle w:val="TableParagraph"/>
              <w:kinsoku w:val="0"/>
              <w:overflowPunct w:val="0"/>
              <w:spacing w:line="249" w:lineRule="exact"/>
              <w:rPr>
                <w:sz w:val="22"/>
                <w:szCs w:val="22"/>
                <w:lang w:val="sk-SK"/>
              </w:rPr>
            </w:pPr>
            <w:r w:rsidRPr="008148FC">
              <w:rPr>
                <w:sz w:val="22"/>
                <w:szCs w:val="22"/>
                <w:u w:val="single" w:color="000000"/>
                <w:lang w:val="sk-SK"/>
              </w:rPr>
              <w:t>Časté</w:t>
            </w:r>
          </w:p>
          <w:p w14:paraId="589686BD" w14:textId="77777777" w:rsidR="00C118E2" w:rsidRPr="008148FC" w:rsidRDefault="00C118E2" w:rsidP="00D6163D">
            <w:pPr>
              <w:pStyle w:val="TableParagraph"/>
              <w:kinsoku w:val="0"/>
              <w:overflowPunct w:val="0"/>
              <w:spacing w:line="255" w:lineRule="exact"/>
              <w:rPr>
                <w:sz w:val="22"/>
                <w:szCs w:val="22"/>
                <w:lang w:val="sk-SK"/>
              </w:rPr>
            </w:pPr>
            <w:r w:rsidRPr="008148FC">
              <w:rPr>
                <w:sz w:val="22"/>
                <w:szCs w:val="22"/>
                <w:lang w:val="sk-SK"/>
              </w:rPr>
              <w:t>Hnačka</w:t>
            </w:r>
            <w:r w:rsidR="008148FC" w:rsidRPr="00D6163D">
              <w:rPr>
                <w:position w:val="9"/>
                <w:sz w:val="16"/>
                <w:lang w:val="sk-SK"/>
              </w:rPr>
              <w:t>◊</w:t>
            </w:r>
            <w:r w:rsidRPr="008148FC">
              <w:rPr>
                <w:sz w:val="22"/>
                <w:szCs w:val="22"/>
                <w:lang w:val="sk-SK"/>
              </w:rPr>
              <w:t>, bolesť brucha</w:t>
            </w:r>
            <w:r w:rsidR="008148FC" w:rsidRPr="00D6163D">
              <w:rPr>
                <w:position w:val="9"/>
                <w:sz w:val="16"/>
                <w:lang w:val="sk-SK"/>
              </w:rPr>
              <w:t>◊</w:t>
            </w:r>
            <w:r w:rsidRPr="008148FC">
              <w:rPr>
                <w:sz w:val="22"/>
                <w:szCs w:val="22"/>
                <w:lang w:val="sk-SK"/>
              </w:rPr>
              <w:t>, zápcha</w:t>
            </w:r>
          </w:p>
        </w:tc>
      </w:tr>
      <w:tr w:rsidR="00C118E2" w:rsidRPr="003A5C41" w14:paraId="0C9525BA" w14:textId="77777777" w:rsidTr="00C118E2">
        <w:trPr>
          <w:trHeight w:hRule="exact" w:val="382"/>
        </w:trPr>
        <w:tc>
          <w:tcPr>
            <w:tcW w:w="2268" w:type="dxa"/>
            <w:tcBorders>
              <w:top w:val="none" w:sz="6" w:space="0" w:color="auto"/>
              <w:left w:val="single" w:sz="4" w:space="0" w:color="000000"/>
              <w:bottom w:val="none" w:sz="6" w:space="0" w:color="auto"/>
              <w:right w:val="single" w:sz="4" w:space="0" w:color="000000"/>
            </w:tcBorders>
          </w:tcPr>
          <w:p w14:paraId="40C83A81" w14:textId="77777777" w:rsidR="00C118E2" w:rsidRPr="003A5C41" w:rsidRDefault="00C118E2">
            <w:pPr>
              <w:rPr>
                <w:szCs w:val="22"/>
              </w:rPr>
            </w:pPr>
          </w:p>
        </w:tc>
        <w:tc>
          <w:tcPr>
            <w:tcW w:w="3262" w:type="dxa"/>
            <w:tcBorders>
              <w:top w:val="none" w:sz="6" w:space="0" w:color="auto"/>
              <w:left w:val="single" w:sz="4" w:space="0" w:color="000000"/>
              <w:bottom w:val="none" w:sz="6" w:space="0" w:color="auto"/>
              <w:right w:val="single" w:sz="4" w:space="0" w:color="000000"/>
            </w:tcBorders>
          </w:tcPr>
          <w:p w14:paraId="5C794D5D" w14:textId="77777777" w:rsidR="00C118E2" w:rsidRPr="008148FC" w:rsidRDefault="00C118E2" w:rsidP="008148FC">
            <w:pPr>
              <w:pStyle w:val="TableParagraph"/>
              <w:kinsoku w:val="0"/>
              <w:overflowPunct w:val="0"/>
              <w:spacing w:before="134"/>
              <w:rPr>
                <w:sz w:val="22"/>
                <w:szCs w:val="22"/>
                <w:lang w:val="sk-SK"/>
              </w:rPr>
            </w:pPr>
            <w:r w:rsidRPr="008148FC">
              <w:rPr>
                <w:sz w:val="22"/>
                <w:szCs w:val="22"/>
                <w:u w:val="single" w:color="000000"/>
                <w:lang w:val="sk-SK"/>
              </w:rPr>
              <w:t>Časté</w:t>
            </w:r>
          </w:p>
        </w:tc>
        <w:tc>
          <w:tcPr>
            <w:tcW w:w="3967" w:type="dxa"/>
            <w:tcBorders>
              <w:top w:val="none" w:sz="6" w:space="0" w:color="auto"/>
              <w:left w:val="single" w:sz="4" w:space="0" w:color="000000"/>
              <w:bottom w:val="none" w:sz="6" w:space="0" w:color="auto"/>
              <w:right w:val="single" w:sz="4" w:space="0" w:color="000000"/>
            </w:tcBorders>
          </w:tcPr>
          <w:p w14:paraId="3499D535" w14:textId="77777777" w:rsidR="00C118E2" w:rsidRPr="008148FC" w:rsidRDefault="00C118E2" w:rsidP="008148FC">
            <w:pPr>
              <w:rPr>
                <w:szCs w:val="22"/>
              </w:rPr>
            </w:pPr>
          </w:p>
        </w:tc>
      </w:tr>
      <w:tr w:rsidR="00C118E2" w:rsidRPr="003A5C41" w14:paraId="067373EE" w14:textId="77777777" w:rsidTr="00D6163D">
        <w:trPr>
          <w:trHeight w:hRule="exact" w:val="286"/>
        </w:trPr>
        <w:tc>
          <w:tcPr>
            <w:tcW w:w="2268" w:type="dxa"/>
            <w:tcBorders>
              <w:top w:val="none" w:sz="6" w:space="0" w:color="auto"/>
              <w:left w:val="single" w:sz="4" w:space="0" w:color="000000"/>
              <w:bottom w:val="single" w:sz="4" w:space="0" w:color="000000"/>
              <w:right w:val="single" w:sz="4" w:space="0" w:color="000000"/>
            </w:tcBorders>
          </w:tcPr>
          <w:p w14:paraId="50D51162" w14:textId="77777777" w:rsidR="00C118E2" w:rsidRPr="003A5C41" w:rsidRDefault="00C118E2">
            <w:pPr>
              <w:rPr>
                <w:szCs w:val="22"/>
              </w:rPr>
            </w:pPr>
          </w:p>
        </w:tc>
        <w:tc>
          <w:tcPr>
            <w:tcW w:w="3262" w:type="dxa"/>
            <w:tcBorders>
              <w:top w:val="none" w:sz="6" w:space="0" w:color="auto"/>
              <w:left w:val="single" w:sz="4" w:space="0" w:color="000000"/>
              <w:bottom w:val="single" w:sz="4" w:space="0" w:color="000000"/>
              <w:right w:val="single" w:sz="4" w:space="0" w:color="000000"/>
            </w:tcBorders>
          </w:tcPr>
          <w:p w14:paraId="1908BB04" w14:textId="77777777" w:rsidR="00C118E2" w:rsidRPr="003A5C41" w:rsidRDefault="00C118E2" w:rsidP="00D6163D">
            <w:pPr>
              <w:pStyle w:val="TableParagraph"/>
              <w:kinsoku w:val="0"/>
              <w:overflowPunct w:val="0"/>
              <w:spacing w:line="276" w:lineRule="exact"/>
              <w:rPr>
                <w:sz w:val="22"/>
                <w:szCs w:val="22"/>
                <w:lang w:val="sk-SK"/>
              </w:rPr>
            </w:pPr>
            <w:r w:rsidRPr="003A5C41">
              <w:rPr>
                <w:sz w:val="22"/>
                <w:szCs w:val="22"/>
                <w:lang w:val="sk-SK"/>
              </w:rPr>
              <w:t>Bolesť brucha</w:t>
            </w:r>
            <w:r w:rsidR="008148FC" w:rsidRPr="00D6163D">
              <w:rPr>
                <w:position w:val="9"/>
                <w:sz w:val="16"/>
                <w:lang w:val="sk-SK"/>
              </w:rPr>
              <w:t>◊</w:t>
            </w:r>
          </w:p>
        </w:tc>
        <w:tc>
          <w:tcPr>
            <w:tcW w:w="3967" w:type="dxa"/>
            <w:tcBorders>
              <w:top w:val="none" w:sz="6" w:space="0" w:color="auto"/>
              <w:left w:val="single" w:sz="4" w:space="0" w:color="000000"/>
              <w:bottom w:val="single" w:sz="4" w:space="0" w:color="000000"/>
              <w:right w:val="single" w:sz="4" w:space="0" w:color="000000"/>
            </w:tcBorders>
          </w:tcPr>
          <w:p w14:paraId="7EFB36D5" w14:textId="77777777" w:rsidR="00C118E2" w:rsidRPr="003A5C41" w:rsidRDefault="00C118E2">
            <w:pPr>
              <w:rPr>
                <w:szCs w:val="22"/>
              </w:rPr>
            </w:pPr>
          </w:p>
        </w:tc>
      </w:tr>
      <w:tr w:rsidR="00C118E2" w:rsidRPr="003A5C41" w14:paraId="6128131B" w14:textId="77777777" w:rsidTr="00C118E2">
        <w:trPr>
          <w:trHeight w:hRule="exact" w:val="261"/>
        </w:trPr>
        <w:tc>
          <w:tcPr>
            <w:tcW w:w="2268" w:type="dxa"/>
            <w:tcBorders>
              <w:top w:val="single" w:sz="4" w:space="0" w:color="000000"/>
              <w:left w:val="single" w:sz="4" w:space="0" w:color="000000"/>
              <w:bottom w:val="none" w:sz="6" w:space="0" w:color="auto"/>
              <w:right w:val="single" w:sz="4" w:space="0" w:color="000000"/>
            </w:tcBorders>
          </w:tcPr>
          <w:p w14:paraId="16333054" w14:textId="77777777" w:rsidR="00C118E2" w:rsidRPr="003A5C41" w:rsidRDefault="00C118E2">
            <w:pPr>
              <w:pStyle w:val="TableParagraph"/>
              <w:kinsoku w:val="0"/>
              <w:overflowPunct w:val="0"/>
              <w:spacing w:line="251" w:lineRule="exact"/>
              <w:rPr>
                <w:sz w:val="22"/>
                <w:szCs w:val="22"/>
                <w:lang w:val="sk-SK"/>
              </w:rPr>
            </w:pPr>
            <w:r w:rsidRPr="003A5C41">
              <w:rPr>
                <w:b/>
                <w:bCs/>
                <w:sz w:val="22"/>
                <w:szCs w:val="22"/>
                <w:lang w:val="sk-SK"/>
              </w:rPr>
              <w:t>Poruchy kože a</w:t>
            </w:r>
          </w:p>
        </w:tc>
        <w:tc>
          <w:tcPr>
            <w:tcW w:w="3262" w:type="dxa"/>
            <w:tcBorders>
              <w:top w:val="single" w:sz="4" w:space="0" w:color="000000"/>
              <w:left w:val="single" w:sz="4" w:space="0" w:color="000000"/>
              <w:bottom w:val="none" w:sz="6" w:space="0" w:color="auto"/>
              <w:right w:val="single" w:sz="4" w:space="0" w:color="000000"/>
            </w:tcBorders>
          </w:tcPr>
          <w:p w14:paraId="44D1C934" w14:textId="77777777" w:rsidR="00C118E2" w:rsidRPr="003A5C41" w:rsidRDefault="00C118E2">
            <w:pPr>
              <w:pStyle w:val="TableParagraph"/>
              <w:kinsoku w:val="0"/>
              <w:overflowPunct w:val="0"/>
              <w:spacing w:line="251" w:lineRule="exact"/>
              <w:rPr>
                <w:sz w:val="22"/>
                <w:szCs w:val="22"/>
                <w:lang w:val="sk-SK"/>
              </w:rPr>
            </w:pPr>
            <w:r w:rsidRPr="003A5C41">
              <w:rPr>
                <w:sz w:val="22"/>
                <w:szCs w:val="22"/>
                <w:u w:val="single" w:color="000000"/>
                <w:lang w:val="sk-SK"/>
              </w:rPr>
              <w:t>Veľmi časté</w:t>
            </w:r>
          </w:p>
        </w:tc>
        <w:tc>
          <w:tcPr>
            <w:tcW w:w="3967" w:type="dxa"/>
            <w:tcBorders>
              <w:top w:val="single" w:sz="4" w:space="0" w:color="000000"/>
              <w:left w:val="single" w:sz="4" w:space="0" w:color="000000"/>
              <w:bottom w:val="none" w:sz="6" w:space="0" w:color="auto"/>
              <w:right w:val="single" w:sz="4" w:space="0" w:color="000000"/>
            </w:tcBorders>
          </w:tcPr>
          <w:p w14:paraId="3F209CB1" w14:textId="77777777" w:rsidR="00C118E2" w:rsidRPr="003A5C41" w:rsidRDefault="00C118E2">
            <w:pPr>
              <w:pStyle w:val="TableParagraph"/>
              <w:kinsoku w:val="0"/>
              <w:overflowPunct w:val="0"/>
              <w:spacing w:line="251" w:lineRule="exact"/>
              <w:rPr>
                <w:sz w:val="22"/>
                <w:szCs w:val="22"/>
                <w:lang w:val="sk-SK"/>
              </w:rPr>
            </w:pPr>
            <w:r w:rsidRPr="003A5C41">
              <w:rPr>
                <w:sz w:val="22"/>
                <w:szCs w:val="22"/>
                <w:u w:val="single" w:color="000000"/>
                <w:lang w:val="sk-SK"/>
              </w:rPr>
              <w:t>Časté</w:t>
            </w:r>
          </w:p>
        </w:tc>
      </w:tr>
      <w:tr w:rsidR="00C118E2" w:rsidRPr="003A5C41" w14:paraId="6DD6F168" w14:textId="77777777" w:rsidTr="00C118E2">
        <w:trPr>
          <w:trHeight w:hRule="exact" w:val="253"/>
        </w:trPr>
        <w:tc>
          <w:tcPr>
            <w:tcW w:w="2268" w:type="dxa"/>
            <w:tcBorders>
              <w:top w:val="none" w:sz="6" w:space="0" w:color="auto"/>
              <w:left w:val="single" w:sz="4" w:space="0" w:color="000000"/>
              <w:bottom w:val="none" w:sz="6" w:space="0" w:color="auto"/>
              <w:right w:val="single" w:sz="4" w:space="0" w:color="000000"/>
            </w:tcBorders>
          </w:tcPr>
          <w:p w14:paraId="5971E6B9" w14:textId="77777777" w:rsidR="00C118E2" w:rsidRPr="003A5C41" w:rsidRDefault="00C118E2">
            <w:pPr>
              <w:pStyle w:val="TableParagraph"/>
              <w:kinsoku w:val="0"/>
              <w:overflowPunct w:val="0"/>
              <w:spacing w:line="249" w:lineRule="exact"/>
              <w:rPr>
                <w:sz w:val="22"/>
                <w:szCs w:val="22"/>
                <w:lang w:val="sk-SK"/>
              </w:rPr>
            </w:pPr>
            <w:r w:rsidRPr="003A5C41">
              <w:rPr>
                <w:b/>
                <w:bCs/>
                <w:sz w:val="22"/>
                <w:szCs w:val="22"/>
                <w:lang w:val="sk-SK"/>
              </w:rPr>
              <w:t>podkožného tkaniva</w:t>
            </w:r>
          </w:p>
        </w:tc>
        <w:tc>
          <w:tcPr>
            <w:tcW w:w="3262" w:type="dxa"/>
            <w:tcBorders>
              <w:top w:val="none" w:sz="6" w:space="0" w:color="auto"/>
              <w:left w:val="single" w:sz="4" w:space="0" w:color="000000"/>
              <w:bottom w:val="none" w:sz="6" w:space="0" w:color="auto"/>
              <w:right w:val="single" w:sz="4" w:space="0" w:color="000000"/>
            </w:tcBorders>
          </w:tcPr>
          <w:p w14:paraId="01AD20FA" w14:textId="77777777" w:rsidR="00C118E2" w:rsidRPr="003A5C41" w:rsidRDefault="00C118E2">
            <w:pPr>
              <w:pStyle w:val="TableParagraph"/>
              <w:kinsoku w:val="0"/>
              <w:overflowPunct w:val="0"/>
              <w:spacing w:line="249" w:lineRule="exact"/>
              <w:rPr>
                <w:sz w:val="22"/>
                <w:szCs w:val="22"/>
                <w:lang w:val="sk-SK"/>
              </w:rPr>
            </w:pPr>
            <w:r w:rsidRPr="003A5C41">
              <w:rPr>
                <w:sz w:val="22"/>
                <w:szCs w:val="22"/>
                <w:lang w:val="sk-SK"/>
              </w:rPr>
              <w:t>Výsev (vrátane alergickej</w:t>
            </w:r>
          </w:p>
        </w:tc>
        <w:tc>
          <w:tcPr>
            <w:tcW w:w="3967" w:type="dxa"/>
            <w:tcBorders>
              <w:top w:val="none" w:sz="6" w:space="0" w:color="auto"/>
              <w:left w:val="single" w:sz="4" w:space="0" w:color="000000"/>
              <w:bottom w:val="none" w:sz="6" w:space="0" w:color="auto"/>
              <w:right w:val="single" w:sz="4" w:space="0" w:color="000000"/>
            </w:tcBorders>
          </w:tcPr>
          <w:p w14:paraId="69D6BB29" w14:textId="77777777" w:rsidR="00C118E2" w:rsidRPr="003A5C41" w:rsidRDefault="00C118E2">
            <w:pPr>
              <w:pStyle w:val="TableParagraph"/>
              <w:kinsoku w:val="0"/>
              <w:overflowPunct w:val="0"/>
              <w:spacing w:line="249" w:lineRule="exact"/>
              <w:rPr>
                <w:sz w:val="22"/>
                <w:szCs w:val="22"/>
                <w:lang w:val="sk-SK"/>
              </w:rPr>
            </w:pPr>
            <w:r w:rsidRPr="003A5C41">
              <w:rPr>
                <w:sz w:val="22"/>
                <w:szCs w:val="22"/>
                <w:lang w:val="sk-SK"/>
              </w:rPr>
              <w:t>Výsev</w:t>
            </w:r>
          </w:p>
        </w:tc>
      </w:tr>
      <w:tr w:rsidR="00C118E2" w:rsidRPr="003A5C41" w14:paraId="11CD4472" w14:textId="77777777" w:rsidTr="00C118E2">
        <w:trPr>
          <w:trHeight w:hRule="exact" w:val="390"/>
        </w:trPr>
        <w:tc>
          <w:tcPr>
            <w:tcW w:w="2268" w:type="dxa"/>
            <w:tcBorders>
              <w:top w:val="none" w:sz="6" w:space="0" w:color="auto"/>
              <w:left w:val="single" w:sz="4" w:space="0" w:color="000000"/>
              <w:bottom w:val="none" w:sz="6" w:space="0" w:color="auto"/>
              <w:right w:val="single" w:sz="4" w:space="0" w:color="000000"/>
            </w:tcBorders>
          </w:tcPr>
          <w:p w14:paraId="69F807A2" w14:textId="77777777" w:rsidR="00C118E2" w:rsidRPr="003A5C41" w:rsidRDefault="00C118E2">
            <w:pPr>
              <w:rPr>
                <w:szCs w:val="22"/>
              </w:rPr>
            </w:pPr>
          </w:p>
        </w:tc>
        <w:tc>
          <w:tcPr>
            <w:tcW w:w="3262" w:type="dxa"/>
            <w:tcBorders>
              <w:top w:val="none" w:sz="6" w:space="0" w:color="auto"/>
              <w:left w:val="single" w:sz="4" w:space="0" w:color="000000"/>
              <w:bottom w:val="none" w:sz="6" w:space="0" w:color="auto"/>
              <w:right w:val="single" w:sz="4" w:space="0" w:color="000000"/>
            </w:tcBorders>
          </w:tcPr>
          <w:p w14:paraId="6B49BE92" w14:textId="77777777" w:rsidR="00C118E2" w:rsidRPr="003A5C41" w:rsidRDefault="00C118E2">
            <w:pPr>
              <w:pStyle w:val="TableParagraph"/>
              <w:kinsoku w:val="0"/>
              <w:overflowPunct w:val="0"/>
              <w:spacing w:line="248" w:lineRule="exact"/>
              <w:rPr>
                <w:sz w:val="22"/>
                <w:szCs w:val="22"/>
                <w:lang w:val="sk-SK"/>
              </w:rPr>
            </w:pPr>
            <w:r w:rsidRPr="003A5C41">
              <w:rPr>
                <w:sz w:val="22"/>
                <w:szCs w:val="22"/>
                <w:lang w:val="sk-SK"/>
              </w:rPr>
              <w:t>dermatitídy), pruritus</w:t>
            </w:r>
          </w:p>
        </w:tc>
        <w:tc>
          <w:tcPr>
            <w:tcW w:w="3967" w:type="dxa"/>
            <w:tcBorders>
              <w:top w:val="none" w:sz="6" w:space="0" w:color="auto"/>
              <w:left w:val="single" w:sz="4" w:space="0" w:color="000000"/>
              <w:bottom w:val="none" w:sz="6" w:space="0" w:color="auto"/>
              <w:right w:val="single" w:sz="4" w:space="0" w:color="000000"/>
            </w:tcBorders>
          </w:tcPr>
          <w:p w14:paraId="0720D663" w14:textId="77777777" w:rsidR="00C118E2" w:rsidRPr="003A5C41" w:rsidRDefault="00C118E2">
            <w:pPr>
              <w:rPr>
                <w:szCs w:val="22"/>
              </w:rPr>
            </w:pPr>
          </w:p>
        </w:tc>
      </w:tr>
      <w:tr w:rsidR="00C118E2" w:rsidRPr="003A5C41" w14:paraId="76287230" w14:textId="77777777" w:rsidTr="00C118E2">
        <w:trPr>
          <w:trHeight w:hRule="exact" w:val="391"/>
        </w:trPr>
        <w:tc>
          <w:tcPr>
            <w:tcW w:w="2268" w:type="dxa"/>
            <w:tcBorders>
              <w:top w:val="none" w:sz="6" w:space="0" w:color="auto"/>
              <w:left w:val="single" w:sz="4" w:space="0" w:color="000000"/>
              <w:bottom w:val="none" w:sz="6" w:space="0" w:color="auto"/>
              <w:right w:val="single" w:sz="4" w:space="0" w:color="000000"/>
            </w:tcBorders>
          </w:tcPr>
          <w:p w14:paraId="0AC790E6" w14:textId="77777777" w:rsidR="00C118E2" w:rsidRPr="003A5C41" w:rsidRDefault="00C118E2">
            <w:pPr>
              <w:rPr>
                <w:szCs w:val="22"/>
              </w:rPr>
            </w:pPr>
          </w:p>
        </w:tc>
        <w:tc>
          <w:tcPr>
            <w:tcW w:w="3262" w:type="dxa"/>
            <w:tcBorders>
              <w:top w:val="none" w:sz="6" w:space="0" w:color="auto"/>
              <w:left w:val="single" w:sz="4" w:space="0" w:color="000000"/>
              <w:bottom w:val="none" w:sz="6" w:space="0" w:color="auto"/>
              <w:right w:val="single" w:sz="4" w:space="0" w:color="000000"/>
            </w:tcBorders>
          </w:tcPr>
          <w:p w14:paraId="250E85F9" w14:textId="77777777" w:rsidR="00C118E2" w:rsidRPr="003A5C41" w:rsidRDefault="00C118E2">
            <w:pPr>
              <w:pStyle w:val="TableParagraph"/>
              <w:kinsoku w:val="0"/>
              <w:overflowPunct w:val="0"/>
              <w:spacing w:before="133"/>
              <w:rPr>
                <w:sz w:val="22"/>
                <w:szCs w:val="22"/>
                <w:lang w:val="sk-SK"/>
              </w:rPr>
            </w:pPr>
            <w:r w:rsidRPr="003A5C41">
              <w:rPr>
                <w:sz w:val="22"/>
                <w:szCs w:val="22"/>
                <w:u w:val="single" w:color="000000"/>
                <w:lang w:val="sk-SK"/>
              </w:rPr>
              <w:t>Časté</w:t>
            </w:r>
          </w:p>
        </w:tc>
        <w:tc>
          <w:tcPr>
            <w:tcW w:w="3967" w:type="dxa"/>
            <w:tcBorders>
              <w:top w:val="none" w:sz="6" w:space="0" w:color="auto"/>
              <w:left w:val="single" w:sz="4" w:space="0" w:color="000000"/>
              <w:bottom w:val="none" w:sz="6" w:space="0" w:color="auto"/>
              <w:right w:val="single" w:sz="4" w:space="0" w:color="000000"/>
            </w:tcBorders>
          </w:tcPr>
          <w:p w14:paraId="393660B2" w14:textId="77777777" w:rsidR="00C118E2" w:rsidRPr="003A5C41" w:rsidRDefault="00C118E2">
            <w:pPr>
              <w:rPr>
                <w:szCs w:val="22"/>
              </w:rPr>
            </w:pPr>
          </w:p>
        </w:tc>
      </w:tr>
      <w:tr w:rsidR="00C118E2" w:rsidRPr="003A5C41" w14:paraId="67BDF65B" w14:textId="77777777" w:rsidTr="00C118E2">
        <w:trPr>
          <w:trHeight w:hRule="exact" w:val="254"/>
        </w:trPr>
        <w:tc>
          <w:tcPr>
            <w:tcW w:w="2268" w:type="dxa"/>
            <w:tcBorders>
              <w:top w:val="none" w:sz="6" w:space="0" w:color="auto"/>
              <w:left w:val="single" w:sz="4" w:space="0" w:color="000000"/>
              <w:bottom w:val="single" w:sz="4" w:space="0" w:color="000000"/>
              <w:right w:val="single" w:sz="4" w:space="0" w:color="000000"/>
            </w:tcBorders>
          </w:tcPr>
          <w:p w14:paraId="08B1A05D" w14:textId="77777777" w:rsidR="00C118E2" w:rsidRPr="003A5C41" w:rsidRDefault="00C118E2">
            <w:pPr>
              <w:rPr>
                <w:szCs w:val="22"/>
              </w:rPr>
            </w:pPr>
          </w:p>
        </w:tc>
        <w:tc>
          <w:tcPr>
            <w:tcW w:w="3262" w:type="dxa"/>
            <w:tcBorders>
              <w:top w:val="none" w:sz="6" w:space="0" w:color="auto"/>
              <w:left w:val="single" w:sz="4" w:space="0" w:color="000000"/>
              <w:bottom w:val="single" w:sz="4" w:space="0" w:color="000000"/>
              <w:right w:val="single" w:sz="4" w:space="0" w:color="000000"/>
            </w:tcBorders>
          </w:tcPr>
          <w:p w14:paraId="2161CC41" w14:textId="77777777" w:rsidR="00C118E2" w:rsidRPr="003A5C41" w:rsidRDefault="00C118E2">
            <w:pPr>
              <w:pStyle w:val="TableParagraph"/>
              <w:kinsoku w:val="0"/>
              <w:overflowPunct w:val="0"/>
              <w:spacing w:line="249" w:lineRule="exact"/>
              <w:rPr>
                <w:sz w:val="22"/>
                <w:szCs w:val="22"/>
                <w:lang w:val="sk-SK"/>
              </w:rPr>
            </w:pPr>
            <w:r w:rsidRPr="003A5C41">
              <w:rPr>
                <w:sz w:val="22"/>
                <w:szCs w:val="22"/>
                <w:lang w:val="sk-SK"/>
              </w:rPr>
              <w:t>Nočné potenie, suchá koža</w:t>
            </w:r>
          </w:p>
        </w:tc>
        <w:tc>
          <w:tcPr>
            <w:tcW w:w="3967" w:type="dxa"/>
            <w:tcBorders>
              <w:top w:val="none" w:sz="6" w:space="0" w:color="auto"/>
              <w:left w:val="single" w:sz="4" w:space="0" w:color="000000"/>
              <w:bottom w:val="single" w:sz="4" w:space="0" w:color="000000"/>
              <w:right w:val="single" w:sz="4" w:space="0" w:color="000000"/>
            </w:tcBorders>
          </w:tcPr>
          <w:p w14:paraId="3FE5A37E" w14:textId="77777777" w:rsidR="00C118E2" w:rsidRPr="003A5C41" w:rsidRDefault="00C118E2">
            <w:pPr>
              <w:rPr>
                <w:szCs w:val="22"/>
              </w:rPr>
            </w:pPr>
          </w:p>
        </w:tc>
      </w:tr>
      <w:tr w:rsidR="00C118E2" w:rsidRPr="003A5C41" w14:paraId="1D9424D0" w14:textId="77777777" w:rsidTr="00D6163D">
        <w:trPr>
          <w:trHeight w:hRule="exact" w:val="791"/>
        </w:trPr>
        <w:tc>
          <w:tcPr>
            <w:tcW w:w="2268" w:type="dxa"/>
            <w:tcBorders>
              <w:top w:val="single" w:sz="4" w:space="0" w:color="000000"/>
              <w:left w:val="single" w:sz="4" w:space="0" w:color="000000"/>
              <w:bottom w:val="none" w:sz="6" w:space="0" w:color="auto"/>
              <w:right w:val="single" w:sz="4" w:space="0" w:color="000000"/>
            </w:tcBorders>
          </w:tcPr>
          <w:p w14:paraId="7DA0FC3D" w14:textId="77777777" w:rsidR="00C118E2" w:rsidRPr="003A5C41" w:rsidRDefault="00C118E2">
            <w:pPr>
              <w:pStyle w:val="TableParagraph"/>
              <w:kinsoku w:val="0"/>
              <w:overflowPunct w:val="0"/>
              <w:ind w:right="241"/>
              <w:rPr>
                <w:sz w:val="22"/>
                <w:szCs w:val="22"/>
                <w:lang w:val="sk-SK"/>
              </w:rPr>
            </w:pPr>
            <w:r w:rsidRPr="003A5C41">
              <w:rPr>
                <w:b/>
                <w:bCs/>
                <w:sz w:val="22"/>
                <w:szCs w:val="22"/>
                <w:lang w:val="sk-SK"/>
              </w:rPr>
              <w:t>Poruchy kostrovej a svalovej sústavy a spojivového tkaniva</w:t>
            </w:r>
          </w:p>
        </w:tc>
        <w:tc>
          <w:tcPr>
            <w:tcW w:w="3262" w:type="dxa"/>
            <w:tcBorders>
              <w:top w:val="single" w:sz="4" w:space="0" w:color="000000"/>
              <w:left w:val="single" w:sz="4" w:space="0" w:color="000000"/>
              <w:bottom w:val="none" w:sz="6" w:space="0" w:color="auto"/>
              <w:right w:val="single" w:sz="4" w:space="0" w:color="000000"/>
            </w:tcBorders>
          </w:tcPr>
          <w:p w14:paraId="23F9A1AE" w14:textId="77777777" w:rsidR="00C118E2" w:rsidRPr="007E13A8" w:rsidRDefault="00C118E2" w:rsidP="00D6163D">
            <w:pPr>
              <w:pStyle w:val="TableParagraph"/>
              <w:kinsoku w:val="0"/>
              <w:overflowPunct w:val="0"/>
              <w:spacing w:line="252" w:lineRule="exact"/>
              <w:rPr>
                <w:sz w:val="22"/>
                <w:szCs w:val="22"/>
                <w:lang w:val="sk-SK"/>
              </w:rPr>
            </w:pPr>
            <w:r w:rsidRPr="007E13A8">
              <w:rPr>
                <w:sz w:val="22"/>
                <w:szCs w:val="22"/>
                <w:u w:val="single" w:color="000000"/>
                <w:lang w:val="sk-SK"/>
              </w:rPr>
              <w:t>Veľmi časté</w:t>
            </w:r>
          </w:p>
          <w:p w14:paraId="3ABC4AE1" w14:textId="77777777" w:rsidR="00C118E2" w:rsidRPr="007E13A8" w:rsidRDefault="00C118E2" w:rsidP="007E13A8">
            <w:pPr>
              <w:pStyle w:val="TableParagraph"/>
              <w:kinsoku w:val="0"/>
              <w:overflowPunct w:val="0"/>
              <w:spacing w:before="1"/>
              <w:rPr>
                <w:sz w:val="22"/>
                <w:szCs w:val="22"/>
                <w:lang w:val="sk-SK"/>
              </w:rPr>
            </w:pPr>
            <w:r w:rsidRPr="007E13A8">
              <w:rPr>
                <w:sz w:val="22"/>
                <w:szCs w:val="22"/>
                <w:lang w:val="sk-SK"/>
              </w:rPr>
              <w:t>Svalové kŕče, bolesti chrbta</w:t>
            </w:r>
          </w:p>
        </w:tc>
        <w:tc>
          <w:tcPr>
            <w:tcW w:w="3967" w:type="dxa"/>
            <w:tcBorders>
              <w:top w:val="single" w:sz="4" w:space="0" w:color="000000"/>
              <w:left w:val="single" w:sz="4" w:space="0" w:color="000000"/>
              <w:bottom w:val="none" w:sz="6" w:space="0" w:color="auto"/>
              <w:right w:val="single" w:sz="4" w:space="0" w:color="000000"/>
            </w:tcBorders>
          </w:tcPr>
          <w:p w14:paraId="64917C31" w14:textId="77777777" w:rsidR="00C118E2" w:rsidRPr="007E13A8" w:rsidRDefault="00C118E2" w:rsidP="00D6163D">
            <w:pPr>
              <w:pStyle w:val="TableParagraph"/>
              <w:kinsoku w:val="0"/>
              <w:overflowPunct w:val="0"/>
              <w:spacing w:line="245" w:lineRule="exact"/>
              <w:rPr>
                <w:sz w:val="22"/>
                <w:szCs w:val="22"/>
                <w:lang w:val="sk-SK"/>
              </w:rPr>
            </w:pPr>
            <w:r w:rsidRPr="007E13A8">
              <w:rPr>
                <w:sz w:val="22"/>
                <w:szCs w:val="22"/>
                <w:u w:val="single" w:color="000000"/>
                <w:lang w:val="sk-SK"/>
              </w:rPr>
              <w:t>Časté</w:t>
            </w:r>
          </w:p>
          <w:p w14:paraId="3C565791" w14:textId="77777777" w:rsidR="00C118E2" w:rsidRPr="007E13A8" w:rsidRDefault="00C118E2" w:rsidP="00D6163D">
            <w:pPr>
              <w:pStyle w:val="TableParagraph"/>
              <w:kinsoku w:val="0"/>
              <w:overflowPunct w:val="0"/>
              <w:spacing w:line="280" w:lineRule="exact"/>
              <w:rPr>
                <w:sz w:val="22"/>
                <w:szCs w:val="22"/>
                <w:lang w:val="sk-SK"/>
              </w:rPr>
            </w:pPr>
            <w:r w:rsidRPr="007E13A8">
              <w:rPr>
                <w:sz w:val="22"/>
                <w:szCs w:val="22"/>
                <w:lang w:val="sk-SK"/>
              </w:rPr>
              <w:t>Bolesť chrbta, svalová slabosť</w:t>
            </w:r>
            <w:r w:rsidR="007E13A8" w:rsidRPr="00D6163D">
              <w:rPr>
                <w:position w:val="9"/>
                <w:sz w:val="16"/>
                <w:lang w:val="sk-SK"/>
              </w:rPr>
              <w:t>◊</w:t>
            </w:r>
            <w:r w:rsidRPr="007E13A8">
              <w:rPr>
                <w:sz w:val="22"/>
                <w:szCs w:val="22"/>
                <w:lang w:val="sk-SK"/>
              </w:rPr>
              <w:t>, artralgia,</w:t>
            </w:r>
          </w:p>
          <w:p w14:paraId="576A2181" w14:textId="77777777" w:rsidR="00C118E2" w:rsidRPr="007E13A8" w:rsidRDefault="00C118E2" w:rsidP="007E13A8">
            <w:pPr>
              <w:pStyle w:val="TableParagraph"/>
              <w:kinsoku w:val="0"/>
              <w:overflowPunct w:val="0"/>
              <w:spacing w:before="4"/>
              <w:rPr>
                <w:sz w:val="22"/>
                <w:szCs w:val="22"/>
                <w:lang w:val="sk-SK"/>
              </w:rPr>
            </w:pPr>
            <w:r w:rsidRPr="007E13A8">
              <w:rPr>
                <w:sz w:val="22"/>
                <w:szCs w:val="22"/>
                <w:lang w:val="sk-SK"/>
              </w:rPr>
              <w:t>bolesť končatín</w:t>
            </w:r>
          </w:p>
        </w:tc>
      </w:tr>
      <w:tr w:rsidR="00C118E2" w:rsidRPr="003A5C41" w14:paraId="329402B4" w14:textId="77777777" w:rsidTr="00C118E2">
        <w:trPr>
          <w:trHeight w:hRule="exact" w:val="253"/>
        </w:trPr>
        <w:tc>
          <w:tcPr>
            <w:tcW w:w="2268" w:type="dxa"/>
            <w:tcBorders>
              <w:top w:val="none" w:sz="6" w:space="0" w:color="auto"/>
              <w:left w:val="single" w:sz="4" w:space="0" w:color="000000"/>
              <w:bottom w:val="none" w:sz="6" w:space="0" w:color="auto"/>
              <w:right w:val="single" w:sz="4" w:space="0" w:color="000000"/>
            </w:tcBorders>
          </w:tcPr>
          <w:p w14:paraId="5754F5F6" w14:textId="77777777" w:rsidR="00C118E2" w:rsidRPr="003A5C41" w:rsidRDefault="00C118E2">
            <w:pPr>
              <w:rPr>
                <w:szCs w:val="22"/>
              </w:rPr>
            </w:pPr>
          </w:p>
        </w:tc>
        <w:tc>
          <w:tcPr>
            <w:tcW w:w="3262" w:type="dxa"/>
            <w:tcBorders>
              <w:top w:val="none" w:sz="6" w:space="0" w:color="auto"/>
              <w:left w:val="single" w:sz="4" w:space="0" w:color="000000"/>
              <w:bottom w:val="none" w:sz="6" w:space="0" w:color="auto"/>
              <w:right w:val="single" w:sz="4" w:space="0" w:color="000000"/>
            </w:tcBorders>
          </w:tcPr>
          <w:p w14:paraId="716CB342" w14:textId="77777777" w:rsidR="00C118E2" w:rsidRPr="007E13A8" w:rsidRDefault="00C118E2" w:rsidP="00D6163D">
            <w:pPr>
              <w:pStyle w:val="TableParagraph"/>
              <w:kinsoku w:val="0"/>
              <w:overflowPunct w:val="0"/>
              <w:spacing w:line="248" w:lineRule="exact"/>
              <w:rPr>
                <w:sz w:val="22"/>
                <w:szCs w:val="22"/>
                <w:lang w:val="sk-SK"/>
              </w:rPr>
            </w:pPr>
            <w:r w:rsidRPr="007E13A8">
              <w:rPr>
                <w:sz w:val="22"/>
                <w:szCs w:val="22"/>
                <w:u w:val="single" w:color="000000"/>
                <w:lang w:val="sk-SK"/>
              </w:rPr>
              <w:t>Časté</w:t>
            </w:r>
          </w:p>
        </w:tc>
        <w:tc>
          <w:tcPr>
            <w:tcW w:w="3967" w:type="dxa"/>
            <w:tcBorders>
              <w:top w:val="none" w:sz="6" w:space="0" w:color="auto"/>
              <w:left w:val="single" w:sz="4" w:space="0" w:color="000000"/>
              <w:bottom w:val="none" w:sz="6" w:space="0" w:color="auto"/>
              <w:right w:val="single" w:sz="4" w:space="0" w:color="000000"/>
            </w:tcBorders>
          </w:tcPr>
          <w:p w14:paraId="7225E375" w14:textId="77777777" w:rsidR="00C118E2" w:rsidRPr="007E13A8" w:rsidRDefault="00C118E2" w:rsidP="007E13A8">
            <w:pPr>
              <w:rPr>
                <w:szCs w:val="22"/>
              </w:rPr>
            </w:pPr>
          </w:p>
        </w:tc>
      </w:tr>
      <w:tr w:rsidR="00C118E2" w:rsidRPr="003A5C41" w14:paraId="4C9D9B2C" w14:textId="77777777" w:rsidTr="00C118E2">
        <w:trPr>
          <w:trHeight w:hRule="exact" w:val="244"/>
        </w:trPr>
        <w:tc>
          <w:tcPr>
            <w:tcW w:w="2268" w:type="dxa"/>
            <w:tcBorders>
              <w:top w:val="none" w:sz="6" w:space="0" w:color="auto"/>
              <w:left w:val="single" w:sz="4" w:space="0" w:color="000000"/>
              <w:bottom w:val="none" w:sz="6" w:space="0" w:color="auto"/>
              <w:right w:val="single" w:sz="4" w:space="0" w:color="000000"/>
            </w:tcBorders>
          </w:tcPr>
          <w:p w14:paraId="73388F53" w14:textId="77777777" w:rsidR="00C118E2" w:rsidRPr="003A5C41" w:rsidRDefault="00C118E2">
            <w:pPr>
              <w:rPr>
                <w:szCs w:val="22"/>
              </w:rPr>
            </w:pPr>
          </w:p>
        </w:tc>
        <w:tc>
          <w:tcPr>
            <w:tcW w:w="3262" w:type="dxa"/>
            <w:tcBorders>
              <w:top w:val="none" w:sz="6" w:space="0" w:color="auto"/>
              <w:left w:val="single" w:sz="4" w:space="0" w:color="000000"/>
              <w:bottom w:val="none" w:sz="6" w:space="0" w:color="auto"/>
              <w:right w:val="single" w:sz="4" w:space="0" w:color="000000"/>
            </w:tcBorders>
          </w:tcPr>
          <w:p w14:paraId="5BDF5E7C" w14:textId="2189BD7D" w:rsidR="00C118E2" w:rsidRPr="007E13A8" w:rsidRDefault="005B7936" w:rsidP="00D6163D">
            <w:pPr>
              <w:pStyle w:val="TableParagraph"/>
              <w:kinsoku w:val="0"/>
              <w:overflowPunct w:val="0"/>
              <w:spacing w:line="249" w:lineRule="exact"/>
              <w:rPr>
                <w:sz w:val="22"/>
                <w:szCs w:val="22"/>
                <w:lang w:val="sk-SK"/>
              </w:rPr>
            </w:pPr>
            <w:r>
              <w:rPr>
                <w:sz w:val="22"/>
                <w:szCs w:val="22"/>
                <w:lang w:val="sk-SK"/>
              </w:rPr>
              <w:t>A</w:t>
            </w:r>
            <w:r w:rsidR="00C118E2" w:rsidRPr="007E13A8">
              <w:rPr>
                <w:sz w:val="22"/>
                <w:szCs w:val="22"/>
                <w:lang w:val="sk-SK"/>
              </w:rPr>
              <w:t>rtralgia, bolesti končatín, svalová</w:t>
            </w:r>
          </w:p>
        </w:tc>
        <w:tc>
          <w:tcPr>
            <w:tcW w:w="3967" w:type="dxa"/>
            <w:tcBorders>
              <w:top w:val="none" w:sz="6" w:space="0" w:color="auto"/>
              <w:left w:val="single" w:sz="4" w:space="0" w:color="000000"/>
              <w:bottom w:val="none" w:sz="6" w:space="0" w:color="auto"/>
              <w:right w:val="single" w:sz="4" w:space="0" w:color="000000"/>
            </w:tcBorders>
          </w:tcPr>
          <w:p w14:paraId="2338944A" w14:textId="77777777" w:rsidR="00C118E2" w:rsidRPr="007E13A8" w:rsidRDefault="00C118E2" w:rsidP="007E13A8">
            <w:pPr>
              <w:rPr>
                <w:szCs w:val="22"/>
              </w:rPr>
            </w:pPr>
          </w:p>
        </w:tc>
      </w:tr>
      <w:tr w:rsidR="00C118E2" w:rsidRPr="003A5C41" w14:paraId="182C67FC" w14:textId="77777777" w:rsidTr="00D6163D">
        <w:trPr>
          <w:trHeight w:hRule="exact" w:val="286"/>
        </w:trPr>
        <w:tc>
          <w:tcPr>
            <w:tcW w:w="2268" w:type="dxa"/>
            <w:tcBorders>
              <w:top w:val="none" w:sz="6" w:space="0" w:color="auto"/>
              <w:left w:val="single" w:sz="4" w:space="0" w:color="000000"/>
              <w:bottom w:val="single" w:sz="4" w:space="0" w:color="000000"/>
              <w:right w:val="single" w:sz="4" w:space="0" w:color="000000"/>
            </w:tcBorders>
          </w:tcPr>
          <w:p w14:paraId="5556BAFA" w14:textId="77777777" w:rsidR="00C118E2" w:rsidRPr="003A5C41" w:rsidRDefault="00C118E2">
            <w:pPr>
              <w:rPr>
                <w:szCs w:val="22"/>
              </w:rPr>
            </w:pPr>
          </w:p>
        </w:tc>
        <w:tc>
          <w:tcPr>
            <w:tcW w:w="3262" w:type="dxa"/>
            <w:tcBorders>
              <w:top w:val="none" w:sz="6" w:space="0" w:color="auto"/>
              <w:left w:val="single" w:sz="4" w:space="0" w:color="000000"/>
              <w:bottom w:val="single" w:sz="4" w:space="0" w:color="000000"/>
              <w:right w:val="single" w:sz="4" w:space="0" w:color="000000"/>
            </w:tcBorders>
          </w:tcPr>
          <w:p w14:paraId="7B4FFA69" w14:textId="77777777" w:rsidR="00C118E2" w:rsidRPr="003A5C41" w:rsidRDefault="00C118E2" w:rsidP="00D6163D">
            <w:pPr>
              <w:pStyle w:val="TableParagraph"/>
              <w:kinsoku w:val="0"/>
              <w:overflowPunct w:val="0"/>
              <w:spacing w:line="277" w:lineRule="exact"/>
              <w:rPr>
                <w:sz w:val="22"/>
                <w:szCs w:val="22"/>
                <w:lang w:val="sk-SK"/>
              </w:rPr>
            </w:pPr>
            <w:r w:rsidRPr="003A5C41">
              <w:rPr>
                <w:sz w:val="22"/>
                <w:szCs w:val="22"/>
                <w:lang w:val="sk-SK"/>
              </w:rPr>
              <w:t>slabosť</w:t>
            </w:r>
            <w:r w:rsidR="007E13A8" w:rsidRPr="00D6163D">
              <w:rPr>
                <w:position w:val="9"/>
                <w:sz w:val="16"/>
                <w:lang w:val="sk-SK"/>
              </w:rPr>
              <w:t>◊</w:t>
            </w:r>
          </w:p>
        </w:tc>
        <w:tc>
          <w:tcPr>
            <w:tcW w:w="3967" w:type="dxa"/>
            <w:tcBorders>
              <w:top w:val="none" w:sz="6" w:space="0" w:color="auto"/>
              <w:left w:val="single" w:sz="4" w:space="0" w:color="000000"/>
              <w:bottom w:val="single" w:sz="4" w:space="0" w:color="000000"/>
              <w:right w:val="single" w:sz="4" w:space="0" w:color="000000"/>
            </w:tcBorders>
          </w:tcPr>
          <w:p w14:paraId="46467612" w14:textId="77777777" w:rsidR="00C118E2" w:rsidRPr="003A5C41" w:rsidRDefault="00C118E2">
            <w:pPr>
              <w:rPr>
                <w:szCs w:val="22"/>
              </w:rPr>
            </w:pPr>
          </w:p>
        </w:tc>
      </w:tr>
      <w:tr w:rsidR="00C118E2" w:rsidRPr="003A5C41" w14:paraId="2D05B9B1" w14:textId="77777777" w:rsidTr="00D6163D">
        <w:trPr>
          <w:trHeight w:hRule="exact" w:val="540"/>
        </w:trPr>
        <w:tc>
          <w:tcPr>
            <w:tcW w:w="2268" w:type="dxa"/>
            <w:tcBorders>
              <w:top w:val="single" w:sz="4" w:space="0" w:color="000000"/>
              <w:left w:val="single" w:sz="4" w:space="0" w:color="000000"/>
              <w:bottom w:val="single" w:sz="4" w:space="0" w:color="000000"/>
              <w:right w:val="single" w:sz="4" w:space="0" w:color="000000"/>
            </w:tcBorders>
          </w:tcPr>
          <w:p w14:paraId="7A9DE10C" w14:textId="77777777" w:rsidR="00C118E2" w:rsidRPr="003A5C41" w:rsidRDefault="00C118E2">
            <w:pPr>
              <w:pStyle w:val="TableParagraph"/>
              <w:kinsoku w:val="0"/>
              <w:overflowPunct w:val="0"/>
              <w:ind w:right="387"/>
              <w:rPr>
                <w:sz w:val="22"/>
                <w:szCs w:val="22"/>
                <w:lang w:val="sk-SK"/>
              </w:rPr>
            </w:pPr>
            <w:r w:rsidRPr="003A5C41">
              <w:rPr>
                <w:b/>
                <w:bCs/>
                <w:sz w:val="22"/>
                <w:szCs w:val="22"/>
                <w:lang w:val="sk-SK"/>
              </w:rPr>
              <w:t>Poruchy obličiek a močových ciest</w:t>
            </w:r>
          </w:p>
        </w:tc>
        <w:tc>
          <w:tcPr>
            <w:tcW w:w="3262" w:type="dxa"/>
            <w:tcBorders>
              <w:top w:val="single" w:sz="4" w:space="0" w:color="000000"/>
              <w:left w:val="single" w:sz="4" w:space="0" w:color="000000"/>
              <w:bottom w:val="single" w:sz="4" w:space="0" w:color="000000"/>
              <w:right w:val="single" w:sz="4" w:space="0" w:color="000000"/>
            </w:tcBorders>
          </w:tcPr>
          <w:p w14:paraId="15CF7389" w14:textId="77777777" w:rsidR="00C118E2" w:rsidRPr="003A5C41" w:rsidRDefault="00C118E2">
            <w:pPr>
              <w:rPr>
                <w:szCs w:val="22"/>
              </w:rPr>
            </w:pPr>
          </w:p>
        </w:tc>
        <w:tc>
          <w:tcPr>
            <w:tcW w:w="3967" w:type="dxa"/>
            <w:tcBorders>
              <w:top w:val="single" w:sz="4" w:space="0" w:color="000000"/>
              <w:left w:val="single" w:sz="4" w:space="0" w:color="000000"/>
              <w:bottom w:val="single" w:sz="4" w:space="0" w:color="000000"/>
              <w:right w:val="single" w:sz="4" w:space="0" w:color="000000"/>
            </w:tcBorders>
          </w:tcPr>
          <w:p w14:paraId="52901115" w14:textId="77777777" w:rsidR="00C118E2" w:rsidRPr="008F3B3C" w:rsidRDefault="00C118E2" w:rsidP="00D6163D">
            <w:pPr>
              <w:pStyle w:val="TableParagraph"/>
              <w:kinsoku w:val="0"/>
              <w:overflowPunct w:val="0"/>
              <w:spacing w:line="245" w:lineRule="exact"/>
              <w:rPr>
                <w:sz w:val="22"/>
                <w:szCs w:val="22"/>
                <w:lang w:val="sk-SK"/>
              </w:rPr>
            </w:pPr>
            <w:r w:rsidRPr="008F3B3C">
              <w:rPr>
                <w:sz w:val="22"/>
                <w:szCs w:val="22"/>
                <w:u w:val="single" w:color="000000"/>
                <w:lang w:val="sk-SK"/>
              </w:rPr>
              <w:t>Menej časté</w:t>
            </w:r>
          </w:p>
          <w:p w14:paraId="7BEC22F3" w14:textId="77777777" w:rsidR="00C118E2" w:rsidRPr="003A5C41" w:rsidRDefault="00C118E2" w:rsidP="00D6163D">
            <w:pPr>
              <w:pStyle w:val="TableParagraph"/>
              <w:kinsoku w:val="0"/>
              <w:overflowPunct w:val="0"/>
              <w:spacing w:line="280" w:lineRule="exact"/>
              <w:rPr>
                <w:sz w:val="22"/>
                <w:szCs w:val="22"/>
                <w:lang w:val="sk-SK"/>
              </w:rPr>
            </w:pPr>
            <w:r w:rsidRPr="008F3B3C">
              <w:rPr>
                <w:sz w:val="22"/>
                <w:szCs w:val="22"/>
                <w:lang w:val="sk-SK"/>
              </w:rPr>
              <w:t>Renálne zlyhanie</w:t>
            </w:r>
            <w:r w:rsidR="008F3B3C" w:rsidRPr="00D6163D">
              <w:rPr>
                <w:position w:val="9"/>
                <w:sz w:val="16"/>
                <w:lang w:val="sk-SK"/>
              </w:rPr>
              <w:t>◊</w:t>
            </w:r>
          </w:p>
        </w:tc>
      </w:tr>
      <w:tr w:rsidR="00C118E2" w:rsidRPr="003A5C41" w14:paraId="65A86062" w14:textId="77777777" w:rsidTr="00D6163D">
        <w:trPr>
          <w:trHeight w:hRule="exact" w:val="781"/>
        </w:trPr>
        <w:tc>
          <w:tcPr>
            <w:tcW w:w="2268" w:type="dxa"/>
            <w:tcBorders>
              <w:top w:val="single" w:sz="4" w:space="0" w:color="000000"/>
              <w:left w:val="single" w:sz="4" w:space="0" w:color="000000"/>
              <w:bottom w:val="none" w:sz="6" w:space="0" w:color="auto"/>
              <w:right w:val="single" w:sz="4" w:space="0" w:color="000000"/>
            </w:tcBorders>
          </w:tcPr>
          <w:p w14:paraId="4FB1870D" w14:textId="77777777" w:rsidR="00C118E2" w:rsidRPr="003A5C41" w:rsidRDefault="00C118E2">
            <w:pPr>
              <w:pStyle w:val="TableParagraph"/>
              <w:kinsoku w:val="0"/>
              <w:overflowPunct w:val="0"/>
              <w:ind w:right="375"/>
              <w:rPr>
                <w:sz w:val="22"/>
                <w:szCs w:val="22"/>
                <w:lang w:val="sk-SK"/>
              </w:rPr>
            </w:pPr>
            <w:r w:rsidRPr="003A5C41">
              <w:rPr>
                <w:b/>
                <w:bCs/>
                <w:sz w:val="22"/>
                <w:szCs w:val="22"/>
                <w:lang w:val="sk-SK"/>
              </w:rPr>
              <w:t>Celkové poruchy a reakcie v mieste podania</w:t>
            </w:r>
          </w:p>
        </w:tc>
        <w:tc>
          <w:tcPr>
            <w:tcW w:w="3262" w:type="dxa"/>
            <w:tcBorders>
              <w:top w:val="single" w:sz="4" w:space="0" w:color="000000"/>
              <w:left w:val="single" w:sz="4" w:space="0" w:color="000000"/>
              <w:bottom w:val="none" w:sz="6" w:space="0" w:color="auto"/>
              <w:right w:val="single" w:sz="4" w:space="0" w:color="000000"/>
            </w:tcBorders>
          </w:tcPr>
          <w:p w14:paraId="6896F010" w14:textId="77777777" w:rsidR="00C118E2" w:rsidRPr="008F3B3C" w:rsidRDefault="00C118E2" w:rsidP="00D6163D">
            <w:pPr>
              <w:pStyle w:val="TableParagraph"/>
              <w:kinsoku w:val="0"/>
              <w:overflowPunct w:val="0"/>
              <w:spacing w:line="244" w:lineRule="exact"/>
              <w:rPr>
                <w:sz w:val="22"/>
                <w:szCs w:val="22"/>
                <w:lang w:val="sk-SK"/>
              </w:rPr>
            </w:pPr>
            <w:r w:rsidRPr="008F3B3C">
              <w:rPr>
                <w:sz w:val="22"/>
                <w:szCs w:val="22"/>
                <w:u w:val="single" w:color="000000"/>
                <w:lang w:val="sk-SK"/>
              </w:rPr>
              <w:t>Veľmi časté</w:t>
            </w:r>
          </w:p>
          <w:p w14:paraId="018476B3" w14:textId="3C372200" w:rsidR="00C118E2" w:rsidRPr="008F3B3C" w:rsidRDefault="005B7936" w:rsidP="00D6163D">
            <w:pPr>
              <w:pStyle w:val="TableParagraph"/>
              <w:kinsoku w:val="0"/>
              <w:overflowPunct w:val="0"/>
              <w:spacing w:line="244" w:lineRule="auto"/>
              <w:ind w:right="232"/>
              <w:rPr>
                <w:sz w:val="22"/>
                <w:szCs w:val="22"/>
                <w:lang w:val="sk-SK"/>
              </w:rPr>
            </w:pPr>
            <w:r w:rsidRPr="005B7936">
              <w:rPr>
                <w:sz w:val="22"/>
                <w:szCs w:val="22"/>
                <w:lang w:val="sk-SK" w:eastAsia="sk-SK"/>
              </w:rPr>
              <w:t>Únava</w:t>
            </w:r>
            <w:r w:rsidR="00C118E2" w:rsidRPr="008F3B3C">
              <w:rPr>
                <w:sz w:val="22"/>
                <w:szCs w:val="22"/>
                <w:lang w:val="sk-SK"/>
              </w:rPr>
              <w:t>, asténia</w:t>
            </w:r>
            <w:r w:rsidR="008F3B3C" w:rsidRPr="00D6163D">
              <w:rPr>
                <w:position w:val="9"/>
                <w:sz w:val="16"/>
                <w:lang w:val="sk-SK"/>
              </w:rPr>
              <w:t>◊</w:t>
            </w:r>
            <w:r w:rsidR="00C118E2" w:rsidRPr="008F3B3C">
              <w:rPr>
                <w:sz w:val="22"/>
                <w:szCs w:val="22"/>
                <w:lang w:val="sk-SK"/>
              </w:rPr>
              <w:t>, periférny edém, syndróm podobný chrípke</w:t>
            </w:r>
          </w:p>
        </w:tc>
        <w:tc>
          <w:tcPr>
            <w:tcW w:w="3967" w:type="dxa"/>
            <w:tcBorders>
              <w:top w:val="single" w:sz="4" w:space="0" w:color="000000"/>
              <w:left w:val="single" w:sz="4" w:space="0" w:color="000000"/>
              <w:bottom w:val="none" w:sz="6" w:space="0" w:color="auto"/>
              <w:right w:val="single" w:sz="4" w:space="0" w:color="000000"/>
            </w:tcBorders>
          </w:tcPr>
          <w:p w14:paraId="51CA5F2F" w14:textId="77777777" w:rsidR="00C118E2" w:rsidRPr="008F3B3C" w:rsidRDefault="00C118E2" w:rsidP="00D6163D">
            <w:pPr>
              <w:pStyle w:val="TableParagraph"/>
              <w:kinsoku w:val="0"/>
              <w:overflowPunct w:val="0"/>
              <w:spacing w:line="244" w:lineRule="exact"/>
              <w:rPr>
                <w:sz w:val="22"/>
                <w:szCs w:val="22"/>
                <w:lang w:val="sk-SK"/>
              </w:rPr>
            </w:pPr>
            <w:r w:rsidRPr="008F3B3C">
              <w:rPr>
                <w:sz w:val="22"/>
                <w:szCs w:val="22"/>
                <w:u w:val="single" w:color="000000"/>
                <w:lang w:val="sk-SK"/>
              </w:rPr>
              <w:t>Časté</w:t>
            </w:r>
          </w:p>
          <w:p w14:paraId="5BB263B8" w14:textId="2A203FAE" w:rsidR="00C118E2" w:rsidRPr="008F3B3C" w:rsidRDefault="00C118E2" w:rsidP="00D6163D">
            <w:pPr>
              <w:pStyle w:val="TableParagraph"/>
              <w:kinsoku w:val="0"/>
              <w:overflowPunct w:val="0"/>
              <w:spacing w:line="279" w:lineRule="exact"/>
              <w:rPr>
                <w:sz w:val="22"/>
                <w:szCs w:val="22"/>
                <w:lang w:val="sk-SK"/>
              </w:rPr>
            </w:pPr>
            <w:r w:rsidRPr="008F3B3C">
              <w:rPr>
                <w:sz w:val="22"/>
                <w:szCs w:val="22"/>
                <w:lang w:val="sk-SK"/>
              </w:rPr>
              <w:t>Horúčka</w:t>
            </w:r>
            <w:r w:rsidR="008F3B3C" w:rsidRPr="00D6163D">
              <w:rPr>
                <w:position w:val="9"/>
                <w:sz w:val="16"/>
                <w:lang w:val="sk-SK"/>
              </w:rPr>
              <w:t>◊</w:t>
            </w:r>
            <w:r w:rsidRPr="008F3B3C">
              <w:rPr>
                <w:sz w:val="22"/>
                <w:szCs w:val="22"/>
                <w:lang w:val="sk-SK"/>
              </w:rPr>
              <w:t>, asténia</w:t>
            </w:r>
            <w:r w:rsidR="008F3B3C" w:rsidRPr="00D6163D">
              <w:rPr>
                <w:position w:val="9"/>
                <w:sz w:val="16"/>
                <w:lang w:val="sk-SK"/>
              </w:rPr>
              <w:t>◊</w:t>
            </w:r>
            <w:r w:rsidRPr="008F3B3C">
              <w:rPr>
                <w:sz w:val="22"/>
                <w:szCs w:val="22"/>
                <w:lang w:val="sk-SK"/>
              </w:rPr>
              <w:t xml:space="preserve">, </w:t>
            </w:r>
            <w:r w:rsidR="005B7936" w:rsidRPr="005B7936">
              <w:rPr>
                <w:sz w:val="22"/>
                <w:szCs w:val="22"/>
                <w:lang w:val="sk-SK"/>
              </w:rPr>
              <w:t>únava</w:t>
            </w:r>
          </w:p>
        </w:tc>
      </w:tr>
      <w:tr w:rsidR="00C118E2" w:rsidRPr="003A5C41" w14:paraId="70A41555" w14:textId="77777777" w:rsidTr="00C118E2">
        <w:trPr>
          <w:trHeight w:hRule="exact" w:val="422"/>
        </w:trPr>
        <w:tc>
          <w:tcPr>
            <w:tcW w:w="2268" w:type="dxa"/>
            <w:tcBorders>
              <w:top w:val="none" w:sz="6" w:space="0" w:color="auto"/>
              <w:left w:val="single" w:sz="4" w:space="0" w:color="000000"/>
              <w:bottom w:val="none" w:sz="6" w:space="0" w:color="auto"/>
              <w:right w:val="single" w:sz="4" w:space="0" w:color="000000"/>
            </w:tcBorders>
          </w:tcPr>
          <w:p w14:paraId="078687F1" w14:textId="77777777" w:rsidR="00C118E2" w:rsidRPr="003A5C41" w:rsidRDefault="00C118E2">
            <w:pPr>
              <w:rPr>
                <w:szCs w:val="22"/>
              </w:rPr>
            </w:pPr>
          </w:p>
        </w:tc>
        <w:tc>
          <w:tcPr>
            <w:tcW w:w="3262" w:type="dxa"/>
            <w:tcBorders>
              <w:top w:val="none" w:sz="6" w:space="0" w:color="auto"/>
              <w:left w:val="single" w:sz="4" w:space="0" w:color="000000"/>
              <w:bottom w:val="none" w:sz="6" w:space="0" w:color="auto"/>
              <w:right w:val="single" w:sz="4" w:space="0" w:color="000000"/>
            </w:tcBorders>
          </w:tcPr>
          <w:p w14:paraId="4F19D116" w14:textId="77777777" w:rsidR="00C118E2" w:rsidRPr="008F3B3C" w:rsidRDefault="00C118E2" w:rsidP="00D6163D">
            <w:pPr>
              <w:pStyle w:val="TableParagraph"/>
              <w:kinsoku w:val="0"/>
              <w:overflowPunct w:val="0"/>
              <w:spacing w:line="278" w:lineRule="exact"/>
              <w:rPr>
                <w:sz w:val="22"/>
                <w:szCs w:val="22"/>
                <w:lang w:val="sk-SK"/>
              </w:rPr>
            </w:pPr>
            <w:r w:rsidRPr="008F3B3C">
              <w:rPr>
                <w:sz w:val="22"/>
                <w:szCs w:val="22"/>
                <w:lang w:val="sk-SK"/>
              </w:rPr>
              <w:t>(vrátane horúčky</w:t>
            </w:r>
            <w:r w:rsidR="008F3B3C" w:rsidRPr="00D6163D">
              <w:rPr>
                <w:position w:val="9"/>
                <w:sz w:val="16"/>
                <w:lang w:val="sk-SK"/>
              </w:rPr>
              <w:t>◊</w:t>
            </w:r>
            <w:r w:rsidRPr="008F3B3C">
              <w:rPr>
                <w:sz w:val="22"/>
                <w:szCs w:val="22"/>
                <w:lang w:val="sk-SK"/>
              </w:rPr>
              <w:t>, kašľa)</w:t>
            </w:r>
          </w:p>
        </w:tc>
        <w:tc>
          <w:tcPr>
            <w:tcW w:w="3967" w:type="dxa"/>
            <w:tcBorders>
              <w:top w:val="none" w:sz="6" w:space="0" w:color="auto"/>
              <w:left w:val="single" w:sz="4" w:space="0" w:color="000000"/>
              <w:bottom w:val="none" w:sz="6" w:space="0" w:color="auto"/>
              <w:right w:val="single" w:sz="4" w:space="0" w:color="000000"/>
            </w:tcBorders>
          </w:tcPr>
          <w:p w14:paraId="2C771D19" w14:textId="77777777" w:rsidR="00C118E2" w:rsidRPr="008F3B3C" w:rsidRDefault="00C118E2" w:rsidP="008F3B3C">
            <w:pPr>
              <w:rPr>
                <w:szCs w:val="22"/>
              </w:rPr>
            </w:pPr>
          </w:p>
        </w:tc>
      </w:tr>
      <w:tr w:rsidR="00C118E2" w:rsidRPr="003A5C41" w14:paraId="76797228" w14:textId="77777777" w:rsidTr="00C118E2">
        <w:trPr>
          <w:trHeight w:hRule="exact" w:val="392"/>
        </w:trPr>
        <w:tc>
          <w:tcPr>
            <w:tcW w:w="2268" w:type="dxa"/>
            <w:tcBorders>
              <w:top w:val="none" w:sz="6" w:space="0" w:color="auto"/>
              <w:left w:val="single" w:sz="4" w:space="0" w:color="000000"/>
              <w:bottom w:val="none" w:sz="6" w:space="0" w:color="auto"/>
              <w:right w:val="single" w:sz="4" w:space="0" w:color="000000"/>
            </w:tcBorders>
          </w:tcPr>
          <w:p w14:paraId="61D34222" w14:textId="77777777" w:rsidR="00C118E2" w:rsidRPr="003A5C41" w:rsidRDefault="00C118E2"/>
        </w:tc>
        <w:tc>
          <w:tcPr>
            <w:tcW w:w="3262" w:type="dxa"/>
            <w:tcBorders>
              <w:top w:val="none" w:sz="6" w:space="0" w:color="auto"/>
              <w:left w:val="single" w:sz="4" w:space="0" w:color="000000"/>
              <w:bottom w:val="none" w:sz="6" w:space="0" w:color="auto"/>
              <w:right w:val="single" w:sz="4" w:space="0" w:color="000000"/>
            </w:tcBorders>
          </w:tcPr>
          <w:p w14:paraId="009CEDB1" w14:textId="77777777" w:rsidR="00C118E2" w:rsidRPr="008F3B3C" w:rsidRDefault="00C118E2" w:rsidP="008F3B3C">
            <w:pPr>
              <w:pStyle w:val="TableParagraph"/>
              <w:kinsoku w:val="0"/>
              <w:overflowPunct w:val="0"/>
              <w:spacing w:before="135"/>
              <w:rPr>
                <w:sz w:val="22"/>
                <w:szCs w:val="22"/>
                <w:lang w:val="sk-SK"/>
              </w:rPr>
            </w:pPr>
            <w:r w:rsidRPr="008F3B3C">
              <w:rPr>
                <w:sz w:val="22"/>
                <w:szCs w:val="22"/>
                <w:u w:val="single" w:color="000000"/>
                <w:lang w:val="sk-SK"/>
              </w:rPr>
              <w:t>Časté</w:t>
            </w:r>
          </w:p>
        </w:tc>
        <w:tc>
          <w:tcPr>
            <w:tcW w:w="3967" w:type="dxa"/>
            <w:tcBorders>
              <w:top w:val="none" w:sz="6" w:space="0" w:color="auto"/>
              <w:left w:val="single" w:sz="4" w:space="0" w:color="000000"/>
              <w:bottom w:val="none" w:sz="6" w:space="0" w:color="auto"/>
              <w:right w:val="single" w:sz="4" w:space="0" w:color="000000"/>
            </w:tcBorders>
          </w:tcPr>
          <w:p w14:paraId="1F5762E3" w14:textId="77777777" w:rsidR="00C118E2" w:rsidRPr="008F3B3C" w:rsidRDefault="00C118E2" w:rsidP="008F3B3C">
            <w:pPr>
              <w:rPr>
                <w:szCs w:val="22"/>
              </w:rPr>
            </w:pPr>
          </w:p>
        </w:tc>
      </w:tr>
      <w:tr w:rsidR="00C118E2" w:rsidRPr="003A5C41" w14:paraId="0B873832" w14:textId="77777777" w:rsidTr="00C118E2">
        <w:trPr>
          <w:trHeight w:hRule="exact" w:val="256"/>
        </w:trPr>
        <w:tc>
          <w:tcPr>
            <w:tcW w:w="2268" w:type="dxa"/>
            <w:tcBorders>
              <w:top w:val="none" w:sz="6" w:space="0" w:color="auto"/>
              <w:left w:val="single" w:sz="4" w:space="0" w:color="000000"/>
              <w:bottom w:val="single" w:sz="4" w:space="0" w:color="000000"/>
              <w:right w:val="single" w:sz="4" w:space="0" w:color="000000"/>
            </w:tcBorders>
          </w:tcPr>
          <w:p w14:paraId="2C1D701E" w14:textId="77777777" w:rsidR="00C118E2" w:rsidRPr="003A5C41" w:rsidRDefault="00C118E2"/>
        </w:tc>
        <w:tc>
          <w:tcPr>
            <w:tcW w:w="3262" w:type="dxa"/>
            <w:tcBorders>
              <w:top w:val="none" w:sz="6" w:space="0" w:color="auto"/>
              <w:left w:val="single" w:sz="4" w:space="0" w:color="000000"/>
              <w:bottom w:val="single" w:sz="4" w:space="0" w:color="000000"/>
              <w:right w:val="single" w:sz="4" w:space="0" w:color="000000"/>
            </w:tcBorders>
          </w:tcPr>
          <w:p w14:paraId="0062E946" w14:textId="77777777" w:rsidR="00C118E2" w:rsidRPr="00D6163D" w:rsidRDefault="00C118E2" w:rsidP="00D6163D">
            <w:pPr>
              <w:pStyle w:val="TableParagraph"/>
              <w:kinsoku w:val="0"/>
              <w:overflowPunct w:val="0"/>
              <w:spacing w:line="248" w:lineRule="exact"/>
              <w:rPr>
                <w:lang w:val="sk-SK"/>
              </w:rPr>
            </w:pPr>
            <w:r w:rsidRPr="008F3B3C">
              <w:rPr>
                <w:sz w:val="22"/>
                <w:szCs w:val="22"/>
                <w:lang w:val="sk-SK"/>
              </w:rPr>
              <w:t>Zimnica</w:t>
            </w:r>
          </w:p>
        </w:tc>
        <w:tc>
          <w:tcPr>
            <w:tcW w:w="3967" w:type="dxa"/>
            <w:tcBorders>
              <w:top w:val="none" w:sz="6" w:space="0" w:color="auto"/>
              <w:left w:val="single" w:sz="4" w:space="0" w:color="000000"/>
              <w:bottom w:val="single" w:sz="4" w:space="0" w:color="000000"/>
              <w:right w:val="single" w:sz="4" w:space="0" w:color="000000"/>
            </w:tcBorders>
          </w:tcPr>
          <w:p w14:paraId="6D9BC2A5" w14:textId="77777777" w:rsidR="00C118E2" w:rsidRPr="008F3B3C" w:rsidRDefault="00C118E2" w:rsidP="008F3B3C">
            <w:pPr>
              <w:rPr>
                <w:szCs w:val="22"/>
              </w:rPr>
            </w:pPr>
          </w:p>
        </w:tc>
      </w:tr>
    </w:tbl>
    <w:p w14:paraId="5D838897" w14:textId="77777777" w:rsidR="00327300" w:rsidRPr="00741D52" w:rsidRDefault="00327300" w:rsidP="00327300">
      <w:pPr>
        <w:autoSpaceDE w:val="0"/>
        <w:autoSpaceDN w:val="0"/>
        <w:adjustRightInd w:val="0"/>
        <w:ind w:left="0" w:firstLine="0"/>
        <w:rPr>
          <w:rFonts w:eastAsia="TimesNewRomanPSMT"/>
          <w:sz w:val="18"/>
          <w:szCs w:val="18"/>
          <w:lang w:eastAsia="en-US"/>
        </w:rPr>
      </w:pPr>
      <w:r w:rsidRPr="00741D52">
        <w:rPr>
          <w:rFonts w:eastAsia="TimesNewRomanPSMT"/>
          <w:sz w:val="18"/>
          <w:szCs w:val="18"/>
          <w:lang w:eastAsia="en-US"/>
        </w:rPr>
        <w:t>^ Pozri časť 4.8. Popis vybraných nežiaducich reakcií.</w:t>
      </w:r>
    </w:p>
    <w:p w14:paraId="1A1BEC10" w14:textId="77777777" w:rsidR="00327300" w:rsidRPr="00741D52" w:rsidRDefault="00327300" w:rsidP="00327300">
      <w:pPr>
        <w:autoSpaceDE w:val="0"/>
        <w:autoSpaceDN w:val="0"/>
        <w:adjustRightInd w:val="0"/>
        <w:ind w:left="0" w:firstLine="0"/>
        <w:rPr>
          <w:rFonts w:eastAsia="TimesNewRomanPSMT"/>
          <w:sz w:val="18"/>
          <w:szCs w:val="18"/>
          <w:lang w:eastAsia="en-US"/>
        </w:rPr>
      </w:pPr>
      <w:r w:rsidRPr="00741D52">
        <w:rPr>
          <w:rFonts w:eastAsia="TimesNewRomanPSMT"/>
          <w:sz w:val="18"/>
          <w:szCs w:val="18"/>
          <w:vertAlign w:val="superscript"/>
          <w:lang w:eastAsia="en-US"/>
        </w:rPr>
        <w:t xml:space="preserve">◊ </w:t>
      </w:r>
      <w:r w:rsidRPr="00741D52">
        <w:rPr>
          <w:rFonts w:eastAsia="TimesNewRomanPSMT"/>
          <w:sz w:val="18"/>
          <w:szCs w:val="18"/>
          <w:lang w:eastAsia="en-US"/>
        </w:rPr>
        <w:t>Nežiaduce udalosti hlásené ako závažné v klinických štúdiách s lymfómom z plášťových buniek. Algoritmus aplikovaný pre lymfóm z plášťových buniek:</w:t>
      </w:r>
    </w:p>
    <w:p w14:paraId="3C3BE82C" w14:textId="77777777" w:rsidR="00327300" w:rsidRPr="00741D52" w:rsidRDefault="00327300" w:rsidP="00327300">
      <w:pPr>
        <w:autoSpaceDE w:val="0"/>
        <w:autoSpaceDN w:val="0"/>
        <w:adjustRightInd w:val="0"/>
        <w:ind w:left="0" w:firstLine="426"/>
        <w:rPr>
          <w:rFonts w:eastAsia="TimesNewRomanPSMT"/>
          <w:sz w:val="18"/>
          <w:szCs w:val="18"/>
          <w:lang w:eastAsia="en-US"/>
        </w:rPr>
      </w:pPr>
      <w:r w:rsidRPr="00741D52">
        <w:rPr>
          <w:rFonts w:eastAsia="SymbolMT"/>
          <w:sz w:val="18"/>
          <w:szCs w:val="18"/>
          <w:lang w:eastAsia="en-US"/>
        </w:rPr>
        <w:t xml:space="preserve">• </w:t>
      </w:r>
      <w:r w:rsidRPr="00741D52">
        <w:rPr>
          <w:rFonts w:eastAsia="TimesNewRomanPSMT"/>
          <w:sz w:val="18"/>
          <w:szCs w:val="18"/>
          <w:lang w:eastAsia="en-US"/>
        </w:rPr>
        <w:t>Kontrolovaná štúdia fázy II s lymfómom z plášťových buniek</w:t>
      </w:r>
    </w:p>
    <w:p w14:paraId="6146A8F6" w14:textId="1F1F0E87" w:rsidR="00327300" w:rsidRPr="00741D52" w:rsidRDefault="00327300" w:rsidP="00105B97">
      <w:pPr>
        <w:numPr>
          <w:ilvl w:val="0"/>
          <w:numId w:val="21"/>
        </w:numPr>
        <w:autoSpaceDE w:val="0"/>
        <w:autoSpaceDN w:val="0"/>
        <w:adjustRightInd w:val="0"/>
        <w:rPr>
          <w:rFonts w:eastAsia="TimesNewRomanPSMT"/>
          <w:sz w:val="18"/>
          <w:szCs w:val="18"/>
          <w:lang w:eastAsia="en-US"/>
        </w:rPr>
      </w:pPr>
      <w:r w:rsidRPr="00741D52">
        <w:rPr>
          <w:rFonts w:eastAsia="TimesNewRomanPSMT"/>
          <w:sz w:val="18"/>
          <w:szCs w:val="18"/>
          <w:lang w:eastAsia="en-US"/>
        </w:rPr>
        <w:t xml:space="preserve">Všetky nežiaduce účinky </w:t>
      </w:r>
      <w:r w:rsidR="00105B97">
        <w:rPr>
          <w:rFonts w:eastAsia="TimesNewRomanPSMT"/>
          <w:sz w:val="18"/>
          <w:szCs w:val="18"/>
          <w:lang w:eastAsia="en-US"/>
        </w:rPr>
        <w:t>súvisiace s liečbou</w:t>
      </w:r>
      <w:r w:rsidRPr="00741D52">
        <w:rPr>
          <w:rFonts w:eastAsia="TimesNewRomanPSMT"/>
          <w:sz w:val="18"/>
          <w:szCs w:val="18"/>
          <w:lang w:eastAsia="en-US"/>
        </w:rPr>
        <w:t xml:space="preserve"> u ≥ 5% osôb v </w:t>
      </w:r>
      <w:r w:rsidR="00DD1E44">
        <w:rPr>
          <w:rFonts w:eastAsia="TimesNewRomanPSMT"/>
          <w:sz w:val="18"/>
          <w:szCs w:val="18"/>
          <w:lang w:eastAsia="en-US"/>
        </w:rPr>
        <w:t>skupine</w:t>
      </w:r>
      <w:r w:rsidRPr="00741D52">
        <w:rPr>
          <w:rFonts w:eastAsia="TimesNewRomanPSMT"/>
          <w:sz w:val="18"/>
          <w:szCs w:val="18"/>
          <w:lang w:eastAsia="en-US"/>
        </w:rPr>
        <w:t xml:space="preserve"> s lenalidomidom a minimálne 2% rozdielom v pomere medzi </w:t>
      </w:r>
      <w:r w:rsidR="00DD1E44">
        <w:rPr>
          <w:rFonts w:eastAsia="TimesNewRomanPSMT"/>
          <w:sz w:val="18"/>
          <w:szCs w:val="18"/>
          <w:lang w:eastAsia="en-US"/>
        </w:rPr>
        <w:t>skupinou</w:t>
      </w:r>
      <w:r w:rsidRPr="00741D52">
        <w:rPr>
          <w:rFonts w:eastAsia="TimesNewRomanPSMT"/>
          <w:sz w:val="18"/>
          <w:szCs w:val="18"/>
          <w:lang w:eastAsia="en-US"/>
        </w:rPr>
        <w:t xml:space="preserve"> s lenalidomidom a kontrolnou skupinou</w:t>
      </w:r>
    </w:p>
    <w:p w14:paraId="6ECCE26C" w14:textId="6CC080E4" w:rsidR="00327300" w:rsidRPr="00741D52" w:rsidRDefault="00327300" w:rsidP="00105B97">
      <w:pPr>
        <w:numPr>
          <w:ilvl w:val="0"/>
          <w:numId w:val="21"/>
        </w:numPr>
        <w:autoSpaceDE w:val="0"/>
        <w:autoSpaceDN w:val="0"/>
        <w:adjustRightInd w:val="0"/>
        <w:rPr>
          <w:rFonts w:eastAsia="TimesNewRomanPSMT"/>
          <w:sz w:val="18"/>
          <w:szCs w:val="18"/>
          <w:lang w:eastAsia="en-US"/>
        </w:rPr>
      </w:pPr>
      <w:r w:rsidRPr="00741D52">
        <w:rPr>
          <w:rFonts w:eastAsia="TimesNewRomanPSMT"/>
          <w:sz w:val="18"/>
          <w:szCs w:val="18"/>
          <w:lang w:eastAsia="en-US"/>
        </w:rPr>
        <w:t xml:space="preserve">Všetky nežiaduce účinky 3. alebo 4. stupňa </w:t>
      </w:r>
      <w:r w:rsidR="00105B97">
        <w:rPr>
          <w:rFonts w:eastAsia="TimesNewRomanPSMT"/>
          <w:sz w:val="18"/>
          <w:szCs w:val="18"/>
          <w:lang w:eastAsia="en-US"/>
        </w:rPr>
        <w:t>súvisiace s liečbou</w:t>
      </w:r>
      <w:r w:rsidRPr="00741D52">
        <w:rPr>
          <w:rFonts w:eastAsia="TimesNewRomanPSMT"/>
          <w:sz w:val="18"/>
          <w:szCs w:val="18"/>
          <w:lang w:eastAsia="en-US"/>
        </w:rPr>
        <w:t xml:space="preserve"> u ≥ 1% osôb v </w:t>
      </w:r>
      <w:r w:rsidR="00DD1E44">
        <w:rPr>
          <w:rFonts w:eastAsia="TimesNewRomanPSMT"/>
          <w:sz w:val="18"/>
          <w:szCs w:val="18"/>
          <w:lang w:eastAsia="en-US"/>
        </w:rPr>
        <w:t>skupine</w:t>
      </w:r>
      <w:r w:rsidRPr="00741D52">
        <w:rPr>
          <w:rFonts w:eastAsia="TimesNewRomanPSMT"/>
          <w:sz w:val="18"/>
          <w:szCs w:val="18"/>
          <w:lang w:eastAsia="en-US"/>
        </w:rPr>
        <w:t xml:space="preserve"> s lenalidomidom a s minimálne 1,0% rozdielom v pomere medzi </w:t>
      </w:r>
      <w:r w:rsidR="00DD1E44">
        <w:rPr>
          <w:rFonts w:eastAsia="TimesNewRomanPSMT"/>
          <w:sz w:val="18"/>
          <w:szCs w:val="18"/>
          <w:lang w:eastAsia="en-US"/>
        </w:rPr>
        <w:t>skupinou</w:t>
      </w:r>
      <w:r w:rsidRPr="00741D52">
        <w:rPr>
          <w:rFonts w:eastAsia="TimesNewRomanPSMT"/>
          <w:sz w:val="18"/>
          <w:szCs w:val="18"/>
          <w:lang w:eastAsia="en-US"/>
        </w:rPr>
        <w:t xml:space="preserve"> s lenalidomidom a kontrolnou skupinou</w:t>
      </w:r>
    </w:p>
    <w:p w14:paraId="45172925" w14:textId="5F6971DC" w:rsidR="00327300" w:rsidRPr="00741D52" w:rsidRDefault="00327300" w:rsidP="00105B97">
      <w:pPr>
        <w:numPr>
          <w:ilvl w:val="0"/>
          <w:numId w:val="21"/>
        </w:numPr>
        <w:autoSpaceDE w:val="0"/>
        <w:autoSpaceDN w:val="0"/>
        <w:adjustRightInd w:val="0"/>
        <w:rPr>
          <w:rFonts w:eastAsia="TimesNewRomanPSMT"/>
          <w:sz w:val="18"/>
          <w:szCs w:val="18"/>
          <w:lang w:eastAsia="en-US"/>
        </w:rPr>
      </w:pPr>
      <w:r w:rsidRPr="00741D52">
        <w:rPr>
          <w:rFonts w:eastAsia="TimesNewRomanPSMT"/>
          <w:sz w:val="18"/>
          <w:szCs w:val="18"/>
          <w:lang w:eastAsia="en-US"/>
        </w:rPr>
        <w:t xml:space="preserve">Všetky závažné nežiaduce účinky </w:t>
      </w:r>
      <w:r w:rsidR="00105B97">
        <w:rPr>
          <w:rFonts w:eastAsia="TimesNewRomanPSMT"/>
          <w:sz w:val="18"/>
          <w:szCs w:val="18"/>
          <w:lang w:eastAsia="en-US"/>
        </w:rPr>
        <w:t>súvisiace s liečbou</w:t>
      </w:r>
      <w:r w:rsidRPr="00741D52">
        <w:rPr>
          <w:rFonts w:eastAsia="TimesNewRomanPSMT"/>
          <w:sz w:val="18"/>
          <w:szCs w:val="18"/>
          <w:lang w:eastAsia="en-US"/>
        </w:rPr>
        <w:t xml:space="preserve"> u ≥ 1% osôb v </w:t>
      </w:r>
      <w:r w:rsidR="00DD1E44">
        <w:rPr>
          <w:rFonts w:eastAsia="TimesNewRomanPSMT"/>
          <w:sz w:val="18"/>
          <w:szCs w:val="18"/>
          <w:lang w:eastAsia="en-US"/>
        </w:rPr>
        <w:t>skupine</w:t>
      </w:r>
      <w:r w:rsidRPr="00741D52">
        <w:rPr>
          <w:rFonts w:eastAsia="TimesNewRomanPSMT"/>
          <w:sz w:val="18"/>
          <w:szCs w:val="18"/>
          <w:lang w:eastAsia="en-US"/>
        </w:rPr>
        <w:t xml:space="preserve"> s lenalidomidom a s minimálne 1% rozdielom v pomere medzi </w:t>
      </w:r>
      <w:r w:rsidR="00DD1E44">
        <w:rPr>
          <w:rFonts w:eastAsia="TimesNewRomanPSMT"/>
          <w:sz w:val="18"/>
          <w:szCs w:val="18"/>
          <w:lang w:eastAsia="en-US"/>
        </w:rPr>
        <w:t>skupinou</w:t>
      </w:r>
      <w:r w:rsidRPr="00741D52">
        <w:rPr>
          <w:rFonts w:eastAsia="TimesNewRomanPSMT"/>
          <w:sz w:val="18"/>
          <w:szCs w:val="18"/>
          <w:lang w:eastAsia="en-US"/>
        </w:rPr>
        <w:t xml:space="preserve"> s lenalidomidom a kontrolnou skupinou</w:t>
      </w:r>
    </w:p>
    <w:p w14:paraId="2492371A" w14:textId="6B41F071" w:rsidR="00327300" w:rsidRPr="00741D52" w:rsidRDefault="00327300" w:rsidP="00327300">
      <w:pPr>
        <w:autoSpaceDE w:val="0"/>
        <w:autoSpaceDN w:val="0"/>
        <w:adjustRightInd w:val="0"/>
        <w:ind w:left="0" w:firstLine="426"/>
        <w:rPr>
          <w:rFonts w:eastAsia="TimesNewRomanPSMT"/>
          <w:sz w:val="18"/>
          <w:szCs w:val="18"/>
          <w:lang w:eastAsia="en-US"/>
        </w:rPr>
      </w:pPr>
      <w:r w:rsidRPr="00741D52">
        <w:rPr>
          <w:rFonts w:eastAsia="SymbolMT"/>
          <w:sz w:val="18"/>
          <w:szCs w:val="18"/>
          <w:lang w:eastAsia="en-US"/>
        </w:rPr>
        <w:t xml:space="preserve">• </w:t>
      </w:r>
      <w:r w:rsidRPr="00741D52">
        <w:rPr>
          <w:rFonts w:eastAsia="TimesNewRomanPSMT"/>
          <w:sz w:val="18"/>
          <w:szCs w:val="18"/>
          <w:lang w:eastAsia="en-US"/>
        </w:rPr>
        <w:t>Štúdia fázy II s lymfómom z plášťových buniek s jedn</w:t>
      </w:r>
      <w:r w:rsidR="00105B97">
        <w:rPr>
          <w:rFonts w:eastAsia="TimesNewRomanPSMT"/>
          <w:sz w:val="18"/>
          <w:szCs w:val="18"/>
          <w:lang w:eastAsia="en-US"/>
        </w:rPr>
        <w:t>ou</w:t>
      </w:r>
      <w:r w:rsidRPr="00741D52">
        <w:rPr>
          <w:rFonts w:eastAsia="TimesNewRomanPSMT"/>
          <w:sz w:val="18"/>
          <w:szCs w:val="18"/>
          <w:lang w:eastAsia="en-US"/>
        </w:rPr>
        <w:t xml:space="preserve"> </w:t>
      </w:r>
      <w:r w:rsidR="00DD1E44">
        <w:rPr>
          <w:rFonts w:eastAsia="TimesNewRomanPSMT"/>
          <w:sz w:val="18"/>
          <w:szCs w:val="18"/>
          <w:lang w:eastAsia="en-US"/>
        </w:rPr>
        <w:t>skupinou</w:t>
      </w:r>
    </w:p>
    <w:p w14:paraId="18589EF0" w14:textId="5BB211FD" w:rsidR="00327300" w:rsidRPr="00741D52" w:rsidRDefault="00327300" w:rsidP="00105B97">
      <w:pPr>
        <w:numPr>
          <w:ilvl w:val="0"/>
          <w:numId w:val="22"/>
        </w:numPr>
        <w:autoSpaceDE w:val="0"/>
        <w:autoSpaceDN w:val="0"/>
        <w:adjustRightInd w:val="0"/>
        <w:ind w:firstLine="414"/>
        <w:rPr>
          <w:rFonts w:eastAsia="TimesNewRomanPSMT"/>
          <w:sz w:val="18"/>
          <w:szCs w:val="18"/>
          <w:lang w:eastAsia="en-US"/>
        </w:rPr>
      </w:pPr>
      <w:r w:rsidRPr="00741D52">
        <w:rPr>
          <w:rFonts w:eastAsia="TimesNewRomanPSMT"/>
          <w:sz w:val="18"/>
          <w:szCs w:val="18"/>
          <w:lang w:eastAsia="en-US"/>
        </w:rPr>
        <w:t xml:space="preserve">Všetky nežiaduce účinky </w:t>
      </w:r>
      <w:r w:rsidR="00105B97">
        <w:rPr>
          <w:rFonts w:eastAsia="TimesNewRomanPSMT"/>
          <w:sz w:val="18"/>
          <w:szCs w:val="18"/>
          <w:lang w:eastAsia="en-US"/>
        </w:rPr>
        <w:t>súvisiace s liečbou</w:t>
      </w:r>
      <w:r w:rsidRPr="00741D52">
        <w:rPr>
          <w:rFonts w:eastAsia="TimesNewRomanPSMT"/>
          <w:sz w:val="18"/>
          <w:szCs w:val="18"/>
          <w:lang w:eastAsia="en-US"/>
        </w:rPr>
        <w:t xml:space="preserve"> u ≥ 5% osôb,</w:t>
      </w:r>
    </w:p>
    <w:p w14:paraId="1AD62366" w14:textId="59690953" w:rsidR="00327300" w:rsidRPr="00741D52" w:rsidRDefault="00327300" w:rsidP="00902DE4">
      <w:pPr>
        <w:numPr>
          <w:ilvl w:val="1"/>
          <w:numId w:val="22"/>
        </w:numPr>
        <w:autoSpaceDE w:val="0"/>
        <w:autoSpaceDN w:val="0"/>
        <w:adjustRightInd w:val="0"/>
        <w:ind w:left="1418" w:hanging="284"/>
        <w:rPr>
          <w:rFonts w:eastAsia="TimesNewRomanPSMT"/>
          <w:sz w:val="18"/>
          <w:szCs w:val="18"/>
          <w:lang w:eastAsia="en-US"/>
        </w:rPr>
      </w:pPr>
      <w:r w:rsidRPr="00741D52">
        <w:rPr>
          <w:rFonts w:eastAsia="TimesNewRomanPSMT"/>
          <w:sz w:val="18"/>
          <w:szCs w:val="18"/>
          <w:lang w:eastAsia="en-US"/>
        </w:rPr>
        <w:t xml:space="preserve">Všetky nežiaduce účinky 3. alebo 4. stupňa </w:t>
      </w:r>
      <w:r w:rsidR="00105B97" w:rsidRPr="00105B97">
        <w:rPr>
          <w:rFonts w:eastAsia="TimesNewRomanPSMT"/>
          <w:sz w:val="18"/>
          <w:szCs w:val="18"/>
          <w:lang w:eastAsia="en-US"/>
        </w:rPr>
        <w:t xml:space="preserve">súvisiace s liečbou </w:t>
      </w:r>
      <w:r w:rsidRPr="00741D52">
        <w:rPr>
          <w:rFonts w:eastAsia="TimesNewRomanPSMT"/>
          <w:sz w:val="18"/>
          <w:szCs w:val="18"/>
          <w:lang w:eastAsia="en-US"/>
        </w:rPr>
        <w:t>hlásené u 2 alebo viacerých osôb</w:t>
      </w:r>
    </w:p>
    <w:p w14:paraId="2418BB1A" w14:textId="77777777" w:rsidR="00327300" w:rsidRPr="00741D52" w:rsidRDefault="00327300" w:rsidP="00902DE4">
      <w:pPr>
        <w:numPr>
          <w:ilvl w:val="0"/>
          <w:numId w:val="22"/>
        </w:numPr>
        <w:autoSpaceDE w:val="0"/>
        <w:autoSpaceDN w:val="0"/>
        <w:adjustRightInd w:val="0"/>
        <w:ind w:firstLine="414"/>
        <w:rPr>
          <w:rFonts w:eastAsia="TimesNewRomanPSMT"/>
          <w:sz w:val="18"/>
          <w:szCs w:val="18"/>
          <w:lang w:eastAsia="en-US"/>
        </w:rPr>
      </w:pPr>
      <w:r w:rsidRPr="00741D52">
        <w:rPr>
          <w:rFonts w:eastAsia="TimesNewRomanPSMT"/>
          <w:sz w:val="18"/>
          <w:szCs w:val="18"/>
          <w:lang w:eastAsia="en-US"/>
        </w:rPr>
        <w:t xml:space="preserve">Všetky závažné nežiaduce účinky </w:t>
      </w:r>
      <w:r w:rsidR="00105B97" w:rsidRPr="00105B97">
        <w:rPr>
          <w:rFonts w:eastAsia="TimesNewRomanPSMT"/>
          <w:sz w:val="18"/>
          <w:szCs w:val="18"/>
          <w:lang w:eastAsia="en-US"/>
        </w:rPr>
        <w:t xml:space="preserve">súvisiace s liečbou </w:t>
      </w:r>
      <w:r w:rsidRPr="00741D52">
        <w:rPr>
          <w:rFonts w:eastAsia="TimesNewRomanPSMT"/>
          <w:sz w:val="18"/>
          <w:szCs w:val="18"/>
          <w:lang w:eastAsia="en-US"/>
        </w:rPr>
        <w:t>hlásené u 2 alebo viacerých osôb</w:t>
      </w:r>
    </w:p>
    <w:p w14:paraId="63CE8D04" w14:textId="77777777" w:rsidR="00327300" w:rsidRPr="00741D52" w:rsidRDefault="00327300" w:rsidP="00741D52">
      <w:pPr>
        <w:ind w:left="720" w:firstLine="414"/>
        <w:rPr>
          <w:rFonts w:eastAsia="TimesNewRomanPSMT"/>
          <w:i/>
          <w:iCs/>
          <w:sz w:val="18"/>
          <w:szCs w:val="18"/>
          <w:lang w:eastAsia="en-US"/>
        </w:rPr>
      </w:pPr>
    </w:p>
    <w:p w14:paraId="0604B19E" w14:textId="2D979D01" w:rsidR="00B54801" w:rsidRPr="003A5C41" w:rsidRDefault="00327300" w:rsidP="00327300">
      <w:pPr>
        <w:ind w:left="0" w:firstLine="0"/>
        <w:rPr>
          <w:szCs w:val="22"/>
        </w:rPr>
      </w:pPr>
      <w:r w:rsidRPr="003A5C41">
        <w:rPr>
          <w:rFonts w:eastAsia="TimesNewRomanPSMT"/>
          <w:i/>
          <w:iCs/>
          <w:szCs w:val="22"/>
          <w:lang w:eastAsia="en-US"/>
        </w:rPr>
        <w:t>Tabuľkový prehľad z hlásení nežiaducich reakcií</w:t>
      </w:r>
      <w:r w:rsidR="00105B97" w:rsidRPr="00105B97">
        <w:t xml:space="preserve"> </w:t>
      </w:r>
      <w:r w:rsidR="00105B97" w:rsidRPr="00105B97">
        <w:rPr>
          <w:rFonts w:eastAsia="TimesNewRomanPSMT"/>
          <w:i/>
          <w:iCs/>
          <w:szCs w:val="22"/>
          <w:lang w:eastAsia="en-US"/>
        </w:rPr>
        <w:t>po uvedení lieku na trh</w:t>
      </w:r>
    </w:p>
    <w:p w14:paraId="7D1EA1BB" w14:textId="77777777" w:rsidR="00327300" w:rsidRPr="003A5C41" w:rsidRDefault="00327300" w:rsidP="00327300">
      <w:pPr>
        <w:autoSpaceDE w:val="0"/>
        <w:autoSpaceDN w:val="0"/>
        <w:adjustRightInd w:val="0"/>
        <w:ind w:left="0" w:firstLine="0"/>
        <w:rPr>
          <w:rFonts w:eastAsia="TimesNewRomanPSMT"/>
          <w:szCs w:val="22"/>
          <w:lang w:eastAsia="en-US"/>
        </w:rPr>
      </w:pPr>
    </w:p>
    <w:p w14:paraId="1B2F9100" w14:textId="2C6EFFC3" w:rsidR="00327300" w:rsidRPr="003A5C41" w:rsidRDefault="00327300" w:rsidP="00327300">
      <w:pPr>
        <w:autoSpaceDE w:val="0"/>
        <w:autoSpaceDN w:val="0"/>
        <w:adjustRightInd w:val="0"/>
        <w:ind w:left="0" w:firstLine="0"/>
        <w:rPr>
          <w:rFonts w:eastAsia="TimesNewRomanPSMT"/>
          <w:szCs w:val="22"/>
          <w:lang w:eastAsia="en-US"/>
        </w:rPr>
      </w:pPr>
      <w:r w:rsidRPr="003A5C41">
        <w:rPr>
          <w:rFonts w:eastAsia="TimesNewRomanPSMT"/>
          <w:szCs w:val="22"/>
          <w:lang w:eastAsia="en-US"/>
        </w:rPr>
        <w:t>Okrem vyššie uvedených nežiaducich účinkov zaznamenaných z kľúčových klinických štúdií,</w:t>
      </w:r>
      <w:r w:rsidR="00E458B4" w:rsidRPr="003A5C41">
        <w:rPr>
          <w:rFonts w:eastAsia="TimesNewRomanPSMT"/>
          <w:szCs w:val="22"/>
          <w:lang w:eastAsia="en-US"/>
        </w:rPr>
        <w:t xml:space="preserve"> </w:t>
      </w:r>
      <w:r w:rsidRPr="003A5C41">
        <w:rPr>
          <w:rFonts w:eastAsia="TimesNewRomanPSMT"/>
          <w:szCs w:val="22"/>
          <w:lang w:eastAsia="en-US"/>
        </w:rPr>
        <w:t>nasledujúca tabuľka vychádza z údajov získaných z údajov</w:t>
      </w:r>
      <w:r w:rsidR="00105B97" w:rsidRPr="00105B97">
        <w:t xml:space="preserve"> </w:t>
      </w:r>
      <w:r w:rsidR="00105B97" w:rsidRPr="00105B97">
        <w:rPr>
          <w:rFonts w:eastAsia="TimesNewRomanPSMT"/>
          <w:szCs w:val="22"/>
          <w:lang w:eastAsia="en-US"/>
        </w:rPr>
        <w:t>po uvedení lieku na trh</w:t>
      </w:r>
      <w:r w:rsidRPr="003A5C41">
        <w:rPr>
          <w:rFonts w:eastAsia="TimesNewRomanPSMT"/>
          <w:szCs w:val="22"/>
          <w:lang w:eastAsia="en-US"/>
        </w:rPr>
        <w:t>.</w:t>
      </w:r>
    </w:p>
    <w:p w14:paraId="0ADA6F77" w14:textId="77777777" w:rsidR="00E458B4" w:rsidRPr="003A5C41" w:rsidRDefault="00E458B4" w:rsidP="00327300">
      <w:pPr>
        <w:autoSpaceDE w:val="0"/>
        <w:autoSpaceDN w:val="0"/>
        <w:adjustRightInd w:val="0"/>
        <w:ind w:left="0" w:firstLine="0"/>
        <w:rPr>
          <w:rFonts w:eastAsia="TimesNewRomanPSMT"/>
          <w:szCs w:val="22"/>
          <w:lang w:eastAsia="en-US"/>
        </w:rPr>
      </w:pPr>
    </w:p>
    <w:p w14:paraId="78F2E020" w14:textId="77777777" w:rsidR="00B54801" w:rsidRPr="00741D52" w:rsidRDefault="00327300" w:rsidP="00E458B4">
      <w:pPr>
        <w:autoSpaceDE w:val="0"/>
        <w:autoSpaceDN w:val="0"/>
        <w:adjustRightInd w:val="0"/>
        <w:ind w:left="0" w:firstLine="0"/>
        <w:rPr>
          <w:szCs w:val="22"/>
        </w:rPr>
      </w:pPr>
      <w:r w:rsidRPr="00741D52">
        <w:rPr>
          <w:rFonts w:eastAsia="TimesNewRomanPSMT"/>
          <w:b/>
          <w:bCs/>
          <w:szCs w:val="22"/>
          <w:lang w:eastAsia="en-US"/>
        </w:rPr>
        <w:t>Tabuľka 5. Nežiaduce reakcie zaznamenané po uvedení lieku na trhu pacientov liečených</w:t>
      </w:r>
      <w:r w:rsidR="00E458B4" w:rsidRPr="00741D52">
        <w:rPr>
          <w:rFonts w:eastAsia="TimesNewRomanPSMT"/>
          <w:b/>
          <w:bCs/>
          <w:szCs w:val="22"/>
          <w:lang w:eastAsia="en-US"/>
        </w:rPr>
        <w:t xml:space="preserve"> </w:t>
      </w:r>
      <w:r w:rsidRPr="00741D52">
        <w:rPr>
          <w:rFonts w:eastAsia="TimesNewRomanPSMT"/>
          <w:b/>
          <w:bCs/>
          <w:szCs w:val="22"/>
          <w:lang w:eastAsia="en-US"/>
        </w:rPr>
        <w:t>lenalidomidom</w:t>
      </w:r>
    </w:p>
    <w:p w14:paraId="188D18CC" w14:textId="77777777" w:rsidR="00E458B4" w:rsidRPr="00741D52" w:rsidRDefault="00E458B4" w:rsidP="00E458B4">
      <w:pPr>
        <w:pStyle w:val="Zkladntext"/>
        <w:kinsoku w:val="0"/>
        <w:overflowPunct w:val="0"/>
        <w:spacing w:before="2"/>
        <w:rPr>
          <w:szCs w:val="22"/>
        </w:rPr>
      </w:pPr>
    </w:p>
    <w:tbl>
      <w:tblPr>
        <w:tblW w:w="9144" w:type="dxa"/>
        <w:tblInd w:w="119" w:type="dxa"/>
        <w:tblLayout w:type="fixed"/>
        <w:tblCellMar>
          <w:left w:w="0" w:type="dxa"/>
          <w:right w:w="0" w:type="dxa"/>
        </w:tblCellMar>
        <w:tblLook w:val="0000" w:firstRow="0" w:lastRow="0" w:firstColumn="0" w:lastColumn="0" w:noHBand="0" w:noVBand="0"/>
      </w:tblPr>
      <w:tblGrid>
        <w:gridCol w:w="2383"/>
        <w:gridCol w:w="3769"/>
        <w:gridCol w:w="2992"/>
      </w:tblGrid>
      <w:tr w:rsidR="00E458B4" w:rsidRPr="00741D52" w14:paraId="2C6E0341" w14:textId="77777777" w:rsidTr="00E458B4">
        <w:trPr>
          <w:trHeight w:hRule="exact" w:val="768"/>
        </w:trPr>
        <w:tc>
          <w:tcPr>
            <w:tcW w:w="2383" w:type="dxa"/>
            <w:tcBorders>
              <w:top w:val="single" w:sz="4" w:space="0" w:color="000000"/>
              <w:left w:val="single" w:sz="4" w:space="0" w:color="000000"/>
              <w:bottom w:val="single" w:sz="4" w:space="0" w:color="000000"/>
              <w:right w:val="single" w:sz="4" w:space="0" w:color="000000"/>
            </w:tcBorders>
          </w:tcPr>
          <w:p w14:paraId="77FD169C" w14:textId="77777777" w:rsidR="00E458B4" w:rsidRPr="00741D52" w:rsidRDefault="00E458B4">
            <w:pPr>
              <w:pStyle w:val="TableParagraph"/>
              <w:kinsoku w:val="0"/>
              <w:overflowPunct w:val="0"/>
              <w:ind w:right="258"/>
              <w:rPr>
                <w:sz w:val="22"/>
                <w:szCs w:val="22"/>
                <w:lang w:val="sk-SK"/>
              </w:rPr>
            </w:pPr>
            <w:r w:rsidRPr="00741D52">
              <w:rPr>
                <w:b/>
                <w:bCs/>
                <w:sz w:val="22"/>
                <w:szCs w:val="22"/>
                <w:lang w:val="sk-SK"/>
              </w:rPr>
              <w:t>Trieda orgánových systémov/Prednostný názov</w:t>
            </w:r>
          </w:p>
        </w:tc>
        <w:tc>
          <w:tcPr>
            <w:tcW w:w="3769" w:type="dxa"/>
            <w:tcBorders>
              <w:top w:val="single" w:sz="4" w:space="0" w:color="000000"/>
              <w:left w:val="single" w:sz="4" w:space="0" w:color="000000"/>
              <w:bottom w:val="single" w:sz="4" w:space="0" w:color="000000"/>
              <w:right w:val="single" w:sz="4" w:space="0" w:color="000000"/>
            </w:tcBorders>
          </w:tcPr>
          <w:p w14:paraId="435949F8" w14:textId="77777777" w:rsidR="00E458B4" w:rsidRPr="00741D52" w:rsidRDefault="00E458B4">
            <w:pPr>
              <w:pStyle w:val="TableParagraph"/>
              <w:kinsoku w:val="0"/>
              <w:overflowPunct w:val="0"/>
              <w:spacing w:line="252" w:lineRule="exact"/>
              <w:rPr>
                <w:sz w:val="22"/>
                <w:szCs w:val="22"/>
                <w:lang w:val="sk-SK"/>
              </w:rPr>
            </w:pPr>
            <w:r w:rsidRPr="00741D52">
              <w:rPr>
                <w:b/>
                <w:bCs/>
                <w:sz w:val="22"/>
                <w:szCs w:val="22"/>
                <w:lang w:val="sk-SK"/>
              </w:rPr>
              <w:t>Všetky nežiaduce reakcie/Frekvencia</w:t>
            </w:r>
          </w:p>
        </w:tc>
        <w:tc>
          <w:tcPr>
            <w:tcW w:w="2992" w:type="dxa"/>
            <w:tcBorders>
              <w:top w:val="single" w:sz="4" w:space="0" w:color="000000"/>
              <w:left w:val="single" w:sz="4" w:space="0" w:color="000000"/>
              <w:bottom w:val="single" w:sz="4" w:space="0" w:color="000000"/>
              <w:right w:val="single" w:sz="3" w:space="0" w:color="000000"/>
            </w:tcBorders>
          </w:tcPr>
          <w:p w14:paraId="53778D21" w14:textId="77777777" w:rsidR="00E458B4" w:rsidRPr="00741D52" w:rsidRDefault="00E458B4">
            <w:pPr>
              <w:pStyle w:val="TableParagraph"/>
              <w:kinsoku w:val="0"/>
              <w:overflowPunct w:val="0"/>
              <w:ind w:right="590"/>
              <w:rPr>
                <w:sz w:val="22"/>
                <w:szCs w:val="22"/>
                <w:lang w:val="sk-SK"/>
              </w:rPr>
            </w:pPr>
            <w:r w:rsidRPr="00741D52">
              <w:rPr>
                <w:b/>
                <w:bCs/>
                <w:sz w:val="22"/>
                <w:szCs w:val="22"/>
                <w:lang w:val="sk-SK"/>
              </w:rPr>
              <w:t>Nežiaduce reakcie 3.− 4. stupňa/Frekvencia</w:t>
            </w:r>
          </w:p>
        </w:tc>
      </w:tr>
      <w:tr w:rsidR="00E458B4" w:rsidRPr="00741D52" w14:paraId="282ACF6A" w14:textId="77777777" w:rsidTr="00E458B4">
        <w:trPr>
          <w:trHeight w:hRule="exact" w:val="1277"/>
        </w:trPr>
        <w:tc>
          <w:tcPr>
            <w:tcW w:w="2383" w:type="dxa"/>
            <w:tcBorders>
              <w:top w:val="single" w:sz="4" w:space="0" w:color="000000"/>
              <w:left w:val="single" w:sz="4" w:space="0" w:color="000000"/>
              <w:bottom w:val="single" w:sz="4" w:space="0" w:color="000000"/>
              <w:right w:val="single" w:sz="4" w:space="0" w:color="000000"/>
            </w:tcBorders>
          </w:tcPr>
          <w:p w14:paraId="137FAD68" w14:textId="14A3F5CE" w:rsidR="00E458B4" w:rsidRPr="00741D52" w:rsidRDefault="00E458B4">
            <w:pPr>
              <w:pStyle w:val="TableParagraph"/>
              <w:kinsoku w:val="0"/>
              <w:overflowPunct w:val="0"/>
              <w:spacing w:before="1"/>
              <w:rPr>
                <w:sz w:val="22"/>
                <w:szCs w:val="22"/>
                <w:lang w:val="sk-SK"/>
              </w:rPr>
            </w:pPr>
            <w:r w:rsidRPr="00741D52">
              <w:rPr>
                <w:b/>
                <w:bCs/>
                <w:sz w:val="22"/>
                <w:szCs w:val="22"/>
                <w:lang w:val="sk-SK"/>
              </w:rPr>
              <w:t>Infekcie a nákazy</w:t>
            </w:r>
          </w:p>
        </w:tc>
        <w:tc>
          <w:tcPr>
            <w:tcW w:w="3769" w:type="dxa"/>
            <w:tcBorders>
              <w:top w:val="single" w:sz="4" w:space="0" w:color="000000"/>
              <w:left w:val="single" w:sz="4" w:space="0" w:color="000000"/>
              <w:bottom w:val="single" w:sz="4" w:space="0" w:color="000000"/>
              <w:right w:val="single" w:sz="4" w:space="0" w:color="000000"/>
            </w:tcBorders>
          </w:tcPr>
          <w:p w14:paraId="242C2BA0" w14:textId="77777777" w:rsidR="00E458B4" w:rsidRPr="00741D52" w:rsidRDefault="00E458B4">
            <w:pPr>
              <w:pStyle w:val="TableParagraph"/>
              <w:kinsoku w:val="0"/>
              <w:overflowPunct w:val="0"/>
              <w:spacing w:before="1" w:line="252" w:lineRule="exact"/>
              <w:rPr>
                <w:sz w:val="22"/>
                <w:szCs w:val="22"/>
                <w:lang w:val="sk-SK"/>
              </w:rPr>
            </w:pPr>
            <w:r w:rsidRPr="00741D52">
              <w:rPr>
                <w:sz w:val="22"/>
                <w:szCs w:val="22"/>
                <w:u w:val="single" w:color="000000"/>
                <w:lang w:val="sk-SK"/>
              </w:rPr>
              <w:t>Neznáme</w:t>
            </w:r>
          </w:p>
          <w:p w14:paraId="4D925F7B" w14:textId="77777777" w:rsidR="00E458B4" w:rsidRPr="00741D52" w:rsidRDefault="00E458B4">
            <w:pPr>
              <w:pStyle w:val="TableParagraph"/>
              <w:kinsoku w:val="0"/>
              <w:overflowPunct w:val="0"/>
              <w:ind w:right="343"/>
              <w:rPr>
                <w:sz w:val="22"/>
                <w:szCs w:val="22"/>
                <w:lang w:val="sk-SK"/>
              </w:rPr>
            </w:pPr>
            <w:r w:rsidRPr="00741D52">
              <w:rPr>
                <w:sz w:val="22"/>
                <w:szCs w:val="22"/>
                <w:lang w:val="sk-SK"/>
              </w:rPr>
              <w:t>Vírusové infekcie vrátane reaktivácie vírusu spôsobujúceho herpes zoster</w:t>
            </w:r>
          </w:p>
          <w:p w14:paraId="0365E108" w14:textId="77777777" w:rsidR="00E458B4" w:rsidRPr="00741D52" w:rsidRDefault="00E458B4">
            <w:pPr>
              <w:pStyle w:val="TableParagraph"/>
              <w:kinsoku w:val="0"/>
              <w:overflowPunct w:val="0"/>
              <w:spacing w:before="2"/>
              <w:rPr>
                <w:sz w:val="22"/>
                <w:szCs w:val="22"/>
                <w:lang w:val="sk-SK"/>
              </w:rPr>
            </w:pPr>
            <w:r w:rsidRPr="00741D52">
              <w:rPr>
                <w:sz w:val="22"/>
                <w:szCs w:val="22"/>
                <w:lang w:val="sk-SK"/>
              </w:rPr>
              <w:t>a vírusu hepatídy B</w:t>
            </w:r>
          </w:p>
        </w:tc>
        <w:tc>
          <w:tcPr>
            <w:tcW w:w="2992" w:type="dxa"/>
            <w:tcBorders>
              <w:top w:val="single" w:sz="4" w:space="0" w:color="000000"/>
              <w:left w:val="single" w:sz="4" w:space="0" w:color="000000"/>
              <w:bottom w:val="single" w:sz="4" w:space="0" w:color="000000"/>
              <w:right w:val="single" w:sz="3" w:space="0" w:color="000000"/>
            </w:tcBorders>
          </w:tcPr>
          <w:p w14:paraId="7676A03B" w14:textId="77777777" w:rsidR="00E458B4" w:rsidRPr="00741D52" w:rsidRDefault="00E458B4">
            <w:pPr>
              <w:pStyle w:val="TableParagraph"/>
              <w:kinsoku w:val="0"/>
              <w:overflowPunct w:val="0"/>
              <w:spacing w:before="1" w:line="252" w:lineRule="exact"/>
              <w:rPr>
                <w:sz w:val="22"/>
                <w:szCs w:val="22"/>
                <w:lang w:val="sk-SK"/>
              </w:rPr>
            </w:pPr>
            <w:r w:rsidRPr="00741D52">
              <w:rPr>
                <w:sz w:val="22"/>
                <w:szCs w:val="22"/>
                <w:u w:val="single" w:color="000000"/>
                <w:lang w:val="sk-SK"/>
              </w:rPr>
              <w:t>Neznáme</w:t>
            </w:r>
          </w:p>
          <w:p w14:paraId="3FEDFDB5" w14:textId="77777777" w:rsidR="00E458B4" w:rsidRPr="00741D52" w:rsidRDefault="00E458B4">
            <w:pPr>
              <w:pStyle w:val="TableParagraph"/>
              <w:kinsoku w:val="0"/>
              <w:overflowPunct w:val="0"/>
              <w:ind w:right="343"/>
              <w:rPr>
                <w:sz w:val="22"/>
                <w:szCs w:val="22"/>
                <w:lang w:val="sk-SK"/>
              </w:rPr>
            </w:pPr>
            <w:r w:rsidRPr="00741D52">
              <w:rPr>
                <w:sz w:val="22"/>
                <w:szCs w:val="22"/>
                <w:lang w:val="sk-SK"/>
              </w:rPr>
              <w:t>Vírusové infekcie vrátane reaktivácie vírusu spôsobujúceho herpes zoster a vírusu hepatídy B</w:t>
            </w:r>
          </w:p>
        </w:tc>
      </w:tr>
      <w:tr w:rsidR="00E458B4" w:rsidRPr="00741D52" w14:paraId="408473AD" w14:textId="77777777" w:rsidTr="00E458B4">
        <w:trPr>
          <w:trHeight w:hRule="exact" w:val="1274"/>
        </w:trPr>
        <w:tc>
          <w:tcPr>
            <w:tcW w:w="2383" w:type="dxa"/>
            <w:tcBorders>
              <w:top w:val="single" w:sz="4" w:space="0" w:color="000000"/>
              <w:left w:val="single" w:sz="4" w:space="0" w:color="000000"/>
              <w:bottom w:val="single" w:sz="4" w:space="0" w:color="000000"/>
              <w:right w:val="single" w:sz="4" w:space="0" w:color="000000"/>
            </w:tcBorders>
          </w:tcPr>
          <w:p w14:paraId="0D63D400" w14:textId="77777777" w:rsidR="00E458B4" w:rsidRPr="00741D52" w:rsidRDefault="00E458B4">
            <w:pPr>
              <w:pStyle w:val="TableParagraph"/>
              <w:kinsoku w:val="0"/>
              <w:overflowPunct w:val="0"/>
              <w:ind w:right="527"/>
              <w:rPr>
                <w:sz w:val="22"/>
                <w:szCs w:val="22"/>
                <w:lang w:val="sk-SK"/>
              </w:rPr>
            </w:pPr>
            <w:r w:rsidRPr="00741D52">
              <w:rPr>
                <w:b/>
                <w:bCs/>
                <w:sz w:val="22"/>
                <w:szCs w:val="22"/>
                <w:lang w:val="sk-SK"/>
              </w:rPr>
              <w:t>Benígne a malígne nádory, vrátane nešpecifikovaných novotvarov (cysty a polypy)</w:t>
            </w:r>
          </w:p>
        </w:tc>
        <w:tc>
          <w:tcPr>
            <w:tcW w:w="3769" w:type="dxa"/>
            <w:tcBorders>
              <w:top w:val="single" w:sz="4" w:space="0" w:color="000000"/>
              <w:left w:val="single" w:sz="4" w:space="0" w:color="000000"/>
              <w:bottom w:val="single" w:sz="4" w:space="0" w:color="000000"/>
              <w:right w:val="single" w:sz="4" w:space="0" w:color="000000"/>
            </w:tcBorders>
          </w:tcPr>
          <w:p w14:paraId="49C8CA35" w14:textId="77777777" w:rsidR="00E458B4" w:rsidRPr="00741D52" w:rsidRDefault="00E458B4">
            <w:pPr>
              <w:rPr>
                <w:szCs w:val="22"/>
              </w:rPr>
            </w:pPr>
          </w:p>
        </w:tc>
        <w:tc>
          <w:tcPr>
            <w:tcW w:w="2992" w:type="dxa"/>
            <w:tcBorders>
              <w:top w:val="single" w:sz="4" w:space="0" w:color="000000"/>
              <w:left w:val="single" w:sz="4" w:space="0" w:color="000000"/>
              <w:bottom w:val="single" w:sz="4" w:space="0" w:color="000000"/>
              <w:right w:val="single" w:sz="3" w:space="0" w:color="000000"/>
            </w:tcBorders>
          </w:tcPr>
          <w:p w14:paraId="370234A9" w14:textId="77777777" w:rsidR="00E458B4" w:rsidRPr="00741D52" w:rsidRDefault="00E458B4">
            <w:pPr>
              <w:pStyle w:val="TableParagraph"/>
              <w:kinsoku w:val="0"/>
              <w:overflowPunct w:val="0"/>
              <w:spacing w:line="251" w:lineRule="exact"/>
              <w:rPr>
                <w:sz w:val="22"/>
                <w:szCs w:val="22"/>
                <w:lang w:val="sk-SK"/>
              </w:rPr>
            </w:pPr>
            <w:r w:rsidRPr="00741D52">
              <w:rPr>
                <w:sz w:val="22"/>
                <w:szCs w:val="22"/>
                <w:u w:val="single" w:color="000000"/>
                <w:lang w:val="sk-SK"/>
              </w:rPr>
              <w:t>Zriedkavé</w:t>
            </w:r>
          </w:p>
          <w:p w14:paraId="6AAB1654" w14:textId="77777777" w:rsidR="00E458B4" w:rsidRPr="00741D52" w:rsidRDefault="00E458B4">
            <w:pPr>
              <w:pStyle w:val="TableParagraph"/>
              <w:kinsoku w:val="0"/>
              <w:overflowPunct w:val="0"/>
              <w:spacing w:line="252" w:lineRule="exact"/>
              <w:rPr>
                <w:sz w:val="22"/>
                <w:szCs w:val="22"/>
                <w:lang w:val="sk-SK"/>
              </w:rPr>
            </w:pPr>
            <w:r w:rsidRPr="00741D52">
              <w:rPr>
                <w:sz w:val="22"/>
                <w:szCs w:val="22"/>
                <w:lang w:val="sk-SK"/>
              </w:rPr>
              <w:t>Syndróm z rozpadu nádoru</w:t>
            </w:r>
          </w:p>
        </w:tc>
      </w:tr>
      <w:tr w:rsidR="00E458B4" w:rsidRPr="00741D52" w14:paraId="0A3A617B" w14:textId="77777777" w:rsidTr="00E458B4">
        <w:trPr>
          <w:trHeight w:hRule="exact" w:val="768"/>
        </w:trPr>
        <w:tc>
          <w:tcPr>
            <w:tcW w:w="2383" w:type="dxa"/>
            <w:tcBorders>
              <w:top w:val="single" w:sz="4" w:space="0" w:color="000000"/>
              <w:left w:val="single" w:sz="4" w:space="0" w:color="000000"/>
              <w:bottom w:val="single" w:sz="3" w:space="0" w:color="000000"/>
              <w:right w:val="single" w:sz="4" w:space="0" w:color="000000"/>
            </w:tcBorders>
          </w:tcPr>
          <w:p w14:paraId="3456818D" w14:textId="77777777" w:rsidR="00E458B4" w:rsidRPr="00741D52" w:rsidRDefault="00E458B4">
            <w:pPr>
              <w:pStyle w:val="TableParagraph"/>
              <w:kinsoku w:val="0"/>
              <w:overflowPunct w:val="0"/>
              <w:ind w:right="865"/>
              <w:rPr>
                <w:sz w:val="22"/>
                <w:szCs w:val="22"/>
                <w:lang w:val="sk-SK"/>
              </w:rPr>
            </w:pPr>
            <w:r w:rsidRPr="00741D52">
              <w:rPr>
                <w:b/>
                <w:bCs/>
                <w:sz w:val="22"/>
                <w:szCs w:val="22"/>
                <w:lang w:val="sk-SK"/>
              </w:rPr>
              <w:t>Poruchy  krvi a lymfatického systému</w:t>
            </w:r>
          </w:p>
        </w:tc>
        <w:tc>
          <w:tcPr>
            <w:tcW w:w="3769" w:type="dxa"/>
            <w:tcBorders>
              <w:top w:val="single" w:sz="4" w:space="0" w:color="000000"/>
              <w:left w:val="single" w:sz="4" w:space="0" w:color="000000"/>
              <w:bottom w:val="single" w:sz="3" w:space="0" w:color="000000"/>
              <w:right w:val="single" w:sz="4" w:space="0" w:color="000000"/>
            </w:tcBorders>
          </w:tcPr>
          <w:p w14:paraId="75B4BF8F" w14:textId="77777777" w:rsidR="00E458B4" w:rsidRPr="00741D52" w:rsidRDefault="00E458B4">
            <w:pPr>
              <w:pStyle w:val="TableParagraph"/>
              <w:kinsoku w:val="0"/>
              <w:overflowPunct w:val="0"/>
              <w:spacing w:line="251" w:lineRule="exact"/>
              <w:rPr>
                <w:sz w:val="22"/>
                <w:szCs w:val="22"/>
                <w:lang w:val="sk-SK"/>
              </w:rPr>
            </w:pPr>
            <w:r w:rsidRPr="00741D52">
              <w:rPr>
                <w:sz w:val="22"/>
                <w:szCs w:val="22"/>
                <w:u w:val="single" w:color="000000"/>
                <w:lang w:val="sk-SK"/>
              </w:rPr>
              <w:t>Neznáme</w:t>
            </w:r>
          </w:p>
          <w:p w14:paraId="3225B9C6" w14:textId="77777777" w:rsidR="00E458B4" w:rsidRPr="00741D52" w:rsidRDefault="00E458B4">
            <w:pPr>
              <w:pStyle w:val="TableParagraph"/>
              <w:kinsoku w:val="0"/>
              <w:overflowPunct w:val="0"/>
              <w:spacing w:line="253" w:lineRule="exact"/>
              <w:rPr>
                <w:sz w:val="22"/>
                <w:szCs w:val="22"/>
                <w:lang w:val="sk-SK"/>
              </w:rPr>
            </w:pPr>
            <w:r w:rsidRPr="00741D52">
              <w:rPr>
                <w:sz w:val="22"/>
                <w:szCs w:val="22"/>
                <w:lang w:val="sk-SK"/>
              </w:rPr>
              <w:t>Získaná hemofília</w:t>
            </w:r>
          </w:p>
        </w:tc>
        <w:tc>
          <w:tcPr>
            <w:tcW w:w="2992" w:type="dxa"/>
            <w:tcBorders>
              <w:top w:val="single" w:sz="4" w:space="0" w:color="000000"/>
              <w:left w:val="single" w:sz="4" w:space="0" w:color="000000"/>
              <w:bottom w:val="single" w:sz="3" w:space="0" w:color="000000"/>
              <w:right w:val="single" w:sz="3" w:space="0" w:color="000000"/>
            </w:tcBorders>
          </w:tcPr>
          <w:p w14:paraId="6C54BF43" w14:textId="77777777" w:rsidR="00E458B4" w:rsidRPr="00741D52" w:rsidRDefault="00E458B4">
            <w:pPr>
              <w:rPr>
                <w:szCs w:val="22"/>
              </w:rPr>
            </w:pPr>
          </w:p>
        </w:tc>
      </w:tr>
      <w:tr w:rsidR="00E458B4" w:rsidRPr="00741D52" w14:paraId="5EDDE145" w14:textId="77777777" w:rsidTr="00E458B4">
        <w:trPr>
          <w:trHeight w:hRule="exact" w:val="770"/>
        </w:trPr>
        <w:tc>
          <w:tcPr>
            <w:tcW w:w="2383" w:type="dxa"/>
            <w:tcBorders>
              <w:top w:val="single" w:sz="3" w:space="0" w:color="000000"/>
              <w:left w:val="single" w:sz="4" w:space="0" w:color="000000"/>
              <w:bottom w:val="single" w:sz="4" w:space="0" w:color="000000"/>
              <w:right w:val="single" w:sz="4" w:space="0" w:color="000000"/>
            </w:tcBorders>
          </w:tcPr>
          <w:p w14:paraId="7CBA7423" w14:textId="77777777" w:rsidR="00E458B4" w:rsidRPr="00741D52" w:rsidRDefault="00E458B4">
            <w:pPr>
              <w:pStyle w:val="TableParagraph"/>
              <w:kinsoku w:val="0"/>
              <w:overflowPunct w:val="0"/>
              <w:ind w:right="325"/>
              <w:rPr>
                <w:sz w:val="22"/>
                <w:szCs w:val="22"/>
                <w:lang w:val="sk-SK"/>
              </w:rPr>
            </w:pPr>
            <w:r w:rsidRPr="00741D52">
              <w:rPr>
                <w:b/>
                <w:bCs/>
                <w:sz w:val="22"/>
                <w:szCs w:val="22"/>
                <w:lang w:val="sk-SK"/>
              </w:rPr>
              <w:lastRenderedPageBreak/>
              <w:t>Poruchy imunitného systému</w:t>
            </w:r>
          </w:p>
        </w:tc>
        <w:tc>
          <w:tcPr>
            <w:tcW w:w="3769" w:type="dxa"/>
            <w:tcBorders>
              <w:top w:val="single" w:sz="3" w:space="0" w:color="000000"/>
              <w:left w:val="single" w:sz="4" w:space="0" w:color="000000"/>
              <w:bottom w:val="double" w:sz="4" w:space="0" w:color="000000"/>
              <w:right w:val="single" w:sz="4" w:space="0" w:color="000000"/>
            </w:tcBorders>
          </w:tcPr>
          <w:p w14:paraId="1806555C" w14:textId="77777777" w:rsidR="00E458B4" w:rsidRPr="00741D52" w:rsidRDefault="00E458B4">
            <w:pPr>
              <w:pStyle w:val="TableParagraph"/>
              <w:kinsoku w:val="0"/>
              <w:overflowPunct w:val="0"/>
              <w:spacing w:line="252" w:lineRule="exact"/>
              <w:rPr>
                <w:sz w:val="22"/>
                <w:szCs w:val="22"/>
                <w:lang w:val="sk-SK"/>
              </w:rPr>
            </w:pPr>
            <w:r w:rsidRPr="00741D52">
              <w:rPr>
                <w:sz w:val="22"/>
                <w:szCs w:val="22"/>
                <w:u w:val="single" w:color="000000"/>
                <w:lang w:val="sk-SK"/>
              </w:rPr>
              <w:t>Neznáme</w:t>
            </w:r>
          </w:p>
          <w:p w14:paraId="46055A9A" w14:textId="77777777" w:rsidR="00E458B4" w:rsidRPr="00741D52" w:rsidRDefault="00E458B4">
            <w:pPr>
              <w:pStyle w:val="TableParagraph"/>
              <w:kinsoku w:val="0"/>
              <w:overflowPunct w:val="0"/>
              <w:spacing w:before="1"/>
              <w:ind w:right="868"/>
              <w:rPr>
                <w:sz w:val="22"/>
                <w:szCs w:val="22"/>
                <w:lang w:val="sk-SK"/>
              </w:rPr>
            </w:pPr>
            <w:r w:rsidRPr="00893070">
              <w:rPr>
                <w:sz w:val="22"/>
                <w:lang w:val="sk-SK"/>
              </w:rPr>
              <w:t>Odmietnutie transplantovaných</w:t>
            </w:r>
            <w:r w:rsidRPr="00741D52">
              <w:rPr>
                <w:sz w:val="22"/>
                <w:szCs w:val="22"/>
                <w:u w:val="single" w:color="000000"/>
                <w:lang w:val="sk-SK"/>
              </w:rPr>
              <w:t xml:space="preserve"> </w:t>
            </w:r>
            <w:r w:rsidRPr="00741D52">
              <w:rPr>
                <w:sz w:val="22"/>
                <w:szCs w:val="22"/>
                <w:lang w:val="sk-SK"/>
              </w:rPr>
              <w:t>pevných orgánov</w:t>
            </w:r>
          </w:p>
        </w:tc>
        <w:tc>
          <w:tcPr>
            <w:tcW w:w="2992" w:type="dxa"/>
            <w:tcBorders>
              <w:top w:val="single" w:sz="3" w:space="0" w:color="000000"/>
              <w:left w:val="single" w:sz="4" w:space="0" w:color="000000"/>
              <w:bottom w:val="single" w:sz="4" w:space="0" w:color="000000"/>
              <w:right w:val="single" w:sz="3" w:space="0" w:color="000000"/>
            </w:tcBorders>
          </w:tcPr>
          <w:p w14:paraId="567197EA" w14:textId="77777777" w:rsidR="00E458B4" w:rsidRPr="00741D52" w:rsidRDefault="00E458B4">
            <w:pPr>
              <w:rPr>
                <w:szCs w:val="22"/>
              </w:rPr>
            </w:pPr>
          </w:p>
        </w:tc>
      </w:tr>
      <w:tr w:rsidR="00E458B4" w:rsidRPr="00741D52" w14:paraId="24625ED8" w14:textId="77777777" w:rsidTr="00E458B4">
        <w:trPr>
          <w:trHeight w:hRule="exact" w:val="516"/>
        </w:trPr>
        <w:tc>
          <w:tcPr>
            <w:tcW w:w="2383" w:type="dxa"/>
            <w:tcBorders>
              <w:top w:val="single" w:sz="4" w:space="0" w:color="000000"/>
              <w:left w:val="single" w:sz="4" w:space="0" w:color="000000"/>
              <w:bottom w:val="single" w:sz="3" w:space="0" w:color="000000"/>
              <w:right w:val="single" w:sz="4" w:space="0" w:color="000000"/>
            </w:tcBorders>
          </w:tcPr>
          <w:p w14:paraId="0117F82D" w14:textId="77777777" w:rsidR="00E458B4" w:rsidRPr="00741D52" w:rsidRDefault="00E458B4">
            <w:pPr>
              <w:pStyle w:val="TableParagraph"/>
              <w:kinsoku w:val="0"/>
              <w:overflowPunct w:val="0"/>
              <w:ind w:right="93"/>
              <w:rPr>
                <w:sz w:val="22"/>
                <w:szCs w:val="22"/>
                <w:lang w:val="sk-SK"/>
              </w:rPr>
            </w:pPr>
            <w:r w:rsidRPr="00741D52">
              <w:rPr>
                <w:b/>
                <w:bCs/>
                <w:sz w:val="22"/>
                <w:szCs w:val="22"/>
                <w:lang w:val="sk-SK"/>
              </w:rPr>
              <w:t>Poruchy endokrinného systému</w:t>
            </w:r>
          </w:p>
        </w:tc>
        <w:tc>
          <w:tcPr>
            <w:tcW w:w="3769" w:type="dxa"/>
            <w:tcBorders>
              <w:top w:val="double" w:sz="4" w:space="0" w:color="000000"/>
              <w:left w:val="single" w:sz="4" w:space="0" w:color="000000"/>
              <w:bottom w:val="single" w:sz="3" w:space="0" w:color="000000"/>
              <w:right w:val="single" w:sz="4" w:space="0" w:color="000000"/>
            </w:tcBorders>
          </w:tcPr>
          <w:p w14:paraId="0F987D3D" w14:textId="77777777" w:rsidR="00E458B4" w:rsidRPr="00741D52" w:rsidRDefault="00E458B4">
            <w:pPr>
              <w:pStyle w:val="TableParagraph"/>
              <w:kinsoku w:val="0"/>
              <w:overflowPunct w:val="0"/>
              <w:spacing w:line="238" w:lineRule="exact"/>
              <w:rPr>
                <w:sz w:val="22"/>
                <w:szCs w:val="22"/>
                <w:lang w:val="sk-SK"/>
              </w:rPr>
            </w:pPr>
            <w:r w:rsidRPr="00741D52">
              <w:rPr>
                <w:sz w:val="22"/>
                <w:szCs w:val="22"/>
                <w:u w:val="single" w:color="000000"/>
                <w:lang w:val="sk-SK"/>
              </w:rPr>
              <w:t>Časté</w:t>
            </w:r>
          </w:p>
          <w:p w14:paraId="68094B0D" w14:textId="77777777" w:rsidR="00E458B4" w:rsidRPr="00741D52" w:rsidRDefault="00E458B4">
            <w:pPr>
              <w:pStyle w:val="TableParagraph"/>
              <w:kinsoku w:val="0"/>
              <w:overflowPunct w:val="0"/>
              <w:spacing w:line="252" w:lineRule="exact"/>
              <w:rPr>
                <w:sz w:val="22"/>
                <w:szCs w:val="22"/>
                <w:lang w:val="sk-SK"/>
              </w:rPr>
            </w:pPr>
            <w:r w:rsidRPr="00741D52">
              <w:rPr>
                <w:sz w:val="22"/>
                <w:szCs w:val="22"/>
                <w:lang w:val="sk-SK"/>
              </w:rPr>
              <w:t>Hypertyreóza</w:t>
            </w:r>
          </w:p>
        </w:tc>
        <w:tc>
          <w:tcPr>
            <w:tcW w:w="2992" w:type="dxa"/>
            <w:tcBorders>
              <w:top w:val="single" w:sz="4" w:space="0" w:color="000000"/>
              <w:left w:val="single" w:sz="4" w:space="0" w:color="000000"/>
              <w:bottom w:val="single" w:sz="3" w:space="0" w:color="000000"/>
              <w:right w:val="single" w:sz="3" w:space="0" w:color="000000"/>
            </w:tcBorders>
          </w:tcPr>
          <w:p w14:paraId="47911869" w14:textId="77777777" w:rsidR="00E458B4" w:rsidRPr="00741D52" w:rsidRDefault="00E458B4">
            <w:pPr>
              <w:rPr>
                <w:szCs w:val="22"/>
              </w:rPr>
            </w:pPr>
          </w:p>
        </w:tc>
      </w:tr>
      <w:tr w:rsidR="00E458B4" w:rsidRPr="00741D52" w14:paraId="3958E47F" w14:textId="77777777" w:rsidTr="00E458B4">
        <w:trPr>
          <w:trHeight w:hRule="exact" w:val="768"/>
        </w:trPr>
        <w:tc>
          <w:tcPr>
            <w:tcW w:w="2383" w:type="dxa"/>
            <w:tcBorders>
              <w:top w:val="single" w:sz="3" w:space="0" w:color="000000"/>
              <w:left w:val="single" w:sz="4" w:space="0" w:color="000000"/>
              <w:bottom w:val="single" w:sz="4" w:space="0" w:color="000000"/>
              <w:right w:val="single" w:sz="4" w:space="0" w:color="000000"/>
            </w:tcBorders>
          </w:tcPr>
          <w:p w14:paraId="6CDD511E" w14:textId="77777777" w:rsidR="00E458B4" w:rsidRPr="00741D52" w:rsidRDefault="00E458B4">
            <w:pPr>
              <w:pStyle w:val="TableParagraph"/>
              <w:kinsoku w:val="0"/>
              <w:overflowPunct w:val="0"/>
              <w:ind w:right="578"/>
              <w:jc w:val="both"/>
              <w:rPr>
                <w:sz w:val="22"/>
                <w:szCs w:val="22"/>
                <w:lang w:val="sk-SK"/>
              </w:rPr>
            </w:pPr>
            <w:r w:rsidRPr="00741D52">
              <w:rPr>
                <w:b/>
                <w:bCs/>
                <w:sz w:val="22"/>
                <w:szCs w:val="22"/>
                <w:lang w:val="sk-SK"/>
              </w:rPr>
              <w:t>Poruchy dýchacej sústavy, hrudníka a mediastína</w:t>
            </w:r>
          </w:p>
        </w:tc>
        <w:tc>
          <w:tcPr>
            <w:tcW w:w="3769" w:type="dxa"/>
            <w:tcBorders>
              <w:top w:val="single" w:sz="3" w:space="0" w:color="000000"/>
              <w:left w:val="single" w:sz="4" w:space="0" w:color="000000"/>
              <w:bottom w:val="single" w:sz="4" w:space="0" w:color="000000"/>
              <w:right w:val="single" w:sz="4" w:space="0" w:color="000000"/>
            </w:tcBorders>
          </w:tcPr>
          <w:p w14:paraId="017DE523" w14:textId="77777777" w:rsidR="00E458B4" w:rsidRPr="00741D52" w:rsidRDefault="00E458B4">
            <w:pPr>
              <w:rPr>
                <w:szCs w:val="22"/>
              </w:rPr>
            </w:pPr>
          </w:p>
        </w:tc>
        <w:tc>
          <w:tcPr>
            <w:tcW w:w="2992" w:type="dxa"/>
            <w:tcBorders>
              <w:top w:val="single" w:sz="3" w:space="0" w:color="000000"/>
              <w:left w:val="single" w:sz="4" w:space="0" w:color="000000"/>
              <w:bottom w:val="single" w:sz="4" w:space="0" w:color="000000"/>
              <w:right w:val="single" w:sz="3" w:space="0" w:color="000000"/>
            </w:tcBorders>
          </w:tcPr>
          <w:p w14:paraId="55CC1F4B" w14:textId="77777777" w:rsidR="00E458B4" w:rsidRPr="00741D52" w:rsidRDefault="00E458B4">
            <w:pPr>
              <w:pStyle w:val="TableParagraph"/>
              <w:kinsoku w:val="0"/>
              <w:overflowPunct w:val="0"/>
              <w:spacing w:line="251" w:lineRule="exact"/>
              <w:rPr>
                <w:sz w:val="22"/>
                <w:szCs w:val="22"/>
                <w:lang w:val="sk-SK"/>
              </w:rPr>
            </w:pPr>
            <w:r w:rsidRPr="00741D52">
              <w:rPr>
                <w:sz w:val="22"/>
                <w:szCs w:val="22"/>
                <w:u w:val="single" w:color="000000"/>
                <w:lang w:val="sk-SK"/>
              </w:rPr>
              <w:t>Neznáme</w:t>
            </w:r>
          </w:p>
          <w:p w14:paraId="12D96734" w14:textId="77777777" w:rsidR="00E458B4" w:rsidRPr="00741D52" w:rsidRDefault="00E458B4">
            <w:pPr>
              <w:pStyle w:val="TableParagraph"/>
              <w:kinsoku w:val="0"/>
              <w:overflowPunct w:val="0"/>
              <w:spacing w:line="252" w:lineRule="exact"/>
              <w:rPr>
                <w:sz w:val="22"/>
                <w:szCs w:val="22"/>
                <w:lang w:val="sk-SK"/>
              </w:rPr>
            </w:pPr>
            <w:r w:rsidRPr="00741D52">
              <w:rPr>
                <w:sz w:val="22"/>
                <w:szCs w:val="22"/>
                <w:lang w:val="sk-SK"/>
              </w:rPr>
              <w:t>Intersticiálna pneumónia</w:t>
            </w:r>
          </w:p>
        </w:tc>
      </w:tr>
      <w:tr w:rsidR="00E458B4" w:rsidRPr="00741D52" w14:paraId="59FCEBFB" w14:textId="77777777" w:rsidTr="00E458B4">
        <w:trPr>
          <w:trHeight w:hRule="exact" w:val="1274"/>
        </w:trPr>
        <w:tc>
          <w:tcPr>
            <w:tcW w:w="2383" w:type="dxa"/>
            <w:tcBorders>
              <w:top w:val="single" w:sz="4" w:space="0" w:color="000000"/>
              <w:left w:val="single" w:sz="4" w:space="0" w:color="000000"/>
              <w:bottom w:val="single" w:sz="4" w:space="0" w:color="000000"/>
              <w:right w:val="single" w:sz="4" w:space="0" w:color="000000"/>
            </w:tcBorders>
          </w:tcPr>
          <w:p w14:paraId="2242B53B" w14:textId="77777777" w:rsidR="00E458B4" w:rsidRPr="00741D52" w:rsidRDefault="00E458B4">
            <w:pPr>
              <w:pStyle w:val="TableParagraph"/>
              <w:kinsoku w:val="0"/>
              <w:overflowPunct w:val="0"/>
              <w:ind w:right="343"/>
              <w:rPr>
                <w:sz w:val="22"/>
                <w:szCs w:val="22"/>
                <w:lang w:val="sk-SK"/>
              </w:rPr>
            </w:pPr>
            <w:r w:rsidRPr="00741D52">
              <w:rPr>
                <w:b/>
                <w:bCs/>
                <w:sz w:val="22"/>
                <w:szCs w:val="22"/>
                <w:lang w:val="sk-SK"/>
              </w:rPr>
              <w:t>Poruchy gastrointestinálneho traktu</w:t>
            </w:r>
          </w:p>
        </w:tc>
        <w:tc>
          <w:tcPr>
            <w:tcW w:w="3769" w:type="dxa"/>
            <w:tcBorders>
              <w:top w:val="single" w:sz="4" w:space="0" w:color="000000"/>
              <w:left w:val="single" w:sz="4" w:space="0" w:color="000000"/>
              <w:bottom w:val="single" w:sz="4" w:space="0" w:color="000000"/>
              <w:right w:val="single" w:sz="4" w:space="0" w:color="000000"/>
            </w:tcBorders>
          </w:tcPr>
          <w:p w14:paraId="742F4AC8" w14:textId="77777777" w:rsidR="00E458B4" w:rsidRPr="00741D52" w:rsidRDefault="00E458B4">
            <w:pPr>
              <w:rPr>
                <w:szCs w:val="22"/>
              </w:rPr>
            </w:pPr>
          </w:p>
        </w:tc>
        <w:tc>
          <w:tcPr>
            <w:tcW w:w="2992" w:type="dxa"/>
            <w:tcBorders>
              <w:top w:val="single" w:sz="4" w:space="0" w:color="000000"/>
              <w:left w:val="single" w:sz="4" w:space="0" w:color="000000"/>
              <w:bottom w:val="single" w:sz="4" w:space="0" w:color="000000"/>
              <w:right w:val="single" w:sz="3" w:space="0" w:color="000000"/>
            </w:tcBorders>
          </w:tcPr>
          <w:p w14:paraId="5554DD41" w14:textId="77777777" w:rsidR="00E458B4" w:rsidRPr="00741D52" w:rsidRDefault="00E458B4">
            <w:pPr>
              <w:pStyle w:val="TableParagraph"/>
              <w:kinsoku w:val="0"/>
              <w:overflowPunct w:val="0"/>
              <w:ind w:right="1644"/>
              <w:rPr>
                <w:sz w:val="22"/>
                <w:szCs w:val="22"/>
                <w:lang w:val="sk-SK"/>
              </w:rPr>
            </w:pPr>
            <w:r w:rsidRPr="00741D52">
              <w:rPr>
                <w:sz w:val="22"/>
                <w:szCs w:val="22"/>
                <w:u w:val="single" w:color="000000"/>
                <w:lang w:val="sk-SK"/>
              </w:rPr>
              <w:t xml:space="preserve">Neznáme </w:t>
            </w:r>
            <w:r w:rsidRPr="00741D52">
              <w:rPr>
                <w:sz w:val="22"/>
                <w:szCs w:val="22"/>
                <w:lang w:val="sk-SK"/>
              </w:rPr>
              <w:t>Pankreatitída,</w:t>
            </w:r>
          </w:p>
          <w:p w14:paraId="33B8F788" w14:textId="77777777" w:rsidR="00E458B4" w:rsidRPr="00741D52" w:rsidRDefault="00E458B4">
            <w:pPr>
              <w:pStyle w:val="TableParagraph"/>
              <w:kinsoku w:val="0"/>
              <w:overflowPunct w:val="0"/>
              <w:spacing w:before="1"/>
              <w:ind w:right="166"/>
              <w:rPr>
                <w:sz w:val="22"/>
                <w:szCs w:val="22"/>
                <w:lang w:val="sk-SK"/>
              </w:rPr>
            </w:pPr>
            <w:r w:rsidRPr="00741D52">
              <w:rPr>
                <w:sz w:val="22"/>
                <w:szCs w:val="22"/>
                <w:lang w:val="sk-SK"/>
              </w:rPr>
              <w:t>gastrointestinálne perforácie (vrátane perforácií divertikula, tenkého a hrubého čreva)^</w:t>
            </w:r>
          </w:p>
        </w:tc>
      </w:tr>
      <w:tr w:rsidR="00E458B4" w:rsidRPr="00741D52" w14:paraId="6B2C8C4E" w14:textId="77777777" w:rsidTr="00E458B4">
        <w:trPr>
          <w:trHeight w:hRule="exact" w:val="1277"/>
        </w:trPr>
        <w:tc>
          <w:tcPr>
            <w:tcW w:w="2383" w:type="dxa"/>
            <w:tcBorders>
              <w:top w:val="single" w:sz="4" w:space="0" w:color="000000"/>
              <w:left w:val="single" w:sz="4" w:space="0" w:color="000000"/>
              <w:bottom w:val="single" w:sz="4" w:space="0" w:color="000000"/>
              <w:right w:val="single" w:sz="4" w:space="0" w:color="000000"/>
            </w:tcBorders>
          </w:tcPr>
          <w:p w14:paraId="56F5D246" w14:textId="77777777" w:rsidR="00E458B4" w:rsidRPr="00741D52" w:rsidRDefault="00E458B4">
            <w:pPr>
              <w:pStyle w:val="TableParagraph"/>
              <w:kinsoku w:val="0"/>
              <w:overflowPunct w:val="0"/>
              <w:ind w:right="600"/>
              <w:rPr>
                <w:sz w:val="22"/>
                <w:szCs w:val="22"/>
                <w:lang w:val="sk-SK"/>
              </w:rPr>
            </w:pPr>
            <w:r w:rsidRPr="00741D52">
              <w:rPr>
                <w:b/>
                <w:bCs/>
                <w:sz w:val="22"/>
                <w:szCs w:val="22"/>
                <w:lang w:val="sk-SK"/>
              </w:rPr>
              <w:t>Poruchy pečene a žlčových ciest</w:t>
            </w:r>
          </w:p>
        </w:tc>
        <w:tc>
          <w:tcPr>
            <w:tcW w:w="3769" w:type="dxa"/>
            <w:tcBorders>
              <w:top w:val="single" w:sz="4" w:space="0" w:color="000000"/>
              <w:left w:val="single" w:sz="4" w:space="0" w:color="000000"/>
              <w:bottom w:val="single" w:sz="4" w:space="0" w:color="000000"/>
              <w:right w:val="single" w:sz="4" w:space="0" w:color="000000"/>
            </w:tcBorders>
          </w:tcPr>
          <w:p w14:paraId="2F90BC52" w14:textId="77777777" w:rsidR="00E458B4" w:rsidRPr="00741D52" w:rsidRDefault="00E458B4">
            <w:pPr>
              <w:pStyle w:val="TableParagraph"/>
              <w:kinsoku w:val="0"/>
              <w:overflowPunct w:val="0"/>
              <w:spacing w:line="252" w:lineRule="exact"/>
              <w:rPr>
                <w:sz w:val="22"/>
                <w:szCs w:val="22"/>
                <w:lang w:val="sk-SK"/>
              </w:rPr>
            </w:pPr>
            <w:r w:rsidRPr="00741D52">
              <w:rPr>
                <w:sz w:val="22"/>
                <w:szCs w:val="22"/>
                <w:u w:val="single" w:color="000000"/>
                <w:lang w:val="sk-SK"/>
              </w:rPr>
              <w:t>Neznáme</w:t>
            </w:r>
          </w:p>
          <w:p w14:paraId="5E95570D" w14:textId="77777777" w:rsidR="00E458B4" w:rsidRPr="00741D52" w:rsidRDefault="00E458B4">
            <w:pPr>
              <w:pStyle w:val="TableParagraph"/>
              <w:kinsoku w:val="0"/>
              <w:overflowPunct w:val="0"/>
              <w:spacing w:before="1"/>
              <w:ind w:right="423"/>
              <w:rPr>
                <w:sz w:val="22"/>
                <w:szCs w:val="22"/>
                <w:lang w:val="sk-SK"/>
              </w:rPr>
            </w:pPr>
            <w:r w:rsidRPr="00741D52">
              <w:rPr>
                <w:sz w:val="22"/>
                <w:szCs w:val="22"/>
                <w:lang w:val="sk-SK"/>
              </w:rPr>
              <w:t>Akútne zlyhanie pečene^, toxická hepatitída^, cytolytická hepatitída^, cholestatická hepatitída^, zmiešaná cytolytická/cholestatická hepatitída^</w:t>
            </w:r>
          </w:p>
          <w:p w14:paraId="22396F95" w14:textId="77777777" w:rsidR="00E458B4" w:rsidRPr="00741D52" w:rsidRDefault="00E458B4">
            <w:pPr>
              <w:pStyle w:val="TableParagraph"/>
              <w:kinsoku w:val="0"/>
              <w:overflowPunct w:val="0"/>
              <w:spacing w:before="1"/>
              <w:ind w:right="423"/>
              <w:rPr>
                <w:sz w:val="22"/>
                <w:szCs w:val="22"/>
                <w:lang w:val="sk-SK"/>
              </w:rPr>
            </w:pPr>
          </w:p>
          <w:p w14:paraId="107A6326" w14:textId="77777777" w:rsidR="00E458B4" w:rsidRPr="00741D52" w:rsidRDefault="00E458B4">
            <w:pPr>
              <w:pStyle w:val="TableParagraph"/>
              <w:kinsoku w:val="0"/>
              <w:overflowPunct w:val="0"/>
              <w:spacing w:before="1"/>
              <w:ind w:right="423"/>
              <w:rPr>
                <w:sz w:val="22"/>
                <w:szCs w:val="22"/>
                <w:lang w:val="sk-SK"/>
              </w:rPr>
            </w:pPr>
          </w:p>
        </w:tc>
        <w:tc>
          <w:tcPr>
            <w:tcW w:w="2992" w:type="dxa"/>
            <w:tcBorders>
              <w:top w:val="single" w:sz="4" w:space="0" w:color="000000"/>
              <w:left w:val="single" w:sz="4" w:space="0" w:color="000000"/>
              <w:bottom w:val="single" w:sz="4" w:space="0" w:color="000000"/>
              <w:right w:val="single" w:sz="3" w:space="0" w:color="000000"/>
            </w:tcBorders>
          </w:tcPr>
          <w:p w14:paraId="423A6F3D" w14:textId="77777777" w:rsidR="00E458B4" w:rsidRPr="00741D52" w:rsidRDefault="00E458B4">
            <w:pPr>
              <w:pStyle w:val="TableParagraph"/>
              <w:kinsoku w:val="0"/>
              <w:overflowPunct w:val="0"/>
              <w:spacing w:line="252" w:lineRule="exact"/>
              <w:rPr>
                <w:sz w:val="22"/>
                <w:szCs w:val="22"/>
                <w:lang w:val="sk-SK"/>
              </w:rPr>
            </w:pPr>
            <w:r w:rsidRPr="00741D52">
              <w:rPr>
                <w:sz w:val="22"/>
                <w:szCs w:val="22"/>
                <w:u w:val="single" w:color="000000"/>
                <w:lang w:val="sk-SK"/>
              </w:rPr>
              <w:t>Neznáme</w:t>
            </w:r>
          </w:p>
          <w:p w14:paraId="56CA471C" w14:textId="77777777" w:rsidR="00E458B4" w:rsidRPr="00741D52" w:rsidRDefault="00E458B4">
            <w:pPr>
              <w:pStyle w:val="TableParagraph"/>
              <w:kinsoku w:val="0"/>
              <w:overflowPunct w:val="0"/>
              <w:spacing w:before="1" w:line="252" w:lineRule="exact"/>
              <w:rPr>
                <w:sz w:val="22"/>
                <w:szCs w:val="22"/>
                <w:lang w:val="sk-SK"/>
              </w:rPr>
            </w:pPr>
            <w:r w:rsidRPr="00741D52">
              <w:rPr>
                <w:sz w:val="22"/>
                <w:szCs w:val="22"/>
                <w:lang w:val="sk-SK"/>
              </w:rPr>
              <w:t>Akútne zlyhanie pečene^,</w:t>
            </w:r>
          </w:p>
          <w:p w14:paraId="2916CFBF" w14:textId="77777777" w:rsidR="00E458B4" w:rsidRPr="00741D52" w:rsidRDefault="00E458B4">
            <w:pPr>
              <w:pStyle w:val="TableParagraph"/>
              <w:kinsoku w:val="0"/>
              <w:overflowPunct w:val="0"/>
              <w:spacing w:line="252" w:lineRule="exact"/>
              <w:rPr>
                <w:sz w:val="22"/>
                <w:szCs w:val="22"/>
                <w:lang w:val="sk-SK"/>
              </w:rPr>
            </w:pPr>
            <w:r w:rsidRPr="00741D52">
              <w:rPr>
                <w:sz w:val="22"/>
                <w:szCs w:val="22"/>
                <w:lang w:val="sk-SK"/>
              </w:rPr>
              <w:t>toxická hepatitída^</w:t>
            </w:r>
          </w:p>
        </w:tc>
      </w:tr>
      <w:tr w:rsidR="00E458B4" w:rsidRPr="00741D52" w14:paraId="25B1DCDC" w14:textId="77777777" w:rsidTr="00E458B4">
        <w:trPr>
          <w:trHeight w:hRule="exact" w:val="260"/>
        </w:trPr>
        <w:tc>
          <w:tcPr>
            <w:tcW w:w="2383" w:type="dxa"/>
            <w:tcBorders>
              <w:top w:val="single" w:sz="4" w:space="0" w:color="000000"/>
              <w:left w:val="single" w:sz="4" w:space="0" w:color="000000"/>
              <w:bottom w:val="none" w:sz="6" w:space="0" w:color="auto"/>
              <w:right w:val="single" w:sz="4" w:space="0" w:color="000000"/>
            </w:tcBorders>
          </w:tcPr>
          <w:p w14:paraId="270F75D6" w14:textId="77777777" w:rsidR="00E458B4" w:rsidRPr="00741D52" w:rsidRDefault="00E458B4">
            <w:pPr>
              <w:pStyle w:val="TableParagraph"/>
              <w:kinsoku w:val="0"/>
              <w:overflowPunct w:val="0"/>
              <w:spacing w:line="252" w:lineRule="exact"/>
              <w:rPr>
                <w:sz w:val="22"/>
                <w:szCs w:val="22"/>
                <w:lang w:val="sk-SK"/>
              </w:rPr>
            </w:pPr>
            <w:r w:rsidRPr="00741D52">
              <w:rPr>
                <w:b/>
                <w:bCs/>
                <w:sz w:val="22"/>
                <w:szCs w:val="22"/>
                <w:lang w:val="sk-SK"/>
              </w:rPr>
              <w:t>Poruchy kože a</w:t>
            </w:r>
          </w:p>
        </w:tc>
        <w:tc>
          <w:tcPr>
            <w:tcW w:w="3769" w:type="dxa"/>
            <w:vMerge w:val="restart"/>
            <w:tcBorders>
              <w:top w:val="single" w:sz="4" w:space="0" w:color="000000"/>
              <w:left w:val="single" w:sz="4" w:space="0" w:color="000000"/>
              <w:bottom w:val="single" w:sz="4" w:space="0" w:color="000000"/>
              <w:right w:val="single" w:sz="4" w:space="0" w:color="000000"/>
            </w:tcBorders>
          </w:tcPr>
          <w:p w14:paraId="172862FE" w14:textId="77777777" w:rsidR="00E458B4" w:rsidRPr="00741D52" w:rsidRDefault="00E458B4">
            <w:pPr>
              <w:rPr>
                <w:szCs w:val="22"/>
              </w:rPr>
            </w:pPr>
          </w:p>
        </w:tc>
        <w:tc>
          <w:tcPr>
            <w:tcW w:w="2992" w:type="dxa"/>
            <w:tcBorders>
              <w:top w:val="single" w:sz="4" w:space="0" w:color="000000"/>
              <w:left w:val="single" w:sz="4" w:space="0" w:color="000000"/>
              <w:bottom w:val="none" w:sz="6" w:space="0" w:color="auto"/>
              <w:right w:val="single" w:sz="3" w:space="0" w:color="000000"/>
            </w:tcBorders>
          </w:tcPr>
          <w:p w14:paraId="036A725C" w14:textId="77777777" w:rsidR="00E458B4" w:rsidRPr="00741D52" w:rsidRDefault="00E458B4">
            <w:pPr>
              <w:pStyle w:val="TableParagraph"/>
              <w:kinsoku w:val="0"/>
              <w:overflowPunct w:val="0"/>
              <w:spacing w:line="252" w:lineRule="exact"/>
              <w:rPr>
                <w:sz w:val="22"/>
                <w:szCs w:val="22"/>
                <w:lang w:val="sk-SK"/>
              </w:rPr>
            </w:pPr>
            <w:r w:rsidRPr="00741D52">
              <w:rPr>
                <w:sz w:val="22"/>
                <w:szCs w:val="22"/>
                <w:u w:val="single" w:color="000000"/>
                <w:lang w:val="sk-SK"/>
              </w:rPr>
              <w:t>Menej časté</w:t>
            </w:r>
          </w:p>
        </w:tc>
      </w:tr>
      <w:tr w:rsidR="00E458B4" w:rsidRPr="00741D52" w14:paraId="62079F06" w14:textId="77777777" w:rsidTr="004F5260">
        <w:trPr>
          <w:trHeight w:val="20"/>
        </w:trPr>
        <w:tc>
          <w:tcPr>
            <w:tcW w:w="2383" w:type="dxa"/>
            <w:tcBorders>
              <w:top w:val="none" w:sz="6" w:space="0" w:color="auto"/>
              <w:left w:val="single" w:sz="4" w:space="0" w:color="000000"/>
              <w:bottom w:val="none" w:sz="6" w:space="0" w:color="auto"/>
              <w:right w:val="single" w:sz="4" w:space="0" w:color="000000"/>
            </w:tcBorders>
          </w:tcPr>
          <w:p w14:paraId="3372A88F" w14:textId="77777777" w:rsidR="00E458B4" w:rsidRPr="00741D52" w:rsidRDefault="00E458B4">
            <w:pPr>
              <w:pStyle w:val="TableParagraph"/>
              <w:kinsoku w:val="0"/>
              <w:overflowPunct w:val="0"/>
              <w:spacing w:line="248" w:lineRule="exact"/>
              <w:rPr>
                <w:sz w:val="22"/>
                <w:szCs w:val="22"/>
                <w:lang w:val="sk-SK"/>
              </w:rPr>
            </w:pPr>
            <w:r w:rsidRPr="00741D52">
              <w:rPr>
                <w:b/>
                <w:bCs/>
                <w:sz w:val="22"/>
                <w:szCs w:val="22"/>
                <w:lang w:val="sk-SK"/>
              </w:rPr>
              <w:t>podkožného tkaniva</w:t>
            </w:r>
          </w:p>
        </w:tc>
        <w:tc>
          <w:tcPr>
            <w:tcW w:w="3769" w:type="dxa"/>
            <w:vMerge/>
            <w:tcBorders>
              <w:top w:val="single" w:sz="4" w:space="0" w:color="000000"/>
              <w:left w:val="single" w:sz="4" w:space="0" w:color="000000"/>
              <w:bottom w:val="single" w:sz="4" w:space="0" w:color="000000"/>
              <w:right w:val="single" w:sz="4" w:space="0" w:color="000000"/>
            </w:tcBorders>
          </w:tcPr>
          <w:p w14:paraId="50B9381C" w14:textId="77777777" w:rsidR="00E458B4" w:rsidRPr="00741D52" w:rsidRDefault="00E458B4">
            <w:pPr>
              <w:pStyle w:val="TableParagraph"/>
              <w:kinsoku w:val="0"/>
              <w:overflowPunct w:val="0"/>
              <w:spacing w:line="248" w:lineRule="exact"/>
              <w:rPr>
                <w:sz w:val="22"/>
                <w:szCs w:val="22"/>
                <w:lang w:val="sk-SK"/>
              </w:rPr>
            </w:pPr>
          </w:p>
        </w:tc>
        <w:tc>
          <w:tcPr>
            <w:tcW w:w="2992" w:type="dxa"/>
            <w:tcBorders>
              <w:top w:val="none" w:sz="6" w:space="0" w:color="auto"/>
              <w:left w:val="single" w:sz="4" w:space="0" w:color="000000"/>
              <w:bottom w:val="none" w:sz="6" w:space="0" w:color="auto"/>
              <w:right w:val="single" w:sz="3" w:space="0" w:color="000000"/>
            </w:tcBorders>
          </w:tcPr>
          <w:p w14:paraId="6CAA72EB" w14:textId="77777777" w:rsidR="00E458B4" w:rsidRPr="00741D52" w:rsidRDefault="00E458B4">
            <w:pPr>
              <w:pStyle w:val="TableParagraph"/>
              <w:kinsoku w:val="0"/>
              <w:overflowPunct w:val="0"/>
              <w:spacing w:line="248" w:lineRule="exact"/>
              <w:rPr>
                <w:sz w:val="22"/>
                <w:szCs w:val="22"/>
                <w:lang w:val="sk-SK"/>
              </w:rPr>
            </w:pPr>
            <w:r w:rsidRPr="00741D52">
              <w:rPr>
                <w:sz w:val="22"/>
                <w:szCs w:val="22"/>
                <w:lang w:val="sk-SK"/>
              </w:rPr>
              <w:t>Angioedém</w:t>
            </w:r>
          </w:p>
        </w:tc>
      </w:tr>
      <w:tr w:rsidR="00E458B4" w:rsidRPr="00741D52" w14:paraId="2061125E" w14:textId="77777777" w:rsidTr="004F5260">
        <w:trPr>
          <w:trHeight w:val="20"/>
        </w:trPr>
        <w:tc>
          <w:tcPr>
            <w:tcW w:w="2383" w:type="dxa"/>
            <w:tcBorders>
              <w:top w:val="none" w:sz="6" w:space="0" w:color="auto"/>
              <w:left w:val="single" w:sz="4" w:space="0" w:color="000000"/>
              <w:bottom w:val="none" w:sz="6" w:space="0" w:color="auto"/>
              <w:right w:val="single" w:sz="4" w:space="0" w:color="000000"/>
            </w:tcBorders>
          </w:tcPr>
          <w:p w14:paraId="596C9A8C" w14:textId="77777777" w:rsidR="00E458B4" w:rsidRPr="00741D52" w:rsidRDefault="00E458B4">
            <w:pPr>
              <w:rPr>
                <w:szCs w:val="22"/>
              </w:rPr>
            </w:pPr>
          </w:p>
        </w:tc>
        <w:tc>
          <w:tcPr>
            <w:tcW w:w="3769" w:type="dxa"/>
            <w:vMerge/>
            <w:tcBorders>
              <w:top w:val="single" w:sz="4" w:space="0" w:color="000000"/>
              <w:left w:val="single" w:sz="4" w:space="0" w:color="000000"/>
              <w:bottom w:val="single" w:sz="4" w:space="0" w:color="000000"/>
              <w:right w:val="single" w:sz="4" w:space="0" w:color="000000"/>
            </w:tcBorders>
          </w:tcPr>
          <w:p w14:paraId="3671BFE1" w14:textId="77777777" w:rsidR="00E458B4" w:rsidRPr="00741D52" w:rsidRDefault="00E458B4">
            <w:pPr>
              <w:rPr>
                <w:szCs w:val="22"/>
              </w:rPr>
            </w:pPr>
          </w:p>
        </w:tc>
        <w:tc>
          <w:tcPr>
            <w:tcW w:w="2992" w:type="dxa"/>
            <w:tcBorders>
              <w:top w:val="none" w:sz="6" w:space="0" w:color="auto"/>
              <w:left w:val="single" w:sz="4" w:space="0" w:color="000000"/>
              <w:bottom w:val="none" w:sz="6" w:space="0" w:color="auto"/>
              <w:right w:val="single" w:sz="3" w:space="0" w:color="000000"/>
            </w:tcBorders>
          </w:tcPr>
          <w:p w14:paraId="44DAFE78" w14:textId="77777777" w:rsidR="00E458B4" w:rsidRPr="00741D52" w:rsidRDefault="00E458B4">
            <w:pPr>
              <w:pStyle w:val="TableParagraph"/>
              <w:kinsoku w:val="0"/>
              <w:overflowPunct w:val="0"/>
              <w:spacing w:before="134"/>
              <w:rPr>
                <w:sz w:val="22"/>
                <w:szCs w:val="22"/>
                <w:lang w:val="sk-SK"/>
              </w:rPr>
            </w:pPr>
            <w:r w:rsidRPr="00741D52">
              <w:rPr>
                <w:sz w:val="22"/>
                <w:szCs w:val="22"/>
                <w:u w:val="single" w:color="000000"/>
                <w:lang w:val="sk-SK"/>
              </w:rPr>
              <w:t>Zriedkavé</w:t>
            </w:r>
          </w:p>
        </w:tc>
      </w:tr>
      <w:tr w:rsidR="00E458B4" w:rsidRPr="00741D52" w14:paraId="0CFF91C0" w14:textId="77777777" w:rsidTr="004F5260">
        <w:trPr>
          <w:trHeight w:val="20"/>
        </w:trPr>
        <w:tc>
          <w:tcPr>
            <w:tcW w:w="2383" w:type="dxa"/>
            <w:tcBorders>
              <w:top w:val="none" w:sz="6" w:space="0" w:color="auto"/>
              <w:left w:val="single" w:sz="4" w:space="0" w:color="000000"/>
              <w:bottom w:val="none" w:sz="6" w:space="0" w:color="auto"/>
              <w:right w:val="single" w:sz="4" w:space="0" w:color="000000"/>
            </w:tcBorders>
          </w:tcPr>
          <w:p w14:paraId="470A72A5" w14:textId="77777777" w:rsidR="00E458B4" w:rsidRPr="00741D52" w:rsidRDefault="00E458B4">
            <w:pPr>
              <w:rPr>
                <w:szCs w:val="22"/>
              </w:rPr>
            </w:pPr>
          </w:p>
        </w:tc>
        <w:tc>
          <w:tcPr>
            <w:tcW w:w="3769" w:type="dxa"/>
            <w:vMerge/>
            <w:tcBorders>
              <w:top w:val="single" w:sz="4" w:space="0" w:color="000000"/>
              <w:left w:val="single" w:sz="4" w:space="0" w:color="000000"/>
              <w:bottom w:val="single" w:sz="4" w:space="0" w:color="000000"/>
              <w:right w:val="single" w:sz="4" w:space="0" w:color="000000"/>
            </w:tcBorders>
          </w:tcPr>
          <w:p w14:paraId="76DCFD41" w14:textId="77777777" w:rsidR="00E458B4" w:rsidRPr="00741D52" w:rsidRDefault="00E458B4">
            <w:pPr>
              <w:rPr>
                <w:szCs w:val="22"/>
              </w:rPr>
            </w:pPr>
          </w:p>
        </w:tc>
        <w:tc>
          <w:tcPr>
            <w:tcW w:w="2992" w:type="dxa"/>
            <w:tcBorders>
              <w:top w:val="none" w:sz="6" w:space="0" w:color="auto"/>
              <w:left w:val="single" w:sz="4" w:space="0" w:color="000000"/>
              <w:bottom w:val="none" w:sz="6" w:space="0" w:color="auto"/>
              <w:right w:val="single" w:sz="3" w:space="0" w:color="000000"/>
            </w:tcBorders>
          </w:tcPr>
          <w:p w14:paraId="16EC943C" w14:textId="77777777" w:rsidR="00E458B4" w:rsidRPr="00741D52" w:rsidRDefault="00E458B4">
            <w:pPr>
              <w:pStyle w:val="TableParagraph"/>
              <w:kinsoku w:val="0"/>
              <w:overflowPunct w:val="0"/>
              <w:spacing w:line="248" w:lineRule="exact"/>
              <w:rPr>
                <w:sz w:val="22"/>
                <w:szCs w:val="22"/>
                <w:lang w:val="sk-SK"/>
              </w:rPr>
            </w:pPr>
            <w:r w:rsidRPr="00741D52">
              <w:rPr>
                <w:sz w:val="22"/>
                <w:szCs w:val="22"/>
                <w:lang w:val="sk-SK"/>
              </w:rPr>
              <w:t>Stevensov-Johnsonov</w:t>
            </w:r>
          </w:p>
        </w:tc>
      </w:tr>
      <w:tr w:rsidR="00E458B4" w:rsidRPr="00741D52" w14:paraId="3791E711" w14:textId="77777777" w:rsidTr="004F5260">
        <w:trPr>
          <w:trHeight w:val="20"/>
        </w:trPr>
        <w:tc>
          <w:tcPr>
            <w:tcW w:w="2383" w:type="dxa"/>
            <w:tcBorders>
              <w:top w:val="none" w:sz="6" w:space="0" w:color="auto"/>
              <w:left w:val="single" w:sz="4" w:space="0" w:color="000000"/>
              <w:bottom w:val="none" w:sz="6" w:space="0" w:color="auto"/>
              <w:right w:val="single" w:sz="4" w:space="0" w:color="000000"/>
            </w:tcBorders>
          </w:tcPr>
          <w:p w14:paraId="43871EF5" w14:textId="77777777" w:rsidR="00E458B4" w:rsidRPr="00741D52" w:rsidRDefault="00E458B4">
            <w:pPr>
              <w:rPr>
                <w:szCs w:val="22"/>
              </w:rPr>
            </w:pPr>
          </w:p>
        </w:tc>
        <w:tc>
          <w:tcPr>
            <w:tcW w:w="3769" w:type="dxa"/>
            <w:vMerge/>
            <w:tcBorders>
              <w:top w:val="single" w:sz="4" w:space="0" w:color="000000"/>
              <w:left w:val="single" w:sz="4" w:space="0" w:color="000000"/>
              <w:bottom w:val="single" w:sz="4" w:space="0" w:color="000000"/>
              <w:right w:val="single" w:sz="4" w:space="0" w:color="000000"/>
            </w:tcBorders>
          </w:tcPr>
          <w:p w14:paraId="31BB7D4A" w14:textId="77777777" w:rsidR="00E458B4" w:rsidRPr="00741D52" w:rsidRDefault="00E458B4">
            <w:pPr>
              <w:rPr>
                <w:szCs w:val="22"/>
              </w:rPr>
            </w:pPr>
          </w:p>
        </w:tc>
        <w:tc>
          <w:tcPr>
            <w:tcW w:w="2992" w:type="dxa"/>
            <w:tcBorders>
              <w:top w:val="none" w:sz="6" w:space="0" w:color="auto"/>
              <w:left w:val="single" w:sz="4" w:space="0" w:color="000000"/>
              <w:bottom w:val="none" w:sz="6" w:space="0" w:color="auto"/>
              <w:right w:val="single" w:sz="3" w:space="0" w:color="000000"/>
            </w:tcBorders>
          </w:tcPr>
          <w:p w14:paraId="00C24306" w14:textId="77777777" w:rsidR="00E458B4" w:rsidRPr="00741D52" w:rsidRDefault="00E458B4">
            <w:pPr>
              <w:pStyle w:val="TableParagraph"/>
              <w:kinsoku w:val="0"/>
              <w:overflowPunct w:val="0"/>
              <w:spacing w:line="248" w:lineRule="exact"/>
              <w:rPr>
                <w:sz w:val="22"/>
                <w:szCs w:val="22"/>
                <w:lang w:val="sk-SK"/>
              </w:rPr>
            </w:pPr>
            <w:r w:rsidRPr="00741D52">
              <w:rPr>
                <w:sz w:val="22"/>
                <w:szCs w:val="22"/>
                <w:lang w:val="sk-SK"/>
              </w:rPr>
              <w:t>syndróm^, toxická epidermálna</w:t>
            </w:r>
          </w:p>
        </w:tc>
      </w:tr>
      <w:tr w:rsidR="00E458B4" w:rsidRPr="00741D52" w14:paraId="76FCB9A2" w14:textId="77777777" w:rsidTr="004F5260">
        <w:trPr>
          <w:trHeight w:val="20"/>
        </w:trPr>
        <w:tc>
          <w:tcPr>
            <w:tcW w:w="2383" w:type="dxa"/>
            <w:tcBorders>
              <w:top w:val="none" w:sz="6" w:space="0" w:color="auto"/>
              <w:left w:val="single" w:sz="4" w:space="0" w:color="000000"/>
              <w:bottom w:val="none" w:sz="6" w:space="0" w:color="auto"/>
              <w:right w:val="single" w:sz="4" w:space="0" w:color="000000"/>
            </w:tcBorders>
          </w:tcPr>
          <w:p w14:paraId="735A3F41" w14:textId="77777777" w:rsidR="00E458B4" w:rsidRPr="00741D52" w:rsidRDefault="00E458B4">
            <w:pPr>
              <w:rPr>
                <w:szCs w:val="22"/>
              </w:rPr>
            </w:pPr>
          </w:p>
        </w:tc>
        <w:tc>
          <w:tcPr>
            <w:tcW w:w="3769" w:type="dxa"/>
            <w:vMerge/>
            <w:tcBorders>
              <w:top w:val="single" w:sz="4" w:space="0" w:color="000000"/>
              <w:left w:val="single" w:sz="4" w:space="0" w:color="000000"/>
              <w:bottom w:val="single" w:sz="4" w:space="0" w:color="000000"/>
              <w:right w:val="single" w:sz="4" w:space="0" w:color="000000"/>
            </w:tcBorders>
          </w:tcPr>
          <w:p w14:paraId="6839A23D" w14:textId="77777777" w:rsidR="00E458B4" w:rsidRPr="00741D52" w:rsidRDefault="00E458B4">
            <w:pPr>
              <w:rPr>
                <w:szCs w:val="22"/>
              </w:rPr>
            </w:pPr>
          </w:p>
        </w:tc>
        <w:tc>
          <w:tcPr>
            <w:tcW w:w="2992" w:type="dxa"/>
            <w:tcBorders>
              <w:top w:val="none" w:sz="6" w:space="0" w:color="auto"/>
              <w:left w:val="single" w:sz="4" w:space="0" w:color="000000"/>
              <w:bottom w:val="none" w:sz="6" w:space="0" w:color="auto"/>
              <w:right w:val="single" w:sz="3" w:space="0" w:color="000000"/>
            </w:tcBorders>
          </w:tcPr>
          <w:p w14:paraId="0611E14B" w14:textId="77777777" w:rsidR="00E458B4" w:rsidRPr="00741D52" w:rsidRDefault="00E458B4">
            <w:pPr>
              <w:pStyle w:val="TableParagraph"/>
              <w:kinsoku w:val="0"/>
              <w:overflowPunct w:val="0"/>
              <w:spacing w:line="249" w:lineRule="exact"/>
              <w:rPr>
                <w:sz w:val="22"/>
                <w:szCs w:val="22"/>
                <w:lang w:val="sk-SK"/>
              </w:rPr>
            </w:pPr>
            <w:r w:rsidRPr="00741D52">
              <w:rPr>
                <w:sz w:val="22"/>
                <w:szCs w:val="22"/>
                <w:lang w:val="sk-SK"/>
              </w:rPr>
              <w:t>nekrolýza^</w:t>
            </w:r>
          </w:p>
        </w:tc>
      </w:tr>
      <w:tr w:rsidR="00E458B4" w:rsidRPr="00741D52" w14:paraId="664FBF4B" w14:textId="77777777" w:rsidTr="004F5260">
        <w:trPr>
          <w:trHeight w:val="20"/>
        </w:trPr>
        <w:tc>
          <w:tcPr>
            <w:tcW w:w="2383" w:type="dxa"/>
            <w:tcBorders>
              <w:top w:val="none" w:sz="6" w:space="0" w:color="auto"/>
              <w:left w:val="single" w:sz="4" w:space="0" w:color="000000"/>
              <w:bottom w:val="none" w:sz="6" w:space="0" w:color="auto"/>
              <w:right w:val="single" w:sz="4" w:space="0" w:color="000000"/>
            </w:tcBorders>
          </w:tcPr>
          <w:p w14:paraId="586A6F51" w14:textId="77777777" w:rsidR="00E458B4" w:rsidRPr="00741D52" w:rsidRDefault="00E458B4">
            <w:pPr>
              <w:rPr>
                <w:szCs w:val="22"/>
              </w:rPr>
            </w:pPr>
          </w:p>
        </w:tc>
        <w:tc>
          <w:tcPr>
            <w:tcW w:w="3769" w:type="dxa"/>
            <w:vMerge/>
            <w:tcBorders>
              <w:top w:val="single" w:sz="4" w:space="0" w:color="000000"/>
              <w:left w:val="single" w:sz="4" w:space="0" w:color="000000"/>
              <w:bottom w:val="single" w:sz="4" w:space="0" w:color="000000"/>
              <w:right w:val="single" w:sz="4" w:space="0" w:color="000000"/>
            </w:tcBorders>
          </w:tcPr>
          <w:p w14:paraId="063D4CD2" w14:textId="77777777" w:rsidR="00E458B4" w:rsidRPr="00741D52" w:rsidRDefault="00E458B4">
            <w:pPr>
              <w:rPr>
                <w:szCs w:val="22"/>
              </w:rPr>
            </w:pPr>
          </w:p>
        </w:tc>
        <w:tc>
          <w:tcPr>
            <w:tcW w:w="2992" w:type="dxa"/>
            <w:tcBorders>
              <w:top w:val="none" w:sz="6" w:space="0" w:color="auto"/>
              <w:left w:val="single" w:sz="4" w:space="0" w:color="000000"/>
              <w:bottom w:val="none" w:sz="6" w:space="0" w:color="auto"/>
              <w:right w:val="single" w:sz="3" w:space="0" w:color="000000"/>
            </w:tcBorders>
          </w:tcPr>
          <w:p w14:paraId="78B8D852" w14:textId="77777777" w:rsidR="00E458B4" w:rsidRPr="00741D52" w:rsidRDefault="00E458B4">
            <w:pPr>
              <w:pStyle w:val="TableParagraph"/>
              <w:kinsoku w:val="0"/>
              <w:overflowPunct w:val="0"/>
              <w:spacing w:before="133"/>
              <w:rPr>
                <w:sz w:val="22"/>
                <w:szCs w:val="22"/>
                <w:lang w:val="sk-SK"/>
              </w:rPr>
            </w:pPr>
            <w:r w:rsidRPr="00741D52">
              <w:rPr>
                <w:sz w:val="22"/>
                <w:szCs w:val="22"/>
                <w:u w:val="single" w:color="000000"/>
                <w:lang w:val="sk-SK"/>
              </w:rPr>
              <w:t>Neznáme</w:t>
            </w:r>
          </w:p>
        </w:tc>
      </w:tr>
      <w:tr w:rsidR="00E458B4" w:rsidRPr="00741D52" w14:paraId="61ECE7FB" w14:textId="77777777" w:rsidTr="004F5260">
        <w:trPr>
          <w:trHeight w:val="20"/>
        </w:trPr>
        <w:tc>
          <w:tcPr>
            <w:tcW w:w="2383" w:type="dxa"/>
            <w:tcBorders>
              <w:top w:val="none" w:sz="6" w:space="0" w:color="auto"/>
              <w:left w:val="single" w:sz="4" w:space="0" w:color="000000"/>
              <w:bottom w:val="none" w:sz="6" w:space="0" w:color="auto"/>
              <w:right w:val="single" w:sz="4" w:space="0" w:color="000000"/>
            </w:tcBorders>
          </w:tcPr>
          <w:p w14:paraId="1C6A83AE" w14:textId="77777777" w:rsidR="00E458B4" w:rsidRPr="00741D52" w:rsidRDefault="00E458B4">
            <w:pPr>
              <w:rPr>
                <w:szCs w:val="22"/>
              </w:rPr>
            </w:pPr>
          </w:p>
        </w:tc>
        <w:tc>
          <w:tcPr>
            <w:tcW w:w="3769" w:type="dxa"/>
            <w:vMerge/>
            <w:tcBorders>
              <w:top w:val="single" w:sz="4" w:space="0" w:color="000000"/>
              <w:left w:val="single" w:sz="4" w:space="0" w:color="000000"/>
              <w:bottom w:val="single" w:sz="4" w:space="0" w:color="000000"/>
              <w:right w:val="single" w:sz="4" w:space="0" w:color="000000"/>
            </w:tcBorders>
          </w:tcPr>
          <w:p w14:paraId="3D4A5F1C" w14:textId="77777777" w:rsidR="00E458B4" w:rsidRPr="00741D52" w:rsidRDefault="00E458B4">
            <w:pPr>
              <w:rPr>
                <w:szCs w:val="22"/>
              </w:rPr>
            </w:pPr>
          </w:p>
        </w:tc>
        <w:tc>
          <w:tcPr>
            <w:tcW w:w="2992" w:type="dxa"/>
            <w:tcBorders>
              <w:top w:val="none" w:sz="6" w:space="0" w:color="auto"/>
              <w:left w:val="single" w:sz="4" w:space="0" w:color="000000"/>
              <w:bottom w:val="none" w:sz="6" w:space="0" w:color="auto"/>
              <w:right w:val="single" w:sz="3" w:space="0" w:color="000000"/>
            </w:tcBorders>
          </w:tcPr>
          <w:p w14:paraId="692F9826" w14:textId="77777777" w:rsidR="00E458B4" w:rsidRPr="00741D52" w:rsidRDefault="00E458B4">
            <w:pPr>
              <w:pStyle w:val="TableParagraph"/>
              <w:kinsoku w:val="0"/>
              <w:overflowPunct w:val="0"/>
              <w:spacing w:line="249" w:lineRule="exact"/>
              <w:rPr>
                <w:sz w:val="22"/>
                <w:szCs w:val="22"/>
                <w:lang w:val="sk-SK"/>
              </w:rPr>
            </w:pPr>
            <w:r w:rsidRPr="00741D52">
              <w:rPr>
                <w:sz w:val="22"/>
                <w:szCs w:val="22"/>
                <w:lang w:val="sk-SK"/>
              </w:rPr>
              <w:t>Leukocytoklastická</w:t>
            </w:r>
          </w:p>
        </w:tc>
      </w:tr>
      <w:tr w:rsidR="00E458B4" w:rsidRPr="00741D52" w14:paraId="232F715F" w14:textId="77777777" w:rsidTr="004F5260">
        <w:trPr>
          <w:trHeight w:val="20"/>
        </w:trPr>
        <w:tc>
          <w:tcPr>
            <w:tcW w:w="2383" w:type="dxa"/>
            <w:tcBorders>
              <w:top w:val="none" w:sz="6" w:space="0" w:color="auto"/>
              <w:left w:val="single" w:sz="4" w:space="0" w:color="000000"/>
              <w:bottom w:val="none" w:sz="6" w:space="0" w:color="auto"/>
              <w:right w:val="single" w:sz="4" w:space="0" w:color="000000"/>
            </w:tcBorders>
          </w:tcPr>
          <w:p w14:paraId="588C83E4" w14:textId="77777777" w:rsidR="00E458B4" w:rsidRPr="00741D52" w:rsidRDefault="00E458B4">
            <w:pPr>
              <w:rPr>
                <w:szCs w:val="22"/>
              </w:rPr>
            </w:pPr>
          </w:p>
        </w:tc>
        <w:tc>
          <w:tcPr>
            <w:tcW w:w="3769" w:type="dxa"/>
            <w:vMerge/>
            <w:tcBorders>
              <w:top w:val="single" w:sz="4" w:space="0" w:color="000000"/>
              <w:left w:val="single" w:sz="4" w:space="0" w:color="000000"/>
              <w:bottom w:val="single" w:sz="4" w:space="0" w:color="000000"/>
              <w:right w:val="single" w:sz="4" w:space="0" w:color="000000"/>
            </w:tcBorders>
          </w:tcPr>
          <w:p w14:paraId="21AC9766" w14:textId="77777777" w:rsidR="00E458B4" w:rsidRPr="00741D52" w:rsidRDefault="00E458B4">
            <w:pPr>
              <w:rPr>
                <w:szCs w:val="22"/>
              </w:rPr>
            </w:pPr>
          </w:p>
        </w:tc>
        <w:tc>
          <w:tcPr>
            <w:tcW w:w="2992" w:type="dxa"/>
            <w:tcBorders>
              <w:top w:val="none" w:sz="6" w:space="0" w:color="auto"/>
              <w:left w:val="single" w:sz="4" w:space="0" w:color="000000"/>
              <w:bottom w:val="none" w:sz="6" w:space="0" w:color="auto"/>
              <w:right w:val="single" w:sz="3" w:space="0" w:color="000000"/>
            </w:tcBorders>
          </w:tcPr>
          <w:p w14:paraId="7538E829" w14:textId="77777777" w:rsidR="00E458B4" w:rsidRPr="00741D52" w:rsidRDefault="00E458B4">
            <w:pPr>
              <w:pStyle w:val="TableParagraph"/>
              <w:kinsoku w:val="0"/>
              <w:overflowPunct w:val="0"/>
              <w:spacing w:line="248" w:lineRule="exact"/>
              <w:rPr>
                <w:sz w:val="22"/>
                <w:szCs w:val="22"/>
                <w:lang w:val="sk-SK"/>
              </w:rPr>
            </w:pPr>
            <w:r w:rsidRPr="00741D52">
              <w:rPr>
                <w:sz w:val="22"/>
                <w:szCs w:val="22"/>
                <w:lang w:val="sk-SK"/>
              </w:rPr>
              <w:t>vaskulitída, lieková reakcia</w:t>
            </w:r>
          </w:p>
        </w:tc>
      </w:tr>
      <w:tr w:rsidR="00E458B4" w:rsidRPr="00741D52" w14:paraId="706722E1" w14:textId="77777777" w:rsidTr="004F5260">
        <w:trPr>
          <w:trHeight w:val="20"/>
        </w:trPr>
        <w:tc>
          <w:tcPr>
            <w:tcW w:w="2383" w:type="dxa"/>
            <w:tcBorders>
              <w:top w:val="none" w:sz="6" w:space="0" w:color="auto"/>
              <w:left w:val="single" w:sz="4" w:space="0" w:color="000000"/>
              <w:bottom w:val="none" w:sz="6" w:space="0" w:color="auto"/>
              <w:right w:val="single" w:sz="4" w:space="0" w:color="000000"/>
            </w:tcBorders>
          </w:tcPr>
          <w:p w14:paraId="6E1D0261" w14:textId="77777777" w:rsidR="00E458B4" w:rsidRPr="00741D52" w:rsidRDefault="00E458B4">
            <w:pPr>
              <w:rPr>
                <w:szCs w:val="22"/>
              </w:rPr>
            </w:pPr>
          </w:p>
        </w:tc>
        <w:tc>
          <w:tcPr>
            <w:tcW w:w="3769" w:type="dxa"/>
            <w:vMerge/>
            <w:tcBorders>
              <w:top w:val="single" w:sz="4" w:space="0" w:color="000000"/>
              <w:left w:val="single" w:sz="4" w:space="0" w:color="000000"/>
              <w:bottom w:val="single" w:sz="4" w:space="0" w:color="000000"/>
              <w:right w:val="single" w:sz="4" w:space="0" w:color="000000"/>
            </w:tcBorders>
          </w:tcPr>
          <w:p w14:paraId="69F13E45" w14:textId="77777777" w:rsidR="00E458B4" w:rsidRPr="00741D52" w:rsidRDefault="00E458B4">
            <w:pPr>
              <w:rPr>
                <w:szCs w:val="22"/>
              </w:rPr>
            </w:pPr>
          </w:p>
        </w:tc>
        <w:tc>
          <w:tcPr>
            <w:tcW w:w="2992" w:type="dxa"/>
            <w:tcBorders>
              <w:top w:val="none" w:sz="6" w:space="0" w:color="auto"/>
              <w:left w:val="single" w:sz="4" w:space="0" w:color="000000"/>
              <w:bottom w:val="none" w:sz="6" w:space="0" w:color="auto"/>
              <w:right w:val="single" w:sz="3" w:space="0" w:color="000000"/>
            </w:tcBorders>
          </w:tcPr>
          <w:p w14:paraId="66EEC0CB" w14:textId="77777777" w:rsidR="00E458B4" w:rsidRPr="00741D52" w:rsidRDefault="00E458B4">
            <w:pPr>
              <w:pStyle w:val="TableParagraph"/>
              <w:kinsoku w:val="0"/>
              <w:overflowPunct w:val="0"/>
              <w:spacing w:line="248" w:lineRule="exact"/>
              <w:rPr>
                <w:sz w:val="22"/>
                <w:szCs w:val="22"/>
                <w:lang w:val="sk-SK"/>
              </w:rPr>
            </w:pPr>
            <w:r w:rsidRPr="00741D52">
              <w:rPr>
                <w:sz w:val="22"/>
                <w:szCs w:val="22"/>
                <w:lang w:val="sk-SK"/>
              </w:rPr>
              <w:t>s eozinofíliou a systémovými</w:t>
            </w:r>
          </w:p>
        </w:tc>
      </w:tr>
      <w:tr w:rsidR="00E458B4" w:rsidRPr="00741D52" w14:paraId="735E9353" w14:textId="77777777" w:rsidTr="004F5260">
        <w:trPr>
          <w:trHeight w:val="20"/>
        </w:trPr>
        <w:tc>
          <w:tcPr>
            <w:tcW w:w="2383" w:type="dxa"/>
            <w:tcBorders>
              <w:top w:val="none" w:sz="6" w:space="0" w:color="auto"/>
              <w:left w:val="single" w:sz="4" w:space="0" w:color="000000"/>
              <w:bottom w:val="single" w:sz="4" w:space="0" w:color="000000"/>
              <w:right w:val="single" w:sz="4" w:space="0" w:color="000000"/>
            </w:tcBorders>
          </w:tcPr>
          <w:p w14:paraId="3FB20A99" w14:textId="77777777" w:rsidR="00E458B4" w:rsidRPr="00741D52" w:rsidRDefault="00E458B4">
            <w:pPr>
              <w:rPr>
                <w:szCs w:val="22"/>
              </w:rPr>
            </w:pPr>
          </w:p>
        </w:tc>
        <w:tc>
          <w:tcPr>
            <w:tcW w:w="3769" w:type="dxa"/>
            <w:vMerge/>
            <w:tcBorders>
              <w:top w:val="single" w:sz="4" w:space="0" w:color="000000"/>
              <w:left w:val="single" w:sz="4" w:space="0" w:color="000000"/>
              <w:bottom w:val="single" w:sz="4" w:space="0" w:color="000000"/>
              <w:right w:val="single" w:sz="4" w:space="0" w:color="000000"/>
            </w:tcBorders>
          </w:tcPr>
          <w:p w14:paraId="2C4D68F9" w14:textId="77777777" w:rsidR="00E458B4" w:rsidRPr="00741D52" w:rsidRDefault="00E458B4">
            <w:pPr>
              <w:rPr>
                <w:szCs w:val="22"/>
              </w:rPr>
            </w:pPr>
          </w:p>
        </w:tc>
        <w:tc>
          <w:tcPr>
            <w:tcW w:w="2992" w:type="dxa"/>
            <w:tcBorders>
              <w:top w:val="none" w:sz="6" w:space="0" w:color="auto"/>
              <w:left w:val="single" w:sz="4" w:space="0" w:color="000000"/>
              <w:bottom w:val="single" w:sz="4" w:space="0" w:color="000000"/>
              <w:right w:val="single" w:sz="3" w:space="0" w:color="000000"/>
            </w:tcBorders>
          </w:tcPr>
          <w:p w14:paraId="30C0E6AF" w14:textId="77777777" w:rsidR="00E458B4" w:rsidRPr="00741D52" w:rsidRDefault="00E458B4">
            <w:pPr>
              <w:pStyle w:val="TableParagraph"/>
              <w:kinsoku w:val="0"/>
              <w:overflowPunct w:val="0"/>
              <w:spacing w:line="249" w:lineRule="exact"/>
              <w:rPr>
                <w:sz w:val="22"/>
                <w:szCs w:val="22"/>
                <w:lang w:val="sk-SK"/>
              </w:rPr>
            </w:pPr>
            <w:r w:rsidRPr="00741D52">
              <w:rPr>
                <w:sz w:val="22"/>
                <w:szCs w:val="22"/>
                <w:lang w:val="sk-SK"/>
              </w:rPr>
              <w:t>symptómami^</w:t>
            </w:r>
          </w:p>
        </w:tc>
      </w:tr>
    </w:tbl>
    <w:p w14:paraId="0E46C97F" w14:textId="77777777" w:rsidR="00B54801" w:rsidRPr="00741D52" w:rsidRDefault="004F5260" w:rsidP="00B31CB2">
      <w:pPr>
        <w:ind w:left="0" w:firstLine="0"/>
        <w:rPr>
          <w:sz w:val="18"/>
          <w:szCs w:val="18"/>
        </w:rPr>
      </w:pPr>
      <w:r w:rsidRPr="00741D52">
        <w:rPr>
          <w:rFonts w:eastAsia="TimesNewRomanPSMT"/>
          <w:sz w:val="18"/>
          <w:szCs w:val="18"/>
          <w:lang w:eastAsia="en-US"/>
        </w:rPr>
        <w:t>^Pozri časť 4.8. Popis vybraných nežiaducich reakcií.</w:t>
      </w:r>
    </w:p>
    <w:p w14:paraId="4CACC7CE" w14:textId="77777777" w:rsidR="00B54801" w:rsidRPr="00741D52" w:rsidRDefault="00B54801" w:rsidP="00B31CB2">
      <w:pPr>
        <w:ind w:left="0" w:firstLine="0"/>
        <w:rPr>
          <w:sz w:val="18"/>
          <w:szCs w:val="18"/>
        </w:rPr>
      </w:pPr>
    </w:p>
    <w:p w14:paraId="1B7A0C4B" w14:textId="77777777" w:rsidR="004F5260" w:rsidRPr="003A5C41" w:rsidRDefault="004F5260" w:rsidP="004F5260">
      <w:pPr>
        <w:autoSpaceDE w:val="0"/>
        <w:autoSpaceDN w:val="0"/>
        <w:adjustRightInd w:val="0"/>
        <w:ind w:left="0" w:firstLine="0"/>
        <w:rPr>
          <w:rFonts w:eastAsia="TimesNewRomanPSMT"/>
          <w:szCs w:val="22"/>
          <w:u w:val="single"/>
          <w:lang w:eastAsia="en-US"/>
        </w:rPr>
      </w:pPr>
      <w:r w:rsidRPr="003A5C41">
        <w:rPr>
          <w:rFonts w:eastAsia="TimesNewRomanPSMT"/>
          <w:szCs w:val="22"/>
          <w:u w:val="single"/>
          <w:lang w:eastAsia="en-US"/>
        </w:rPr>
        <w:t xml:space="preserve">Popis vybraných nežiaducich </w:t>
      </w:r>
      <w:r w:rsidR="008B2D9D" w:rsidRPr="003A5C41">
        <w:rPr>
          <w:rFonts w:eastAsia="TimesNewRomanPSMT"/>
          <w:szCs w:val="22"/>
          <w:u w:val="single"/>
          <w:lang w:eastAsia="en-US"/>
        </w:rPr>
        <w:t>reakcií</w:t>
      </w:r>
    </w:p>
    <w:p w14:paraId="343666A6" w14:textId="77777777" w:rsidR="004F5260" w:rsidRPr="003A5C41" w:rsidRDefault="004F5260" w:rsidP="004F5260">
      <w:pPr>
        <w:autoSpaceDE w:val="0"/>
        <w:autoSpaceDN w:val="0"/>
        <w:adjustRightInd w:val="0"/>
        <w:ind w:left="0" w:firstLine="0"/>
        <w:rPr>
          <w:rFonts w:eastAsia="TimesNewRomanPSMT"/>
          <w:i/>
          <w:iCs/>
          <w:szCs w:val="22"/>
          <w:lang w:eastAsia="en-US"/>
        </w:rPr>
      </w:pPr>
      <w:r w:rsidRPr="003A5C41">
        <w:rPr>
          <w:rFonts w:eastAsia="TimesNewRomanPSMT"/>
          <w:i/>
          <w:iCs/>
          <w:szCs w:val="22"/>
          <w:lang w:eastAsia="en-US"/>
        </w:rPr>
        <w:t>Teratogenicita</w:t>
      </w:r>
    </w:p>
    <w:p w14:paraId="260CBA22" w14:textId="7104BDA8" w:rsidR="004F5260" w:rsidRPr="003A5C41" w:rsidRDefault="004F5260" w:rsidP="004F5260">
      <w:pPr>
        <w:autoSpaceDE w:val="0"/>
        <w:autoSpaceDN w:val="0"/>
        <w:adjustRightInd w:val="0"/>
        <w:ind w:left="0" w:firstLine="0"/>
        <w:rPr>
          <w:rFonts w:eastAsia="TimesNewRomanPSMT"/>
          <w:szCs w:val="22"/>
          <w:lang w:eastAsia="en-US"/>
        </w:rPr>
      </w:pPr>
      <w:r w:rsidRPr="003A5C41">
        <w:rPr>
          <w:rFonts w:eastAsia="TimesNewRomanPSMT"/>
          <w:szCs w:val="22"/>
          <w:lang w:eastAsia="en-US"/>
        </w:rPr>
        <w:t xml:space="preserve">Lenalidomid je štrukturálne príbuzný s talidomidom. Talidomid je </w:t>
      </w:r>
      <w:r w:rsidR="00105B97" w:rsidRPr="00105B97">
        <w:rPr>
          <w:rFonts w:eastAsia="TimesNewRomanPSMT"/>
          <w:szCs w:val="22"/>
          <w:lang w:eastAsia="en-US"/>
        </w:rPr>
        <w:t>liečivo so známym teratogénnym účinkom u ľudí</w:t>
      </w:r>
      <w:r w:rsidRPr="003A5C41">
        <w:rPr>
          <w:rFonts w:eastAsia="TimesNewRomanPSMT"/>
          <w:szCs w:val="22"/>
          <w:lang w:eastAsia="en-US"/>
        </w:rPr>
        <w:t>, ktor</w:t>
      </w:r>
      <w:r w:rsidR="00105B97">
        <w:rPr>
          <w:rFonts w:eastAsia="TimesNewRomanPSMT"/>
          <w:szCs w:val="22"/>
          <w:lang w:eastAsia="en-US"/>
        </w:rPr>
        <w:t>é</w:t>
      </w:r>
      <w:r w:rsidRPr="003A5C41">
        <w:rPr>
          <w:rFonts w:eastAsia="TimesNewRomanPSMT"/>
          <w:szCs w:val="22"/>
          <w:lang w:eastAsia="en-US"/>
        </w:rPr>
        <w:t xml:space="preserve"> spôsobuje závažné život ohrozujúce vrodené chyby. U opíc spôsobil lenalidomid malformácie</w:t>
      </w:r>
      <w:r w:rsidR="00CB1210" w:rsidRPr="003A5C41">
        <w:rPr>
          <w:rFonts w:eastAsia="TimesNewRomanPSMT"/>
          <w:szCs w:val="22"/>
          <w:lang w:eastAsia="en-US"/>
        </w:rPr>
        <w:t xml:space="preserve"> </w:t>
      </w:r>
      <w:r w:rsidRPr="003A5C41">
        <w:rPr>
          <w:rFonts w:eastAsia="TimesNewRomanPSMT"/>
          <w:szCs w:val="22"/>
          <w:lang w:eastAsia="en-US"/>
        </w:rPr>
        <w:t>podobné tým, ktoré boli popísané pre talidomid (pozri časti 4.6 a 5.3). Ak sa lenalidomid užíva počas</w:t>
      </w:r>
      <w:r w:rsidR="00CB1210" w:rsidRPr="003A5C41">
        <w:rPr>
          <w:rFonts w:eastAsia="TimesNewRomanPSMT"/>
          <w:szCs w:val="22"/>
          <w:lang w:eastAsia="en-US"/>
        </w:rPr>
        <w:t xml:space="preserve"> </w:t>
      </w:r>
      <w:r w:rsidRPr="003A5C41">
        <w:rPr>
          <w:rFonts w:eastAsia="TimesNewRomanPSMT"/>
          <w:szCs w:val="22"/>
          <w:lang w:eastAsia="en-US"/>
        </w:rPr>
        <w:t>gravidity, u ľudí sa očakáva teratogénny účinok lenalidomidu.</w:t>
      </w:r>
    </w:p>
    <w:p w14:paraId="514D7D4C" w14:textId="77777777" w:rsidR="00CB1210" w:rsidRPr="003A5C41" w:rsidRDefault="00CB1210" w:rsidP="004F5260">
      <w:pPr>
        <w:autoSpaceDE w:val="0"/>
        <w:autoSpaceDN w:val="0"/>
        <w:adjustRightInd w:val="0"/>
        <w:ind w:left="0" w:firstLine="0"/>
        <w:rPr>
          <w:rFonts w:eastAsia="TimesNewRomanPSMT"/>
          <w:i/>
          <w:iCs/>
          <w:szCs w:val="22"/>
          <w:lang w:eastAsia="en-US"/>
        </w:rPr>
      </w:pPr>
    </w:p>
    <w:p w14:paraId="24CCA95F" w14:textId="77777777" w:rsidR="004F5260" w:rsidRPr="003A5C41" w:rsidRDefault="004F5260" w:rsidP="004F5260">
      <w:pPr>
        <w:autoSpaceDE w:val="0"/>
        <w:autoSpaceDN w:val="0"/>
        <w:adjustRightInd w:val="0"/>
        <w:ind w:left="0" w:firstLine="0"/>
        <w:rPr>
          <w:rFonts w:eastAsia="TimesNewRomanPSMT"/>
          <w:i/>
          <w:iCs/>
          <w:szCs w:val="22"/>
          <w:lang w:eastAsia="en-US"/>
        </w:rPr>
      </w:pPr>
      <w:r w:rsidRPr="003A5C41">
        <w:rPr>
          <w:rFonts w:eastAsia="TimesNewRomanPSMT"/>
          <w:i/>
          <w:iCs/>
          <w:szCs w:val="22"/>
          <w:lang w:eastAsia="en-US"/>
        </w:rPr>
        <w:t>Neutropénia a trombocytopénia</w:t>
      </w:r>
    </w:p>
    <w:p w14:paraId="5A8A7667" w14:textId="5DECBBEF" w:rsidR="004F5260" w:rsidRPr="003A5C41" w:rsidRDefault="004F5260" w:rsidP="00CB1210">
      <w:pPr>
        <w:tabs>
          <w:tab w:val="left" w:pos="851"/>
        </w:tabs>
        <w:autoSpaceDE w:val="0"/>
        <w:autoSpaceDN w:val="0"/>
        <w:adjustRightInd w:val="0"/>
        <w:ind w:left="0" w:firstLine="426"/>
        <w:rPr>
          <w:rFonts w:eastAsia="TimesNewRomanPSMT"/>
          <w:i/>
          <w:szCs w:val="22"/>
          <w:lang w:eastAsia="en-US"/>
        </w:rPr>
      </w:pPr>
      <w:r w:rsidRPr="003A5C41">
        <w:rPr>
          <w:rFonts w:eastAsia="SymbolMT"/>
          <w:szCs w:val="22"/>
          <w:lang w:eastAsia="en-US"/>
        </w:rPr>
        <w:t>•</w:t>
      </w:r>
      <w:r w:rsidR="00CB1210" w:rsidRPr="003A5C41">
        <w:rPr>
          <w:rFonts w:eastAsia="SymbolMT"/>
          <w:szCs w:val="22"/>
          <w:lang w:eastAsia="en-US"/>
        </w:rPr>
        <w:tab/>
      </w:r>
      <w:r w:rsidRPr="003A5C41">
        <w:rPr>
          <w:rFonts w:eastAsia="TimesNewRomanPSMT"/>
          <w:i/>
          <w:szCs w:val="22"/>
          <w:lang w:eastAsia="en-US"/>
        </w:rPr>
        <w:t>Novodiagnostikovaný mnohopočetný myelóm: pacienti, ktorí podstúpili ASCT, liečení</w:t>
      </w:r>
      <w:r w:rsidR="00CB1210" w:rsidRPr="003A5C41">
        <w:rPr>
          <w:rFonts w:eastAsia="TimesNewRomanPSMT"/>
          <w:i/>
          <w:szCs w:val="22"/>
          <w:lang w:eastAsia="en-US"/>
        </w:rPr>
        <w:t xml:space="preserve"> </w:t>
      </w:r>
      <w:r w:rsidRPr="003A5C41">
        <w:rPr>
          <w:rFonts w:eastAsia="TimesNewRomanPSMT"/>
          <w:i/>
          <w:szCs w:val="22"/>
          <w:lang w:eastAsia="en-US"/>
        </w:rPr>
        <w:t>lenalidomidom v udržiavacej dávke</w:t>
      </w:r>
    </w:p>
    <w:p w14:paraId="0CED45E8" w14:textId="10FE539B" w:rsidR="004F5260" w:rsidRPr="003A5C41" w:rsidRDefault="004F5260" w:rsidP="004F5260">
      <w:pPr>
        <w:autoSpaceDE w:val="0"/>
        <w:autoSpaceDN w:val="0"/>
        <w:adjustRightInd w:val="0"/>
        <w:ind w:left="0" w:firstLine="0"/>
        <w:rPr>
          <w:rFonts w:eastAsia="TimesNewRomanPSMT"/>
          <w:szCs w:val="22"/>
          <w:lang w:eastAsia="en-US"/>
        </w:rPr>
      </w:pPr>
      <w:r w:rsidRPr="003A5C41">
        <w:rPr>
          <w:rFonts w:eastAsia="TimesNewRomanPSMT"/>
          <w:szCs w:val="22"/>
          <w:lang w:eastAsia="en-US"/>
        </w:rPr>
        <w:t>Udržiavacia dávka lenalidomidu po ASCT je spájaná so zvýšeným výskytom neutropénie 4. stupňa v</w:t>
      </w:r>
      <w:r w:rsidR="00CB1210" w:rsidRPr="003A5C41">
        <w:rPr>
          <w:rFonts w:eastAsia="TimesNewRomanPSMT"/>
          <w:szCs w:val="22"/>
          <w:lang w:eastAsia="en-US"/>
        </w:rPr>
        <w:t xml:space="preserve"> </w:t>
      </w:r>
      <w:r w:rsidRPr="003A5C41">
        <w:rPr>
          <w:rFonts w:eastAsia="TimesNewRomanPSMT"/>
          <w:szCs w:val="22"/>
          <w:lang w:eastAsia="en-US"/>
        </w:rPr>
        <w:t>porovnaní s udržiavacou dávkou placeba (32,1</w:t>
      </w:r>
      <w:r w:rsidR="00CB1210" w:rsidRPr="003A5C41">
        <w:rPr>
          <w:rFonts w:eastAsia="TimesNewRomanPSMT"/>
          <w:szCs w:val="22"/>
          <w:lang w:eastAsia="en-US"/>
        </w:rPr>
        <w:t>% vs 26,7</w:t>
      </w:r>
      <w:r w:rsidRPr="003A5C41">
        <w:rPr>
          <w:rFonts w:eastAsia="TimesNewRomanPSMT"/>
          <w:szCs w:val="22"/>
          <w:lang w:eastAsia="en-US"/>
        </w:rPr>
        <w:t>% (16,1% vs 1,8% po začiatku udržiavacej</w:t>
      </w:r>
      <w:r w:rsidR="00CB1210" w:rsidRPr="003A5C41">
        <w:rPr>
          <w:rFonts w:eastAsia="TimesNewRomanPSMT"/>
          <w:szCs w:val="22"/>
          <w:lang w:eastAsia="en-US"/>
        </w:rPr>
        <w:t xml:space="preserve"> </w:t>
      </w:r>
      <w:r w:rsidRPr="003A5C41">
        <w:rPr>
          <w:rFonts w:eastAsia="TimesNewRomanPSMT"/>
          <w:szCs w:val="22"/>
          <w:lang w:eastAsia="en-US"/>
        </w:rPr>
        <w:t>liečby)) v CALGB 100104 a 16,4% vs 0,7% v IFM 2005-02 v uvedenom poradí). Neutropénia ako</w:t>
      </w:r>
      <w:r w:rsidR="00CB1210" w:rsidRPr="003A5C41">
        <w:rPr>
          <w:rFonts w:eastAsia="TimesNewRomanPSMT"/>
          <w:szCs w:val="22"/>
          <w:lang w:eastAsia="en-US"/>
        </w:rPr>
        <w:t xml:space="preserve"> </w:t>
      </w:r>
      <w:r w:rsidRPr="003A5C41">
        <w:rPr>
          <w:rFonts w:eastAsia="TimesNewRomanPSMT"/>
          <w:szCs w:val="22"/>
          <w:lang w:eastAsia="en-US"/>
        </w:rPr>
        <w:t>nežiaduca udalosť súvisiaca s liečbou, vedúca k prerušeniu liečby lenalidomidom, bola hlásená u 2,2%</w:t>
      </w:r>
      <w:r w:rsidR="00CB1210" w:rsidRPr="003A5C41">
        <w:rPr>
          <w:rFonts w:eastAsia="TimesNewRomanPSMT"/>
          <w:szCs w:val="22"/>
          <w:lang w:eastAsia="en-US"/>
        </w:rPr>
        <w:t xml:space="preserve"> </w:t>
      </w:r>
      <w:r w:rsidRPr="003A5C41">
        <w:rPr>
          <w:rFonts w:eastAsia="TimesNewRomanPSMT"/>
          <w:szCs w:val="22"/>
          <w:lang w:eastAsia="en-US"/>
        </w:rPr>
        <w:t>pacientov v CALGB 100104 a 2,4% pacientov v IFM 2005-02 v uvedenom poradí. Febrilná neutropénia</w:t>
      </w:r>
      <w:r w:rsidR="00CB1210" w:rsidRPr="003A5C41">
        <w:rPr>
          <w:rFonts w:eastAsia="TimesNewRomanPSMT"/>
          <w:szCs w:val="22"/>
          <w:lang w:eastAsia="en-US"/>
        </w:rPr>
        <w:t xml:space="preserve"> </w:t>
      </w:r>
      <w:r w:rsidRPr="003A5C41">
        <w:rPr>
          <w:rFonts w:eastAsia="TimesNewRomanPSMT"/>
          <w:szCs w:val="22"/>
          <w:lang w:eastAsia="en-US"/>
        </w:rPr>
        <w:t xml:space="preserve">4. stupňa bola hlásená s podobnou frekvenciou v </w:t>
      </w:r>
      <w:r w:rsidR="00DD1E44">
        <w:rPr>
          <w:rFonts w:eastAsia="TimesNewRomanPSMT"/>
          <w:szCs w:val="22"/>
          <w:lang w:eastAsia="en-US"/>
        </w:rPr>
        <w:t>skupinách</w:t>
      </w:r>
      <w:r w:rsidRPr="003A5C41">
        <w:rPr>
          <w:rFonts w:eastAsia="TimesNewRomanPSMT"/>
          <w:szCs w:val="22"/>
          <w:lang w:eastAsia="en-US"/>
        </w:rPr>
        <w:t xml:space="preserve"> s udržiavacou dávkou lenalidomidu v</w:t>
      </w:r>
      <w:r w:rsidR="00CB1210" w:rsidRPr="003A5C41">
        <w:rPr>
          <w:rFonts w:eastAsia="TimesNewRomanPSMT"/>
          <w:szCs w:val="22"/>
          <w:lang w:eastAsia="en-US"/>
        </w:rPr>
        <w:t xml:space="preserve"> </w:t>
      </w:r>
      <w:r w:rsidRPr="003A5C41">
        <w:rPr>
          <w:rFonts w:eastAsia="TimesNewRomanPSMT"/>
          <w:szCs w:val="22"/>
          <w:lang w:eastAsia="en-US"/>
        </w:rPr>
        <w:t>porovnaní s</w:t>
      </w:r>
      <w:r w:rsidR="00080264">
        <w:rPr>
          <w:rFonts w:eastAsia="TimesNewRomanPSMT"/>
          <w:szCs w:val="22"/>
          <w:lang w:eastAsia="en-US"/>
        </w:rPr>
        <w:t>o</w:t>
      </w:r>
      <w:r w:rsidRPr="003A5C41">
        <w:rPr>
          <w:rFonts w:eastAsia="TimesNewRomanPSMT"/>
          <w:szCs w:val="22"/>
          <w:lang w:eastAsia="en-US"/>
        </w:rPr>
        <w:t xml:space="preserve"> </w:t>
      </w:r>
      <w:r w:rsidR="00DD1E44">
        <w:rPr>
          <w:rFonts w:eastAsia="TimesNewRomanPSMT"/>
          <w:szCs w:val="22"/>
          <w:lang w:eastAsia="en-US"/>
        </w:rPr>
        <w:t>skupinami</w:t>
      </w:r>
      <w:r w:rsidRPr="003A5C41">
        <w:rPr>
          <w:rFonts w:eastAsia="TimesNewRomanPSMT"/>
          <w:szCs w:val="22"/>
          <w:lang w:eastAsia="en-US"/>
        </w:rPr>
        <w:t xml:space="preserve"> s placebom v udržiavacej terapii v oboch štúdiách (0,4% vs 0,5% (0,4% vs 0,5%</w:t>
      </w:r>
      <w:r w:rsidR="00CB1210" w:rsidRPr="003A5C41">
        <w:rPr>
          <w:rFonts w:eastAsia="TimesNewRomanPSMT"/>
          <w:szCs w:val="22"/>
          <w:lang w:eastAsia="en-US"/>
        </w:rPr>
        <w:t xml:space="preserve"> </w:t>
      </w:r>
      <w:r w:rsidRPr="003A5C41">
        <w:rPr>
          <w:rFonts w:eastAsia="TimesNewRomanPSMT"/>
          <w:szCs w:val="22"/>
          <w:lang w:eastAsia="en-US"/>
        </w:rPr>
        <w:t>po začiatku udržiavacej liečby)) v CALGB 100104 a 0,3% vs 0% v IFM 2005-02 v uvedenom poradí).</w:t>
      </w:r>
    </w:p>
    <w:p w14:paraId="059F8BC2" w14:textId="77777777" w:rsidR="00CB1210" w:rsidRPr="003A5C41" w:rsidRDefault="00CB1210" w:rsidP="004F5260">
      <w:pPr>
        <w:autoSpaceDE w:val="0"/>
        <w:autoSpaceDN w:val="0"/>
        <w:adjustRightInd w:val="0"/>
        <w:ind w:left="0" w:firstLine="0"/>
        <w:rPr>
          <w:rFonts w:eastAsia="TimesNewRomanPSMT"/>
          <w:szCs w:val="22"/>
          <w:lang w:eastAsia="en-US"/>
        </w:rPr>
      </w:pPr>
    </w:p>
    <w:p w14:paraId="54C146F9" w14:textId="77777777" w:rsidR="00B54801" w:rsidRPr="003A5C41" w:rsidRDefault="004F5260" w:rsidP="00CB1210">
      <w:pPr>
        <w:autoSpaceDE w:val="0"/>
        <w:autoSpaceDN w:val="0"/>
        <w:adjustRightInd w:val="0"/>
        <w:ind w:left="0" w:firstLine="0"/>
        <w:rPr>
          <w:rFonts w:eastAsia="TimesNewRomanPSMT"/>
          <w:szCs w:val="22"/>
          <w:lang w:eastAsia="en-US"/>
        </w:rPr>
      </w:pPr>
      <w:r w:rsidRPr="003A5C41">
        <w:rPr>
          <w:rFonts w:eastAsia="TimesNewRomanPSMT"/>
          <w:szCs w:val="22"/>
          <w:lang w:eastAsia="en-US"/>
        </w:rPr>
        <w:t>Udržiavacia dávka lenalidomidu po ASCT je spájaná so zvýšeným výskytom trombocytopénie 3. alebo 4.</w:t>
      </w:r>
      <w:r w:rsidR="00CB1210" w:rsidRPr="003A5C41">
        <w:rPr>
          <w:rFonts w:eastAsia="TimesNewRomanPSMT"/>
          <w:szCs w:val="22"/>
          <w:lang w:eastAsia="en-US"/>
        </w:rPr>
        <w:t xml:space="preserve"> </w:t>
      </w:r>
      <w:r w:rsidRPr="003A5C41">
        <w:rPr>
          <w:rFonts w:eastAsia="TimesNewRomanPSMT"/>
          <w:szCs w:val="22"/>
          <w:lang w:eastAsia="en-US"/>
        </w:rPr>
        <w:t>stupňa v porovnaní s udržiavacou dávkou placeba v (37,5% vs 30,3% (17,9% vs 4,1% po začiatku</w:t>
      </w:r>
      <w:r w:rsidR="00CB1210" w:rsidRPr="003A5C41">
        <w:rPr>
          <w:rFonts w:eastAsia="TimesNewRomanPSMT"/>
          <w:szCs w:val="22"/>
          <w:lang w:eastAsia="en-US"/>
        </w:rPr>
        <w:t xml:space="preserve"> </w:t>
      </w:r>
      <w:r w:rsidRPr="003A5C41">
        <w:rPr>
          <w:rFonts w:eastAsia="TimesNewRomanPSMT"/>
          <w:szCs w:val="22"/>
          <w:lang w:eastAsia="en-US"/>
        </w:rPr>
        <w:t>udržiavacej liečby)) v CALGB 100104 a 13,0% vs 2,9% v IFM 2005-02 v uvedenom poradí).</w:t>
      </w:r>
    </w:p>
    <w:p w14:paraId="15CCB2D3" w14:textId="77777777" w:rsidR="00CB1210" w:rsidRPr="003A5C41" w:rsidRDefault="00CB1210" w:rsidP="00CB1210">
      <w:pPr>
        <w:autoSpaceDE w:val="0"/>
        <w:autoSpaceDN w:val="0"/>
        <w:adjustRightInd w:val="0"/>
        <w:ind w:left="0" w:firstLine="0"/>
        <w:rPr>
          <w:szCs w:val="22"/>
        </w:rPr>
      </w:pPr>
    </w:p>
    <w:p w14:paraId="68F4FF7F" w14:textId="07DA0F2B" w:rsidR="004F5260" w:rsidRPr="003A5C41" w:rsidRDefault="004F5260" w:rsidP="00CB1210">
      <w:pPr>
        <w:tabs>
          <w:tab w:val="left" w:pos="851"/>
        </w:tabs>
        <w:autoSpaceDE w:val="0"/>
        <w:autoSpaceDN w:val="0"/>
        <w:adjustRightInd w:val="0"/>
        <w:ind w:left="0" w:firstLine="426"/>
        <w:rPr>
          <w:rFonts w:eastAsia="TimesNewRomanPSMT"/>
          <w:color w:val="222222"/>
          <w:szCs w:val="22"/>
          <w:lang w:eastAsia="en-US"/>
        </w:rPr>
      </w:pPr>
      <w:r w:rsidRPr="003A5C41">
        <w:rPr>
          <w:rFonts w:eastAsia="SymbolMT"/>
          <w:color w:val="000000"/>
          <w:szCs w:val="22"/>
          <w:lang w:eastAsia="en-US"/>
        </w:rPr>
        <w:t>•</w:t>
      </w:r>
      <w:r w:rsidR="00CB1210" w:rsidRPr="003A5C41">
        <w:rPr>
          <w:rFonts w:eastAsia="SymbolMT"/>
          <w:color w:val="000000"/>
          <w:szCs w:val="22"/>
          <w:lang w:eastAsia="en-US"/>
        </w:rPr>
        <w:tab/>
      </w:r>
      <w:r w:rsidRPr="003A5C41">
        <w:rPr>
          <w:rFonts w:eastAsia="TimesNewRomanPSMT"/>
          <w:i/>
          <w:color w:val="222222"/>
          <w:szCs w:val="22"/>
          <w:lang w:eastAsia="en-US"/>
        </w:rPr>
        <w:t>Novodiagnostikovaný mnohopočetný myelóm: pacienti, ktorí nie sú spôsobilí na transplantáciu,</w:t>
      </w:r>
      <w:r w:rsidR="00CB1210" w:rsidRPr="003A5C41">
        <w:rPr>
          <w:rFonts w:eastAsia="TimesNewRomanPSMT"/>
          <w:i/>
          <w:color w:val="222222"/>
          <w:szCs w:val="22"/>
          <w:lang w:eastAsia="en-US"/>
        </w:rPr>
        <w:t xml:space="preserve"> </w:t>
      </w:r>
      <w:r w:rsidRPr="003A5C41">
        <w:rPr>
          <w:rFonts w:eastAsia="TimesNewRomanPSMT"/>
          <w:i/>
          <w:color w:val="222222"/>
          <w:szCs w:val="22"/>
          <w:lang w:eastAsia="en-US"/>
        </w:rPr>
        <w:t>liečení lenalidomidom v kombinácii s nízkou dávkou dexametazónu</w:t>
      </w:r>
    </w:p>
    <w:p w14:paraId="19FAA9D8" w14:textId="53849E64" w:rsidR="004F5260" w:rsidRPr="003A5C41" w:rsidRDefault="004F5260" w:rsidP="004F5260">
      <w:pPr>
        <w:autoSpaceDE w:val="0"/>
        <w:autoSpaceDN w:val="0"/>
        <w:adjustRightInd w:val="0"/>
        <w:ind w:left="0" w:firstLine="0"/>
        <w:rPr>
          <w:rFonts w:eastAsia="TimesNewRomanPSMT"/>
          <w:color w:val="000000"/>
          <w:szCs w:val="22"/>
          <w:lang w:eastAsia="en-US"/>
        </w:rPr>
      </w:pPr>
      <w:r w:rsidRPr="003A5C41">
        <w:rPr>
          <w:rFonts w:eastAsia="SymbolMT"/>
          <w:color w:val="000000"/>
          <w:szCs w:val="22"/>
          <w:lang w:eastAsia="en-US"/>
        </w:rPr>
        <w:t>Kombinácia lenalidomidu s nízkou dávkou dexametazónu u novodiagnostikovaných pacientov</w:t>
      </w:r>
      <w:r w:rsidR="00CB1210" w:rsidRPr="003A5C41">
        <w:rPr>
          <w:rFonts w:eastAsia="SymbolMT"/>
          <w:color w:val="000000"/>
          <w:szCs w:val="22"/>
          <w:lang w:eastAsia="en-US"/>
        </w:rPr>
        <w:t xml:space="preserve"> </w:t>
      </w:r>
      <w:r w:rsidRPr="003A5C41">
        <w:rPr>
          <w:rFonts w:eastAsia="TimesNewRomanPSMT"/>
          <w:color w:val="000000"/>
          <w:szCs w:val="22"/>
          <w:lang w:eastAsia="en-US"/>
        </w:rPr>
        <w:t>s mnohopočetným myelómom je spojená so zníženým výskytom neutropénie 4. stupň</w:t>
      </w:r>
      <w:r w:rsidR="00CB1210" w:rsidRPr="003A5C41">
        <w:rPr>
          <w:rFonts w:eastAsia="TimesNewRomanPSMT"/>
          <w:color w:val="000000"/>
          <w:szCs w:val="22"/>
          <w:lang w:eastAsia="en-US"/>
        </w:rPr>
        <w:t>a (8,5</w:t>
      </w:r>
      <w:r w:rsidRPr="003A5C41">
        <w:rPr>
          <w:rFonts w:eastAsia="TimesNewRomanPSMT"/>
          <w:color w:val="000000"/>
          <w:szCs w:val="22"/>
          <w:lang w:eastAsia="en-US"/>
        </w:rPr>
        <w:t>% pri Rd aRd18), v porovnaní s MPT (15%). Febrilná neutropénia 4. stupňa bola pozorovaná zriedkavo (0,6% pri</w:t>
      </w:r>
      <w:r w:rsidR="00CB1210" w:rsidRPr="003A5C41">
        <w:rPr>
          <w:rFonts w:eastAsia="TimesNewRomanPSMT"/>
          <w:color w:val="000000"/>
          <w:szCs w:val="22"/>
          <w:lang w:eastAsia="en-US"/>
        </w:rPr>
        <w:t xml:space="preserve"> </w:t>
      </w:r>
      <w:r w:rsidRPr="003A5C41">
        <w:rPr>
          <w:rFonts w:eastAsia="TimesNewRomanPSMT"/>
          <w:color w:val="000000"/>
          <w:szCs w:val="22"/>
          <w:lang w:eastAsia="en-US"/>
        </w:rPr>
        <w:t>Rd a Rd18 v porovnaní s 0,7% pri MPT).</w:t>
      </w:r>
    </w:p>
    <w:p w14:paraId="40527CDD" w14:textId="77777777" w:rsidR="00CB1210" w:rsidRPr="003A5C41" w:rsidRDefault="00CB1210" w:rsidP="004F5260">
      <w:pPr>
        <w:autoSpaceDE w:val="0"/>
        <w:autoSpaceDN w:val="0"/>
        <w:adjustRightInd w:val="0"/>
        <w:ind w:left="0" w:firstLine="0"/>
        <w:rPr>
          <w:rFonts w:eastAsia="TimesNewRomanPSMT"/>
          <w:color w:val="000000"/>
          <w:szCs w:val="22"/>
          <w:lang w:eastAsia="en-US"/>
        </w:rPr>
      </w:pPr>
    </w:p>
    <w:p w14:paraId="378D095F" w14:textId="21BD3DE5" w:rsidR="004F5260" w:rsidRPr="003A5C41" w:rsidRDefault="004F5260" w:rsidP="004F5260">
      <w:pPr>
        <w:autoSpaceDE w:val="0"/>
        <w:autoSpaceDN w:val="0"/>
        <w:adjustRightInd w:val="0"/>
        <w:ind w:left="0" w:firstLine="0"/>
        <w:rPr>
          <w:rFonts w:eastAsia="TimesNewRomanPSMT"/>
          <w:color w:val="000000"/>
          <w:szCs w:val="22"/>
          <w:lang w:eastAsia="en-US"/>
        </w:rPr>
      </w:pPr>
      <w:r w:rsidRPr="003A5C41">
        <w:rPr>
          <w:rFonts w:eastAsia="TimesNewRomanPSMT"/>
          <w:color w:val="000000"/>
          <w:szCs w:val="22"/>
          <w:lang w:eastAsia="en-US"/>
        </w:rPr>
        <w:t>Kombinácia lenalidomidu s nízkou dávkou dexametazónu u novodiagnostikovaných pacientov</w:t>
      </w:r>
      <w:r w:rsidR="000A4569" w:rsidRPr="003A5C41">
        <w:rPr>
          <w:rFonts w:eastAsia="TimesNewRomanPSMT"/>
          <w:color w:val="000000"/>
          <w:szCs w:val="22"/>
          <w:lang w:eastAsia="en-US"/>
        </w:rPr>
        <w:t xml:space="preserve"> </w:t>
      </w:r>
      <w:r w:rsidRPr="003A5C41">
        <w:rPr>
          <w:rFonts w:eastAsia="TimesNewRomanPSMT"/>
          <w:color w:val="000000"/>
          <w:szCs w:val="22"/>
          <w:lang w:eastAsia="en-US"/>
        </w:rPr>
        <w:t>s mnohopočetným myelómom je spojená so zníženým výskytom trombocytopénie 3. a 4. stupňa (8,1%</w:t>
      </w:r>
    </w:p>
    <w:p w14:paraId="38AD483F" w14:textId="77777777" w:rsidR="004F5260" w:rsidRPr="003A5C41" w:rsidRDefault="004F5260" w:rsidP="004F5260">
      <w:pPr>
        <w:autoSpaceDE w:val="0"/>
        <w:autoSpaceDN w:val="0"/>
        <w:adjustRightInd w:val="0"/>
        <w:ind w:left="0" w:firstLine="0"/>
        <w:rPr>
          <w:rFonts w:eastAsia="TimesNewRomanPSMT"/>
          <w:color w:val="000000"/>
          <w:szCs w:val="22"/>
          <w:lang w:eastAsia="en-US"/>
        </w:rPr>
      </w:pPr>
      <w:r w:rsidRPr="003A5C41">
        <w:rPr>
          <w:rFonts w:eastAsia="TimesNewRomanPSMT"/>
          <w:color w:val="000000"/>
          <w:szCs w:val="22"/>
          <w:lang w:eastAsia="en-US"/>
        </w:rPr>
        <w:t>pri Rd a Rd18) v porovnaní s MPT (11%).</w:t>
      </w:r>
    </w:p>
    <w:p w14:paraId="6AB95E58" w14:textId="77777777" w:rsidR="000A4569" w:rsidRPr="003A5C41" w:rsidRDefault="000A4569" w:rsidP="004F5260">
      <w:pPr>
        <w:autoSpaceDE w:val="0"/>
        <w:autoSpaceDN w:val="0"/>
        <w:adjustRightInd w:val="0"/>
        <w:ind w:left="0" w:firstLine="0"/>
        <w:rPr>
          <w:rFonts w:eastAsia="SymbolMT"/>
          <w:color w:val="000000"/>
          <w:szCs w:val="22"/>
          <w:lang w:eastAsia="en-US"/>
        </w:rPr>
      </w:pPr>
    </w:p>
    <w:p w14:paraId="64653E6B" w14:textId="73FC2C51" w:rsidR="004F5260" w:rsidRPr="003A5C41" w:rsidRDefault="004F5260" w:rsidP="000A4569">
      <w:pPr>
        <w:tabs>
          <w:tab w:val="left" w:pos="851"/>
        </w:tabs>
        <w:autoSpaceDE w:val="0"/>
        <w:autoSpaceDN w:val="0"/>
        <w:adjustRightInd w:val="0"/>
        <w:ind w:left="0" w:firstLine="426"/>
        <w:rPr>
          <w:rFonts w:eastAsia="TimesNewRomanPSMT"/>
          <w:color w:val="000000"/>
          <w:szCs w:val="22"/>
          <w:lang w:eastAsia="en-US"/>
        </w:rPr>
      </w:pPr>
      <w:r w:rsidRPr="003A5C41">
        <w:rPr>
          <w:rFonts w:eastAsia="SymbolMT"/>
          <w:color w:val="000000"/>
          <w:szCs w:val="22"/>
          <w:lang w:eastAsia="en-US"/>
        </w:rPr>
        <w:t>•</w:t>
      </w:r>
      <w:r w:rsidR="000A4569" w:rsidRPr="003A5C41">
        <w:rPr>
          <w:rFonts w:eastAsia="SymbolMT"/>
          <w:color w:val="000000"/>
          <w:szCs w:val="22"/>
          <w:lang w:eastAsia="en-US"/>
        </w:rPr>
        <w:tab/>
      </w:r>
      <w:r w:rsidRPr="003A5C41">
        <w:rPr>
          <w:rFonts w:eastAsia="TimesNewRomanPSMT"/>
          <w:i/>
          <w:color w:val="222222"/>
          <w:szCs w:val="22"/>
          <w:lang w:eastAsia="en-US"/>
        </w:rPr>
        <w:t>Novodiagnostikovaný mnohopočetný myelóm: pacienti, ktorí nie sú spôsobilí na transplantáciu,</w:t>
      </w:r>
      <w:r w:rsidR="000A4569" w:rsidRPr="003A5C41">
        <w:rPr>
          <w:rFonts w:eastAsia="TimesNewRomanPSMT"/>
          <w:i/>
          <w:color w:val="222222"/>
          <w:szCs w:val="22"/>
          <w:lang w:eastAsia="en-US"/>
        </w:rPr>
        <w:t xml:space="preserve"> </w:t>
      </w:r>
      <w:r w:rsidRPr="003A5C41">
        <w:rPr>
          <w:rFonts w:eastAsia="TimesNewRomanPSMT"/>
          <w:i/>
          <w:color w:val="222222"/>
          <w:szCs w:val="22"/>
          <w:lang w:eastAsia="en-US"/>
        </w:rPr>
        <w:t xml:space="preserve">liečení lenalidomidom v kombinácii </w:t>
      </w:r>
      <w:r w:rsidRPr="003A5C41">
        <w:rPr>
          <w:rFonts w:eastAsia="TimesNewRomanPSMT"/>
          <w:i/>
          <w:color w:val="000000"/>
          <w:szCs w:val="22"/>
          <w:lang w:eastAsia="en-US"/>
        </w:rPr>
        <w:t>s melfalánom a prednizónom</w:t>
      </w:r>
    </w:p>
    <w:p w14:paraId="1B1870A8" w14:textId="2C3D0D1F" w:rsidR="004F5260" w:rsidRPr="003A5C41" w:rsidRDefault="004F5260" w:rsidP="004F5260">
      <w:pPr>
        <w:autoSpaceDE w:val="0"/>
        <w:autoSpaceDN w:val="0"/>
        <w:adjustRightInd w:val="0"/>
        <w:ind w:left="0" w:firstLine="0"/>
        <w:rPr>
          <w:rFonts w:eastAsia="TimesNewRomanPSMT"/>
          <w:color w:val="000000"/>
          <w:szCs w:val="22"/>
          <w:lang w:eastAsia="en-US"/>
        </w:rPr>
      </w:pPr>
      <w:r w:rsidRPr="003A5C41">
        <w:rPr>
          <w:rFonts w:eastAsia="TimesNewRomanPSMT"/>
          <w:color w:val="000000"/>
          <w:szCs w:val="22"/>
          <w:lang w:eastAsia="en-US"/>
        </w:rPr>
        <w:t>Kombinácia lenalidomidu s melfalánom a prednizónom u novodiagnostikovaných pacientov s</w:t>
      </w:r>
      <w:r w:rsidR="000A4569" w:rsidRPr="003A5C41">
        <w:rPr>
          <w:rFonts w:eastAsia="TimesNewRomanPSMT"/>
          <w:color w:val="000000"/>
          <w:szCs w:val="22"/>
          <w:lang w:eastAsia="en-US"/>
        </w:rPr>
        <w:t xml:space="preserve"> </w:t>
      </w:r>
      <w:r w:rsidRPr="003A5C41">
        <w:rPr>
          <w:rFonts w:eastAsia="TimesNewRomanPSMT"/>
          <w:color w:val="000000"/>
          <w:szCs w:val="22"/>
          <w:lang w:eastAsia="en-US"/>
        </w:rPr>
        <w:t>mnohopočetným myelómom je spojená s vyšším výskytom neutropénie 4. stupňa (34,1% pri MPR + R/MPR + p) v porovnaní s MPp + p (7,8%). Bol pozorovaný vyšší výskyt febrilnej neutropénie 4. stupňa</w:t>
      </w:r>
      <w:r w:rsidR="000A4569" w:rsidRPr="003A5C41">
        <w:rPr>
          <w:rFonts w:eastAsia="TimesNewRomanPSMT"/>
          <w:color w:val="000000"/>
          <w:szCs w:val="22"/>
          <w:lang w:eastAsia="en-US"/>
        </w:rPr>
        <w:t xml:space="preserve"> </w:t>
      </w:r>
      <w:r w:rsidRPr="003A5C41">
        <w:rPr>
          <w:rFonts w:eastAsia="TimesNewRomanPSMT"/>
          <w:color w:val="000000"/>
          <w:szCs w:val="22"/>
          <w:lang w:eastAsia="en-US"/>
        </w:rPr>
        <w:t>(1,7% pri MPR + R/MPR + p v porovnaní s 0,0% pri MPp + p).</w:t>
      </w:r>
    </w:p>
    <w:p w14:paraId="13A69215" w14:textId="77777777" w:rsidR="000A4569" w:rsidRPr="003A5C41" w:rsidRDefault="000A4569" w:rsidP="004F5260">
      <w:pPr>
        <w:autoSpaceDE w:val="0"/>
        <w:autoSpaceDN w:val="0"/>
        <w:adjustRightInd w:val="0"/>
        <w:ind w:left="0" w:firstLine="0"/>
        <w:rPr>
          <w:rFonts w:eastAsia="TimesNewRomanPSMT"/>
          <w:color w:val="000000"/>
          <w:szCs w:val="22"/>
          <w:lang w:eastAsia="en-US"/>
        </w:rPr>
      </w:pPr>
    </w:p>
    <w:p w14:paraId="783EFA2E" w14:textId="3D2D351B" w:rsidR="004F5260" w:rsidRPr="003A5C41" w:rsidRDefault="004F5260" w:rsidP="004F5260">
      <w:pPr>
        <w:autoSpaceDE w:val="0"/>
        <w:autoSpaceDN w:val="0"/>
        <w:adjustRightInd w:val="0"/>
        <w:ind w:left="0" w:firstLine="0"/>
        <w:rPr>
          <w:rFonts w:eastAsia="TimesNewRomanPSMT"/>
          <w:color w:val="000000"/>
          <w:szCs w:val="22"/>
          <w:lang w:eastAsia="en-US"/>
        </w:rPr>
      </w:pPr>
      <w:r w:rsidRPr="003A5C41">
        <w:rPr>
          <w:rFonts w:eastAsia="TimesNewRomanPSMT"/>
          <w:color w:val="000000"/>
          <w:szCs w:val="22"/>
          <w:lang w:eastAsia="en-US"/>
        </w:rPr>
        <w:t>Kombinácia lenalidomidu s melfalánom a prednizónom u novodiagnostikovaných pacientov s</w:t>
      </w:r>
      <w:r w:rsidR="000A4569" w:rsidRPr="003A5C41">
        <w:rPr>
          <w:rFonts w:eastAsia="TimesNewRomanPSMT"/>
          <w:color w:val="000000"/>
          <w:szCs w:val="22"/>
          <w:lang w:eastAsia="en-US"/>
        </w:rPr>
        <w:t xml:space="preserve"> </w:t>
      </w:r>
      <w:r w:rsidRPr="003A5C41">
        <w:rPr>
          <w:rFonts w:eastAsia="TimesNewRomanPSMT"/>
          <w:color w:val="000000"/>
          <w:szCs w:val="22"/>
          <w:lang w:eastAsia="en-US"/>
        </w:rPr>
        <w:t>mnohopočetným myelómom je spojená s vyšším výskytom trombocytopénie 3. a 4. stupň</w:t>
      </w:r>
      <w:r w:rsidR="000A4569" w:rsidRPr="003A5C41">
        <w:rPr>
          <w:rFonts w:eastAsia="TimesNewRomanPSMT"/>
          <w:color w:val="000000"/>
          <w:szCs w:val="22"/>
          <w:lang w:eastAsia="en-US"/>
        </w:rPr>
        <w:t>a (40,4</w:t>
      </w:r>
      <w:r w:rsidRPr="003A5C41">
        <w:rPr>
          <w:rFonts w:eastAsia="TimesNewRomanPSMT"/>
          <w:color w:val="000000"/>
          <w:szCs w:val="22"/>
          <w:lang w:eastAsia="en-US"/>
        </w:rPr>
        <w:t>% pri</w:t>
      </w:r>
    </w:p>
    <w:p w14:paraId="2310ACA6" w14:textId="77777777" w:rsidR="004F5260" w:rsidRPr="003A5C41" w:rsidRDefault="004F5260" w:rsidP="004F5260">
      <w:pPr>
        <w:autoSpaceDE w:val="0"/>
        <w:autoSpaceDN w:val="0"/>
        <w:adjustRightInd w:val="0"/>
        <w:ind w:left="0" w:firstLine="0"/>
        <w:rPr>
          <w:rFonts w:eastAsia="TimesNewRomanPSMT"/>
          <w:color w:val="000000"/>
          <w:szCs w:val="22"/>
          <w:lang w:eastAsia="en-US"/>
        </w:rPr>
      </w:pPr>
      <w:r w:rsidRPr="003A5C41">
        <w:rPr>
          <w:rFonts w:eastAsia="TimesNewRomanPSMT"/>
          <w:color w:val="000000"/>
          <w:szCs w:val="22"/>
          <w:lang w:eastAsia="en-US"/>
        </w:rPr>
        <w:t>MPR + R/MPR + p) v porovnaní s MPp + p (13,7 %).</w:t>
      </w:r>
    </w:p>
    <w:p w14:paraId="51BC328C" w14:textId="77777777" w:rsidR="000A4569" w:rsidRPr="003A5C41" w:rsidRDefault="000A4569" w:rsidP="004F5260">
      <w:pPr>
        <w:autoSpaceDE w:val="0"/>
        <w:autoSpaceDN w:val="0"/>
        <w:adjustRightInd w:val="0"/>
        <w:ind w:left="0" w:firstLine="0"/>
        <w:rPr>
          <w:rFonts w:eastAsia="TimesNewRomanPSMT"/>
          <w:color w:val="000000"/>
          <w:szCs w:val="22"/>
          <w:lang w:eastAsia="en-US"/>
        </w:rPr>
      </w:pPr>
    </w:p>
    <w:p w14:paraId="3BEC0152" w14:textId="77777777" w:rsidR="004F5260" w:rsidRPr="003A5C41" w:rsidRDefault="004F5260" w:rsidP="000A4569">
      <w:pPr>
        <w:autoSpaceDE w:val="0"/>
        <w:autoSpaceDN w:val="0"/>
        <w:adjustRightInd w:val="0"/>
        <w:ind w:left="0" w:firstLine="426"/>
        <w:rPr>
          <w:rFonts w:eastAsia="TimesNewRomanPSMT"/>
          <w:color w:val="000000"/>
          <w:szCs w:val="22"/>
          <w:lang w:eastAsia="en-US"/>
        </w:rPr>
      </w:pPr>
      <w:r w:rsidRPr="003A5C41">
        <w:rPr>
          <w:rFonts w:eastAsia="SymbolMT"/>
          <w:color w:val="000000"/>
          <w:szCs w:val="22"/>
          <w:lang w:eastAsia="en-US"/>
        </w:rPr>
        <w:t>•</w:t>
      </w:r>
      <w:r w:rsidR="000A4569" w:rsidRPr="003A5C41">
        <w:rPr>
          <w:rFonts w:eastAsia="SymbolMT"/>
          <w:color w:val="000000"/>
          <w:szCs w:val="22"/>
          <w:lang w:eastAsia="en-US"/>
        </w:rPr>
        <w:tab/>
      </w:r>
      <w:r w:rsidRPr="003A5C41">
        <w:rPr>
          <w:rFonts w:eastAsia="TimesNewRomanPSMT"/>
          <w:i/>
          <w:color w:val="000000"/>
          <w:szCs w:val="22"/>
          <w:lang w:eastAsia="en-US"/>
        </w:rPr>
        <w:t>Mnohopočetný myelóm: pacienti s aspoň jednou predchádzajúcou liečbou</w:t>
      </w:r>
    </w:p>
    <w:p w14:paraId="67FB862C" w14:textId="77777777" w:rsidR="00B54801" w:rsidRPr="003A5C41" w:rsidRDefault="004F5260" w:rsidP="006A2217">
      <w:pPr>
        <w:autoSpaceDE w:val="0"/>
        <w:autoSpaceDN w:val="0"/>
        <w:adjustRightInd w:val="0"/>
        <w:ind w:left="0" w:firstLine="0"/>
        <w:rPr>
          <w:szCs w:val="22"/>
        </w:rPr>
      </w:pPr>
      <w:r w:rsidRPr="003A5C41">
        <w:rPr>
          <w:rFonts w:eastAsia="TimesNewRomanPSMT"/>
          <w:color w:val="000000"/>
          <w:szCs w:val="22"/>
          <w:lang w:eastAsia="en-US"/>
        </w:rPr>
        <w:t>Kombinovaná liečba lenalidomidom s dexametazónom sa u pacientov s mnohopočetným myelómom</w:t>
      </w:r>
      <w:r w:rsidR="006A2217" w:rsidRPr="003A5C41">
        <w:rPr>
          <w:rFonts w:eastAsia="TimesNewRomanPSMT"/>
          <w:color w:val="000000"/>
          <w:szCs w:val="22"/>
          <w:lang w:eastAsia="en-US"/>
        </w:rPr>
        <w:t xml:space="preserve"> </w:t>
      </w:r>
      <w:r w:rsidRPr="003A5C41">
        <w:rPr>
          <w:rFonts w:eastAsia="TimesNewRomanPSMT"/>
          <w:color w:val="000000"/>
          <w:szCs w:val="22"/>
          <w:lang w:eastAsia="en-US"/>
        </w:rPr>
        <w:t>spája s vyšším výskytom neutropénie 4. stupňa (5,1% u pacientov liečených</w:t>
      </w:r>
      <w:r w:rsidR="006A2217" w:rsidRPr="003A5C41">
        <w:rPr>
          <w:rFonts w:eastAsia="TimesNewRomanPSMT"/>
          <w:color w:val="000000"/>
          <w:szCs w:val="22"/>
          <w:lang w:eastAsia="en-US"/>
        </w:rPr>
        <w:t xml:space="preserve"> </w:t>
      </w:r>
      <w:r w:rsidRPr="003A5C41">
        <w:rPr>
          <w:rFonts w:eastAsia="TimesNewRomanPSMT"/>
          <w:color w:val="000000"/>
          <w:szCs w:val="22"/>
          <w:lang w:eastAsia="en-US"/>
        </w:rPr>
        <w:t>lenalidomidom/dexametazónom v porovnaní s 0,6% u pacientov liečených placebom/dexametazónom).</w:t>
      </w:r>
      <w:r w:rsidR="006A2217" w:rsidRPr="003A5C41">
        <w:rPr>
          <w:rFonts w:eastAsia="TimesNewRomanPSMT"/>
          <w:color w:val="000000"/>
          <w:szCs w:val="22"/>
          <w:lang w:eastAsia="en-US"/>
        </w:rPr>
        <w:t xml:space="preserve"> </w:t>
      </w:r>
      <w:r w:rsidRPr="003A5C41">
        <w:rPr>
          <w:rFonts w:eastAsia="TimesNewRomanPSMT"/>
          <w:color w:val="000000"/>
          <w:szCs w:val="22"/>
          <w:lang w:eastAsia="en-US"/>
        </w:rPr>
        <w:t>Prípady febrilnej neutropénie 4. stupňa boli u pacientov pozorované zriedkavo (0,6% u</w:t>
      </w:r>
      <w:r w:rsidR="006A2217" w:rsidRPr="003A5C41">
        <w:rPr>
          <w:rFonts w:eastAsia="TimesNewRomanPSMT"/>
          <w:color w:val="000000"/>
          <w:szCs w:val="22"/>
          <w:lang w:eastAsia="en-US"/>
        </w:rPr>
        <w:t> </w:t>
      </w:r>
      <w:r w:rsidRPr="003A5C41">
        <w:rPr>
          <w:rFonts w:eastAsia="TimesNewRomanPSMT"/>
          <w:color w:val="000000"/>
          <w:szCs w:val="22"/>
          <w:lang w:eastAsia="en-US"/>
        </w:rPr>
        <w:t>pacientov</w:t>
      </w:r>
      <w:r w:rsidR="006A2217" w:rsidRPr="003A5C41">
        <w:rPr>
          <w:rFonts w:eastAsia="TimesNewRomanPSMT"/>
          <w:color w:val="000000"/>
          <w:szCs w:val="22"/>
          <w:lang w:eastAsia="en-US"/>
        </w:rPr>
        <w:t xml:space="preserve"> </w:t>
      </w:r>
      <w:r w:rsidRPr="003A5C41">
        <w:rPr>
          <w:rFonts w:eastAsia="TimesNewRomanPSMT"/>
          <w:color w:val="000000"/>
          <w:szCs w:val="22"/>
          <w:lang w:eastAsia="en-US"/>
        </w:rPr>
        <w:t>liečených lenalidomidom/dexametazónom v porovnaní s 0,0% u pacientov liečených</w:t>
      </w:r>
      <w:r w:rsidR="006A2217" w:rsidRPr="003A5C41">
        <w:rPr>
          <w:rFonts w:eastAsia="TimesNewRomanPSMT"/>
          <w:color w:val="000000"/>
          <w:szCs w:val="22"/>
          <w:lang w:eastAsia="en-US"/>
        </w:rPr>
        <w:t xml:space="preserve"> </w:t>
      </w:r>
      <w:r w:rsidRPr="003A5C41">
        <w:rPr>
          <w:rFonts w:eastAsia="TimesNewRomanPSMT"/>
          <w:color w:val="000000"/>
          <w:szCs w:val="22"/>
          <w:lang w:eastAsia="en-US"/>
        </w:rPr>
        <w:t>placebom/dexametazónom).</w:t>
      </w:r>
    </w:p>
    <w:p w14:paraId="37572897" w14:textId="77777777" w:rsidR="00B54801" w:rsidRPr="003A5C41" w:rsidRDefault="00B54801" w:rsidP="00B31CB2">
      <w:pPr>
        <w:ind w:left="0" w:firstLine="0"/>
        <w:rPr>
          <w:szCs w:val="22"/>
        </w:rPr>
      </w:pPr>
    </w:p>
    <w:p w14:paraId="25BD0432" w14:textId="77777777" w:rsidR="00A753A4" w:rsidRPr="003A5C41" w:rsidRDefault="00A753A4" w:rsidP="00A753A4">
      <w:pPr>
        <w:autoSpaceDE w:val="0"/>
        <w:autoSpaceDN w:val="0"/>
        <w:adjustRightInd w:val="0"/>
        <w:ind w:left="0" w:firstLine="0"/>
        <w:rPr>
          <w:rFonts w:eastAsia="TimesNewRomanPSMT"/>
          <w:szCs w:val="22"/>
          <w:lang w:eastAsia="en-US"/>
        </w:rPr>
      </w:pPr>
      <w:r w:rsidRPr="003A5C41">
        <w:rPr>
          <w:rFonts w:eastAsia="TimesNewRomanPSMT"/>
          <w:szCs w:val="22"/>
          <w:lang w:eastAsia="en-US"/>
        </w:rPr>
        <w:t>Kombinovaná liečba lenalidomidom s dexametazónom sa u pacientov s mnohopočetným myelómom</w:t>
      </w:r>
      <w:r w:rsidR="00146DC6" w:rsidRPr="003A5C41">
        <w:rPr>
          <w:rFonts w:eastAsia="TimesNewRomanPSMT"/>
          <w:szCs w:val="22"/>
          <w:lang w:eastAsia="en-US"/>
        </w:rPr>
        <w:t xml:space="preserve"> </w:t>
      </w:r>
      <w:r w:rsidRPr="003A5C41">
        <w:rPr>
          <w:rFonts w:eastAsia="TimesNewRomanPSMT"/>
          <w:szCs w:val="22"/>
          <w:lang w:eastAsia="en-US"/>
        </w:rPr>
        <w:t>spája s vyšším výskytom trombocytopénie 3. a 4. stupňa (9,9% a 1,4% u pacientov liečených</w:t>
      </w:r>
      <w:r w:rsidR="00146DC6" w:rsidRPr="003A5C41">
        <w:rPr>
          <w:rFonts w:eastAsia="TimesNewRomanPSMT"/>
          <w:szCs w:val="22"/>
          <w:lang w:eastAsia="en-US"/>
        </w:rPr>
        <w:t xml:space="preserve"> </w:t>
      </w:r>
      <w:r w:rsidRPr="003A5C41">
        <w:rPr>
          <w:rFonts w:eastAsia="TimesNewRomanPSMT"/>
          <w:szCs w:val="22"/>
          <w:lang w:eastAsia="en-US"/>
        </w:rPr>
        <w:t>lenalidomidom/dexametazónom v porovnaní s 2,3% a 0,0% u pacientov liečených</w:t>
      </w:r>
      <w:r w:rsidR="00146DC6" w:rsidRPr="003A5C41">
        <w:rPr>
          <w:rFonts w:eastAsia="TimesNewRomanPSMT"/>
          <w:szCs w:val="22"/>
          <w:lang w:eastAsia="en-US"/>
        </w:rPr>
        <w:t xml:space="preserve"> </w:t>
      </w:r>
      <w:r w:rsidRPr="003A5C41">
        <w:rPr>
          <w:rFonts w:eastAsia="TimesNewRomanPSMT"/>
          <w:szCs w:val="22"/>
          <w:lang w:eastAsia="en-US"/>
        </w:rPr>
        <w:t>placebom/dexametazónom).</w:t>
      </w:r>
    </w:p>
    <w:p w14:paraId="5F56B5BF" w14:textId="77777777" w:rsidR="00146DC6" w:rsidRPr="003A5C41" w:rsidRDefault="00146DC6" w:rsidP="00A753A4">
      <w:pPr>
        <w:autoSpaceDE w:val="0"/>
        <w:autoSpaceDN w:val="0"/>
        <w:adjustRightInd w:val="0"/>
        <w:ind w:left="0" w:firstLine="0"/>
        <w:rPr>
          <w:rFonts w:eastAsia="TimesNewRomanPSMT"/>
          <w:szCs w:val="22"/>
          <w:lang w:eastAsia="en-US"/>
        </w:rPr>
      </w:pPr>
    </w:p>
    <w:p w14:paraId="1C875A73" w14:textId="77777777" w:rsidR="00A753A4" w:rsidRPr="003A5C41" w:rsidRDefault="00A753A4" w:rsidP="00146DC6">
      <w:pPr>
        <w:autoSpaceDE w:val="0"/>
        <w:autoSpaceDN w:val="0"/>
        <w:adjustRightInd w:val="0"/>
        <w:ind w:left="0" w:firstLine="426"/>
        <w:rPr>
          <w:rFonts w:eastAsia="TimesNewRomanPSMT"/>
          <w:szCs w:val="22"/>
          <w:lang w:eastAsia="en-US"/>
        </w:rPr>
      </w:pPr>
      <w:r w:rsidRPr="003A5C41">
        <w:rPr>
          <w:rFonts w:eastAsia="SymbolMT"/>
          <w:szCs w:val="22"/>
          <w:lang w:eastAsia="en-US"/>
        </w:rPr>
        <w:t>•</w:t>
      </w:r>
      <w:r w:rsidR="00146DC6" w:rsidRPr="003A5C41">
        <w:rPr>
          <w:rFonts w:eastAsia="SymbolMT"/>
          <w:szCs w:val="22"/>
          <w:lang w:eastAsia="en-US"/>
        </w:rPr>
        <w:tab/>
      </w:r>
      <w:r w:rsidRPr="003A5C41">
        <w:rPr>
          <w:rFonts w:eastAsia="TimesNewRomanPSMT"/>
          <w:i/>
          <w:szCs w:val="22"/>
          <w:lang w:eastAsia="en-US"/>
        </w:rPr>
        <w:t>Pacienti s myelodysplastickým syndrómom</w:t>
      </w:r>
    </w:p>
    <w:p w14:paraId="0FA59D23" w14:textId="77777777" w:rsidR="00A753A4" w:rsidRPr="003A5C41" w:rsidRDefault="00A753A4" w:rsidP="00A753A4">
      <w:pPr>
        <w:autoSpaceDE w:val="0"/>
        <w:autoSpaceDN w:val="0"/>
        <w:adjustRightInd w:val="0"/>
        <w:ind w:left="0" w:firstLine="0"/>
        <w:rPr>
          <w:rFonts w:eastAsia="TimesNewRomanPSMT"/>
          <w:szCs w:val="22"/>
          <w:lang w:eastAsia="en-US"/>
        </w:rPr>
      </w:pPr>
      <w:r w:rsidRPr="003A5C41">
        <w:rPr>
          <w:rFonts w:eastAsia="TimesNewRomanPSMT"/>
          <w:szCs w:val="22"/>
          <w:lang w:eastAsia="en-US"/>
        </w:rPr>
        <w:t>U pacientov s myelodysplastickým syndrómom je lenalidomid spojený s vyšším výskytom neutropénie 3.</w:t>
      </w:r>
      <w:r w:rsidR="006A50C8" w:rsidRPr="003A5C41">
        <w:rPr>
          <w:rFonts w:eastAsia="TimesNewRomanPSMT"/>
          <w:szCs w:val="22"/>
          <w:lang w:eastAsia="en-US"/>
        </w:rPr>
        <w:t xml:space="preserve"> </w:t>
      </w:r>
      <w:r w:rsidRPr="003A5C41">
        <w:rPr>
          <w:rFonts w:eastAsia="TimesNewRomanPSMT"/>
          <w:szCs w:val="22"/>
          <w:lang w:eastAsia="en-US"/>
        </w:rPr>
        <w:t>alebo 4. stupňa (74,6% u pacientov liečených lenalidomidom v porovnaní s 14,9% u</w:t>
      </w:r>
      <w:r w:rsidR="006A50C8" w:rsidRPr="003A5C41">
        <w:rPr>
          <w:rFonts w:eastAsia="TimesNewRomanPSMT"/>
          <w:szCs w:val="22"/>
          <w:lang w:eastAsia="en-US"/>
        </w:rPr>
        <w:t> </w:t>
      </w:r>
      <w:r w:rsidRPr="003A5C41">
        <w:rPr>
          <w:rFonts w:eastAsia="TimesNewRomanPSMT"/>
          <w:szCs w:val="22"/>
          <w:lang w:eastAsia="en-US"/>
        </w:rPr>
        <w:t>pacientov</w:t>
      </w:r>
      <w:r w:rsidR="006A50C8" w:rsidRPr="003A5C41">
        <w:rPr>
          <w:rFonts w:eastAsia="TimesNewRomanPSMT"/>
          <w:szCs w:val="22"/>
          <w:lang w:eastAsia="en-US"/>
        </w:rPr>
        <w:t xml:space="preserve"> </w:t>
      </w:r>
      <w:r w:rsidRPr="003A5C41">
        <w:rPr>
          <w:rFonts w:eastAsia="TimesNewRomanPSMT"/>
          <w:szCs w:val="22"/>
          <w:lang w:eastAsia="en-US"/>
        </w:rPr>
        <w:t>užívajúcich placebo v štúdii fázy III). Epizódy febrilnej neutropénie 3. alebo 4. stupňa sa pozorovali u</w:t>
      </w:r>
      <w:r w:rsidR="006A50C8" w:rsidRPr="003A5C41">
        <w:rPr>
          <w:rFonts w:eastAsia="TimesNewRomanPSMT"/>
          <w:szCs w:val="22"/>
          <w:lang w:eastAsia="en-US"/>
        </w:rPr>
        <w:t xml:space="preserve"> </w:t>
      </w:r>
      <w:r w:rsidRPr="003A5C41">
        <w:rPr>
          <w:rFonts w:eastAsia="TimesNewRomanPSMT"/>
          <w:szCs w:val="22"/>
          <w:lang w:eastAsia="en-US"/>
        </w:rPr>
        <w:t>2,2% pacientov liečených lenalidomidom v porovnaní s 0,0% u pacientov užívajúcich placebo.</w:t>
      </w:r>
      <w:r w:rsidR="006A50C8" w:rsidRPr="003A5C41">
        <w:rPr>
          <w:rFonts w:eastAsia="TimesNewRomanPSMT"/>
          <w:szCs w:val="22"/>
          <w:lang w:eastAsia="en-US"/>
        </w:rPr>
        <w:t xml:space="preserve"> </w:t>
      </w:r>
      <w:r w:rsidRPr="003A5C41">
        <w:rPr>
          <w:rFonts w:eastAsia="TimesNewRomanPSMT"/>
          <w:szCs w:val="22"/>
          <w:lang w:eastAsia="en-US"/>
        </w:rPr>
        <w:t>Lenalidomid je spojený s vyšším výskytom trombocytopénie 3. alebo 4. stupňa (37% u</w:t>
      </w:r>
      <w:r w:rsidR="006A50C8" w:rsidRPr="003A5C41">
        <w:rPr>
          <w:rFonts w:eastAsia="TimesNewRomanPSMT"/>
          <w:szCs w:val="22"/>
          <w:lang w:eastAsia="en-US"/>
        </w:rPr>
        <w:t> </w:t>
      </w:r>
      <w:r w:rsidRPr="003A5C41">
        <w:rPr>
          <w:rFonts w:eastAsia="TimesNewRomanPSMT"/>
          <w:szCs w:val="22"/>
          <w:lang w:eastAsia="en-US"/>
        </w:rPr>
        <w:t>pacientov</w:t>
      </w:r>
      <w:r w:rsidR="006A50C8" w:rsidRPr="003A5C41">
        <w:rPr>
          <w:rFonts w:eastAsia="TimesNewRomanPSMT"/>
          <w:szCs w:val="22"/>
          <w:lang w:eastAsia="en-US"/>
        </w:rPr>
        <w:t xml:space="preserve"> </w:t>
      </w:r>
      <w:r w:rsidRPr="003A5C41">
        <w:rPr>
          <w:rFonts w:eastAsia="TimesNewRomanPSMT"/>
          <w:szCs w:val="22"/>
          <w:lang w:eastAsia="en-US"/>
        </w:rPr>
        <w:t>liečených lenalidomidom v porovnaní s 1,5% u pacientov užívajúcich placebo v štúdii fázy III).</w:t>
      </w:r>
    </w:p>
    <w:p w14:paraId="5F89F365" w14:textId="77777777" w:rsidR="006A50C8" w:rsidRPr="003A5C41" w:rsidRDefault="006A50C8" w:rsidP="00A753A4">
      <w:pPr>
        <w:autoSpaceDE w:val="0"/>
        <w:autoSpaceDN w:val="0"/>
        <w:adjustRightInd w:val="0"/>
        <w:ind w:left="0" w:firstLine="0"/>
        <w:rPr>
          <w:rFonts w:eastAsia="TimesNewRomanPSMT"/>
          <w:szCs w:val="22"/>
          <w:lang w:eastAsia="en-US"/>
        </w:rPr>
      </w:pPr>
    </w:p>
    <w:p w14:paraId="4A4B65EC" w14:textId="77777777" w:rsidR="00A753A4" w:rsidRPr="003A5C41" w:rsidRDefault="00A753A4" w:rsidP="007052F7">
      <w:pPr>
        <w:autoSpaceDE w:val="0"/>
        <w:autoSpaceDN w:val="0"/>
        <w:adjustRightInd w:val="0"/>
        <w:ind w:left="0" w:firstLine="426"/>
        <w:rPr>
          <w:rFonts w:eastAsia="TimesNewRomanPSMT"/>
          <w:szCs w:val="22"/>
          <w:lang w:eastAsia="en-US"/>
        </w:rPr>
      </w:pPr>
      <w:r w:rsidRPr="003A5C41">
        <w:rPr>
          <w:rFonts w:eastAsia="SymbolMT"/>
          <w:szCs w:val="22"/>
          <w:lang w:eastAsia="en-US"/>
        </w:rPr>
        <w:t>•</w:t>
      </w:r>
      <w:r w:rsidR="007052F7" w:rsidRPr="003A5C41">
        <w:rPr>
          <w:rFonts w:eastAsia="SymbolMT"/>
          <w:szCs w:val="22"/>
          <w:lang w:eastAsia="en-US"/>
        </w:rPr>
        <w:tab/>
      </w:r>
      <w:r w:rsidRPr="003A5C41">
        <w:rPr>
          <w:rFonts w:eastAsia="TimesNewRomanPSMT"/>
          <w:i/>
          <w:szCs w:val="22"/>
          <w:lang w:eastAsia="en-US"/>
        </w:rPr>
        <w:t>Pacienti s lymfómom z plášťových buniek</w:t>
      </w:r>
    </w:p>
    <w:p w14:paraId="4991EEB8" w14:textId="77777777" w:rsidR="00A753A4" w:rsidRPr="003A5C41" w:rsidRDefault="00A753A4" w:rsidP="00A753A4">
      <w:pPr>
        <w:autoSpaceDE w:val="0"/>
        <w:autoSpaceDN w:val="0"/>
        <w:adjustRightInd w:val="0"/>
        <w:ind w:left="0" w:firstLine="0"/>
        <w:rPr>
          <w:rFonts w:eastAsia="TimesNewRomanPSMT"/>
          <w:szCs w:val="22"/>
          <w:lang w:eastAsia="en-US"/>
        </w:rPr>
      </w:pPr>
      <w:r w:rsidRPr="003A5C41">
        <w:rPr>
          <w:rFonts w:eastAsia="TimesNewRomanPSMT"/>
          <w:szCs w:val="22"/>
          <w:lang w:eastAsia="en-US"/>
        </w:rPr>
        <w:t>U pacientov s lymfómom z plášťových buniek je lenalidomid spojený s vyšším výskytom neutropénie 3. a</w:t>
      </w:r>
      <w:r w:rsidR="007052F7" w:rsidRPr="003A5C41">
        <w:rPr>
          <w:rFonts w:eastAsia="TimesNewRomanPSMT"/>
          <w:szCs w:val="22"/>
          <w:lang w:eastAsia="en-US"/>
        </w:rPr>
        <w:t xml:space="preserve"> </w:t>
      </w:r>
      <w:r w:rsidRPr="003A5C41">
        <w:rPr>
          <w:rFonts w:eastAsia="TimesNewRomanPSMT"/>
          <w:szCs w:val="22"/>
          <w:lang w:eastAsia="en-US"/>
        </w:rPr>
        <w:t>4. stupňa (43,7% u pacientov liečených lenalidomidom v porovnaní s 33,7% u pacientov v</w:t>
      </w:r>
      <w:r w:rsidR="007052F7" w:rsidRPr="003A5C41">
        <w:rPr>
          <w:rFonts w:eastAsia="TimesNewRomanPSMT"/>
          <w:szCs w:val="22"/>
          <w:lang w:eastAsia="en-US"/>
        </w:rPr>
        <w:t> </w:t>
      </w:r>
      <w:r w:rsidRPr="003A5C41">
        <w:rPr>
          <w:rFonts w:eastAsia="TimesNewRomanPSMT"/>
          <w:szCs w:val="22"/>
          <w:lang w:eastAsia="en-US"/>
        </w:rPr>
        <w:t>kontrolnej</w:t>
      </w:r>
      <w:r w:rsidR="007052F7" w:rsidRPr="003A5C41">
        <w:rPr>
          <w:rFonts w:eastAsia="TimesNewRomanPSMT"/>
          <w:szCs w:val="22"/>
          <w:lang w:eastAsia="en-US"/>
        </w:rPr>
        <w:t xml:space="preserve"> </w:t>
      </w:r>
      <w:r w:rsidRPr="003A5C41">
        <w:rPr>
          <w:rFonts w:eastAsia="TimesNewRomanPSMT"/>
          <w:szCs w:val="22"/>
          <w:lang w:eastAsia="en-US"/>
        </w:rPr>
        <w:t>skupine štúdie fázy II). 3. alebo 4. stupeň febrilnej neutropénie bol pozorovaný u 6,0% pacientov</w:t>
      </w:r>
      <w:r w:rsidR="007052F7" w:rsidRPr="003A5C41">
        <w:rPr>
          <w:rFonts w:eastAsia="TimesNewRomanPSMT"/>
          <w:szCs w:val="22"/>
          <w:lang w:eastAsia="en-US"/>
        </w:rPr>
        <w:t xml:space="preserve"> </w:t>
      </w:r>
      <w:r w:rsidRPr="003A5C41">
        <w:rPr>
          <w:rFonts w:eastAsia="TimesNewRomanPSMT"/>
          <w:szCs w:val="22"/>
          <w:lang w:eastAsia="en-US"/>
        </w:rPr>
        <w:t>liečených lenalidomidom v porovnaní</w:t>
      </w:r>
      <w:r w:rsidR="007052F7" w:rsidRPr="003A5C41">
        <w:rPr>
          <w:rFonts w:eastAsia="TimesNewRomanPSMT"/>
          <w:szCs w:val="22"/>
          <w:lang w:eastAsia="en-US"/>
        </w:rPr>
        <w:t xml:space="preserve"> s 2,4</w:t>
      </w:r>
      <w:r w:rsidRPr="003A5C41">
        <w:rPr>
          <w:rFonts w:eastAsia="TimesNewRomanPSMT"/>
          <w:szCs w:val="22"/>
          <w:lang w:eastAsia="en-US"/>
        </w:rPr>
        <w:t>% pacientov v kontrolnej skupine.</w:t>
      </w:r>
    </w:p>
    <w:p w14:paraId="7E7FD677" w14:textId="77777777" w:rsidR="007052F7" w:rsidRPr="003A5C41" w:rsidRDefault="007052F7" w:rsidP="00A753A4">
      <w:pPr>
        <w:autoSpaceDE w:val="0"/>
        <w:autoSpaceDN w:val="0"/>
        <w:adjustRightInd w:val="0"/>
        <w:ind w:left="0" w:firstLine="0"/>
        <w:rPr>
          <w:rFonts w:eastAsia="TimesNewRomanPSMT"/>
          <w:i/>
          <w:iCs/>
          <w:szCs w:val="22"/>
          <w:lang w:eastAsia="en-US"/>
        </w:rPr>
      </w:pPr>
    </w:p>
    <w:p w14:paraId="09539A54" w14:textId="77777777" w:rsidR="00A753A4" w:rsidRPr="003A5C41" w:rsidRDefault="00A753A4" w:rsidP="00A753A4">
      <w:pPr>
        <w:autoSpaceDE w:val="0"/>
        <w:autoSpaceDN w:val="0"/>
        <w:adjustRightInd w:val="0"/>
        <w:ind w:left="0" w:firstLine="0"/>
        <w:rPr>
          <w:rFonts w:eastAsia="TimesNewRomanPSMT"/>
          <w:i/>
          <w:iCs/>
          <w:szCs w:val="22"/>
          <w:lang w:eastAsia="en-US"/>
        </w:rPr>
      </w:pPr>
      <w:r w:rsidRPr="003A5C41">
        <w:rPr>
          <w:rFonts w:eastAsia="TimesNewRomanPSMT"/>
          <w:i/>
          <w:iCs/>
          <w:szCs w:val="22"/>
          <w:lang w:eastAsia="en-US"/>
        </w:rPr>
        <w:t>Venózny tromboembolizmus</w:t>
      </w:r>
    </w:p>
    <w:p w14:paraId="67544F2C" w14:textId="77777777" w:rsidR="00A753A4" w:rsidRPr="003A5C41" w:rsidRDefault="00A753A4" w:rsidP="00A753A4">
      <w:pPr>
        <w:autoSpaceDE w:val="0"/>
        <w:autoSpaceDN w:val="0"/>
        <w:adjustRightInd w:val="0"/>
        <w:ind w:left="0" w:firstLine="0"/>
        <w:rPr>
          <w:rFonts w:eastAsia="TimesNewRomanPSMT"/>
          <w:szCs w:val="22"/>
          <w:lang w:eastAsia="en-US"/>
        </w:rPr>
      </w:pPr>
      <w:r w:rsidRPr="003A5C41">
        <w:rPr>
          <w:rFonts w:eastAsia="TimesNewRomanPSMT"/>
          <w:szCs w:val="22"/>
          <w:lang w:eastAsia="en-US"/>
        </w:rPr>
        <w:t>Zvýšené riziko trombózy hlbokých žíl a pľúcnej embólie je spojené s užívaním kombinácie lenalidomidu</w:t>
      </w:r>
      <w:r w:rsidR="007052F7" w:rsidRPr="003A5C41">
        <w:rPr>
          <w:rFonts w:eastAsia="TimesNewRomanPSMT"/>
          <w:szCs w:val="22"/>
          <w:lang w:eastAsia="en-US"/>
        </w:rPr>
        <w:t xml:space="preserve"> </w:t>
      </w:r>
      <w:r w:rsidRPr="003A5C41">
        <w:rPr>
          <w:rFonts w:eastAsia="TimesNewRomanPSMT"/>
          <w:szCs w:val="22"/>
          <w:lang w:eastAsia="en-US"/>
        </w:rPr>
        <w:t>s dexametazónom u pacientov s mnohopočetným myelómom a v menšom rozsahu u pacientov liečených</w:t>
      </w:r>
      <w:r w:rsidR="00C55F11" w:rsidRPr="003A5C41">
        <w:rPr>
          <w:rFonts w:eastAsia="TimesNewRomanPSMT"/>
          <w:szCs w:val="22"/>
          <w:lang w:eastAsia="en-US"/>
        </w:rPr>
        <w:t xml:space="preserve"> </w:t>
      </w:r>
      <w:r w:rsidRPr="003A5C41">
        <w:rPr>
          <w:rFonts w:eastAsia="TimesNewRomanPSMT"/>
          <w:szCs w:val="22"/>
          <w:lang w:eastAsia="en-US"/>
        </w:rPr>
        <w:t xml:space="preserve">lenalidomidom v kombinácii s melfalánom a prednizónom alebo u pacientov </w:t>
      </w:r>
      <w:r w:rsidRPr="003A5C41">
        <w:rPr>
          <w:rFonts w:eastAsia="TimesNewRomanPSMT"/>
          <w:szCs w:val="22"/>
          <w:lang w:eastAsia="en-US"/>
        </w:rPr>
        <w:lastRenderedPageBreak/>
        <w:t>s</w:t>
      </w:r>
      <w:r w:rsidR="00C55F11" w:rsidRPr="003A5C41">
        <w:rPr>
          <w:rFonts w:eastAsia="TimesNewRomanPSMT"/>
          <w:szCs w:val="22"/>
          <w:lang w:eastAsia="en-US"/>
        </w:rPr>
        <w:t> </w:t>
      </w:r>
      <w:r w:rsidRPr="003A5C41">
        <w:rPr>
          <w:rFonts w:eastAsia="TimesNewRomanPSMT"/>
          <w:szCs w:val="22"/>
          <w:lang w:eastAsia="en-US"/>
        </w:rPr>
        <w:t>mnohopočetným</w:t>
      </w:r>
      <w:r w:rsidR="00C55F11" w:rsidRPr="003A5C41">
        <w:rPr>
          <w:rFonts w:eastAsia="TimesNewRomanPSMT"/>
          <w:szCs w:val="22"/>
          <w:lang w:eastAsia="en-US"/>
        </w:rPr>
        <w:t xml:space="preserve"> </w:t>
      </w:r>
      <w:r w:rsidRPr="003A5C41">
        <w:rPr>
          <w:rFonts w:eastAsia="TimesNewRomanPSMT"/>
          <w:szCs w:val="22"/>
          <w:lang w:eastAsia="en-US"/>
        </w:rPr>
        <w:t>myleónom, myelodysplastickým syndrómom a lymfómom z plášťových buniek liečených lenalidomidom</w:t>
      </w:r>
      <w:r w:rsidR="00C55F11" w:rsidRPr="003A5C41">
        <w:rPr>
          <w:rFonts w:eastAsia="TimesNewRomanPSMT"/>
          <w:szCs w:val="22"/>
          <w:lang w:eastAsia="en-US"/>
        </w:rPr>
        <w:t xml:space="preserve"> </w:t>
      </w:r>
      <w:r w:rsidRPr="003A5C41">
        <w:rPr>
          <w:rFonts w:eastAsia="TimesNewRomanPSMT"/>
          <w:szCs w:val="22"/>
          <w:lang w:eastAsia="en-US"/>
        </w:rPr>
        <w:t>v monoterapii (pozri časť 4.5).</w:t>
      </w:r>
    </w:p>
    <w:p w14:paraId="286E2FD7" w14:textId="77777777" w:rsidR="00C55F11" w:rsidRPr="003A5C41" w:rsidRDefault="00C55F11" w:rsidP="00A753A4">
      <w:pPr>
        <w:autoSpaceDE w:val="0"/>
        <w:autoSpaceDN w:val="0"/>
        <w:adjustRightInd w:val="0"/>
        <w:ind w:left="0" w:firstLine="0"/>
        <w:rPr>
          <w:rFonts w:eastAsia="TimesNewRomanPSMT"/>
          <w:szCs w:val="22"/>
          <w:lang w:eastAsia="en-US"/>
        </w:rPr>
      </w:pPr>
    </w:p>
    <w:p w14:paraId="262E1151" w14:textId="63263FA9" w:rsidR="00A753A4" w:rsidRPr="003A5C41" w:rsidRDefault="00A753A4" w:rsidP="00A753A4">
      <w:pPr>
        <w:autoSpaceDE w:val="0"/>
        <w:autoSpaceDN w:val="0"/>
        <w:adjustRightInd w:val="0"/>
        <w:ind w:left="0" w:firstLine="0"/>
        <w:rPr>
          <w:rFonts w:eastAsia="TimesNewRomanPSMT"/>
          <w:szCs w:val="22"/>
          <w:lang w:eastAsia="en-US"/>
        </w:rPr>
      </w:pPr>
      <w:r w:rsidRPr="003A5C41">
        <w:rPr>
          <w:rFonts w:eastAsia="TimesNewRomanPSMT"/>
          <w:szCs w:val="22"/>
          <w:lang w:eastAsia="en-US"/>
        </w:rPr>
        <w:t>Súbežné podávanie erytropoetických látok alebo trombóz</w:t>
      </w:r>
      <w:r w:rsidR="00080264">
        <w:rPr>
          <w:rFonts w:eastAsia="TimesNewRomanPSMT"/>
          <w:szCs w:val="22"/>
          <w:lang w:eastAsia="en-US"/>
        </w:rPr>
        <w:t>a</w:t>
      </w:r>
      <w:r w:rsidRPr="003A5C41">
        <w:rPr>
          <w:rFonts w:eastAsia="TimesNewRomanPSMT"/>
          <w:szCs w:val="22"/>
          <w:lang w:eastAsia="en-US"/>
        </w:rPr>
        <w:t xml:space="preserve"> hlbokých žíl </w:t>
      </w:r>
      <w:r w:rsidR="00080264">
        <w:rPr>
          <w:rFonts w:eastAsia="TimesNewRomanPSMT"/>
          <w:szCs w:val="22"/>
          <w:lang w:eastAsia="en-US"/>
        </w:rPr>
        <w:t xml:space="preserve">v anamnéze </w:t>
      </w:r>
      <w:r w:rsidRPr="003A5C41">
        <w:rPr>
          <w:rFonts w:eastAsia="TimesNewRomanPSMT"/>
          <w:szCs w:val="22"/>
          <w:lang w:eastAsia="en-US"/>
        </w:rPr>
        <w:t>môže</w:t>
      </w:r>
      <w:r w:rsidR="00C55F11" w:rsidRPr="003A5C41">
        <w:rPr>
          <w:rFonts w:eastAsia="TimesNewRomanPSMT"/>
          <w:szCs w:val="22"/>
          <w:lang w:eastAsia="en-US"/>
        </w:rPr>
        <w:t xml:space="preserve"> </w:t>
      </w:r>
      <w:r w:rsidRPr="003A5C41">
        <w:rPr>
          <w:rFonts w:eastAsia="TimesNewRomanPSMT"/>
          <w:szCs w:val="22"/>
          <w:lang w:eastAsia="en-US"/>
        </w:rPr>
        <w:t>u týchto pacientov tiež zvyšovať riziko vzniku trombózy.</w:t>
      </w:r>
    </w:p>
    <w:p w14:paraId="505B0B78" w14:textId="77777777" w:rsidR="00C55F11" w:rsidRPr="003A5C41" w:rsidRDefault="00C55F11" w:rsidP="00A753A4">
      <w:pPr>
        <w:autoSpaceDE w:val="0"/>
        <w:autoSpaceDN w:val="0"/>
        <w:adjustRightInd w:val="0"/>
        <w:ind w:left="0" w:firstLine="0"/>
        <w:rPr>
          <w:rFonts w:eastAsia="TimesNewRomanPSMT"/>
          <w:i/>
          <w:iCs/>
          <w:szCs w:val="22"/>
          <w:lang w:eastAsia="en-US"/>
        </w:rPr>
      </w:pPr>
    </w:p>
    <w:p w14:paraId="4FD3D987" w14:textId="77777777" w:rsidR="00A753A4" w:rsidRPr="003A5C41" w:rsidRDefault="00A753A4" w:rsidP="00A753A4">
      <w:pPr>
        <w:autoSpaceDE w:val="0"/>
        <w:autoSpaceDN w:val="0"/>
        <w:adjustRightInd w:val="0"/>
        <w:ind w:left="0" w:firstLine="0"/>
        <w:rPr>
          <w:rFonts w:eastAsia="TimesNewRomanPSMT"/>
          <w:i/>
          <w:iCs/>
          <w:szCs w:val="22"/>
          <w:lang w:eastAsia="en-US"/>
        </w:rPr>
      </w:pPr>
      <w:r w:rsidRPr="003A5C41">
        <w:rPr>
          <w:rFonts w:eastAsia="TimesNewRomanPSMT"/>
          <w:i/>
          <w:iCs/>
          <w:szCs w:val="22"/>
          <w:lang w:eastAsia="en-US"/>
        </w:rPr>
        <w:t>Infarkt myokardu</w:t>
      </w:r>
    </w:p>
    <w:p w14:paraId="0D4CEF35" w14:textId="77777777" w:rsidR="00A753A4" w:rsidRPr="003A5C41" w:rsidRDefault="00A753A4" w:rsidP="00A753A4">
      <w:pPr>
        <w:autoSpaceDE w:val="0"/>
        <w:autoSpaceDN w:val="0"/>
        <w:adjustRightInd w:val="0"/>
        <w:ind w:left="0" w:firstLine="0"/>
        <w:rPr>
          <w:rFonts w:eastAsia="TimesNewRomanPSMT"/>
          <w:szCs w:val="22"/>
          <w:lang w:eastAsia="en-US"/>
        </w:rPr>
      </w:pPr>
      <w:r w:rsidRPr="003A5C41">
        <w:rPr>
          <w:rFonts w:eastAsia="TimesNewRomanPSMT"/>
          <w:szCs w:val="22"/>
          <w:lang w:eastAsia="en-US"/>
        </w:rPr>
        <w:t>U pacientov užívajúcich lenalidomid, najmä u pacientov so známymi rizikovými faktormi, bol</w:t>
      </w:r>
      <w:r w:rsidR="00C55F11" w:rsidRPr="003A5C41">
        <w:rPr>
          <w:rFonts w:eastAsia="TimesNewRomanPSMT"/>
          <w:szCs w:val="22"/>
          <w:lang w:eastAsia="en-US"/>
        </w:rPr>
        <w:t xml:space="preserve"> </w:t>
      </w:r>
      <w:r w:rsidRPr="003A5C41">
        <w:rPr>
          <w:rFonts w:eastAsia="TimesNewRomanPSMT"/>
          <w:szCs w:val="22"/>
          <w:lang w:eastAsia="en-US"/>
        </w:rPr>
        <w:t>zaznamenaný infarkt myokardu.</w:t>
      </w:r>
    </w:p>
    <w:p w14:paraId="5B816B97" w14:textId="77777777" w:rsidR="00C55F11" w:rsidRPr="003A5C41" w:rsidRDefault="00C55F11" w:rsidP="00A753A4">
      <w:pPr>
        <w:autoSpaceDE w:val="0"/>
        <w:autoSpaceDN w:val="0"/>
        <w:adjustRightInd w:val="0"/>
        <w:ind w:left="0" w:firstLine="0"/>
        <w:rPr>
          <w:rFonts w:eastAsia="TimesNewRomanPSMT"/>
          <w:i/>
          <w:iCs/>
          <w:szCs w:val="22"/>
          <w:lang w:eastAsia="en-US"/>
        </w:rPr>
      </w:pPr>
    </w:p>
    <w:p w14:paraId="0F09678F" w14:textId="77777777" w:rsidR="00A753A4" w:rsidRPr="003A5C41" w:rsidRDefault="00A753A4" w:rsidP="00A753A4">
      <w:pPr>
        <w:autoSpaceDE w:val="0"/>
        <w:autoSpaceDN w:val="0"/>
        <w:adjustRightInd w:val="0"/>
        <w:ind w:left="0" w:firstLine="0"/>
        <w:rPr>
          <w:rFonts w:eastAsia="TimesNewRomanPSMT"/>
          <w:i/>
          <w:iCs/>
          <w:szCs w:val="22"/>
          <w:lang w:eastAsia="en-US"/>
        </w:rPr>
      </w:pPr>
      <w:r w:rsidRPr="003A5C41">
        <w:rPr>
          <w:rFonts w:eastAsia="TimesNewRomanPSMT"/>
          <w:i/>
          <w:iCs/>
          <w:szCs w:val="22"/>
          <w:lang w:eastAsia="en-US"/>
        </w:rPr>
        <w:t>Hemoragické poruchy</w:t>
      </w:r>
    </w:p>
    <w:p w14:paraId="76D69B68" w14:textId="4D651BFF" w:rsidR="00A753A4" w:rsidRPr="003A5C41" w:rsidRDefault="00A753A4" w:rsidP="00A753A4">
      <w:pPr>
        <w:autoSpaceDE w:val="0"/>
        <w:autoSpaceDN w:val="0"/>
        <w:adjustRightInd w:val="0"/>
        <w:ind w:left="0" w:firstLine="0"/>
        <w:rPr>
          <w:rFonts w:eastAsia="TimesNewRomanPSMT"/>
          <w:szCs w:val="22"/>
          <w:lang w:eastAsia="en-US"/>
        </w:rPr>
      </w:pPr>
      <w:r w:rsidRPr="003A5C41">
        <w:rPr>
          <w:rFonts w:eastAsia="TimesNewRomanPSMT"/>
          <w:szCs w:val="22"/>
          <w:lang w:eastAsia="en-US"/>
        </w:rPr>
        <w:t>Hemoragické poruchy sú vymenované v</w:t>
      </w:r>
      <w:r w:rsidR="00080264">
        <w:rPr>
          <w:rFonts w:eastAsia="TimesNewRomanPSMT"/>
          <w:szCs w:val="22"/>
          <w:lang w:eastAsia="en-US"/>
        </w:rPr>
        <w:t>o viacerých</w:t>
      </w:r>
      <w:r w:rsidRPr="003A5C41">
        <w:rPr>
          <w:rFonts w:eastAsia="TimesNewRomanPSMT"/>
          <w:szCs w:val="22"/>
          <w:lang w:eastAsia="en-US"/>
        </w:rPr>
        <w:t xml:space="preserve"> triedach orgánových systémov: Poruchy krvi</w:t>
      </w:r>
      <w:r w:rsidR="00C55F11" w:rsidRPr="003A5C41">
        <w:rPr>
          <w:rFonts w:eastAsia="TimesNewRomanPSMT"/>
          <w:szCs w:val="22"/>
          <w:lang w:eastAsia="en-US"/>
        </w:rPr>
        <w:t xml:space="preserve"> </w:t>
      </w:r>
      <w:r w:rsidRPr="003A5C41">
        <w:rPr>
          <w:rFonts w:eastAsia="TimesNewRomanPSMT"/>
          <w:szCs w:val="22"/>
          <w:lang w:eastAsia="en-US"/>
        </w:rPr>
        <w:t>a lymfatického systému; poruchy nervového systému (intrakraniálne krvácanie); poruchy dýchacej</w:t>
      </w:r>
      <w:r w:rsidR="00C55F11" w:rsidRPr="003A5C41">
        <w:rPr>
          <w:rFonts w:eastAsia="TimesNewRomanPSMT"/>
          <w:szCs w:val="22"/>
          <w:lang w:eastAsia="en-US"/>
        </w:rPr>
        <w:t xml:space="preserve"> </w:t>
      </w:r>
      <w:r w:rsidRPr="003A5C41">
        <w:rPr>
          <w:rFonts w:eastAsia="TimesNewRomanPSMT"/>
          <w:szCs w:val="22"/>
          <w:lang w:eastAsia="en-US"/>
        </w:rPr>
        <w:t>sústavy, hrudníka a mediastína (epistaxa); poruchy gastrointestinálneho traktu (gingiválne krvácanie,</w:t>
      </w:r>
      <w:r w:rsidR="00C55F11" w:rsidRPr="003A5C41">
        <w:rPr>
          <w:rFonts w:eastAsia="TimesNewRomanPSMT"/>
          <w:szCs w:val="22"/>
          <w:lang w:eastAsia="en-US"/>
        </w:rPr>
        <w:t xml:space="preserve"> </w:t>
      </w:r>
      <w:r w:rsidRPr="003A5C41">
        <w:rPr>
          <w:rFonts w:eastAsia="TimesNewRomanPSMT"/>
          <w:szCs w:val="22"/>
          <w:lang w:eastAsia="en-US"/>
        </w:rPr>
        <w:t>hemoroidálna hemorágia, rektálna hemorágia); poruchy obličiek a močových ciest (hematúria); úrazy,</w:t>
      </w:r>
      <w:r w:rsidR="00C55F11" w:rsidRPr="003A5C41">
        <w:rPr>
          <w:rFonts w:eastAsia="TimesNewRomanPSMT"/>
          <w:szCs w:val="22"/>
          <w:lang w:eastAsia="en-US"/>
        </w:rPr>
        <w:t xml:space="preserve"> </w:t>
      </w:r>
      <w:r w:rsidRPr="003A5C41">
        <w:rPr>
          <w:rFonts w:eastAsia="TimesNewRomanPSMT"/>
          <w:szCs w:val="22"/>
          <w:lang w:eastAsia="en-US"/>
        </w:rPr>
        <w:t>otravy a komplikácie liečebného postupu (kontúzia) a poruchy ciev (ekchymóza).</w:t>
      </w:r>
    </w:p>
    <w:p w14:paraId="2214E968" w14:textId="77777777" w:rsidR="00C55F11" w:rsidRPr="003A5C41" w:rsidRDefault="00C55F11" w:rsidP="00A753A4">
      <w:pPr>
        <w:autoSpaceDE w:val="0"/>
        <w:autoSpaceDN w:val="0"/>
        <w:adjustRightInd w:val="0"/>
        <w:ind w:left="0" w:firstLine="0"/>
        <w:rPr>
          <w:rFonts w:eastAsia="TimesNewRomanPSMT"/>
          <w:i/>
          <w:iCs/>
          <w:szCs w:val="22"/>
          <w:lang w:eastAsia="en-US"/>
        </w:rPr>
      </w:pPr>
    </w:p>
    <w:p w14:paraId="174B01BE" w14:textId="77777777" w:rsidR="00A753A4" w:rsidRPr="003A5C41" w:rsidRDefault="00A753A4" w:rsidP="00A753A4">
      <w:pPr>
        <w:autoSpaceDE w:val="0"/>
        <w:autoSpaceDN w:val="0"/>
        <w:adjustRightInd w:val="0"/>
        <w:ind w:left="0" w:firstLine="0"/>
        <w:rPr>
          <w:rFonts w:eastAsia="TimesNewRomanPSMT"/>
          <w:i/>
          <w:iCs/>
          <w:szCs w:val="22"/>
          <w:lang w:eastAsia="en-US"/>
        </w:rPr>
      </w:pPr>
      <w:r w:rsidRPr="003A5C41">
        <w:rPr>
          <w:rFonts w:eastAsia="TimesNewRomanPSMT"/>
          <w:i/>
          <w:iCs/>
          <w:szCs w:val="22"/>
          <w:lang w:eastAsia="en-US"/>
        </w:rPr>
        <w:t>Alergické reakcie</w:t>
      </w:r>
    </w:p>
    <w:p w14:paraId="338E8A06" w14:textId="77777777" w:rsidR="00A753A4" w:rsidRPr="003A5C41" w:rsidRDefault="00A753A4" w:rsidP="00A753A4">
      <w:pPr>
        <w:autoSpaceDE w:val="0"/>
        <w:autoSpaceDN w:val="0"/>
        <w:adjustRightInd w:val="0"/>
        <w:ind w:left="0" w:firstLine="0"/>
        <w:rPr>
          <w:rFonts w:eastAsia="TimesNewRomanPSMT"/>
          <w:szCs w:val="22"/>
          <w:lang w:eastAsia="en-US"/>
        </w:rPr>
      </w:pPr>
      <w:r w:rsidRPr="003A5C41">
        <w:rPr>
          <w:rFonts w:eastAsia="TimesNewRomanPSMT"/>
          <w:szCs w:val="22"/>
          <w:lang w:eastAsia="en-US"/>
        </w:rPr>
        <w:t>Hlásili sa prípady alergických reakcií/reakcií precitlivenosti. V literatúre bola popísaná možná skrížená</w:t>
      </w:r>
      <w:r w:rsidR="00C55F11" w:rsidRPr="003A5C41">
        <w:rPr>
          <w:rFonts w:eastAsia="TimesNewRomanPSMT"/>
          <w:szCs w:val="22"/>
          <w:lang w:eastAsia="en-US"/>
        </w:rPr>
        <w:t xml:space="preserve"> </w:t>
      </w:r>
      <w:r w:rsidRPr="003A5C41">
        <w:rPr>
          <w:rFonts w:eastAsia="TimesNewRomanPSMT"/>
          <w:szCs w:val="22"/>
          <w:lang w:eastAsia="en-US"/>
        </w:rPr>
        <w:t>reakcia medzi lenalidomidom a talidomidom.</w:t>
      </w:r>
    </w:p>
    <w:p w14:paraId="7E51E443" w14:textId="77777777" w:rsidR="00C55F11" w:rsidRPr="003A5C41" w:rsidRDefault="00C55F11" w:rsidP="00A753A4">
      <w:pPr>
        <w:autoSpaceDE w:val="0"/>
        <w:autoSpaceDN w:val="0"/>
        <w:adjustRightInd w:val="0"/>
        <w:ind w:left="0" w:firstLine="0"/>
        <w:rPr>
          <w:rFonts w:eastAsia="TimesNewRomanPSMT"/>
          <w:i/>
          <w:iCs/>
          <w:szCs w:val="22"/>
          <w:lang w:eastAsia="en-US"/>
        </w:rPr>
      </w:pPr>
    </w:p>
    <w:p w14:paraId="26AEE79C" w14:textId="77777777" w:rsidR="00A753A4" w:rsidRPr="003A5C41" w:rsidRDefault="00A753A4" w:rsidP="00A753A4">
      <w:pPr>
        <w:autoSpaceDE w:val="0"/>
        <w:autoSpaceDN w:val="0"/>
        <w:adjustRightInd w:val="0"/>
        <w:ind w:left="0" w:firstLine="0"/>
        <w:rPr>
          <w:rFonts w:eastAsia="TimesNewRomanPSMT"/>
          <w:i/>
          <w:iCs/>
          <w:szCs w:val="22"/>
          <w:lang w:eastAsia="en-US"/>
        </w:rPr>
      </w:pPr>
      <w:r w:rsidRPr="003A5C41">
        <w:rPr>
          <w:rFonts w:eastAsia="TimesNewRomanPSMT"/>
          <w:i/>
          <w:iCs/>
          <w:szCs w:val="22"/>
          <w:lang w:eastAsia="en-US"/>
        </w:rPr>
        <w:t>Závažné kožné reakcie</w:t>
      </w:r>
    </w:p>
    <w:p w14:paraId="1EF81C86" w14:textId="77777777" w:rsidR="00A753A4" w:rsidRPr="003A5C41" w:rsidRDefault="00A753A4" w:rsidP="00A753A4">
      <w:pPr>
        <w:autoSpaceDE w:val="0"/>
        <w:autoSpaceDN w:val="0"/>
        <w:adjustRightInd w:val="0"/>
        <w:ind w:left="0" w:firstLine="0"/>
        <w:rPr>
          <w:rFonts w:eastAsia="TimesNewRomanPSMT"/>
          <w:szCs w:val="22"/>
          <w:lang w:eastAsia="en-US"/>
        </w:rPr>
      </w:pPr>
      <w:r w:rsidRPr="003A5C41">
        <w:rPr>
          <w:rFonts w:eastAsia="TimesNewRomanPSMT"/>
          <w:szCs w:val="22"/>
          <w:lang w:eastAsia="en-US"/>
        </w:rPr>
        <w:t>Pri používaní lenalidomidu sa hlásili prípady závažných kožných reakcií vrátane SJS, TEN a DRESS.</w:t>
      </w:r>
      <w:r w:rsidR="00C55F11" w:rsidRPr="003A5C41">
        <w:rPr>
          <w:rFonts w:eastAsia="TimesNewRomanPSMT"/>
          <w:szCs w:val="22"/>
          <w:lang w:eastAsia="en-US"/>
        </w:rPr>
        <w:t xml:space="preserve"> </w:t>
      </w:r>
      <w:r w:rsidRPr="003A5C41">
        <w:rPr>
          <w:rFonts w:eastAsia="TimesNewRomanPSMT"/>
          <w:szCs w:val="22"/>
          <w:lang w:eastAsia="en-US"/>
        </w:rPr>
        <w:t xml:space="preserve">Pacienti so závažným kožným výsevom v anamnéze v súvislosti s liečbou talidomidom </w:t>
      </w:r>
      <w:r w:rsidR="00080264">
        <w:rPr>
          <w:rFonts w:eastAsia="TimesNewRomanPSMT"/>
          <w:szCs w:val="22"/>
          <w:lang w:eastAsia="en-US"/>
        </w:rPr>
        <w:t xml:space="preserve">v anamnéze </w:t>
      </w:r>
      <w:r w:rsidRPr="003A5C41">
        <w:rPr>
          <w:rFonts w:eastAsia="TimesNewRomanPSMT"/>
          <w:szCs w:val="22"/>
          <w:lang w:eastAsia="en-US"/>
        </w:rPr>
        <w:t>sa nemajú liečiť</w:t>
      </w:r>
      <w:r w:rsidR="00C55F11" w:rsidRPr="003A5C41">
        <w:rPr>
          <w:rFonts w:eastAsia="TimesNewRomanPSMT"/>
          <w:szCs w:val="22"/>
          <w:lang w:eastAsia="en-US"/>
        </w:rPr>
        <w:t xml:space="preserve"> </w:t>
      </w:r>
      <w:r w:rsidRPr="003A5C41">
        <w:rPr>
          <w:rFonts w:eastAsia="TimesNewRomanPSMT"/>
          <w:szCs w:val="22"/>
          <w:lang w:eastAsia="en-US"/>
        </w:rPr>
        <w:t>lenalidomidom (pozri časť 4.4).</w:t>
      </w:r>
    </w:p>
    <w:p w14:paraId="2F6AF3C8" w14:textId="77777777" w:rsidR="00C55F11" w:rsidRPr="003A5C41" w:rsidRDefault="00C55F11" w:rsidP="00A753A4">
      <w:pPr>
        <w:autoSpaceDE w:val="0"/>
        <w:autoSpaceDN w:val="0"/>
        <w:adjustRightInd w:val="0"/>
        <w:ind w:left="0" w:firstLine="0"/>
        <w:rPr>
          <w:i/>
          <w:iCs/>
          <w:szCs w:val="22"/>
          <w:lang w:eastAsia="en-US"/>
        </w:rPr>
      </w:pPr>
    </w:p>
    <w:p w14:paraId="351714DA" w14:textId="3AEFEB2A" w:rsidR="00A753A4" w:rsidRPr="003A5C41" w:rsidRDefault="00080264" w:rsidP="00A753A4">
      <w:pPr>
        <w:autoSpaceDE w:val="0"/>
        <w:autoSpaceDN w:val="0"/>
        <w:adjustRightInd w:val="0"/>
        <w:ind w:left="0" w:firstLine="0"/>
        <w:rPr>
          <w:i/>
          <w:iCs/>
          <w:szCs w:val="22"/>
          <w:lang w:eastAsia="en-US"/>
        </w:rPr>
      </w:pPr>
      <w:r w:rsidRPr="00221953">
        <w:rPr>
          <w:i/>
          <w:iCs/>
          <w:caps/>
          <w:szCs w:val="22"/>
          <w:lang w:eastAsia="en-US"/>
        </w:rPr>
        <w:t>ď</w:t>
      </w:r>
      <w:r>
        <w:rPr>
          <w:i/>
          <w:iCs/>
          <w:szCs w:val="22"/>
          <w:lang w:eastAsia="en-US"/>
        </w:rPr>
        <w:t>alšie</w:t>
      </w:r>
      <w:r w:rsidR="00A753A4" w:rsidRPr="003A5C41">
        <w:rPr>
          <w:i/>
          <w:iCs/>
          <w:szCs w:val="22"/>
          <w:lang w:eastAsia="en-US"/>
        </w:rPr>
        <w:t xml:space="preserve"> primárne malignity</w:t>
      </w:r>
    </w:p>
    <w:p w14:paraId="5187B6D3" w14:textId="211D88D2" w:rsidR="00A753A4" w:rsidRPr="003A5C41" w:rsidRDefault="00A753A4" w:rsidP="00A753A4">
      <w:pPr>
        <w:autoSpaceDE w:val="0"/>
        <w:autoSpaceDN w:val="0"/>
        <w:adjustRightInd w:val="0"/>
        <w:ind w:left="0" w:firstLine="0"/>
        <w:rPr>
          <w:szCs w:val="22"/>
          <w:lang w:eastAsia="en-US"/>
        </w:rPr>
      </w:pPr>
      <w:r w:rsidRPr="003A5C41">
        <w:rPr>
          <w:rFonts w:eastAsia="TimesNewRomanPSMT"/>
          <w:szCs w:val="22"/>
          <w:lang w:eastAsia="en-US"/>
        </w:rPr>
        <w:t>V klinických štúdiách u pacientov s predchádzajúcou liečbou myelómu užívajúcich</w:t>
      </w:r>
      <w:r w:rsidR="00C55F11" w:rsidRPr="003A5C41">
        <w:rPr>
          <w:rFonts w:eastAsia="TimesNewRomanPSMT"/>
          <w:szCs w:val="22"/>
          <w:lang w:eastAsia="en-US"/>
        </w:rPr>
        <w:t xml:space="preserve"> </w:t>
      </w:r>
      <w:r w:rsidRPr="003A5C41">
        <w:rPr>
          <w:szCs w:val="22"/>
          <w:lang w:eastAsia="en-US"/>
        </w:rPr>
        <w:t>lenalidomid/dexametazón v porovnaní s kontrolnou skupinou, sa vyskytuje hlavne bazocelulárny</w:t>
      </w:r>
      <w:r w:rsidR="00C55F11" w:rsidRPr="003A5C41">
        <w:rPr>
          <w:szCs w:val="22"/>
          <w:lang w:eastAsia="en-US"/>
        </w:rPr>
        <w:t xml:space="preserve"> </w:t>
      </w:r>
      <w:r w:rsidRPr="003A5C41">
        <w:rPr>
          <w:szCs w:val="22"/>
          <w:lang w:eastAsia="en-US"/>
        </w:rPr>
        <w:t>a</w:t>
      </w:r>
      <w:r w:rsidR="00080264">
        <w:rPr>
          <w:szCs w:val="22"/>
          <w:lang w:eastAsia="en-US"/>
        </w:rPr>
        <w:t>lebo</w:t>
      </w:r>
      <w:r w:rsidRPr="003A5C41">
        <w:rPr>
          <w:szCs w:val="22"/>
          <w:lang w:eastAsia="en-US"/>
        </w:rPr>
        <w:t xml:space="preserve"> spinocelulárny karcinóm ko</w:t>
      </w:r>
      <w:r w:rsidRPr="003A5C41">
        <w:rPr>
          <w:rFonts w:eastAsia="TimesNewRomanPSMT"/>
          <w:szCs w:val="22"/>
          <w:lang w:eastAsia="en-US"/>
        </w:rPr>
        <w:t>ž</w:t>
      </w:r>
      <w:r w:rsidRPr="003A5C41">
        <w:rPr>
          <w:szCs w:val="22"/>
          <w:lang w:eastAsia="en-US"/>
        </w:rPr>
        <w:t>e.</w:t>
      </w:r>
    </w:p>
    <w:p w14:paraId="5E7DAF5E" w14:textId="77777777" w:rsidR="00C55F11" w:rsidRPr="003A5C41" w:rsidRDefault="00C55F11" w:rsidP="00A753A4">
      <w:pPr>
        <w:autoSpaceDE w:val="0"/>
        <w:autoSpaceDN w:val="0"/>
        <w:adjustRightInd w:val="0"/>
        <w:ind w:left="0" w:firstLine="0"/>
        <w:rPr>
          <w:i/>
          <w:iCs/>
          <w:szCs w:val="22"/>
          <w:lang w:eastAsia="en-US"/>
        </w:rPr>
      </w:pPr>
    </w:p>
    <w:p w14:paraId="16BD8683" w14:textId="77777777" w:rsidR="00A753A4" w:rsidRPr="003A5C41" w:rsidRDefault="00A753A4" w:rsidP="00A753A4">
      <w:pPr>
        <w:autoSpaceDE w:val="0"/>
        <w:autoSpaceDN w:val="0"/>
        <w:adjustRightInd w:val="0"/>
        <w:ind w:left="0" w:firstLine="0"/>
        <w:rPr>
          <w:i/>
          <w:iCs/>
          <w:szCs w:val="22"/>
          <w:lang w:eastAsia="en-US"/>
        </w:rPr>
      </w:pPr>
      <w:r w:rsidRPr="003A5C41">
        <w:rPr>
          <w:i/>
          <w:iCs/>
          <w:szCs w:val="22"/>
          <w:lang w:eastAsia="en-US"/>
        </w:rPr>
        <w:t>Akútna myeloidná leukémia</w:t>
      </w:r>
    </w:p>
    <w:p w14:paraId="7FDE0F80" w14:textId="77777777" w:rsidR="00A753A4" w:rsidRPr="003A5C41" w:rsidRDefault="00A753A4" w:rsidP="00C55F11">
      <w:pPr>
        <w:autoSpaceDE w:val="0"/>
        <w:autoSpaceDN w:val="0"/>
        <w:adjustRightInd w:val="0"/>
        <w:ind w:left="0" w:firstLine="284"/>
        <w:rPr>
          <w:rFonts w:eastAsia="TimesNewRomanPSMT"/>
          <w:szCs w:val="22"/>
          <w:lang w:eastAsia="en-US"/>
        </w:rPr>
      </w:pPr>
      <w:r w:rsidRPr="003A5C41">
        <w:rPr>
          <w:rFonts w:eastAsia="SymbolMT"/>
          <w:szCs w:val="22"/>
          <w:lang w:eastAsia="en-US"/>
        </w:rPr>
        <w:t>•</w:t>
      </w:r>
      <w:r w:rsidR="00C55F11" w:rsidRPr="003A5C41">
        <w:rPr>
          <w:rFonts w:eastAsia="SymbolMT"/>
          <w:szCs w:val="22"/>
          <w:lang w:eastAsia="en-US"/>
        </w:rPr>
        <w:tab/>
      </w:r>
      <w:r w:rsidRPr="003A5C41">
        <w:rPr>
          <w:rFonts w:eastAsia="TimesNewRomanPSMT"/>
          <w:i/>
          <w:szCs w:val="22"/>
          <w:lang w:eastAsia="en-US"/>
        </w:rPr>
        <w:t>Mnohopočetný myelóm</w:t>
      </w:r>
    </w:p>
    <w:p w14:paraId="05059F62" w14:textId="77777777" w:rsidR="00A753A4" w:rsidRPr="003A5C41" w:rsidRDefault="00A753A4" w:rsidP="00A753A4">
      <w:pPr>
        <w:autoSpaceDE w:val="0"/>
        <w:autoSpaceDN w:val="0"/>
        <w:adjustRightInd w:val="0"/>
        <w:ind w:left="0" w:firstLine="0"/>
        <w:rPr>
          <w:szCs w:val="22"/>
          <w:lang w:eastAsia="en-US"/>
        </w:rPr>
      </w:pPr>
      <w:r w:rsidRPr="003A5C41">
        <w:rPr>
          <w:rFonts w:eastAsia="TimesNewRomanPSMT"/>
          <w:szCs w:val="22"/>
          <w:lang w:eastAsia="en-US"/>
        </w:rPr>
        <w:t>V klinických štúdiách s novodiagnostikovaným mnohopočetným myelómom u pacientov užívajúcich</w:t>
      </w:r>
      <w:r w:rsidR="00C55F11" w:rsidRPr="003A5C41">
        <w:rPr>
          <w:rFonts w:eastAsia="TimesNewRomanPSMT"/>
          <w:szCs w:val="22"/>
          <w:lang w:eastAsia="en-US"/>
        </w:rPr>
        <w:t xml:space="preserve"> </w:t>
      </w:r>
      <w:r w:rsidRPr="003A5C41">
        <w:rPr>
          <w:szCs w:val="22"/>
          <w:lang w:eastAsia="en-US"/>
        </w:rPr>
        <w:t>lenalidomid v kombinácii s melfalánom alebo bezprostredne po HDM/ASCT sa pozorovali prípady AML</w:t>
      </w:r>
      <w:r w:rsidR="00C55F11" w:rsidRPr="003A5C41">
        <w:rPr>
          <w:szCs w:val="22"/>
          <w:lang w:eastAsia="en-US"/>
        </w:rPr>
        <w:t xml:space="preserve"> </w:t>
      </w:r>
      <w:r w:rsidRPr="003A5C41">
        <w:rPr>
          <w:rFonts w:eastAsia="TimesNewRomanPSMT"/>
          <w:szCs w:val="22"/>
          <w:lang w:eastAsia="en-US"/>
        </w:rPr>
        <w:t>(pozri časť 4.4). Tento nárast nebol pozorovaný v klinických štúdiách u pacientov s</w:t>
      </w:r>
      <w:r w:rsidR="00C55F11" w:rsidRPr="003A5C41">
        <w:rPr>
          <w:rFonts w:eastAsia="TimesNewRomanPSMT"/>
          <w:szCs w:val="22"/>
          <w:lang w:eastAsia="en-US"/>
        </w:rPr>
        <w:t xml:space="preserve"> </w:t>
      </w:r>
      <w:r w:rsidRPr="003A5C41">
        <w:rPr>
          <w:rFonts w:eastAsia="TimesNewRomanPSMT"/>
          <w:szCs w:val="22"/>
          <w:lang w:eastAsia="en-US"/>
        </w:rPr>
        <w:t>novodiagnostikovaným mnohopočetným myelómom užívajúcich lenalidomid v kombinácii s</w:t>
      </w:r>
      <w:r w:rsidR="00C55F11" w:rsidRPr="003A5C41">
        <w:rPr>
          <w:rFonts w:eastAsia="TimesNewRomanPSMT"/>
          <w:szCs w:val="22"/>
          <w:lang w:eastAsia="en-US"/>
        </w:rPr>
        <w:t> </w:t>
      </w:r>
      <w:r w:rsidRPr="003A5C41">
        <w:rPr>
          <w:rFonts w:eastAsia="TimesNewRomanPSMT"/>
          <w:szCs w:val="22"/>
          <w:lang w:eastAsia="en-US"/>
        </w:rPr>
        <w:t>nízkou</w:t>
      </w:r>
      <w:r w:rsidR="00C55F11" w:rsidRPr="003A5C41">
        <w:rPr>
          <w:rFonts w:eastAsia="TimesNewRomanPSMT"/>
          <w:szCs w:val="22"/>
          <w:lang w:eastAsia="en-US"/>
        </w:rPr>
        <w:t xml:space="preserve"> </w:t>
      </w:r>
      <w:r w:rsidRPr="003A5C41">
        <w:rPr>
          <w:szCs w:val="22"/>
          <w:lang w:eastAsia="en-US"/>
        </w:rPr>
        <w:t>dávkou dexametazónu v porovnaní s talidomidom v kombinácii s melfalánom a prednizónom.</w:t>
      </w:r>
    </w:p>
    <w:p w14:paraId="43C02C12" w14:textId="77777777" w:rsidR="00C55F11" w:rsidRPr="003A5C41" w:rsidRDefault="00C55F11" w:rsidP="00A753A4">
      <w:pPr>
        <w:autoSpaceDE w:val="0"/>
        <w:autoSpaceDN w:val="0"/>
        <w:adjustRightInd w:val="0"/>
        <w:ind w:left="0" w:firstLine="0"/>
        <w:rPr>
          <w:szCs w:val="22"/>
          <w:lang w:eastAsia="en-US"/>
        </w:rPr>
      </w:pPr>
    </w:p>
    <w:p w14:paraId="3E679498" w14:textId="77777777" w:rsidR="00A753A4" w:rsidRPr="003A5C41" w:rsidRDefault="00A753A4" w:rsidP="00C55F11">
      <w:pPr>
        <w:autoSpaceDE w:val="0"/>
        <w:autoSpaceDN w:val="0"/>
        <w:adjustRightInd w:val="0"/>
        <w:ind w:left="0" w:firstLine="284"/>
        <w:rPr>
          <w:szCs w:val="22"/>
          <w:lang w:eastAsia="en-US"/>
        </w:rPr>
      </w:pPr>
      <w:r w:rsidRPr="003A5C41">
        <w:rPr>
          <w:rFonts w:eastAsia="SymbolMT"/>
          <w:szCs w:val="22"/>
          <w:lang w:eastAsia="en-US"/>
        </w:rPr>
        <w:t>•</w:t>
      </w:r>
      <w:r w:rsidR="00C55F11" w:rsidRPr="003A5C41">
        <w:rPr>
          <w:rFonts w:eastAsia="SymbolMT"/>
          <w:szCs w:val="22"/>
          <w:lang w:eastAsia="en-US"/>
        </w:rPr>
        <w:tab/>
      </w:r>
      <w:r w:rsidRPr="003A5C41">
        <w:rPr>
          <w:i/>
          <w:szCs w:val="22"/>
          <w:lang w:eastAsia="en-US"/>
        </w:rPr>
        <w:t>Myelodysplastický syndróm</w:t>
      </w:r>
    </w:p>
    <w:p w14:paraId="26BC4DD5" w14:textId="77777777" w:rsidR="00A753A4" w:rsidRPr="003A5C41" w:rsidRDefault="00A753A4" w:rsidP="00A753A4">
      <w:pPr>
        <w:autoSpaceDE w:val="0"/>
        <w:autoSpaceDN w:val="0"/>
        <w:adjustRightInd w:val="0"/>
        <w:ind w:left="0" w:firstLine="0"/>
        <w:rPr>
          <w:szCs w:val="22"/>
          <w:lang w:eastAsia="en-US"/>
        </w:rPr>
      </w:pPr>
      <w:r w:rsidRPr="003A5C41">
        <w:rPr>
          <w:szCs w:val="22"/>
          <w:lang w:eastAsia="en-US"/>
        </w:rPr>
        <w:t>Východiskový stav, vrátane komplexnej cytogenetiky a mutácie TP53, je spojený s progresiou do AML u</w:t>
      </w:r>
      <w:r w:rsidR="009355AE" w:rsidRPr="003A5C41">
        <w:rPr>
          <w:szCs w:val="22"/>
          <w:lang w:eastAsia="en-US"/>
        </w:rPr>
        <w:t xml:space="preserve"> </w:t>
      </w:r>
      <w:r w:rsidRPr="003A5C41">
        <w:rPr>
          <w:rFonts w:eastAsia="TimesNewRomanPSMT"/>
          <w:szCs w:val="22"/>
          <w:lang w:eastAsia="en-US"/>
        </w:rPr>
        <w:t>jedincov, ktorí sú závislí od transfúzie a majú cytogenetickú abnormalitu – deléciu 5q (pozri časť 4.4).</w:t>
      </w:r>
      <w:r w:rsidR="009355AE" w:rsidRPr="003A5C41">
        <w:rPr>
          <w:rFonts w:eastAsia="TimesNewRomanPSMT"/>
          <w:szCs w:val="22"/>
          <w:lang w:eastAsia="en-US"/>
        </w:rPr>
        <w:t xml:space="preserve"> </w:t>
      </w:r>
      <w:r w:rsidRPr="003A5C41">
        <w:rPr>
          <w:rFonts w:eastAsia="TimesNewRomanPSMT"/>
          <w:szCs w:val="22"/>
          <w:lang w:eastAsia="en-US"/>
        </w:rPr>
        <w:t>Odhadované 2-ročné kumulatívne riziko progresie do AML u pacientov s izolovanou deléciou 5q bolo</w:t>
      </w:r>
      <w:r w:rsidR="009355AE" w:rsidRPr="003A5C41">
        <w:rPr>
          <w:rFonts w:eastAsia="TimesNewRomanPSMT"/>
          <w:szCs w:val="22"/>
          <w:lang w:eastAsia="en-US"/>
        </w:rPr>
        <w:t xml:space="preserve"> </w:t>
      </w:r>
      <w:r w:rsidRPr="003A5C41">
        <w:rPr>
          <w:rFonts w:eastAsia="TimesNewRomanPSMT"/>
          <w:szCs w:val="22"/>
          <w:lang w:eastAsia="en-US"/>
        </w:rPr>
        <w:t>13,8% v porovnaní so 17,3% u pacientov s deléciou 5q a jednou ďalšou cytogenetickou abnormalitou a</w:t>
      </w:r>
      <w:r w:rsidR="009355AE" w:rsidRPr="003A5C41">
        <w:rPr>
          <w:rFonts w:eastAsia="TimesNewRomanPSMT"/>
          <w:szCs w:val="22"/>
          <w:lang w:eastAsia="en-US"/>
        </w:rPr>
        <w:t xml:space="preserve"> </w:t>
      </w:r>
      <w:r w:rsidRPr="003A5C41">
        <w:rPr>
          <w:szCs w:val="22"/>
          <w:lang w:eastAsia="en-US"/>
        </w:rPr>
        <w:t>38,6 % u pacientov s komplexným karyotypom.</w:t>
      </w:r>
    </w:p>
    <w:p w14:paraId="2102AA37" w14:textId="77777777" w:rsidR="00B54801" w:rsidRPr="003A5C41" w:rsidRDefault="00A753A4" w:rsidP="009355AE">
      <w:pPr>
        <w:autoSpaceDE w:val="0"/>
        <w:autoSpaceDN w:val="0"/>
        <w:adjustRightInd w:val="0"/>
        <w:ind w:left="0" w:firstLine="0"/>
        <w:rPr>
          <w:szCs w:val="22"/>
        </w:rPr>
      </w:pPr>
      <w:r w:rsidRPr="003A5C41">
        <w:rPr>
          <w:szCs w:val="22"/>
          <w:lang w:eastAsia="en-US"/>
        </w:rPr>
        <w:t xml:space="preserve">V post-hoc analýze klinickej </w:t>
      </w:r>
      <w:r w:rsidRPr="003A5C41">
        <w:rPr>
          <w:rFonts w:eastAsia="TimesNewRomanPSMT"/>
          <w:szCs w:val="22"/>
          <w:lang w:eastAsia="en-US"/>
        </w:rPr>
        <w:t>š</w:t>
      </w:r>
      <w:r w:rsidRPr="003A5C41">
        <w:rPr>
          <w:szCs w:val="22"/>
          <w:lang w:eastAsia="en-US"/>
        </w:rPr>
        <w:t>túdie s lenalidomidom pri myelodysplastickom syndróme bola odhadovaná</w:t>
      </w:r>
      <w:r w:rsidR="009355AE" w:rsidRPr="003A5C41">
        <w:rPr>
          <w:szCs w:val="22"/>
          <w:lang w:eastAsia="en-US"/>
        </w:rPr>
        <w:t xml:space="preserve"> </w:t>
      </w:r>
      <w:r w:rsidRPr="003A5C41">
        <w:rPr>
          <w:rFonts w:eastAsia="TimesNewRomanPSMT"/>
          <w:szCs w:val="22"/>
          <w:lang w:eastAsia="en-US"/>
        </w:rPr>
        <w:t>2-ročná miera progresie do AML 27,5% u pacientov s IHC-p53 pozitivitou a 3,6% u pacientov s IHC</w:t>
      </w:r>
      <w:r w:rsidRPr="003A5C41">
        <w:rPr>
          <w:szCs w:val="22"/>
          <w:lang w:eastAsia="en-US"/>
        </w:rPr>
        <w:t>p53</w:t>
      </w:r>
      <w:r w:rsidR="009355AE" w:rsidRPr="003A5C41">
        <w:rPr>
          <w:szCs w:val="22"/>
          <w:lang w:eastAsia="en-US"/>
        </w:rPr>
        <w:t xml:space="preserve"> </w:t>
      </w:r>
      <w:r w:rsidRPr="003A5C41">
        <w:rPr>
          <w:szCs w:val="22"/>
          <w:lang w:eastAsia="en-US"/>
        </w:rPr>
        <w:t>negativitou (p=0,0038). U pacientov s IHC-p53 pozitivitou bola pozorovaná ni</w:t>
      </w:r>
      <w:r w:rsidRPr="003A5C41">
        <w:rPr>
          <w:rFonts w:eastAsia="TimesNewRomanPSMT"/>
          <w:szCs w:val="22"/>
          <w:lang w:eastAsia="en-US"/>
        </w:rPr>
        <w:t>žš</w:t>
      </w:r>
      <w:r w:rsidRPr="003A5C41">
        <w:rPr>
          <w:szCs w:val="22"/>
          <w:lang w:eastAsia="en-US"/>
        </w:rPr>
        <w:t>ia miera progresie</w:t>
      </w:r>
      <w:r w:rsidR="009355AE" w:rsidRPr="003A5C41">
        <w:rPr>
          <w:szCs w:val="22"/>
          <w:lang w:eastAsia="en-US"/>
        </w:rPr>
        <w:t xml:space="preserve"> </w:t>
      </w:r>
      <w:r w:rsidRPr="003A5C41">
        <w:rPr>
          <w:rFonts w:eastAsia="TimesNewRomanPSMT"/>
          <w:szCs w:val="22"/>
          <w:lang w:eastAsia="en-US"/>
        </w:rPr>
        <w:t>do AML u</w:t>
      </w:r>
      <w:r w:rsidR="00080264">
        <w:rPr>
          <w:rFonts w:eastAsia="TimesNewRomanPSMT"/>
          <w:szCs w:val="22"/>
          <w:lang w:eastAsia="en-US"/>
        </w:rPr>
        <w:t xml:space="preserve"> tých </w:t>
      </w:r>
      <w:r w:rsidRPr="003A5C41">
        <w:rPr>
          <w:rFonts w:eastAsia="TimesNewRomanPSMT"/>
          <w:szCs w:val="22"/>
          <w:lang w:eastAsia="en-US"/>
        </w:rPr>
        <w:t>pacientov, ktorí dosiahli nezávislosť od transfú</w:t>
      </w:r>
      <w:r w:rsidR="009355AE" w:rsidRPr="003A5C41">
        <w:rPr>
          <w:rFonts w:eastAsia="TimesNewRomanPSMT"/>
          <w:szCs w:val="22"/>
          <w:lang w:eastAsia="en-US"/>
        </w:rPr>
        <w:t>zie (11,1</w:t>
      </w:r>
      <w:r w:rsidRPr="003A5C41">
        <w:rPr>
          <w:rFonts w:eastAsia="TimesNewRomanPSMT"/>
          <w:szCs w:val="22"/>
          <w:lang w:eastAsia="en-US"/>
        </w:rPr>
        <w:t>%) v porovnaní s tými, ktorí ju</w:t>
      </w:r>
      <w:r w:rsidR="009355AE" w:rsidRPr="003A5C41">
        <w:rPr>
          <w:rFonts w:eastAsia="TimesNewRomanPSMT"/>
          <w:szCs w:val="22"/>
          <w:lang w:eastAsia="en-US"/>
        </w:rPr>
        <w:t xml:space="preserve"> </w:t>
      </w:r>
      <w:r w:rsidRPr="003A5C41">
        <w:rPr>
          <w:szCs w:val="22"/>
          <w:lang w:eastAsia="en-US"/>
        </w:rPr>
        <w:t>nedosiahli (34,8%).</w:t>
      </w:r>
    </w:p>
    <w:p w14:paraId="7E48BE8B" w14:textId="77777777" w:rsidR="00B54801" w:rsidRPr="003A5C41" w:rsidRDefault="00B54801" w:rsidP="00B31CB2">
      <w:pPr>
        <w:ind w:left="0" w:firstLine="0"/>
        <w:rPr>
          <w:szCs w:val="22"/>
        </w:rPr>
      </w:pPr>
    </w:p>
    <w:p w14:paraId="47C2CE09" w14:textId="77777777" w:rsidR="00D75E2C" w:rsidRPr="003A5C41" w:rsidRDefault="003A3623" w:rsidP="00B31CB2">
      <w:pPr>
        <w:ind w:left="0" w:firstLine="0"/>
        <w:rPr>
          <w:szCs w:val="22"/>
        </w:rPr>
      </w:pPr>
      <w:r w:rsidRPr="003A5C41">
        <w:rPr>
          <w:i/>
          <w:iCs/>
          <w:szCs w:val="22"/>
          <w:lang w:eastAsia="en-US"/>
        </w:rPr>
        <w:t>Poruchy pečene</w:t>
      </w:r>
    </w:p>
    <w:p w14:paraId="17670CB5" w14:textId="4F82C89D" w:rsidR="003A3623" w:rsidRPr="003A5C41" w:rsidRDefault="003A3623" w:rsidP="003A3623">
      <w:pPr>
        <w:autoSpaceDE w:val="0"/>
        <w:autoSpaceDN w:val="0"/>
        <w:adjustRightInd w:val="0"/>
        <w:ind w:left="0" w:firstLine="0"/>
        <w:rPr>
          <w:rFonts w:eastAsia="TimesNewRomanPSMT"/>
          <w:szCs w:val="22"/>
          <w:lang w:eastAsia="en-US"/>
        </w:rPr>
      </w:pPr>
      <w:r w:rsidRPr="003A5C41">
        <w:rPr>
          <w:rFonts w:eastAsia="TimesNewRomanPSMT"/>
          <w:szCs w:val="22"/>
          <w:lang w:eastAsia="en-US"/>
        </w:rPr>
        <w:t xml:space="preserve">Zaznamenali sa nasledovné hlásenia nežiaducich účinkov </w:t>
      </w:r>
      <w:r w:rsidR="00080264">
        <w:rPr>
          <w:rFonts w:eastAsia="TimesNewRomanPSMT"/>
          <w:szCs w:val="22"/>
          <w:lang w:eastAsia="en-US"/>
        </w:rPr>
        <w:t xml:space="preserve">po uvedení lieku na trh </w:t>
      </w:r>
      <w:r w:rsidRPr="003A5C41">
        <w:rPr>
          <w:rFonts w:eastAsia="TimesNewRomanPSMT"/>
          <w:szCs w:val="22"/>
          <w:lang w:eastAsia="en-US"/>
        </w:rPr>
        <w:t>(frekvencia neznáma):</w:t>
      </w:r>
      <w:r w:rsidR="007A2FF1" w:rsidRPr="003A5C41">
        <w:rPr>
          <w:rFonts w:eastAsia="TimesNewRomanPSMT"/>
          <w:szCs w:val="22"/>
          <w:lang w:eastAsia="en-US"/>
        </w:rPr>
        <w:t xml:space="preserve"> </w:t>
      </w:r>
      <w:r w:rsidRPr="003A5C41">
        <w:rPr>
          <w:rFonts w:eastAsia="TimesNewRomanPSMT"/>
          <w:szCs w:val="22"/>
          <w:lang w:eastAsia="en-US"/>
        </w:rPr>
        <w:t>akútne zlyhanie pečene a cholestáza (obe potenciálne fatálne), toxická hepatitída, cytolytická hepatitída a</w:t>
      </w:r>
      <w:r w:rsidR="007A2FF1" w:rsidRPr="003A5C41">
        <w:rPr>
          <w:rFonts w:eastAsia="TimesNewRomanPSMT"/>
          <w:szCs w:val="22"/>
          <w:lang w:eastAsia="en-US"/>
        </w:rPr>
        <w:t xml:space="preserve"> </w:t>
      </w:r>
      <w:r w:rsidRPr="003A5C41">
        <w:rPr>
          <w:rFonts w:eastAsia="TimesNewRomanPSMT"/>
          <w:szCs w:val="22"/>
          <w:lang w:eastAsia="en-US"/>
        </w:rPr>
        <w:t>zmiešaná cytolytická/cholestatická hepatitída.</w:t>
      </w:r>
    </w:p>
    <w:p w14:paraId="675F42A2" w14:textId="77777777" w:rsidR="007A2FF1" w:rsidRPr="003A5C41" w:rsidRDefault="007A2FF1" w:rsidP="003A3623">
      <w:pPr>
        <w:autoSpaceDE w:val="0"/>
        <w:autoSpaceDN w:val="0"/>
        <w:adjustRightInd w:val="0"/>
        <w:ind w:left="0" w:firstLine="0"/>
        <w:rPr>
          <w:rFonts w:eastAsia="TimesNewRomanPSMT"/>
          <w:i/>
          <w:iCs/>
          <w:szCs w:val="22"/>
          <w:lang w:eastAsia="en-US"/>
        </w:rPr>
      </w:pPr>
    </w:p>
    <w:p w14:paraId="4C8C3A9C" w14:textId="77777777" w:rsidR="003A3623" w:rsidRPr="003A5C41" w:rsidRDefault="003A3623" w:rsidP="003A3623">
      <w:pPr>
        <w:autoSpaceDE w:val="0"/>
        <w:autoSpaceDN w:val="0"/>
        <w:adjustRightInd w:val="0"/>
        <w:ind w:left="0" w:firstLine="0"/>
        <w:rPr>
          <w:rFonts w:eastAsia="TimesNewRomanPSMT"/>
          <w:i/>
          <w:iCs/>
          <w:szCs w:val="22"/>
          <w:lang w:eastAsia="en-US"/>
        </w:rPr>
      </w:pPr>
      <w:r w:rsidRPr="003A5C41">
        <w:rPr>
          <w:rFonts w:eastAsia="TimesNewRomanPSMT"/>
          <w:i/>
          <w:iCs/>
          <w:szCs w:val="22"/>
          <w:lang w:eastAsia="en-US"/>
        </w:rPr>
        <w:lastRenderedPageBreak/>
        <w:t>Rabdomyolýza</w:t>
      </w:r>
    </w:p>
    <w:p w14:paraId="3AB152E1" w14:textId="77777777" w:rsidR="003A3623" w:rsidRPr="003A5C41" w:rsidRDefault="003A3623" w:rsidP="003A3623">
      <w:pPr>
        <w:autoSpaceDE w:val="0"/>
        <w:autoSpaceDN w:val="0"/>
        <w:adjustRightInd w:val="0"/>
        <w:ind w:left="0" w:firstLine="0"/>
        <w:rPr>
          <w:rFonts w:eastAsia="TimesNewRomanPSMT"/>
          <w:szCs w:val="22"/>
          <w:lang w:eastAsia="en-US"/>
        </w:rPr>
      </w:pPr>
      <w:r w:rsidRPr="003A5C41">
        <w:rPr>
          <w:rFonts w:eastAsia="TimesNewRomanPSMT"/>
          <w:szCs w:val="22"/>
          <w:lang w:eastAsia="en-US"/>
        </w:rPr>
        <w:t>Pozorovali sa zriedkavé prípady rabdomyolýzy, niektoré z nich súviseli so súbežným podávaním</w:t>
      </w:r>
      <w:r w:rsidR="007A2FF1" w:rsidRPr="003A5C41">
        <w:rPr>
          <w:rFonts w:eastAsia="TimesNewRomanPSMT"/>
          <w:szCs w:val="22"/>
          <w:lang w:eastAsia="en-US"/>
        </w:rPr>
        <w:t xml:space="preserve"> </w:t>
      </w:r>
      <w:r w:rsidRPr="003A5C41">
        <w:rPr>
          <w:rFonts w:eastAsia="TimesNewRomanPSMT"/>
          <w:szCs w:val="22"/>
          <w:lang w:eastAsia="en-US"/>
        </w:rPr>
        <w:t>lenalidomidu so statínom.</w:t>
      </w:r>
    </w:p>
    <w:p w14:paraId="3FC56445" w14:textId="77777777" w:rsidR="007A2FF1" w:rsidRPr="003A5C41" w:rsidRDefault="007A2FF1" w:rsidP="003A3623">
      <w:pPr>
        <w:autoSpaceDE w:val="0"/>
        <w:autoSpaceDN w:val="0"/>
        <w:adjustRightInd w:val="0"/>
        <w:ind w:left="0" w:firstLine="0"/>
        <w:rPr>
          <w:rFonts w:eastAsia="TimesNewRomanPSMT"/>
          <w:szCs w:val="22"/>
          <w:lang w:eastAsia="en-US"/>
        </w:rPr>
      </w:pPr>
    </w:p>
    <w:p w14:paraId="12A47F70" w14:textId="77777777" w:rsidR="003A3623" w:rsidRPr="003A5C41" w:rsidRDefault="003A3623" w:rsidP="003A3623">
      <w:pPr>
        <w:autoSpaceDE w:val="0"/>
        <w:autoSpaceDN w:val="0"/>
        <w:adjustRightInd w:val="0"/>
        <w:ind w:left="0" w:firstLine="0"/>
        <w:rPr>
          <w:rFonts w:eastAsia="TimesNewRomanPSMT"/>
          <w:i/>
          <w:iCs/>
          <w:szCs w:val="22"/>
          <w:lang w:eastAsia="en-US"/>
        </w:rPr>
      </w:pPr>
      <w:r w:rsidRPr="003A5C41">
        <w:rPr>
          <w:rFonts w:eastAsia="TimesNewRomanPSMT"/>
          <w:i/>
          <w:iCs/>
          <w:szCs w:val="22"/>
          <w:lang w:eastAsia="en-US"/>
        </w:rPr>
        <w:t>Poruchy činnosti štítnej žľazy</w:t>
      </w:r>
    </w:p>
    <w:p w14:paraId="4BB9B365" w14:textId="77777777" w:rsidR="003A3623" w:rsidRPr="003A5C41" w:rsidRDefault="003A3623" w:rsidP="003A3623">
      <w:pPr>
        <w:autoSpaceDE w:val="0"/>
        <w:autoSpaceDN w:val="0"/>
        <w:adjustRightInd w:val="0"/>
        <w:ind w:left="0" w:firstLine="0"/>
        <w:rPr>
          <w:rFonts w:eastAsia="TimesNewRomanPSMT"/>
          <w:szCs w:val="22"/>
          <w:lang w:eastAsia="en-US"/>
        </w:rPr>
      </w:pPr>
      <w:r w:rsidRPr="003A5C41">
        <w:rPr>
          <w:rFonts w:eastAsia="TimesNewRomanPSMT"/>
          <w:szCs w:val="22"/>
          <w:lang w:eastAsia="en-US"/>
        </w:rPr>
        <w:t>Boli hlásené prípady hypotyreózy a hypertyreózy (pozri časť 4.4, Poruchy činnosti štítnej žľazy).</w:t>
      </w:r>
    </w:p>
    <w:p w14:paraId="2E23FD03" w14:textId="77777777" w:rsidR="007A2FF1" w:rsidRPr="003A5C41" w:rsidRDefault="007A2FF1" w:rsidP="003A3623">
      <w:pPr>
        <w:autoSpaceDE w:val="0"/>
        <w:autoSpaceDN w:val="0"/>
        <w:adjustRightInd w:val="0"/>
        <w:ind w:left="0" w:firstLine="0"/>
        <w:rPr>
          <w:rFonts w:eastAsia="TimesNewRomanPSMT"/>
          <w:i/>
          <w:iCs/>
          <w:szCs w:val="22"/>
          <w:lang w:eastAsia="en-US"/>
        </w:rPr>
      </w:pPr>
    </w:p>
    <w:p w14:paraId="35AE3555" w14:textId="675714DC" w:rsidR="003A3623" w:rsidRPr="003A5C41" w:rsidRDefault="003A3623" w:rsidP="003A3623">
      <w:pPr>
        <w:autoSpaceDE w:val="0"/>
        <w:autoSpaceDN w:val="0"/>
        <w:adjustRightInd w:val="0"/>
        <w:ind w:left="0" w:firstLine="0"/>
        <w:rPr>
          <w:rFonts w:eastAsia="TimesNewRomanPSMT"/>
          <w:i/>
          <w:iCs/>
          <w:szCs w:val="22"/>
          <w:lang w:eastAsia="en-US"/>
        </w:rPr>
      </w:pPr>
      <w:r w:rsidRPr="003A5C41">
        <w:rPr>
          <w:rFonts w:eastAsia="TimesNewRomanPSMT"/>
          <w:i/>
          <w:iCs/>
          <w:szCs w:val="22"/>
          <w:lang w:eastAsia="en-US"/>
        </w:rPr>
        <w:t xml:space="preserve">Reakcia vzplanutia </w:t>
      </w:r>
      <w:r w:rsidR="00080264">
        <w:rPr>
          <w:rFonts w:eastAsia="TimesNewRomanPSMT"/>
          <w:i/>
          <w:iCs/>
          <w:szCs w:val="22"/>
          <w:lang w:eastAsia="en-US"/>
        </w:rPr>
        <w:t>nádoru</w:t>
      </w:r>
      <w:r w:rsidRPr="003A5C41">
        <w:rPr>
          <w:rFonts w:eastAsia="TimesNewRomanPSMT"/>
          <w:i/>
          <w:iCs/>
          <w:szCs w:val="22"/>
          <w:lang w:eastAsia="en-US"/>
        </w:rPr>
        <w:t xml:space="preserve"> a syndróm z rozpadu nádoru</w:t>
      </w:r>
    </w:p>
    <w:p w14:paraId="7740BE2A" w14:textId="12C8365C" w:rsidR="003A3623" w:rsidRPr="003A5C41" w:rsidRDefault="003A3623" w:rsidP="003A3623">
      <w:pPr>
        <w:autoSpaceDE w:val="0"/>
        <w:autoSpaceDN w:val="0"/>
        <w:adjustRightInd w:val="0"/>
        <w:ind w:left="0" w:firstLine="0"/>
        <w:rPr>
          <w:rFonts w:eastAsia="TimesNewRomanPSMT"/>
          <w:szCs w:val="22"/>
          <w:lang w:eastAsia="en-US"/>
        </w:rPr>
      </w:pPr>
      <w:r w:rsidRPr="003A5C41">
        <w:rPr>
          <w:rFonts w:eastAsia="TimesNewRomanPSMT"/>
          <w:szCs w:val="22"/>
          <w:lang w:eastAsia="en-US"/>
        </w:rPr>
        <w:t>V štúdii MCL-002 malo približne 10% pacientov liečených lenalidomidom TFR (tumour flare reaction)</w:t>
      </w:r>
      <w:r w:rsidR="007A2FF1" w:rsidRPr="003A5C41">
        <w:rPr>
          <w:rFonts w:eastAsia="TimesNewRomanPSMT"/>
          <w:szCs w:val="22"/>
          <w:lang w:eastAsia="en-US"/>
        </w:rPr>
        <w:t xml:space="preserve"> </w:t>
      </w:r>
      <w:r w:rsidRPr="003A5C41">
        <w:rPr>
          <w:rFonts w:eastAsia="TimesNewRomanPSMT"/>
          <w:szCs w:val="22"/>
          <w:lang w:eastAsia="en-US"/>
        </w:rPr>
        <w:t>v porovnaní s 0% v kontrolnej skupine. Väčšina prípadov sa vyskytla v 1. cykle, všetky boli hodnotené</w:t>
      </w:r>
      <w:r w:rsidR="007A2FF1" w:rsidRPr="003A5C41">
        <w:rPr>
          <w:rFonts w:eastAsia="TimesNewRomanPSMT"/>
          <w:szCs w:val="22"/>
          <w:lang w:eastAsia="en-US"/>
        </w:rPr>
        <w:t xml:space="preserve"> </w:t>
      </w:r>
      <w:r w:rsidRPr="003A5C41">
        <w:rPr>
          <w:rFonts w:eastAsia="TimesNewRomanPSMT"/>
          <w:szCs w:val="22"/>
          <w:lang w:eastAsia="en-US"/>
        </w:rPr>
        <w:t xml:space="preserve">ako súvisiace s liečbou a väčšina prípadov bola 1. alebo 2. stupňa. U pacientov s </w:t>
      </w:r>
      <w:r w:rsidR="00080264" w:rsidRPr="00080264">
        <w:rPr>
          <w:rFonts w:eastAsia="TimesNewRomanPSMT"/>
          <w:szCs w:val="22"/>
          <w:lang w:eastAsia="en-US"/>
        </w:rPr>
        <w:t xml:space="preserve">lymfómom z plášťových buniek s vysokým medzinárodným prognostickým indexom </w:t>
      </w:r>
      <w:r w:rsidR="00080264">
        <w:rPr>
          <w:rFonts w:eastAsia="TimesNewRomanPSMT"/>
          <w:szCs w:val="22"/>
          <w:lang w:eastAsia="en-US"/>
        </w:rPr>
        <w:t>(</w:t>
      </w:r>
      <w:r w:rsidRPr="003A5C41">
        <w:rPr>
          <w:rFonts w:eastAsia="TimesNewRomanPSMT"/>
          <w:szCs w:val="22"/>
          <w:lang w:eastAsia="en-US"/>
        </w:rPr>
        <w:t>MIPI</w:t>
      </w:r>
      <w:r w:rsidR="00080264">
        <w:rPr>
          <w:rFonts w:eastAsia="TimesNewRomanPSMT"/>
          <w:szCs w:val="22"/>
          <w:lang w:eastAsia="en-US"/>
        </w:rPr>
        <w:t>)</w:t>
      </w:r>
      <w:r w:rsidR="007A2FF1" w:rsidRPr="003A5C41">
        <w:rPr>
          <w:rFonts w:eastAsia="TimesNewRomanPSMT"/>
          <w:szCs w:val="22"/>
          <w:lang w:eastAsia="en-US"/>
        </w:rPr>
        <w:t xml:space="preserve"> </w:t>
      </w:r>
      <w:r w:rsidRPr="003A5C41">
        <w:rPr>
          <w:rFonts w:eastAsia="TimesNewRomanPSMT"/>
          <w:szCs w:val="22"/>
          <w:lang w:eastAsia="en-US"/>
        </w:rPr>
        <w:t xml:space="preserve">v čase diagnózy alebo </w:t>
      </w:r>
      <w:r w:rsidR="00080264">
        <w:rPr>
          <w:rFonts w:eastAsia="TimesNewRomanPSMT"/>
          <w:szCs w:val="22"/>
          <w:lang w:eastAsia="en-US"/>
        </w:rPr>
        <w:t xml:space="preserve">rozsiahlym ochorením - </w:t>
      </w:r>
      <w:r w:rsidRPr="003A5C41">
        <w:rPr>
          <w:rFonts w:eastAsia="TimesNewRomanPSMT"/>
          <w:szCs w:val="22"/>
          <w:lang w:eastAsia="en-US"/>
        </w:rPr>
        <w:t>tzv. bulky disease ( najmenej 1 lézia ≥</w:t>
      </w:r>
      <w:r w:rsidR="007A2FF1" w:rsidRPr="003A5C41">
        <w:rPr>
          <w:rFonts w:eastAsia="TimesNewRomanPSMT"/>
          <w:szCs w:val="22"/>
          <w:lang w:eastAsia="en-US"/>
        </w:rPr>
        <w:t> </w:t>
      </w:r>
      <w:r w:rsidRPr="003A5C41">
        <w:rPr>
          <w:rFonts w:eastAsia="TimesNewRomanPSMT"/>
          <w:szCs w:val="22"/>
          <w:lang w:eastAsia="en-US"/>
        </w:rPr>
        <w:t>7cm v najdlhšom priemere) pred začiatkom</w:t>
      </w:r>
      <w:r w:rsidR="007A2FF1" w:rsidRPr="003A5C41">
        <w:rPr>
          <w:rFonts w:eastAsia="TimesNewRomanPSMT"/>
          <w:szCs w:val="22"/>
          <w:lang w:eastAsia="en-US"/>
        </w:rPr>
        <w:t xml:space="preserve"> </w:t>
      </w:r>
      <w:r w:rsidRPr="003A5C41">
        <w:rPr>
          <w:rFonts w:eastAsia="TimesNewRomanPSMT"/>
          <w:szCs w:val="22"/>
          <w:lang w:eastAsia="en-US"/>
        </w:rPr>
        <w:t>liečby môže existovať riziko TFR. V štúdii MCL-002 bol hlásený jeden pacient s TLS (tumour lysis</w:t>
      </w:r>
      <w:r w:rsidR="007A2FF1" w:rsidRPr="003A5C41">
        <w:rPr>
          <w:rFonts w:eastAsia="TimesNewRomanPSMT"/>
          <w:szCs w:val="22"/>
          <w:lang w:eastAsia="en-US"/>
        </w:rPr>
        <w:t xml:space="preserve"> </w:t>
      </w:r>
      <w:r w:rsidRPr="003A5C41">
        <w:rPr>
          <w:rFonts w:eastAsia="TimesNewRomanPSMT"/>
          <w:szCs w:val="22"/>
          <w:lang w:eastAsia="en-US"/>
        </w:rPr>
        <w:t>syndrome) v každej z dvoch liečených skupín.</w:t>
      </w:r>
      <w:r w:rsidR="00281558">
        <w:rPr>
          <w:rFonts w:eastAsia="TimesNewRomanPSMT"/>
          <w:szCs w:val="22"/>
          <w:lang w:eastAsia="en-US"/>
        </w:rPr>
        <w:t xml:space="preserve"> </w:t>
      </w:r>
      <w:r w:rsidRPr="003A5C41">
        <w:rPr>
          <w:rFonts w:eastAsia="TimesNewRomanPSMT"/>
          <w:szCs w:val="22"/>
          <w:lang w:eastAsia="en-US"/>
        </w:rPr>
        <w:t>V podpornej štúdii MCL-001 malo približ</w:t>
      </w:r>
      <w:r w:rsidR="007A2FF1" w:rsidRPr="003A5C41">
        <w:rPr>
          <w:rFonts w:eastAsia="TimesNewRomanPSMT"/>
          <w:szCs w:val="22"/>
          <w:lang w:eastAsia="en-US"/>
        </w:rPr>
        <w:t>ne 10</w:t>
      </w:r>
      <w:r w:rsidRPr="003A5C41">
        <w:rPr>
          <w:rFonts w:eastAsia="TimesNewRomanPSMT"/>
          <w:szCs w:val="22"/>
          <w:lang w:eastAsia="en-US"/>
        </w:rPr>
        <w:t>% osôb</w:t>
      </w:r>
      <w:r w:rsidR="007A2FF1" w:rsidRPr="003A5C41">
        <w:rPr>
          <w:rFonts w:eastAsia="TimesNewRomanPSMT"/>
          <w:szCs w:val="22"/>
          <w:lang w:eastAsia="en-US"/>
        </w:rPr>
        <w:t xml:space="preserve"> </w:t>
      </w:r>
      <w:r w:rsidRPr="003A5C41">
        <w:rPr>
          <w:rFonts w:eastAsia="TimesNewRomanPSMT"/>
          <w:szCs w:val="22"/>
          <w:lang w:eastAsia="en-US"/>
        </w:rPr>
        <w:t>TFR, všetky prípady boli 1. alebo 2. stupňa závažnosti a všetky boli hodnotené ako súvisiace s liečbou.</w:t>
      </w:r>
      <w:r w:rsidR="007A2FF1" w:rsidRPr="003A5C41">
        <w:rPr>
          <w:rFonts w:eastAsia="TimesNewRomanPSMT"/>
          <w:szCs w:val="22"/>
          <w:lang w:eastAsia="en-US"/>
        </w:rPr>
        <w:t xml:space="preserve"> </w:t>
      </w:r>
      <w:r w:rsidRPr="003A5C41">
        <w:rPr>
          <w:rFonts w:eastAsia="TimesNewRomanPSMT"/>
          <w:szCs w:val="22"/>
          <w:lang w:eastAsia="en-US"/>
        </w:rPr>
        <w:t>Väčšina prípadov sa vyskytla v 1. cykle. Neboli hlásené žiadne prípady TLS v štúdii MCL-001 (pozri</w:t>
      </w:r>
      <w:r w:rsidR="007A2FF1" w:rsidRPr="003A5C41">
        <w:rPr>
          <w:rFonts w:eastAsia="TimesNewRomanPSMT"/>
          <w:szCs w:val="22"/>
          <w:lang w:eastAsia="en-US"/>
        </w:rPr>
        <w:t xml:space="preserve"> </w:t>
      </w:r>
      <w:r w:rsidRPr="003A5C41">
        <w:rPr>
          <w:rFonts w:eastAsia="TimesNewRomanPSMT"/>
          <w:szCs w:val="22"/>
          <w:lang w:eastAsia="en-US"/>
        </w:rPr>
        <w:t>časť 4.4).</w:t>
      </w:r>
    </w:p>
    <w:p w14:paraId="09CC4B9F" w14:textId="77777777" w:rsidR="007A2FF1" w:rsidRPr="003A5C41" w:rsidRDefault="007A2FF1" w:rsidP="003A3623">
      <w:pPr>
        <w:autoSpaceDE w:val="0"/>
        <w:autoSpaceDN w:val="0"/>
        <w:adjustRightInd w:val="0"/>
        <w:ind w:left="0" w:firstLine="0"/>
        <w:rPr>
          <w:rFonts w:eastAsia="TimesNewRomanPSMT"/>
          <w:i/>
          <w:iCs/>
          <w:szCs w:val="22"/>
          <w:lang w:eastAsia="en-US"/>
        </w:rPr>
      </w:pPr>
    </w:p>
    <w:p w14:paraId="7D7DB7B3" w14:textId="77777777" w:rsidR="003A3623" w:rsidRPr="003A5C41" w:rsidRDefault="003A3623" w:rsidP="003A3623">
      <w:pPr>
        <w:autoSpaceDE w:val="0"/>
        <w:autoSpaceDN w:val="0"/>
        <w:adjustRightInd w:val="0"/>
        <w:ind w:left="0" w:firstLine="0"/>
        <w:rPr>
          <w:rFonts w:eastAsia="TimesNewRomanPSMT"/>
          <w:i/>
          <w:iCs/>
          <w:szCs w:val="22"/>
          <w:lang w:eastAsia="en-US"/>
        </w:rPr>
      </w:pPr>
      <w:r w:rsidRPr="003A5C41">
        <w:rPr>
          <w:rFonts w:eastAsia="TimesNewRomanPSMT"/>
          <w:i/>
          <w:iCs/>
          <w:szCs w:val="22"/>
          <w:lang w:eastAsia="en-US"/>
        </w:rPr>
        <w:t>Poruchy gastrointestinálneho traktu</w:t>
      </w:r>
    </w:p>
    <w:p w14:paraId="5AFD3CEB" w14:textId="77777777" w:rsidR="00D75E2C" w:rsidRPr="003A5C41" w:rsidRDefault="003A3623" w:rsidP="007A2FF1">
      <w:pPr>
        <w:autoSpaceDE w:val="0"/>
        <w:autoSpaceDN w:val="0"/>
        <w:adjustRightInd w:val="0"/>
        <w:ind w:left="0" w:firstLine="0"/>
        <w:rPr>
          <w:szCs w:val="22"/>
        </w:rPr>
      </w:pPr>
      <w:r w:rsidRPr="003A5C41">
        <w:rPr>
          <w:rFonts w:eastAsia="TimesNewRomanPSMT"/>
          <w:szCs w:val="22"/>
          <w:lang w:eastAsia="en-US"/>
        </w:rPr>
        <w:t>Počas liečby lenalidomidom boli hlásené gastrointestinálne perforácie. Gastrointestinálne perforácie</w:t>
      </w:r>
      <w:r w:rsidR="007A2FF1" w:rsidRPr="003A5C41">
        <w:rPr>
          <w:rFonts w:eastAsia="TimesNewRomanPSMT"/>
          <w:szCs w:val="22"/>
          <w:lang w:eastAsia="en-US"/>
        </w:rPr>
        <w:t xml:space="preserve"> </w:t>
      </w:r>
      <w:r w:rsidRPr="003A5C41">
        <w:rPr>
          <w:rFonts w:eastAsia="TimesNewRomanPSMT"/>
          <w:szCs w:val="22"/>
          <w:lang w:eastAsia="en-US"/>
        </w:rPr>
        <w:t>môžu viesť k septickým komplikáciám a môžu byť spojené s fatálnym výsledkom.</w:t>
      </w:r>
    </w:p>
    <w:p w14:paraId="4016FCFB" w14:textId="77777777" w:rsidR="00D75E2C" w:rsidRPr="003A5C41" w:rsidRDefault="00D75E2C" w:rsidP="00B31CB2">
      <w:pPr>
        <w:ind w:left="0" w:firstLine="0"/>
        <w:rPr>
          <w:szCs w:val="22"/>
        </w:rPr>
      </w:pPr>
    </w:p>
    <w:p w14:paraId="4CF3FB74" w14:textId="77777777" w:rsidR="000C3699" w:rsidRPr="003A5C41" w:rsidRDefault="000C3699" w:rsidP="000C3699">
      <w:pPr>
        <w:autoSpaceDE w:val="0"/>
        <w:autoSpaceDN w:val="0"/>
        <w:adjustRightInd w:val="0"/>
        <w:ind w:left="0" w:firstLine="0"/>
        <w:rPr>
          <w:rFonts w:eastAsia="TimesNewRoman"/>
          <w:color w:val="000000"/>
          <w:szCs w:val="22"/>
          <w:u w:val="single"/>
          <w:lang w:eastAsia="en-US"/>
        </w:rPr>
      </w:pPr>
      <w:r w:rsidRPr="003A5C41">
        <w:rPr>
          <w:rFonts w:eastAsia="TimesNewRoman"/>
          <w:color w:val="000000"/>
          <w:szCs w:val="22"/>
          <w:u w:val="single"/>
          <w:lang w:eastAsia="en-US"/>
        </w:rPr>
        <w:t>Hlásenie podozrení na nežiaduce reakcie</w:t>
      </w:r>
    </w:p>
    <w:p w14:paraId="47027BEA" w14:textId="77777777" w:rsidR="00A76C79" w:rsidRPr="003A5C41" w:rsidRDefault="000C3699" w:rsidP="00C22352">
      <w:pPr>
        <w:autoSpaceDE w:val="0"/>
        <w:autoSpaceDN w:val="0"/>
        <w:adjustRightInd w:val="0"/>
        <w:ind w:left="0" w:firstLine="0"/>
        <w:rPr>
          <w:szCs w:val="22"/>
        </w:rPr>
      </w:pPr>
      <w:r w:rsidRPr="003A5C41">
        <w:rPr>
          <w:rFonts w:eastAsia="TimesNewRoman"/>
          <w:color w:val="000000"/>
          <w:szCs w:val="22"/>
          <w:lang w:eastAsia="en-US"/>
        </w:rPr>
        <w:t>Hlásenie podozrení na nežiaduce reakcie po registrácii lieku je dôležité. Umožňuje priebežné</w:t>
      </w:r>
      <w:r w:rsidR="003132BD" w:rsidRPr="003A5C41">
        <w:rPr>
          <w:rFonts w:eastAsia="TimesNewRoman"/>
          <w:color w:val="000000"/>
          <w:szCs w:val="22"/>
          <w:lang w:eastAsia="en-US"/>
        </w:rPr>
        <w:t xml:space="preserve"> </w:t>
      </w:r>
      <w:r w:rsidRPr="003A5C41">
        <w:rPr>
          <w:rFonts w:eastAsia="TimesNewRoman"/>
          <w:color w:val="000000"/>
          <w:szCs w:val="22"/>
          <w:lang w:eastAsia="en-US"/>
        </w:rPr>
        <w:t>monitorovanie pomeru prínosu a rizika lieku. Od zdravotníckych pracovníkov sa vyžaduje, aby hlásili</w:t>
      </w:r>
      <w:r w:rsidR="003132BD" w:rsidRPr="003A5C41">
        <w:rPr>
          <w:rFonts w:eastAsia="TimesNewRoman"/>
          <w:color w:val="000000"/>
          <w:szCs w:val="22"/>
          <w:lang w:eastAsia="en-US"/>
        </w:rPr>
        <w:t xml:space="preserve"> </w:t>
      </w:r>
      <w:r w:rsidRPr="003A5C41">
        <w:rPr>
          <w:rFonts w:eastAsia="TimesNewRoman"/>
          <w:color w:val="000000"/>
          <w:szCs w:val="22"/>
          <w:lang w:eastAsia="en-US"/>
        </w:rPr>
        <w:t xml:space="preserve">akékoľvek podozrenia na nežiaduce reakcie </w:t>
      </w:r>
      <w:r w:rsidR="00C22352" w:rsidRPr="003A5C41">
        <w:rPr>
          <w:rFonts w:eastAsia="TimesNewRoman"/>
          <w:color w:val="000000"/>
          <w:szCs w:val="22"/>
          <w:lang w:eastAsia="en-US"/>
        </w:rPr>
        <w:t>na</w:t>
      </w:r>
      <w:r w:rsidRPr="003A5C41">
        <w:rPr>
          <w:rFonts w:eastAsia="TimesNewRoman"/>
          <w:color w:val="000000"/>
          <w:szCs w:val="22"/>
          <w:lang w:eastAsia="en-US"/>
        </w:rPr>
        <w:t xml:space="preserve"> </w:t>
      </w:r>
      <w:r w:rsidRPr="003A5C41">
        <w:rPr>
          <w:rFonts w:eastAsia="TimesNewRoman"/>
          <w:color w:val="000000"/>
          <w:szCs w:val="22"/>
          <w:highlight w:val="lightGray"/>
          <w:lang w:eastAsia="en-US"/>
        </w:rPr>
        <w:t xml:space="preserve">národné </w:t>
      </w:r>
      <w:r w:rsidR="00C22352" w:rsidRPr="003A5C41">
        <w:rPr>
          <w:rFonts w:eastAsia="TimesNewRoman"/>
          <w:color w:val="000000"/>
          <w:szCs w:val="22"/>
          <w:highlight w:val="lightGray"/>
          <w:lang w:eastAsia="en-US"/>
        </w:rPr>
        <w:t xml:space="preserve">centrum </w:t>
      </w:r>
      <w:r w:rsidRPr="003A5C41">
        <w:rPr>
          <w:rFonts w:eastAsia="TimesNewRoman"/>
          <w:color w:val="000000"/>
          <w:szCs w:val="22"/>
          <w:highlight w:val="lightGray"/>
          <w:lang w:eastAsia="en-US"/>
        </w:rPr>
        <w:t>hlásenia uvedené</w:t>
      </w:r>
      <w:r w:rsidR="00C22352" w:rsidRPr="003A5C41">
        <w:rPr>
          <w:rFonts w:eastAsia="TimesNewRoman"/>
          <w:color w:val="000000"/>
          <w:szCs w:val="22"/>
          <w:highlight w:val="lightGray"/>
          <w:lang w:eastAsia="en-US"/>
        </w:rPr>
        <w:t xml:space="preserve"> </w:t>
      </w:r>
      <w:r w:rsidRPr="003A5C41">
        <w:rPr>
          <w:rFonts w:eastAsia="TimesNewRoman"/>
          <w:color w:val="000000"/>
          <w:szCs w:val="22"/>
          <w:highlight w:val="lightGray"/>
          <w:lang w:eastAsia="en-US"/>
        </w:rPr>
        <w:t xml:space="preserve">v </w:t>
      </w:r>
      <w:hyperlink r:id="rId8" w:history="1">
        <w:r w:rsidR="001D66BC" w:rsidRPr="003A5C41">
          <w:rPr>
            <w:rStyle w:val="Hypertextovprepojenie"/>
            <w:szCs w:val="22"/>
            <w:highlight w:val="lightGray"/>
            <w:lang w:eastAsia="en-GB"/>
          </w:rPr>
          <w:t>Prílohe V</w:t>
        </w:r>
      </w:hyperlink>
      <w:r w:rsidRPr="003A5C41">
        <w:rPr>
          <w:rFonts w:eastAsia="TimesNewRoman"/>
          <w:color w:val="000000"/>
          <w:szCs w:val="22"/>
          <w:lang w:eastAsia="en-US"/>
        </w:rPr>
        <w:t>.</w:t>
      </w:r>
    </w:p>
    <w:p w14:paraId="455893A1" w14:textId="77777777" w:rsidR="00136F77" w:rsidRPr="003A5C41" w:rsidRDefault="00136F77" w:rsidP="00C92B0B">
      <w:pPr>
        <w:rPr>
          <w:szCs w:val="22"/>
        </w:rPr>
      </w:pPr>
    </w:p>
    <w:p w14:paraId="7224563C" w14:textId="77777777" w:rsidR="00FF6BE0" w:rsidRPr="003A5C41" w:rsidRDefault="00FF6BE0" w:rsidP="00C92B0B">
      <w:pPr>
        <w:rPr>
          <w:szCs w:val="22"/>
        </w:rPr>
      </w:pPr>
      <w:r w:rsidRPr="003A5C41">
        <w:rPr>
          <w:b/>
          <w:szCs w:val="22"/>
        </w:rPr>
        <w:t>4.9</w:t>
      </w:r>
      <w:r w:rsidRPr="003A5C41">
        <w:rPr>
          <w:b/>
          <w:szCs w:val="22"/>
        </w:rPr>
        <w:tab/>
        <w:t>Predávkovanie</w:t>
      </w:r>
    </w:p>
    <w:p w14:paraId="770D3853" w14:textId="77777777" w:rsidR="007873EC" w:rsidRPr="003A5C41" w:rsidRDefault="007873EC" w:rsidP="00C92B0B">
      <w:pPr>
        <w:ind w:left="0" w:firstLine="0"/>
        <w:rPr>
          <w:szCs w:val="22"/>
          <w:u w:val="single"/>
        </w:rPr>
      </w:pPr>
    </w:p>
    <w:p w14:paraId="5136C428" w14:textId="25DA1342" w:rsidR="009B2C13" w:rsidRPr="003A5C41" w:rsidRDefault="003A3623" w:rsidP="000B309A">
      <w:pPr>
        <w:autoSpaceDE w:val="0"/>
        <w:autoSpaceDN w:val="0"/>
        <w:adjustRightInd w:val="0"/>
        <w:ind w:left="0" w:firstLine="0"/>
        <w:rPr>
          <w:rFonts w:eastAsia="TimesNewRomanPSMT"/>
          <w:szCs w:val="22"/>
          <w:lang w:eastAsia="en-US"/>
        </w:rPr>
      </w:pPr>
      <w:r w:rsidRPr="003A5C41">
        <w:rPr>
          <w:rFonts w:eastAsia="TimesNewRomanPSMT"/>
          <w:szCs w:val="22"/>
          <w:lang w:eastAsia="en-US"/>
        </w:rPr>
        <w:t>Neexistujú žiadne špecifické skúsenosti s liečbou predávkovania lenalidomidom u pacientov, aj keď</w:t>
      </w:r>
      <w:r w:rsidR="000B309A" w:rsidRPr="003A5C41">
        <w:rPr>
          <w:rFonts w:eastAsia="TimesNewRomanPSMT"/>
          <w:szCs w:val="22"/>
          <w:lang w:eastAsia="en-US"/>
        </w:rPr>
        <w:t xml:space="preserve"> </w:t>
      </w:r>
      <w:r w:rsidRPr="003A5C41">
        <w:rPr>
          <w:rFonts w:eastAsia="TimesNewRomanPSMT"/>
          <w:szCs w:val="22"/>
          <w:lang w:eastAsia="en-US"/>
        </w:rPr>
        <w:t>v štúdiách na určenie dávky boli niektorí pacienti vystavení až</w:t>
      </w:r>
      <w:r w:rsidR="000B309A" w:rsidRPr="003A5C41">
        <w:rPr>
          <w:rFonts w:eastAsia="TimesNewRomanPSMT"/>
          <w:szCs w:val="22"/>
          <w:lang w:eastAsia="en-US"/>
        </w:rPr>
        <w:t xml:space="preserve"> 150 </w:t>
      </w:r>
      <w:r w:rsidRPr="003A5C41">
        <w:rPr>
          <w:rFonts w:eastAsia="TimesNewRomanPSMT"/>
          <w:szCs w:val="22"/>
          <w:lang w:eastAsia="en-US"/>
        </w:rPr>
        <w:t>mg lenalidomidu a v štúdiách</w:t>
      </w:r>
      <w:r w:rsidR="000B309A" w:rsidRPr="003A5C41">
        <w:rPr>
          <w:rFonts w:eastAsia="TimesNewRomanPSMT"/>
          <w:szCs w:val="22"/>
          <w:lang w:eastAsia="en-US"/>
        </w:rPr>
        <w:t xml:space="preserve"> </w:t>
      </w:r>
      <w:r w:rsidRPr="003A5C41">
        <w:rPr>
          <w:rFonts w:eastAsia="TimesNewRomanPSMT"/>
          <w:szCs w:val="22"/>
          <w:lang w:eastAsia="en-US"/>
        </w:rPr>
        <w:t>s jednorazovou dávkou boli niektorí pacienti vystavení až 400</w:t>
      </w:r>
      <w:r w:rsidR="000B309A" w:rsidRPr="003A5C41">
        <w:rPr>
          <w:rFonts w:eastAsia="TimesNewRomanPSMT"/>
          <w:szCs w:val="22"/>
          <w:lang w:eastAsia="en-US"/>
        </w:rPr>
        <w:t> </w:t>
      </w:r>
      <w:r w:rsidRPr="003A5C41">
        <w:rPr>
          <w:rFonts w:eastAsia="TimesNewRomanPSMT"/>
          <w:szCs w:val="22"/>
          <w:lang w:eastAsia="en-US"/>
        </w:rPr>
        <w:t>mg. Toxicita obmedzujúca dávku v týchto</w:t>
      </w:r>
      <w:r w:rsidR="000B309A" w:rsidRPr="003A5C41">
        <w:rPr>
          <w:rFonts w:eastAsia="TimesNewRomanPSMT"/>
          <w:szCs w:val="22"/>
          <w:lang w:eastAsia="en-US"/>
        </w:rPr>
        <w:t xml:space="preserve"> </w:t>
      </w:r>
      <w:r w:rsidRPr="003A5C41">
        <w:rPr>
          <w:rFonts w:eastAsia="TimesNewRomanPSMT"/>
          <w:szCs w:val="22"/>
          <w:lang w:eastAsia="en-US"/>
        </w:rPr>
        <w:t xml:space="preserve">štúdiách bola </w:t>
      </w:r>
      <w:r w:rsidR="00080264">
        <w:rPr>
          <w:rFonts w:eastAsia="TimesNewRomanPSMT"/>
          <w:szCs w:val="22"/>
          <w:lang w:eastAsia="en-US"/>
        </w:rPr>
        <w:t>hlavne</w:t>
      </w:r>
      <w:r w:rsidRPr="003A5C41">
        <w:rPr>
          <w:rFonts w:eastAsia="TimesNewRomanPSMT"/>
          <w:szCs w:val="22"/>
          <w:lang w:eastAsia="en-US"/>
        </w:rPr>
        <w:t xml:space="preserve"> hematologická. V prípade predávkovania sa odporúča podporná starostlivosť.</w:t>
      </w:r>
    </w:p>
    <w:p w14:paraId="3D10240C" w14:textId="77777777" w:rsidR="000B309A" w:rsidRPr="003A5C41" w:rsidRDefault="000B309A" w:rsidP="003A3623">
      <w:pPr>
        <w:ind w:left="0" w:firstLine="0"/>
        <w:rPr>
          <w:rFonts w:eastAsia="TimesNewRomanPSMT"/>
          <w:szCs w:val="22"/>
          <w:lang w:eastAsia="en-US"/>
        </w:rPr>
      </w:pPr>
    </w:p>
    <w:p w14:paraId="2F43C151" w14:textId="77777777" w:rsidR="000B309A" w:rsidRPr="003A5C41" w:rsidRDefault="000B309A" w:rsidP="003A3623">
      <w:pPr>
        <w:ind w:left="0" w:firstLine="0"/>
        <w:rPr>
          <w:szCs w:val="22"/>
        </w:rPr>
      </w:pPr>
    </w:p>
    <w:p w14:paraId="555C1BEA" w14:textId="77777777" w:rsidR="00FF6BE0" w:rsidRPr="003A5C41" w:rsidRDefault="00FF6BE0" w:rsidP="00C92B0B">
      <w:pPr>
        <w:rPr>
          <w:szCs w:val="22"/>
        </w:rPr>
      </w:pPr>
      <w:r w:rsidRPr="003A5C41">
        <w:rPr>
          <w:b/>
          <w:szCs w:val="22"/>
        </w:rPr>
        <w:t>5.</w:t>
      </w:r>
      <w:r w:rsidRPr="003A5C41">
        <w:rPr>
          <w:b/>
          <w:szCs w:val="22"/>
        </w:rPr>
        <w:tab/>
        <w:t>FARMAKOLOGICKÉ VLAST</w:t>
      </w:r>
      <w:smartTag w:uri="urn:schemas-microsoft-com:office:smarttags" w:element="PersonName">
        <w:r w:rsidRPr="003A5C41">
          <w:rPr>
            <w:b/>
            <w:szCs w:val="22"/>
          </w:rPr>
          <w:t>NO</w:t>
        </w:r>
      </w:smartTag>
      <w:r w:rsidRPr="003A5C41">
        <w:rPr>
          <w:b/>
          <w:szCs w:val="22"/>
        </w:rPr>
        <w:t>STI</w:t>
      </w:r>
    </w:p>
    <w:p w14:paraId="49A7B188" w14:textId="77777777" w:rsidR="00FF6BE0" w:rsidRPr="003A5C41" w:rsidRDefault="00FF6BE0" w:rsidP="00C92B0B">
      <w:pPr>
        <w:rPr>
          <w:bCs/>
          <w:szCs w:val="22"/>
        </w:rPr>
      </w:pPr>
    </w:p>
    <w:p w14:paraId="415279DC" w14:textId="77777777" w:rsidR="00FF6BE0" w:rsidRPr="003A5C41" w:rsidRDefault="00FF6BE0" w:rsidP="00C92B0B">
      <w:pPr>
        <w:rPr>
          <w:szCs w:val="22"/>
        </w:rPr>
      </w:pPr>
      <w:r w:rsidRPr="003A5C41">
        <w:rPr>
          <w:b/>
          <w:szCs w:val="22"/>
        </w:rPr>
        <w:t>5.1</w:t>
      </w:r>
      <w:r w:rsidRPr="003A5C41">
        <w:rPr>
          <w:b/>
          <w:szCs w:val="22"/>
        </w:rPr>
        <w:tab/>
        <w:t>Farmakodynamické vlastnosti</w:t>
      </w:r>
    </w:p>
    <w:p w14:paraId="1419C364" w14:textId="77777777" w:rsidR="00FF6BE0" w:rsidRPr="003A5C41" w:rsidRDefault="00FF6BE0" w:rsidP="00C92B0B">
      <w:pPr>
        <w:rPr>
          <w:szCs w:val="22"/>
        </w:rPr>
      </w:pPr>
    </w:p>
    <w:p w14:paraId="3B699E55" w14:textId="337B489D" w:rsidR="00B646DC" w:rsidRPr="003A5C41" w:rsidRDefault="00B646DC" w:rsidP="00B646DC">
      <w:pPr>
        <w:autoSpaceDE w:val="0"/>
        <w:autoSpaceDN w:val="0"/>
        <w:adjustRightInd w:val="0"/>
        <w:ind w:left="0" w:firstLine="0"/>
        <w:rPr>
          <w:rFonts w:eastAsia="TimesNewRoman"/>
          <w:szCs w:val="22"/>
          <w:lang w:eastAsia="en-US"/>
        </w:rPr>
      </w:pPr>
      <w:r w:rsidRPr="003A5C41">
        <w:rPr>
          <w:rFonts w:eastAsia="TimesNewRoman"/>
          <w:szCs w:val="22"/>
          <w:lang w:eastAsia="en-US"/>
        </w:rPr>
        <w:t xml:space="preserve">Farmakoterapeutická skupina: </w:t>
      </w:r>
      <w:r w:rsidR="000B309A" w:rsidRPr="003A5C41">
        <w:rPr>
          <w:rFonts w:eastAsia="TimesNewRoman"/>
          <w:szCs w:val="22"/>
          <w:lang w:eastAsia="en-US"/>
        </w:rPr>
        <w:t xml:space="preserve">Imunosupresíva, </w:t>
      </w:r>
      <w:r w:rsidR="00080264">
        <w:rPr>
          <w:rFonts w:eastAsia="TimesNewRoman"/>
          <w:szCs w:val="22"/>
          <w:lang w:eastAsia="en-US"/>
        </w:rPr>
        <w:t>iné</w:t>
      </w:r>
      <w:r w:rsidR="000B309A" w:rsidRPr="003A5C41">
        <w:rPr>
          <w:szCs w:val="22"/>
          <w:lang w:eastAsia="en-US"/>
        </w:rPr>
        <w:t xml:space="preserve"> imunosupresíva. ATC kód: L04 AX04</w:t>
      </w:r>
    </w:p>
    <w:p w14:paraId="5DEBF5E6" w14:textId="77777777" w:rsidR="00B646DC" w:rsidRPr="003A5C41" w:rsidRDefault="00B646DC" w:rsidP="00B646DC">
      <w:pPr>
        <w:autoSpaceDE w:val="0"/>
        <w:autoSpaceDN w:val="0"/>
        <w:adjustRightInd w:val="0"/>
        <w:ind w:left="0" w:firstLine="0"/>
        <w:rPr>
          <w:rFonts w:eastAsia="TimesNewRoman"/>
          <w:szCs w:val="22"/>
          <w:lang w:eastAsia="en-US"/>
        </w:rPr>
      </w:pPr>
    </w:p>
    <w:p w14:paraId="40455C49" w14:textId="77777777" w:rsidR="00B646DC" w:rsidRPr="003A5C41" w:rsidRDefault="00B646DC" w:rsidP="00B646DC">
      <w:pPr>
        <w:autoSpaceDE w:val="0"/>
        <w:autoSpaceDN w:val="0"/>
        <w:adjustRightInd w:val="0"/>
        <w:ind w:left="0" w:firstLine="0"/>
        <w:rPr>
          <w:rFonts w:eastAsia="TimesNewRoman"/>
          <w:szCs w:val="22"/>
          <w:u w:val="single"/>
          <w:lang w:eastAsia="en-US"/>
        </w:rPr>
      </w:pPr>
      <w:r w:rsidRPr="00957CE8">
        <w:rPr>
          <w:rFonts w:eastAsia="TimesNewRoman"/>
          <w:szCs w:val="22"/>
          <w:u w:val="single"/>
          <w:lang w:eastAsia="en-US"/>
        </w:rPr>
        <w:t>Me</w:t>
      </w:r>
      <w:r w:rsidRPr="003A5C41">
        <w:rPr>
          <w:rFonts w:eastAsia="TimesNewRoman"/>
          <w:szCs w:val="22"/>
          <w:u w:val="single"/>
          <w:lang w:eastAsia="en-US"/>
        </w:rPr>
        <w:t>chanizmus účinku</w:t>
      </w:r>
    </w:p>
    <w:p w14:paraId="3FF22D4B" w14:textId="1B9D7D6A" w:rsidR="000B309A" w:rsidRPr="003A5C41" w:rsidRDefault="000B309A" w:rsidP="000B309A">
      <w:pPr>
        <w:autoSpaceDE w:val="0"/>
        <w:autoSpaceDN w:val="0"/>
        <w:adjustRightInd w:val="0"/>
        <w:ind w:left="0" w:firstLine="0"/>
        <w:rPr>
          <w:rFonts w:eastAsia="TimesNewRomanPSMT"/>
          <w:color w:val="000000"/>
          <w:szCs w:val="22"/>
          <w:lang w:eastAsia="en-US"/>
        </w:rPr>
      </w:pPr>
      <w:r w:rsidRPr="003A5C41">
        <w:rPr>
          <w:rFonts w:eastAsia="TimesNewRomanPSMT"/>
          <w:szCs w:val="22"/>
          <w:lang w:eastAsia="en-US"/>
        </w:rPr>
        <w:t>Mechanizmus účinku lenalidomidu zahŕňa antineoplastické, antiangiogenetické, erytropoetické</w:t>
      </w:r>
      <w:r w:rsidR="00C75A8C" w:rsidRPr="003A5C41">
        <w:rPr>
          <w:rFonts w:eastAsia="TimesNewRomanPSMT"/>
          <w:szCs w:val="22"/>
          <w:lang w:eastAsia="en-US"/>
        </w:rPr>
        <w:t xml:space="preserve"> </w:t>
      </w:r>
      <w:r w:rsidRPr="003A5C41">
        <w:rPr>
          <w:rFonts w:eastAsia="TimesNewRomanPSMT"/>
          <w:szCs w:val="22"/>
          <w:lang w:eastAsia="en-US"/>
        </w:rPr>
        <w:t>a imunomodulačné vlastnosti. Lenalidomid inhibuje proliferáciu určitých hematopoetických nádorových</w:t>
      </w:r>
      <w:r w:rsidR="00C75A8C" w:rsidRPr="003A5C41">
        <w:rPr>
          <w:rFonts w:eastAsia="TimesNewRomanPSMT"/>
          <w:szCs w:val="22"/>
          <w:lang w:eastAsia="en-US"/>
        </w:rPr>
        <w:t xml:space="preserve"> </w:t>
      </w:r>
      <w:r w:rsidRPr="003A5C41">
        <w:rPr>
          <w:rFonts w:eastAsia="TimesNewRomanPSMT"/>
          <w:szCs w:val="22"/>
          <w:lang w:eastAsia="en-US"/>
        </w:rPr>
        <w:t>buniek (vrátane plazmatických nádorových buniek mnohopočetného myelómu (MM) a nádorových</w:t>
      </w:r>
      <w:r w:rsidR="00C75A8C" w:rsidRPr="003A5C41">
        <w:rPr>
          <w:rFonts w:eastAsia="TimesNewRomanPSMT"/>
          <w:szCs w:val="22"/>
          <w:lang w:eastAsia="en-US"/>
        </w:rPr>
        <w:t xml:space="preserve"> </w:t>
      </w:r>
      <w:r w:rsidRPr="003A5C41">
        <w:rPr>
          <w:rFonts w:eastAsia="TimesNewRomanPSMT"/>
          <w:szCs w:val="22"/>
          <w:lang w:eastAsia="en-US"/>
        </w:rPr>
        <w:t>buniek s deléciami na chromozóme 5), zlepšuje imunitu sprostredkovanú T-bunkami a prirodzenými</w:t>
      </w:r>
      <w:r w:rsidR="00C75A8C" w:rsidRPr="003A5C41">
        <w:rPr>
          <w:rFonts w:eastAsia="TimesNewRomanPSMT"/>
          <w:szCs w:val="22"/>
          <w:lang w:eastAsia="en-US"/>
        </w:rPr>
        <w:t xml:space="preserve"> </w:t>
      </w:r>
      <w:r w:rsidRPr="003A5C41">
        <w:rPr>
          <w:rFonts w:eastAsia="TimesNewRomanPSMT"/>
          <w:szCs w:val="22"/>
          <w:lang w:eastAsia="en-US"/>
        </w:rPr>
        <w:t>zabíjačmi (</w:t>
      </w:r>
      <w:r w:rsidRPr="003A5C41">
        <w:rPr>
          <w:rFonts w:eastAsia="TimesNewRomanPSMT"/>
          <w:i/>
          <w:iCs/>
          <w:szCs w:val="22"/>
          <w:lang w:eastAsia="en-US"/>
        </w:rPr>
        <w:t>Natural Killer Cells</w:t>
      </w:r>
      <w:r w:rsidRPr="003A5C41">
        <w:rPr>
          <w:rFonts w:eastAsia="TimesNewRomanPSMT"/>
          <w:szCs w:val="22"/>
          <w:lang w:eastAsia="en-US"/>
        </w:rPr>
        <w:t>, NK) a zvyšuje počet NK T-buniek, inhibuje angiogenézu blokovaním</w:t>
      </w:r>
      <w:r w:rsidR="00AF4AA2">
        <w:rPr>
          <w:rFonts w:eastAsia="TimesNewRomanPSMT"/>
          <w:szCs w:val="22"/>
          <w:lang w:eastAsia="en-US"/>
        </w:rPr>
        <w:t xml:space="preserve"> </w:t>
      </w:r>
      <w:r w:rsidRPr="003A5C41">
        <w:rPr>
          <w:color w:val="000000"/>
          <w:szCs w:val="22"/>
          <w:lang w:eastAsia="en-US"/>
        </w:rPr>
        <w:t>migrácie a adhézie endotelových buniek a tvorbu mikrociev, zvy</w:t>
      </w:r>
      <w:r w:rsidRPr="003A5C41">
        <w:rPr>
          <w:rFonts w:eastAsia="TimesNewRomanPSMT"/>
          <w:color w:val="000000"/>
          <w:szCs w:val="22"/>
          <w:lang w:eastAsia="en-US"/>
        </w:rPr>
        <w:t>š</w:t>
      </w:r>
      <w:r w:rsidRPr="003A5C41">
        <w:rPr>
          <w:color w:val="000000"/>
          <w:szCs w:val="22"/>
          <w:lang w:eastAsia="en-US"/>
        </w:rPr>
        <w:t>uje produkciu fetálneho hemoglobínu</w:t>
      </w:r>
      <w:r w:rsidR="00C75A8C" w:rsidRPr="003A5C41">
        <w:rPr>
          <w:color w:val="000000"/>
          <w:szCs w:val="22"/>
          <w:lang w:eastAsia="en-US"/>
        </w:rPr>
        <w:t xml:space="preserve"> </w:t>
      </w:r>
      <w:r w:rsidRPr="003A5C41">
        <w:rPr>
          <w:rFonts w:eastAsia="TimesNewRomanPSMT"/>
          <w:color w:val="000000"/>
          <w:szCs w:val="22"/>
          <w:lang w:eastAsia="en-US"/>
        </w:rPr>
        <w:t>v CD34+ hematopoetický</w:t>
      </w:r>
      <w:r w:rsidR="00414327">
        <w:rPr>
          <w:rFonts w:eastAsia="TimesNewRomanPSMT"/>
          <w:color w:val="000000"/>
          <w:szCs w:val="22"/>
          <w:lang w:eastAsia="en-US"/>
        </w:rPr>
        <w:t>mi</w:t>
      </w:r>
      <w:r w:rsidRPr="003A5C41">
        <w:rPr>
          <w:rFonts w:eastAsia="TimesNewRomanPSMT"/>
          <w:color w:val="000000"/>
          <w:szCs w:val="22"/>
          <w:lang w:eastAsia="en-US"/>
        </w:rPr>
        <w:t xml:space="preserve"> kmeňový</w:t>
      </w:r>
      <w:r w:rsidR="00414327">
        <w:rPr>
          <w:rFonts w:eastAsia="TimesNewRomanPSMT"/>
          <w:color w:val="000000"/>
          <w:szCs w:val="22"/>
          <w:lang w:eastAsia="en-US"/>
        </w:rPr>
        <w:t>mi</w:t>
      </w:r>
      <w:r w:rsidRPr="003A5C41">
        <w:rPr>
          <w:rFonts w:eastAsia="TimesNewRomanPSMT"/>
          <w:color w:val="000000"/>
          <w:szCs w:val="22"/>
          <w:lang w:eastAsia="en-US"/>
        </w:rPr>
        <w:t xml:space="preserve"> bunk</w:t>
      </w:r>
      <w:r w:rsidR="00414327">
        <w:rPr>
          <w:rFonts w:eastAsia="TimesNewRomanPSMT"/>
          <w:color w:val="000000"/>
          <w:szCs w:val="22"/>
          <w:lang w:eastAsia="en-US"/>
        </w:rPr>
        <w:t>ami</w:t>
      </w:r>
      <w:r w:rsidRPr="003A5C41">
        <w:rPr>
          <w:rFonts w:eastAsia="TimesNewRomanPSMT"/>
          <w:color w:val="000000"/>
          <w:szCs w:val="22"/>
          <w:lang w:eastAsia="en-US"/>
        </w:rPr>
        <w:t xml:space="preserve"> a inhibuje produkciu prozápalových cytokínov</w:t>
      </w:r>
      <w:r w:rsidR="00C75A8C" w:rsidRPr="003A5C41">
        <w:rPr>
          <w:rFonts w:eastAsia="TimesNewRomanPSMT"/>
          <w:color w:val="000000"/>
          <w:szCs w:val="22"/>
          <w:lang w:eastAsia="en-US"/>
        </w:rPr>
        <w:t xml:space="preserve"> </w:t>
      </w:r>
      <w:r w:rsidRPr="003A5C41">
        <w:rPr>
          <w:rFonts w:eastAsia="TimesNewRomanPSMT"/>
          <w:color w:val="000000"/>
          <w:szCs w:val="22"/>
          <w:lang w:eastAsia="en-US"/>
        </w:rPr>
        <w:t>v monocytoch (napríklad TNF-α a IL-6).</w:t>
      </w:r>
    </w:p>
    <w:p w14:paraId="48C068BE" w14:textId="77777777" w:rsidR="00C75A8C" w:rsidRPr="003A5C41" w:rsidRDefault="00C75A8C" w:rsidP="000B309A">
      <w:pPr>
        <w:autoSpaceDE w:val="0"/>
        <w:autoSpaceDN w:val="0"/>
        <w:adjustRightInd w:val="0"/>
        <w:ind w:left="0" w:firstLine="0"/>
        <w:rPr>
          <w:color w:val="000000"/>
          <w:szCs w:val="22"/>
          <w:lang w:eastAsia="en-US"/>
        </w:rPr>
      </w:pPr>
    </w:p>
    <w:p w14:paraId="187F1A57" w14:textId="77777777" w:rsidR="000B309A" w:rsidRPr="003A5C41" w:rsidRDefault="000B309A" w:rsidP="000B309A">
      <w:pPr>
        <w:autoSpaceDE w:val="0"/>
        <w:autoSpaceDN w:val="0"/>
        <w:adjustRightInd w:val="0"/>
        <w:ind w:left="0" w:firstLine="0"/>
        <w:rPr>
          <w:color w:val="000000"/>
          <w:szCs w:val="22"/>
          <w:lang w:eastAsia="en-US"/>
        </w:rPr>
      </w:pPr>
      <w:r w:rsidRPr="003A5C41">
        <w:rPr>
          <w:color w:val="000000"/>
          <w:szCs w:val="22"/>
          <w:lang w:eastAsia="en-US"/>
        </w:rPr>
        <w:t xml:space="preserve">V prípade MDS s deléciou 5q sa preukázalo, </w:t>
      </w:r>
      <w:r w:rsidRPr="003A5C41">
        <w:rPr>
          <w:rFonts w:eastAsia="TimesNewRomanPSMT"/>
          <w:color w:val="000000"/>
          <w:szCs w:val="22"/>
          <w:lang w:eastAsia="en-US"/>
        </w:rPr>
        <w:t>ž</w:t>
      </w:r>
      <w:r w:rsidRPr="003A5C41">
        <w:rPr>
          <w:color w:val="000000"/>
          <w:szCs w:val="22"/>
          <w:lang w:eastAsia="en-US"/>
        </w:rPr>
        <w:t>e lenalidomid selektívne inhibuje abnormálny klon</w:t>
      </w:r>
      <w:r w:rsidR="00C75A8C" w:rsidRPr="003A5C41">
        <w:rPr>
          <w:color w:val="000000"/>
          <w:szCs w:val="22"/>
          <w:lang w:eastAsia="en-US"/>
        </w:rPr>
        <w:t xml:space="preserve"> </w:t>
      </w:r>
      <w:r w:rsidRPr="003A5C41">
        <w:rPr>
          <w:color w:val="000000"/>
          <w:szCs w:val="22"/>
          <w:lang w:eastAsia="en-US"/>
        </w:rPr>
        <w:t>zvý</w:t>
      </w:r>
      <w:r w:rsidRPr="003A5C41">
        <w:rPr>
          <w:rFonts w:eastAsia="TimesNewRomanPSMT"/>
          <w:color w:val="000000"/>
          <w:szCs w:val="22"/>
          <w:lang w:eastAsia="en-US"/>
        </w:rPr>
        <w:t>š</w:t>
      </w:r>
      <w:r w:rsidRPr="003A5C41">
        <w:rPr>
          <w:color w:val="000000"/>
          <w:szCs w:val="22"/>
          <w:lang w:eastAsia="en-US"/>
        </w:rPr>
        <w:t>ením apoptózy buniek s deléciou 5q.</w:t>
      </w:r>
    </w:p>
    <w:p w14:paraId="5F2242DC" w14:textId="77777777" w:rsidR="00C75A8C" w:rsidRPr="003A5C41" w:rsidRDefault="00C75A8C" w:rsidP="000B309A">
      <w:pPr>
        <w:autoSpaceDE w:val="0"/>
        <w:autoSpaceDN w:val="0"/>
        <w:adjustRightInd w:val="0"/>
        <w:ind w:left="0" w:firstLine="0"/>
        <w:rPr>
          <w:color w:val="000000"/>
          <w:szCs w:val="22"/>
          <w:lang w:eastAsia="en-US"/>
        </w:rPr>
      </w:pPr>
    </w:p>
    <w:p w14:paraId="406BE829" w14:textId="41DA2FB2" w:rsidR="00DC2988" w:rsidRPr="003A5C41" w:rsidRDefault="000B309A" w:rsidP="000B309A">
      <w:pPr>
        <w:autoSpaceDE w:val="0"/>
        <w:autoSpaceDN w:val="0"/>
        <w:adjustRightInd w:val="0"/>
        <w:ind w:left="0" w:firstLine="0"/>
        <w:rPr>
          <w:rFonts w:eastAsia="TimesNewRoman"/>
          <w:szCs w:val="22"/>
          <w:lang w:eastAsia="en-US"/>
        </w:rPr>
      </w:pPr>
      <w:r w:rsidRPr="003A5C41">
        <w:rPr>
          <w:rFonts w:eastAsia="TimesNewRomanPSMT"/>
          <w:color w:val="000000"/>
          <w:szCs w:val="22"/>
          <w:lang w:eastAsia="en-US"/>
        </w:rPr>
        <w:lastRenderedPageBreak/>
        <w:t>Lenalidomid sa viaže priamo na cereblon, zložku cullínového kruhu, ktorý je súčasťou E3 ubikvitín</w:t>
      </w:r>
      <w:r w:rsidR="00C75A8C" w:rsidRPr="003A5C41">
        <w:rPr>
          <w:rFonts w:eastAsia="TimesNewRomanPSMT"/>
          <w:color w:val="000000"/>
          <w:szCs w:val="22"/>
          <w:lang w:eastAsia="en-US"/>
        </w:rPr>
        <w:t xml:space="preserve"> </w:t>
      </w:r>
      <w:r w:rsidR="00414327">
        <w:rPr>
          <w:rFonts w:eastAsia="TimesNewRomanPSMT"/>
          <w:color w:val="000000"/>
          <w:szCs w:val="22"/>
          <w:lang w:eastAsia="en-US"/>
        </w:rPr>
        <w:t>ligázového enzýmového</w:t>
      </w:r>
      <w:r w:rsidRPr="003A5C41">
        <w:rPr>
          <w:rFonts w:eastAsia="TimesNewRomanPSMT"/>
          <w:color w:val="000000"/>
          <w:szCs w:val="22"/>
          <w:lang w:eastAsia="en-US"/>
        </w:rPr>
        <w:t xml:space="preserve"> komplexu. E3 ubi</w:t>
      </w:r>
      <w:r w:rsidR="00414327">
        <w:rPr>
          <w:rFonts w:eastAsia="TimesNewRomanPSMT"/>
          <w:color w:val="000000"/>
          <w:szCs w:val="22"/>
          <w:lang w:eastAsia="en-US"/>
        </w:rPr>
        <w:t>kv</w:t>
      </w:r>
      <w:r w:rsidRPr="003A5C41">
        <w:rPr>
          <w:rFonts w:eastAsia="TimesNewRomanPSMT"/>
          <w:color w:val="000000"/>
          <w:szCs w:val="22"/>
          <w:lang w:eastAsia="en-US"/>
        </w:rPr>
        <w:t xml:space="preserve">itín </w:t>
      </w:r>
      <w:r w:rsidR="00414327">
        <w:rPr>
          <w:rFonts w:eastAsia="TimesNewRomanPSMT"/>
          <w:color w:val="000000"/>
          <w:szCs w:val="22"/>
          <w:lang w:eastAsia="en-US"/>
        </w:rPr>
        <w:t>ligázový enzýmový</w:t>
      </w:r>
      <w:r w:rsidRPr="003A5C41">
        <w:rPr>
          <w:rFonts w:eastAsia="TimesNewRomanPSMT"/>
          <w:color w:val="000000"/>
          <w:szCs w:val="22"/>
          <w:lang w:eastAsia="en-US"/>
        </w:rPr>
        <w:t xml:space="preserve"> komplex ďalej zahŕňa </w:t>
      </w:r>
      <w:r w:rsidR="00414327" w:rsidRPr="00414327">
        <w:rPr>
          <w:rFonts w:eastAsia="TimesNewRomanPSMT"/>
          <w:color w:val="000000"/>
          <w:szCs w:val="22"/>
          <w:lang w:eastAsia="en-US"/>
        </w:rPr>
        <w:t xml:space="preserve">proteín viažuci poškodenú deoxyribonukleovú kyselinu 1 </w:t>
      </w:r>
      <w:r w:rsidR="00414327">
        <w:rPr>
          <w:rFonts w:eastAsia="TimesNewRomanPSMT"/>
          <w:color w:val="000000"/>
          <w:szCs w:val="22"/>
          <w:lang w:eastAsia="en-US"/>
        </w:rPr>
        <w:t>(</w:t>
      </w:r>
      <w:r w:rsidRPr="003A5C41">
        <w:rPr>
          <w:rFonts w:eastAsia="TimesNewRomanPSMT"/>
          <w:color w:val="000000"/>
          <w:szCs w:val="22"/>
          <w:lang w:eastAsia="en-US"/>
        </w:rPr>
        <w:t>DNA damage-binding protein 1</w:t>
      </w:r>
      <w:r w:rsidR="00414327">
        <w:rPr>
          <w:color w:val="000000"/>
          <w:szCs w:val="22"/>
          <w:lang w:eastAsia="en-US"/>
        </w:rPr>
        <w:t xml:space="preserve">, </w:t>
      </w:r>
      <w:r w:rsidRPr="003A5C41">
        <w:rPr>
          <w:color w:val="000000"/>
          <w:szCs w:val="22"/>
          <w:lang w:eastAsia="en-US"/>
        </w:rPr>
        <w:t xml:space="preserve">DDB1), cullín 4 (CUL4), a regulátor cullínov 1 (Roc1). V prítomnosti lenalidomidu </w:t>
      </w:r>
      <w:r w:rsidR="00414327">
        <w:rPr>
          <w:color w:val="000000"/>
          <w:szCs w:val="22"/>
          <w:lang w:eastAsia="en-US"/>
        </w:rPr>
        <w:t xml:space="preserve">sa </w:t>
      </w:r>
      <w:r w:rsidRPr="003A5C41">
        <w:rPr>
          <w:color w:val="000000"/>
          <w:szCs w:val="22"/>
          <w:lang w:eastAsia="en-US"/>
        </w:rPr>
        <w:t>cereblon via</w:t>
      </w:r>
      <w:r w:rsidRPr="003A5C41">
        <w:rPr>
          <w:rFonts w:eastAsia="TimesNewRomanPSMT"/>
          <w:color w:val="000000"/>
          <w:szCs w:val="22"/>
          <w:lang w:eastAsia="en-US"/>
        </w:rPr>
        <w:t>ž</w:t>
      </w:r>
      <w:r w:rsidRPr="003A5C41">
        <w:rPr>
          <w:color w:val="000000"/>
          <w:szCs w:val="22"/>
          <w:lang w:eastAsia="en-US"/>
        </w:rPr>
        <w:t>e</w:t>
      </w:r>
      <w:r w:rsidR="00C75A8C" w:rsidRPr="003A5C41">
        <w:rPr>
          <w:color w:val="000000"/>
          <w:szCs w:val="22"/>
          <w:lang w:eastAsia="en-US"/>
        </w:rPr>
        <w:t xml:space="preserve"> </w:t>
      </w:r>
      <w:r w:rsidR="00414327">
        <w:rPr>
          <w:color w:val="000000"/>
          <w:szCs w:val="22"/>
          <w:lang w:eastAsia="en-US"/>
        </w:rPr>
        <w:t xml:space="preserve">na </w:t>
      </w:r>
      <w:r w:rsidRPr="003A5C41">
        <w:rPr>
          <w:rFonts w:eastAsia="TimesNewRomanPSMT"/>
          <w:color w:val="000000"/>
          <w:szCs w:val="22"/>
          <w:lang w:eastAsia="en-US"/>
        </w:rPr>
        <w:t>substrát</w:t>
      </w:r>
      <w:r w:rsidR="00414327">
        <w:rPr>
          <w:rFonts w:eastAsia="TimesNewRomanPSMT"/>
          <w:color w:val="000000"/>
          <w:szCs w:val="22"/>
          <w:lang w:eastAsia="en-US"/>
        </w:rPr>
        <w:t>ové</w:t>
      </w:r>
      <w:r w:rsidRPr="003A5C41">
        <w:rPr>
          <w:rFonts w:eastAsia="TimesNewRomanPSMT"/>
          <w:color w:val="000000"/>
          <w:szCs w:val="22"/>
          <w:lang w:eastAsia="en-US"/>
        </w:rPr>
        <w:t xml:space="preserve"> proteín</w:t>
      </w:r>
      <w:r w:rsidR="00414327">
        <w:rPr>
          <w:rFonts w:eastAsia="TimesNewRomanPSMT"/>
          <w:color w:val="000000"/>
          <w:szCs w:val="22"/>
          <w:lang w:eastAsia="en-US"/>
        </w:rPr>
        <w:t>y</w:t>
      </w:r>
      <w:r w:rsidRPr="003A5C41">
        <w:rPr>
          <w:rFonts w:eastAsia="TimesNewRomanPSMT"/>
          <w:color w:val="000000"/>
          <w:szCs w:val="22"/>
          <w:lang w:eastAsia="en-US"/>
        </w:rPr>
        <w:t xml:space="preserve"> Aiolos a Ikaros, ktoré sú lymfoidné transkripčné faktory, a to vedie k ich ubikvitinácii a</w:t>
      </w:r>
      <w:r w:rsidR="00C75A8C" w:rsidRPr="003A5C41">
        <w:rPr>
          <w:rFonts w:eastAsia="TimesNewRomanPSMT"/>
          <w:color w:val="000000"/>
          <w:szCs w:val="22"/>
          <w:lang w:eastAsia="en-US"/>
        </w:rPr>
        <w:t xml:space="preserve"> </w:t>
      </w:r>
      <w:r w:rsidRPr="003A5C41">
        <w:rPr>
          <w:rFonts w:eastAsia="TimesNewRomanPSMT"/>
          <w:color w:val="000000"/>
          <w:szCs w:val="22"/>
          <w:lang w:eastAsia="en-US"/>
        </w:rPr>
        <w:t xml:space="preserve">následnej degradácii, dôsledkom čoho </w:t>
      </w:r>
      <w:r w:rsidRPr="003A5C41">
        <w:rPr>
          <w:rFonts w:eastAsia="TimesNewRomanPSMT"/>
          <w:color w:val="222222"/>
          <w:szCs w:val="22"/>
          <w:lang w:eastAsia="en-US"/>
        </w:rPr>
        <w:t>sú cytotoxické a imunomodulačné účinky</w:t>
      </w:r>
      <w:r w:rsidRPr="003A5C41">
        <w:rPr>
          <w:color w:val="000000"/>
          <w:szCs w:val="22"/>
          <w:lang w:eastAsia="en-US"/>
        </w:rPr>
        <w:t>.</w:t>
      </w:r>
    </w:p>
    <w:p w14:paraId="06B63880" w14:textId="77777777" w:rsidR="00DC2988" w:rsidRPr="003A5C41" w:rsidRDefault="00DC2988" w:rsidP="00B646DC">
      <w:pPr>
        <w:autoSpaceDE w:val="0"/>
        <w:autoSpaceDN w:val="0"/>
        <w:adjustRightInd w:val="0"/>
        <w:ind w:left="0" w:firstLine="0"/>
        <w:rPr>
          <w:rFonts w:eastAsia="TimesNewRoman"/>
          <w:szCs w:val="22"/>
          <w:lang w:eastAsia="en-US"/>
        </w:rPr>
      </w:pPr>
    </w:p>
    <w:p w14:paraId="17A2448B" w14:textId="77777777" w:rsidR="00B646DC" w:rsidRPr="003A5C41" w:rsidRDefault="00B646DC" w:rsidP="00B646DC">
      <w:pPr>
        <w:autoSpaceDE w:val="0"/>
        <w:autoSpaceDN w:val="0"/>
        <w:adjustRightInd w:val="0"/>
        <w:ind w:left="0" w:firstLine="0"/>
        <w:rPr>
          <w:rFonts w:eastAsia="TimesNewRoman"/>
          <w:szCs w:val="22"/>
          <w:u w:val="single"/>
          <w:lang w:eastAsia="en-US"/>
        </w:rPr>
      </w:pPr>
      <w:r w:rsidRPr="003A5C41">
        <w:rPr>
          <w:rFonts w:eastAsia="TimesNewRoman"/>
          <w:szCs w:val="22"/>
          <w:u w:val="single"/>
          <w:lang w:eastAsia="en-US"/>
        </w:rPr>
        <w:t>Klinická účinnosť a bezpečnosť</w:t>
      </w:r>
    </w:p>
    <w:p w14:paraId="472C4B42" w14:textId="047DADA0" w:rsidR="00C75A8C" w:rsidRPr="003A5C41" w:rsidRDefault="00C75A8C" w:rsidP="00C75A8C">
      <w:pPr>
        <w:autoSpaceDE w:val="0"/>
        <w:autoSpaceDN w:val="0"/>
        <w:adjustRightInd w:val="0"/>
        <w:ind w:left="0" w:firstLine="0"/>
        <w:rPr>
          <w:rFonts w:eastAsia="TimesNewRomanPSMT"/>
          <w:szCs w:val="22"/>
          <w:lang w:eastAsia="en-US"/>
        </w:rPr>
      </w:pPr>
      <w:r w:rsidRPr="003A5C41">
        <w:rPr>
          <w:rFonts w:eastAsia="TimesNewRomanPSMT"/>
          <w:szCs w:val="22"/>
          <w:lang w:eastAsia="en-US"/>
        </w:rPr>
        <w:t>Účinnosť a bezpečnosť lenalidomidu boli hodnotené v piatich štúdiách fázy III pre novo diagnostikovaný mnohopočetný myelóm, v dvoch štúdiách fázy III relabovaného refraktérného mnohopočetného myelómu, v jednej štúdii fázy III a v jednej štúdii fázy II myelodysplastického syndrómu a v jednej štúdii fázy II lymfómu z plášťových buniek, ako je popísané nižšie.</w:t>
      </w:r>
    </w:p>
    <w:p w14:paraId="094FF6C0" w14:textId="77777777" w:rsidR="00C75A8C" w:rsidRPr="003A5C41" w:rsidRDefault="00C75A8C" w:rsidP="00C75A8C">
      <w:pPr>
        <w:autoSpaceDE w:val="0"/>
        <w:autoSpaceDN w:val="0"/>
        <w:adjustRightInd w:val="0"/>
        <w:ind w:left="0" w:firstLine="0"/>
        <w:rPr>
          <w:rFonts w:eastAsia="TimesNewRomanPSMT"/>
          <w:i/>
          <w:iCs/>
          <w:szCs w:val="22"/>
          <w:lang w:eastAsia="en-US"/>
        </w:rPr>
      </w:pPr>
    </w:p>
    <w:p w14:paraId="5BB9DA12" w14:textId="647A89D2" w:rsidR="00C75A8C" w:rsidRPr="003A5C41" w:rsidRDefault="00C75A8C" w:rsidP="00C75A8C">
      <w:pPr>
        <w:autoSpaceDE w:val="0"/>
        <w:autoSpaceDN w:val="0"/>
        <w:adjustRightInd w:val="0"/>
        <w:ind w:left="0" w:firstLine="0"/>
        <w:rPr>
          <w:rFonts w:eastAsia="TimesNewRomanPSMT"/>
          <w:i/>
          <w:iCs/>
          <w:szCs w:val="22"/>
          <w:lang w:eastAsia="en-US"/>
        </w:rPr>
      </w:pPr>
      <w:r w:rsidRPr="003A5C41">
        <w:rPr>
          <w:rFonts w:eastAsia="TimesNewRomanPSMT"/>
          <w:i/>
          <w:iCs/>
          <w:szCs w:val="22"/>
          <w:lang w:eastAsia="en-US"/>
        </w:rPr>
        <w:t>Novo diagnostikovaný mnohopočetný myelóm</w:t>
      </w:r>
    </w:p>
    <w:p w14:paraId="03EFD8D5" w14:textId="77777777" w:rsidR="00C75A8C" w:rsidRPr="003A5C41" w:rsidRDefault="00C75A8C" w:rsidP="00C75A8C">
      <w:pPr>
        <w:autoSpaceDE w:val="0"/>
        <w:autoSpaceDN w:val="0"/>
        <w:adjustRightInd w:val="0"/>
        <w:ind w:left="0" w:firstLine="426"/>
        <w:rPr>
          <w:rFonts w:eastAsia="TimesNewRomanPSMT"/>
          <w:szCs w:val="22"/>
          <w:lang w:eastAsia="en-US"/>
        </w:rPr>
      </w:pPr>
      <w:r w:rsidRPr="003A5C41">
        <w:rPr>
          <w:rFonts w:eastAsia="SymbolMT"/>
          <w:szCs w:val="22"/>
          <w:lang w:eastAsia="en-US"/>
        </w:rPr>
        <w:t>•</w:t>
      </w:r>
      <w:r w:rsidRPr="003A5C41">
        <w:rPr>
          <w:rFonts w:eastAsia="SymbolMT"/>
          <w:szCs w:val="22"/>
          <w:lang w:eastAsia="en-US"/>
        </w:rPr>
        <w:tab/>
      </w:r>
      <w:r w:rsidRPr="003A5C41">
        <w:rPr>
          <w:rFonts w:eastAsia="TimesNewRomanPSMT"/>
          <w:i/>
          <w:szCs w:val="22"/>
          <w:lang w:eastAsia="en-US"/>
        </w:rPr>
        <w:t>Udržiavacia dávka lenalidomidu u pacientov, ktorí podstúpili ASCT</w:t>
      </w:r>
    </w:p>
    <w:p w14:paraId="235E1343" w14:textId="77777777" w:rsidR="00C75A8C" w:rsidRPr="003A5C41" w:rsidRDefault="00C75A8C" w:rsidP="00C75A8C">
      <w:pPr>
        <w:autoSpaceDE w:val="0"/>
        <w:autoSpaceDN w:val="0"/>
        <w:adjustRightInd w:val="0"/>
        <w:ind w:left="0" w:firstLine="0"/>
        <w:rPr>
          <w:rFonts w:eastAsia="TimesNewRomanPSMT"/>
          <w:szCs w:val="22"/>
          <w:lang w:eastAsia="en-US"/>
        </w:rPr>
      </w:pPr>
      <w:r w:rsidRPr="003A5C41">
        <w:rPr>
          <w:rFonts w:eastAsia="TimesNewRomanPSMT"/>
          <w:szCs w:val="22"/>
          <w:lang w:eastAsia="en-US"/>
        </w:rPr>
        <w:t>Účinnosť a bezpečnosť lenalidomidu v udržiavacej dávke bola hodnotená v dvoch multicentrických, randomizovaných, dvojito zaslepených, dvojramenných, placebom kontrolovaných štúdiách fázy III s paralelnými skupinami: CALGB 100104 a IFM 2005-02.</w:t>
      </w:r>
    </w:p>
    <w:p w14:paraId="6B15A770" w14:textId="77777777" w:rsidR="00C75A8C" w:rsidRPr="003A5C41" w:rsidRDefault="00C75A8C" w:rsidP="00C75A8C">
      <w:pPr>
        <w:autoSpaceDE w:val="0"/>
        <w:autoSpaceDN w:val="0"/>
        <w:adjustRightInd w:val="0"/>
        <w:ind w:left="0" w:firstLine="0"/>
        <w:rPr>
          <w:rFonts w:eastAsia="TimesNewRomanPSMT"/>
          <w:i/>
          <w:iCs/>
          <w:szCs w:val="22"/>
          <w:lang w:eastAsia="en-US"/>
        </w:rPr>
      </w:pPr>
    </w:p>
    <w:p w14:paraId="38C55312" w14:textId="77777777" w:rsidR="00C75A8C" w:rsidRPr="003A5C41" w:rsidRDefault="00C75A8C" w:rsidP="00C75A8C">
      <w:pPr>
        <w:autoSpaceDE w:val="0"/>
        <w:autoSpaceDN w:val="0"/>
        <w:adjustRightInd w:val="0"/>
        <w:ind w:left="0" w:firstLine="0"/>
        <w:rPr>
          <w:rFonts w:eastAsia="TimesNewRomanPSMT"/>
          <w:i/>
          <w:iCs/>
          <w:szCs w:val="22"/>
          <w:lang w:eastAsia="en-US"/>
        </w:rPr>
      </w:pPr>
      <w:r w:rsidRPr="003A5C41">
        <w:rPr>
          <w:rFonts w:eastAsia="TimesNewRomanPSMT"/>
          <w:i/>
          <w:iCs/>
          <w:szCs w:val="22"/>
          <w:lang w:eastAsia="en-US"/>
        </w:rPr>
        <w:t>CALGB 100104</w:t>
      </w:r>
    </w:p>
    <w:p w14:paraId="0510BC39" w14:textId="77777777" w:rsidR="00C75A8C" w:rsidRPr="003A5C41" w:rsidRDefault="00C75A8C" w:rsidP="00C75A8C">
      <w:pPr>
        <w:autoSpaceDE w:val="0"/>
        <w:autoSpaceDN w:val="0"/>
        <w:adjustRightInd w:val="0"/>
        <w:ind w:left="0" w:firstLine="0"/>
        <w:rPr>
          <w:rFonts w:eastAsia="TimesNewRomanPSMT"/>
          <w:szCs w:val="22"/>
          <w:lang w:eastAsia="en-US"/>
        </w:rPr>
      </w:pPr>
      <w:r w:rsidRPr="003A5C41">
        <w:rPr>
          <w:rFonts w:eastAsia="TimesNewRomanPSMT"/>
          <w:szCs w:val="22"/>
          <w:lang w:eastAsia="en-US"/>
        </w:rPr>
        <w:t>Do štúdie boli zaradení pacienti vo veku 18 až 70 rokov s aktívnym MM vyžadujúcim liečbu a bez predchádzajúcej progresie po začiatočnej liečbe.</w:t>
      </w:r>
    </w:p>
    <w:p w14:paraId="6E1192A6" w14:textId="77777777" w:rsidR="00C75A8C" w:rsidRPr="003A5C41" w:rsidRDefault="00C75A8C" w:rsidP="00C75A8C">
      <w:pPr>
        <w:autoSpaceDE w:val="0"/>
        <w:autoSpaceDN w:val="0"/>
        <w:adjustRightInd w:val="0"/>
        <w:ind w:left="0" w:firstLine="0"/>
        <w:rPr>
          <w:rFonts w:eastAsia="TimesNewRomanPSMT"/>
          <w:szCs w:val="22"/>
          <w:lang w:eastAsia="en-US"/>
        </w:rPr>
      </w:pPr>
    </w:p>
    <w:p w14:paraId="3333D022" w14:textId="77777777" w:rsidR="00C75A8C" w:rsidRPr="003A5C41" w:rsidRDefault="00C75A8C" w:rsidP="00C75A8C">
      <w:pPr>
        <w:autoSpaceDE w:val="0"/>
        <w:autoSpaceDN w:val="0"/>
        <w:adjustRightInd w:val="0"/>
        <w:ind w:left="0" w:firstLine="0"/>
        <w:rPr>
          <w:rFonts w:eastAsia="TimesNewRomanPSMT"/>
          <w:szCs w:val="22"/>
          <w:lang w:eastAsia="en-US"/>
        </w:rPr>
      </w:pPr>
      <w:r w:rsidRPr="003A5C41">
        <w:rPr>
          <w:rFonts w:eastAsia="TimesNewRomanPSMT"/>
          <w:szCs w:val="22"/>
          <w:lang w:eastAsia="en-US"/>
        </w:rPr>
        <w:t>V priebehu 90 </w:t>
      </w:r>
      <w:r w:rsidRPr="003A5C41">
        <w:rPr>
          <w:rFonts w:eastAsia="TimesNewRomanPSMT"/>
          <w:szCs w:val="22"/>
          <w:lang w:eastAsia="en-US"/>
        </w:rPr>
        <w:noBreakHyphen/>
        <w:t> 100 dní po ASCT boli pacienti randomizovaní v pomere 1:1 do skupín, ktorým boli podávané lenalidomid alebo placebo v udržiavacej terapii. Udržiavacia dávka bola 10 mg jedenkrát denne v 1.</w:t>
      </w:r>
      <w:r w:rsidRPr="003A5C41">
        <w:rPr>
          <w:rFonts w:eastAsia="TimesNewRomanPSMT"/>
          <w:szCs w:val="22"/>
          <w:lang w:eastAsia="en-US"/>
        </w:rPr>
        <w:noBreakHyphen/>
        <w:t>28. deň opakovaných 28-dňových cyklov (zvýšená na 15 mg jedenkrát denne po 3 mesiacoch bez výskytu toxicity limitujúcej dávku), a v liečbe sa pokračovalo až do progresie ochorenia.</w:t>
      </w:r>
    </w:p>
    <w:p w14:paraId="65C47C7E" w14:textId="77777777" w:rsidR="00C75A8C" w:rsidRPr="003A5C41" w:rsidRDefault="00C75A8C" w:rsidP="00C75A8C">
      <w:pPr>
        <w:autoSpaceDE w:val="0"/>
        <w:autoSpaceDN w:val="0"/>
        <w:adjustRightInd w:val="0"/>
        <w:ind w:left="0" w:firstLine="0"/>
        <w:rPr>
          <w:rFonts w:eastAsia="TimesNewRomanPSMT"/>
          <w:szCs w:val="22"/>
          <w:lang w:eastAsia="en-US"/>
        </w:rPr>
      </w:pPr>
    </w:p>
    <w:p w14:paraId="3DE8ED4D" w14:textId="5DF5823B" w:rsidR="00C75A8C" w:rsidRPr="003A5C41" w:rsidRDefault="00C75A8C" w:rsidP="00C75A8C">
      <w:pPr>
        <w:autoSpaceDE w:val="0"/>
        <w:autoSpaceDN w:val="0"/>
        <w:adjustRightInd w:val="0"/>
        <w:ind w:left="0" w:firstLine="0"/>
        <w:rPr>
          <w:szCs w:val="22"/>
          <w:lang w:eastAsia="en-US"/>
        </w:rPr>
      </w:pPr>
      <w:r w:rsidRPr="003A5C41">
        <w:rPr>
          <w:rFonts w:eastAsia="TimesNewRomanPSMT"/>
          <w:szCs w:val="22"/>
          <w:lang w:eastAsia="en-US"/>
        </w:rPr>
        <w:t xml:space="preserve">Primárnym ukazovateľom účinnosti v štúdii bolo prežívanie bez progresie (PFS) od randomizácie do dátumu progresie alebo úmrtia, podľa toho, čo nastalo skôr; v štúdii nebol stanovený </w:t>
      </w:r>
      <w:r w:rsidR="002A637A">
        <w:rPr>
          <w:rFonts w:eastAsia="TimesNewRomanPSMT"/>
          <w:szCs w:val="22"/>
          <w:lang w:eastAsia="en-US"/>
        </w:rPr>
        <w:t xml:space="preserve">koncový </w:t>
      </w:r>
      <w:r w:rsidRPr="003A5C41">
        <w:rPr>
          <w:rFonts w:eastAsia="TimesNewRomanPSMT"/>
          <w:szCs w:val="22"/>
          <w:lang w:eastAsia="en-US"/>
        </w:rPr>
        <w:t xml:space="preserve">ukazovateľ </w:t>
      </w:r>
      <w:r w:rsidRPr="003A5C41">
        <w:rPr>
          <w:szCs w:val="22"/>
          <w:lang w:eastAsia="en-US"/>
        </w:rPr>
        <w:t>celkového pre</w:t>
      </w:r>
      <w:r w:rsidRPr="003A5C41">
        <w:rPr>
          <w:rFonts w:eastAsia="TimesNewRomanPSMT"/>
          <w:szCs w:val="22"/>
          <w:lang w:eastAsia="en-US"/>
        </w:rPr>
        <w:t>ž</w:t>
      </w:r>
      <w:r w:rsidRPr="003A5C41">
        <w:rPr>
          <w:szCs w:val="22"/>
          <w:lang w:eastAsia="en-US"/>
        </w:rPr>
        <w:t xml:space="preserve">itia. Celkovo bolo randomizovaných 460 pacientov: 231 pacientov na </w:t>
      </w:r>
      <w:r w:rsidR="002A637A">
        <w:rPr>
          <w:szCs w:val="22"/>
          <w:lang w:eastAsia="en-US"/>
        </w:rPr>
        <w:t xml:space="preserve">užívanie </w:t>
      </w:r>
      <w:r w:rsidRPr="003A5C41">
        <w:rPr>
          <w:szCs w:val="22"/>
          <w:lang w:eastAsia="en-US"/>
        </w:rPr>
        <w:t>lenalidomid</w:t>
      </w:r>
      <w:r w:rsidR="002A637A">
        <w:rPr>
          <w:szCs w:val="22"/>
          <w:lang w:eastAsia="en-US"/>
        </w:rPr>
        <w:t>u</w:t>
      </w:r>
      <w:r w:rsidRPr="003A5C41">
        <w:rPr>
          <w:szCs w:val="22"/>
          <w:lang w:eastAsia="en-US"/>
        </w:rPr>
        <w:t xml:space="preserve"> a 229 pacientov na </w:t>
      </w:r>
      <w:r w:rsidR="002A637A">
        <w:rPr>
          <w:szCs w:val="22"/>
          <w:lang w:eastAsia="en-US"/>
        </w:rPr>
        <w:t xml:space="preserve">užívanie </w:t>
      </w:r>
      <w:r w:rsidRPr="003A5C41">
        <w:rPr>
          <w:szCs w:val="22"/>
          <w:lang w:eastAsia="en-US"/>
        </w:rPr>
        <w:t>placeb</w:t>
      </w:r>
      <w:r w:rsidR="002A637A">
        <w:rPr>
          <w:szCs w:val="22"/>
          <w:lang w:eastAsia="en-US"/>
        </w:rPr>
        <w:t>a</w:t>
      </w:r>
      <w:r w:rsidRPr="003A5C41">
        <w:rPr>
          <w:szCs w:val="22"/>
          <w:lang w:eastAsia="en-US"/>
        </w:rPr>
        <w:t xml:space="preserve">. Demografické údaje a charakteristiky ochorenia boli v oboch </w:t>
      </w:r>
      <w:r w:rsidR="00DD1E44">
        <w:rPr>
          <w:szCs w:val="22"/>
          <w:lang w:eastAsia="en-US"/>
        </w:rPr>
        <w:t>skupinách</w:t>
      </w:r>
      <w:r w:rsidRPr="003A5C41">
        <w:rPr>
          <w:szCs w:val="22"/>
          <w:lang w:eastAsia="en-US"/>
        </w:rPr>
        <w:t xml:space="preserve"> vyvá</w:t>
      </w:r>
      <w:r w:rsidRPr="003A5C41">
        <w:rPr>
          <w:rFonts w:eastAsia="TimesNewRomanPSMT"/>
          <w:szCs w:val="22"/>
          <w:lang w:eastAsia="en-US"/>
        </w:rPr>
        <w:t>ž</w:t>
      </w:r>
      <w:r w:rsidRPr="003A5C41">
        <w:rPr>
          <w:szCs w:val="22"/>
          <w:lang w:eastAsia="en-US"/>
        </w:rPr>
        <w:t>ené.</w:t>
      </w:r>
    </w:p>
    <w:p w14:paraId="2BE482A8" w14:textId="77777777" w:rsidR="00C75A8C" w:rsidRPr="003A5C41" w:rsidRDefault="00C75A8C" w:rsidP="00C75A8C">
      <w:pPr>
        <w:autoSpaceDE w:val="0"/>
        <w:autoSpaceDN w:val="0"/>
        <w:adjustRightInd w:val="0"/>
        <w:ind w:left="0" w:firstLine="0"/>
        <w:rPr>
          <w:szCs w:val="22"/>
          <w:lang w:eastAsia="en-US"/>
        </w:rPr>
      </w:pPr>
    </w:p>
    <w:p w14:paraId="78753F25" w14:textId="2E91F550" w:rsidR="00C75A8C" w:rsidRPr="003A5C41" w:rsidRDefault="00C75A8C" w:rsidP="00C75A8C">
      <w:pPr>
        <w:autoSpaceDE w:val="0"/>
        <w:autoSpaceDN w:val="0"/>
        <w:adjustRightInd w:val="0"/>
        <w:ind w:left="0" w:firstLine="0"/>
        <w:rPr>
          <w:rFonts w:eastAsia="TimesNewRomanPSMT"/>
          <w:szCs w:val="22"/>
          <w:lang w:eastAsia="en-US"/>
        </w:rPr>
      </w:pPr>
      <w:r w:rsidRPr="003A5C41">
        <w:rPr>
          <w:rFonts w:eastAsia="TimesNewRomanPSMT"/>
          <w:szCs w:val="22"/>
          <w:lang w:eastAsia="en-US"/>
        </w:rPr>
        <w:t xml:space="preserve">Štúdia bola odslepená na základe odporúčaní monitorovacej komisie po prekročení prahovej hodnoty pre vopred naplánovanú predbežnú analýzu PFS. Po odslepení bolo pacientom v </w:t>
      </w:r>
      <w:r w:rsidR="00DD1E44">
        <w:rPr>
          <w:rFonts w:eastAsia="TimesNewRomanPSMT"/>
          <w:szCs w:val="22"/>
          <w:lang w:eastAsia="en-US"/>
        </w:rPr>
        <w:t>skupine</w:t>
      </w:r>
      <w:r w:rsidRPr="003A5C41">
        <w:rPr>
          <w:rFonts w:eastAsia="TimesNewRomanPSMT"/>
          <w:szCs w:val="22"/>
          <w:lang w:eastAsia="en-US"/>
        </w:rPr>
        <w:t xml:space="preserve"> s placebom umožnené prejsť pred progresiou ochorenia na lenalidomid.</w:t>
      </w:r>
    </w:p>
    <w:p w14:paraId="45045FA8" w14:textId="77777777" w:rsidR="00C75A8C" w:rsidRPr="003A5C41" w:rsidRDefault="00C75A8C" w:rsidP="00C75A8C">
      <w:pPr>
        <w:autoSpaceDE w:val="0"/>
        <w:autoSpaceDN w:val="0"/>
        <w:adjustRightInd w:val="0"/>
        <w:ind w:left="0" w:firstLine="0"/>
        <w:rPr>
          <w:rFonts w:eastAsia="TimesNewRomanPSMT"/>
          <w:szCs w:val="22"/>
          <w:lang w:eastAsia="en-US"/>
        </w:rPr>
      </w:pPr>
    </w:p>
    <w:p w14:paraId="53D69B8D" w14:textId="38553246" w:rsidR="00C75A8C" w:rsidRPr="003A5C41" w:rsidRDefault="00C75A8C" w:rsidP="00C75A8C">
      <w:pPr>
        <w:autoSpaceDE w:val="0"/>
        <w:autoSpaceDN w:val="0"/>
        <w:adjustRightInd w:val="0"/>
        <w:ind w:left="0" w:firstLine="0"/>
        <w:rPr>
          <w:rFonts w:eastAsia="TimesNewRomanPSMT"/>
          <w:szCs w:val="22"/>
          <w:lang w:eastAsia="en-US"/>
        </w:rPr>
      </w:pPr>
      <w:r w:rsidRPr="003A5C41">
        <w:rPr>
          <w:rFonts w:eastAsia="TimesNewRomanPSMT"/>
          <w:szCs w:val="22"/>
          <w:lang w:eastAsia="en-US"/>
        </w:rPr>
        <w:t xml:space="preserve">Výsledky PFS pri odslepení a vopred naplánovanej predbežnej analýze s uzávierkou 17. decembra 2009 (15,5 mesačné sledovanie) preukázali 62% zníženie rizika progresie ochorenia alebo smrti v prospech lenalidomidu (HR = 0,38; 95% </w:t>
      </w:r>
      <w:r w:rsidR="00765516">
        <w:rPr>
          <w:rFonts w:eastAsia="TimesNewRomanPSMT"/>
          <w:szCs w:val="22"/>
          <w:lang w:eastAsia="en-US"/>
        </w:rPr>
        <w:t>IS</w:t>
      </w:r>
      <w:r w:rsidRPr="003A5C41">
        <w:rPr>
          <w:rFonts w:eastAsia="TimesNewRomanPSMT"/>
          <w:szCs w:val="22"/>
          <w:lang w:eastAsia="en-US"/>
        </w:rPr>
        <w:t xml:space="preserve"> 0,27, 0,54; p &lt; 0,001). Medián celkového PFS bol 33,9 mesiacov (95% </w:t>
      </w:r>
      <w:r w:rsidR="00765516">
        <w:rPr>
          <w:rFonts w:eastAsia="TimesNewRomanPSMT"/>
          <w:szCs w:val="22"/>
          <w:lang w:eastAsia="en-US"/>
        </w:rPr>
        <w:t>IS</w:t>
      </w:r>
      <w:r w:rsidR="00765516" w:rsidRPr="003A5C41">
        <w:rPr>
          <w:rFonts w:eastAsia="TimesNewRomanPSMT"/>
          <w:szCs w:val="22"/>
          <w:lang w:eastAsia="en-US"/>
        </w:rPr>
        <w:t xml:space="preserve"> </w:t>
      </w:r>
      <w:r w:rsidRPr="003A5C41">
        <w:rPr>
          <w:rFonts w:eastAsia="TimesNewRomanPSMT"/>
          <w:szCs w:val="22"/>
          <w:lang w:eastAsia="en-US"/>
        </w:rPr>
        <w:t xml:space="preserve">NE, NE) v </w:t>
      </w:r>
      <w:r w:rsidR="00DD1E44">
        <w:rPr>
          <w:rFonts w:eastAsia="TimesNewRomanPSMT"/>
          <w:szCs w:val="22"/>
          <w:lang w:eastAsia="en-US"/>
        </w:rPr>
        <w:t>skupine</w:t>
      </w:r>
      <w:r w:rsidRPr="003A5C41">
        <w:rPr>
          <w:rFonts w:eastAsia="TimesNewRomanPSMT"/>
          <w:szCs w:val="22"/>
          <w:lang w:eastAsia="en-US"/>
        </w:rPr>
        <w:t xml:space="preserve"> s lenalidomidom v porovnaní s 19 mesiacmi (95% </w:t>
      </w:r>
      <w:r w:rsidR="00765516">
        <w:rPr>
          <w:rFonts w:eastAsia="TimesNewRomanPSMT"/>
          <w:szCs w:val="22"/>
          <w:lang w:eastAsia="en-US"/>
        </w:rPr>
        <w:t>IS</w:t>
      </w:r>
      <w:r w:rsidR="00765516" w:rsidRPr="003A5C41">
        <w:rPr>
          <w:rFonts w:eastAsia="TimesNewRomanPSMT"/>
          <w:szCs w:val="22"/>
          <w:lang w:eastAsia="en-US"/>
        </w:rPr>
        <w:t xml:space="preserve"> </w:t>
      </w:r>
      <w:r w:rsidRPr="003A5C41">
        <w:rPr>
          <w:rFonts w:eastAsia="TimesNewRomanPSMT"/>
          <w:szCs w:val="22"/>
          <w:lang w:eastAsia="en-US"/>
        </w:rPr>
        <w:t xml:space="preserve">16,2, 25,6) v </w:t>
      </w:r>
      <w:r w:rsidR="00DD1E44">
        <w:rPr>
          <w:rFonts w:eastAsia="TimesNewRomanPSMT"/>
          <w:szCs w:val="22"/>
          <w:lang w:eastAsia="en-US"/>
        </w:rPr>
        <w:t>skupine</w:t>
      </w:r>
      <w:r w:rsidRPr="003A5C41">
        <w:rPr>
          <w:rFonts w:eastAsia="TimesNewRomanPSMT"/>
          <w:szCs w:val="22"/>
          <w:lang w:eastAsia="en-US"/>
        </w:rPr>
        <w:t xml:space="preserve"> s placebom.</w:t>
      </w:r>
    </w:p>
    <w:p w14:paraId="6B1A6329" w14:textId="77777777" w:rsidR="00C75A8C" w:rsidRPr="003A5C41" w:rsidRDefault="00C75A8C" w:rsidP="00C75A8C">
      <w:pPr>
        <w:autoSpaceDE w:val="0"/>
        <w:autoSpaceDN w:val="0"/>
        <w:adjustRightInd w:val="0"/>
        <w:ind w:left="0" w:firstLine="0"/>
        <w:rPr>
          <w:rFonts w:eastAsia="TimesNewRomanPSMT"/>
          <w:szCs w:val="22"/>
          <w:lang w:eastAsia="en-US"/>
        </w:rPr>
      </w:pPr>
    </w:p>
    <w:p w14:paraId="6E5B0E28" w14:textId="377676C8" w:rsidR="00C75A8C" w:rsidRPr="003A5C41" w:rsidRDefault="00C75A8C" w:rsidP="00C75A8C">
      <w:pPr>
        <w:autoSpaceDE w:val="0"/>
        <w:autoSpaceDN w:val="0"/>
        <w:adjustRightInd w:val="0"/>
        <w:ind w:left="0" w:firstLine="0"/>
        <w:rPr>
          <w:rFonts w:eastAsia="TimesNewRomanPSMT"/>
          <w:szCs w:val="22"/>
          <w:lang w:eastAsia="en-US"/>
        </w:rPr>
      </w:pPr>
      <w:r w:rsidRPr="003A5C41">
        <w:rPr>
          <w:rFonts w:eastAsia="TimesNewRomanPSMT"/>
          <w:szCs w:val="22"/>
          <w:lang w:eastAsia="en-US"/>
        </w:rPr>
        <w:t>V oboch podskupinách pacientov s kompletnou odpoveďou a v skupine pacientov, ktorí nedosiahli</w:t>
      </w:r>
      <w:r w:rsidR="00223122" w:rsidRPr="003A5C41">
        <w:rPr>
          <w:rFonts w:eastAsia="TimesNewRomanPSMT"/>
          <w:szCs w:val="22"/>
          <w:lang w:eastAsia="en-US"/>
        </w:rPr>
        <w:t xml:space="preserve"> </w:t>
      </w:r>
      <w:r w:rsidRPr="003A5C41">
        <w:rPr>
          <w:rFonts w:eastAsia="TimesNewRomanPSMT"/>
          <w:szCs w:val="22"/>
          <w:lang w:eastAsia="en-US"/>
        </w:rPr>
        <w:t>kompletnú odpoveď, bol pozorovan</w:t>
      </w:r>
      <w:r w:rsidR="002A637A">
        <w:rPr>
          <w:rFonts w:eastAsia="TimesNewRomanPSMT"/>
          <w:szCs w:val="22"/>
          <w:lang w:eastAsia="en-US"/>
        </w:rPr>
        <w:t>ý</w:t>
      </w:r>
      <w:r w:rsidRPr="003A5C41">
        <w:rPr>
          <w:rFonts w:eastAsia="TimesNewRomanPSMT"/>
          <w:szCs w:val="22"/>
          <w:lang w:eastAsia="en-US"/>
        </w:rPr>
        <w:t xml:space="preserve"> </w:t>
      </w:r>
      <w:r w:rsidR="002A637A">
        <w:rPr>
          <w:rFonts w:eastAsia="TimesNewRomanPSMT"/>
          <w:szCs w:val="22"/>
          <w:lang w:eastAsia="en-US"/>
        </w:rPr>
        <w:t>prínos z hľadiska</w:t>
      </w:r>
      <w:r w:rsidRPr="003A5C41">
        <w:rPr>
          <w:rFonts w:eastAsia="TimesNewRomanPSMT"/>
          <w:szCs w:val="22"/>
          <w:lang w:eastAsia="en-US"/>
        </w:rPr>
        <w:t xml:space="preserve"> PFS.</w:t>
      </w:r>
    </w:p>
    <w:p w14:paraId="363B14E2" w14:textId="77777777" w:rsidR="00C75A8C" w:rsidRPr="003A5C41" w:rsidRDefault="00C75A8C" w:rsidP="00C75A8C">
      <w:pPr>
        <w:autoSpaceDE w:val="0"/>
        <w:autoSpaceDN w:val="0"/>
        <w:adjustRightInd w:val="0"/>
        <w:ind w:left="0" w:firstLine="0"/>
        <w:rPr>
          <w:rFonts w:eastAsia="TimesNewRomanPSMT"/>
          <w:szCs w:val="22"/>
          <w:lang w:eastAsia="en-US"/>
        </w:rPr>
      </w:pPr>
    </w:p>
    <w:p w14:paraId="139D01CA" w14:textId="77777777" w:rsidR="00223122" w:rsidRPr="003A5C41" w:rsidRDefault="00223122" w:rsidP="00223122">
      <w:pPr>
        <w:autoSpaceDE w:val="0"/>
        <w:autoSpaceDN w:val="0"/>
        <w:adjustRightInd w:val="0"/>
        <w:ind w:left="0" w:firstLine="0"/>
        <w:rPr>
          <w:rFonts w:eastAsia="TimesNewRomanPSMT"/>
          <w:szCs w:val="22"/>
          <w:lang w:eastAsia="en-US"/>
        </w:rPr>
      </w:pPr>
      <w:r w:rsidRPr="003A5C41">
        <w:rPr>
          <w:rFonts w:eastAsia="TimesNewRomanPSMT"/>
          <w:szCs w:val="22"/>
          <w:lang w:eastAsia="en-US"/>
        </w:rPr>
        <w:t>Výsledky štúdie, s uzávierkou údajov 1. februára 2016, sú uvedené v tabuľke 6.</w:t>
      </w:r>
    </w:p>
    <w:p w14:paraId="095A5424" w14:textId="77777777" w:rsidR="00223122" w:rsidRPr="003A5C41" w:rsidRDefault="00223122" w:rsidP="00223122">
      <w:pPr>
        <w:autoSpaceDE w:val="0"/>
        <w:autoSpaceDN w:val="0"/>
        <w:adjustRightInd w:val="0"/>
        <w:ind w:left="0" w:firstLine="0"/>
        <w:rPr>
          <w:rFonts w:eastAsia="TimesNewRomanPSMT"/>
          <w:b/>
          <w:bCs/>
          <w:szCs w:val="22"/>
          <w:lang w:eastAsia="en-US"/>
        </w:rPr>
      </w:pPr>
    </w:p>
    <w:p w14:paraId="695A8D91" w14:textId="77777777" w:rsidR="00C75A8C" w:rsidRPr="003A5C41" w:rsidRDefault="00223122" w:rsidP="00223122">
      <w:pPr>
        <w:autoSpaceDE w:val="0"/>
        <w:autoSpaceDN w:val="0"/>
        <w:adjustRightInd w:val="0"/>
        <w:ind w:left="0" w:firstLine="0"/>
        <w:rPr>
          <w:rFonts w:eastAsia="TimesNewRomanPSMT"/>
          <w:szCs w:val="22"/>
          <w:lang w:eastAsia="en-US"/>
        </w:rPr>
      </w:pPr>
      <w:r w:rsidRPr="003A5C41">
        <w:rPr>
          <w:rFonts w:eastAsia="TimesNewRomanPSMT"/>
          <w:b/>
          <w:bCs/>
          <w:szCs w:val="22"/>
          <w:lang w:eastAsia="en-US"/>
        </w:rPr>
        <w:t>Tabuľka 6: Súhrn údajov o celkovej účinnosti</w:t>
      </w:r>
    </w:p>
    <w:tbl>
      <w:tblPr>
        <w:tblW w:w="9180" w:type="dxa"/>
        <w:tblInd w:w="119" w:type="dxa"/>
        <w:tblLayout w:type="fixed"/>
        <w:tblCellMar>
          <w:left w:w="0" w:type="dxa"/>
          <w:right w:w="0" w:type="dxa"/>
        </w:tblCellMar>
        <w:tblLook w:val="0000" w:firstRow="0" w:lastRow="0" w:firstColumn="0" w:lastColumn="0" w:noHBand="0" w:noVBand="0"/>
      </w:tblPr>
      <w:tblGrid>
        <w:gridCol w:w="5813"/>
        <w:gridCol w:w="1695"/>
        <w:gridCol w:w="1672"/>
      </w:tblGrid>
      <w:tr w:rsidR="00223122" w:rsidRPr="003A5C41" w14:paraId="1362FED5" w14:textId="77777777" w:rsidTr="00223122">
        <w:trPr>
          <w:trHeight w:hRule="exact" w:val="468"/>
        </w:trPr>
        <w:tc>
          <w:tcPr>
            <w:tcW w:w="5813" w:type="dxa"/>
            <w:tcBorders>
              <w:top w:val="single" w:sz="4" w:space="0" w:color="000000"/>
              <w:left w:val="single" w:sz="4" w:space="0" w:color="000000"/>
              <w:bottom w:val="single" w:sz="4" w:space="0" w:color="000000"/>
              <w:right w:val="single" w:sz="4" w:space="0" w:color="000000"/>
            </w:tcBorders>
          </w:tcPr>
          <w:p w14:paraId="51F5DF1F" w14:textId="77777777" w:rsidR="00223122" w:rsidRPr="003A5C41" w:rsidRDefault="00223122" w:rsidP="00223122">
            <w:pPr>
              <w:autoSpaceDE w:val="0"/>
              <w:autoSpaceDN w:val="0"/>
              <w:adjustRightInd w:val="0"/>
              <w:ind w:left="0" w:firstLine="0"/>
              <w:rPr>
                <w:szCs w:val="22"/>
                <w:lang w:eastAsia="en-US"/>
              </w:rPr>
            </w:pPr>
          </w:p>
        </w:tc>
        <w:tc>
          <w:tcPr>
            <w:tcW w:w="1695" w:type="dxa"/>
            <w:tcBorders>
              <w:top w:val="single" w:sz="4" w:space="0" w:color="000000"/>
              <w:left w:val="single" w:sz="4" w:space="0" w:color="000000"/>
              <w:bottom w:val="single" w:sz="4" w:space="0" w:color="000000"/>
              <w:right w:val="single" w:sz="4" w:space="0" w:color="000000"/>
            </w:tcBorders>
          </w:tcPr>
          <w:p w14:paraId="607D943B" w14:textId="77777777" w:rsidR="00223122" w:rsidRPr="003A5C41" w:rsidRDefault="00223122" w:rsidP="00223122">
            <w:pPr>
              <w:kinsoku w:val="0"/>
              <w:overflowPunct w:val="0"/>
              <w:autoSpaceDE w:val="0"/>
              <w:autoSpaceDN w:val="0"/>
              <w:adjustRightInd w:val="0"/>
              <w:spacing w:before="4" w:line="228" w:lineRule="exact"/>
              <w:ind w:left="451" w:right="190" w:hanging="118"/>
              <w:rPr>
                <w:szCs w:val="22"/>
                <w:lang w:eastAsia="en-US"/>
              </w:rPr>
            </w:pPr>
            <w:r w:rsidRPr="003A5C41">
              <w:rPr>
                <w:w w:val="95"/>
                <w:szCs w:val="22"/>
                <w:lang w:eastAsia="en-US"/>
              </w:rPr>
              <w:t xml:space="preserve">Lenalidomid </w:t>
            </w:r>
            <w:r w:rsidRPr="003A5C41">
              <w:rPr>
                <w:szCs w:val="22"/>
                <w:lang w:eastAsia="en-US"/>
              </w:rPr>
              <w:t>(N=231)</w:t>
            </w:r>
          </w:p>
        </w:tc>
        <w:tc>
          <w:tcPr>
            <w:tcW w:w="1672" w:type="dxa"/>
            <w:tcBorders>
              <w:top w:val="single" w:sz="4" w:space="0" w:color="000000"/>
              <w:left w:val="single" w:sz="4" w:space="0" w:color="000000"/>
              <w:bottom w:val="single" w:sz="4" w:space="0" w:color="000000"/>
              <w:right w:val="single" w:sz="4" w:space="0" w:color="000000"/>
            </w:tcBorders>
          </w:tcPr>
          <w:p w14:paraId="4CAC91D2" w14:textId="77777777" w:rsidR="00223122" w:rsidRPr="003A5C41" w:rsidRDefault="00223122" w:rsidP="00223122">
            <w:pPr>
              <w:kinsoku w:val="0"/>
              <w:overflowPunct w:val="0"/>
              <w:autoSpaceDE w:val="0"/>
              <w:autoSpaceDN w:val="0"/>
              <w:adjustRightInd w:val="0"/>
              <w:spacing w:before="4" w:line="228" w:lineRule="exact"/>
              <w:ind w:left="436" w:right="415" w:firstLine="79"/>
              <w:rPr>
                <w:szCs w:val="22"/>
                <w:lang w:eastAsia="en-US"/>
              </w:rPr>
            </w:pPr>
            <w:r w:rsidRPr="003A5C41">
              <w:rPr>
                <w:szCs w:val="22"/>
                <w:lang w:eastAsia="en-US"/>
              </w:rPr>
              <w:t>Placebo (N=229) 229)</w:t>
            </w:r>
          </w:p>
        </w:tc>
      </w:tr>
      <w:tr w:rsidR="00223122" w:rsidRPr="003A5C41" w14:paraId="3AE9822A" w14:textId="77777777" w:rsidTr="00223122">
        <w:trPr>
          <w:trHeight w:hRule="exact" w:val="240"/>
        </w:trPr>
        <w:tc>
          <w:tcPr>
            <w:tcW w:w="5813" w:type="dxa"/>
            <w:tcBorders>
              <w:top w:val="single" w:sz="4" w:space="0" w:color="000000"/>
              <w:left w:val="single" w:sz="4" w:space="0" w:color="000000"/>
              <w:bottom w:val="single" w:sz="4" w:space="0" w:color="000000"/>
              <w:right w:val="single" w:sz="4" w:space="0" w:color="000000"/>
            </w:tcBorders>
          </w:tcPr>
          <w:p w14:paraId="57D6E72D" w14:textId="77777777" w:rsidR="00223122" w:rsidRPr="003A5C41" w:rsidRDefault="00223122" w:rsidP="00223122">
            <w:pPr>
              <w:kinsoku w:val="0"/>
              <w:overflowPunct w:val="0"/>
              <w:autoSpaceDE w:val="0"/>
              <w:autoSpaceDN w:val="0"/>
              <w:adjustRightInd w:val="0"/>
              <w:ind w:left="103" w:firstLine="0"/>
              <w:rPr>
                <w:szCs w:val="22"/>
                <w:lang w:eastAsia="en-US"/>
              </w:rPr>
            </w:pPr>
            <w:r w:rsidRPr="003A5C41">
              <w:rPr>
                <w:b/>
                <w:bCs/>
                <w:szCs w:val="22"/>
                <w:lang w:eastAsia="en-US"/>
              </w:rPr>
              <w:t>PFS hodnotené skúšajúcim</w:t>
            </w:r>
          </w:p>
        </w:tc>
        <w:tc>
          <w:tcPr>
            <w:tcW w:w="1695" w:type="dxa"/>
            <w:tcBorders>
              <w:top w:val="single" w:sz="4" w:space="0" w:color="000000"/>
              <w:left w:val="single" w:sz="4" w:space="0" w:color="000000"/>
              <w:bottom w:val="single" w:sz="4" w:space="0" w:color="000000"/>
              <w:right w:val="single" w:sz="4" w:space="0" w:color="000000"/>
            </w:tcBorders>
          </w:tcPr>
          <w:p w14:paraId="6A6F9338" w14:textId="77777777" w:rsidR="00223122" w:rsidRPr="003A5C41" w:rsidRDefault="00223122" w:rsidP="00223122">
            <w:pPr>
              <w:autoSpaceDE w:val="0"/>
              <w:autoSpaceDN w:val="0"/>
              <w:adjustRightInd w:val="0"/>
              <w:ind w:left="0" w:firstLine="0"/>
              <w:rPr>
                <w:szCs w:val="22"/>
                <w:lang w:eastAsia="en-US"/>
              </w:rPr>
            </w:pPr>
          </w:p>
        </w:tc>
        <w:tc>
          <w:tcPr>
            <w:tcW w:w="1672" w:type="dxa"/>
            <w:tcBorders>
              <w:top w:val="single" w:sz="4" w:space="0" w:color="000000"/>
              <w:left w:val="single" w:sz="4" w:space="0" w:color="000000"/>
              <w:bottom w:val="single" w:sz="4" w:space="0" w:color="000000"/>
              <w:right w:val="single" w:sz="4" w:space="0" w:color="000000"/>
            </w:tcBorders>
          </w:tcPr>
          <w:p w14:paraId="556FBE6F" w14:textId="77777777" w:rsidR="00223122" w:rsidRPr="003A5C41" w:rsidRDefault="00223122" w:rsidP="00223122">
            <w:pPr>
              <w:autoSpaceDE w:val="0"/>
              <w:autoSpaceDN w:val="0"/>
              <w:adjustRightInd w:val="0"/>
              <w:ind w:left="0" w:firstLine="0"/>
              <w:rPr>
                <w:szCs w:val="22"/>
                <w:lang w:eastAsia="en-US"/>
              </w:rPr>
            </w:pPr>
          </w:p>
        </w:tc>
      </w:tr>
      <w:tr w:rsidR="00223122" w:rsidRPr="003A5C41" w14:paraId="769678FC" w14:textId="77777777" w:rsidTr="00223122">
        <w:trPr>
          <w:trHeight w:hRule="exact" w:val="240"/>
        </w:trPr>
        <w:tc>
          <w:tcPr>
            <w:tcW w:w="5813" w:type="dxa"/>
            <w:tcBorders>
              <w:top w:val="single" w:sz="4" w:space="0" w:color="000000"/>
              <w:left w:val="single" w:sz="4" w:space="0" w:color="000000"/>
              <w:bottom w:val="single" w:sz="4" w:space="0" w:color="000000"/>
              <w:right w:val="single" w:sz="4" w:space="0" w:color="000000"/>
            </w:tcBorders>
          </w:tcPr>
          <w:p w14:paraId="2B3356EE" w14:textId="56B797D8" w:rsidR="00223122" w:rsidRPr="003A5C41" w:rsidRDefault="00223122" w:rsidP="00765516">
            <w:pPr>
              <w:kinsoku w:val="0"/>
              <w:overflowPunct w:val="0"/>
              <w:autoSpaceDE w:val="0"/>
              <w:autoSpaceDN w:val="0"/>
              <w:adjustRightInd w:val="0"/>
              <w:spacing w:line="230" w:lineRule="exact"/>
              <w:ind w:left="103" w:firstLine="0"/>
              <w:rPr>
                <w:szCs w:val="22"/>
                <w:lang w:eastAsia="en-US"/>
              </w:rPr>
            </w:pPr>
            <w:r w:rsidRPr="003A5C41">
              <w:rPr>
                <w:szCs w:val="22"/>
                <w:lang w:eastAsia="en-US"/>
              </w:rPr>
              <w:t>Medián</w:t>
            </w:r>
            <w:r w:rsidRPr="003A5C41">
              <w:rPr>
                <w:szCs w:val="22"/>
                <w:vertAlign w:val="superscript"/>
                <w:lang w:eastAsia="en-US"/>
              </w:rPr>
              <w:t>a</w:t>
            </w:r>
            <w:r w:rsidRPr="003A5C41">
              <w:rPr>
                <w:position w:val="7"/>
                <w:szCs w:val="22"/>
                <w:lang w:eastAsia="en-US"/>
              </w:rPr>
              <w:t xml:space="preserve"> </w:t>
            </w:r>
            <w:r w:rsidRPr="003A5C41">
              <w:rPr>
                <w:szCs w:val="22"/>
                <w:lang w:eastAsia="en-US"/>
              </w:rPr>
              <w:t xml:space="preserve">času PFS, mesiace (95% </w:t>
            </w:r>
            <w:r w:rsidR="00765516">
              <w:rPr>
                <w:szCs w:val="22"/>
                <w:lang w:eastAsia="en-US"/>
              </w:rPr>
              <w:t>IS</w:t>
            </w:r>
            <w:r w:rsidRPr="003A5C41">
              <w:rPr>
                <w:szCs w:val="22"/>
                <w:lang w:eastAsia="en-US"/>
              </w:rPr>
              <w:t>)</w:t>
            </w:r>
          </w:p>
        </w:tc>
        <w:tc>
          <w:tcPr>
            <w:tcW w:w="1695" w:type="dxa"/>
            <w:tcBorders>
              <w:top w:val="single" w:sz="4" w:space="0" w:color="000000"/>
              <w:left w:val="single" w:sz="4" w:space="0" w:color="000000"/>
              <w:bottom w:val="single" w:sz="4" w:space="0" w:color="000000"/>
              <w:right w:val="single" w:sz="4" w:space="0" w:color="000000"/>
            </w:tcBorders>
          </w:tcPr>
          <w:p w14:paraId="6B9AC1D9" w14:textId="77777777" w:rsidR="00223122" w:rsidRPr="003A5C41" w:rsidRDefault="00223122" w:rsidP="00223122">
            <w:pPr>
              <w:kinsoku w:val="0"/>
              <w:overflowPunct w:val="0"/>
              <w:autoSpaceDE w:val="0"/>
              <w:autoSpaceDN w:val="0"/>
              <w:adjustRightInd w:val="0"/>
              <w:spacing w:before="2"/>
              <w:ind w:left="170" w:right="164" w:firstLine="0"/>
              <w:jc w:val="center"/>
              <w:rPr>
                <w:szCs w:val="22"/>
                <w:lang w:eastAsia="en-US"/>
              </w:rPr>
            </w:pPr>
            <w:r w:rsidRPr="003A5C41">
              <w:rPr>
                <w:b/>
                <w:bCs/>
                <w:szCs w:val="22"/>
                <w:lang w:eastAsia="en-US"/>
              </w:rPr>
              <w:t xml:space="preserve">56,9 </w:t>
            </w:r>
            <w:r w:rsidRPr="003A5C41">
              <w:rPr>
                <w:szCs w:val="22"/>
                <w:lang w:eastAsia="en-US"/>
              </w:rPr>
              <w:t>(41,9, 71,7)</w:t>
            </w:r>
          </w:p>
        </w:tc>
        <w:tc>
          <w:tcPr>
            <w:tcW w:w="1672" w:type="dxa"/>
            <w:tcBorders>
              <w:top w:val="single" w:sz="4" w:space="0" w:color="000000"/>
              <w:left w:val="single" w:sz="4" w:space="0" w:color="000000"/>
              <w:bottom w:val="single" w:sz="4" w:space="0" w:color="000000"/>
              <w:right w:val="single" w:sz="4" w:space="0" w:color="000000"/>
            </w:tcBorders>
          </w:tcPr>
          <w:p w14:paraId="2B0B966C" w14:textId="77777777" w:rsidR="00223122" w:rsidRPr="003A5C41" w:rsidRDefault="00223122" w:rsidP="00223122">
            <w:pPr>
              <w:kinsoku w:val="0"/>
              <w:overflowPunct w:val="0"/>
              <w:autoSpaceDE w:val="0"/>
              <w:autoSpaceDN w:val="0"/>
              <w:adjustRightInd w:val="0"/>
              <w:spacing w:before="2"/>
              <w:ind w:left="165" w:right="161" w:firstLine="0"/>
              <w:jc w:val="center"/>
              <w:rPr>
                <w:szCs w:val="22"/>
                <w:lang w:eastAsia="en-US"/>
              </w:rPr>
            </w:pPr>
            <w:r w:rsidRPr="003A5C41">
              <w:rPr>
                <w:b/>
                <w:bCs/>
                <w:szCs w:val="22"/>
                <w:lang w:eastAsia="en-US"/>
              </w:rPr>
              <w:t xml:space="preserve">29,4 </w:t>
            </w:r>
            <w:r w:rsidRPr="003A5C41">
              <w:rPr>
                <w:szCs w:val="22"/>
                <w:lang w:eastAsia="en-US"/>
              </w:rPr>
              <w:t>(20,7, 35,5)</w:t>
            </w:r>
          </w:p>
        </w:tc>
      </w:tr>
      <w:tr w:rsidR="00223122" w:rsidRPr="003A5C41" w14:paraId="0D489099" w14:textId="77777777" w:rsidTr="00223122">
        <w:trPr>
          <w:trHeight w:hRule="exact" w:val="240"/>
        </w:trPr>
        <w:tc>
          <w:tcPr>
            <w:tcW w:w="5813" w:type="dxa"/>
            <w:tcBorders>
              <w:top w:val="single" w:sz="4" w:space="0" w:color="000000"/>
              <w:left w:val="single" w:sz="4" w:space="0" w:color="000000"/>
              <w:bottom w:val="single" w:sz="4" w:space="0" w:color="000000"/>
              <w:right w:val="single" w:sz="4" w:space="0" w:color="000000"/>
            </w:tcBorders>
          </w:tcPr>
          <w:p w14:paraId="05AC4DE4" w14:textId="5C49145B" w:rsidR="00223122" w:rsidRPr="003A5C41" w:rsidRDefault="00223122" w:rsidP="00765516">
            <w:pPr>
              <w:kinsoku w:val="0"/>
              <w:overflowPunct w:val="0"/>
              <w:autoSpaceDE w:val="0"/>
              <w:autoSpaceDN w:val="0"/>
              <w:adjustRightInd w:val="0"/>
              <w:spacing w:line="230" w:lineRule="exact"/>
              <w:ind w:left="103" w:firstLine="0"/>
              <w:rPr>
                <w:szCs w:val="22"/>
                <w:lang w:eastAsia="en-US"/>
              </w:rPr>
            </w:pPr>
            <w:r w:rsidRPr="003A5C41">
              <w:rPr>
                <w:szCs w:val="22"/>
                <w:lang w:eastAsia="en-US"/>
              </w:rPr>
              <w:t xml:space="preserve">HR (95% </w:t>
            </w:r>
            <w:r w:rsidR="00765516">
              <w:rPr>
                <w:szCs w:val="22"/>
                <w:lang w:eastAsia="en-US"/>
              </w:rPr>
              <w:t>IS</w:t>
            </w:r>
            <w:r w:rsidRPr="003A5C41">
              <w:rPr>
                <w:szCs w:val="22"/>
                <w:lang w:eastAsia="en-US"/>
              </w:rPr>
              <w:t>)</w:t>
            </w:r>
            <w:r w:rsidRPr="003A5C41">
              <w:rPr>
                <w:szCs w:val="22"/>
                <w:vertAlign w:val="superscript"/>
                <w:lang w:eastAsia="en-US"/>
              </w:rPr>
              <w:t>c</w:t>
            </w:r>
            <w:r w:rsidRPr="003A5C41">
              <w:rPr>
                <w:szCs w:val="22"/>
                <w:lang w:eastAsia="en-US"/>
              </w:rPr>
              <w:t>; p-hodnota</w:t>
            </w:r>
            <w:r w:rsidRPr="003A5C41">
              <w:rPr>
                <w:szCs w:val="22"/>
                <w:vertAlign w:val="superscript"/>
                <w:lang w:eastAsia="en-US"/>
              </w:rPr>
              <w:t>d</w:t>
            </w:r>
          </w:p>
        </w:tc>
        <w:tc>
          <w:tcPr>
            <w:tcW w:w="3367" w:type="dxa"/>
            <w:gridSpan w:val="2"/>
            <w:tcBorders>
              <w:top w:val="single" w:sz="4" w:space="0" w:color="000000"/>
              <w:left w:val="single" w:sz="4" w:space="0" w:color="000000"/>
              <w:bottom w:val="single" w:sz="4" w:space="0" w:color="000000"/>
              <w:right w:val="single" w:sz="4" w:space="0" w:color="000000"/>
            </w:tcBorders>
          </w:tcPr>
          <w:p w14:paraId="3E34DE7F" w14:textId="77777777" w:rsidR="00223122" w:rsidRPr="003A5C41" w:rsidRDefault="00223122" w:rsidP="00223122">
            <w:pPr>
              <w:kinsoku w:val="0"/>
              <w:overflowPunct w:val="0"/>
              <w:autoSpaceDE w:val="0"/>
              <w:autoSpaceDN w:val="0"/>
              <w:adjustRightInd w:val="0"/>
              <w:spacing w:before="2"/>
              <w:ind w:left="777" w:firstLine="0"/>
              <w:rPr>
                <w:szCs w:val="22"/>
                <w:lang w:eastAsia="en-US"/>
              </w:rPr>
            </w:pPr>
            <w:r w:rsidRPr="003A5C41">
              <w:rPr>
                <w:b/>
                <w:bCs/>
                <w:szCs w:val="22"/>
                <w:lang w:eastAsia="en-US"/>
              </w:rPr>
              <w:t xml:space="preserve">0,61 </w:t>
            </w:r>
            <w:r w:rsidRPr="003A5C41">
              <w:rPr>
                <w:szCs w:val="22"/>
                <w:lang w:eastAsia="en-US"/>
              </w:rPr>
              <w:t>(0,48, 0,76); &lt;0.001</w:t>
            </w:r>
          </w:p>
        </w:tc>
      </w:tr>
      <w:tr w:rsidR="00223122" w:rsidRPr="003A5C41" w14:paraId="09293ACE" w14:textId="77777777" w:rsidTr="00223122">
        <w:trPr>
          <w:trHeight w:hRule="exact" w:val="240"/>
        </w:trPr>
        <w:tc>
          <w:tcPr>
            <w:tcW w:w="5813" w:type="dxa"/>
            <w:tcBorders>
              <w:top w:val="single" w:sz="4" w:space="0" w:color="000000"/>
              <w:left w:val="single" w:sz="4" w:space="0" w:color="000000"/>
              <w:bottom w:val="single" w:sz="4" w:space="0" w:color="000000"/>
              <w:right w:val="single" w:sz="4" w:space="0" w:color="000000"/>
            </w:tcBorders>
          </w:tcPr>
          <w:p w14:paraId="33DFE49F" w14:textId="77777777" w:rsidR="00223122" w:rsidRPr="003A5C41" w:rsidRDefault="00223122" w:rsidP="00223122">
            <w:pPr>
              <w:kinsoku w:val="0"/>
              <w:overflowPunct w:val="0"/>
              <w:autoSpaceDE w:val="0"/>
              <w:autoSpaceDN w:val="0"/>
              <w:adjustRightInd w:val="0"/>
              <w:spacing w:line="230" w:lineRule="exact"/>
              <w:ind w:left="103" w:firstLine="0"/>
              <w:rPr>
                <w:szCs w:val="22"/>
                <w:lang w:eastAsia="en-US"/>
              </w:rPr>
            </w:pPr>
            <w:r w:rsidRPr="003A5C41">
              <w:rPr>
                <w:b/>
                <w:bCs/>
                <w:szCs w:val="22"/>
                <w:lang w:eastAsia="en-US"/>
              </w:rPr>
              <w:lastRenderedPageBreak/>
              <w:t>PFS2</w:t>
            </w:r>
            <w:r w:rsidRPr="003A5C41">
              <w:rPr>
                <w:b/>
                <w:bCs/>
                <w:szCs w:val="22"/>
                <w:vertAlign w:val="superscript"/>
                <w:lang w:eastAsia="en-US"/>
              </w:rPr>
              <w:t>e</w:t>
            </w:r>
          </w:p>
        </w:tc>
        <w:tc>
          <w:tcPr>
            <w:tcW w:w="3367" w:type="dxa"/>
            <w:gridSpan w:val="2"/>
            <w:tcBorders>
              <w:top w:val="single" w:sz="4" w:space="0" w:color="000000"/>
              <w:left w:val="single" w:sz="4" w:space="0" w:color="000000"/>
              <w:bottom w:val="single" w:sz="4" w:space="0" w:color="000000"/>
              <w:right w:val="single" w:sz="4" w:space="0" w:color="000000"/>
            </w:tcBorders>
          </w:tcPr>
          <w:p w14:paraId="2F527397" w14:textId="77777777" w:rsidR="00223122" w:rsidRPr="003A5C41" w:rsidRDefault="00223122" w:rsidP="00223122">
            <w:pPr>
              <w:autoSpaceDE w:val="0"/>
              <w:autoSpaceDN w:val="0"/>
              <w:adjustRightInd w:val="0"/>
              <w:ind w:left="0" w:firstLine="0"/>
              <w:rPr>
                <w:szCs w:val="22"/>
                <w:lang w:eastAsia="en-US"/>
              </w:rPr>
            </w:pPr>
          </w:p>
        </w:tc>
      </w:tr>
      <w:tr w:rsidR="00223122" w:rsidRPr="003A5C41" w14:paraId="11E42913" w14:textId="77777777" w:rsidTr="00223122">
        <w:trPr>
          <w:trHeight w:hRule="exact" w:val="240"/>
        </w:trPr>
        <w:tc>
          <w:tcPr>
            <w:tcW w:w="5813" w:type="dxa"/>
            <w:tcBorders>
              <w:top w:val="single" w:sz="4" w:space="0" w:color="000000"/>
              <w:left w:val="single" w:sz="4" w:space="0" w:color="000000"/>
              <w:bottom w:val="single" w:sz="4" w:space="0" w:color="000000"/>
              <w:right w:val="single" w:sz="4" w:space="0" w:color="000000"/>
            </w:tcBorders>
          </w:tcPr>
          <w:p w14:paraId="0DC1A73D" w14:textId="7A9ECD8F" w:rsidR="00223122" w:rsidRPr="003A5C41" w:rsidRDefault="00223122" w:rsidP="00765516">
            <w:pPr>
              <w:kinsoku w:val="0"/>
              <w:overflowPunct w:val="0"/>
              <w:autoSpaceDE w:val="0"/>
              <w:autoSpaceDN w:val="0"/>
              <w:adjustRightInd w:val="0"/>
              <w:spacing w:line="230" w:lineRule="exact"/>
              <w:ind w:left="103" w:firstLine="0"/>
              <w:rPr>
                <w:szCs w:val="22"/>
                <w:lang w:eastAsia="en-US"/>
              </w:rPr>
            </w:pPr>
            <w:r w:rsidRPr="003A5C41">
              <w:rPr>
                <w:szCs w:val="22"/>
                <w:lang w:eastAsia="en-US"/>
              </w:rPr>
              <w:t>Medián</w:t>
            </w:r>
            <w:r w:rsidRPr="003A5C41">
              <w:rPr>
                <w:szCs w:val="22"/>
                <w:vertAlign w:val="superscript"/>
                <w:lang w:eastAsia="en-US"/>
              </w:rPr>
              <w:t>a</w:t>
            </w:r>
            <w:r w:rsidRPr="003A5C41">
              <w:rPr>
                <w:position w:val="7"/>
                <w:szCs w:val="22"/>
                <w:lang w:eastAsia="en-US"/>
              </w:rPr>
              <w:t xml:space="preserve"> </w:t>
            </w:r>
            <w:r w:rsidRPr="003A5C41">
              <w:rPr>
                <w:szCs w:val="22"/>
                <w:lang w:eastAsia="en-US"/>
              </w:rPr>
              <w:t xml:space="preserve">času PFS2, mesiace (95% </w:t>
            </w:r>
            <w:r w:rsidR="00765516">
              <w:rPr>
                <w:szCs w:val="22"/>
                <w:lang w:eastAsia="en-US"/>
              </w:rPr>
              <w:t>IS</w:t>
            </w:r>
            <w:r w:rsidRPr="003A5C41">
              <w:rPr>
                <w:szCs w:val="22"/>
                <w:lang w:eastAsia="en-US"/>
              </w:rPr>
              <w:t>)</w:t>
            </w:r>
            <w:r w:rsidRPr="003A5C41">
              <w:rPr>
                <w:szCs w:val="22"/>
                <w:vertAlign w:val="superscript"/>
                <w:lang w:eastAsia="en-US"/>
              </w:rPr>
              <w:t>b</w:t>
            </w:r>
          </w:p>
        </w:tc>
        <w:tc>
          <w:tcPr>
            <w:tcW w:w="1695" w:type="dxa"/>
            <w:tcBorders>
              <w:top w:val="single" w:sz="4" w:space="0" w:color="000000"/>
              <w:left w:val="single" w:sz="4" w:space="0" w:color="000000"/>
              <w:bottom w:val="single" w:sz="4" w:space="0" w:color="000000"/>
              <w:right w:val="single" w:sz="4" w:space="0" w:color="000000"/>
            </w:tcBorders>
          </w:tcPr>
          <w:p w14:paraId="59397DB0" w14:textId="77777777" w:rsidR="00223122" w:rsidRPr="003A5C41" w:rsidRDefault="00223122" w:rsidP="00223122">
            <w:pPr>
              <w:kinsoku w:val="0"/>
              <w:overflowPunct w:val="0"/>
              <w:autoSpaceDE w:val="0"/>
              <w:autoSpaceDN w:val="0"/>
              <w:adjustRightInd w:val="0"/>
              <w:spacing w:before="2"/>
              <w:ind w:left="156" w:right="164" w:firstLine="0"/>
              <w:jc w:val="center"/>
              <w:rPr>
                <w:szCs w:val="22"/>
                <w:lang w:eastAsia="en-US"/>
              </w:rPr>
            </w:pPr>
            <w:r w:rsidRPr="003A5C41">
              <w:rPr>
                <w:b/>
                <w:bCs/>
                <w:szCs w:val="22"/>
                <w:lang w:eastAsia="en-US"/>
              </w:rPr>
              <w:t xml:space="preserve">80,2 </w:t>
            </w:r>
            <w:r w:rsidRPr="003A5C41">
              <w:rPr>
                <w:szCs w:val="22"/>
                <w:lang w:eastAsia="en-US"/>
              </w:rPr>
              <w:t>(63,3, 101,8)</w:t>
            </w:r>
          </w:p>
        </w:tc>
        <w:tc>
          <w:tcPr>
            <w:tcW w:w="1672" w:type="dxa"/>
            <w:tcBorders>
              <w:top w:val="single" w:sz="4" w:space="0" w:color="000000"/>
              <w:left w:val="single" w:sz="4" w:space="0" w:color="000000"/>
              <w:bottom w:val="single" w:sz="4" w:space="0" w:color="000000"/>
              <w:right w:val="single" w:sz="4" w:space="0" w:color="000000"/>
            </w:tcBorders>
          </w:tcPr>
          <w:p w14:paraId="0D97C16D" w14:textId="77777777" w:rsidR="00223122" w:rsidRPr="003A5C41" w:rsidRDefault="00223122" w:rsidP="00223122">
            <w:pPr>
              <w:kinsoku w:val="0"/>
              <w:overflowPunct w:val="0"/>
              <w:autoSpaceDE w:val="0"/>
              <w:autoSpaceDN w:val="0"/>
              <w:adjustRightInd w:val="0"/>
              <w:spacing w:before="2"/>
              <w:ind w:left="153" w:right="161" w:firstLine="0"/>
              <w:jc w:val="center"/>
              <w:rPr>
                <w:szCs w:val="22"/>
                <w:lang w:eastAsia="en-US"/>
              </w:rPr>
            </w:pPr>
            <w:r w:rsidRPr="003A5C41">
              <w:rPr>
                <w:b/>
                <w:bCs/>
                <w:szCs w:val="22"/>
                <w:lang w:eastAsia="en-US"/>
              </w:rPr>
              <w:t xml:space="preserve">52,8 </w:t>
            </w:r>
            <w:r w:rsidRPr="003A5C41">
              <w:rPr>
                <w:szCs w:val="22"/>
                <w:lang w:eastAsia="en-US"/>
              </w:rPr>
              <w:t>(41,3, 64,0)</w:t>
            </w:r>
          </w:p>
        </w:tc>
      </w:tr>
      <w:tr w:rsidR="00223122" w:rsidRPr="003A5C41" w14:paraId="36F65A28" w14:textId="77777777" w:rsidTr="00223122">
        <w:trPr>
          <w:trHeight w:hRule="exact" w:val="240"/>
        </w:trPr>
        <w:tc>
          <w:tcPr>
            <w:tcW w:w="5813" w:type="dxa"/>
            <w:tcBorders>
              <w:top w:val="single" w:sz="4" w:space="0" w:color="000000"/>
              <w:left w:val="single" w:sz="4" w:space="0" w:color="000000"/>
              <w:bottom w:val="single" w:sz="4" w:space="0" w:color="000000"/>
              <w:right w:val="single" w:sz="4" w:space="0" w:color="000000"/>
            </w:tcBorders>
          </w:tcPr>
          <w:p w14:paraId="79087366" w14:textId="3940D35F" w:rsidR="00223122" w:rsidRPr="003A5C41" w:rsidRDefault="00223122" w:rsidP="00765516">
            <w:pPr>
              <w:kinsoku w:val="0"/>
              <w:overflowPunct w:val="0"/>
              <w:autoSpaceDE w:val="0"/>
              <w:autoSpaceDN w:val="0"/>
              <w:adjustRightInd w:val="0"/>
              <w:spacing w:line="230" w:lineRule="exact"/>
              <w:ind w:left="103" w:firstLine="0"/>
              <w:rPr>
                <w:szCs w:val="22"/>
                <w:vertAlign w:val="superscript"/>
                <w:lang w:eastAsia="en-US"/>
              </w:rPr>
            </w:pPr>
            <w:r w:rsidRPr="003A5C41">
              <w:rPr>
                <w:szCs w:val="22"/>
                <w:lang w:eastAsia="en-US"/>
              </w:rPr>
              <w:t xml:space="preserve">HR (95% </w:t>
            </w:r>
            <w:r w:rsidR="00765516">
              <w:rPr>
                <w:szCs w:val="22"/>
                <w:lang w:eastAsia="en-US"/>
              </w:rPr>
              <w:t>IS</w:t>
            </w:r>
            <w:r w:rsidRPr="003A5C41">
              <w:rPr>
                <w:szCs w:val="22"/>
                <w:lang w:eastAsia="en-US"/>
              </w:rPr>
              <w:t>)</w:t>
            </w:r>
            <w:r w:rsidRPr="003A5C41">
              <w:rPr>
                <w:szCs w:val="22"/>
                <w:vertAlign w:val="superscript"/>
                <w:lang w:eastAsia="en-US"/>
              </w:rPr>
              <w:t>c</w:t>
            </w:r>
            <w:r w:rsidRPr="003A5C41">
              <w:rPr>
                <w:szCs w:val="22"/>
                <w:lang w:eastAsia="en-US"/>
              </w:rPr>
              <w:t>; p-hodnota</w:t>
            </w:r>
            <w:r w:rsidRPr="003A5C41">
              <w:rPr>
                <w:szCs w:val="22"/>
                <w:vertAlign w:val="superscript"/>
                <w:lang w:eastAsia="en-US"/>
              </w:rPr>
              <w:t>d</w:t>
            </w:r>
          </w:p>
        </w:tc>
        <w:tc>
          <w:tcPr>
            <w:tcW w:w="3367" w:type="dxa"/>
            <w:gridSpan w:val="2"/>
            <w:tcBorders>
              <w:top w:val="single" w:sz="4" w:space="0" w:color="000000"/>
              <w:left w:val="single" w:sz="4" w:space="0" w:color="000000"/>
              <w:bottom w:val="single" w:sz="4" w:space="0" w:color="000000"/>
              <w:right w:val="single" w:sz="4" w:space="0" w:color="000000"/>
            </w:tcBorders>
          </w:tcPr>
          <w:p w14:paraId="5440046B" w14:textId="77777777" w:rsidR="00223122" w:rsidRPr="003A5C41" w:rsidRDefault="00223122" w:rsidP="00223122">
            <w:pPr>
              <w:kinsoku w:val="0"/>
              <w:overflowPunct w:val="0"/>
              <w:autoSpaceDE w:val="0"/>
              <w:autoSpaceDN w:val="0"/>
              <w:adjustRightInd w:val="0"/>
              <w:spacing w:before="2"/>
              <w:ind w:left="753" w:firstLine="0"/>
              <w:rPr>
                <w:szCs w:val="22"/>
                <w:lang w:eastAsia="en-US"/>
              </w:rPr>
            </w:pPr>
            <w:r w:rsidRPr="003A5C41">
              <w:rPr>
                <w:b/>
                <w:bCs/>
                <w:szCs w:val="22"/>
                <w:lang w:eastAsia="en-US"/>
              </w:rPr>
              <w:t xml:space="preserve">0,61 </w:t>
            </w:r>
            <w:r w:rsidRPr="003A5C41">
              <w:rPr>
                <w:szCs w:val="22"/>
                <w:lang w:eastAsia="en-US"/>
              </w:rPr>
              <w:t>(0,48; 0,78); &lt; 0,001</w:t>
            </w:r>
          </w:p>
        </w:tc>
      </w:tr>
      <w:tr w:rsidR="00223122" w:rsidRPr="003A5C41" w14:paraId="0EFB0669" w14:textId="77777777" w:rsidTr="00223122">
        <w:trPr>
          <w:trHeight w:hRule="exact" w:val="240"/>
        </w:trPr>
        <w:tc>
          <w:tcPr>
            <w:tcW w:w="5813" w:type="dxa"/>
            <w:tcBorders>
              <w:top w:val="single" w:sz="4" w:space="0" w:color="000000"/>
              <w:left w:val="single" w:sz="4" w:space="0" w:color="000000"/>
              <w:bottom w:val="single" w:sz="4" w:space="0" w:color="000000"/>
              <w:right w:val="single" w:sz="4" w:space="0" w:color="000000"/>
            </w:tcBorders>
          </w:tcPr>
          <w:p w14:paraId="23ED8FD8" w14:textId="77777777" w:rsidR="00223122" w:rsidRPr="003A5C41" w:rsidRDefault="00223122" w:rsidP="00223122">
            <w:pPr>
              <w:kinsoku w:val="0"/>
              <w:overflowPunct w:val="0"/>
              <w:autoSpaceDE w:val="0"/>
              <w:autoSpaceDN w:val="0"/>
              <w:adjustRightInd w:val="0"/>
              <w:ind w:left="103" w:firstLine="0"/>
              <w:rPr>
                <w:szCs w:val="22"/>
                <w:lang w:eastAsia="en-US"/>
              </w:rPr>
            </w:pPr>
            <w:r w:rsidRPr="003A5C41">
              <w:rPr>
                <w:b/>
                <w:bCs/>
                <w:szCs w:val="22"/>
                <w:lang w:eastAsia="en-US"/>
              </w:rPr>
              <w:t>Celkové prežívanie</w:t>
            </w:r>
          </w:p>
        </w:tc>
        <w:tc>
          <w:tcPr>
            <w:tcW w:w="1695" w:type="dxa"/>
            <w:tcBorders>
              <w:top w:val="single" w:sz="4" w:space="0" w:color="000000"/>
              <w:left w:val="single" w:sz="4" w:space="0" w:color="000000"/>
              <w:bottom w:val="single" w:sz="4" w:space="0" w:color="000000"/>
              <w:right w:val="single" w:sz="4" w:space="0" w:color="000000"/>
            </w:tcBorders>
          </w:tcPr>
          <w:p w14:paraId="6BB406BE" w14:textId="77777777" w:rsidR="00223122" w:rsidRPr="003A5C41" w:rsidRDefault="00223122" w:rsidP="00223122">
            <w:pPr>
              <w:autoSpaceDE w:val="0"/>
              <w:autoSpaceDN w:val="0"/>
              <w:adjustRightInd w:val="0"/>
              <w:ind w:left="0" w:firstLine="0"/>
              <w:rPr>
                <w:szCs w:val="22"/>
                <w:lang w:eastAsia="en-US"/>
              </w:rPr>
            </w:pPr>
          </w:p>
        </w:tc>
        <w:tc>
          <w:tcPr>
            <w:tcW w:w="1672" w:type="dxa"/>
            <w:tcBorders>
              <w:top w:val="single" w:sz="4" w:space="0" w:color="000000"/>
              <w:left w:val="single" w:sz="4" w:space="0" w:color="000000"/>
              <w:bottom w:val="single" w:sz="4" w:space="0" w:color="000000"/>
              <w:right w:val="single" w:sz="4" w:space="0" w:color="000000"/>
            </w:tcBorders>
          </w:tcPr>
          <w:p w14:paraId="7473867B" w14:textId="77777777" w:rsidR="00223122" w:rsidRPr="003A5C41" w:rsidRDefault="00223122" w:rsidP="00223122">
            <w:pPr>
              <w:autoSpaceDE w:val="0"/>
              <w:autoSpaceDN w:val="0"/>
              <w:adjustRightInd w:val="0"/>
              <w:ind w:left="0" w:firstLine="0"/>
              <w:rPr>
                <w:szCs w:val="22"/>
                <w:lang w:eastAsia="en-US"/>
              </w:rPr>
            </w:pPr>
          </w:p>
        </w:tc>
      </w:tr>
      <w:tr w:rsidR="00223122" w:rsidRPr="003A5C41" w14:paraId="78A62686" w14:textId="77777777" w:rsidTr="00223122">
        <w:trPr>
          <w:trHeight w:hRule="exact" w:val="240"/>
        </w:trPr>
        <w:tc>
          <w:tcPr>
            <w:tcW w:w="5813" w:type="dxa"/>
            <w:tcBorders>
              <w:top w:val="single" w:sz="4" w:space="0" w:color="000000"/>
              <w:left w:val="single" w:sz="4" w:space="0" w:color="000000"/>
              <w:bottom w:val="single" w:sz="4" w:space="0" w:color="000000"/>
              <w:right w:val="single" w:sz="4" w:space="0" w:color="000000"/>
            </w:tcBorders>
          </w:tcPr>
          <w:p w14:paraId="4F31A902" w14:textId="06F9B710" w:rsidR="00223122" w:rsidRPr="003A5C41" w:rsidRDefault="00223122" w:rsidP="00765516">
            <w:pPr>
              <w:kinsoku w:val="0"/>
              <w:overflowPunct w:val="0"/>
              <w:autoSpaceDE w:val="0"/>
              <w:autoSpaceDN w:val="0"/>
              <w:adjustRightInd w:val="0"/>
              <w:spacing w:line="230" w:lineRule="exact"/>
              <w:ind w:left="103" w:firstLine="0"/>
              <w:rPr>
                <w:szCs w:val="22"/>
                <w:lang w:eastAsia="en-US"/>
              </w:rPr>
            </w:pPr>
            <w:r w:rsidRPr="003A5C41">
              <w:rPr>
                <w:szCs w:val="22"/>
                <w:lang w:eastAsia="en-US"/>
              </w:rPr>
              <w:t>Medián</w:t>
            </w:r>
            <w:r w:rsidRPr="003A5C41">
              <w:rPr>
                <w:szCs w:val="22"/>
                <w:vertAlign w:val="superscript"/>
                <w:lang w:eastAsia="en-US"/>
              </w:rPr>
              <w:t>a</w:t>
            </w:r>
            <w:r w:rsidRPr="003A5C41">
              <w:rPr>
                <w:position w:val="7"/>
                <w:szCs w:val="22"/>
                <w:lang w:eastAsia="en-US"/>
              </w:rPr>
              <w:t xml:space="preserve"> </w:t>
            </w:r>
            <w:r w:rsidRPr="003A5C41">
              <w:rPr>
                <w:szCs w:val="22"/>
                <w:lang w:eastAsia="en-US"/>
              </w:rPr>
              <w:t xml:space="preserve">času OS, mesiace (95% </w:t>
            </w:r>
            <w:r w:rsidR="00765516">
              <w:rPr>
                <w:szCs w:val="22"/>
                <w:lang w:eastAsia="en-US"/>
              </w:rPr>
              <w:t>IS</w:t>
            </w:r>
            <w:r w:rsidRPr="003A5C41">
              <w:rPr>
                <w:szCs w:val="22"/>
                <w:lang w:eastAsia="en-US"/>
              </w:rPr>
              <w:t>)</w:t>
            </w:r>
            <w:r w:rsidRPr="003A5C41">
              <w:rPr>
                <w:szCs w:val="22"/>
                <w:vertAlign w:val="superscript"/>
                <w:lang w:eastAsia="en-US"/>
              </w:rPr>
              <w:t>b</w:t>
            </w:r>
          </w:p>
        </w:tc>
        <w:tc>
          <w:tcPr>
            <w:tcW w:w="1695" w:type="dxa"/>
            <w:tcBorders>
              <w:top w:val="single" w:sz="4" w:space="0" w:color="000000"/>
              <w:left w:val="single" w:sz="4" w:space="0" w:color="000000"/>
              <w:bottom w:val="single" w:sz="4" w:space="0" w:color="000000"/>
              <w:right w:val="single" w:sz="4" w:space="0" w:color="000000"/>
            </w:tcBorders>
          </w:tcPr>
          <w:p w14:paraId="3F2D9AC7" w14:textId="77777777" w:rsidR="00223122" w:rsidRPr="003A5C41" w:rsidRDefault="00223122" w:rsidP="00223122">
            <w:pPr>
              <w:kinsoku w:val="0"/>
              <w:overflowPunct w:val="0"/>
              <w:autoSpaceDE w:val="0"/>
              <w:autoSpaceDN w:val="0"/>
              <w:adjustRightInd w:val="0"/>
              <w:spacing w:before="2"/>
              <w:ind w:left="170" w:right="164" w:firstLine="0"/>
              <w:jc w:val="center"/>
              <w:rPr>
                <w:szCs w:val="22"/>
                <w:lang w:eastAsia="en-US"/>
              </w:rPr>
            </w:pPr>
            <w:r w:rsidRPr="003A5C41">
              <w:rPr>
                <w:b/>
                <w:bCs/>
                <w:szCs w:val="22"/>
                <w:lang w:eastAsia="en-US"/>
              </w:rPr>
              <w:t xml:space="preserve">111,0 </w:t>
            </w:r>
            <w:r w:rsidRPr="003A5C41">
              <w:rPr>
                <w:szCs w:val="22"/>
                <w:lang w:eastAsia="en-US"/>
              </w:rPr>
              <w:t>(101,8; NE)</w:t>
            </w:r>
          </w:p>
        </w:tc>
        <w:tc>
          <w:tcPr>
            <w:tcW w:w="1672" w:type="dxa"/>
            <w:tcBorders>
              <w:top w:val="single" w:sz="4" w:space="0" w:color="000000"/>
              <w:left w:val="single" w:sz="4" w:space="0" w:color="000000"/>
              <w:bottom w:val="single" w:sz="4" w:space="0" w:color="000000"/>
              <w:right w:val="single" w:sz="4" w:space="0" w:color="000000"/>
            </w:tcBorders>
          </w:tcPr>
          <w:p w14:paraId="53979118" w14:textId="77777777" w:rsidR="00223122" w:rsidRPr="003A5C41" w:rsidRDefault="00223122" w:rsidP="00223122">
            <w:pPr>
              <w:kinsoku w:val="0"/>
              <w:overflowPunct w:val="0"/>
              <w:autoSpaceDE w:val="0"/>
              <w:autoSpaceDN w:val="0"/>
              <w:adjustRightInd w:val="0"/>
              <w:spacing w:before="2"/>
              <w:ind w:left="165" w:right="161" w:firstLine="0"/>
              <w:jc w:val="center"/>
              <w:rPr>
                <w:szCs w:val="22"/>
                <w:lang w:eastAsia="en-US"/>
              </w:rPr>
            </w:pPr>
            <w:r w:rsidRPr="003A5C41">
              <w:rPr>
                <w:b/>
                <w:bCs/>
                <w:szCs w:val="22"/>
                <w:lang w:eastAsia="en-US"/>
              </w:rPr>
              <w:t xml:space="preserve">84,2 </w:t>
            </w:r>
            <w:r w:rsidRPr="003A5C41">
              <w:rPr>
                <w:szCs w:val="22"/>
                <w:lang w:eastAsia="en-US"/>
              </w:rPr>
              <w:t>(71,0; 102,7)</w:t>
            </w:r>
          </w:p>
        </w:tc>
      </w:tr>
      <w:tr w:rsidR="00223122" w:rsidRPr="003A5C41" w14:paraId="6EBB42A6" w14:textId="77777777" w:rsidTr="00223122">
        <w:trPr>
          <w:trHeight w:hRule="exact" w:val="240"/>
        </w:trPr>
        <w:tc>
          <w:tcPr>
            <w:tcW w:w="5813" w:type="dxa"/>
            <w:tcBorders>
              <w:top w:val="single" w:sz="4" w:space="0" w:color="000000"/>
              <w:left w:val="single" w:sz="4" w:space="0" w:color="000000"/>
              <w:bottom w:val="single" w:sz="4" w:space="0" w:color="000000"/>
              <w:right w:val="single" w:sz="4" w:space="0" w:color="000000"/>
            </w:tcBorders>
          </w:tcPr>
          <w:p w14:paraId="1920D699" w14:textId="77777777" w:rsidR="00223122" w:rsidRPr="003A5C41" w:rsidRDefault="00223122" w:rsidP="00223122">
            <w:pPr>
              <w:kinsoku w:val="0"/>
              <w:overflowPunct w:val="0"/>
              <w:autoSpaceDE w:val="0"/>
              <w:autoSpaceDN w:val="0"/>
              <w:adjustRightInd w:val="0"/>
              <w:ind w:left="103" w:firstLine="0"/>
              <w:rPr>
                <w:szCs w:val="22"/>
                <w:lang w:eastAsia="en-US"/>
              </w:rPr>
            </w:pPr>
            <w:r w:rsidRPr="003A5C41">
              <w:rPr>
                <w:szCs w:val="22"/>
                <w:lang w:eastAsia="en-US"/>
              </w:rPr>
              <w:t>8 ročné prežívanie, % (SE)</w:t>
            </w:r>
          </w:p>
        </w:tc>
        <w:tc>
          <w:tcPr>
            <w:tcW w:w="1695" w:type="dxa"/>
            <w:tcBorders>
              <w:top w:val="single" w:sz="4" w:space="0" w:color="000000"/>
              <w:left w:val="single" w:sz="4" w:space="0" w:color="000000"/>
              <w:bottom w:val="single" w:sz="4" w:space="0" w:color="000000"/>
              <w:right w:val="single" w:sz="4" w:space="0" w:color="000000"/>
            </w:tcBorders>
          </w:tcPr>
          <w:p w14:paraId="1BD55F0F" w14:textId="77777777" w:rsidR="00223122" w:rsidRPr="003A5C41" w:rsidRDefault="00223122" w:rsidP="00223122">
            <w:pPr>
              <w:kinsoku w:val="0"/>
              <w:overflowPunct w:val="0"/>
              <w:autoSpaceDE w:val="0"/>
              <w:autoSpaceDN w:val="0"/>
              <w:adjustRightInd w:val="0"/>
              <w:spacing w:before="2"/>
              <w:ind w:left="170" w:right="161" w:firstLine="0"/>
              <w:jc w:val="center"/>
              <w:rPr>
                <w:szCs w:val="22"/>
                <w:lang w:eastAsia="en-US"/>
              </w:rPr>
            </w:pPr>
            <w:r w:rsidRPr="003A5C41">
              <w:rPr>
                <w:szCs w:val="22"/>
                <w:lang w:eastAsia="en-US"/>
              </w:rPr>
              <w:t>60,9 (3,78)</w:t>
            </w:r>
          </w:p>
        </w:tc>
        <w:tc>
          <w:tcPr>
            <w:tcW w:w="1672" w:type="dxa"/>
            <w:tcBorders>
              <w:top w:val="single" w:sz="4" w:space="0" w:color="000000"/>
              <w:left w:val="single" w:sz="4" w:space="0" w:color="000000"/>
              <w:bottom w:val="single" w:sz="4" w:space="0" w:color="000000"/>
              <w:right w:val="single" w:sz="4" w:space="0" w:color="000000"/>
            </w:tcBorders>
          </w:tcPr>
          <w:p w14:paraId="63AC941F" w14:textId="77777777" w:rsidR="00223122" w:rsidRPr="003A5C41" w:rsidRDefault="00223122" w:rsidP="00223122">
            <w:pPr>
              <w:kinsoku w:val="0"/>
              <w:overflowPunct w:val="0"/>
              <w:autoSpaceDE w:val="0"/>
              <w:autoSpaceDN w:val="0"/>
              <w:adjustRightInd w:val="0"/>
              <w:spacing w:before="2"/>
              <w:ind w:left="162" w:right="161" w:firstLine="0"/>
              <w:jc w:val="center"/>
              <w:rPr>
                <w:szCs w:val="22"/>
                <w:lang w:eastAsia="en-US"/>
              </w:rPr>
            </w:pPr>
            <w:r w:rsidRPr="003A5C41">
              <w:rPr>
                <w:szCs w:val="22"/>
                <w:lang w:eastAsia="en-US"/>
              </w:rPr>
              <w:t>44,6 (3,98)</w:t>
            </w:r>
          </w:p>
        </w:tc>
      </w:tr>
      <w:tr w:rsidR="00223122" w:rsidRPr="003A5C41" w14:paraId="3EE5F9E4" w14:textId="77777777" w:rsidTr="00223122">
        <w:trPr>
          <w:trHeight w:hRule="exact" w:val="240"/>
        </w:trPr>
        <w:tc>
          <w:tcPr>
            <w:tcW w:w="5813" w:type="dxa"/>
            <w:tcBorders>
              <w:top w:val="single" w:sz="4" w:space="0" w:color="000000"/>
              <w:left w:val="single" w:sz="4" w:space="0" w:color="000000"/>
              <w:bottom w:val="single" w:sz="4" w:space="0" w:color="000000"/>
              <w:right w:val="single" w:sz="4" w:space="0" w:color="000000"/>
            </w:tcBorders>
          </w:tcPr>
          <w:p w14:paraId="20F8CEE5" w14:textId="34F0823B" w:rsidR="00223122" w:rsidRPr="003A5C41" w:rsidRDefault="00223122" w:rsidP="00765516">
            <w:pPr>
              <w:kinsoku w:val="0"/>
              <w:overflowPunct w:val="0"/>
              <w:autoSpaceDE w:val="0"/>
              <w:autoSpaceDN w:val="0"/>
              <w:adjustRightInd w:val="0"/>
              <w:spacing w:line="230" w:lineRule="exact"/>
              <w:ind w:left="103" w:firstLine="0"/>
              <w:rPr>
                <w:szCs w:val="22"/>
                <w:lang w:eastAsia="en-US"/>
              </w:rPr>
            </w:pPr>
            <w:r w:rsidRPr="003A5C41">
              <w:rPr>
                <w:szCs w:val="22"/>
                <w:lang w:eastAsia="en-US"/>
              </w:rPr>
              <w:t xml:space="preserve">HR (95% </w:t>
            </w:r>
            <w:r w:rsidR="00765516">
              <w:rPr>
                <w:szCs w:val="22"/>
                <w:lang w:eastAsia="en-US"/>
              </w:rPr>
              <w:t>IS</w:t>
            </w:r>
            <w:r w:rsidRPr="003A5C41">
              <w:rPr>
                <w:szCs w:val="22"/>
                <w:lang w:eastAsia="en-US"/>
              </w:rPr>
              <w:t>)</w:t>
            </w:r>
            <w:r w:rsidRPr="003A5C41">
              <w:rPr>
                <w:szCs w:val="22"/>
                <w:vertAlign w:val="superscript"/>
                <w:lang w:eastAsia="en-US"/>
              </w:rPr>
              <w:t>c</w:t>
            </w:r>
            <w:r w:rsidRPr="003A5C41">
              <w:rPr>
                <w:position w:val="7"/>
                <w:szCs w:val="22"/>
                <w:lang w:eastAsia="en-US"/>
              </w:rPr>
              <w:t xml:space="preserve"> </w:t>
            </w:r>
            <w:r w:rsidRPr="003A5C41">
              <w:rPr>
                <w:szCs w:val="22"/>
                <w:lang w:eastAsia="en-US"/>
              </w:rPr>
              <w:t>; p-hodnota</w:t>
            </w:r>
            <w:r w:rsidRPr="003A5C41">
              <w:rPr>
                <w:szCs w:val="22"/>
                <w:vertAlign w:val="superscript"/>
                <w:lang w:eastAsia="en-US"/>
              </w:rPr>
              <w:t>d</w:t>
            </w:r>
          </w:p>
        </w:tc>
        <w:tc>
          <w:tcPr>
            <w:tcW w:w="3367" w:type="dxa"/>
            <w:gridSpan w:val="2"/>
            <w:tcBorders>
              <w:top w:val="single" w:sz="4" w:space="0" w:color="000000"/>
              <w:left w:val="single" w:sz="4" w:space="0" w:color="000000"/>
              <w:bottom w:val="single" w:sz="4" w:space="0" w:color="000000"/>
              <w:right w:val="single" w:sz="4" w:space="0" w:color="000000"/>
            </w:tcBorders>
          </w:tcPr>
          <w:p w14:paraId="0425F2F3" w14:textId="77777777" w:rsidR="00223122" w:rsidRPr="003A5C41" w:rsidRDefault="00223122" w:rsidP="00223122">
            <w:pPr>
              <w:kinsoku w:val="0"/>
              <w:overflowPunct w:val="0"/>
              <w:autoSpaceDE w:val="0"/>
              <w:autoSpaceDN w:val="0"/>
              <w:adjustRightInd w:val="0"/>
              <w:spacing w:before="2"/>
              <w:ind w:left="753" w:firstLine="0"/>
              <w:rPr>
                <w:szCs w:val="22"/>
                <w:lang w:eastAsia="en-US"/>
              </w:rPr>
            </w:pPr>
            <w:r w:rsidRPr="003A5C41">
              <w:rPr>
                <w:b/>
                <w:bCs/>
                <w:szCs w:val="22"/>
                <w:lang w:eastAsia="en-US"/>
              </w:rPr>
              <w:t xml:space="preserve">0,61 </w:t>
            </w:r>
            <w:r w:rsidRPr="003A5C41">
              <w:rPr>
                <w:szCs w:val="22"/>
                <w:lang w:eastAsia="en-US"/>
              </w:rPr>
              <w:t>(0,46; 0,81); &lt; 0,001</w:t>
            </w:r>
          </w:p>
        </w:tc>
      </w:tr>
      <w:tr w:rsidR="00223122" w:rsidRPr="003A5C41" w14:paraId="2DA3A700" w14:textId="77777777" w:rsidTr="00223122">
        <w:trPr>
          <w:trHeight w:hRule="exact" w:val="240"/>
        </w:trPr>
        <w:tc>
          <w:tcPr>
            <w:tcW w:w="5813" w:type="dxa"/>
            <w:tcBorders>
              <w:top w:val="single" w:sz="4" w:space="0" w:color="000000"/>
              <w:left w:val="single" w:sz="4" w:space="0" w:color="000000"/>
              <w:bottom w:val="single" w:sz="4" w:space="0" w:color="000000"/>
              <w:right w:val="single" w:sz="4" w:space="0" w:color="000000"/>
            </w:tcBorders>
          </w:tcPr>
          <w:p w14:paraId="17B080B7" w14:textId="77777777" w:rsidR="00223122" w:rsidRPr="003A5C41" w:rsidRDefault="00223122" w:rsidP="00223122">
            <w:pPr>
              <w:kinsoku w:val="0"/>
              <w:overflowPunct w:val="0"/>
              <w:autoSpaceDE w:val="0"/>
              <w:autoSpaceDN w:val="0"/>
              <w:adjustRightInd w:val="0"/>
              <w:ind w:left="103" w:firstLine="0"/>
              <w:rPr>
                <w:szCs w:val="22"/>
                <w:lang w:eastAsia="en-US"/>
              </w:rPr>
            </w:pPr>
            <w:r w:rsidRPr="003A5C41">
              <w:rPr>
                <w:b/>
                <w:bCs/>
                <w:szCs w:val="22"/>
                <w:lang w:eastAsia="en-US"/>
              </w:rPr>
              <w:t>Sledovanie</w:t>
            </w:r>
          </w:p>
        </w:tc>
        <w:tc>
          <w:tcPr>
            <w:tcW w:w="1695" w:type="dxa"/>
            <w:tcBorders>
              <w:top w:val="single" w:sz="4" w:space="0" w:color="000000"/>
              <w:left w:val="single" w:sz="4" w:space="0" w:color="000000"/>
              <w:bottom w:val="single" w:sz="4" w:space="0" w:color="000000"/>
              <w:right w:val="single" w:sz="4" w:space="0" w:color="000000"/>
            </w:tcBorders>
          </w:tcPr>
          <w:p w14:paraId="69469AA2" w14:textId="77777777" w:rsidR="00223122" w:rsidRPr="003A5C41" w:rsidRDefault="00223122" w:rsidP="00223122">
            <w:pPr>
              <w:autoSpaceDE w:val="0"/>
              <w:autoSpaceDN w:val="0"/>
              <w:adjustRightInd w:val="0"/>
              <w:ind w:left="0" w:firstLine="0"/>
              <w:rPr>
                <w:szCs w:val="22"/>
                <w:lang w:eastAsia="en-US"/>
              </w:rPr>
            </w:pPr>
          </w:p>
        </w:tc>
        <w:tc>
          <w:tcPr>
            <w:tcW w:w="1672" w:type="dxa"/>
            <w:tcBorders>
              <w:top w:val="single" w:sz="4" w:space="0" w:color="000000"/>
              <w:left w:val="single" w:sz="4" w:space="0" w:color="000000"/>
              <w:bottom w:val="single" w:sz="4" w:space="0" w:color="000000"/>
              <w:right w:val="single" w:sz="4" w:space="0" w:color="000000"/>
            </w:tcBorders>
          </w:tcPr>
          <w:p w14:paraId="54A734DB" w14:textId="77777777" w:rsidR="00223122" w:rsidRPr="003A5C41" w:rsidRDefault="00223122" w:rsidP="00223122">
            <w:pPr>
              <w:autoSpaceDE w:val="0"/>
              <w:autoSpaceDN w:val="0"/>
              <w:adjustRightInd w:val="0"/>
              <w:ind w:left="0" w:firstLine="0"/>
              <w:rPr>
                <w:szCs w:val="22"/>
                <w:lang w:eastAsia="en-US"/>
              </w:rPr>
            </w:pPr>
          </w:p>
        </w:tc>
      </w:tr>
      <w:tr w:rsidR="00223122" w:rsidRPr="003A5C41" w14:paraId="09376C35" w14:textId="77777777" w:rsidTr="00893070">
        <w:trPr>
          <w:trHeight w:hRule="exact" w:val="521"/>
        </w:trPr>
        <w:tc>
          <w:tcPr>
            <w:tcW w:w="5813" w:type="dxa"/>
            <w:tcBorders>
              <w:top w:val="single" w:sz="4" w:space="0" w:color="000000"/>
              <w:left w:val="single" w:sz="4" w:space="0" w:color="000000"/>
              <w:bottom w:val="single" w:sz="4" w:space="0" w:color="000000"/>
              <w:right w:val="single" w:sz="4" w:space="0" w:color="000000"/>
            </w:tcBorders>
          </w:tcPr>
          <w:p w14:paraId="7A4A84FC" w14:textId="77777777" w:rsidR="00223122" w:rsidRPr="003A5C41" w:rsidRDefault="00223122" w:rsidP="00223122">
            <w:pPr>
              <w:kinsoku w:val="0"/>
              <w:overflowPunct w:val="0"/>
              <w:autoSpaceDE w:val="0"/>
              <w:autoSpaceDN w:val="0"/>
              <w:adjustRightInd w:val="0"/>
              <w:spacing w:line="230" w:lineRule="exact"/>
              <w:ind w:left="103" w:firstLine="0"/>
              <w:rPr>
                <w:szCs w:val="22"/>
                <w:lang w:eastAsia="en-US"/>
              </w:rPr>
            </w:pPr>
            <w:r w:rsidRPr="003A5C41">
              <w:rPr>
                <w:szCs w:val="22"/>
                <w:lang w:eastAsia="en-US"/>
              </w:rPr>
              <w:t>Medián</w:t>
            </w:r>
            <w:r w:rsidR="002E24C6" w:rsidRPr="003A5C41">
              <w:rPr>
                <w:szCs w:val="22"/>
                <w:vertAlign w:val="superscript"/>
                <w:lang w:eastAsia="en-US"/>
              </w:rPr>
              <w:t>f</w:t>
            </w:r>
            <w:r w:rsidRPr="003A5C41">
              <w:rPr>
                <w:position w:val="7"/>
                <w:szCs w:val="22"/>
                <w:lang w:eastAsia="en-US"/>
              </w:rPr>
              <w:t xml:space="preserve"> </w:t>
            </w:r>
            <w:r w:rsidRPr="003A5C41">
              <w:rPr>
                <w:szCs w:val="22"/>
                <w:lang w:eastAsia="en-US"/>
              </w:rPr>
              <w:t>(min, max), mesiace: všetci prežívajúci pacienti</w:t>
            </w:r>
          </w:p>
        </w:tc>
        <w:tc>
          <w:tcPr>
            <w:tcW w:w="1695" w:type="dxa"/>
            <w:tcBorders>
              <w:top w:val="single" w:sz="4" w:space="0" w:color="000000"/>
              <w:left w:val="single" w:sz="4" w:space="0" w:color="000000"/>
              <w:bottom w:val="single" w:sz="4" w:space="0" w:color="000000"/>
              <w:right w:val="single" w:sz="4" w:space="0" w:color="000000"/>
            </w:tcBorders>
          </w:tcPr>
          <w:p w14:paraId="17DCBD85" w14:textId="77777777" w:rsidR="00223122" w:rsidRPr="003A5C41" w:rsidRDefault="00223122" w:rsidP="00223122">
            <w:pPr>
              <w:kinsoku w:val="0"/>
              <w:overflowPunct w:val="0"/>
              <w:autoSpaceDE w:val="0"/>
              <w:autoSpaceDN w:val="0"/>
              <w:adjustRightInd w:val="0"/>
              <w:spacing w:before="2"/>
              <w:ind w:left="170" w:right="164" w:firstLine="0"/>
              <w:jc w:val="center"/>
              <w:rPr>
                <w:szCs w:val="22"/>
                <w:lang w:eastAsia="en-US"/>
              </w:rPr>
            </w:pPr>
            <w:r w:rsidRPr="003A5C41">
              <w:rPr>
                <w:b/>
                <w:bCs/>
                <w:szCs w:val="22"/>
                <w:lang w:eastAsia="en-US"/>
              </w:rPr>
              <w:t xml:space="preserve">81,9 </w:t>
            </w:r>
            <w:r w:rsidRPr="003A5C41">
              <w:rPr>
                <w:szCs w:val="22"/>
                <w:lang w:eastAsia="en-US"/>
              </w:rPr>
              <w:t>(0,0; 119,8)</w:t>
            </w:r>
          </w:p>
        </w:tc>
        <w:tc>
          <w:tcPr>
            <w:tcW w:w="1672" w:type="dxa"/>
            <w:tcBorders>
              <w:top w:val="single" w:sz="4" w:space="0" w:color="000000"/>
              <w:left w:val="single" w:sz="4" w:space="0" w:color="000000"/>
              <w:bottom w:val="single" w:sz="4" w:space="0" w:color="000000"/>
              <w:right w:val="single" w:sz="4" w:space="0" w:color="000000"/>
            </w:tcBorders>
          </w:tcPr>
          <w:p w14:paraId="0A5F6878" w14:textId="77777777" w:rsidR="00223122" w:rsidRPr="003A5C41" w:rsidRDefault="00223122" w:rsidP="00223122">
            <w:pPr>
              <w:kinsoku w:val="0"/>
              <w:overflowPunct w:val="0"/>
              <w:autoSpaceDE w:val="0"/>
              <w:autoSpaceDN w:val="0"/>
              <w:adjustRightInd w:val="0"/>
              <w:spacing w:before="2"/>
              <w:ind w:left="165" w:right="161" w:firstLine="0"/>
              <w:jc w:val="center"/>
              <w:rPr>
                <w:szCs w:val="22"/>
                <w:lang w:eastAsia="en-US"/>
              </w:rPr>
            </w:pPr>
            <w:r w:rsidRPr="003A5C41">
              <w:rPr>
                <w:b/>
                <w:bCs/>
                <w:szCs w:val="22"/>
                <w:lang w:eastAsia="en-US"/>
              </w:rPr>
              <w:t xml:space="preserve">81,0 </w:t>
            </w:r>
            <w:r w:rsidRPr="003A5C41">
              <w:rPr>
                <w:szCs w:val="22"/>
                <w:lang w:eastAsia="en-US"/>
              </w:rPr>
              <w:t>(4,1; 119,5)</w:t>
            </w:r>
          </w:p>
        </w:tc>
      </w:tr>
    </w:tbl>
    <w:p w14:paraId="2E3EF1F7" w14:textId="09C0EBBA" w:rsidR="00223122" w:rsidRPr="00741D52" w:rsidRDefault="00765516" w:rsidP="00223122">
      <w:pPr>
        <w:autoSpaceDE w:val="0"/>
        <w:autoSpaceDN w:val="0"/>
        <w:adjustRightInd w:val="0"/>
        <w:ind w:left="0" w:firstLine="0"/>
        <w:rPr>
          <w:rFonts w:eastAsia="TimesNewRomanPSMT"/>
          <w:sz w:val="18"/>
          <w:szCs w:val="18"/>
          <w:lang w:eastAsia="en-US"/>
        </w:rPr>
      </w:pPr>
      <w:r>
        <w:rPr>
          <w:rFonts w:eastAsia="TimesNewRomanPSMT"/>
          <w:sz w:val="18"/>
          <w:szCs w:val="18"/>
          <w:lang w:eastAsia="en-US"/>
        </w:rPr>
        <w:t>IS</w:t>
      </w:r>
      <w:r w:rsidRPr="00741D52">
        <w:rPr>
          <w:rFonts w:eastAsia="TimesNewRomanPSMT"/>
          <w:sz w:val="18"/>
          <w:szCs w:val="18"/>
          <w:lang w:eastAsia="en-US"/>
        </w:rPr>
        <w:t xml:space="preserve"> </w:t>
      </w:r>
      <w:r w:rsidR="00223122" w:rsidRPr="00741D52">
        <w:rPr>
          <w:rFonts w:eastAsia="TimesNewRomanPSMT"/>
          <w:sz w:val="18"/>
          <w:szCs w:val="18"/>
          <w:lang w:eastAsia="en-US"/>
        </w:rPr>
        <w:t>= interval spoľahlivosti; HR = miera rizika; max = maximum; min = minimum; NE = nestanoviteľné; OS = celkové prežívanie; PFS =prežívanie bez progresie;</w:t>
      </w:r>
      <w:r w:rsidR="002A637A">
        <w:rPr>
          <w:rFonts w:eastAsia="TimesNewRomanPSMT"/>
          <w:sz w:val="18"/>
          <w:szCs w:val="18"/>
          <w:lang w:eastAsia="en-US"/>
        </w:rPr>
        <w:t xml:space="preserve"> </w:t>
      </w:r>
      <w:r w:rsidR="002A637A" w:rsidRPr="002A637A">
        <w:rPr>
          <w:rFonts w:eastAsia="TimesNewRomanPSMT"/>
          <w:sz w:val="18"/>
          <w:szCs w:val="18"/>
          <w:lang w:eastAsia="en-US"/>
        </w:rPr>
        <w:t>SE = štandardná chyba</w:t>
      </w:r>
    </w:p>
    <w:p w14:paraId="3FD559DC" w14:textId="491FED53" w:rsidR="00223122" w:rsidRPr="00741D52" w:rsidRDefault="00223122" w:rsidP="00223122">
      <w:pPr>
        <w:autoSpaceDE w:val="0"/>
        <w:autoSpaceDN w:val="0"/>
        <w:adjustRightInd w:val="0"/>
        <w:ind w:left="0" w:firstLine="0"/>
        <w:rPr>
          <w:rFonts w:eastAsia="TimesNewRomanPSMT"/>
          <w:sz w:val="18"/>
          <w:szCs w:val="18"/>
          <w:lang w:eastAsia="en-US"/>
        </w:rPr>
      </w:pPr>
      <w:r w:rsidRPr="00741D52">
        <w:rPr>
          <w:rFonts w:eastAsia="TimesNewRomanPSMT"/>
          <w:sz w:val="18"/>
          <w:szCs w:val="18"/>
          <w:vertAlign w:val="superscript"/>
          <w:lang w:eastAsia="en-US"/>
        </w:rPr>
        <w:t>a</w:t>
      </w:r>
      <w:r w:rsidRPr="00741D52">
        <w:rPr>
          <w:rFonts w:eastAsia="TimesNewRomanPSMT"/>
          <w:sz w:val="18"/>
          <w:szCs w:val="18"/>
          <w:lang w:eastAsia="en-US"/>
        </w:rPr>
        <w:t xml:space="preserve"> Medián je založený na Kaplan</w:t>
      </w:r>
      <w:r w:rsidR="002A637A">
        <w:rPr>
          <w:rFonts w:eastAsia="TimesNewRomanPSMT"/>
          <w:sz w:val="18"/>
          <w:szCs w:val="18"/>
          <w:lang w:eastAsia="en-US"/>
        </w:rPr>
        <w:t>ovom</w:t>
      </w:r>
      <w:r w:rsidRPr="00741D52">
        <w:rPr>
          <w:rFonts w:eastAsia="TimesNewRomanPSMT"/>
          <w:sz w:val="18"/>
          <w:szCs w:val="18"/>
          <w:lang w:eastAsia="en-US"/>
        </w:rPr>
        <w:t>-Meier</w:t>
      </w:r>
      <w:r w:rsidR="002A637A">
        <w:rPr>
          <w:rFonts w:eastAsia="TimesNewRomanPSMT"/>
          <w:sz w:val="18"/>
          <w:szCs w:val="18"/>
          <w:lang w:eastAsia="en-US"/>
        </w:rPr>
        <w:t>ovom odhade</w:t>
      </w:r>
      <w:r w:rsidRPr="00741D52">
        <w:rPr>
          <w:rFonts w:eastAsia="TimesNewRomanPSMT"/>
          <w:sz w:val="18"/>
          <w:szCs w:val="18"/>
          <w:lang w:eastAsia="en-US"/>
        </w:rPr>
        <w:t>.</w:t>
      </w:r>
    </w:p>
    <w:p w14:paraId="76E5318C" w14:textId="68E0702D" w:rsidR="00223122" w:rsidRPr="00741D52" w:rsidRDefault="00223122" w:rsidP="00223122">
      <w:pPr>
        <w:autoSpaceDE w:val="0"/>
        <w:autoSpaceDN w:val="0"/>
        <w:adjustRightInd w:val="0"/>
        <w:ind w:left="0" w:firstLine="0"/>
        <w:rPr>
          <w:rFonts w:eastAsia="TimesNewRomanPSMT"/>
          <w:sz w:val="18"/>
          <w:szCs w:val="18"/>
          <w:lang w:eastAsia="en-US"/>
        </w:rPr>
      </w:pPr>
      <w:r w:rsidRPr="00741D52">
        <w:rPr>
          <w:rFonts w:eastAsia="TimesNewRomanPSMT"/>
          <w:sz w:val="18"/>
          <w:szCs w:val="18"/>
          <w:vertAlign w:val="superscript"/>
          <w:lang w:eastAsia="en-US"/>
        </w:rPr>
        <w:t xml:space="preserve">b </w:t>
      </w:r>
      <w:r w:rsidRPr="00741D52">
        <w:rPr>
          <w:rFonts w:eastAsia="TimesNewRomanPSMT"/>
          <w:sz w:val="18"/>
          <w:szCs w:val="18"/>
          <w:lang w:eastAsia="en-US"/>
        </w:rPr>
        <w:t xml:space="preserve">95% </w:t>
      </w:r>
      <w:r w:rsidR="00765516">
        <w:rPr>
          <w:rFonts w:eastAsia="TimesNewRomanPSMT"/>
          <w:sz w:val="18"/>
          <w:szCs w:val="18"/>
          <w:lang w:eastAsia="en-US"/>
        </w:rPr>
        <w:t>IS</w:t>
      </w:r>
      <w:r w:rsidR="00765516" w:rsidRPr="00741D52">
        <w:rPr>
          <w:rFonts w:eastAsia="TimesNewRomanPSMT"/>
          <w:sz w:val="18"/>
          <w:szCs w:val="18"/>
          <w:lang w:eastAsia="en-US"/>
        </w:rPr>
        <w:t xml:space="preserve"> </w:t>
      </w:r>
      <w:r w:rsidRPr="00741D52">
        <w:rPr>
          <w:rFonts w:eastAsia="TimesNewRomanPSMT"/>
          <w:sz w:val="18"/>
          <w:szCs w:val="18"/>
          <w:lang w:eastAsia="en-US"/>
        </w:rPr>
        <w:t>okolo mediánu.</w:t>
      </w:r>
    </w:p>
    <w:p w14:paraId="51AAC5E3" w14:textId="44AD6302" w:rsidR="00223122" w:rsidRPr="00741D52" w:rsidRDefault="00223122" w:rsidP="00223122">
      <w:pPr>
        <w:autoSpaceDE w:val="0"/>
        <w:autoSpaceDN w:val="0"/>
        <w:adjustRightInd w:val="0"/>
        <w:ind w:left="0" w:firstLine="0"/>
        <w:rPr>
          <w:rFonts w:eastAsia="TimesNewRomanPSMT"/>
          <w:sz w:val="18"/>
          <w:szCs w:val="18"/>
          <w:lang w:eastAsia="en-US"/>
        </w:rPr>
      </w:pPr>
      <w:r w:rsidRPr="00741D52">
        <w:rPr>
          <w:rFonts w:eastAsia="TimesNewRomanPSMT"/>
          <w:sz w:val="18"/>
          <w:szCs w:val="18"/>
          <w:vertAlign w:val="superscript"/>
          <w:lang w:eastAsia="en-US"/>
        </w:rPr>
        <w:t>c</w:t>
      </w:r>
      <w:r w:rsidRPr="00741D52">
        <w:rPr>
          <w:rFonts w:eastAsia="TimesNewRomanPSMT"/>
          <w:sz w:val="18"/>
          <w:szCs w:val="18"/>
          <w:lang w:eastAsia="en-US"/>
        </w:rPr>
        <w:t xml:space="preserve"> Založené na </w:t>
      </w:r>
      <w:r w:rsidR="002A637A" w:rsidRPr="002A637A">
        <w:rPr>
          <w:rFonts w:eastAsia="TimesNewRomanPSMT"/>
          <w:sz w:val="18"/>
          <w:szCs w:val="18"/>
          <w:lang w:eastAsia="en-US"/>
        </w:rPr>
        <w:t>Coxovo</w:t>
      </w:r>
      <w:r w:rsidR="002A637A">
        <w:rPr>
          <w:rFonts w:eastAsia="TimesNewRomanPSMT"/>
          <w:sz w:val="18"/>
          <w:szCs w:val="18"/>
          <w:lang w:eastAsia="en-US"/>
        </w:rPr>
        <w:t>m modeli proporcionálnych rizík</w:t>
      </w:r>
      <w:r w:rsidRPr="00741D52">
        <w:rPr>
          <w:rFonts w:eastAsia="TimesNewRomanPSMT"/>
          <w:sz w:val="18"/>
          <w:szCs w:val="18"/>
          <w:lang w:eastAsia="en-US"/>
        </w:rPr>
        <w:t xml:space="preserve"> porovnajúc</w:t>
      </w:r>
      <w:r w:rsidR="002A637A">
        <w:rPr>
          <w:rFonts w:eastAsia="TimesNewRomanPSMT"/>
          <w:sz w:val="18"/>
          <w:szCs w:val="18"/>
          <w:lang w:eastAsia="en-US"/>
        </w:rPr>
        <w:t>om</w:t>
      </w:r>
      <w:r w:rsidRPr="00741D52">
        <w:rPr>
          <w:rFonts w:eastAsia="TimesNewRomanPSMT"/>
          <w:sz w:val="18"/>
          <w:szCs w:val="18"/>
          <w:lang w:eastAsia="en-US"/>
        </w:rPr>
        <w:t xml:space="preserve"> funkcie rizík spojen</w:t>
      </w:r>
      <w:r w:rsidR="002A637A">
        <w:rPr>
          <w:rFonts w:eastAsia="TimesNewRomanPSMT"/>
          <w:sz w:val="18"/>
          <w:szCs w:val="18"/>
          <w:lang w:eastAsia="en-US"/>
        </w:rPr>
        <w:t>ých</w:t>
      </w:r>
      <w:r w:rsidRPr="00741D52">
        <w:rPr>
          <w:rFonts w:eastAsia="TimesNewRomanPSMT"/>
          <w:sz w:val="18"/>
          <w:szCs w:val="18"/>
          <w:lang w:eastAsia="en-US"/>
        </w:rPr>
        <w:t xml:space="preserve"> s liečebnými </w:t>
      </w:r>
      <w:r w:rsidR="00DD1E44">
        <w:rPr>
          <w:rFonts w:eastAsia="TimesNewRomanPSMT"/>
          <w:sz w:val="18"/>
          <w:szCs w:val="18"/>
          <w:lang w:eastAsia="en-US"/>
        </w:rPr>
        <w:t>skupinami</w:t>
      </w:r>
      <w:r w:rsidRPr="00741D52">
        <w:rPr>
          <w:rFonts w:eastAsia="TimesNewRomanPSMT"/>
          <w:sz w:val="18"/>
          <w:szCs w:val="18"/>
          <w:lang w:eastAsia="en-US"/>
        </w:rPr>
        <w:t>.</w:t>
      </w:r>
    </w:p>
    <w:p w14:paraId="1F768363" w14:textId="4ABC21C3" w:rsidR="00223122" w:rsidRPr="00741D52" w:rsidRDefault="00223122" w:rsidP="002E24C6">
      <w:pPr>
        <w:autoSpaceDE w:val="0"/>
        <w:autoSpaceDN w:val="0"/>
        <w:adjustRightInd w:val="0"/>
        <w:ind w:left="142" w:hanging="142"/>
        <w:rPr>
          <w:rFonts w:eastAsia="TimesNewRomanPSMT"/>
          <w:sz w:val="18"/>
          <w:szCs w:val="18"/>
          <w:lang w:eastAsia="en-US"/>
        </w:rPr>
      </w:pPr>
      <w:r w:rsidRPr="00741D52">
        <w:rPr>
          <w:rFonts w:eastAsia="TimesNewRomanPSMT"/>
          <w:sz w:val="18"/>
          <w:szCs w:val="18"/>
          <w:vertAlign w:val="superscript"/>
          <w:lang w:eastAsia="en-US"/>
        </w:rPr>
        <w:t>d</w:t>
      </w:r>
      <w:r w:rsidRPr="00741D52">
        <w:rPr>
          <w:rFonts w:eastAsia="TimesNewRomanPSMT"/>
          <w:sz w:val="18"/>
          <w:szCs w:val="18"/>
          <w:lang w:eastAsia="en-US"/>
        </w:rPr>
        <w:t xml:space="preserve"> </w:t>
      </w:r>
      <w:r w:rsidR="002E24C6" w:rsidRPr="00741D52">
        <w:rPr>
          <w:rFonts w:eastAsia="TimesNewRomanPSMT"/>
          <w:sz w:val="18"/>
          <w:szCs w:val="18"/>
          <w:lang w:eastAsia="en-US"/>
        </w:rPr>
        <w:t>p</w:t>
      </w:r>
      <w:r w:rsidRPr="00741D52">
        <w:rPr>
          <w:rFonts w:eastAsia="TimesNewRomanPSMT"/>
          <w:sz w:val="18"/>
          <w:szCs w:val="18"/>
          <w:lang w:eastAsia="en-US"/>
        </w:rPr>
        <w:t xml:space="preserve">-hodnota je založená na nestratifikovanom log-rank teste Kaplan-Meierovej krivky rozdielov medzi liečebnými </w:t>
      </w:r>
      <w:r w:rsidR="00DD1E44">
        <w:rPr>
          <w:rFonts w:eastAsia="TimesNewRomanPSMT"/>
          <w:sz w:val="18"/>
          <w:szCs w:val="18"/>
          <w:lang w:eastAsia="en-US"/>
        </w:rPr>
        <w:t>skupinami</w:t>
      </w:r>
      <w:r w:rsidRPr="00741D52">
        <w:rPr>
          <w:rFonts w:eastAsia="TimesNewRomanPSMT"/>
          <w:sz w:val="18"/>
          <w:szCs w:val="18"/>
          <w:lang w:eastAsia="en-US"/>
        </w:rPr>
        <w:t>.</w:t>
      </w:r>
    </w:p>
    <w:p w14:paraId="209B325A" w14:textId="599CE5BD" w:rsidR="00223122" w:rsidRPr="00741D52" w:rsidRDefault="00223122" w:rsidP="002E24C6">
      <w:pPr>
        <w:autoSpaceDE w:val="0"/>
        <w:autoSpaceDN w:val="0"/>
        <w:adjustRightInd w:val="0"/>
        <w:ind w:left="142" w:hanging="142"/>
        <w:rPr>
          <w:rFonts w:eastAsia="TimesNewRomanPSMT"/>
          <w:sz w:val="18"/>
          <w:szCs w:val="18"/>
          <w:lang w:eastAsia="en-US"/>
        </w:rPr>
      </w:pPr>
      <w:r w:rsidRPr="00741D52">
        <w:rPr>
          <w:rFonts w:eastAsia="TimesNewRomanPSMT"/>
          <w:sz w:val="18"/>
          <w:szCs w:val="18"/>
          <w:vertAlign w:val="superscript"/>
          <w:lang w:eastAsia="en-US"/>
        </w:rPr>
        <w:t>e</w:t>
      </w:r>
      <w:r w:rsidRPr="00741D52">
        <w:rPr>
          <w:rFonts w:eastAsia="TimesNewRomanPSMT"/>
          <w:sz w:val="18"/>
          <w:szCs w:val="18"/>
          <w:lang w:eastAsia="en-US"/>
        </w:rPr>
        <w:t xml:space="preserve"> Predbežný koncový ukazovateľ (PFS2). </w:t>
      </w:r>
      <w:r w:rsidR="002A637A">
        <w:rPr>
          <w:rFonts w:eastAsia="TimesNewRomanPSMT"/>
          <w:sz w:val="18"/>
          <w:szCs w:val="18"/>
          <w:lang w:eastAsia="en-US"/>
        </w:rPr>
        <w:t>Užívanie l</w:t>
      </w:r>
      <w:r w:rsidRPr="00741D52">
        <w:rPr>
          <w:rFonts w:eastAsia="TimesNewRomanPSMT"/>
          <w:sz w:val="18"/>
          <w:szCs w:val="18"/>
          <w:lang w:eastAsia="en-US"/>
        </w:rPr>
        <w:t>enalidomid</w:t>
      </w:r>
      <w:r w:rsidR="002A637A">
        <w:rPr>
          <w:rFonts w:eastAsia="TimesNewRomanPSMT"/>
          <w:sz w:val="18"/>
          <w:szCs w:val="18"/>
          <w:lang w:eastAsia="en-US"/>
        </w:rPr>
        <w:t xml:space="preserve">u </w:t>
      </w:r>
      <w:r w:rsidRPr="00741D52">
        <w:rPr>
          <w:rFonts w:eastAsia="TimesNewRomanPSMT"/>
          <w:sz w:val="18"/>
          <w:szCs w:val="18"/>
          <w:lang w:eastAsia="en-US"/>
        </w:rPr>
        <w:t>pacient</w:t>
      </w:r>
      <w:r w:rsidR="002A637A">
        <w:rPr>
          <w:rFonts w:eastAsia="TimesNewRomanPSMT"/>
          <w:sz w:val="18"/>
          <w:szCs w:val="18"/>
          <w:lang w:eastAsia="en-US"/>
        </w:rPr>
        <w:t>mi</w:t>
      </w:r>
      <w:r w:rsidRPr="00741D52">
        <w:rPr>
          <w:rFonts w:eastAsia="TimesNewRomanPSMT"/>
          <w:sz w:val="18"/>
          <w:szCs w:val="18"/>
          <w:lang w:eastAsia="en-US"/>
        </w:rPr>
        <w:t xml:space="preserve"> v </w:t>
      </w:r>
      <w:r w:rsidR="00DD1E44">
        <w:rPr>
          <w:rFonts w:eastAsia="TimesNewRomanPSMT"/>
          <w:sz w:val="18"/>
          <w:szCs w:val="18"/>
          <w:lang w:eastAsia="en-US"/>
        </w:rPr>
        <w:t>skupine</w:t>
      </w:r>
      <w:r w:rsidRPr="00741D52">
        <w:rPr>
          <w:rFonts w:eastAsia="TimesNewRomanPSMT"/>
          <w:sz w:val="18"/>
          <w:szCs w:val="18"/>
          <w:lang w:eastAsia="en-US"/>
        </w:rPr>
        <w:t xml:space="preserve"> s placebom, ktorí prešli </w:t>
      </w:r>
      <w:r w:rsidR="002A637A" w:rsidRPr="002A637A">
        <w:rPr>
          <w:rFonts w:eastAsia="TimesNewRomanPSMT"/>
          <w:sz w:val="18"/>
          <w:szCs w:val="18"/>
          <w:lang w:eastAsia="en-US"/>
        </w:rPr>
        <w:t>na užívanie lenalidomidu pred progresiou</w:t>
      </w:r>
      <w:r w:rsidRPr="00741D52">
        <w:rPr>
          <w:rFonts w:eastAsia="TimesNewRomanPSMT"/>
          <w:sz w:val="18"/>
          <w:szCs w:val="18"/>
          <w:lang w:eastAsia="en-US"/>
        </w:rPr>
        <w:t xml:space="preserve"> pri odslepení štúdie, sa</w:t>
      </w:r>
      <w:r w:rsidR="002E24C6" w:rsidRPr="00741D52">
        <w:rPr>
          <w:rFonts w:eastAsia="TimesNewRomanPSMT"/>
          <w:sz w:val="18"/>
          <w:szCs w:val="18"/>
          <w:lang w:eastAsia="en-US"/>
        </w:rPr>
        <w:t xml:space="preserve"> </w:t>
      </w:r>
      <w:r w:rsidRPr="00741D52">
        <w:rPr>
          <w:rFonts w:eastAsia="TimesNewRomanPSMT"/>
          <w:sz w:val="18"/>
          <w:szCs w:val="18"/>
          <w:lang w:eastAsia="en-US"/>
        </w:rPr>
        <w:t>nepovažoval za druholíniovú liečbu.</w:t>
      </w:r>
    </w:p>
    <w:p w14:paraId="7CE761CF" w14:textId="73267300" w:rsidR="00223122" w:rsidRPr="00741D52" w:rsidRDefault="00223122" w:rsidP="00223122">
      <w:pPr>
        <w:autoSpaceDE w:val="0"/>
        <w:autoSpaceDN w:val="0"/>
        <w:adjustRightInd w:val="0"/>
        <w:ind w:left="0" w:firstLine="0"/>
        <w:rPr>
          <w:rFonts w:eastAsia="TimesNewRomanPSMT"/>
          <w:sz w:val="18"/>
          <w:szCs w:val="18"/>
          <w:lang w:eastAsia="en-US"/>
        </w:rPr>
      </w:pPr>
      <w:r w:rsidRPr="00741D52">
        <w:rPr>
          <w:rFonts w:eastAsia="TimesNewRomanPSMT"/>
          <w:sz w:val="18"/>
          <w:szCs w:val="18"/>
          <w:vertAlign w:val="superscript"/>
          <w:lang w:eastAsia="en-US"/>
        </w:rPr>
        <w:t>f</w:t>
      </w:r>
      <w:r w:rsidRPr="00741D52">
        <w:rPr>
          <w:rFonts w:eastAsia="TimesNewRomanPSMT"/>
          <w:sz w:val="18"/>
          <w:szCs w:val="18"/>
          <w:lang w:eastAsia="en-US"/>
        </w:rPr>
        <w:t xml:space="preserve"> Medián sledovania všetkých prežívajúcich </w:t>
      </w:r>
      <w:r w:rsidR="002A637A">
        <w:rPr>
          <w:rFonts w:eastAsia="TimesNewRomanPSMT"/>
          <w:sz w:val="18"/>
          <w:szCs w:val="18"/>
          <w:lang w:eastAsia="en-US"/>
        </w:rPr>
        <w:t>pacientov</w:t>
      </w:r>
      <w:r w:rsidRPr="00741D52">
        <w:rPr>
          <w:rFonts w:eastAsia="TimesNewRomanPSMT"/>
          <w:sz w:val="18"/>
          <w:szCs w:val="18"/>
          <w:lang w:eastAsia="en-US"/>
        </w:rPr>
        <w:t xml:space="preserve"> po ASCT.</w:t>
      </w:r>
    </w:p>
    <w:p w14:paraId="53A04E77" w14:textId="77777777" w:rsidR="00C75A8C" w:rsidRPr="00741D52" w:rsidRDefault="00223122" w:rsidP="00223122">
      <w:pPr>
        <w:autoSpaceDE w:val="0"/>
        <w:autoSpaceDN w:val="0"/>
        <w:adjustRightInd w:val="0"/>
        <w:ind w:left="0" w:firstLine="0"/>
        <w:rPr>
          <w:rFonts w:eastAsia="TimesNewRomanPSMT"/>
          <w:sz w:val="18"/>
          <w:szCs w:val="18"/>
          <w:lang w:eastAsia="en-US"/>
        </w:rPr>
      </w:pPr>
      <w:r w:rsidRPr="00741D52">
        <w:rPr>
          <w:rFonts w:eastAsia="TimesNewRomanPSMT"/>
          <w:b/>
          <w:bCs/>
          <w:sz w:val="18"/>
          <w:szCs w:val="18"/>
          <w:lang w:eastAsia="en-US"/>
        </w:rPr>
        <w:t>Uzávierky údajov</w:t>
      </w:r>
      <w:r w:rsidRPr="00741D52">
        <w:rPr>
          <w:rFonts w:eastAsia="TimesNewRomanPSMT"/>
          <w:sz w:val="18"/>
          <w:szCs w:val="18"/>
          <w:lang w:eastAsia="en-US"/>
        </w:rPr>
        <w:t xml:space="preserve">: 17. </w:t>
      </w:r>
      <w:r w:rsidR="002E24C6" w:rsidRPr="00741D52">
        <w:rPr>
          <w:rFonts w:eastAsia="TimesNewRomanPSMT"/>
          <w:sz w:val="18"/>
          <w:szCs w:val="18"/>
          <w:lang w:eastAsia="en-US"/>
        </w:rPr>
        <w:t>december</w:t>
      </w:r>
      <w:r w:rsidRPr="00741D52">
        <w:rPr>
          <w:rFonts w:eastAsia="TimesNewRomanPSMT"/>
          <w:sz w:val="18"/>
          <w:szCs w:val="18"/>
          <w:lang w:eastAsia="en-US"/>
        </w:rPr>
        <w:t xml:space="preserve"> 2009 a 01. feb</w:t>
      </w:r>
      <w:r w:rsidR="002E24C6" w:rsidRPr="00741D52">
        <w:rPr>
          <w:rFonts w:eastAsia="TimesNewRomanPSMT"/>
          <w:sz w:val="18"/>
          <w:szCs w:val="18"/>
          <w:lang w:eastAsia="en-US"/>
        </w:rPr>
        <w:t>ruár</w:t>
      </w:r>
      <w:r w:rsidRPr="00741D52">
        <w:rPr>
          <w:rFonts w:eastAsia="TimesNewRomanPSMT"/>
          <w:sz w:val="18"/>
          <w:szCs w:val="18"/>
          <w:lang w:eastAsia="en-US"/>
        </w:rPr>
        <w:t xml:space="preserve"> 2016</w:t>
      </w:r>
    </w:p>
    <w:p w14:paraId="47EF0645" w14:textId="77777777" w:rsidR="00C75A8C" w:rsidRPr="003A5C41" w:rsidRDefault="00C75A8C" w:rsidP="00C75A8C">
      <w:pPr>
        <w:autoSpaceDE w:val="0"/>
        <w:autoSpaceDN w:val="0"/>
        <w:adjustRightInd w:val="0"/>
        <w:ind w:left="0" w:firstLine="0"/>
        <w:rPr>
          <w:rFonts w:eastAsia="TimesNewRomanPSMT"/>
          <w:sz w:val="20"/>
          <w:szCs w:val="20"/>
          <w:lang w:eastAsia="en-US"/>
        </w:rPr>
      </w:pPr>
    </w:p>
    <w:p w14:paraId="37D05324" w14:textId="77777777" w:rsidR="00223122" w:rsidRPr="003A5C41" w:rsidRDefault="00223122" w:rsidP="00223122">
      <w:pPr>
        <w:autoSpaceDE w:val="0"/>
        <w:autoSpaceDN w:val="0"/>
        <w:adjustRightInd w:val="0"/>
        <w:ind w:left="0" w:firstLine="0"/>
        <w:rPr>
          <w:i/>
          <w:iCs/>
          <w:szCs w:val="22"/>
          <w:lang w:eastAsia="en-US"/>
        </w:rPr>
      </w:pPr>
      <w:r w:rsidRPr="003A5C41">
        <w:rPr>
          <w:i/>
          <w:iCs/>
          <w:szCs w:val="22"/>
          <w:lang w:eastAsia="en-US"/>
        </w:rPr>
        <w:t>IFM 2005-02</w:t>
      </w:r>
    </w:p>
    <w:p w14:paraId="4E127042" w14:textId="5209D92A" w:rsidR="00223122" w:rsidRPr="003A5C41" w:rsidRDefault="00223122" w:rsidP="00223122">
      <w:pPr>
        <w:autoSpaceDE w:val="0"/>
        <w:autoSpaceDN w:val="0"/>
        <w:adjustRightInd w:val="0"/>
        <w:ind w:left="0" w:firstLine="0"/>
        <w:rPr>
          <w:rFonts w:eastAsia="TimesNewRomanPSMT"/>
          <w:szCs w:val="22"/>
          <w:lang w:eastAsia="en-US"/>
        </w:rPr>
      </w:pPr>
      <w:r w:rsidRPr="003A5C41">
        <w:rPr>
          <w:rFonts w:eastAsia="TimesNewRomanPSMT"/>
          <w:szCs w:val="22"/>
          <w:lang w:eastAsia="en-US"/>
        </w:rPr>
        <w:t>Do štúdie boli zaradení pacienti vo veku &lt;</w:t>
      </w:r>
      <w:r w:rsidR="009441D1" w:rsidRPr="003A5C41">
        <w:rPr>
          <w:rFonts w:eastAsia="TimesNewRomanPSMT"/>
          <w:szCs w:val="22"/>
          <w:lang w:eastAsia="en-US"/>
        </w:rPr>
        <w:t> </w:t>
      </w:r>
      <w:r w:rsidRPr="003A5C41">
        <w:rPr>
          <w:rFonts w:eastAsia="TimesNewRomanPSMT"/>
          <w:szCs w:val="22"/>
          <w:lang w:eastAsia="en-US"/>
        </w:rPr>
        <w:t>65 rokov v čase diagnózy, ktorí podstúpili ASCT a ktorí</w:t>
      </w:r>
      <w:r w:rsidR="009441D1" w:rsidRPr="003A5C41">
        <w:rPr>
          <w:rFonts w:eastAsia="TimesNewRomanPSMT"/>
          <w:szCs w:val="22"/>
          <w:lang w:eastAsia="en-US"/>
        </w:rPr>
        <w:t xml:space="preserve"> </w:t>
      </w:r>
      <w:r w:rsidRPr="003A5C41">
        <w:rPr>
          <w:rFonts w:eastAsia="TimesNewRomanPSMT"/>
          <w:szCs w:val="22"/>
          <w:lang w:eastAsia="en-US"/>
        </w:rPr>
        <w:t xml:space="preserve">dosiahli </w:t>
      </w:r>
      <w:r w:rsidR="00EF492B">
        <w:rPr>
          <w:rFonts w:eastAsia="TimesNewRomanPSMT"/>
          <w:szCs w:val="22"/>
          <w:lang w:eastAsia="en-US"/>
        </w:rPr>
        <w:t xml:space="preserve">odpoveď </w:t>
      </w:r>
      <w:r w:rsidRPr="003A5C41">
        <w:rPr>
          <w:rFonts w:eastAsia="TimesNewRomanPSMT"/>
          <w:szCs w:val="22"/>
          <w:lang w:eastAsia="en-US"/>
        </w:rPr>
        <w:t xml:space="preserve">aspoň </w:t>
      </w:r>
      <w:r w:rsidR="00EF492B">
        <w:rPr>
          <w:rFonts w:eastAsia="TimesNewRomanPSMT"/>
          <w:szCs w:val="22"/>
          <w:lang w:eastAsia="en-US"/>
        </w:rPr>
        <w:t xml:space="preserve">v podobe </w:t>
      </w:r>
      <w:r w:rsidRPr="003A5C41">
        <w:rPr>
          <w:rFonts w:eastAsia="TimesNewRomanPSMT"/>
          <w:szCs w:val="22"/>
          <w:lang w:eastAsia="en-US"/>
        </w:rPr>
        <w:t>stabilizáci</w:t>
      </w:r>
      <w:r w:rsidR="00EF492B">
        <w:rPr>
          <w:rFonts w:eastAsia="TimesNewRomanPSMT"/>
          <w:szCs w:val="22"/>
          <w:lang w:eastAsia="en-US"/>
        </w:rPr>
        <w:t>e</w:t>
      </w:r>
      <w:r w:rsidRPr="003A5C41">
        <w:rPr>
          <w:rFonts w:eastAsia="TimesNewRomanPSMT"/>
          <w:szCs w:val="22"/>
          <w:lang w:eastAsia="en-US"/>
        </w:rPr>
        <w:t xml:space="preserve"> ochorenia počas obnovy </w:t>
      </w:r>
      <w:r w:rsidR="00EF492B" w:rsidRPr="00EF492B">
        <w:rPr>
          <w:rFonts w:eastAsia="TimesNewRomanPSMT"/>
          <w:szCs w:val="22"/>
          <w:lang w:eastAsia="en-US"/>
        </w:rPr>
        <w:t>hematologických parametrov</w:t>
      </w:r>
      <w:r w:rsidRPr="003A5C41">
        <w:rPr>
          <w:rFonts w:eastAsia="TimesNewRomanPSMT"/>
          <w:szCs w:val="22"/>
          <w:lang w:eastAsia="en-US"/>
        </w:rPr>
        <w:t xml:space="preserve">. </w:t>
      </w:r>
      <w:r w:rsidRPr="003A5C41">
        <w:rPr>
          <w:szCs w:val="22"/>
          <w:lang w:eastAsia="en-US"/>
        </w:rPr>
        <w:t xml:space="preserve">Po dvoch </w:t>
      </w:r>
      <w:r w:rsidR="00EF492B">
        <w:rPr>
          <w:szCs w:val="22"/>
          <w:lang w:eastAsia="en-US"/>
        </w:rPr>
        <w:t xml:space="preserve">cykloch </w:t>
      </w:r>
      <w:r w:rsidRPr="003A5C41">
        <w:rPr>
          <w:szCs w:val="22"/>
          <w:lang w:eastAsia="en-US"/>
        </w:rPr>
        <w:t>konsolidáci</w:t>
      </w:r>
      <w:r w:rsidR="00D97B19">
        <w:rPr>
          <w:szCs w:val="22"/>
          <w:lang w:eastAsia="en-US"/>
        </w:rPr>
        <w:t>e</w:t>
      </w:r>
      <w:r w:rsidR="009441D1" w:rsidRPr="003A5C41">
        <w:rPr>
          <w:szCs w:val="22"/>
          <w:lang w:eastAsia="en-US"/>
        </w:rPr>
        <w:t xml:space="preserve"> </w:t>
      </w:r>
      <w:r w:rsidRPr="003A5C41">
        <w:rPr>
          <w:rFonts w:eastAsia="TimesNewRomanPSMT"/>
          <w:szCs w:val="22"/>
          <w:lang w:eastAsia="en-US"/>
        </w:rPr>
        <w:t>lenalidomidom (25</w:t>
      </w:r>
      <w:r w:rsidR="009441D1" w:rsidRPr="003A5C41">
        <w:rPr>
          <w:rFonts w:eastAsia="TimesNewRomanPSMT"/>
          <w:szCs w:val="22"/>
          <w:lang w:eastAsia="en-US"/>
        </w:rPr>
        <w:t> </w:t>
      </w:r>
      <w:r w:rsidRPr="003A5C41">
        <w:rPr>
          <w:rFonts w:eastAsia="TimesNewRomanPSMT"/>
          <w:szCs w:val="22"/>
          <w:lang w:eastAsia="en-US"/>
        </w:rPr>
        <w:t>mg/deň, dni v 1. – 21. deň 28-dňového cyklu) boli pacienti randomizovaní v pomere</w:t>
      </w:r>
      <w:r w:rsidR="009441D1" w:rsidRPr="003A5C41">
        <w:rPr>
          <w:rFonts w:eastAsia="TimesNewRomanPSMT"/>
          <w:szCs w:val="22"/>
          <w:lang w:eastAsia="en-US"/>
        </w:rPr>
        <w:t xml:space="preserve"> </w:t>
      </w:r>
      <w:r w:rsidRPr="003A5C41">
        <w:rPr>
          <w:szCs w:val="22"/>
          <w:lang w:eastAsia="en-US"/>
        </w:rPr>
        <w:t>1:1 do skupín, ktorým boli podávané lenalidomid alebo placebo v udr</w:t>
      </w:r>
      <w:r w:rsidRPr="003A5C41">
        <w:rPr>
          <w:rFonts w:eastAsia="TimesNewRomanPSMT"/>
          <w:szCs w:val="22"/>
          <w:lang w:eastAsia="en-US"/>
        </w:rPr>
        <w:t>ž</w:t>
      </w:r>
      <w:r w:rsidRPr="003A5C41">
        <w:rPr>
          <w:szCs w:val="22"/>
          <w:lang w:eastAsia="en-US"/>
        </w:rPr>
        <w:t>iavacej terapii (10</w:t>
      </w:r>
      <w:r w:rsidR="009441D1" w:rsidRPr="003A5C41">
        <w:rPr>
          <w:szCs w:val="22"/>
          <w:lang w:eastAsia="en-US"/>
        </w:rPr>
        <w:t> </w:t>
      </w:r>
      <w:r w:rsidRPr="003A5C41">
        <w:rPr>
          <w:szCs w:val="22"/>
          <w:lang w:eastAsia="en-US"/>
        </w:rPr>
        <w:t>mg jedenkrát</w:t>
      </w:r>
      <w:r w:rsidR="009441D1" w:rsidRPr="003A5C41">
        <w:rPr>
          <w:szCs w:val="22"/>
          <w:lang w:eastAsia="en-US"/>
        </w:rPr>
        <w:t xml:space="preserve"> </w:t>
      </w:r>
      <w:r w:rsidRPr="003A5C41">
        <w:rPr>
          <w:rFonts w:eastAsia="TimesNewRomanPSMT"/>
          <w:szCs w:val="22"/>
          <w:lang w:eastAsia="en-US"/>
        </w:rPr>
        <w:t xml:space="preserve">denne v 1. – 28. deň opakovaných 28-dňových cyklov, </w:t>
      </w:r>
      <w:r w:rsidR="00D97B19">
        <w:rPr>
          <w:rFonts w:eastAsia="TimesNewRomanPSMT"/>
          <w:szCs w:val="22"/>
          <w:lang w:eastAsia="en-US"/>
        </w:rPr>
        <w:t xml:space="preserve">dávka </w:t>
      </w:r>
      <w:r w:rsidRPr="003A5C41">
        <w:rPr>
          <w:rFonts w:eastAsia="TimesNewRomanPSMT"/>
          <w:szCs w:val="22"/>
          <w:lang w:eastAsia="en-US"/>
        </w:rPr>
        <w:t>zvýšená na 15 mg jedenkrát denne po 3 mesiacoch</w:t>
      </w:r>
      <w:r w:rsidR="009441D1" w:rsidRPr="003A5C41">
        <w:rPr>
          <w:rFonts w:eastAsia="TimesNewRomanPSMT"/>
          <w:szCs w:val="22"/>
          <w:lang w:eastAsia="en-US"/>
        </w:rPr>
        <w:t xml:space="preserve"> </w:t>
      </w:r>
      <w:r w:rsidRPr="003A5C41">
        <w:rPr>
          <w:szCs w:val="22"/>
          <w:lang w:eastAsia="en-US"/>
        </w:rPr>
        <w:t xml:space="preserve">bez výskytu toxicity limitujúcej dávku). </w:t>
      </w:r>
      <w:r w:rsidRPr="003A5C41">
        <w:rPr>
          <w:rFonts w:eastAsia="TimesNewRomanPSMT"/>
          <w:szCs w:val="22"/>
          <w:lang w:eastAsia="en-US"/>
        </w:rPr>
        <w:t>V liečbe sa pokračovalo až do progresie ochorenia.</w:t>
      </w:r>
    </w:p>
    <w:p w14:paraId="34696832" w14:textId="77777777" w:rsidR="009441D1" w:rsidRPr="003A5C41" w:rsidRDefault="009441D1" w:rsidP="00223122">
      <w:pPr>
        <w:autoSpaceDE w:val="0"/>
        <w:autoSpaceDN w:val="0"/>
        <w:adjustRightInd w:val="0"/>
        <w:ind w:left="0" w:firstLine="0"/>
        <w:rPr>
          <w:rFonts w:eastAsia="TimesNewRomanPSMT"/>
          <w:szCs w:val="22"/>
          <w:lang w:eastAsia="en-US"/>
        </w:rPr>
      </w:pPr>
    </w:p>
    <w:p w14:paraId="4ACF264C" w14:textId="5F7BD6DB" w:rsidR="00223122" w:rsidRPr="003A5C41" w:rsidRDefault="00223122" w:rsidP="00223122">
      <w:pPr>
        <w:autoSpaceDE w:val="0"/>
        <w:autoSpaceDN w:val="0"/>
        <w:adjustRightInd w:val="0"/>
        <w:ind w:left="0" w:firstLine="0"/>
        <w:rPr>
          <w:szCs w:val="22"/>
          <w:lang w:eastAsia="en-US"/>
        </w:rPr>
      </w:pPr>
      <w:r w:rsidRPr="003A5C41">
        <w:rPr>
          <w:rFonts w:eastAsia="TimesNewRomanPSMT"/>
          <w:szCs w:val="22"/>
          <w:lang w:eastAsia="en-US"/>
        </w:rPr>
        <w:t xml:space="preserve">Primárnym </w:t>
      </w:r>
      <w:r w:rsidR="00D97B19">
        <w:rPr>
          <w:rFonts w:eastAsia="TimesNewRomanPSMT"/>
          <w:szCs w:val="22"/>
          <w:lang w:eastAsia="en-US"/>
        </w:rPr>
        <w:t xml:space="preserve">koncovým </w:t>
      </w:r>
      <w:r w:rsidRPr="003A5C41">
        <w:rPr>
          <w:rFonts w:eastAsia="TimesNewRomanPSMT"/>
          <w:szCs w:val="22"/>
          <w:lang w:eastAsia="en-US"/>
        </w:rPr>
        <w:t>ukazovateľom bolo PFS definované od randomizácie do dátumu progresie alebo úmrtia,</w:t>
      </w:r>
      <w:r w:rsidR="009441D1" w:rsidRPr="003A5C41">
        <w:rPr>
          <w:rFonts w:eastAsia="TimesNewRomanPSMT"/>
          <w:szCs w:val="22"/>
          <w:lang w:eastAsia="en-US"/>
        </w:rPr>
        <w:t xml:space="preserve"> </w:t>
      </w:r>
      <w:r w:rsidRPr="003A5C41">
        <w:rPr>
          <w:rFonts w:eastAsia="TimesNewRomanPSMT"/>
          <w:szCs w:val="22"/>
          <w:lang w:eastAsia="en-US"/>
        </w:rPr>
        <w:t xml:space="preserve">podľa toho, čo nastalo skôr; v štúdii nebol stanovený </w:t>
      </w:r>
      <w:r w:rsidR="00D97B19">
        <w:rPr>
          <w:rFonts w:eastAsia="TimesNewRomanPSMT"/>
          <w:szCs w:val="22"/>
          <w:lang w:eastAsia="en-US"/>
        </w:rPr>
        <w:t xml:space="preserve">koncový </w:t>
      </w:r>
      <w:r w:rsidRPr="003A5C41">
        <w:rPr>
          <w:rFonts w:eastAsia="TimesNewRomanPSMT"/>
          <w:szCs w:val="22"/>
          <w:lang w:eastAsia="en-US"/>
        </w:rPr>
        <w:t xml:space="preserve">ukazovateľ celkového prežitia. </w:t>
      </w:r>
      <w:r w:rsidRPr="003A5C41">
        <w:rPr>
          <w:szCs w:val="22"/>
          <w:lang w:eastAsia="en-US"/>
        </w:rPr>
        <w:t>Celkovo bolo</w:t>
      </w:r>
      <w:r w:rsidR="009441D1" w:rsidRPr="003A5C41">
        <w:rPr>
          <w:szCs w:val="22"/>
          <w:lang w:eastAsia="en-US"/>
        </w:rPr>
        <w:t xml:space="preserve"> </w:t>
      </w:r>
      <w:r w:rsidRPr="003A5C41">
        <w:rPr>
          <w:szCs w:val="22"/>
          <w:lang w:eastAsia="en-US"/>
        </w:rPr>
        <w:t xml:space="preserve">randomizovaných 614 pacientov: 307 pacientov na </w:t>
      </w:r>
      <w:r w:rsidR="00D97B19">
        <w:rPr>
          <w:szCs w:val="22"/>
          <w:lang w:eastAsia="en-US"/>
        </w:rPr>
        <w:t xml:space="preserve">užívanie </w:t>
      </w:r>
      <w:r w:rsidRPr="003A5C41">
        <w:rPr>
          <w:szCs w:val="22"/>
          <w:lang w:eastAsia="en-US"/>
        </w:rPr>
        <w:t>lenalidomid</w:t>
      </w:r>
      <w:r w:rsidR="00D97B19">
        <w:rPr>
          <w:szCs w:val="22"/>
          <w:lang w:eastAsia="en-US"/>
        </w:rPr>
        <w:t>u</w:t>
      </w:r>
      <w:r w:rsidRPr="003A5C41">
        <w:rPr>
          <w:szCs w:val="22"/>
          <w:lang w:eastAsia="en-US"/>
        </w:rPr>
        <w:t xml:space="preserve"> a 307 pacientov na </w:t>
      </w:r>
      <w:r w:rsidR="00D97B19">
        <w:rPr>
          <w:szCs w:val="22"/>
          <w:lang w:eastAsia="en-US"/>
        </w:rPr>
        <w:t xml:space="preserve">užívanie </w:t>
      </w:r>
      <w:r w:rsidRPr="003A5C41">
        <w:rPr>
          <w:szCs w:val="22"/>
          <w:lang w:eastAsia="en-US"/>
        </w:rPr>
        <w:t>placeb</w:t>
      </w:r>
      <w:r w:rsidR="00D97B19">
        <w:rPr>
          <w:szCs w:val="22"/>
          <w:lang w:eastAsia="en-US"/>
        </w:rPr>
        <w:t>a</w:t>
      </w:r>
      <w:r w:rsidRPr="003A5C41">
        <w:rPr>
          <w:szCs w:val="22"/>
          <w:lang w:eastAsia="en-US"/>
        </w:rPr>
        <w:t>.</w:t>
      </w:r>
    </w:p>
    <w:p w14:paraId="07FD0D2D" w14:textId="77777777" w:rsidR="009441D1" w:rsidRPr="003A5C41" w:rsidRDefault="009441D1" w:rsidP="00223122">
      <w:pPr>
        <w:autoSpaceDE w:val="0"/>
        <w:autoSpaceDN w:val="0"/>
        <w:adjustRightInd w:val="0"/>
        <w:ind w:left="0" w:firstLine="0"/>
        <w:rPr>
          <w:rFonts w:eastAsia="TimesNewRomanPSMT"/>
          <w:szCs w:val="22"/>
          <w:lang w:eastAsia="en-US"/>
        </w:rPr>
      </w:pPr>
    </w:p>
    <w:p w14:paraId="11EF297A" w14:textId="2CEE6D72" w:rsidR="00223122" w:rsidRPr="003A5C41" w:rsidRDefault="00223122" w:rsidP="00223122">
      <w:pPr>
        <w:autoSpaceDE w:val="0"/>
        <w:autoSpaceDN w:val="0"/>
        <w:adjustRightInd w:val="0"/>
        <w:ind w:left="0" w:firstLine="0"/>
        <w:rPr>
          <w:rFonts w:eastAsia="TimesNewRomanPSMT"/>
          <w:szCs w:val="22"/>
          <w:lang w:eastAsia="en-US"/>
        </w:rPr>
      </w:pPr>
      <w:r w:rsidRPr="003A5C41">
        <w:rPr>
          <w:rFonts w:eastAsia="TimesNewRomanPSMT"/>
          <w:szCs w:val="22"/>
          <w:lang w:eastAsia="en-US"/>
        </w:rPr>
        <w:t>Štúdia bola odslepená na základe odporúčaní monitorovacej komisie po prekročení prahovej hodnoty pre</w:t>
      </w:r>
      <w:r w:rsidR="009441D1" w:rsidRPr="003A5C41">
        <w:rPr>
          <w:rFonts w:eastAsia="TimesNewRomanPSMT"/>
          <w:szCs w:val="22"/>
          <w:lang w:eastAsia="en-US"/>
        </w:rPr>
        <w:t xml:space="preserve"> </w:t>
      </w:r>
      <w:r w:rsidRPr="003A5C41">
        <w:rPr>
          <w:szCs w:val="22"/>
          <w:lang w:eastAsia="en-US"/>
        </w:rPr>
        <w:t>vopred naplánovanú predbe</w:t>
      </w:r>
      <w:r w:rsidRPr="003A5C41">
        <w:rPr>
          <w:rFonts w:eastAsia="TimesNewRomanPSMT"/>
          <w:szCs w:val="22"/>
          <w:lang w:eastAsia="en-US"/>
        </w:rPr>
        <w:t>ž</w:t>
      </w:r>
      <w:r w:rsidRPr="003A5C41">
        <w:rPr>
          <w:szCs w:val="22"/>
          <w:lang w:eastAsia="en-US"/>
        </w:rPr>
        <w:t>nú analýzu PFS. Po odslepení nepre</w:t>
      </w:r>
      <w:r w:rsidRPr="003A5C41">
        <w:rPr>
          <w:rFonts w:eastAsia="TimesNewRomanPSMT"/>
          <w:szCs w:val="22"/>
          <w:lang w:eastAsia="en-US"/>
        </w:rPr>
        <w:t>š</w:t>
      </w:r>
      <w:r w:rsidRPr="003A5C41">
        <w:rPr>
          <w:szCs w:val="22"/>
          <w:lang w:eastAsia="en-US"/>
        </w:rPr>
        <w:t>li pacienti dostávajúci placebo pred</w:t>
      </w:r>
      <w:r w:rsidR="009441D1" w:rsidRPr="003A5C41">
        <w:rPr>
          <w:szCs w:val="22"/>
          <w:lang w:eastAsia="en-US"/>
        </w:rPr>
        <w:t xml:space="preserve"> </w:t>
      </w:r>
      <w:r w:rsidRPr="003A5C41">
        <w:rPr>
          <w:rFonts w:eastAsia="TimesNewRomanPSMT"/>
          <w:szCs w:val="22"/>
          <w:lang w:eastAsia="en-US"/>
        </w:rPr>
        <w:t>progresiou ochorenia na liečbu lenalidomidom. Ako proaktívne bezpečnostné opatrenie bol</w:t>
      </w:r>
      <w:r w:rsidR="00D97B19">
        <w:rPr>
          <w:rFonts w:eastAsia="TimesNewRomanPSMT"/>
          <w:szCs w:val="22"/>
          <w:lang w:eastAsia="en-US"/>
        </w:rPr>
        <w:t>a</w:t>
      </w:r>
      <w:r w:rsidRPr="003A5C41">
        <w:rPr>
          <w:rFonts w:eastAsia="TimesNewRomanPSMT"/>
          <w:szCs w:val="22"/>
          <w:lang w:eastAsia="en-US"/>
        </w:rPr>
        <w:t xml:space="preserve"> </w:t>
      </w:r>
      <w:r w:rsidR="00D97B19">
        <w:rPr>
          <w:rFonts w:eastAsia="TimesNewRomanPSMT"/>
          <w:szCs w:val="22"/>
          <w:lang w:eastAsia="en-US"/>
        </w:rPr>
        <w:t>skupina</w:t>
      </w:r>
      <w:r w:rsidR="009441D1" w:rsidRPr="003A5C41">
        <w:rPr>
          <w:rFonts w:eastAsia="TimesNewRomanPSMT"/>
          <w:szCs w:val="22"/>
          <w:lang w:eastAsia="en-US"/>
        </w:rPr>
        <w:t xml:space="preserve"> </w:t>
      </w:r>
      <w:r w:rsidRPr="003A5C41">
        <w:rPr>
          <w:rFonts w:eastAsia="TimesNewRomanPSMT"/>
          <w:szCs w:val="22"/>
          <w:lang w:eastAsia="en-US"/>
        </w:rPr>
        <w:t>s lenalidomidom po zistení nerovnováhy SPM zrušené (pozri časť 4.4).</w:t>
      </w:r>
    </w:p>
    <w:p w14:paraId="1F16F4A8" w14:textId="77777777" w:rsidR="009441D1" w:rsidRPr="003A5C41" w:rsidRDefault="009441D1" w:rsidP="00223122">
      <w:pPr>
        <w:autoSpaceDE w:val="0"/>
        <w:autoSpaceDN w:val="0"/>
        <w:adjustRightInd w:val="0"/>
        <w:ind w:left="0" w:firstLine="0"/>
        <w:rPr>
          <w:rFonts w:eastAsia="TimesNewRomanPSMT"/>
          <w:szCs w:val="22"/>
          <w:lang w:eastAsia="en-US"/>
        </w:rPr>
      </w:pPr>
    </w:p>
    <w:p w14:paraId="4EB48182" w14:textId="5A608D61" w:rsidR="00223122" w:rsidRPr="003A5C41" w:rsidRDefault="00223122" w:rsidP="00223122">
      <w:pPr>
        <w:autoSpaceDE w:val="0"/>
        <w:autoSpaceDN w:val="0"/>
        <w:adjustRightInd w:val="0"/>
        <w:ind w:left="0" w:firstLine="0"/>
        <w:rPr>
          <w:szCs w:val="22"/>
          <w:lang w:eastAsia="en-US"/>
        </w:rPr>
      </w:pPr>
      <w:r w:rsidRPr="003A5C41">
        <w:rPr>
          <w:szCs w:val="22"/>
          <w:lang w:eastAsia="en-US"/>
        </w:rPr>
        <w:t>Výsledky PFS pri odslepení po vopred naplánovanej predbe</w:t>
      </w:r>
      <w:r w:rsidRPr="003A5C41">
        <w:rPr>
          <w:rFonts w:eastAsia="TimesNewRomanPSMT"/>
          <w:szCs w:val="22"/>
          <w:lang w:eastAsia="en-US"/>
        </w:rPr>
        <w:t>ž</w:t>
      </w:r>
      <w:r w:rsidRPr="003A5C41">
        <w:rPr>
          <w:szCs w:val="22"/>
          <w:lang w:eastAsia="en-US"/>
        </w:rPr>
        <w:t>nej analýze s uzávierkou 7. júla 2010 (31,4</w:t>
      </w:r>
      <w:r w:rsidR="009441D1" w:rsidRPr="003A5C41">
        <w:rPr>
          <w:szCs w:val="22"/>
          <w:lang w:eastAsia="en-US"/>
        </w:rPr>
        <w:t xml:space="preserve"> </w:t>
      </w:r>
      <w:r w:rsidRPr="003A5C41">
        <w:rPr>
          <w:rFonts w:eastAsia="TimesNewRomanPSMT"/>
          <w:szCs w:val="22"/>
          <w:lang w:eastAsia="en-US"/>
        </w:rPr>
        <w:t>mesačné sledovanie) preukázali 48 % zníženie rizika progresie ochorenia alebo smrti v prospech</w:t>
      </w:r>
      <w:r w:rsidR="009441D1" w:rsidRPr="003A5C41">
        <w:rPr>
          <w:rFonts w:eastAsia="TimesNewRomanPSMT"/>
          <w:szCs w:val="22"/>
          <w:lang w:eastAsia="en-US"/>
        </w:rPr>
        <w:t xml:space="preserve"> </w:t>
      </w:r>
      <w:r w:rsidRPr="003A5C41">
        <w:rPr>
          <w:szCs w:val="22"/>
          <w:lang w:eastAsia="en-US"/>
        </w:rPr>
        <w:t xml:space="preserve">lenalidomidu (HR = 0,52; 95% </w:t>
      </w:r>
      <w:r w:rsidR="00765516">
        <w:rPr>
          <w:szCs w:val="22"/>
          <w:lang w:eastAsia="en-US"/>
        </w:rPr>
        <w:t>IS</w:t>
      </w:r>
      <w:r w:rsidR="00765516" w:rsidRPr="003A5C41">
        <w:rPr>
          <w:szCs w:val="22"/>
          <w:lang w:eastAsia="en-US"/>
        </w:rPr>
        <w:t xml:space="preserve"> </w:t>
      </w:r>
      <w:r w:rsidRPr="003A5C41">
        <w:rPr>
          <w:szCs w:val="22"/>
          <w:lang w:eastAsia="en-US"/>
        </w:rPr>
        <w:t>0,41, 0,66; p &lt;</w:t>
      </w:r>
      <w:r w:rsidR="009441D1" w:rsidRPr="003A5C41">
        <w:rPr>
          <w:szCs w:val="22"/>
          <w:lang w:eastAsia="en-US"/>
        </w:rPr>
        <w:t> </w:t>
      </w:r>
      <w:r w:rsidRPr="003A5C41">
        <w:rPr>
          <w:szCs w:val="22"/>
          <w:lang w:eastAsia="en-US"/>
        </w:rPr>
        <w:t>0,001). Medián celkového PFS bol 40,1 mesiacov</w:t>
      </w:r>
      <w:r w:rsidR="009441D1" w:rsidRPr="003A5C41">
        <w:rPr>
          <w:szCs w:val="22"/>
          <w:lang w:eastAsia="en-US"/>
        </w:rPr>
        <w:t xml:space="preserve"> </w:t>
      </w:r>
      <w:r w:rsidRPr="003A5C41">
        <w:rPr>
          <w:szCs w:val="22"/>
          <w:lang w:eastAsia="en-US"/>
        </w:rPr>
        <w:t xml:space="preserve">(95% </w:t>
      </w:r>
      <w:r w:rsidR="00765516">
        <w:rPr>
          <w:szCs w:val="22"/>
          <w:lang w:eastAsia="en-US"/>
        </w:rPr>
        <w:t>IS</w:t>
      </w:r>
      <w:r w:rsidR="00765516" w:rsidRPr="003A5C41">
        <w:rPr>
          <w:szCs w:val="22"/>
          <w:lang w:eastAsia="en-US"/>
        </w:rPr>
        <w:t xml:space="preserve"> </w:t>
      </w:r>
      <w:r w:rsidRPr="003A5C41">
        <w:rPr>
          <w:szCs w:val="22"/>
          <w:lang w:eastAsia="en-US"/>
        </w:rPr>
        <w:t xml:space="preserve">35,7, 42,4) v </w:t>
      </w:r>
      <w:r w:rsidR="00DD1E44">
        <w:rPr>
          <w:szCs w:val="22"/>
          <w:lang w:eastAsia="en-US"/>
        </w:rPr>
        <w:t>skupine</w:t>
      </w:r>
      <w:r w:rsidRPr="003A5C41">
        <w:rPr>
          <w:szCs w:val="22"/>
          <w:lang w:eastAsia="en-US"/>
        </w:rPr>
        <w:t xml:space="preserve"> s lenalidomidom </w:t>
      </w:r>
      <w:r w:rsidR="009441D1" w:rsidRPr="003A5C41">
        <w:rPr>
          <w:szCs w:val="22"/>
          <w:lang w:eastAsia="en-US"/>
        </w:rPr>
        <w:t>v porovnaní s 22,8 mesiacmi (95</w:t>
      </w:r>
      <w:r w:rsidRPr="003A5C41">
        <w:rPr>
          <w:szCs w:val="22"/>
          <w:lang w:eastAsia="en-US"/>
        </w:rPr>
        <w:t xml:space="preserve">% </w:t>
      </w:r>
      <w:r w:rsidR="00765516">
        <w:rPr>
          <w:szCs w:val="22"/>
          <w:lang w:eastAsia="en-US"/>
        </w:rPr>
        <w:t>IS</w:t>
      </w:r>
      <w:r w:rsidR="00765516" w:rsidRPr="003A5C41">
        <w:rPr>
          <w:szCs w:val="22"/>
          <w:lang w:eastAsia="en-US"/>
        </w:rPr>
        <w:t xml:space="preserve"> </w:t>
      </w:r>
      <w:r w:rsidRPr="003A5C41">
        <w:rPr>
          <w:szCs w:val="22"/>
          <w:lang w:eastAsia="en-US"/>
        </w:rPr>
        <w:t>20,7, 27,4) v</w:t>
      </w:r>
      <w:r w:rsidR="009441D1" w:rsidRPr="003A5C41">
        <w:rPr>
          <w:szCs w:val="22"/>
          <w:lang w:eastAsia="en-US"/>
        </w:rPr>
        <w:t xml:space="preserve"> </w:t>
      </w:r>
      <w:r w:rsidR="00DD1E44">
        <w:rPr>
          <w:szCs w:val="22"/>
          <w:lang w:eastAsia="en-US"/>
        </w:rPr>
        <w:t>skupine</w:t>
      </w:r>
      <w:r w:rsidRPr="003A5C41">
        <w:rPr>
          <w:szCs w:val="22"/>
          <w:lang w:eastAsia="en-US"/>
        </w:rPr>
        <w:t xml:space="preserve"> s placebom.</w:t>
      </w:r>
    </w:p>
    <w:p w14:paraId="7DD94611" w14:textId="77777777" w:rsidR="009441D1" w:rsidRPr="003A5C41" w:rsidRDefault="009441D1" w:rsidP="00223122">
      <w:pPr>
        <w:autoSpaceDE w:val="0"/>
        <w:autoSpaceDN w:val="0"/>
        <w:adjustRightInd w:val="0"/>
        <w:ind w:left="0" w:firstLine="0"/>
        <w:rPr>
          <w:szCs w:val="22"/>
          <w:lang w:eastAsia="en-US"/>
        </w:rPr>
      </w:pPr>
    </w:p>
    <w:p w14:paraId="13620552" w14:textId="7AF796A7" w:rsidR="00223122" w:rsidRPr="003A5C41" w:rsidRDefault="00D97B19" w:rsidP="00223122">
      <w:pPr>
        <w:autoSpaceDE w:val="0"/>
        <w:autoSpaceDN w:val="0"/>
        <w:adjustRightInd w:val="0"/>
        <w:ind w:left="0" w:firstLine="0"/>
        <w:rPr>
          <w:rFonts w:eastAsia="TimesNewRomanPSMT"/>
          <w:szCs w:val="22"/>
          <w:lang w:eastAsia="en-US"/>
        </w:rPr>
      </w:pPr>
      <w:r>
        <w:rPr>
          <w:rFonts w:eastAsia="TimesNewRomanPSMT"/>
          <w:szCs w:val="22"/>
          <w:lang w:eastAsia="en-US"/>
        </w:rPr>
        <w:t>Prínos z hľadiska</w:t>
      </w:r>
      <w:r w:rsidR="00223122" w:rsidRPr="003A5C41">
        <w:rPr>
          <w:rFonts w:eastAsia="TimesNewRomanPSMT"/>
          <w:szCs w:val="22"/>
          <w:lang w:eastAsia="en-US"/>
        </w:rPr>
        <w:t xml:space="preserve"> PFS bol v podskupine pacientov s kompletnou odpoveďou menš</w:t>
      </w:r>
      <w:r>
        <w:rPr>
          <w:rFonts w:eastAsia="TimesNewRomanPSMT"/>
          <w:szCs w:val="22"/>
          <w:lang w:eastAsia="en-US"/>
        </w:rPr>
        <w:t>í</w:t>
      </w:r>
      <w:r w:rsidR="00223122" w:rsidRPr="003A5C41">
        <w:rPr>
          <w:rFonts w:eastAsia="TimesNewRomanPSMT"/>
          <w:szCs w:val="22"/>
          <w:lang w:eastAsia="en-US"/>
        </w:rPr>
        <w:t xml:space="preserve"> ako v podskupine</w:t>
      </w:r>
      <w:r w:rsidR="009441D1" w:rsidRPr="003A5C41">
        <w:rPr>
          <w:rFonts w:eastAsia="TimesNewRomanPSMT"/>
          <w:szCs w:val="22"/>
          <w:lang w:eastAsia="en-US"/>
        </w:rPr>
        <w:t xml:space="preserve"> </w:t>
      </w:r>
      <w:r w:rsidR="00223122" w:rsidRPr="003A5C41">
        <w:rPr>
          <w:rFonts w:eastAsia="TimesNewRomanPSMT"/>
          <w:szCs w:val="22"/>
          <w:lang w:eastAsia="en-US"/>
        </w:rPr>
        <w:t>pacientov, ktorí nedosiahli kompletnú odpoveď.</w:t>
      </w:r>
    </w:p>
    <w:p w14:paraId="3272DA1B" w14:textId="77777777" w:rsidR="009441D1" w:rsidRPr="003A5C41" w:rsidRDefault="009441D1" w:rsidP="00223122">
      <w:pPr>
        <w:autoSpaceDE w:val="0"/>
        <w:autoSpaceDN w:val="0"/>
        <w:adjustRightInd w:val="0"/>
        <w:ind w:left="0" w:firstLine="0"/>
        <w:rPr>
          <w:rFonts w:eastAsia="TimesNewRomanPSMT"/>
          <w:szCs w:val="22"/>
          <w:lang w:eastAsia="en-US"/>
        </w:rPr>
      </w:pPr>
    </w:p>
    <w:p w14:paraId="7B2603F0" w14:textId="13622ED6" w:rsidR="00223122" w:rsidRPr="003A5C41" w:rsidRDefault="00223122" w:rsidP="00223122">
      <w:pPr>
        <w:autoSpaceDE w:val="0"/>
        <w:autoSpaceDN w:val="0"/>
        <w:adjustRightInd w:val="0"/>
        <w:ind w:left="0" w:firstLine="0"/>
        <w:rPr>
          <w:rFonts w:eastAsia="TimesNewRomanPSMT"/>
          <w:szCs w:val="22"/>
          <w:lang w:eastAsia="en-US"/>
        </w:rPr>
      </w:pPr>
      <w:r w:rsidRPr="003A5C41">
        <w:rPr>
          <w:rFonts w:eastAsia="TimesNewRomanPSMT"/>
          <w:szCs w:val="22"/>
          <w:lang w:eastAsia="en-US"/>
        </w:rPr>
        <w:t>Aktualizované PSF s uzávierkou 1. februára 2016 (96,7 mesačné sledovanie) aj naďalej zobrazuje</w:t>
      </w:r>
      <w:r w:rsidR="009441D1" w:rsidRPr="003A5C41">
        <w:rPr>
          <w:rFonts w:eastAsia="TimesNewRomanPSMT"/>
          <w:szCs w:val="22"/>
          <w:lang w:eastAsia="en-US"/>
        </w:rPr>
        <w:t xml:space="preserve"> </w:t>
      </w:r>
      <w:r w:rsidR="00D97B19">
        <w:rPr>
          <w:rFonts w:eastAsia="TimesNewRomanPSMT"/>
          <w:szCs w:val="22"/>
          <w:lang w:eastAsia="en-US"/>
        </w:rPr>
        <w:t>prínos z hľadiska</w:t>
      </w:r>
      <w:r w:rsidRPr="003A5C41">
        <w:rPr>
          <w:rFonts w:eastAsia="TimesNewRomanPSMT"/>
          <w:szCs w:val="22"/>
          <w:lang w:eastAsia="en-US"/>
        </w:rPr>
        <w:t xml:space="preserve"> PFS:</w:t>
      </w:r>
      <w:r w:rsidR="009441D1" w:rsidRPr="003A5C41">
        <w:rPr>
          <w:rFonts w:eastAsia="TimesNewRomanPSMT"/>
          <w:szCs w:val="22"/>
          <w:lang w:eastAsia="en-US"/>
        </w:rPr>
        <w:t xml:space="preserve"> </w:t>
      </w:r>
      <w:r w:rsidRPr="003A5C41">
        <w:rPr>
          <w:rFonts w:eastAsia="TimesNewRomanPSMT"/>
          <w:szCs w:val="22"/>
          <w:lang w:eastAsia="en-US"/>
        </w:rPr>
        <w:t xml:space="preserve">HR = 0,57 (95% </w:t>
      </w:r>
      <w:r w:rsidR="00765516">
        <w:rPr>
          <w:rFonts w:eastAsia="TimesNewRomanPSMT"/>
          <w:szCs w:val="22"/>
          <w:lang w:eastAsia="en-US"/>
        </w:rPr>
        <w:t>IS</w:t>
      </w:r>
      <w:r w:rsidR="00765516" w:rsidRPr="003A5C41">
        <w:rPr>
          <w:rFonts w:eastAsia="TimesNewRomanPSMT"/>
          <w:szCs w:val="22"/>
          <w:lang w:eastAsia="en-US"/>
        </w:rPr>
        <w:t xml:space="preserve"> </w:t>
      </w:r>
      <w:r w:rsidRPr="003A5C41">
        <w:rPr>
          <w:rFonts w:eastAsia="TimesNewRomanPSMT"/>
          <w:szCs w:val="22"/>
          <w:lang w:eastAsia="en-US"/>
        </w:rPr>
        <w:t>0,47, 0,68; p &lt;</w:t>
      </w:r>
      <w:r w:rsidR="009441D1" w:rsidRPr="003A5C41">
        <w:rPr>
          <w:rFonts w:eastAsia="TimesNewRomanPSMT"/>
          <w:szCs w:val="22"/>
          <w:lang w:eastAsia="en-US"/>
        </w:rPr>
        <w:t> </w:t>
      </w:r>
      <w:r w:rsidRPr="003A5C41">
        <w:rPr>
          <w:rFonts w:eastAsia="TimesNewRomanPSMT"/>
          <w:szCs w:val="22"/>
          <w:lang w:eastAsia="en-US"/>
        </w:rPr>
        <w:t>0,001). Medián celkového PFS bol 44,4 mesiacov (39,6, 52,0) v</w:t>
      </w:r>
      <w:r w:rsidR="009441D1" w:rsidRPr="003A5C41">
        <w:rPr>
          <w:rFonts w:eastAsia="TimesNewRomanPSMT"/>
          <w:szCs w:val="22"/>
          <w:lang w:eastAsia="en-US"/>
        </w:rPr>
        <w:t xml:space="preserve"> </w:t>
      </w:r>
      <w:r w:rsidR="00DD1E44">
        <w:rPr>
          <w:rFonts w:eastAsia="TimesNewRomanPSMT"/>
          <w:szCs w:val="22"/>
          <w:lang w:eastAsia="en-US"/>
        </w:rPr>
        <w:t>skupine</w:t>
      </w:r>
      <w:r w:rsidRPr="003A5C41">
        <w:rPr>
          <w:rFonts w:eastAsia="TimesNewRomanPSMT"/>
          <w:szCs w:val="22"/>
          <w:lang w:eastAsia="en-US"/>
        </w:rPr>
        <w:t xml:space="preserve"> s lenalidomidom v porovnaní s 23,8 mesiacmi (95% </w:t>
      </w:r>
      <w:r w:rsidR="00765516">
        <w:rPr>
          <w:rFonts w:eastAsia="TimesNewRomanPSMT"/>
          <w:szCs w:val="22"/>
          <w:lang w:eastAsia="en-US"/>
        </w:rPr>
        <w:t>IS</w:t>
      </w:r>
      <w:r w:rsidR="00765516" w:rsidRPr="003A5C41">
        <w:rPr>
          <w:rFonts w:eastAsia="TimesNewRomanPSMT"/>
          <w:szCs w:val="22"/>
          <w:lang w:eastAsia="en-US"/>
        </w:rPr>
        <w:t xml:space="preserve"> </w:t>
      </w:r>
      <w:r w:rsidRPr="003A5C41">
        <w:rPr>
          <w:rFonts w:eastAsia="TimesNewRomanPSMT"/>
          <w:szCs w:val="22"/>
          <w:lang w:eastAsia="en-US"/>
        </w:rPr>
        <w:t xml:space="preserve">21,2, 27,3) v </w:t>
      </w:r>
      <w:r w:rsidR="00DD1E44">
        <w:rPr>
          <w:rFonts w:eastAsia="TimesNewRomanPSMT"/>
          <w:szCs w:val="22"/>
          <w:lang w:eastAsia="en-US"/>
        </w:rPr>
        <w:t>skupine</w:t>
      </w:r>
      <w:r w:rsidRPr="003A5C41">
        <w:rPr>
          <w:rFonts w:eastAsia="TimesNewRomanPSMT"/>
          <w:szCs w:val="22"/>
          <w:lang w:eastAsia="en-US"/>
        </w:rPr>
        <w:t xml:space="preserve"> s placebom. V</w:t>
      </w:r>
      <w:r w:rsidR="009441D1" w:rsidRPr="003A5C41">
        <w:rPr>
          <w:rFonts w:eastAsia="TimesNewRomanPSMT"/>
          <w:szCs w:val="22"/>
          <w:lang w:eastAsia="en-US"/>
        </w:rPr>
        <w:t xml:space="preserve"> </w:t>
      </w:r>
      <w:r w:rsidRPr="003A5C41">
        <w:rPr>
          <w:rFonts w:eastAsia="TimesNewRomanPSMT"/>
          <w:szCs w:val="22"/>
          <w:lang w:eastAsia="en-US"/>
        </w:rPr>
        <w:t xml:space="preserve">prípade PFS2 bolo pre lenalidomid v porovnaní s placebom pozorované HR 0,80 (95% </w:t>
      </w:r>
      <w:r w:rsidR="00765516">
        <w:rPr>
          <w:rFonts w:eastAsia="TimesNewRomanPSMT"/>
          <w:szCs w:val="22"/>
          <w:lang w:eastAsia="en-US"/>
        </w:rPr>
        <w:t>IS</w:t>
      </w:r>
      <w:r w:rsidR="00765516" w:rsidRPr="003A5C41">
        <w:rPr>
          <w:rFonts w:eastAsia="TimesNewRomanPSMT"/>
          <w:szCs w:val="22"/>
          <w:lang w:eastAsia="en-US"/>
        </w:rPr>
        <w:t xml:space="preserve"> </w:t>
      </w:r>
      <w:r w:rsidRPr="003A5C41">
        <w:rPr>
          <w:rFonts w:eastAsia="TimesNewRomanPSMT"/>
          <w:szCs w:val="22"/>
          <w:lang w:eastAsia="en-US"/>
        </w:rPr>
        <w:t>0,66, 0,98; p =</w:t>
      </w:r>
      <w:r w:rsidR="009441D1" w:rsidRPr="003A5C41">
        <w:rPr>
          <w:rFonts w:eastAsia="TimesNewRomanPSMT"/>
          <w:szCs w:val="22"/>
          <w:lang w:eastAsia="en-US"/>
        </w:rPr>
        <w:t xml:space="preserve"> </w:t>
      </w:r>
      <w:r w:rsidRPr="003A5C41">
        <w:rPr>
          <w:rFonts w:eastAsia="TimesNewRomanPSMT"/>
          <w:szCs w:val="22"/>
          <w:lang w:eastAsia="en-US"/>
        </w:rPr>
        <w:t xml:space="preserve">0,026). Medián celkového PFS2 bol 69,9 mesiacov (95% </w:t>
      </w:r>
      <w:r w:rsidR="00765516">
        <w:rPr>
          <w:rFonts w:eastAsia="TimesNewRomanPSMT"/>
          <w:szCs w:val="22"/>
          <w:lang w:eastAsia="en-US"/>
        </w:rPr>
        <w:t>IS</w:t>
      </w:r>
      <w:r w:rsidR="00765516" w:rsidRPr="003A5C41">
        <w:rPr>
          <w:rFonts w:eastAsia="TimesNewRomanPSMT"/>
          <w:szCs w:val="22"/>
          <w:lang w:eastAsia="en-US"/>
        </w:rPr>
        <w:t xml:space="preserve"> </w:t>
      </w:r>
      <w:r w:rsidRPr="003A5C41">
        <w:rPr>
          <w:rFonts w:eastAsia="TimesNewRomanPSMT"/>
          <w:szCs w:val="22"/>
          <w:lang w:eastAsia="en-US"/>
        </w:rPr>
        <w:t xml:space="preserve">58,1, 80,0) v </w:t>
      </w:r>
      <w:r w:rsidR="00DD1E44">
        <w:rPr>
          <w:rFonts w:eastAsia="TimesNewRomanPSMT"/>
          <w:szCs w:val="22"/>
          <w:lang w:eastAsia="en-US"/>
        </w:rPr>
        <w:t>skupine</w:t>
      </w:r>
      <w:r w:rsidRPr="003A5C41">
        <w:rPr>
          <w:rFonts w:eastAsia="TimesNewRomanPSMT"/>
          <w:szCs w:val="22"/>
          <w:lang w:eastAsia="en-US"/>
        </w:rPr>
        <w:t xml:space="preserve"> s lenalidomidom v</w:t>
      </w:r>
      <w:r w:rsidR="009441D1" w:rsidRPr="003A5C41">
        <w:rPr>
          <w:rFonts w:eastAsia="TimesNewRomanPSMT"/>
          <w:szCs w:val="22"/>
          <w:lang w:eastAsia="en-US"/>
        </w:rPr>
        <w:t xml:space="preserve"> </w:t>
      </w:r>
      <w:r w:rsidRPr="003A5C41">
        <w:rPr>
          <w:rFonts w:eastAsia="TimesNewRomanPSMT"/>
          <w:szCs w:val="22"/>
          <w:lang w:eastAsia="en-US"/>
        </w:rPr>
        <w:t xml:space="preserve">porovnaní s 58,4 mesiacmi (95% </w:t>
      </w:r>
      <w:r w:rsidR="00765516">
        <w:rPr>
          <w:rFonts w:eastAsia="TimesNewRomanPSMT"/>
          <w:szCs w:val="22"/>
          <w:lang w:eastAsia="en-US"/>
        </w:rPr>
        <w:t>IS</w:t>
      </w:r>
      <w:r w:rsidR="00765516" w:rsidRPr="003A5C41">
        <w:rPr>
          <w:rFonts w:eastAsia="TimesNewRomanPSMT"/>
          <w:szCs w:val="22"/>
          <w:lang w:eastAsia="en-US"/>
        </w:rPr>
        <w:t xml:space="preserve"> </w:t>
      </w:r>
      <w:r w:rsidRPr="003A5C41">
        <w:rPr>
          <w:rFonts w:eastAsia="TimesNewRomanPSMT"/>
          <w:szCs w:val="22"/>
          <w:lang w:eastAsia="en-US"/>
        </w:rPr>
        <w:t xml:space="preserve">51,1, 65,0) v </w:t>
      </w:r>
      <w:r w:rsidR="00DD1E44">
        <w:rPr>
          <w:rFonts w:eastAsia="TimesNewRomanPSMT"/>
          <w:szCs w:val="22"/>
          <w:lang w:eastAsia="en-US"/>
        </w:rPr>
        <w:t>skupine</w:t>
      </w:r>
      <w:r w:rsidRPr="003A5C41">
        <w:rPr>
          <w:rFonts w:eastAsia="TimesNewRomanPSMT"/>
          <w:szCs w:val="22"/>
          <w:lang w:eastAsia="en-US"/>
        </w:rPr>
        <w:t xml:space="preserve"> s placebom. Pre OS bolo pre lenalidomid v</w:t>
      </w:r>
      <w:r w:rsidR="009441D1" w:rsidRPr="003A5C41">
        <w:rPr>
          <w:rFonts w:eastAsia="TimesNewRomanPSMT"/>
          <w:szCs w:val="22"/>
          <w:lang w:eastAsia="en-US"/>
        </w:rPr>
        <w:t xml:space="preserve"> </w:t>
      </w:r>
      <w:r w:rsidRPr="003A5C41">
        <w:rPr>
          <w:rFonts w:eastAsia="TimesNewRomanPSMT"/>
          <w:szCs w:val="22"/>
          <w:lang w:eastAsia="en-US"/>
        </w:rPr>
        <w:t xml:space="preserve">porovnaní s placebom pozorované HR 0,90: (95% </w:t>
      </w:r>
      <w:r w:rsidR="00765516">
        <w:rPr>
          <w:rFonts w:eastAsia="TimesNewRomanPSMT"/>
          <w:szCs w:val="22"/>
          <w:lang w:eastAsia="en-US"/>
        </w:rPr>
        <w:t>IS</w:t>
      </w:r>
      <w:r w:rsidR="00765516" w:rsidRPr="003A5C41">
        <w:rPr>
          <w:rFonts w:eastAsia="TimesNewRomanPSMT"/>
          <w:szCs w:val="22"/>
          <w:lang w:eastAsia="en-US"/>
        </w:rPr>
        <w:t xml:space="preserve"> </w:t>
      </w:r>
      <w:r w:rsidRPr="003A5C41">
        <w:rPr>
          <w:rFonts w:eastAsia="TimesNewRomanPSMT"/>
          <w:szCs w:val="22"/>
          <w:lang w:eastAsia="en-US"/>
        </w:rPr>
        <w:t>0,72, 1,13; p = 0,355). Medián celkového času</w:t>
      </w:r>
      <w:r w:rsidR="009441D1" w:rsidRPr="003A5C41">
        <w:rPr>
          <w:rFonts w:eastAsia="TimesNewRomanPSMT"/>
          <w:szCs w:val="22"/>
          <w:lang w:eastAsia="en-US"/>
        </w:rPr>
        <w:t xml:space="preserve"> </w:t>
      </w:r>
      <w:r w:rsidRPr="003A5C41">
        <w:rPr>
          <w:rFonts w:eastAsia="TimesNewRomanPSMT"/>
          <w:szCs w:val="22"/>
          <w:lang w:eastAsia="en-US"/>
        </w:rPr>
        <w:t xml:space="preserve">prežívania bol 105,9 mesiacov (95% </w:t>
      </w:r>
      <w:r w:rsidR="00765516">
        <w:rPr>
          <w:rFonts w:eastAsia="TimesNewRomanPSMT"/>
          <w:szCs w:val="22"/>
          <w:lang w:eastAsia="en-US"/>
        </w:rPr>
        <w:t>IS</w:t>
      </w:r>
      <w:r w:rsidR="00765516" w:rsidRPr="003A5C41">
        <w:rPr>
          <w:rFonts w:eastAsia="TimesNewRomanPSMT"/>
          <w:szCs w:val="22"/>
          <w:lang w:eastAsia="en-US"/>
        </w:rPr>
        <w:t xml:space="preserve"> </w:t>
      </w:r>
      <w:r w:rsidRPr="003A5C41">
        <w:rPr>
          <w:rFonts w:eastAsia="TimesNewRomanPSMT"/>
          <w:szCs w:val="22"/>
          <w:lang w:eastAsia="en-US"/>
        </w:rPr>
        <w:t xml:space="preserve">88,8, NE) v </w:t>
      </w:r>
      <w:r w:rsidR="00DD1E44">
        <w:rPr>
          <w:rFonts w:eastAsia="TimesNewRomanPSMT"/>
          <w:szCs w:val="22"/>
          <w:lang w:eastAsia="en-US"/>
        </w:rPr>
        <w:t>skupine</w:t>
      </w:r>
      <w:r w:rsidRPr="003A5C41">
        <w:rPr>
          <w:rFonts w:eastAsia="TimesNewRomanPSMT"/>
          <w:szCs w:val="22"/>
          <w:lang w:eastAsia="en-US"/>
        </w:rPr>
        <w:t xml:space="preserve"> s lenalidomidom v porovnaní s 88,1</w:t>
      </w:r>
      <w:r w:rsidR="009441D1" w:rsidRPr="003A5C41">
        <w:rPr>
          <w:rFonts w:eastAsia="TimesNewRomanPSMT"/>
          <w:szCs w:val="22"/>
          <w:lang w:eastAsia="en-US"/>
        </w:rPr>
        <w:t xml:space="preserve"> </w:t>
      </w:r>
      <w:r w:rsidRPr="003A5C41">
        <w:rPr>
          <w:rFonts w:eastAsia="TimesNewRomanPSMT"/>
          <w:szCs w:val="22"/>
          <w:lang w:eastAsia="en-US"/>
        </w:rPr>
        <w:t xml:space="preserve">mesiacmi (95% </w:t>
      </w:r>
      <w:r w:rsidR="00765516">
        <w:rPr>
          <w:rFonts w:eastAsia="TimesNewRomanPSMT"/>
          <w:szCs w:val="22"/>
          <w:lang w:eastAsia="en-US"/>
        </w:rPr>
        <w:t>IS</w:t>
      </w:r>
      <w:r w:rsidR="00765516" w:rsidRPr="003A5C41">
        <w:rPr>
          <w:rFonts w:eastAsia="TimesNewRomanPSMT"/>
          <w:szCs w:val="22"/>
          <w:lang w:eastAsia="en-US"/>
        </w:rPr>
        <w:t xml:space="preserve"> </w:t>
      </w:r>
      <w:r w:rsidRPr="003A5C41">
        <w:rPr>
          <w:rFonts w:eastAsia="TimesNewRomanPSMT"/>
          <w:szCs w:val="22"/>
          <w:lang w:eastAsia="en-US"/>
        </w:rPr>
        <w:t xml:space="preserve">80,7, 108,4) v </w:t>
      </w:r>
      <w:r w:rsidR="00DD1E44">
        <w:rPr>
          <w:rFonts w:eastAsia="TimesNewRomanPSMT"/>
          <w:szCs w:val="22"/>
          <w:lang w:eastAsia="en-US"/>
        </w:rPr>
        <w:t>skupine</w:t>
      </w:r>
      <w:r w:rsidRPr="003A5C41">
        <w:rPr>
          <w:rFonts w:eastAsia="TimesNewRomanPSMT"/>
          <w:szCs w:val="22"/>
          <w:lang w:eastAsia="en-US"/>
        </w:rPr>
        <w:t xml:space="preserve"> s placebom.</w:t>
      </w:r>
    </w:p>
    <w:p w14:paraId="7C720EFC" w14:textId="77777777" w:rsidR="009441D1" w:rsidRPr="003A5C41" w:rsidRDefault="009441D1" w:rsidP="00223122">
      <w:pPr>
        <w:autoSpaceDE w:val="0"/>
        <w:autoSpaceDN w:val="0"/>
        <w:adjustRightInd w:val="0"/>
        <w:ind w:left="0" w:firstLine="0"/>
        <w:rPr>
          <w:rFonts w:eastAsia="TimesNewRomanPSMT"/>
          <w:szCs w:val="22"/>
          <w:lang w:eastAsia="en-US"/>
        </w:rPr>
      </w:pPr>
    </w:p>
    <w:p w14:paraId="3EB5E30A" w14:textId="77777777" w:rsidR="00223122" w:rsidRPr="003A5C41" w:rsidRDefault="00223122" w:rsidP="009441D1">
      <w:pPr>
        <w:autoSpaceDE w:val="0"/>
        <w:autoSpaceDN w:val="0"/>
        <w:adjustRightInd w:val="0"/>
        <w:ind w:left="720" w:hanging="294"/>
        <w:rPr>
          <w:rFonts w:eastAsia="TimesNewRomanPSMT"/>
          <w:szCs w:val="22"/>
          <w:lang w:eastAsia="en-US"/>
        </w:rPr>
      </w:pPr>
      <w:r w:rsidRPr="003A5C41">
        <w:rPr>
          <w:rFonts w:eastAsia="SymbolMT"/>
          <w:szCs w:val="22"/>
          <w:lang w:eastAsia="en-US"/>
        </w:rPr>
        <w:t>•</w:t>
      </w:r>
      <w:r w:rsidR="009441D1" w:rsidRPr="003A5C41">
        <w:rPr>
          <w:rFonts w:eastAsia="SymbolMT"/>
          <w:szCs w:val="22"/>
          <w:lang w:eastAsia="en-US"/>
        </w:rPr>
        <w:tab/>
      </w:r>
      <w:r w:rsidRPr="003A5C41">
        <w:rPr>
          <w:rFonts w:eastAsia="TimesNewRomanPSMT"/>
          <w:i/>
          <w:szCs w:val="22"/>
          <w:lang w:eastAsia="en-US"/>
        </w:rPr>
        <w:t>Lenalidomid v kombinácii s dexametazónom u pacientov, ktorí nie sú spôsobilí na transplantáciu</w:t>
      </w:r>
      <w:r w:rsidR="009441D1" w:rsidRPr="003A5C41">
        <w:rPr>
          <w:rFonts w:eastAsia="TimesNewRomanPSMT"/>
          <w:i/>
          <w:szCs w:val="22"/>
          <w:lang w:eastAsia="en-US"/>
        </w:rPr>
        <w:t xml:space="preserve"> </w:t>
      </w:r>
      <w:r w:rsidRPr="003A5C41">
        <w:rPr>
          <w:rFonts w:eastAsia="TimesNewRomanPSMT"/>
          <w:i/>
          <w:szCs w:val="22"/>
          <w:lang w:eastAsia="en-US"/>
        </w:rPr>
        <w:t>kmeňových buniek.</w:t>
      </w:r>
    </w:p>
    <w:p w14:paraId="62D3DC75" w14:textId="50384692" w:rsidR="00223122" w:rsidRPr="003A5C41" w:rsidRDefault="00223122" w:rsidP="00223122">
      <w:pPr>
        <w:autoSpaceDE w:val="0"/>
        <w:autoSpaceDN w:val="0"/>
        <w:adjustRightInd w:val="0"/>
        <w:ind w:left="0" w:firstLine="0"/>
        <w:rPr>
          <w:rFonts w:eastAsia="TimesNewRomanPSMT"/>
          <w:szCs w:val="22"/>
          <w:lang w:eastAsia="en-US"/>
        </w:rPr>
      </w:pPr>
      <w:r w:rsidRPr="003A5C41">
        <w:rPr>
          <w:rFonts w:eastAsia="TimesNewRomanPSMT"/>
          <w:szCs w:val="22"/>
          <w:lang w:eastAsia="en-US"/>
        </w:rPr>
        <w:t>Bezpečnosť a účinnosť lenalidomidu sa vyhodnocovala vo fáze III, multicentrického, randomizovaného,</w:t>
      </w:r>
      <w:r w:rsidR="00A150D7" w:rsidRPr="003A5C41">
        <w:rPr>
          <w:rFonts w:eastAsia="TimesNewRomanPSMT"/>
          <w:szCs w:val="22"/>
          <w:lang w:eastAsia="en-US"/>
        </w:rPr>
        <w:t xml:space="preserve"> </w:t>
      </w:r>
      <w:r w:rsidRPr="003A5C41">
        <w:rPr>
          <w:rFonts w:eastAsia="TimesNewRomanPSMT"/>
          <w:szCs w:val="22"/>
          <w:lang w:eastAsia="en-US"/>
        </w:rPr>
        <w:t xml:space="preserve">otvoreného, klinického skúšania </w:t>
      </w:r>
      <w:r w:rsidR="00D97B19">
        <w:rPr>
          <w:rFonts w:eastAsia="TimesNewRomanPSMT"/>
          <w:szCs w:val="22"/>
          <w:lang w:eastAsia="en-US"/>
        </w:rPr>
        <w:t xml:space="preserve">s troma skupinami </w:t>
      </w:r>
      <w:r w:rsidRPr="003A5C41">
        <w:rPr>
          <w:rFonts w:eastAsia="TimesNewRomanPSMT"/>
          <w:szCs w:val="22"/>
          <w:lang w:eastAsia="en-US"/>
        </w:rPr>
        <w:t>(MM-020) u pacientov, ktorí boli vo veku aspoň 65 rokov</w:t>
      </w:r>
      <w:r w:rsidR="00A150D7" w:rsidRPr="003A5C41">
        <w:rPr>
          <w:rFonts w:eastAsia="TimesNewRomanPSMT"/>
          <w:szCs w:val="22"/>
          <w:lang w:eastAsia="en-US"/>
        </w:rPr>
        <w:t xml:space="preserve"> </w:t>
      </w:r>
      <w:r w:rsidRPr="003A5C41">
        <w:rPr>
          <w:rFonts w:eastAsia="TimesNewRomanPSMT"/>
          <w:szCs w:val="22"/>
          <w:lang w:eastAsia="en-US"/>
        </w:rPr>
        <w:t>alebo starší, alebo ak boli mladší ako 65 rokov, neboli kandidátmi pre transplantáciu kmeňových buniek,</w:t>
      </w:r>
      <w:r w:rsidR="00A150D7" w:rsidRPr="003A5C41">
        <w:rPr>
          <w:rFonts w:eastAsia="TimesNewRomanPSMT"/>
          <w:szCs w:val="22"/>
          <w:lang w:eastAsia="en-US"/>
        </w:rPr>
        <w:t xml:space="preserve"> </w:t>
      </w:r>
      <w:r w:rsidRPr="003A5C41">
        <w:rPr>
          <w:rFonts w:eastAsia="TimesNewRomanPSMT"/>
          <w:szCs w:val="22"/>
          <w:lang w:eastAsia="en-US"/>
        </w:rPr>
        <w:t>pretože sa odmietli podrobiť transplantácii kmeňových buniek alebo transplantácia kmeňových buniek</w:t>
      </w:r>
      <w:r w:rsidR="00A150D7" w:rsidRPr="003A5C41">
        <w:rPr>
          <w:rFonts w:eastAsia="TimesNewRomanPSMT"/>
          <w:szCs w:val="22"/>
          <w:lang w:eastAsia="en-US"/>
        </w:rPr>
        <w:t xml:space="preserve"> </w:t>
      </w:r>
      <w:r w:rsidRPr="003A5C41">
        <w:rPr>
          <w:rFonts w:eastAsia="TimesNewRomanPSMT"/>
          <w:szCs w:val="22"/>
          <w:lang w:eastAsia="en-US"/>
        </w:rPr>
        <w:t>nebola pre pacienta dostupná kvôli cene alebo z iného dôvodu. Štúdia (MM-020) porovnávala</w:t>
      </w:r>
      <w:r w:rsidR="00A150D7" w:rsidRPr="003A5C41">
        <w:rPr>
          <w:rFonts w:eastAsia="TimesNewRomanPSMT"/>
          <w:szCs w:val="22"/>
          <w:lang w:eastAsia="en-US"/>
        </w:rPr>
        <w:t xml:space="preserve"> </w:t>
      </w:r>
      <w:r w:rsidRPr="003A5C41">
        <w:rPr>
          <w:rFonts w:eastAsia="TimesNewRomanPSMT"/>
          <w:szCs w:val="22"/>
          <w:lang w:eastAsia="en-US"/>
        </w:rPr>
        <w:t>lenalidomid a dexametazón (Rd) počas 2 rôznych období (</w:t>
      </w:r>
      <w:r w:rsidR="00D97B19">
        <w:rPr>
          <w:rFonts w:eastAsia="TimesNewRomanPSMT"/>
          <w:szCs w:val="22"/>
          <w:lang w:eastAsia="en-US"/>
        </w:rPr>
        <w:t xml:space="preserve">t.j. </w:t>
      </w:r>
      <w:r w:rsidRPr="003A5C41">
        <w:rPr>
          <w:rFonts w:eastAsia="TimesNewRomanPSMT"/>
          <w:szCs w:val="22"/>
          <w:lang w:eastAsia="en-US"/>
        </w:rPr>
        <w:t>až do progresie ochorenia [</w:t>
      </w:r>
      <w:r w:rsidR="00D97B19">
        <w:rPr>
          <w:rFonts w:eastAsia="TimesNewRomanPSMT"/>
          <w:szCs w:val="22"/>
          <w:lang w:eastAsia="en-US"/>
        </w:rPr>
        <w:t>skupina</w:t>
      </w:r>
      <w:r w:rsidRPr="003A5C41">
        <w:rPr>
          <w:rFonts w:eastAsia="TimesNewRomanPSMT"/>
          <w:szCs w:val="22"/>
          <w:lang w:eastAsia="en-US"/>
        </w:rPr>
        <w:t xml:space="preserve"> Rd] alebo</w:t>
      </w:r>
      <w:r w:rsidR="00A150D7" w:rsidRPr="003A5C41">
        <w:rPr>
          <w:rFonts w:eastAsia="TimesNewRomanPSMT"/>
          <w:szCs w:val="22"/>
          <w:lang w:eastAsia="en-US"/>
        </w:rPr>
        <w:t xml:space="preserve"> </w:t>
      </w:r>
      <w:r w:rsidRPr="003A5C41">
        <w:rPr>
          <w:rFonts w:eastAsia="TimesNewRomanPSMT"/>
          <w:szCs w:val="22"/>
          <w:lang w:eastAsia="en-US"/>
        </w:rPr>
        <w:t xml:space="preserve">až do osemnástich 28-dňových cyklov [72 týždňov, </w:t>
      </w:r>
      <w:r w:rsidR="00D97B19">
        <w:rPr>
          <w:rFonts w:eastAsia="TimesNewRomanPSMT"/>
          <w:szCs w:val="22"/>
          <w:lang w:eastAsia="en-US"/>
        </w:rPr>
        <w:t>skupina</w:t>
      </w:r>
      <w:r w:rsidRPr="003A5C41">
        <w:rPr>
          <w:rFonts w:eastAsia="TimesNewRomanPSMT"/>
          <w:szCs w:val="22"/>
          <w:lang w:eastAsia="en-US"/>
        </w:rPr>
        <w:t xml:space="preserve"> Rd18]) s melfalánom, prednizónom a</w:t>
      </w:r>
      <w:r w:rsidR="00A150D7" w:rsidRPr="003A5C41">
        <w:rPr>
          <w:rFonts w:eastAsia="TimesNewRomanPSMT"/>
          <w:szCs w:val="22"/>
          <w:lang w:eastAsia="en-US"/>
        </w:rPr>
        <w:t xml:space="preserve"> </w:t>
      </w:r>
      <w:r w:rsidRPr="003A5C41">
        <w:rPr>
          <w:rFonts w:eastAsia="TimesNewRomanPSMT"/>
          <w:szCs w:val="22"/>
          <w:lang w:eastAsia="en-US"/>
        </w:rPr>
        <w:t>talidomidom (MPT) počas maximálne dvanástich 42-dňových cyklov (72 týždňov). Pacienti boli</w:t>
      </w:r>
      <w:r w:rsidR="00A150D7" w:rsidRPr="003A5C41">
        <w:rPr>
          <w:rFonts w:eastAsia="TimesNewRomanPSMT"/>
          <w:szCs w:val="22"/>
          <w:lang w:eastAsia="en-US"/>
        </w:rPr>
        <w:t xml:space="preserve"> </w:t>
      </w:r>
      <w:r w:rsidRPr="003A5C41">
        <w:rPr>
          <w:rFonts w:eastAsia="TimesNewRomanPSMT"/>
          <w:szCs w:val="22"/>
          <w:lang w:eastAsia="en-US"/>
        </w:rPr>
        <w:t xml:space="preserve">randomizovaní (1: 1: 1) do 1 z 3 </w:t>
      </w:r>
      <w:r w:rsidR="00AF53B6">
        <w:rPr>
          <w:rFonts w:eastAsia="TimesNewRomanPSMT"/>
          <w:szCs w:val="22"/>
          <w:lang w:eastAsia="en-US"/>
        </w:rPr>
        <w:t>skupín</w:t>
      </w:r>
      <w:r w:rsidRPr="003A5C41">
        <w:rPr>
          <w:rFonts w:eastAsia="TimesNewRomanPSMT"/>
          <w:szCs w:val="22"/>
          <w:lang w:eastAsia="en-US"/>
        </w:rPr>
        <w:t xml:space="preserve"> liečby. Pacienti boli rozdelení v náhodnom výbere podľa veku</w:t>
      </w:r>
      <w:r w:rsidR="00A150D7" w:rsidRPr="003A5C41">
        <w:rPr>
          <w:rFonts w:eastAsia="TimesNewRomanPSMT"/>
          <w:szCs w:val="22"/>
          <w:lang w:eastAsia="en-US"/>
        </w:rPr>
        <w:t xml:space="preserve"> </w:t>
      </w:r>
      <w:r w:rsidRPr="003A5C41">
        <w:rPr>
          <w:rFonts w:eastAsia="TimesNewRomanPSMT"/>
          <w:szCs w:val="22"/>
          <w:lang w:eastAsia="en-US"/>
        </w:rPr>
        <w:t>(≤75 oproti &gt;75 rokov), štádia ochorenia (ISS štádia I a II, oproti štádiu III), a krajiny.</w:t>
      </w:r>
    </w:p>
    <w:p w14:paraId="74BD6EEF" w14:textId="77777777" w:rsidR="00A150D7" w:rsidRPr="003A5C41" w:rsidRDefault="00A150D7" w:rsidP="00223122">
      <w:pPr>
        <w:autoSpaceDE w:val="0"/>
        <w:autoSpaceDN w:val="0"/>
        <w:adjustRightInd w:val="0"/>
        <w:ind w:left="0" w:firstLine="0"/>
        <w:rPr>
          <w:rFonts w:eastAsia="TimesNewRomanPSMT"/>
          <w:szCs w:val="22"/>
          <w:lang w:eastAsia="en-US"/>
        </w:rPr>
      </w:pPr>
    </w:p>
    <w:p w14:paraId="2255BF63" w14:textId="19F822E3" w:rsidR="00223122" w:rsidRPr="003A5C41" w:rsidRDefault="00223122" w:rsidP="00223122">
      <w:pPr>
        <w:autoSpaceDE w:val="0"/>
        <w:autoSpaceDN w:val="0"/>
        <w:adjustRightInd w:val="0"/>
        <w:ind w:left="0" w:firstLine="0"/>
        <w:rPr>
          <w:rFonts w:eastAsia="TimesNewRomanPSMT"/>
          <w:szCs w:val="22"/>
          <w:lang w:eastAsia="en-US"/>
        </w:rPr>
      </w:pPr>
      <w:r w:rsidRPr="003A5C41">
        <w:rPr>
          <w:rFonts w:eastAsia="TimesNewRomanPSMT"/>
          <w:szCs w:val="22"/>
          <w:lang w:eastAsia="en-US"/>
        </w:rPr>
        <w:t xml:space="preserve">Pacienti v </w:t>
      </w:r>
      <w:r w:rsidR="00DD1E44">
        <w:rPr>
          <w:rFonts w:eastAsia="TimesNewRomanPSMT"/>
          <w:szCs w:val="22"/>
          <w:lang w:eastAsia="en-US"/>
        </w:rPr>
        <w:t>skupinách</w:t>
      </w:r>
      <w:r w:rsidRPr="003A5C41">
        <w:rPr>
          <w:rFonts w:eastAsia="TimesNewRomanPSMT"/>
          <w:szCs w:val="22"/>
          <w:lang w:eastAsia="en-US"/>
        </w:rPr>
        <w:t xml:space="preserve"> Rd a Rd18 užívali lenalidomid 25</w:t>
      </w:r>
      <w:r w:rsidR="00A150D7" w:rsidRPr="003A5C41">
        <w:rPr>
          <w:rFonts w:eastAsia="TimesNewRomanPSMT"/>
          <w:szCs w:val="22"/>
          <w:lang w:eastAsia="en-US"/>
        </w:rPr>
        <w:t> </w:t>
      </w:r>
      <w:r w:rsidRPr="003A5C41">
        <w:rPr>
          <w:rFonts w:eastAsia="TimesNewRomanPSMT"/>
          <w:szCs w:val="22"/>
          <w:lang w:eastAsia="en-US"/>
        </w:rPr>
        <w:t>mg jedenkrát denne v 1. až 21. deň počas</w:t>
      </w:r>
    </w:p>
    <w:p w14:paraId="4E9BF67B" w14:textId="5F5F1BC1" w:rsidR="00223122" w:rsidRPr="003A5C41" w:rsidRDefault="00223122" w:rsidP="00223122">
      <w:pPr>
        <w:autoSpaceDE w:val="0"/>
        <w:autoSpaceDN w:val="0"/>
        <w:adjustRightInd w:val="0"/>
        <w:ind w:left="0" w:firstLine="0"/>
        <w:rPr>
          <w:rFonts w:eastAsia="TimesNewRomanPSMT"/>
          <w:szCs w:val="22"/>
          <w:lang w:eastAsia="en-US"/>
        </w:rPr>
      </w:pPr>
      <w:r w:rsidRPr="003A5C41">
        <w:rPr>
          <w:rFonts w:eastAsia="TimesNewRomanPSMT"/>
          <w:szCs w:val="22"/>
          <w:lang w:eastAsia="en-US"/>
        </w:rPr>
        <w:t xml:space="preserve">28-dňových cyklov podľa protokolu daných </w:t>
      </w:r>
      <w:r w:rsidR="00AF53B6">
        <w:rPr>
          <w:rFonts w:eastAsia="TimesNewRomanPSMT"/>
          <w:szCs w:val="22"/>
          <w:lang w:eastAsia="en-US"/>
        </w:rPr>
        <w:t>skupín</w:t>
      </w:r>
      <w:r w:rsidRPr="003A5C41">
        <w:rPr>
          <w:rFonts w:eastAsia="TimesNewRomanPSMT"/>
          <w:szCs w:val="22"/>
          <w:lang w:eastAsia="en-US"/>
        </w:rPr>
        <w:t>. Dexametazón 40</w:t>
      </w:r>
      <w:r w:rsidR="00A150D7" w:rsidRPr="003A5C41">
        <w:rPr>
          <w:rFonts w:eastAsia="TimesNewRomanPSMT"/>
          <w:szCs w:val="22"/>
          <w:lang w:eastAsia="en-US"/>
        </w:rPr>
        <w:t> </w:t>
      </w:r>
      <w:r w:rsidRPr="003A5C41">
        <w:rPr>
          <w:rFonts w:eastAsia="TimesNewRomanPSMT"/>
          <w:szCs w:val="22"/>
          <w:lang w:eastAsia="en-US"/>
        </w:rPr>
        <w:t>mg bol podávaný jedenkrát denne,</w:t>
      </w:r>
      <w:r w:rsidR="00A150D7" w:rsidRPr="003A5C41">
        <w:rPr>
          <w:rFonts w:eastAsia="TimesNewRomanPSMT"/>
          <w:szCs w:val="22"/>
          <w:lang w:eastAsia="en-US"/>
        </w:rPr>
        <w:t xml:space="preserve"> </w:t>
      </w:r>
      <w:r w:rsidRPr="003A5C41">
        <w:rPr>
          <w:rFonts w:eastAsia="TimesNewRomanPSMT"/>
          <w:szCs w:val="22"/>
          <w:lang w:eastAsia="en-US"/>
        </w:rPr>
        <w:t>v 1., 8., 15. a 22. deň počas každého 28-dňového cyklu. Začiatočná dávka a režim pre Rd a Rd18 boli</w:t>
      </w:r>
      <w:r w:rsidR="00A150D7" w:rsidRPr="003A5C41">
        <w:rPr>
          <w:rFonts w:eastAsia="TimesNewRomanPSMT"/>
          <w:szCs w:val="22"/>
          <w:lang w:eastAsia="en-US"/>
        </w:rPr>
        <w:t xml:space="preserve"> </w:t>
      </w:r>
      <w:r w:rsidRPr="003A5C41">
        <w:rPr>
          <w:rFonts w:eastAsia="TimesNewRomanPSMT"/>
          <w:szCs w:val="22"/>
          <w:lang w:eastAsia="en-US"/>
        </w:rPr>
        <w:t>upravené v závislosti od veku a funkcie obličiek (pozri časť 4.2). Pacienti &gt;75 rokov dostali dexametazón</w:t>
      </w:r>
      <w:r w:rsidR="00A150D7" w:rsidRPr="003A5C41">
        <w:rPr>
          <w:rFonts w:eastAsia="TimesNewRomanPSMT"/>
          <w:szCs w:val="22"/>
          <w:lang w:eastAsia="en-US"/>
        </w:rPr>
        <w:t xml:space="preserve"> </w:t>
      </w:r>
      <w:r w:rsidRPr="003A5C41">
        <w:rPr>
          <w:rFonts w:eastAsia="TimesNewRomanPSMT"/>
          <w:szCs w:val="22"/>
          <w:lang w:eastAsia="en-US"/>
        </w:rPr>
        <w:t>v dávke 20 mg jedenkrát denne v 1., 8., 15. a 22. deň počas každého 28-dňového cyklu. Všetci pacienti</w:t>
      </w:r>
      <w:r w:rsidR="00A150D7" w:rsidRPr="003A5C41">
        <w:rPr>
          <w:rFonts w:eastAsia="TimesNewRomanPSMT"/>
          <w:szCs w:val="22"/>
          <w:lang w:eastAsia="en-US"/>
        </w:rPr>
        <w:t xml:space="preserve"> </w:t>
      </w:r>
      <w:r w:rsidRPr="003A5C41">
        <w:rPr>
          <w:rFonts w:eastAsia="TimesNewRomanPSMT"/>
          <w:szCs w:val="22"/>
          <w:lang w:eastAsia="en-US"/>
        </w:rPr>
        <w:t>dostávali profylaktickú antikoagulačnú liečbu (nízko molekulárny heparín, warfarín, heparín, nízke dávky</w:t>
      </w:r>
      <w:r w:rsidR="00A150D7" w:rsidRPr="003A5C41">
        <w:rPr>
          <w:rFonts w:eastAsia="TimesNewRomanPSMT"/>
          <w:szCs w:val="22"/>
          <w:lang w:eastAsia="en-US"/>
        </w:rPr>
        <w:t xml:space="preserve"> </w:t>
      </w:r>
      <w:r w:rsidRPr="003A5C41">
        <w:rPr>
          <w:rFonts w:eastAsia="TimesNewRomanPSMT"/>
          <w:szCs w:val="22"/>
          <w:lang w:eastAsia="en-US"/>
        </w:rPr>
        <w:t>aspirínu) v priebehu štúdie.</w:t>
      </w:r>
    </w:p>
    <w:p w14:paraId="504BAB64" w14:textId="77777777" w:rsidR="00A150D7" w:rsidRPr="003A5C41" w:rsidRDefault="00A150D7" w:rsidP="00223122">
      <w:pPr>
        <w:autoSpaceDE w:val="0"/>
        <w:autoSpaceDN w:val="0"/>
        <w:adjustRightInd w:val="0"/>
        <w:ind w:left="0" w:firstLine="0"/>
        <w:rPr>
          <w:rFonts w:eastAsia="TimesNewRomanPSMT"/>
          <w:szCs w:val="22"/>
          <w:lang w:eastAsia="en-US"/>
        </w:rPr>
      </w:pPr>
    </w:p>
    <w:p w14:paraId="01FB0BF3" w14:textId="02C9570F" w:rsidR="00223122" w:rsidRPr="003A5C41" w:rsidRDefault="00223122" w:rsidP="00223122">
      <w:pPr>
        <w:autoSpaceDE w:val="0"/>
        <w:autoSpaceDN w:val="0"/>
        <w:adjustRightInd w:val="0"/>
        <w:ind w:left="0" w:firstLine="0"/>
        <w:rPr>
          <w:rFonts w:eastAsia="TimesNewRomanPSMT"/>
          <w:szCs w:val="22"/>
          <w:lang w:eastAsia="en-US"/>
        </w:rPr>
      </w:pPr>
      <w:r w:rsidRPr="003A5C41">
        <w:rPr>
          <w:rFonts w:eastAsia="TimesNewRomanPSMT"/>
          <w:szCs w:val="22"/>
          <w:lang w:eastAsia="en-US"/>
        </w:rPr>
        <w:t xml:space="preserve">Primárnym </w:t>
      </w:r>
      <w:r w:rsidR="00AF53B6">
        <w:rPr>
          <w:rFonts w:eastAsia="TimesNewRomanPSMT"/>
          <w:szCs w:val="22"/>
          <w:lang w:eastAsia="en-US"/>
        </w:rPr>
        <w:t xml:space="preserve">koncovým </w:t>
      </w:r>
      <w:r w:rsidRPr="003A5C41">
        <w:rPr>
          <w:rFonts w:eastAsia="TimesNewRomanPSMT"/>
          <w:szCs w:val="22"/>
          <w:lang w:eastAsia="en-US"/>
        </w:rPr>
        <w:t>ukazovateľom účinnosti v klinickej štúdii bolo prežívanie bez progresie (PFS). Celkovo</w:t>
      </w:r>
      <w:r w:rsidR="00A150D7" w:rsidRPr="003A5C41">
        <w:rPr>
          <w:rFonts w:eastAsia="TimesNewRomanPSMT"/>
          <w:szCs w:val="22"/>
          <w:lang w:eastAsia="en-US"/>
        </w:rPr>
        <w:t xml:space="preserve"> </w:t>
      </w:r>
      <w:r w:rsidRPr="003A5C41">
        <w:rPr>
          <w:rFonts w:eastAsia="TimesNewRomanPSMT"/>
          <w:szCs w:val="22"/>
          <w:lang w:eastAsia="en-US"/>
        </w:rPr>
        <w:t xml:space="preserve">1623 pacientov bolo zaradených do štúdie, s 535 pacientov randomizovaných do </w:t>
      </w:r>
      <w:r w:rsidR="00AF53B6">
        <w:rPr>
          <w:rFonts w:eastAsia="TimesNewRomanPSMT"/>
          <w:szCs w:val="22"/>
          <w:lang w:eastAsia="en-US"/>
        </w:rPr>
        <w:t>skupiny</w:t>
      </w:r>
      <w:r w:rsidRPr="003A5C41">
        <w:rPr>
          <w:rFonts w:eastAsia="TimesNewRomanPSMT"/>
          <w:szCs w:val="22"/>
          <w:lang w:eastAsia="en-US"/>
        </w:rPr>
        <w:t xml:space="preserve"> Rd,</w:t>
      </w:r>
      <w:r w:rsidR="00A150D7" w:rsidRPr="003A5C41">
        <w:rPr>
          <w:rFonts w:eastAsia="TimesNewRomanPSMT"/>
          <w:szCs w:val="22"/>
          <w:lang w:eastAsia="en-US"/>
        </w:rPr>
        <w:t xml:space="preserve"> </w:t>
      </w:r>
      <w:r w:rsidRPr="003A5C41">
        <w:rPr>
          <w:rFonts w:eastAsia="TimesNewRomanPSMT"/>
          <w:szCs w:val="22"/>
          <w:lang w:eastAsia="en-US"/>
        </w:rPr>
        <w:t xml:space="preserve">541 pacientov randomizovaných do </w:t>
      </w:r>
      <w:r w:rsidR="00AF53B6">
        <w:rPr>
          <w:rFonts w:eastAsia="TimesNewRomanPSMT"/>
          <w:szCs w:val="22"/>
          <w:lang w:eastAsia="en-US"/>
        </w:rPr>
        <w:t>skupiny</w:t>
      </w:r>
      <w:r w:rsidRPr="003A5C41">
        <w:rPr>
          <w:rFonts w:eastAsia="TimesNewRomanPSMT"/>
          <w:szCs w:val="22"/>
          <w:lang w:eastAsia="en-US"/>
        </w:rPr>
        <w:t xml:space="preserve"> Rd18 a 547 pacientov randomizovaných do </w:t>
      </w:r>
      <w:r w:rsidR="00AF53B6">
        <w:rPr>
          <w:rFonts w:eastAsia="TimesNewRomanPSMT"/>
          <w:szCs w:val="22"/>
          <w:lang w:eastAsia="en-US"/>
        </w:rPr>
        <w:t>skupiny</w:t>
      </w:r>
      <w:r w:rsidRPr="003A5C41">
        <w:rPr>
          <w:rFonts w:eastAsia="TimesNewRomanPSMT"/>
          <w:szCs w:val="22"/>
          <w:lang w:eastAsia="en-US"/>
        </w:rPr>
        <w:t xml:space="preserve"> MPT.</w:t>
      </w:r>
      <w:r w:rsidR="00A150D7" w:rsidRPr="003A5C41">
        <w:rPr>
          <w:rFonts w:eastAsia="TimesNewRomanPSMT"/>
          <w:szCs w:val="22"/>
          <w:lang w:eastAsia="en-US"/>
        </w:rPr>
        <w:t xml:space="preserve"> </w:t>
      </w:r>
      <w:r w:rsidRPr="003A5C41">
        <w:rPr>
          <w:rFonts w:eastAsia="TimesNewRomanPSMT"/>
          <w:szCs w:val="22"/>
          <w:lang w:eastAsia="en-US"/>
        </w:rPr>
        <w:t>Demografické údaje a východisková charakteristika súvisiaca s chorobou pacientov boli dobre vyvážené</w:t>
      </w:r>
      <w:r w:rsidR="00A150D7" w:rsidRPr="003A5C41">
        <w:rPr>
          <w:rFonts w:eastAsia="TimesNewRomanPSMT"/>
          <w:szCs w:val="22"/>
          <w:lang w:eastAsia="en-US"/>
        </w:rPr>
        <w:t xml:space="preserve"> </w:t>
      </w:r>
      <w:r w:rsidRPr="003A5C41">
        <w:rPr>
          <w:rFonts w:eastAsia="TimesNewRomanPSMT"/>
          <w:szCs w:val="22"/>
          <w:lang w:eastAsia="en-US"/>
        </w:rPr>
        <w:t xml:space="preserve">vo všetkých 3 </w:t>
      </w:r>
      <w:r w:rsidR="00DD1E44">
        <w:rPr>
          <w:rFonts w:eastAsia="TimesNewRomanPSMT"/>
          <w:szCs w:val="22"/>
          <w:lang w:eastAsia="en-US"/>
        </w:rPr>
        <w:t>skupinách</w:t>
      </w:r>
      <w:r w:rsidRPr="003A5C41">
        <w:rPr>
          <w:rFonts w:eastAsia="TimesNewRomanPSMT"/>
          <w:szCs w:val="22"/>
          <w:lang w:eastAsia="en-US"/>
        </w:rPr>
        <w:t>. Všeobecne platí, že účastníci štúdie mali pokročilé štádium ochorenia: z</w:t>
      </w:r>
      <w:r w:rsidR="00A150D7" w:rsidRPr="003A5C41">
        <w:rPr>
          <w:rFonts w:eastAsia="TimesNewRomanPSMT"/>
          <w:szCs w:val="22"/>
          <w:lang w:eastAsia="en-US"/>
        </w:rPr>
        <w:t xml:space="preserve"> </w:t>
      </w:r>
      <w:r w:rsidRPr="003A5C41">
        <w:rPr>
          <w:rFonts w:eastAsia="TimesNewRomanPSMT"/>
          <w:szCs w:val="22"/>
          <w:lang w:eastAsia="en-US"/>
        </w:rPr>
        <w:t>celkovej populácie v štúdii malo 41% ISS štádium III, 9% malo ťažkú renálnu insuficienciu (klírens</w:t>
      </w:r>
      <w:r w:rsidR="00A150D7" w:rsidRPr="003A5C41">
        <w:rPr>
          <w:rFonts w:eastAsia="TimesNewRomanPSMT"/>
          <w:szCs w:val="22"/>
          <w:lang w:eastAsia="en-US"/>
        </w:rPr>
        <w:t xml:space="preserve"> </w:t>
      </w:r>
      <w:r w:rsidRPr="003A5C41">
        <w:rPr>
          <w:rFonts w:eastAsia="TimesNewRomanPSMT"/>
          <w:szCs w:val="22"/>
          <w:lang w:eastAsia="en-US"/>
        </w:rPr>
        <w:t>kreatinínu [CLcr] &lt;30</w:t>
      </w:r>
      <w:r w:rsidR="00A150D7" w:rsidRPr="003A5C41">
        <w:rPr>
          <w:rFonts w:eastAsia="TimesNewRomanPSMT"/>
          <w:szCs w:val="22"/>
          <w:lang w:eastAsia="en-US"/>
        </w:rPr>
        <w:t> </w:t>
      </w:r>
      <w:r w:rsidRPr="003A5C41">
        <w:rPr>
          <w:rFonts w:eastAsia="TimesNewRomanPSMT"/>
          <w:szCs w:val="22"/>
          <w:lang w:eastAsia="en-US"/>
        </w:rPr>
        <w:t xml:space="preserve">ml/min). </w:t>
      </w:r>
      <w:r w:rsidR="00AF53B6" w:rsidRPr="00AF53B6">
        <w:rPr>
          <w:rFonts w:eastAsia="TimesNewRomanPSMT"/>
          <w:szCs w:val="22"/>
          <w:lang w:eastAsia="en-US"/>
        </w:rPr>
        <w:t xml:space="preserve">Priemerný vek v 3 skupinách </w:t>
      </w:r>
      <w:r w:rsidRPr="003A5C41">
        <w:rPr>
          <w:rFonts w:eastAsia="TimesNewRomanPSMT"/>
          <w:szCs w:val="22"/>
          <w:lang w:eastAsia="en-US"/>
        </w:rPr>
        <w:t>bol 73.</w:t>
      </w:r>
    </w:p>
    <w:p w14:paraId="17061CFB" w14:textId="77777777" w:rsidR="00A150D7" w:rsidRPr="003A5C41" w:rsidRDefault="00A150D7" w:rsidP="00223122">
      <w:pPr>
        <w:autoSpaceDE w:val="0"/>
        <w:autoSpaceDN w:val="0"/>
        <w:adjustRightInd w:val="0"/>
        <w:ind w:left="0" w:firstLine="0"/>
        <w:rPr>
          <w:rFonts w:eastAsia="TimesNewRomanPSMT"/>
          <w:szCs w:val="22"/>
          <w:lang w:eastAsia="en-US"/>
        </w:rPr>
      </w:pPr>
    </w:p>
    <w:p w14:paraId="60928966" w14:textId="6678A7A8" w:rsidR="00223122" w:rsidRPr="003A5C41" w:rsidRDefault="00223122" w:rsidP="00223122">
      <w:pPr>
        <w:autoSpaceDE w:val="0"/>
        <w:autoSpaceDN w:val="0"/>
        <w:adjustRightInd w:val="0"/>
        <w:ind w:left="0" w:firstLine="0"/>
        <w:rPr>
          <w:rFonts w:eastAsia="TimesNewRomanPSMT"/>
          <w:szCs w:val="22"/>
          <w:lang w:eastAsia="en-US"/>
        </w:rPr>
      </w:pPr>
      <w:r w:rsidRPr="003A5C41">
        <w:rPr>
          <w:rFonts w:eastAsia="TimesNewRomanPSMT"/>
          <w:szCs w:val="22"/>
          <w:lang w:eastAsia="en-US"/>
        </w:rPr>
        <w:t>V</w:t>
      </w:r>
      <w:r w:rsidR="00AF53B6">
        <w:rPr>
          <w:rFonts w:eastAsia="TimesNewRomanPSMT"/>
          <w:szCs w:val="22"/>
          <w:lang w:eastAsia="en-US"/>
        </w:rPr>
        <w:t>ýsledky</w:t>
      </w:r>
      <w:r w:rsidRPr="003A5C41">
        <w:rPr>
          <w:rFonts w:eastAsia="TimesNewRomanPSMT"/>
          <w:szCs w:val="22"/>
          <w:lang w:eastAsia="en-US"/>
        </w:rPr>
        <w:t xml:space="preserve"> aktualizovanej analýz</w:t>
      </w:r>
      <w:r w:rsidR="00AF53B6">
        <w:rPr>
          <w:rFonts w:eastAsia="TimesNewRomanPSMT"/>
          <w:szCs w:val="22"/>
          <w:lang w:eastAsia="en-US"/>
        </w:rPr>
        <w:t>y</w:t>
      </w:r>
      <w:r w:rsidRPr="003A5C41">
        <w:rPr>
          <w:rFonts w:eastAsia="TimesNewRomanPSMT"/>
          <w:szCs w:val="22"/>
          <w:lang w:eastAsia="en-US"/>
        </w:rPr>
        <w:t xml:space="preserve"> PFS, PFS2 a OS s uzávierkou pre údaje 3. marca 2014, kde bol medián</w:t>
      </w:r>
      <w:r w:rsidR="00A150D7" w:rsidRPr="003A5C41">
        <w:rPr>
          <w:rFonts w:eastAsia="TimesNewRomanPSMT"/>
          <w:szCs w:val="22"/>
          <w:lang w:eastAsia="en-US"/>
        </w:rPr>
        <w:t xml:space="preserve"> </w:t>
      </w:r>
      <w:r w:rsidRPr="003A5C41">
        <w:rPr>
          <w:rFonts w:eastAsia="TimesNewRomanPSMT"/>
          <w:szCs w:val="22"/>
          <w:lang w:eastAsia="en-US"/>
        </w:rPr>
        <w:t>sledovania všetkých prežívajúcich jedincov 45,5 mesiacov, sú výsledky štúdie uvedené v tabuľke 7:</w:t>
      </w:r>
    </w:p>
    <w:p w14:paraId="70ADF215" w14:textId="77777777" w:rsidR="00A150D7" w:rsidRPr="003A5C41" w:rsidRDefault="00A150D7" w:rsidP="00223122">
      <w:pPr>
        <w:autoSpaceDE w:val="0"/>
        <w:autoSpaceDN w:val="0"/>
        <w:adjustRightInd w:val="0"/>
        <w:ind w:left="0" w:firstLine="0"/>
        <w:rPr>
          <w:rFonts w:eastAsia="TimesNewRomanPSMT"/>
          <w:b/>
          <w:bCs/>
          <w:szCs w:val="22"/>
          <w:lang w:eastAsia="en-US"/>
        </w:rPr>
      </w:pPr>
    </w:p>
    <w:p w14:paraId="5C2CFC46" w14:textId="77777777" w:rsidR="00C75A8C" w:rsidRPr="003A5C41" w:rsidRDefault="00223122" w:rsidP="00223122">
      <w:pPr>
        <w:autoSpaceDE w:val="0"/>
        <w:autoSpaceDN w:val="0"/>
        <w:adjustRightInd w:val="0"/>
        <w:ind w:left="0" w:firstLine="0"/>
        <w:rPr>
          <w:rFonts w:eastAsia="TimesNewRomanPSMT"/>
          <w:szCs w:val="22"/>
          <w:lang w:eastAsia="en-US"/>
        </w:rPr>
      </w:pPr>
      <w:r w:rsidRPr="003A5C41">
        <w:rPr>
          <w:rFonts w:eastAsia="TimesNewRomanPSMT"/>
          <w:b/>
          <w:bCs/>
          <w:szCs w:val="22"/>
          <w:lang w:eastAsia="en-US"/>
        </w:rPr>
        <w:t>Tabuľka 7. Súhrn údajov o celkovej účinnosti</w:t>
      </w:r>
    </w:p>
    <w:tbl>
      <w:tblPr>
        <w:tblW w:w="9173" w:type="dxa"/>
        <w:tblInd w:w="113" w:type="dxa"/>
        <w:tblLayout w:type="fixed"/>
        <w:tblCellMar>
          <w:left w:w="0" w:type="dxa"/>
          <w:right w:w="0" w:type="dxa"/>
        </w:tblCellMar>
        <w:tblLook w:val="0000" w:firstRow="0" w:lastRow="0" w:firstColumn="0" w:lastColumn="0" w:noHBand="0" w:noVBand="0"/>
      </w:tblPr>
      <w:tblGrid>
        <w:gridCol w:w="4003"/>
        <w:gridCol w:w="1723"/>
        <w:gridCol w:w="1723"/>
        <w:gridCol w:w="1724"/>
      </w:tblGrid>
      <w:tr w:rsidR="00A150D7" w:rsidRPr="003A5C41" w14:paraId="5364418C" w14:textId="77777777" w:rsidTr="00A150D7">
        <w:trPr>
          <w:trHeight w:hRule="exact" w:val="538"/>
        </w:trPr>
        <w:tc>
          <w:tcPr>
            <w:tcW w:w="4003" w:type="dxa"/>
            <w:tcBorders>
              <w:top w:val="single" w:sz="11" w:space="0" w:color="000000"/>
              <w:left w:val="single" w:sz="7" w:space="0" w:color="000000"/>
              <w:bottom w:val="single" w:sz="11" w:space="0" w:color="000000"/>
              <w:right w:val="single" w:sz="7" w:space="0" w:color="000000"/>
            </w:tcBorders>
          </w:tcPr>
          <w:p w14:paraId="44D6F1F4" w14:textId="77777777" w:rsidR="00A150D7" w:rsidRPr="003A5C41" w:rsidRDefault="00A150D7"/>
        </w:tc>
        <w:tc>
          <w:tcPr>
            <w:tcW w:w="1723" w:type="dxa"/>
            <w:tcBorders>
              <w:top w:val="single" w:sz="11" w:space="0" w:color="000000"/>
              <w:left w:val="single" w:sz="7" w:space="0" w:color="000000"/>
              <w:bottom w:val="single" w:sz="11" w:space="0" w:color="000000"/>
              <w:right w:val="single" w:sz="7" w:space="0" w:color="000000"/>
            </w:tcBorders>
          </w:tcPr>
          <w:p w14:paraId="050D0665" w14:textId="77777777" w:rsidR="00A150D7" w:rsidRPr="003A5C41" w:rsidRDefault="00A150D7">
            <w:pPr>
              <w:pStyle w:val="TableParagraph"/>
              <w:kinsoku w:val="0"/>
              <w:overflowPunct w:val="0"/>
              <w:spacing w:before="1" w:line="253" w:lineRule="exact"/>
              <w:ind w:left="96" w:right="94"/>
              <w:jc w:val="center"/>
              <w:rPr>
                <w:b/>
                <w:bCs/>
                <w:sz w:val="22"/>
                <w:szCs w:val="22"/>
                <w:lang w:val="sk-SK"/>
              </w:rPr>
            </w:pPr>
            <w:r w:rsidRPr="003A5C41">
              <w:rPr>
                <w:b/>
                <w:bCs/>
                <w:sz w:val="22"/>
                <w:szCs w:val="22"/>
                <w:lang w:val="sk-SK"/>
              </w:rPr>
              <w:t>Rd</w:t>
            </w:r>
          </w:p>
          <w:p w14:paraId="5FBB019E" w14:textId="77777777" w:rsidR="00A150D7" w:rsidRPr="003A5C41" w:rsidRDefault="00A150D7" w:rsidP="00741D52">
            <w:pPr>
              <w:pStyle w:val="TableParagraph"/>
              <w:kinsoku w:val="0"/>
              <w:overflowPunct w:val="0"/>
              <w:spacing w:line="253" w:lineRule="exact"/>
              <w:ind w:left="96" w:right="92"/>
              <w:jc w:val="center"/>
              <w:rPr>
                <w:lang w:val="sk-SK"/>
              </w:rPr>
            </w:pPr>
            <w:r w:rsidRPr="003A5C41">
              <w:rPr>
                <w:b/>
                <w:bCs/>
                <w:sz w:val="22"/>
                <w:szCs w:val="22"/>
                <w:lang w:val="sk-SK"/>
              </w:rPr>
              <w:t>(N</w:t>
            </w:r>
            <w:r w:rsidR="00741D52">
              <w:rPr>
                <w:b/>
                <w:bCs/>
                <w:sz w:val="22"/>
                <w:szCs w:val="22"/>
                <w:lang w:val="sk-SK"/>
              </w:rPr>
              <w:t>=</w:t>
            </w:r>
            <w:r w:rsidRPr="003A5C41">
              <w:rPr>
                <w:b/>
                <w:bCs/>
                <w:sz w:val="22"/>
                <w:szCs w:val="22"/>
                <w:lang w:val="sk-SK"/>
              </w:rPr>
              <w:t>535)</w:t>
            </w:r>
          </w:p>
        </w:tc>
        <w:tc>
          <w:tcPr>
            <w:tcW w:w="1723" w:type="dxa"/>
            <w:tcBorders>
              <w:top w:val="single" w:sz="11" w:space="0" w:color="000000"/>
              <w:left w:val="single" w:sz="7" w:space="0" w:color="000000"/>
              <w:bottom w:val="single" w:sz="11" w:space="0" w:color="000000"/>
              <w:right w:val="single" w:sz="7" w:space="0" w:color="000000"/>
            </w:tcBorders>
          </w:tcPr>
          <w:p w14:paraId="2439FBB1" w14:textId="77777777" w:rsidR="00A150D7" w:rsidRPr="003A5C41" w:rsidRDefault="00A150D7" w:rsidP="00741D52">
            <w:pPr>
              <w:pStyle w:val="TableParagraph"/>
              <w:kinsoku w:val="0"/>
              <w:overflowPunct w:val="0"/>
              <w:spacing w:before="1"/>
              <w:ind w:left="420" w:right="393" w:firstLine="184"/>
              <w:rPr>
                <w:lang w:val="sk-SK"/>
              </w:rPr>
            </w:pPr>
            <w:r w:rsidRPr="003A5C41">
              <w:rPr>
                <w:b/>
                <w:bCs/>
                <w:sz w:val="22"/>
                <w:szCs w:val="22"/>
                <w:lang w:val="sk-SK"/>
              </w:rPr>
              <w:t>Rd18 (N=541)</w:t>
            </w:r>
          </w:p>
        </w:tc>
        <w:tc>
          <w:tcPr>
            <w:tcW w:w="1724" w:type="dxa"/>
            <w:tcBorders>
              <w:top w:val="single" w:sz="11" w:space="0" w:color="000000"/>
              <w:left w:val="single" w:sz="7" w:space="0" w:color="000000"/>
              <w:bottom w:val="single" w:sz="11" w:space="0" w:color="000000"/>
              <w:right w:val="single" w:sz="7" w:space="0" w:color="000000"/>
            </w:tcBorders>
          </w:tcPr>
          <w:p w14:paraId="5F79815A" w14:textId="77777777" w:rsidR="00A150D7" w:rsidRPr="003A5C41" w:rsidRDefault="00A150D7" w:rsidP="00741D52">
            <w:pPr>
              <w:pStyle w:val="TableParagraph"/>
              <w:kinsoku w:val="0"/>
              <w:overflowPunct w:val="0"/>
              <w:spacing w:before="1"/>
              <w:ind w:left="417" w:right="396" w:firstLine="189"/>
              <w:rPr>
                <w:lang w:val="sk-SK"/>
              </w:rPr>
            </w:pPr>
            <w:r w:rsidRPr="003A5C41">
              <w:rPr>
                <w:b/>
                <w:bCs/>
                <w:sz w:val="22"/>
                <w:szCs w:val="22"/>
                <w:lang w:val="sk-SK"/>
              </w:rPr>
              <w:t>MPT (N</w:t>
            </w:r>
            <w:r w:rsidR="00741D52">
              <w:rPr>
                <w:b/>
                <w:bCs/>
                <w:sz w:val="22"/>
                <w:szCs w:val="22"/>
                <w:lang w:val="sk-SK"/>
              </w:rPr>
              <w:t>=</w:t>
            </w:r>
            <w:r w:rsidRPr="003A5C41">
              <w:rPr>
                <w:b/>
                <w:bCs/>
                <w:sz w:val="22"/>
                <w:szCs w:val="22"/>
                <w:lang w:val="sk-SK"/>
              </w:rPr>
              <w:t>547)</w:t>
            </w:r>
          </w:p>
        </w:tc>
      </w:tr>
      <w:tr w:rsidR="00A150D7" w:rsidRPr="003A5C41" w14:paraId="59CC0636" w14:textId="77777777" w:rsidTr="00A150D7">
        <w:trPr>
          <w:trHeight w:hRule="exact" w:val="293"/>
        </w:trPr>
        <w:tc>
          <w:tcPr>
            <w:tcW w:w="4003" w:type="dxa"/>
            <w:tcBorders>
              <w:top w:val="single" w:sz="11" w:space="0" w:color="000000"/>
              <w:left w:val="single" w:sz="7" w:space="0" w:color="000000"/>
              <w:bottom w:val="single" w:sz="7" w:space="0" w:color="000000"/>
              <w:right w:val="single" w:sz="7" w:space="0" w:color="000000"/>
            </w:tcBorders>
          </w:tcPr>
          <w:p w14:paraId="48336842" w14:textId="77777777" w:rsidR="00A150D7" w:rsidRPr="003A5C41" w:rsidRDefault="00A150D7" w:rsidP="00BA7190">
            <w:pPr>
              <w:pStyle w:val="TableParagraph"/>
              <w:kinsoku w:val="0"/>
              <w:overflowPunct w:val="0"/>
              <w:ind w:left="98"/>
              <w:rPr>
                <w:lang w:val="sk-SK"/>
              </w:rPr>
            </w:pPr>
            <w:r w:rsidRPr="003A5C41">
              <w:rPr>
                <w:b/>
                <w:bCs/>
                <w:sz w:val="22"/>
                <w:szCs w:val="22"/>
                <w:lang w:val="sk-SK"/>
              </w:rPr>
              <w:t>PFS hodnotené skúšajúcim</w:t>
            </w:r>
            <w:r w:rsidR="00BA7190">
              <w:rPr>
                <w:b/>
                <w:bCs/>
                <w:sz w:val="22"/>
                <w:szCs w:val="22"/>
                <w:lang w:val="sk-SK"/>
              </w:rPr>
              <w:t>-</w:t>
            </w:r>
            <w:r w:rsidRPr="003A5C41">
              <w:rPr>
                <w:sz w:val="22"/>
                <w:szCs w:val="22"/>
                <w:lang w:val="sk-SK"/>
              </w:rPr>
              <w:t xml:space="preserve"> </w:t>
            </w:r>
            <w:r w:rsidRPr="003A5C41">
              <w:rPr>
                <w:b/>
                <w:bCs/>
                <w:sz w:val="22"/>
                <w:szCs w:val="22"/>
                <w:lang w:val="sk-SK"/>
              </w:rPr>
              <w:t>(mesiace)</w:t>
            </w:r>
          </w:p>
        </w:tc>
        <w:tc>
          <w:tcPr>
            <w:tcW w:w="1723" w:type="dxa"/>
            <w:tcBorders>
              <w:top w:val="single" w:sz="11" w:space="0" w:color="000000"/>
              <w:left w:val="single" w:sz="7" w:space="0" w:color="000000"/>
              <w:bottom w:val="single" w:sz="7" w:space="0" w:color="000000"/>
              <w:right w:val="single" w:sz="7" w:space="0" w:color="000000"/>
            </w:tcBorders>
          </w:tcPr>
          <w:p w14:paraId="773381FE" w14:textId="77777777" w:rsidR="00A150D7" w:rsidRPr="003A5C41" w:rsidRDefault="00A150D7"/>
        </w:tc>
        <w:tc>
          <w:tcPr>
            <w:tcW w:w="1723" w:type="dxa"/>
            <w:tcBorders>
              <w:top w:val="single" w:sz="11" w:space="0" w:color="000000"/>
              <w:left w:val="single" w:sz="7" w:space="0" w:color="000000"/>
              <w:bottom w:val="single" w:sz="7" w:space="0" w:color="000000"/>
              <w:right w:val="single" w:sz="7" w:space="0" w:color="000000"/>
            </w:tcBorders>
          </w:tcPr>
          <w:p w14:paraId="0E0EDB32" w14:textId="77777777" w:rsidR="00A150D7" w:rsidRPr="003A5C41" w:rsidRDefault="00A150D7"/>
        </w:tc>
        <w:tc>
          <w:tcPr>
            <w:tcW w:w="1724" w:type="dxa"/>
            <w:tcBorders>
              <w:top w:val="single" w:sz="11" w:space="0" w:color="000000"/>
              <w:left w:val="single" w:sz="7" w:space="0" w:color="000000"/>
              <w:bottom w:val="single" w:sz="7" w:space="0" w:color="000000"/>
              <w:right w:val="single" w:sz="7" w:space="0" w:color="000000"/>
            </w:tcBorders>
          </w:tcPr>
          <w:p w14:paraId="6AFBD29F" w14:textId="77777777" w:rsidR="00A150D7" w:rsidRPr="003A5C41" w:rsidRDefault="00A150D7"/>
        </w:tc>
      </w:tr>
      <w:tr w:rsidR="00A150D7" w:rsidRPr="003A5C41" w14:paraId="644A645D" w14:textId="77777777" w:rsidTr="00A150D7">
        <w:trPr>
          <w:trHeight w:hRule="exact" w:val="274"/>
        </w:trPr>
        <w:tc>
          <w:tcPr>
            <w:tcW w:w="4003" w:type="dxa"/>
            <w:tcBorders>
              <w:top w:val="single" w:sz="7" w:space="0" w:color="000000"/>
              <w:left w:val="single" w:sz="7" w:space="0" w:color="000000"/>
              <w:bottom w:val="single" w:sz="7" w:space="0" w:color="000000"/>
              <w:right w:val="single" w:sz="7" w:space="0" w:color="000000"/>
            </w:tcBorders>
          </w:tcPr>
          <w:p w14:paraId="0317278D" w14:textId="3DC4CBF1" w:rsidR="00A150D7" w:rsidRPr="003A5C41" w:rsidRDefault="00A150D7" w:rsidP="00765516">
            <w:pPr>
              <w:pStyle w:val="TableParagraph"/>
              <w:kinsoku w:val="0"/>
              <w:overflowPunct w:val="0"/>
              <w:spacing w:line="254" w:lineRule="exact"/>
              <w:ind w:left="278"/>
              <w:rPr>
                <w:lang w:val="sk-SK"/>
              </w:rPr>
            </w:pPr>
            <w:r w:rsidRPr="003A5C41">
              <w:rPr>
                <w:sz w:val="22"/>
                <w:szCs w:val="22"/>
                <w:lang w:val="sk-SK"/>
              </w:rPr>
              <w:t>Medián</w:t>
            </w:r>
            <w:r w:rsidRPr="003A5C41">
              <w:rPr>
                <w:position w:val="8"/>
                <w:sz w:val="14"/>
                <w:szCs w:val="14"/>
                <w:lang w:val="sk-SK"/>
              </w:rPr>
              <w:t xml:space="preserve">a </w:t>
            </w:r>
            <w:r w:rsidRPr="003A5C41">
              <w:rPr>
                <w:sz w:val="22"/>
                <w:szCs w:val="22"/>
                <w:lang w:val="sk-SK"/>
              </w:rPr>
              <w:t xml:space="preserve">PFS, mesiace (95% </w:t>
            </w:r>
            <w:r w:rsidR="00765516">
              <w:rPr>
                <w:sz w:val="22"/>
                <w:szCs w:val="22"/>
                <w:lang w:val="sk-SK"/>
              </w:rPr>
              <w:t>IS</w:t>
            </w:r>
            <w:r w:rsidRPr="003A5C41">
              <w:rPr>
                <w:sz w:val="22"/>
                <w:szCs w:val="22"/>
                <w:lang w:val="sk-SK"/>
              </w:rPr>
              <w:t>)</w:t>
            </w:r>
            <w:r w:rsidRPr="003A5C41">
              <w:rPr>
                <w:position w:val="8"/>
                <w:sz w:val="14"/>
                <w:szCs w:val="14"/>
                <w:lang w:val="sk-SK"/>
              </w:rPr>
              <w:t>b</w:t>
            </w:r>
          </w:p>
        </w:tc>
        <w:tc>
          <w:tcPr>
            <w:tcW w:w="1723" w:type="dxa"/>
            <w:tcBorders>
              <w:top w:val="single" w:sz="7" w:space="0" w:color="000000"/>
              <w:left w:val="single" w:sz="7" w:space="0" w:color="000000"/>
              <w:bottom w:val="single" w:sz="7" w:space="0" w:color="000000"/>
              <w:right w:val="single" w:sz="7" w:space="0" w:color="000000"/>
            </w:tcBorders>
          </w:tcPr>
          <w:p w14:paraId="2A550F36" w14:textId="77777777" w:rsidR="00A150D7" w:rsidRPr="003A5C41" w:rsidRDefault="00A150D7">
            <w:pPr>
              <w:pStyle w:val="TableParagraph"/>
              <w:kinsoku w:val="0"/>
              <w:overflowPunct w:val="0"/>
              <w:spacing w:before="1"/>
              <w:ind w:left="115"/>
              <w:rPr>
                <w:lang w:val="sk-SK"/>
              </w:rPr>
            </w:pPr>
            <w:r w:rsidRPr="003A5C41">
              <w:rPr>
                <w:sz w:val="22"/>
                <w:szCs w:val="22"/>
                <w:lang w:val="sk-SK"/>
              </w:rPr>
              <w:t>26,0 (20,7; 29,7)</w:t>
            </w:r>
          </w:p>
        </w:tc>
        <w:tc>
          <w:tcPr>
            <w:tcW w:w="1723" w:type="dxa"/>
            <w:tcBorders>
              <w:top w:val="single" w:sz="7" w:space="0" w:color="000000"/>
              <w:left w:val="single" w:sz="7" w:space="0" w:color="000000"/>
              <w:bottom w:val="single" w:sz="7" w:space="0" w:color="000000"/>
              <w:right w:val="single" w:sz="7" w:space="0" w:color="000000"/>
            </w:tcBorders>
          </w:tcPr>
          <w:p w14:paraId="1C354CEF" w14:textId="77777777" w:rsidR="00A150D7" w:rsidRPr="003A5C41" w:rsidRDefault="00A150D7">
            <w:pPr>
              <w:pStyle w:val="TableParagraph"/>
              <w:kinsoku w:val="0"/>
              <w:overflowPunct w:val="0"/>
              <w:spacing w:before="1"/>
              <w:ind w:left="115"/>
              <w:rPr>
                <w:lang w:val="sk-SK"/>
              </w:rPr>
            </w:pPr>
            <w:r w:rsidRPr="003A5C41">
              <w:rPr>
                <w:sz w:val="22"/>
                <w:szCs w:val="22"/>
                <w:lang w:val="sk-SK"/>
              </w:rPr>
              <w:t>21,0 (19,7; 22,4)</w:t>
            </w:r>
          </w:p>
        </w:tc>
        <w:tc>
          <w:tcPr>
            <w:tcW w:w="1724" w:type="dxa"/>
            <w:tcBorders>
              <w:top w:val="single" w:sz="7" w:space="0" w:color="000000"/>
              <w:left w:val="single" w:sz="7" w:space="0" w:color="000000"/>
              <w:bottom w:val="single" w:sz="7" w:space="0" w:color="000000"/>
              <w:right w:val="single" w:sz="7" w:space="0" w:color="000000"/>
            </w:tcBorders>
          </w:tcPr>
          <w:p w14:paraId="43D52DCA" w14:textId="77777777" w:rsidR="00A150D7" w:rsidRPr="003A5C41" w:rsidRDefault="00A150D7">
            <w:pPr>
              <w:pStyle w:val="TableParagraph"/>
              <w:kinsoku w:val="0"/>
              <w:overflowPunct w:val="0"/>
              <w:spacing w:before="1"/>
              <w:ind w:left="115"/>
              <w:rPr>
                <w:lang w:val="sk-SK"/>
              </w:rPr>
            </w:pPr>
            <w:r w:rsidRPr="003A5C41">
              <w:rPr>
                <w:sz w:val="22"/>
                <w:szCs w:val="22"/>
                <w:lang w:val="sk-SK"/>
              </w:rPr>
              <w:t>21,9 (19,8; 23,9)</w:t>
            </w:r>
          </w:p>
        </w:tc>
      </w:tr>
      <w:tr w:rsidR="00A150D7" w:rsidRPr="003A5C41" w14:paraId="2479DB92" w14:textId="77777777" w:rsidTr="00A150D7">
        <w:trPr>
          <w:trHeight w:hRule="exact" w:val="274"/>
        </w:trPr>
        <w:tc>
          <w:tcPr>
            <w:tcW w:w="4003" w:type="dxa"/>
            <w:tcBorders>
              <w:top w:val="single" w:sz="7" w:space="0" w:color="000000"/>
              <w:left w:val="single" w:sz="7" w:space="0" w:color="000000"/>
              <w:bottom w:val="single" w:sz="7" w:space="0" w:color="000000"/>
              <w:right w:val="single" w:sz="7" w:space="0" w:color="000000"/>
            </w:tcBorders>
          </w:tcPr>
          <w:p w14:paraId="14F936A7" w14:textId="41D0A335" w:rsidR="00A150D7" w:rsidRPr="003A5C41" w:rsidRDefault="00A150D7" w:rsidP="00765516">
            <w:pPr>
              <w:pStyle w:val="TableParagraph"/>
              <w:kinsoku w:val="0"/>
              <w:overflowPunct w:val="0"/>
              <w:spacing w:line="254" w:lineRule="exact"/>
              <w:ind w:left="278"/>
              <w:rPr>
                <w:lang w:val="sk-SK"/>
              </w:rPr>
            </w:pPr>
            <w:r w:rsidRPr="003A5C41">
              <w:rPr>
                <w:sz w:val="22"/>
                <w:szCs w:val="22"/>
                <w:lang w:val="sk-SK"/>
              </w:rPr>
              <w:t xml:space="preserve">HR [95% </w:t>
            </w:r>
            <w:r w:rsidR="00765516">
              <w:rPr>
                <w:sz w:val="22"/>
                <w:szCs w:val="22"/>
                <w:lang w:val="sk-SK"/>
              </w:rPr>
              <w:t>IS</w:t>
            </w:r>
            <w:r w:rsidRPr="003A5C41">
              <w:rPr>
                <w:sz w:val="22"/>
                <w:szCs w:val="22"/>
                <w:lang w:val="sk-SK"/>
              </w:rPr>
              <w:t>]</w:t>
            </w:r>
            <w:r w:rsidRPr="003A5C41">
              <w:rPr>
                <w:position w:val="8"/>
                <w:sz w:val="14"/>
                <w:szCs w:val="14"/>
                <w:lang w:val="sk-SK"/>
              </w:rPr>
              <w:t>c</w:t>
            </w:r>
            <w:r w:rsidRPr="003A5C41">
              <w:rPr>
                <w:sz w:val="22"/>
                <w:szCs w:val="22"/>
                <w:lang w:val="sk-SK"/>
              </w:rPr>
              <w:t>; p-hodnota</w:t>
            </w:r>
            <w:r w:rsidRPr="003A5C41">
              <w:rPr>
                <w:position w:val="8"/>
                <w:sz w:val="14"/>
                <w:szCs w:val="14"/>
                <w:lang w:val="sk-SK"/>
              </w:rPr>
              <w:t>d</w:t>
            </w:r>
          </w:p>
        </w:tc>
        <w:tc>
          <w:tcPr>
            <w:tcW w:w="1723" w:type="dxa"/>
            <w:tcBorders>
              <w:top w:val="single" w:sz="7" w:space="0" w:color="000000"/>
              <w:left w:val="single" w:sz="7" w:space="0" w:color="000000"/>
              <w:bottom w:val="single" w:sz="7" w:space="0" w:color="000000"/>
              <w:right w:val="single" w:sz="7" w:space="0" w:color="000000"/>
            </w:tcBorders>
          </w:tcPr>
          <w:p w14:paraId="37B2699A" w14:textId="77777777" w:rsidR="00A150D7" w:rsidRPr="003A5C41" w:rsidRDefault="00A150D7"/>
        </w:tc>
        <w:tc>
          <w:tcPr>
            <w:tcW w:w="1723" w:type="dxa"/>
            <w:tcBorders>
              <w:top w:val="single" w:sz="7" w:space="0" w:color="000000"/>
              <w:left w:val="single" w:sz="7" w:space="0" w:color="000000"/>
              <w:bottom w:val="single" w:sz="7" w:space="0" w:color="000000"/>
              <w:right w:val="single" w:sz="7" w:space="0" w:color="000000"/>
            </w:tcBorders>
          </w:tcPr>
          <w:p w14:paraId="528A16FB" w14:textId="77777777" w:rsidR="00A150D7" w:rsidRPr="003A5C41" w:rsidRDefault="00A150D7"/>
        </w:tc>
        <w:tc>
          <w:tcPr>
            <w:tcW w:w="1724" w:type="dxa"/>
            <w:tcBorders>
              <w:top w:val="single" w:sz="7" w:space="0" w:color="000000"/>
              <w:left w:val="single" w:sz="7" w:space="0" w:color="000000"/>
              <w:bottom w:val="single" w:sz="7" w:space="0" w:color="000000"/>
              <w:right w:val="single" w:sz="7" w:space="0" w:color="000000"/>
            </w:tcBorders>
          </w:tcPr>
          <w:p w14:paraId="16A07374" w14:textId="77777777" w:rsidR="00A150D7" w:rsidRPr="003A5C41" w:rsidRDefault="00A150D7"/>
        </w:tc>
      </w:tr>
      <w:tr w:rsidR="00A150D7" w:rsidRPr="003A5C41" w14:paraId="50F797EC" w14:textId="77777777" w:rsidTr="00A150D7">
        <w:trPr>
          <w:trHeight w:hRule="exact" w:val="269"/>
        </w:trPr>
        <w:tc>
          <w:tcPr>
            <w:tcW w:w="4003" w:type="dxa"/>
            <w:tcBorders>
              <w:top w:val="single" w:sz="11" w:space="0" w:color="000000"/>
              <w:left w:val="single" w:sz="7" w:space="0" w:color="000000"/>
              <w:bottom w:val="single" w:sz="7" w:space="0" w:color="000000"/>
              <w:right w:val="single" w:sz="7" w:space="0" w:color="000000"/>
            </w:tcBorders>
          </w:tcPr>
          <w:p w14:paraId="71E92CE1" w14:textId="77777777" w:rsidR="00A150D7" w:rsidRPr="003A5C41" w:rsidRDefault="00A150D7">
            <w:pPr>
              <w:pStyle w:val="TableParagraph"/>
              <w:kinsoku w:val="0"/>
              <w:overflowPunct w:val="0"/>
              <w:spacing w:line="244" w:lineRule="exact"/>
              <w:ind w:left="549"/>
              <w:rPr>
                <w:lang w:val="sk-SK"/>
              </w:rPr>
            </w:pPr>
            <w:r w:rsidRPr="003A5C41">
              <w:rPr>
                <w:sz w:val="22"/>
                <w:szCs w:val="22"/>
                <w:lang w:val="sk-SK"/>
              </w:rPr>
              <w:t>Rd vs MPT</w:t>
            </w:r>
          </w:p>
        </w:tc>
        <w:tc>
          <w:tcPr>
            <w:tcW w:w="5170" w:type="dxa"/>
            <w:gridSpan w:val="3"/>
            <w:tcBorders>
              <w:top w:val="single" w:sz="11" w:space="0" w:color="000000"/>
              <w:left w:val="single" w:sz="7" w:space="0" w:color="000000"/>
              <w:bottom w:val="single" w:sz="7" w:space="0" w:color="000000"/>
              <w:right w:val="single" w:sz="7" w:space="0" w:color="000000"/>
            </w:tcBorders>
          </w:tcPr>
          <w:p w14:paraId="196BA076" w14:textId="77777777" w:rsidR="00A150D7" w:rsidRPr="003A5C41" w:rsidRDefault="00A150D7">
            <w:pPr>
              <w:pStyle w:val="TableParagraph"/>
              <w:kinsoku w:val="0"/>
              <w:overflowPunct w:val="0"/>
              <w:spacing w:line="244" w:lineRule="exact"/>
              <w:ind w:left="1471"/>
              <w:rPr>
                <w:lang w:val="sk-SK"/>
              </w:rPr>
            </w:pPr>
            <w:r w:rsidRPr="003A5C41">
              <w:rPr>
                <w:sz w:val="22"/>
                <w:szCs w:val="22"/>
                <w:lang w:val="sk-SK"/>
              </w:rPr>
              <w:t>0,69 (0,59; 0,80); &lt;0,001</w:t>
            </w:r>
          </w:p>
        </w:tc>
      </w:tr>
      <w:tr w:rsidR="00A150D7" w:rsidRPr="003A5C41" w14:paraId="0D39C1B8" w14:textId="77777777" w:rsidTr="00A150D7">
        <w:trPr>
          <w:trHeight w:hRule="exact" w:val="274"/>
        </w:trPr>
        <w:tc>
          <w:tcPr>
            <w:tcW w:w="4003" w:type="dxa"/>
            <w:tcBorders>
              <w:top w:val="single" w:sz="7" w:space="0" w:color="000000"/>
              <w:left w:val="single" w:sz="7" w:space="0" w:color="000000"/>
              <w:bottom w:val="single" w:sz="7" w:space="0" w:color="000000"/>
              <w:right w:val="single" w:sz="7" w:space="0" w:color="000000"/>
            </w:tcBorders>
          </w:tcPr>
          <w:p w14:paraId="458C1665" w14:textId="77777777" w:rsidR="00A150D7" w:rsidRPr="003A5C41" w:rsidRDefault="00A150D7">
            <w:pPr>
              <w:pStyle w:val="TableParagraph"/>
              <w:kinsoku w:val="0"/>
              <w:overflowPunct w:val="0"/>
              <w:ind w:left="549"/>
              <w:rPr>
                <w:lang w:val="sk-SK"/>
              </w:rPr>
            </w:pPr>
            <w:r w:rsidRPr="003A5C41">
              <w:rPr>
                <w:sz w:val="22"/>
                <w:szCs w:val="22"/>
                <w:lang w:val="sk-SK"/>
              </w:rPr>
              <w:t>Rd vs Rd18</w:t>
            </w:r>
          </w:p>
        </w:tc>
        <w:tc>
          <w:tcPr>
            <w:tcW w:w="5170" w:type="dxa"/>
            <w:gridSpan w:val="3"/>
            <w:tcBorders>
              <w:top w:val="single" w:sz="7" w:space="0" w:color="000000"/>
              <w:left w:val="single" w:sz="7" w:space="0" w:color="000000"/>
              <w:bottom w:val="single" w:sz="7" w:space="0" w:color="000000"/>
              <w:right w:val="single" w:sz="7" w:space="0" w:color="000000"/>
            </w:tcBorders>
          </w:tcPr>
          <w:p w14:paraId="2A43FC7B" w14:textId="77777777" w:rsidR="00A150D7" w:rsidRPr="003A5C41" w:rsidRDefault="00A150D7">
            <w:pPr>
              <w:pStyle w:val="TableParagraph"/>
              <w:kinsoku w:val="0"/>
              <w:overflowPunct w:val="0"/>
              <w:ind w:left="1471"/>
              <w:rPr>
                <w:lang w:val="sk-SK"/>
              </w:rPr>
            </w:pPr>
            <w:r w:rsidRPr="003A5C41">
              <w:rPr>
                <w:sz w:val="22"/>
                <w:szCs w:val="22"/>
                <w:lang w:val="sk-SK"/>
              </w:rPr>
              <w:t>0,71 (0,61; 0,83); &lt;0,001</w:t>
            </w:r>
          </w:p>
        </w:tc>
      </w:tr>
      <w:tr w:rsidR="00A150D7" w:rsidRPr="003A5C41" w14:paraId="7CF66F78" w14:textId="77777777" w:rsidTr="00A150D7">
        <w:trPr>
          <w:trHeight w:hRule="exact" w:val="274"/>
        </w:trPr>
        <w:tc>
          <w:tcPr>
            <w:tcW w:w="4003" w:type="dxa"/>
            <w:tcBorders>
              <w:top w:val="single" w:sz="7" w:space="0" w:color="000000"/>
              <w:left w:val="single" w:sz="7" w:space="0" w:color="000000"/>
              <w:bottom w:val="single" w:sz="7" w:space="0" w:color="000000"/>
              <w:right w:val="single" w:sz="7" w:space="0" w:color="000000"/>
            </w:tcBorders>
          </w:tcPr>
          <w:p w14:paraId="7BC96ACF" w14:textId="77777777" w:rsidR="00A150D7" w:rsidRPr="003A5C41" w:rsidRDefault="00A150D7">
            <w:pPr>
              <w:pStyle w:val="TableParagraph"/>
              <w:kinsoku w:val="0"/>
              <w:overflowPunct w:val="0"/>
              <w:ind w:left="549"/>
              <w:rPr>
                <w:lang w:val="sk-SK"/>
              </w:rPr>
            </w:pPr>
            <w:r w:rsidRPr="003A5C41">
              <w:rPr>
                <w:sz w:val="22"/>
                <w:szCs w:val="22"/>
                <w:lang w:val="sk-SK"/>
              </w:rPr>
              <w:t>Rd18 vs MPT</w:t>
            </w:r>
          </w:p>
        </w:tc>
        <w:tc>
          <w:tcPr>
            <w:tcW w:w="5170" w:type="dxa"/>
            <w:gridSpan w:val="3"/>
            <w:tcBorders>
              <w:top w:val="single" w:sz="7" w:space="0" w:color="000000"/>
              <w:left w:val="single" w:sz="7" w:space="0" w:color="000000"/>
              <w:bottom w:val="single" w:sz="7" w:space="0" w:color="000000"/>
              <w:right w:val="single" w:sz="7" w:space="0" w:color="000000"/>
            </w:tcBorders>
          </w:tcPr>
          <w:p w14:paraId="79138586" w14:textId="77777777" w:rsidR="00A150D7" w:rsidRPr="003A5C41" w:rsidRDefault="00A150D7">
            <w:pPr>
              <w:pStyle w:val="TableParagraph"/>
              <w:kinsoku w:val="0"/>
              <w:overflowPunct w:val="0"/>
              <w:ind w:left="1536"/>
              <w:rPr>
                <w:lang w:val="sk-SK"/>
              </w:rPr>
            </w:pPr>
            <w:r w:rsidRPr="003A5C41">
              <w:rPr>
                <w:sz w:val="22"/>
                <w:szCs w:val="22"/>
                <w:lang w:val="sk-SK"/>
              </w:rPr>
              <w:t>0,99 (0,86; 1,14); 0,866</w:t>
            </w:r>
          </w:p>
        </w:tc>
      </w:tr>
      <w:tr w:rsidR="00A150D7" w:rsidRPr="003A5C41" w14:paraId="5EFA9AA4" w14:textId="77777777" w:rsidTr="00A150D7">
        <w:trPr>
          <w:trHeight w:hRule="exact" w:val="300"/>
        </w:trPr>
        <w:tc>
          <w:tcPr>
            <w:tcW w:w="4003" w:type="dxa"/>
            <w:tcBorders>
              <w:top w:val="single" w:sz="7" w:space="0" w:color="000000"/>
              <w:left w:val="single" w:sz="7" w:space="0" w:color="000000"/>
              <w:bottom w:val="single" w:sz="4" w:space="0" w:color="000000"/>
              <w:right w:val="single" w:sz="7" w:space="0" w:color="000000"/>
            </w:tcBorders>
          </w:tcPr>
          <w:p w14:paraId="151F504C" w14:textId="7C120D1B" w:rsidR="00A150D7" w:rsidRPr="003A5C41" w:rsidRDefault="00A150D7">
            <w:pPr>
              <w:pStyle w:val="TableParagraph"/>
              <w:kinsoku w:val="0"/>
              <w:overflowPunct w:val="0"/>
              <w:spacing w:line="269" w:lineRule="exact"/>
              <w:ind w:left="98"/>
              <w:rPr>
                <w:lang w:val="sk-SK"/>
              </w:rPr>
            </w:pPr>
            <w:r w:rsidRPr="003A5C41">
              <w:rPr>
                <w:b/>
                <w:bCs/>
                <w:sz w:val="22"/>
                <w:szCs w:val="22"/>
                <w:lang w:val="sk-SK"/>
              </w:rPr>
              <w:t>PFS2</w:t>
            </w:r>
            <w:r w:rsidRPr="003A5C41">
              <w:rPr>
                <w:b/>
                <w:bCs/>
                <w:position w:val="8"/>
                <w:sz w:val="14"/>
                <w:szCs w:val="14"/>
                <w:lang w:val="sk-SK"/>
              </w:rPr>
              <w:t xml:space="preserve">e </w:t>
            </w:r>
            <w:r w:rsidR="002A4197">
              <w:rPr>
                <w:sz w:val="22"/>
                <w:szCs w:val="22"/>
                <w:lang w:val="sk-SK"/>
              </w:rPr>
              <w:t xml:space="preserve"> </w:t>
            </w:r>
            <w:r w:rsidR="00AF53B6">
              <w:rPr>
                <w:sz w:val="22"/>
                <w:szCs w:val="22"/>
                <w:lang w:val="sk-SK"/>
              </w:rPr>
              <w:t>-</w:t>
            </w:r>
            <w:r w:rsidRPr="003A5C41">
              <w:rPr>
                <w:sz w:val="22"/>
                <w:szCs w:val="22"/>
                <w:lang w:val="sk-SK"/>
              </w:rPr>
              <w:t xml:space="preserve"> </w:t>
            </w:r>
            <w:r w:rsidRPr="003A5C41">
              <w:rPr>
                <w:b/>
                <w:bCs/>
                <w:sz w:val="22"/>
                <w:szCs w:val="22"/>
                <w:lang w:val="sk-SK"/>
              </w:rPr>
              <w:t>(mesiace)</w:t>
            </w:r>
          </w:p>
        </w:tc>
        <w:tc>
          <w:tcPr>
            <w:tcW w:w="1723" w:type="dxa"/>
            <w:tcBorders>
              <w:top w:val="single" w:sz="7" w:space="0" w:color="000000"/>
              <w:left w:val="single" w:sz="7" w:space="0" w:color="000000"/>
              <w:bottom w:val="single" w:sz="4" w:space="0" w:color="000000"/>
              <w:right w:val="single" w:sz="7" w:space="0" w:color="000000"/>
            </w:tcBorders>
          </w:tcPr>
          <w:p w14:paraId="6D583744" w14:textId="77777777" w:rsidR="00A150D7" w:rsidRPr="003A5C41" w:rsidRDefault="00A150D7"/>
        </w:tc>
        <w:tc>
          <w:tcPr>
            <w:tcW w:w="1723" w:type="dxa"/>
            <w:tcBorders>
              <w:top w:val="single" w:sz="7" w:space="0" w:color="000000"/>
              <w:left w:val="single" w:sz="7" w:space="0" w:color="000000"/>
              <w:bottom w:val="single" w:sz="4" w:space="0" w:color="000000"/>
              <w:right w:val="single" w:sz="7" w:space="0" w:color="000000"/>
            </w:tcBorders>
          </w:tcPr>
          <w:p w14:paraId="6C4D2CBA" w14:textId="77777777" w:rsidR="00A150D7" w:rsidRPr="003A5C41" w:rsidRDefault="00A150D7"/>
        </w:tc>
        <w:tc>
          <w:tcPr>
            <w:tcW w:w="1724" w:type="dxa"/>
            <w:tcBorders>
              <w:top w:val="single" w:sz="7" w:space="0" w:color="000000"/>
              <w:left w:val="single" w:sz="7" w:space="0" w:color="000000"/>
              <w:bottom w:val="single" w:sz="4" w:space="0" w:color="000000"/>
              <w:right w:val="single" w:sz="7" w:space="0" w:color="000000"/>
            </w:tcBorders>
          </w:tcPr>
          <w:p w14:paraId="67B9D3AE" w14:textId="77777777" w:rsidR="00A150D7" w:rsidRPr="003A5C41" w:rsidRDefault="00A150D7"/>
        </w:tc>
      </w:tr>
      <w:tr w:rsidR="00A150D7" w:rsidRPr="003A5C41" w14:paraId="210D90CF" w14:textId="77777777" w:rsidTr="00A150D7">
        <w:trPr>
          <w:trHeight w:hRule="exact" w:val="315"/>
        </w:trPr>
        <w:tc>
          <w:tcPr>
            <w:tcW w:w="4003" w:type="dxa"/>
            <w:tcBorders>
              <w:top w:val="single" w:sz="4" w:space="0" w:color="000000"/>
              <w:left w:val="single" w:sz="7" w:space="0" w:color="000000"/>
              <w:bottom w:val="single" w:sz="3" w:space="0" w:color="000000"/>
              <w:right w:val="single" w:sz="7" w:space="0" w:color="000000"/>
            </w:tcBorders>
          </w:tcPr>
          <w:p w14:paraId="4F0B7D03" w14:textId="5B8DB161" w:rsidR="00A150D7" w:rsidRPr="003A5C41" w:rsidRDefault="00A150D7" w:rsidP="00765516">
            <w:pPr>
              <w:pStyle w:val="TableParagraph"/>
              <w:kinsoku w:val="0"/>
              <w:overflowPunct w:val="0"/>
              <w:ind w:left="98"/>
              <w:rPr>
                <w:lang w:val="sk-SK"/>
              </w:rPr>
            </w:pPr>
            <w:r w:rsidRPr="003A5C41">
              <w:rPr>
                <w:sz w:val="22"/>
                <w:szCs w:val="22"/>
                <w:lang w:val="sk-SK"/>
              </w:rPr>
              <w:t>Medián</w:t>
            </w:r>
            <w:r w:rsidRPr="003A5C41">
              <w:rPr>
                <w:position w:val="8"/>
                <w:sz w:val="14"/>
                <w:szCs w:val="14"/>
                <w:lang w:val="sk-SK"/>
              </w:rPr>
              <w:t xml:space="preserve">a </w:t>
            </w:r>
            <w:r w:rsidRPr="003A5C41">
              <w:rPr>
                <w:sz w:val="22"/>
                <w:szCs w:val="22"/>
                <w:lang w:val="sk-SK"/>
              </w:rPr>
              <w:t xml:space="preserve">PFS2, mesiace (95% </w:t>
            </w:r>
            <w:r w:rsidR="00765516">
              <w:rPr>
                <w:sz w:val="22"/>
                <w:szCs w:val="22"/>
                <w:lang w:val="sk-SK"/>
              </w:rPr>
              <w:t>IS</w:t>
            </w:r>
            <w:r w:rsidRPr="003A5C41">
              <w:rPr>
                <w:sz w:val="22"/>
                <w:szCs w:val="22"/>
                <w:lang w:val="sk-SK"/>
              </w:rPr>
              <w:t>)</w:t>
            </w:r>
            <w:r w:rsidRPr="003A5C41">
              <w:rPr>
                <w:position w:val="8"/>
                <w:sz w:val="14"/>
                <w:szCs w:val="14"/>
                <w:lang w:val="sk-SK"/>
              </w:rPr>
              <w:t>b</w:t>
            </w:r>
          </w:p>
        </w:tc>
        <w:tc>
          <w:tcPr>
            <w:tcW w:w="1723" w:type="dxa"/>
            <w:tcBorders>
              <w:top w:val="single" w:sz="4" w:space="0" w:color="000000"/>
              <w:left w:val="single" w:sz="7" w:space="0" w:color="000000"/>
              <w:bottom w:val="single" w:sz="3" w:space="0" w:color="000000"/>
              <w:right w:val="single" w:sz="7" w:space="0" w:color="000000"/>
            </w:tcBorders>
          </w:tcPr>
          <w:p w14:paraId="06C7CA77" w14:textId="77777777" w:rsidR="00A150D7" w:rsidRPr="003A5C41" w:rsidRDefault="00A150D7">
            <w:pPr>
              <w:pStyle w:val="TableParagraph"/>
              <w:kinsoku w:val="0"/>
              <w:overflowPunct w:val="0"/>
              <w:ind w:right="94"/>
              <w:jc w:val="center"/>
              <w:rPr>
                <w:lang w:val="sk-SK"/>
              </w:rPr>
            </w:pPr>
            <w:r w:rsidRPr="003A5C41">
              <w:rPr>
                <w:sz w:val="22"/>
                <w:szCs w:val="22"/>
                <w:lang w:val="sk-SK"/>
              </w:rPr>
              <w:t>42,9 (38,1; 47,4)</w:t>
            </w:r>
          </w:p>
        </w:tc>
        <w:tc>
          <w:tcPr>
            <w:tcW w:w="1723" w:type="dxa"/>
            <w:tcBorders>
              <w:top w:val="single" w:sz="4" w:space="0" w:color="000000"/>
              <w:left w:val="single" w:sz="7" w:space="0" w:color="000000"/>
              <w:bottom w:val="single" w:sz="3" w:space="0" w:color="000000"/>
              <w:right w:val="single" w:sz="7" w:space="0" w:color="000000"/>
            </w:tcBorders>
          </w:tcPr>
          <w:p w14:paraId="39AED9B3" w14:textId="77777777" w:rsidR="00A150D7" w:rsidRPr="003A5C41" w:rsidRDefault="00A150D7">
            <w:pPr>
              <w:pStyle w:val="TableParagraph"/>
              <w:kinsoku w:val="0"/>
              <w:overflowPunct w:val="0"/>
              <w:ind w:right="111"/>
              <w:jc w:val="right"/>
              <w:rPr>
                <w:lang w:val="sk-SK"/>
              </w:rPr>
            </w:pPr>
            <w:r w:rsidRPr="003A5C41">
              <w:rPr>
                <w:sz w:val="22"/>
                <w:szCs w:val="22"/>
                <w:lang w:val="sk-SK"/>
              </w:rPr>
              <w:t>40,0 (36,2; 44,2)</w:t>
            </w:r>
          </w:p>
        </w:tc>
        <w:tc>
          <w:tcPr>
            <w:tcW w:w="1724" w:type="dxa"/>
            <w:tcBorders>
              <w:top w:val="single" w:sz="4" w:space="0" w:color="000000"/>
              <w:left w:val="single" w:sz="7" w:space="0" w:color="000000"/>
              <w:bottom w:val="single" w:sz="3" w:space="0" w:color="000000"/>
              <w:right w:val="single" w:sz="7" w:space="0" w:color="000000"/>
            </w:tcBorders>
          </w:tcPr>
          <w:p w14:paraId="03E270C9" w14:textId="77777777" w:rsidR="00A150D7" w:rsidRPr="003A5C41" w:rsidRDefault="00A150D7">
            <w:pPr>
              <w:pStyle w:val="TableParagraph"/>
              <w:kinsoku w:val="0"/>
              <w:overflowPunct w:val="0"/>
              <w:ind w:left="96" w:right="94"/>
              <w:jc w:val="center"/>
              <w:rPr>
                <w:lang w:val="sk-SK"/>
              </w:rPr>
            </w:pPr>
            <w:r w:rsidRPr="003A5C41">
              <w:rPr>
                <w:sz w:val="22"/>
                <w:szCs w:val="22"/>
                <w:lang w:val="sk-SK"/>
              </w:rPr>
              <w:t>35,0 (30,4; 37,8)</w:t>
            </w:r>
          </w:p>
        </w:tc>
      </w:tr>
      <w:tr w:rsidR="00A150D7" w:rsidRPr="003A5C41" w14:paraId="0200D6D0" w14:textId="77777777" w:rsidTr="00A150D7">
        <w:trPr>
          <w:trHeight w:hRule="exact" w:val="341"/>
        </w:trPr>
        <w:tc>
          <w:tcPr>
            <w:tcW w:w="4003" w:type="dxa"/>
            <w:tcBorders>
              <w:top w:val="single" w:sz="3" w:space="0" w:color="000000"/>
              <w:left w:val="single" w:sz="7" w:space="0" w:color="000000"/>
              <w:bottom w:val="single" w:sz="4" w:space="0" w:color="000000"/>
              <w:right w:val="single" w:sz="7" w:space="0" w:color="000000"/>
            </w:tcBorders>
          </w:tcPr>
          <w:p w14:paraId="20791B1C" w14:textId="12C6F3C0" w:rsidR="00A150D7" w:rsidRPr="003A5C41" w:rsidRDefault="00A150D7" w:rsidP="00765516">
            <w:pPr>
              <w:pStyle w:val="TableParagraph"/>
              <w:kinsoku w:val="0"/>
              <w:overflowPunct w:val="0"/>
              <w:ind w:left="98"/>
              <w:rPr>
                <w:lang w:val="sk-SK"/>
              </w:rPr>
            </w:pPr>
            <w:r w:rsidRPr="003A5C41">
              <w:rPr>
                <w:sz w:val="22"/>
                <w:szCs w:val="22"/>
                <w:lang w:val="sk-SK"/>
              </w:rPr>
              <w:t xml:space="preserve">HR [95% </w:t>
            </w:r>
            <w:r w:rsidR="00765516">
              <w:rPr>
                <w:sz w:val="22"/>
                <w:szCs w:val="22"/>
                <w:lang w:val="sk-SK"/>
              </w:rPr>
              <w:t>IS</w:t>
            </w:r>
            <w:r w:rsidR="00AF4AA2" w:rsidRPr="00AF4AA2">
              <w:rPr>
                <w:sz w:val="22"/>
                <w:szCs w:val="22"/>
                <w:lang w:val="sk-SK"/>
              </w:rPr>
              <w:t>]</w:t>
            </w:r>
            <w:r w:rsidRPr="003A5C41">
              <w:rPr>
                <w:position w:val="8"/>
                <w:sz w:val="14"/>
                <w:szCs w:val="14"/>
                <w:lang w:val="sk-SK"/>
              </w:rPr>
              <w:t>c</w:t>
            </w:r>
            <w:r w:rsidRPr="003A5C41">
              <w:rPr>
                <w:sz w:val="22"/>
                <w:szCs w:val="22"/>
                <w:lang w:val="sk-SK"/>
              </w:rPr>
              <w:t>; p-hodnota</w:t>
            </w:r>
            <w:r w:rsidRPr="003A5C41">
              <w:rPr>
                <w:position w:val="8"/>
                <w:sz w:val="14"/>
                <w:szCs w:val="14"/>
                <w:lang w:val="sk-SK"/>
              </w:rPr>
              <w:t>d</w:t>
            </w:r>
          </w:p>
        </w:tc>
        <w:tc>
          <w:tcPr>
            <w:tcW w:w="5170" w:type="dxa"/>
            <w:gridSpan w:val="3"/>
            <w:tcBorders>
              <w:top w:val="single" w:sz="3" w:space="0" w:color="000000"/>
              <w:left w:val="single" w:sz="7" w:space="0" w:color="000000"/>
              <w:bottom w:val="single" w:sz="4" w:space="0" w:color="000000"/>
              <w:right w:val="single" w:sz="7" w:space="0" w:color="000000"/>
            </w:tcBorders>
          </w:tcPr>
          <w:p w14:paraId="6111C6B4" w14:textId="77777777" w:rsidR="00A150D7" w:rsidRPr="003A5C41" w:rsidRDefault="00A150D7"/>
        </w:tc>
      </w:tr>
      <w:tr w:rsidR="00A150D7" w:rsidRPr="003A5C41" w14:paraId="34A26B27" w14:textId="77777777" w:rsidTr="00A150D7">
        <w:trPr>
          <w:trHeight w:hRule="exact" w:val="338"/>
        </w:trPr>
        <w:tc>
          <w:tcPr>
            <w:tcW w:w="4003" w:type="dxa"/>
            <w:tcBorders>
              <w:top w:val="single" w:sz="4" w:space="0" w:color="000000"/>
              <w:left w:val="single" w:sz="7" w:space="0" w:color="000000"/>
              <w:bottom w:val="single" w:sz="4" w:space="0" w:color="000000"/>
              <w:right w:val="single" w:sz="7" w:space="0" w:color="000000"/>
            </w:tcBorders>
          </w:tcPr>
          <w:p w14:paraId="753DA0DB" w14:textId="77777777" w:rsidR="00A150D7" w:rsidRPr="003A5C41" w:rsidRDefault="00A150D7">
            <w:pPr>
              <w:pStyle w:val="TableParagraph"/>
              <w:kinsoku w:val="0"/>
              <w:overflowPunct w:val="0"/>
              <w:ind w:left="547"/>
              <w:rPr>
                <w:lang w:val="sk-SK"/>
              </w:rPr>
            </w:pPr>
            <w:r w:rsidRPr="003A5C41">
              <w:rPr>
                <w:sz w:val="22"/>
                <w:szCs w:val="22"/>
                <w:lang w:val="sk-SK"/>
              </w:rPr>
              <w:t>Rd vs MPT</w:t>
            </w:r>
          </w:p>
        </w:tc>
        <w:tc>
          <w:tcPr>
            <w:tcW w:w="5170" w:type="dxa"/>
            <w:gridSpan w:val="3"/>
            <w:tcBorders>
              <w:top w:val="single" w:sz="4" w:space="0" w:color="000000"/>
              <w:left w:val="single" w:sz="7" w:space="0" w:color="000000"/>
              <w:bottom w:val="single" w:sz="4" w:space="0" w:color="000000"/>
              <w:right w:val="single" w:sz="7" w:space="0" w:color="000000"/>
            </w:tcBorders>
          </w:tcPr>
          <w:p w14:paraId="5850F3B6" w14:textId="77777777" w:rsidR="00A150D7" w:rsidRPr="003A5C41" w:rsidRDefault="00A150D7">
            <w:pPr>
              <w:pStyle w:val="TableParagraph"/>
              <w:kinsoku w:val="0"/>
              <w:overflowPunct w:val="0"/>
              <w:ind w:left="1471"/>
              <w:rPr>
                <w:lang w:val="sk-SK"/>
              </w:rPr>
            </w:pPr>
            <w:r w:rsidRPr="003A5C41">
              <w:rPr>
                <w:sz w:val="22"/>
                <w:szCs w:val="22"/>
                <w:lang w:val="sk-SK"/>
              </w:rPr>
              <w:t>0,74 (0,63; 0,86); &lt;0,001</w:t>
            </w:r>
          </w:p>
        </w:tc>
      </w:tr>
      <w:tr w:rsidR="00A150D7" w:rsidRPr="003A5C41" w14:paraId="4E6931BD" w14:textId="77777777" w:rsidTr="00A150D7">
        <w:trPr>
          <w:trHeight w:hRule="exact" w:val="355"/>
        </w:trPr>
        <w:tc>
          <w:tcPr>
            <w:tcW w:w="4003" w:type="dxa"/>
            <w:tcBorders>
              <w:top w:val="single" w:sz="4" w:space="0" w:color="000000"/>
              <w:left w:val="single" w:sz="7" w:space="0" w:color="000000"/>
              <w:bottom w:val="single" w:sz="4" w:space="0" w:color="000000"/>
              <w:right w:val="single" w:sz="7" w:space="0" w:color="000000"/>
            </w:tcBorders>
          </w:tcPr>
          <w:p w14:paraId="55F58F6F" w14:textId="77777777" w:rsidR="00A150D7" w:rsidRPr="003A5C41" w:rsidRDefault="00A150D7">
            <w:pPr>
              <w:pStyle w:val="TableParagraph"/>
              <w:kinsoku w:val="0"/>
              <w:overflowPunct w:val="0"/>
              <w:ind w:left="547"/>
              <w:rPr>
                <w:lang w:val="sk-SK"/>
              </w:rPr>
            </w:pPr>
            <w:r w:rsidRPr="003A5C41">
              <w:rPr>
                <w:sz w:val="22"/>
                <w:szCs w:val="22"/>
                <w:lang w:val="sk-SK"/>
              </w:rPr>
              <w:t>Rd vs Rd18</w:t>
            </w:r>
          </w:p>
        </w:tc>
        <w:tc>
          <w:tcPr>
            <w:tcW w:w="5170" w:type="dxa"/>
            <w:gridSpan w:val="3"/>
            <w:tcBorders>
              <w:top w:val="single" w:sz="4" w:space="0" w:color="000000"/>
              <w:left w:val="single" w:sz="7" w:space="0" w:color="000000"/>
              <w:bottom w:val="single" w:sz="4" w:space="0" w:color="000000"/>
              <w:right w:val="single" w:sz="7" w:space="0" w:color="000000"/>
            </w:tcBorders>
          </w:tcPr>
          <w:p w14:paraId="488C6E1D" w14:textId="77777777" w:rsidR="00A150D7" w:rsidRPr="003A5C41" w:rsidRDefault="00A150D7">
            <w:pPr>
              <w:pStyle w:val="TableParagraph"/>
              <w:kinsoku w:val="0"/>
              <w:overflowPunct w:val="0"/>
              <w:ind w:left="1533"/>
              <w:rPr>
                <w:lang w:val="sk-SK"/>
              </w:rPr>
            </w:pPr>
            <w:r w:rsidRPr="003A5C41">
              <w:rPr>
                <w:sz w:val="22"/>
                <w:szCs w:val="22"/>
                <w:lang w:val="sk-SK"/>
              </w:rPr>
              <w:t>0,92 (0,78; 1,08); 0,316</w:t>
            </w:r>
          </w:p>
        </w:tc>
      </w:tr>
      <w:tr w:rsidR="00A150D7" w:rsidRPr="003A5C41" w14:paraId="69292ED2" w14:textId="77777777" w:rsidTr="00A150D7">
        <w:trPr>
          <w:trHeight w:hRule="exact" w:val="305"/>
        </w:trPr>
        <w:tc>
          <w:tcPr>
            <w:tcW w:w="4003" w:type="dxa"/>
            <w:tcBorders>
              <w:top w:val="single" w:sz="4" w:space="0" w:color="000000"/>
              <w:left w:val="single" w:sz="7" w:space="0" w:color="000000"/>
              <w:bottom w:val="single" w:sz="4" w:space="0" w:color="000000"/>
              <w:right w:val="single" w:sz="7" w:space="0" w:color="000000"/>
            </w:tcBorders>
          </w:tcPr>
          <w:p w14:paraId="34A60C62" w14:textId="77777777" w:rsidR="00A150D7" w:rsidRPr="003A5C41" w:rsidRDefault="00A150D7">
            <w:pPr>
              <w:pStyle w:val="TableParagraph"/>
              <w:kinsoku w:val="0"/>
              <w:overflowPunct w:val="0"/>
              <w:ind w:left="547"/>
              <w:rPr>
                <w:lang w:val="sk-SK"/>
              </w:rPr>
            </w:pPr>
            <w:r w:rsidRPr="003A5C41">
              <w:rPr>
                <w:sz w:val="22"/>
                <w:szCs w:val="22"/>
                <w:lang w:val="sk-SK"/>
              </w:rPr>
              <w:t>Rd18 vs MPT</w:t>
            </w:r>
          </w:p>
        </w:tc>
        <w:tc>
          <w:tcPr>
            <w:tcW w:w="5170" w:type="dxa"/>
            <w:gridSpan w:val="3"/>
            <w:tcBorders>
              <w:top w:val="single" w:sz="4" w:space="0" w:color="000000"/>
              <w:left w:val="single" w:sz="7" w:space="0" w:color="000000"/>
              <w:bottom w:val="single" w:sz="4" w:space="0" w:color="000000"/>
              <w:right w:val="single" w:sz="7" w:space="0" w:color="000000"/>
            </w:tcBorders>
          </w:tcPr>
          <w:p w14:paraId="6135D494" w14:textId="77777777" w:rsidR="00A150D7" w:rsidRPr="003A5C41" w:rsidRDefault="00A150D7">
            <w:pPr>
              <w:pStyle w:val="TableParagraph"/>
              <w:kinsoku w:val="0"/>
              <w:overflowPunct w:val="0"/>
              <w:ind w:left="1533"/>
              <w:rPr>
                <w:lang w:val="sk-SK"/>
              </w:rPr>
            </w:pPr>
            <w:r w:rsidRPr="003A5C41">
              <w:rPr>
                <w:sz w:val="22"/>
                <w:szCs w:val="22"/>
                <w:lang w:val="sk-SK"/>
              </w:rPr>
              <w:t>0,80 (0,69; 0,93); 0,004</w:t>
            </w:r>
          </w:p>
        </w:tc>
      </w:tr>
      <w:tr w:rsidR="00A150D7" w:rsidRPr="003A5C41" w14:paraId="7540C76A" w14:textId="77777777" w:rsidTr="00A150D7">
        <w:trPr>
          <w:trHeight w:hRule="exact" w:val="346"/>
        </w:trPr>
        <w:tc>
          <w:tcPr>
            <w:tcW w:w="4003" w:type="dxa"/>
            <w:tcBorders>
              <w:top w:val="single" w:sz="4" w:space="0" w:color="000000"/>
              <w:left w:val="single" w:sz="7" w:space="0" w:color="000000"/>
              <w:bottom w:val="single" w:sz="7" w:space="0" w:color="000000"/>
              <w:right w:val="single" w:sz="7" w:space="0" w:color="000000"/>
            </w:tcBorders>
          </w:tcPr>
          <w:p w14:paraId="6BF60E32" w14:textId="77777777" w:rsidR="00A150D7" w:rsidRPr="003A5C41" w:rsidRDefault="00A150D7">
            <w:pPr>
              <w:pStyle w:val="TableParagraph"/>
              <w:kinsoku w:val="0"/>
              <w:overflowPunct w:val="0"/>
              <w:ind w:left="98"/>
              <w:rPr>
                <w:lang w:val="sk-SK"/>
              </w:rPr>
            </w:pPr>
            <w:r w:rsidRPr="003A5C41">
              <w:rPr>
                <w:b/>
                <w:bCs/>
                <w:sz w:val="22"/>
                <w:szCs w:val="22"/>
                <w:lang w:val="sk-SK"/>
              </w:rPr>
              <w:t>Celkové prežívanie (mesiace)</w:t>
            </w:r>
          </w:p>
        </w:tc>
        <w:tc>
          <w:tcPr>
            <w:tcW w:w="1723" w:type="dxa"/>
            <w:tcBorders>
              <w:top w:val="single" w:sz="4" w:space="0" w:color="000000"/>
              <w:left w:val="single" w:sz="7" w:space="0" w:color="000000"/>
              <w:bottom w:val="single" w:sz="7" w:space="0" w:color="000000"/>
              <w:right w:val="single" w:sz="7" w:space="0" w:color="000000"/>
            </w:tcBorders>
          </w:tcPr>
          <w:p w14:paraId="598B812F" w14:textId="77777777" w:rsidR="00A150D7" w:rsidRPr="003A5C41" w:rsidRDefault="00A150D7"/>
        </w:tc>
        <w:tc>
          <w:tcPr>
            <w:tcW w:w="1723" w:type="dxa"/>
            <w:tcBorders>
              <w:top w:val="single" w:sz="4" w:space="0" w:color="000000"/>
              <w:left w:val="single" w:sz="7" w:space="0" w:color="000000"/>
              <w:bottom w:val="single" w:sz="7" w:space="0" w:color="000000"/>
              <w:right w:val="single" w:sz="7" w:space="0" w:color="000000"/>
            </w:tcBorders>
          </w:tcPr>
          <w:p w14:paraId="57E7CD00" w14:textId="77777777" w:rsidR="00A150D7" w:rsidRPr="003A5C41" w:rsidRDefault="00A150D7"/>
        </w:tc>
        <w:tc>
          <w:tcPr>
            <w:tcW w:w="1724" w:type="dxa"/>
            <w:tcBorders>
              <w:top w:val="single" w:sz="4" w:space="0" w:color="000000"/>
              <w:left w:val="single" w:sz="7" w:space="0" w:color="000000"/>
              <w:bottom w:val="single" w:sz="7" w:space="0" w:color="000000"/>
              <w:right w:val="single" w:sz="7" w:space="0" w:color="000000"/>
            </w:tcBorders>
          </w:tcPr>
          <w:p w14:paraId="72B06C89" w14:textId="77777777" w:rsidR="00A150D7" w:rsidRPr="003A5C41" w:rsidRDefault="00A150D7"/>
        </w:tc>
      </w:tr>
      <w:tr w:rsidR="00A150D7" w:rsidRPr="003A5C41" w14:paraId="72C76BDD" w14:textId="77777777" w:rsidTr="00A150D7">
        <w:trPr>
          <w:trHeight w:hRule="exact" w:val="274"/>
        </w:trPr>
        <w:tc>
          <w:tcPr>
            <w:tcW w:w="4003" w:type="dxa"/>
            <w:tcBorders>
              <w:top w:val="single" w:sz="7" w:space="0" w:color="000000"/>
              <w:left w:val="single" w:sz="7" w:space="0" w:color="000000"/>
              <w:bottom w:val="single" w:sz="7" w:space="0" w:color="000000"/>
              <w:right w:val="single" w:sz="7" w:space="0" w:color="000000"/>
            </w:tcBorders>
          </w:tcPr>
          <w:p w14:paraId="512F3341" w14:textId="7581C16C" w:rsidR="00A150D7" w:rsidRPr="003A5C41" w:rsidRDefault="00A150D7" w:rsidP="00765516">
            <w:pPr>
              <w:pStyle w:val="TableParagraph"/>
              <w:kinsoku w:val="0"/>
              <w:overflowPunct w:val="0"/>
              <w:ind w:left="278"/>
              <w:rPr>
                <w:lang w:val="sk-SK"/>
              </w:rPr>
            </w:pPr>
            <w:r w:rsidRPr="003A5C41">
              <w:rPr>
                <w:sz w:val="22"/>
                <w:szCs w:val="22"/>
                <w:lang w:val="sk-SK"/>
              </w:rPr>
              <w:t>Medián</w:t>
            </w:r>
            <w:r w:rsidRPr="003A5C41">
              <w:rPr>
                <w:position w:val="8"/>
                <w:sz w:val="14"/>
                <w:szCs w:val="14"/>
                <w:lang w:val="sk-SK"/>
              </w:rPr>
              <w:t xml:space="preserve">a </w:t>
            </w:r>
            <w:r w:rsidRPr="003A5C41">
              <w:rPr>
                <w:sz w:val="22"/>
                <w:szCs w:val="22"/>
                <w:lang w:val="sk-SK"/>
              </w:rPr>
              <w:t xml:space="preserve">OS, mesiace (95% </w:t>
            </w:r>
            <w:r w:rsidR="00765516">
              <w:rPr>
                <w:sz w:val="22"/>
                <w:szCs w:val="22"/>
                <w:lang w:val="sk-SK"/>
              </w:rPr>
              <w:t>IS</w:t>
            </w:r>
            <w:r w:rsidRPr="003A5C41">
              <w:rPr>
                <w:sz w:val="22"/>
                <w:szCs w:val="22"/>
                <w:lang w:val="sk-SK"/>
              </w:rPr>
              <w:t>)</w:t>
            </w:r>
            <w:r w:rsidRPr="003A5C41">
              <w:rPr>
                <w:position w:val="8"/>
                <w:sz w:val="14"/>
                <w:szCs w:val="14"/>
                <w:lang w:val="sk-SK"/>
              </w:rPr>
              <w:t>b</w:t>
            </w:r>
          </w:p>
        </w:tc>
        <w:tc>
          <w:tcPr>
            <w:tcW w:w="1723" w:type="dxa"/>
            <w:tcBorders>
              <w:top w:val="single" w:sz="7" w:space="0" w:color="000000"/>
              <w:left w:val="single" w:sz="7" w:space="0" w:color="000000"/>
              <w:bottom w:val="single" w:sz="7" w:space="0" w:color="000000"/>
              <w:right w:val="single" w:sz="7" w:space="0" w:color="000000"/>
            </w:tcBorders>
          </w:tcPr>
          <w:p w14:paraId="1ACE274C" w14:textId="77777777" w:rsidR="00A150D7" w:rsidRPr="003A5C41" w:rsidRDefault="00A150D7">
            <w:pPr>
              <w:pStyle w:val="TableParagraph"/>
              <w:kinsoku w:val="0"/>
              <w:overflowPunct w:val="0"/>
              <w:ind w:left="94" w:right="94"/>
              <w:jc w:val="center"/>
              <w:rPr>
                <w:lang w:val="sk-SK"/>
              </w:rPr>
            </w:pPr>
            <w:r w:rsidRPr="003A5C41">
              <w:rPr>
                <w:sz w:val="22"/>
                <w:szCs w:val="22"/>
                <w:lang w:val="sk-SK"/>
              </w:rPr>
              <w:t>58,9 (56,0, NE)</w:t>
            </w:r>
          </w:p>
        </w:tc>
        <w:tc>
          <w:tcPr>
            <w:tcW w:w="1723" w:type="dxa"/>
            <w:tcBorders>
              <w:top w:val="single" w:sz="7" w:space="0" w:color="000000"/>
              <w:left w:val="single" w:sz="7" w:space="0" w:color="000000"/>
              <w:bottom w:val="single" w:sz="7" w:space="0" w:color="000000"/>
              <w:right w:val="single" w:sz="7" w:space="0" w:color="000000"/>
            </w:tcBorders>
          </w:tcPr>
          <w:p w14:paraId="71C64A8D" w14:textId="77777777" w:rsidR="00A150D7" w:rsidRPr="003A5C41" w:rsidRDefault="00A150D7">
            <w:pPr>
              <w:pStyle w:val="TableParagraph"/>
              <w:kinsoku w:val="0"/>
              <w:overflowPunct w:val="0"/>
              <w:ind w:right="159"/>
              <w:jc w:val="right"/>
              <w:rPr>
                <w:lang w:val="sk-SK"/>
              </w:rPr>
            </w:pPr>
            <w:r w:rsidRPr="003A5C41">
              <w:rPr>
                <w:sz w:val="22"/>
                <w:szCs w:val="22"/>
                <w:lang w:val="sk-SK"/>
              </w:rPr>
              <w:t>56,7 (50,1; NE)</w:t>
            </w:r>
          </w:p>
        </w:tc>
        <w:tc>
          <w:tcPr>
            <w:tcW w:w="1724" w:type="dxa"/>
            <w:tcBorders>
              <w:top w:val="single" w:sz="7" w:space="0" w:color="000000"/>
              <w:left w:val="single" w:sz="7" w:space="0" w:color="000000"/>
              <w:bottom w:val="single" w:sz="7" w:space="0" w:color="000000"/>
              <w:right w:val="single" w:sz="7" w:space="0" w:color="000000"/>
            </w:tcBorders>
          </w:tcPr>
          <w:p w14:paraId="5F26E90C" w14:textId="77777777" w:rsidR="00A150D7" w:rsidRPr="003A5C41" w:rsidRDefault="00A150D7">
            <w:pPr>
              <w:pStyle w:val="TableParagraph"/>
              <w:kinsoku w:val="0"/>
              <w:overflowPunct w:val="0"/>
              <w:ind w:right="94"/>
              <w:jc w:val="center"/>
              <w:rPr>
                <w:lang w:val="sk-SK"/>
              </w:rPr>
            </w:pPr>
            <w:r w:rsidRPr="003A5C41">
              <w:rPr>
                <w:sz w:val="22"/>
                <w:szCs w:val="22"/>
                <w:lang w:val="sk-SK"/>
              </w:rPr>
              <w:t>48,5 (44,2; 52,0)</w:t>
            </w:r>
          </w:p>
        </w:tc>
      </w:tr>
      <w:tr w:rsidR="00A150D7" w:rsidRPr="003A5C41" w14:paraId="5F82A64C" w14:textId="77777777" w:rsidTr="00A150D7">
        <w:trPr>
          <w:trHeight w:hRule="exact" w:val="271"/>
        </w:trPr>
        <w:tc>
          <w:tcPr>
            <w:tcW w:w="4003" w:type="dxa"/>
            <w:tcBorders>
              <w:top w:val="single" w:sz="7" w:space="0" w:color="000000"/>
              <w:left w:val="single" w:sz="7" w:space="0" w:color="000000"/>
              <w:bottom w:val="single" w:sz="7" w:space="0" w:color="000000"/>
              <w:right w:val="single" w:sz="7" w:space="0" w:color="000000"/>
            </w:tcBorders>
          </w:tcPr>
          <w:p w14:paraId="6781FCD0" w14:textId="0DE640AD" w:rsidR="00A150D7" w:rsidRPr="003A5C41" w:rsidRDefault="00A150D7" w:rsidP="00765516">
            <w:pPr>
              <w:pStyle w:val="TableParagraph"/>
              <w:kinsoku w:val="0"/>
              <w:overflowPunct w:val="0"/>
              <w:ind w:left="278"/>
              <w:rPr>
                <w:lang w:val="sk-SK"/>
              </w:rPr>
            </w:pPr>
            <w:r w:rsidRPr="003A5C41">
              <w:rPr>
                <w:sz w:val="22"/>
                <w:szCs w:val="22"/>
                <w:lang w:val="sk-SK"/>
              </w:rPr>
              <w:t xml:space="preserve">HR [95% </w:t>
            </w:r>
            <w:r w:rsidR="00765516">
              <w:rPr>
                <w:sz w:val="22"/>
                <w:szCs w:val="22"/>
                <w:lang w:val="sk-SK"/>
              </w:rPr>
              <w:t>IS</w:t>
            </w:r>
            <w:r w:rsidRPr="003A5C41">
              <w:rPr>
                <w:sz w:val="22"/>
                <w:szCs w:val="22"/>
                <w:lang w:val="sk-SK"/>
              </w:rPr>
              <w:t>]</w:t>
            </w:r>
            <w:r w:rsidRPr="003A5C41">
              <w:rPr>
                <w:position w:val="8"/>
                <w:sz w:val="14"/>
                <w:szCs w:val="14"/>
                <w:lang w:val="sk-SK"/>
              </w:rPr>
              <w:t>c</w:t>
            </w:r>
            <w:r w:rsidRPr="003A5C41">
              <w:rPr>
                <w:sz w:val="22"/>
                <w:szCs w:val="22"/>
                <w:lang w:val="sk-SK"/>
              </w:rPr>
              <w:t>; p-hodnota</w:t>
            </w:r>
            <w:r w:rsidRPr="003A5C41">
              <w:rPr>
                <w:position w:val="8"/>
                <w:sz w:val="14"/>
                <w:szCs w:val="14"/>
                <w:lang w:val="sk-SK"/>
              </w:rPr>
              <w:t>d</w:t>
            </w:r>
          </w:p>
        </w:tc>
        <w:tc>
          <w:tcPr>
            <w:tcW w:w="1723" w:type="dxa"/>
            <w:tcBorders>
              <w:top w:val="single" w:sz="7" w:space="0" w:color="000000"/>
              <w:left w:val="single" w:sz="7" w:space="0" w:color="000000"/>
              <w:bottom w:val="single" w:sz="7" w:space="0" w:color="000000"/>
              <w:right w:val="single" w:sz="7" w:space="0" w:color="000000"/>
            </w:tcBorders>
          </w:tcPr>
          <w:p w14:paraId="00CC9766" w14:textId="77777777" w:rsidR="00A150D7" w:rsidRPr="003A5C41" w:rsidRDefault="00A150D7"/>
        </w:tc>
        <w:tc>
          <w:tcPr>
            <w:tcW w:w="1723" w:type="dxa"/>
            <w:tcBorders>
              <w:top w:val="single" w:sz="7" w:space="0" w:color="000000"/>
              <w:left w:val="single" w:sz="7" w:space="0" w:color="000000"/>
              <w:bottom w:val="single" w:sz="7" w:space="0" w:color="000000"/>
              <w:right w:val="single" w:sz="7" w:space="0" w:color="000000"/>
            </w:tcBorders>
          </w:tcPr>
          <w:p w14:paraId="43D8E3BE" w14:textId="77777777" w:rsidR="00A150D7" w:rsidRPr="003A5C41" w:rsidRDefault="00A150D7"/>
        </w:tc>
        <w:tc>
          <w:tcPr>
            <w:tcW w:w="1724" w:type="dxa"/>
            <w:tcBorders>
              <w:top w:val="single" w:sz="7" w:space="0" w:color="000000"/>
              <w:left w:val="single" w:sz="7" w:space="0" w:color="000000"/>
              <w:bottom w:val="single" w:sz="7" w:space="0" w:color="000000"/>
              <w:right w:val="single" w:sz="7" w:space="0" w:color="000000"/>
            </w:tcBorders>
          </w:tcPr>
          <w:p w14:paraId="72A5D8FF" w14:textId="77777777" w:rsidR="00A150D7" w:rsidRPr="003A5C41" w:rsidRDefault="00A150D7"/>
        </w:tc>
      </w:tr>
      <w:tr w:rsidR="00A150D7" w:rsidRPr="003A5C41" w14:paraId="71D25092" w14:textId="77777777" w:rsidTr="00A150D7">
        <w:trPr>
          <w:trHeight w:hRule="exact" w:val="274"/>
        </w:trPr>
        <w:tc>
          <w:tcPr>
            <w:tcW w:w="4003" w:type="dxa"/>
            <w:tcBorders>
              <w:top w:val="single" w:sz="7" w:space="0" w:color="000000"/>
              <w:left w:val="single" w:sz="7" w:space="0" w:color="000000"/>
              <w:bottom w:val="single" w:sz="7" w:space="0" w:color="000000"/>
              <w:right w:val="single" w:sz="7" w:space="0" w:color="000000"/>
            </w:tcBorders>
          </w:tcPr>
          <w:p w14:paraId="32328E99" w14:textId="77777777" w:rsidR="00A150D7" w:rsidRPr="003A5C41" w:rsidRDefault="00A150D7">
            <w:pPr>
              <w:pStyle w:val="TableParagraph"/>
              <w:kinsoku w:val="0"/>
              <w:overflowPunct w:val="0"/>
              <w:spacing w:before="1"/>
              <w:ind w:left="549"/>
              <w:rPr>
                <w:lang w:val="sk-SK"/>
              </w:rPr>
            </w:pPr>
            <w:r w:rsidRPr="003A5C41">
              <w:rPr>
                <w:sz w:val="22"/>
                <w:szCs w:val="22"/>
                <w:lang w:val="sk-SK"/>
              </w:rPr>
              <w:lastRenderedPageBreak/>
              <w:t>Rd vs MPT</w:t>
            </w:r>
          </w:p>
        </w:tc>
        <w:tc>
          <w:tcPr>
            <w:tcW w:w="5170" w:type="dxa"/>
            <w:gridSpan w:val="3"/>
            <w:tcBorders>
              <w:top w:val="single" w:sz="7" w:space="0" w:color="000000"/>
              <w:left w:val="single" w:sz="7" w:space="0" w:color="000000"/>
              <w:bottom w:val="single" w:sz="7" w:space="0" w:color="000000"/>
              <w:right w:val="single" w:sz="7" w:space="0" w:color="000000"/>
            </w:tcBorders>
          </w:tcPr>
          <w:p w14:paraId="58954704" w14:textId="77777777" w:rsidR="00A150D7" w:rsidRPr="003A5C41" w:rsidRDefault="00A150D7">
            <w:pPr>
              <w:pStyle w:val="TableParagraph"/>
              <w:kinsoku w:val="0"/>
              <w:overflowPunct w:val="0"/>
              <w:spacing w:before="1"/>
              <w:ind w:left="1533"/>
              <w:rPr>
                <w:lang w:val="sk-SK"/>
              </w:rPr>
            </w:pPr>
            <w:r w:rsidRPr="003A5C41">
              <w:rPr>
                <w:sz w:val="22"/>
                <w:szCs w:val="22"/>
                <w:lang w:val="sk-SK"/>
              </w:rPr>
              <w:t>0,75 (0,62; 0,90); 0,002</w:t>
            </w:r>
          </w:p>
        </w:tc>
      </w:tr>
      <w:tr w:rsidR="00A150D7" w:rsidRPr="003A5C41" w14:paraId="50863C48" w14:textId="77777777" w:rsidTr="00A150D7">
        <w:trPr>
          <w:trHeight w:hRule="exact" w:val="274"/>
        </w:trPr>
        <w:tc>
          <w:tcPr>
            <w:tcW w:w="4003" w:type="dxa"/>
            <w:tcBorders>
              <w:top w:val="single" w:sz="7" w:space="0" w:color="000000"/>
              <w:left w:val="single" w:sz="7" w:space="0" w:color="000000"/>
              <w:bottom w:val="single" w:sz="7" w:space="0" w:color="000000"/>
              <w:right w:val="single" w:sz="7" w:space="0" w:color="000000"/>
            </w:tcBorders>
          </w:tcPr>
          <w:p w14:paraId="2C69F55D" w14:textId="77777777" w:rsidR="00A150D7" w:rsidRPr="003A5C41" w:rsidRDefault="00A150D7">
            <w:pPr>
              <w:pStyle w:val="TableParagraph"/>
              <w:kinsoku w:val="0"/>
              <w:overflowPunct w:val="0"/>
              <w:ind w:left="549"/>
              <w:rPr>
                <w:lang w:val="sk-SK"/>
              </w:rPr>
            </w:pPr>
            <w:r w:rsidRPr="003A5C41">
              <w:rPr>
                <w:sz w:val="22"/>
                <w:szCs w:val="22"/>
                <w:lang w:val="sk-SK"/>
              </w:rPr>
              <w:t>Rd vs Rd18</w:t>
            </w:r>
          </w:p>
        </w:tc>
        <w:tc>
          <w:tcPr>
            <w:tcW w:w="5170" w:type="dxa"/>
            <w:gridSpan w:val="3"/>
            <w:tcBorders>
              <w:top w:val="single" w:sz="7" w:space="0" w:color="000000"/>
              <w:left w:val="single" w:sz="7" w:space="0" w:color="000000"/>
              <w:bottom w:val="single" w:sz="7" w:space="0" w:color="000000"/>
              <w:right w:val="single" w:sz="7" w:space="0" w:color="000000"/>
            </w:tcBorders>
          </w:tcPr>
          <w:p w14:paraId="77F6C23B" w14:textId="77777777" w:rsidR="00A150D7" w:rsidRPr="003A5C41" w:rsidRDefault="00A150D7">
            <w:pPr>
              <w:pStyle w:val="TableParagraph"/>
              <w:kinsoku w:val="0"/>
              <w:overflowPunct w:val="0"/>
              <w:ind w:left="1533"/>
              <w:rPr>
                <w:lang w:val="sk-SK"/>
              </w:rPr>
            </w:pPr>
            <w:r w:rsidRPr="003A5C41">
              <w:rPr>
                <w:sz w:val="22"/>
                <w:szCs w:val="22"/>
                <w:lang w:val="sk-SK"/>
              </w:rPr>
              <w:t>0,91 (0,75; 1,09); 0,305</w:t>
            </w:r>
          </w:p>
        </w:tc>
      </w:tr>
      <w:tr w:rsidR="00A150D7" w:rsidRPr="003A5C41" w14:paraId="7684B5C6" w14:textId="77777777" w:rsidTr="00A150D7">
        <w:trPr>
          <w:trHeight w:hRule="exact" w:val="274"/>
        </w:trPr>
        <w:tc>
          <w:tcPr>
            <w:tcW w:w="4003" w:type="dxa"/>
            <w:tcBorders>
              <w:top w:val="single" w:sz="7" w:space="0" w:color="000000"/>
              <w:left w:val="single" w:sz="7" w:space="0" w:color="000000"/>
              <w:bottom w:val="single" w:sz="7" w:space="0" w:color="000000"/>
              <w:right w:val="single" w:sz="7" w:space="0" w:color="000000"/>
            </w:tcBorders>
          </w:tcPr>
          <w:p w14:paraId="48C370E5" w14:textId="77777777" w:rsidR="00A150D7" w:rsidRPr="003A5C41" w:rsidRDefault="00A150D7">
            <w:pPr>
              <w:pStyle w:val="TableParagraph"/>
              <w:kinsoku w:val="0"/>
              <w:overflowPunct w:val="0"/>
              <w:ind w:left="549"/>
              <w:rPr>
                <w:lang w:val="sk-SK"/>
              </w:rPr>
            </w:pPr>
            <w:r w:rsidRPr="003A5C41">
              <w:rPr>
                <w:sz w:val="22"/>
                <w:szCs w:val="22"/>
                <w:lang w:val="sk-SK"/>
              </w:rPr>
              <w:t>Rd18 vs MPT</w:t>
            </w:r>
          </w:p>
        </w:tc>
        <w:tc>
          <w:tcPr>
            <w:tcW w:w="5170" w:type="dxa"/>
            <w:gridSpan w:val="3"/>
            <w:tcBorders>
              <w:top w:val="single" w:sz="7" w:space="0" w:color="000000"/>
              <w:left w:val="single" w:sz="7" w:space="0" w:color="000000"/>
              <w:bottom w:val="single" w:sz="7" w:space="0" w:color="000000"/>
              <w:right w:val="single" w:sz="7" w:space="0" w:color="000000"/>
            </w:tcBorders>
          </w:tcPr>
          <w:p w14:paraId="0CCED9C3" w14:textId="77777777" w:rsidR="00A150D7" w:rsidRPr="003A5C41" w:rsidRDefault="00A150D7">
            <w:pPr>
              <w:pStyle w:val="TableParagraph"/>
              <w:kinsoku w:val="0"/>
              <w:overflowPunct w:val="0"/>
              <w:ind w:left="1533"/>
              <w:rPr>
                <w:lang w:val="sk-SK"/>
              </w:rPr>
            </w:pPr>
            <w:r w:rsidRPr="003A5C41">
              <w:rPr>
                <w:sz w:val="22"/>
                <w:szCs w:val="22"/>
                <w:lang w:val="sk-SK"/>
              </w:rPr>
              <w:t>0,83 (0,69; 0,99); 0,034</w:t>
            </w:r>
          </w:p>
        </w:tc>
      </w:tr>
      <w:tr w:rsidR="00A150D7" w:rsidRPr="003A5C41" w14:paraId="7CC42966" w14:textId="77777777" w:rsidTr="00A150D7">
        <w:trPr>
          <w:trHeight w:hRule="exact" w:val="271"/>
        </w:trPr>
        <w:tc>
          <w:tcPr>
            <w:tcW w:w="4003" w:type="dxa"/>
            <w:tcBorders>
              <w:top w:val="single" w:sz="7" w:space="0" w:color="000000"/>
              <w:left w:val="single" w:sz="7" w:space="0" w:color="000000"/>
              <w:bottom w:val="single" w:sz="7" w:space="0" w:color="000000"/>
              <w:right w:val="single" w:sz="7" w:space="0" w:color="000000"/>
            </w:tcBorders>
          </w:tcPr>
          <w:p w14:paraId="5C3E6603" w14:textId="77777777" w:rsidR="00A150D7" w:rsidRPr="003A5C41" w:rsidRDefault="00A150D7">
            <w:pPr>
              <w:pStyle w:val="TableParagraph"/>
              <w:kinsoku w:val="0"/>
              <w:overflowPunct w:val="0"/>
              <w:ind w:left="278"/>
              <w:rPr>
                <w:lang w:val="sk-SK"/>
              </w:rPr>
            </w:pPr>
            <w:r w:rsidRPr="003A5C41">
              <w:rPr>
                <w:sz w:val="22"/>
                <w:szCs w:val="22"/>
                <w:lang w:val="sk-SK"/>
              </w:rPr>
              <w:t>Sledovanie (mesiace)</w:t>
            </w:r>
          </w:p>
        </w:tc>
        <w:tc>
          <w:tcPr>
            <w:tcW w:w="1723" w:type="dxa"/>
            <w:tcBorders>
              <w:top w:val="single" w:sz="7" w:space="0" w:color="000000"/>
              <w:left w:val="single" w:sz="7" w:space="0" w:color="000000"/>
              <w:bottom w:val="single" w:sz="7" w:space="0" w:color="000000"/>
              <w:right w:val="single" w:sz="7" w:space="0" w:color="000000"/>
            </w:tcBorders>
          </w:tcPr>
          <w:p w14:paraId="60DC6F4F" w14:textId="77777777" w:rsidR="00A150D7" w:rsidRPr="003A5C41" w:rsidRDefault="00A150D7"/>
        </w:tc>
        <w:tc>
          <w:tcPr>
            <w:tcW w:w="1723" w:type="dxa"/>
            <w:tcBorders>
              <w:top w:val="single" w:sz="7" w:space="0" w:color="000000"/>
              <w:left w:val="single" w:sz="7" w:space="0" w:color="000000"/>
              <w:bottom w:val="single" w:sz="7" w:space="0" w:color="000000"/>
              <w:right w:val="single" w:sz="7" w:space="0" w:color="000000"/>
            </w:tcBorders>
          </w:tcPr>
          <w:p w14:paraId="03A70AF6" w14:textId="77777777" w:rsidR="00A150D7" w:rsidRPr="003A5C41" w:rsidRDefault="00A150D7"/>
        </w:tc>
        <w:tc>
          <w:tcPr>
            <w:tcW w:w="1724" w:type="dxa"/>
            <w:tcBorders>
              <w:top w:val="single" w:sz="7" w:space="0" w:color="000000"/>
              <w:left w:val="single" w:sz="7" w:space="0" w:color="000000"/>
              <w:bottom w:val="single" w:sz="7" w:space="0" w:color="000000"/>
              <w:right w:val="single" w:sz="7" w:space="0" w:color="000000"/>
            </w:tcBorders>
          </w:tcPr>
          <w:p w14:paraId="3A5C2A01" w14:textId="77777777" w:rsidR="00A150D7" w:rsidRPr="003A5C41" w:rsidRDefault="00A150D7"/>
        </w:tc>
      </w:tr>
      <w:tr w:rsidR="00A150D7" w:rsidRPr="003A5C41" w14:paraId="1A173D52" w14:textId="77777777" w:rsidTr="00A150D7">
        <w:trPr>
          <w:trHeight w:hRule="exact" w:val="274"/>
        </w:trPr>
        <w:tc>
          <w:tcPr>
            <w:tcW w:w="4003" w:type="dxa"/>
            <w:tcBorders>
              <w:top w:val="single" w:sz="7" w:space="0" w:color="000000"/>
              <w:left w:val="single" w:sz="7" w:space="0" w:color="000000"/>
              <w:bottom w:val="single" w:sz="7" w:space="0" w:color="000000"/>
              <w:right w:val="single" w:sz="7" w:space="0" w:color="000000"/>
            </w:tcBorders>
          </w:tcPr>
          <w:p w14:paraId="0C75215F" w14:textId="77777777" w:rsidR="00A150D7" w:rsidRPr="003A5C41" w:rsidRDefault="00A150D7">
            <w:pPr>
              <w:pStyle w:val="TableParagraph"/>
              <w:kinsoku w:val="0"/>
              <w:overflowPunct w:val="0"/>
              <w:spacing w:line="254" w:lineRule="exact"/>
              <w:ind w:left="549"/>
              <w:rPr>
                <w:lang w:val="sk-SK"/>
              </w:rPr>
            </w:pPr>
            <w:r w:rsidRPr="003A5C41">
              <w:rPr>
                <w:sz w:val="22"/>
                <w:szCs w:val="22"/>
                <w:lang w:val="sk-SK"/>
              </w:rPr>
              <w:t>Medián</w:t>
            </w:r>
            <w:r w:rsidRPr="003A5C41">
              <w:rPr>
                <w:position w:val="8"/>
                <w:sz w:val="14"/>
                <w:szCs w:val="14"/>
                <w:lang w:val="sk-SK"/>
              </w:rPr>
              <w:t xml:space="preserve">f </w:t>
            </w:r>
            <w:r w:rsidRPr="003A5C41">
              <w:rPr>
                <w:sz w:val="22"/>
                <w:szCs w:val="22"/>
                <w:lang w:val="sk-SK"/>
              </w:rPr>
              <w:t>(min, max): všetci pacienti</w:t>
            </w:r>
          </w:p>
        </w:tc>
        <w:tc>
          <w:tcPr>
            <w:tcW w:w="1723" w:type="dxa"/>
            <w:tcBorders>
              <w:top w:val="single" w:sz="7" w:space="0" w:color="000000"/>
              <w:left w:val="single" w:sz="7" w:space="0" w:color="000000"/>
              <w:bottom w:val="single" w:sz="7" w:space="0" w:color="000000"/>
              <w:right w:val="single" w:sz="7" w:space="0" w:color="000000"/>
            </w:tcBorders>
          </w:tcPr>
          <w:p w14:paraId="048E01F9" w14:textId="77777777" w:rsidR="00A150D7" w:rsidRPr="003A5C41" w:rsidRDefault="00A150D7">
            <w:pPr>
              <w:pStyle w:val="TableParagraph"/>
              <w:kinsoku w:val="0"/>
              <w:overflowPunct w:val="0"/>
              <w:spacing w:before="1"/>
              <w:ind w:left="94" w:right="94"/>
              <w:jc w:val="center"/>
              <w:rPr>
                <w:lang w:val="sk-SK"/>
              </w:rPr>
            </w:pPr>
            <w:r w:rsidRPr="003A5C41">
              <w:rPr>
                <w:sz w:val="22"/>
                <w:szCs w:val="22"/>
                <w:lang w:val="sk-SK"/>
              </w:rPr>
              <w:t>40,8 (0,0, 65,9)</w:t>
            </w:r>
          </w:p>
        </w:tc>
        <w:tc>
          <w:tcPr>
            <w:tcW w:w="1723" w:type="dxa"/>
            <w:tcBorders>
              <w:top w:val="single" w:sz="7" w:space="0" w:color="000000"/>
              <w:left w:val="single" w:sz="7" w:space="0" w:color="000000"/>
              <w:bottom w:val="single" w:sz="7" w:space="0" w:color="000000"/>
              <w:right w:val="single" w:sz="7" w:space="0" w:color="000000"/>
            </w:tcBorders>
          </w:tcPr>
          <w:p w14:paraId="56EE535F" w14:textId="77777777" w:rsidR="00A150D7" w:rsidRPr="003A5C41" w:rsidRDefault="00A150D7">
            <w:pPr>
              <w:pStyle w:val="TableParagraph"/>
              <w:kinsoku w:val="0"/>
              <w:overflowPunct w:val="0"/>
              <w:spacing w:before="1"/>
              <w:ind w:right="166"/>
              <w:jc w:val="right"/>
              <w:rPr>
                <w:lang w:val="sk-SK"/>
              </w:rPr>
            </w:pPr>
            <w:r w:rsidRPr="003A5C41">
              <w:rPr>
                <w:sz w:val="22"/>
                <w:szCs w:val="22"/>
                <w:lang w:val="sk-SK"/>
              </w:rPr>
              <w:t>40,1 (0,4; 65,7)</w:t>
            </w:r>
          </w:p>
        </w:tc>
        <w:tc>
          <w:tcPr>
            <w:tcW w:w="1724" w:type="dxa"/>
            <w:tcBorders>
              <w:top w:val="single" w:sz="7" w:space="0" w:color="000000"/>
              <w:left w:val="single" w:sz="7" w:space="0" w:color="000000"/>
              <w:bottom w:val="single" w:sz="7" w:space="0" w:color="000000"/>
              <w:right w:val="single" w:sz="7" w:space="0" w:color="000000"/>
            </w:tcBorders>
          </w:tcPr>
          <w:p w14:paraId="100139E8" w14:textId="77777777" w:rsidR="00A150D7" w:rsidRPr="003A5C41" w:rsidRDefault="00A150D7">
            <w:pPr>
              <w:pStyle w:val="TableParagraph"/>
              <w:kinsoku w:val="0"/>
              <w:overflowPunct w:val="0"/>
              <w:spacing w:before="1"/>
              <w:ind w:right="94"/>
              <w:jc w:val="center"/>
              <w:rPr>
                <w:lang w:val="sk-SK"/>
              </w:rPr>
            </w:pPr>
            <w:r w:rsidRPr="003A5C41">
              <w:rPr>
                <w:sz w:val="22"/>
                <w:szCs w:val="22"/>
                <w:lang w:val="sk-SK"/>
              </w:rPr>
              <w:t>38,7 (0,0; 64,2)</w:t>
            </w:r>
          </w:p>
        </w:tc>
      </w:tr>
      <w:tr w:rsidR="00A150D7" w:rsidRPr="003A5C41" w14:paraId="37D29EEE" w14:textId="77777777" w:rsidTr="00A150D7">
        <w:trPr>
          <w:trHeight w:hRule="exact" w:val="274"/>
        </w:trPr>
        <w:tc>
          <w:tcPr>
            <w:tcW w:w="4003" w:type="dxa"/>
            <w:tcBorders>
              <w:top w:val="single" w:sz="7" w:space="0" w:color="000000"/>
              <w:left w:val="single" w:sz="7" w:space="0" w:color="000000"/>
              <w:bottom w:val="single" w:sz="7" w:space="0" w:color="000000"/>
              <w:right w:val="single" w:sz="7" w:space="0" w:color="000000"/>
            </w:tcBorders>
          </w:tcPr>
          <w:p w14:paraId="08982392" w14:textId="5C7C0FB8" w:rsidR="00A150D7" w:rsidRPr="003A5C41" w:rsidRDefault="00A150D7">
            <w:pPr>
              <w:pStyle w:val="TableParagraph"/>
              <w:kinsoku w:val="0"/>
              <w:overflowPunct w:val="0"/>
              <w:ind w:left="98"/>
              <w:rPr>
                <w:lang w:val="sk-SK"/>
              </w:rPr>
            </w:pPr>
            <w:r w:rsidRPr="003A5C41">
              <w:rPr>
                <w:b/>
                <w:bCs/>
                <w:sz w:val="22"/>
                <w:szCs w:val="22"/>
                <w:lang w:val="sk-SK"/>
              </w:rPr>
              <w:t>Odpoveď na liečbu</w:t>
            </w:r>
            <w:r w:rsidR="00AF53B6">
              <w:rPr>
                <w:b/>
                <w:bCs/>
                <w:sz w:val="22"/>
                <w:szCs w:val="22"/>
                <w:lang w:val="sk-SK"/>
              </w:rPr>
              <w:t xml:space="preserve"> myelómu</w:t>
            </w:r>
            <w:r w:rsidRPr="003A5C41">
              <w:rPr>
                <w:position w:val="8"/>
                <w:sz w:val="14"/>
                <w:szCs w:val="14"/>
                <w:lang w:val="sk-SK"/>
              </w:rPr>
              <w:t xml:space="preserve">g </w:t>
            </w:r>
            <w:r w:rsidRPr="003A5C41">
              <w:rPr>
                <w:b/>
                <w:bCs/>
                <w:sz w:val="22"/>
                <w:szCs w:val="22"/>
                <w:lang w:val="sk-SK"/>
              </w:rPr>
              <w:t>n (%)</w:t>
            </w:r>
          </w:p>
        </w:tc>
        <w:tc>
          <w:tcPr>
            <w:tcW w:w="1723" w:type="dxa"/>
            <w:tcBorders>
              <w:top w:val="single" w:sz="7" w:space="0" w:color="000000"/>
              <w:left w:val="single" w:sz="7" w:space="0" w:color="000000"/>
              <w:bottom w:val="single" w:sz="7" w:space="0" w:color="000000"/>
              <w:right w:val="single" w:sz="7" w:space="0" w:color="000000"/>
            </w:tcBorders>
          </w:tcPr>
          <w:p w14:paraId="4F995508" w14:textId="77777777" w:rsidR="00A150D7" w:rsidRPr="003A5C41" w:rsidRDefault="00A150D7"/>
        </w:tc>
        <w:tc>
          <w:tcPr>
            <w:tcW w:w="1723" w:type="dxa"/>
            <w:tcBorders>
              <w:top w:val="single" w:sz="7" w:space="0" w:color="000000"/>
              <w:left w:val="single" w:sz="7" w:space="0" w:color="000000"/>
              <w:bottom w:val="single" w:sz="7" w:space="0" w:color="000000"/>
              <w:right w:val="single" w:sz="7" w:space="0" w:color="000000"/>
            </w:tcBorders>
          </w:tcPr>
          <w:p w14:paraId="485FE833" w14:textId="77777777" w:rsidR="00A150D7" w:rsidRPr="003A5C41" w:rsidRDefault="00A150D7"/>
        </w:tc>
        <w:tc>
          <w:tcPr>
            <w:tcW w:w="1724" w:type="dxa"/>
            <w:tcBorders>
              <w:top w:val="single" w:sz="7" w:space="0" w:color="000000"/>
              <w:left w:val="single" w:sz="7" w:space="0" w:color="000000"/>
              <w:bottom w:val="single" w:sz="7" w:space="0" w:color="000000"/>
              <w:right w:val="single" w:sz="7" w:space="0" w:color="000000"/>
            </w:tcBorders>
          </w:tcPr>
          <w:p w14:paraId="225BD3A1" w14:textId="77777777" w:rsidR="00A150D7" w:rsidRPr="003A5C41" w:rsidRDefault="00A150D7"/>
        </w:tc>
      </w:tr>
      <w:tr w:rsidR="00A150D7" w:rsidRPr="003A5C41" w14:paraId="2824A2D7" w14:textId="77777777" w:rsidTr="00A150D7">
        <w:trPr>
          <w:trHeight w:hRule="exact" w:val="274"/>
        </w:trPr>
        <w:tc>
          <w:tcPr>
            <w:tcW w:w="4003" w:type="dxa"/>
            <w:tcBorders>
              <w:top w:val="single" w:sz="7" w:space="0" w:color="000000"/>
              <w:left w:val="single" w:sz="7" w:space="0" w:color="000000"/>
              <w:bottom w:val="single" w:sz="7" w:space="0" w:color="000000"/>
              <w:right w:val="single" w:sz="7" w:space="0" w:color="000000"/>
            </w:tcBorders>
          </w:tcPr>
          <w:p w14:paraId="2627E954" w14:textId="77777777" w:rsidR="00A150D7" w:rsidRPr="003A5C41" w:rsidRDefault="00A150D7">
            <w:pPr>
              <w:pStyle w:val="TableParagraph"/>
              <w:kinsoku w:val="0"/>
              <w:overflowPunct w:val="0"/>
              <w:ind w:left="278"/>
              <w:rPr>
                <w:lang w:val="sk-SK"/>
              </w:rPr>
            </w:pPr>
            <w:r w:rsidRPr="003A5C41">
              <w:rPr>
                <w:sz w:val="22"/>
                <w:szCs w:val="22"/>
                <w:lang w:val="sk-SK"/>
              </w:rPr>
              <w:t>CR</w:t>
            </w:r>
          </w:p>
        </w:tc>
        <w:tc>
          <w:tcPr>
            <w:tcW w:w="1723" w:type="dxa"/>
            <w:tcBorders>
              <w:top w:val="single" w:sz="7" w:space="0" w:color="000000"/>
              <w:left w:val="single" w:sz="7" w:space="0" w:color="000000"/>
              <w:bottom w:val="single" w:sz="7" w:space="0" w:color="000000"/>
              <w:right w:val="single" w:sz="7" w:space="0" w:color="000000"/>
            </w:tcBorders>
          </w:tcPr>
          <w:p w14:paraId="642EFF53" w14:textId="77777777" w:rsidR="00A150D7" w:rsidRPr="003A5C41" w:rsidRDefault="00A150D7">
            <w:pPr>
              <w:pStyle w:val="TableParagraph"/>
              <w:kinsoku w:val="0"/>
              <w:overflowPunct w:val="0"/>
              <w:ind w:left="96" w:right="94"/>
              <w:jc w:val="center"/>
              <w:rPr>
                <w:lang w:val="sk-SK"/>
              </w:rPr>
            </w:pPr>
            <w:r w:rsidRPr="003A5C41">
              <w:rPr>
                <w:sz w:val="22"/>
                <w:szCs w:val="22"/>
                <w:lang w:val="sk-SK"/>
              </w:rPr>
              <w:t>81 (15,1)</w:t>
            </w:r>
          </w:p>
        </w:tc>
        <w:tc>
          <w:tcPr>
            <w:tcW w:w="1723" w:type="dxa"/>
            <w:tcBorders>
              <w:top w:val="single" w:sz="7" w:space="0" w:color="000000"/>
              <w:left w:val="single" w:sz="7" w:space="0" w:color="000000"/>
              <w:bottom w:val="single" w:sz="7" w:space="0" w:color="000000"/>
              <w:right w:val="single" w:sz="7" w:space="0" w:color="000000"/>
            </w:tcBorders>
          </w:tcPr>
          <w:p w14:paraId="7A05FBC0" w14:textId="77777777" w:rsidR="00A150D7" w:rsidRPr="003A5C41" w:rsidRDefault="00A150D7">
            <w:pPr>
              <w:pStyle w:val="TableParagraph"/>
              <w:kinsoku w:val="0"/>
              <w:overflowPunct w:val="0"/>
              <w:ind w:left="448"/>
              <w:rPr>
                <w:lang w:val="sk-SK"/>
              </w:rPr>
            </w:pPr>
            <w:r w:rsidRPr="003A5C41">
              <w:rPr>
                <w:sz w:val="22"/>
                <w:szCs w:val="22"/>
                <w:lang w:val="sk-SK"/>
              </w:rPr>
              <w:t>77 (14,2)</w:t>
            </w:r>
          </w:p>
        </w:tc>
        <w:tc>
          <w:tcPr>
            <w:tcW w:w="1724" w:type="dxa"/>
            <w:tcBorders>
              <w:top w:val="single" w:sz="7" w:space="0" w:color="000000"/>
              <w:left w:val="single" w:sz="7" w:space="0" w:color="000000"/>
              <w:bottom w:val="single" w:sz="7" w:space="0" w:color="000000"/>
              <w:right w:val="single" w:sz="7" w:space="0" w:color="000000"/>
            </w:tcBorders>
          </w:tcPr>
          <w:p w14:paraId="5297E478" w14:textId="77777777" w:rsidR="00A150D7" w:rsidRPr="003A5C41" w:rsidRDefault="00A150D7">
            <w:pPr>
              <w:pStyle w:val="TableParagraph"/>
              <w:kinsoku w:val="0"/>
              <w:overflowPunct w:val="0"/>
              <w:ind w:right="94"/>
              <w:jc w:val="center"/>
              <w:rPr>
                <w:lang w:val="sk-SK"/>
              </w:rPr>
            </w:pPr>
            <w:r w:rsidRPr="003A5C41">
              <w:rPr>
                <w:sz w:val="22"/>
                <w:szCs w:val="22"/>
                <w:lang w:val="sk-SK"/>
              </w:rPr>
              <w:t>51 (9,3)</w:t>
            </w:r>
          </w:p>
        </w:tc>
      </w:tr>
      <w:tr w:rsidR="00A150D7" w:rsidRPr="003A5C41" w14:paraId="69055513" w14:textId="77777777" w:rsidTr="00A150D7">
        <w:trPr>
          <w:trHeight w:hRule="exact" w:val="271"/>
        </w:trPr>
        <w:tc>
          <w:tcPr>
            <w:tcW w:w="4003" w:type="dxa"/>
            <w:tcBorders>
              <w:top w:val="single" w:sz="7" w:space="0" w:color="000000"/>
              <w:left w:val="single" w:sz="7" w:space="0" w:color="000000"/>
              <w:bottom w:val="single" w:sz="7" w:space="0" w:color="000000"/>
              <w:right w:val="single" w:sz="7" w:space="0" w:color="000000"/>
            </w:tcBorders>
          </w:tcPr>
          <w:p w14:paraId="2087E461" w14:textId="77777777" w:rsidR="00A150D7" w:rsidRPr="003A5C41" w:rsidRDefault="00A150D7">
            <w:pPr>
              <w:pStyle w:val="TableParagraph"/>
              <w:kinsoku w:val="0"/>
              <w:overflowPunct w:val="0"/>
              <w:ind w:left="278"/>
              <w:rPr>
                <w:lang w:val="sk-SK"/>
              </w:rPr>
            </w:pPr>
            <w:r w:rsidRPr="003A5C41">
              <w:rPr>
                <w:sz w:val="22"/>
                <w:szCs w:val="22"/>
                <w:lang w:val="sk-SK"/>
              </w:rPr>
              <w:t>VGPR</w:t>
            </w:r>
          </w:p>
        </w:tc>
        <w:tc>
          <w:tcPr>
            <w:tcW w:w="1723" w:type="dxa"/>
            <w:tcBorders>
              <w:top w:val="single" w:sz="7" w:space="0" w:color="000000"/>
              <w:left w:val="single" w:sz="7" w:space="0" w:color="000000"/>
              <w:bottom w:val="single" w:sz="7" w:space="0" w:color="000000"/>
              <w:right w:val="single" w:sz="7" w:space="0" w:color="000000"/>
            </w:tcBorders>
          </w:tcPr>
          <w:p w14:paraId="185121A7" w14:textId="77777777" w:rsidR="00A150D7" w:rsidRPr="003A5C41" w:rsidRDefault="00A150D7">
            <w:pPr>
              <w:pStyle w:val="TableParagraph"/>
              <w:kinsoku w:val="0"/>
              <w:overflowPunct w:val="0"/>
              <w:ind w:right="94"/>
              <w:jc w:val="center"/>
              <w:rPr>
                <w:lang w:val="sk-SK"/>
              </w:rPr>
            </w:pPr>
            <w:r w:rsidRPr="003A5C41">
              <w:rPr>
                <w:sz w:val="22"/>
                <w:szCs w:val="22"/>
                <w:lang w:val="sk-SK"/>
              </w:rPr>
              <w:t>152 (28,4)</w:t>
            </w:r>
          </w:p>
        </w:tc>
        <w:tc>
          <w:tcPr>
            <w:tcW w:w="1723" w:type="dxa"/>
            <w:tcBorders>
              <w:top w:val="single" w:sz="7" w:space="0" w:color="000000"/>
              <w:left w:val="single" w:sz="7" w:space="0" w:color="000000"/>
              <w:bottom w:val="single" w:sz="7" w:space="0" w:color="000000"/>
              <w:right w:val="single" w:sz="7" w:space="0" w:color="000000"/>
            </w:tcBorders>
          </w:tcPr>
          <w:p w14:paraId="7B84B0EC" w14:textId="77777777" w:rsidR="00A150D7" w:rsidRPr="003A5C41" w:rsidRDefault="00A150D7">
            <w:pPr>
              <w:pStyle w:val="TableParagraph"/>
              <w:kinsoku w:val="0"/>
              <w:overflowPunct w:val="0"/>
              <w:ind w:left="393"/>
              <w:rPr>
                <w:lang w:val="sk-SK"/>
              </w:rPr>
            </w:pPr>
            <w:r w:rsidRPr="003A5C41">
              <w:rPr>
                <w:sz w:val="22"/>
                <w:szCs w:val="22"/>
                <w:lang w:val="sk-SK"/>
              </w:rPr>
              <w:t>154 (28,5)</w:t>
            </w:r>
          </w:p>
        </w:tc>
        <w:tc>
          <w:tcPr>
            <w:tcW w:w="1724" w:type="dxa"/>
            <w:tcBorders>
              <w:top w:val="single" w:sz="7" w:space="0" w:color="000000"/>
              <w:left w:val="single" w:sz="7" w:space="0" w:color="000000"/>
              <w:bottom w:val="single" w:sz="7" w:space="0" w:color="000000"/>
              <w:right w:val="single" w:sz="7" w:space="0" w:color="000000"/>
            </w:tcBorders>
          </w:tcPr>
          <w:p w14:paraId="2C8442D9" w14:textId="77777777" w:rsidR="00A150D7" w:rsidRPr="003A5C41" w:rsidRDefault="00A150D7">
            <w:pPr>
              <w:pStyle w:val="TableParagraph"/>
              <w:kinsoku w:val="0"/>
              <w:overflowPunct w:val="0"/>
              <w:ind w:right="94"/>
              <w:jc w:val="center"/>
              <w:rPr>
                <w:lang w:val="sk-SK"/>
              </w:rPr>
            </w:pPr>
            <w:r w:rsidRPr="003A5C41">
              <w:rPr>
                <w:sz w:val="22"/>
                <w:szCs w:val="22"/>
                <w:lang w:val="sk-SK"/>
              </w:rPr>
              <w:t>103 (18,8)</w:t>
            </w:r>
          </w:p>
        </w:tc>
      </w:tr>
      <w:tr w:rsidR="00A150D7" w:rsidRPr="003A5C41" w14:paraId="6228D0BA" w14:textId="77777777" w:rsidTr="00A150D7">
        <w:trPr>
          <w:trHeight w:hRule="exact" w:val="274"/>
        </w:trPr>
        <w:tc>
          <w:tcPr>
            <w:tcW w:w="4003" w:type="dxa"/>
            <w:tcBorders>
              <w:top w:val="single" w:sz="7" w:space="0" w:color="000000"/>
              <w:left w:val="single" w:sz="7" w:space="0" w:color="000000"/>
              <w:bottom w:val="single" w:sz="7" w:space="0" w:color="000000"/>
              <w:right w:val="single" w:sz="7" w:space="0" w:color="000000"/>
            </w:tcBorders>
          </w:tcPr>
          <w:p w14:paraId="0C9D965E" w14:textId="77777777" w:rsidR="00A150D7" w:rsidRPr="003A5C41" w:rsidRDefault="00A150D7">
            <w:pPr>
              <w:pStyle w:val="TableParagraph"/>
              <w:kinsoku w:val="0"/>
              <w:overflowPunct w:val="0"/>
              <w:spacing w:before="1"/>
              <w:ind w:left="278"/>
              <w:rPr>
                <w:lang w:val="sk-SK"/>
              </w:rPr>
            </w:pPr>
            <w:r w:rsidRPr="003A5C41">
              <w:rPr>
                <w:sz w:val="22"/>
                <w:szCs w:val="22"/>
                <w:lang w:val="sk-SK"/>
              </w:rPr>
              <w:t>PR</w:t>
            </w:r>
          </w:p>
        </w:tc>
        <w:tc>
          <w:tcPr>
            <w:tcW w:w="1723" w:type="dxa"/>
            <w:tcBorders>
              <w:top w:val="single" w:sz="7" w:space="0" w:color="000000"/>
              <w:left w:val="single" w:sz="7" w:space="0" w:color="000000"/>
              <w:bottom w:val="single" w:sz="7" w:space="0" w:color="000000"/>
              <w:right w:val="single" w:sz="7" w:space="0" w:color="000000"/>
            </w:tcBorders>
          </w:tcPr>
          <w:p w14:paraId="149E4D2C" w14:textId="77777777" w:rsidR="00A150D7" w:rsidRPr="003A5C41" w:rsidRDefault="00A150D7">
            <w:pPr>
              <w:pStyle w:val="TableParagraph"/>
              <w:kinsoku w:val="0"/>
              <w:overflowPunct w:val="0"/>
              <w:spacing w:before="1"/>
              <w:ind w:right="94"/>
              <w:jc w:val="center"/>
              <w:rPr>
                <w:lang w:val="sk-SK"/>
              </w:rPr>
            </w:pPr>
            <w:r w:rsidRPr="003A5C41">
              <w:rPr>
                <w:sz w:val="22"/>
                <w:szCs w:val="22"/>
                <w:lang w:val="sk-SK"/>
              </w:rPr>
              <w:t>169 (31,6)</w:t>
            </w:r>
          </w:p>
        </w:tc>
        <w:tc>
          <w:tcPr>
            <w:tcW w:w="1723" w:type="dxa"/>
            <w:tcBorders>
              <w:top w:val="single" w:sz="7" w:space="0" w:color="000000"/>
              <w:left w:val="single" w:sz="7" w:space="0" w:color="000000"/>
              <w:bottom w:val="single" w:sz="7" w:space="0" w:color="000000"/>
              <w:right w:val="single" w:sz="7" w:space="0" w:color="000000"/>
            </w:tcBorders>
          </w:tcPr>
          <w:p w14:paraId="18034D3B" w14:textId="77777777" w:rsidR="00A150D7" w:rsidRPr="003A5C41" w:rsidRDefault="00A150D7">
            <w:pPr>
              <w:pStyle w:val="TableParagraph"/>
              <w:kinsoku w:val="0"/>
              <w:overflowPunct w:val="0"/>
              <w:spacing w:before="1"/>
              <w:ind w:left="393"/>
              <w:rPr>
                <w:lang w:val="sk-SK"/>
              </w:rPr>
            </w:pPr>
            <w:r w:rsidRPr="003A5C41">
              <w:rPr>
                <w:sz w:val="22"/>
                <w:szCs w:val="22"/>
                <w:lang w:val="sk-SK"/>
              </w:rPr>
              <w:t>166 (30,7)</w:t>
            </w:r>
          </w:p>
        </w:tc>
        <w:tc>
          <w:tcPr>
            <w:tcW w:w="1724" w:type="dxa"/>
            <w:tcBorders>
              <w:top w:val="single" w:sz="7" w:space="0" w:color="000000"/>
              <w:left w:val="single" w:sz="7" w:space="0" w:color="000000"/>
              <w:bottom w:val="single" w:sz="7" w:space="0" w:color="000000"/>
              <w:right w:val="single" w:sz="7" w:space="0" w:color="000000"/>
            </w:tcBorders>
          </w:tcPr>
          <w:p w14:paraId="51B68568" w14:textId="77777777" w:rsidR="00A150D7" w:rsidRPr="003A5C41" w:rsidRDefault="00A150D7">
            <w:pPr>
              <w:pStyle w:val="TableParagraph"/>
              <w:kinsoku w:val="0"/>
              <w:overflowPunct w:val="0"/>
              <w:spacing w:before="1"/>
              <w:ind w:right="94"/>
              <w:jc w:val="center"/>
              <w:rPr>
                <w:lang w:val="sk-SK"/>
              </w:rPr>
            </w:pPr>
            <w:r w:rsidRPr="003A5C41">
              <w:rPr>
                <w:sz w:val="22"/>
                <w:szCs w:val="22"/>
                <w:lang w:val="sk-SK"/>
              </w:rPr>
              <w:t>187 (34,2)</w:t>
            </w:r>
          </w:p>
        </w:tc>
      </w:tr>
      <w:tr w:rsidR="00A150D7" w:rsidRPr="003A5C41" w14:paraId="43821CF6" w14:textId="77777777" w:rsidTr="00A150D7">
        <w:trPr>
          <w:trHeight w:hRule="exact" w:val="274"/>
        </w:trPr>
        <w:tc>
          <w:tcPr>
            <w:tcW w:w="4003" w:type="dxa"/>
            <w:tcBorders>
              <w:top w:val="single" w:sz="7" w:space="0" w:color="000000"/>
              <w:left w:val="single" w:sz="7" w:space="0" w:color="000000"/>
              <w:bottom w:val="single" w:sz="7" w:space="0" w:color="000000"/>
              <w:right w:val="single" w:sz="7" w:space="0" w:color="000000"/>
            </w:tcBorders>
          </w:tcPr>
          <w:p w14:paraId="52DC69A1" w14:textId="77777777" w:rsidR="00A150D7" w:rsidRPr="003A5C41" w:rsidRDefault="00A150D7">
            <w:pPr>
              <w:pStyle w:val="TableParagraph"/>
              <w:kinsoku w:val="0"/>
              <w:overflowPunct w:val="0"/>
              <w:ind w:left="278"/>
              <w:rPr>
                <w:lang w:val="sk-SK"/>
              </w:rPr>
            </w:pPr>
            <w:r w:rsidRPr="003A5C41">
              <w:rPr>
                <w:sz w:val="22"/>
                <w:szCs w:val="22"/>
                <w:lang w:val="sk-SK"/>
              </w:rPr>
              <w:t>Celková odpoveď: CR, VGPR, alebo PR</w:t>
            </w:r>
          </w:p>
        </w:tc>
        <w:tc>
          <w:tcPr>
            <w:tcW w:w="1723" w:type="dxa"/>
            <w:tcBorders>
              <w:top w:val="single" w:sz="7" w:space="0" w:color="000000"/>
              <w:left w:val="single" w:sz="7" w:space="0" w:color="000000"/>
              <w:bottom w:val="single" w:sz="7" w:space="0" w:color="000000"/>
              <w:right w:val="single" w:sz="7" w:space="0" w:color="000000"/>
            </w:tcBorders>
          </w:tcPr>
          <w:p w14:paraId="6CCD1B34" w14:textId="77777777" w:rsidR="00A150D7" w:rsidRPr="003A5C41" w:rsidRDefault="00A150D7">
            <w:pPr>
              <w:pStyle w:val="TableParagraph"/>
              <w:kinsoku w:val="0"/>
              <w:overflowPunct w:val="0"/>
              <w:ind w:right="94"/>
              <w:jc w:val="center"/>
              <w:rPr>
                <w:lang w:val="sk-SK"/>
              </w:rPr>
            </w:pPr>
            <w:r w:rsidRPr="003A5C41">
              <w:rPr>
                <w:sz w:val="22"/>
                <w:szCs w:val="22"/>
                <w:lang w:val="sk-SK"/>
              </w:rPr>
              <w:t>402 (75,1)</w:t>
            </w:r>
          </w:p>
        </w:tc>
        <w:tc>
          <w:tcPr>
            <w:tcW w:w="1723" w:type="dxa"/>
            <w:tcBorders>
              <w:top w:val="single" w:sz="7" w:space="0" w:color="000000"/>
              <w:left w:val="single" w:sz="7" w:space="0" w:color="000000"/>
              <w:bottom w:val="single" w:sz="7" w:space="0" w:color="000000"/>
              <w:right w:val="single" w:sz="7" w:space="0" w:color="000000"/>
            </w:tcBorders>
          </w:tcPr>
          <w:p w14:paraId="1399924E" w14:textId="77777777" w:rsidR="00A150D7" w:rsidRPr="003A5C41" w:rsidRDefault="00A150D7">
            <w:pPr>
              <w:pStyle w:val="TableParagraph"/>
              <w:kinsoku w:val="0"/>
              <w:overflowPunct w:val="0"/>
              <w:ind w:left="393"/>
              <w:rPr>
                <w:lang w:val="sk-SK"/>
              </w:rPr>
            </w:pPr>
            <w:r w:rsidRPr="003A5C41">
              <w:rPr>
                <w:sz w:val="22"/>
                <w:szCs w:val="22"/>
                <w:lang w:val="sk-SK"/>
              </w:rPr>
              <w:t>397 (73,4)</w:t>
            </w:r>
          </w:p>
        </w:tc>
        <w:tc>
          <w:tcPr>
            <w:tcW w:w="1724" w:type="dxa"/>
            <w:tcBorders>
              <w:top w:val="single" w:sz="7" w:space="0" w:color="000000"/>
              <w:left w:val="single" w:sz="7" w:space="0" w:color="000000"/>
              <w:bottom w:val="single" w:sz="7" w:space="0" w:color="000000"/>
              <w:right w:val="single" w:sz="7" w:space="0" w:color="000000"/>
            </w:tcBorders>
          </w:tcPr>
          <w:p w14:paraId="058E69EB" w14:textId="77777777" w:rsidR="00A150D7" w:rsidRPr="003A5C41" w:rsidRDefault="00A150D7">
            <w:pPr>
              <w:pStyle w:val="TableParagraph"/>
              <w:kinsoku w:val="0"/>
              <w:overflowPunct w:val="0"/>
              <w:ind w:right="94"/>
              <w:jc w:val="center"/>
              <w:rPr>
                <w:lang w:val="sk-SK"/>
              </w:rPr>
            </w:pPr>
            <w:r w:rsidRPr="003A5C41">
              <w:rPr>
                <w:sz w:val="22"/>
                <w:szCs w:val="22"/>
                <w:lang w:val="sk-SK"/>
              </w:rPr>
              <w:t>341 (62,3)</w:t>
            </w:r>
          </w:p>
        </w:tc>
      </w:tr>
      <w:tr w:rsidR="00A150D7" w:rsidRPr="003A5C41" w14:paraId="3CCDB987" w14:textId="77777777" w:rsidTr="00A150D7">
        <w:trPr>
          <w:trHeight w:hRule="exact" w:val="288"/>
        </w:trPr>
        <w:tc>
          <w:tcPr>
            <w:tcW w:w="4003" w:type="dxa"/>
            <w:tcBorders>
              <w:top w:val="single" w:sz="7" w:space="0" w:color="000000"/>
              <w:left w:val="single" w:sz="7" w:space="0" w:color="000000"/>
              <w:bottom w:val="single" w:sz="7" w:space="0" w:color="000000"/>
              <w:right w:val="single" w:sz="7" w:space="0" w:color="000000"/>
            </w:tcBorders>
          </w:tcPr>
          <w:p w14:paraId="719DD2DF" w14:textId="1E73DDBD" w:rsidR="00A150D7" w:rsidRPr="003A5C41" w:rsidRDefault="00A150D7">
            <w:pPr>
              <w:pStyle w:val="TableParagraph"/>
              <w:kinsoku w:val="0"/>
              <w:overflowPunct w:val="0"/>
              <w:spacing w:line="269" w:lineRule="exact"/>
              <w:ind w:left="98"/>
              <w:rPr>
                <w:lang w:val="sk-SK"/>
              </w:rPr>
            </w:pPr>
            <w:r w:rsidRPr="003A5C41">
              <w:rPr>
                <w:b/>
                <w:bCs/>
                <w:sz w:val="22"/>
                <w:szCs w:val="22"/>
                <w:lang w:val="sk-SK"/>
              </w:rPr>
              <w:t xml:space="preserve">Trvanie odpovede </w:t>
            </w:r>
            <w:r w:rsidR="00AF53B6">
              <w:rPr>
                <w:sz w:val="22"/>
                <w:szCs w:val="22"/>
                <w:lang w:val="sk-SK"/>
              </w:rPr>
              <w:t>-</w:t>
            </w:r>
            <w:r w:rsidRPr="003A5C41">
              <w:rPr>
                <w:sz w:val="22"/>
                <w:szCs w:val="22"/>
                <w:lang w:val="sk-SK"/>
              </w:rPr>
              <w:t xml:space="preserve"> </w:t>
            </w:r>
            <w:r w:rsidRPr="003A5C41">
              <w:rPr>
                <w:b/>
                <w:bCs/>
                <w:sz w:val="22"/>
                <w:szCs w:val="22"/>
                <w:lang w:val="sk-SK"/>
              </w:rPr>
              <w:t>(mesiace)</w:t>
            </w:r>
            <w:r w:rsidR="002A4197" w:rsidRPr="00221953">
              <w:rPr>
                <w:b/>
                <w:bCs/>
                <w:sz w:val="22"/>
                <w:szCs w:val="22"/>
                <w:vertAlign w:val="superscript"/>
                <w:lang w:val="sk-SK"/>
              </w:rPr>
              <w:t>h</w:t>
            </w:r>
          </w:p>
        </w:tc>
        <w:tc>
          <w:tcPr>
            <w:tcW w:w="1723" w:type="dxa"/>
            <w:tcBorders>
              <w:top w:val="single" w:sz="7" w:space="0" w:color="000000"/>
              <w:left w:val="single" w:sz="7" w:space="0" w:color="000000"/>
              <w:bottom w:val="single" w:sz="7" w:space="0" w:color="000000"/>
              <w:right w:val="single" w:sz="7" w:space="0" w:color="000000"/>
            </w:tcBorders>
          </w:tcPr>
          <w:p w14:paraId="4EAF961E" w14:textId="77777777" w:rsidR="00A150D7" w:rsidRPr="003A5C41" w:rsidRDefault="00A150D7"/>
        </w:tc>
        <w:tc>
          <w:tcPr>
            <w:tcW w:w="1723" w:type="dxa"/>
            <w:tcBorders>
              <w:top w:val="single" w:sz="7" w:space="0" w:color="000000"/>
              <w:left w:val="single" w:sz="7" w:space="0" w:color="000000"/>
              <w:bottom w:val="single" w:sz="7" w:space="0" w:color="000000"/>
              <w:right w:val="single" w:sz="7" w:space="0" w:color="000000"/>
            </w:tcBorders>
          </w:tcPr>
          <w:p w14:paraId="411EE653" w14:textId="77777777" w:rsidR="00A150D7" w:rsidRPr="003A5C41" w:rsidRDefault="00A150D7"/>
        </w:tc>
        <w:tc>
          <w:tcPr>
            <w:tcW w:w="1724" w:type="dxa"/>
            <w:tcBorders>
              <w:top w:val="single" w:sz="7" w:space="0" w:color="000000"/>
              <w:left w:val="single" w:sz="7" w:space="0" w:color="000000"/>
              <w:bottom w:val="single" w:sz="7" w:space="0" w:color="000000"/>
              <w:right w:val="single" w:sz="7" w:space="0" w:color="000000"/>
            </w:tcBorders>
          </w:tcPr>
          <w:p w14:paraId="5976C76E" w14:textId="77777777" w:rsidR="00A150D7" w:rsidRPr="003A5C41" w:rsidRDefault="00A150D7"/>
        </w:tc>
      </w:tr>
      <w:tr w:rsidR="00A150D7" w:rsidRPr="003A5C41" w14:paraId="55F89DEA" w14:textId="77777777" w:rsidTr="00A150D7">
        <w:trPr>
          <w:trHeight w:hRule="exact" w:val="274"/>
        </w:trPr>
        <w:tc>
          <w:tcPr>
            <w:tcW w:w="4003" w:type="dxa"/>
            <w:tcBorders>
              <w:top w:val="single" w:sz="7" w:space="0" w:color="000000"/>
              <w:left w:val="single" w:sz="7" w:space="0" w:color="000000"/>
              <w:bottom w:val="single" w:sz="7" w:space="0" w:color="000000"/>
              <w:right w:val="single" w:sz="7" w:space="0" w:color="000000"/>
            </w:tcBorders>
          </w:tcPr>
          <w:p w14:paraId="3B533F78" w14:textId="5E0E519B" w:rsidR="00A150D7" w:rsidRPr="003A5C41" w:rsidRDefault="00A150D7" w:rsidP="00765516">
            <w:pPr>
              <w:pStyle w:val="TableParagraph"/>
              <w:kinsoku w:val="0"/>
              <w:overflowPunct w:val="0"/>
              <w:spacing w:line="254" w:lineRule="exact"/>
              <w:ind w:left="278"/>
              <w:rPr>
                <w:lang w:val="sk-SK"/>
              </w:rPr>
            </w:pPr>
            <w:r w:rsidRPr="003A5C41">
              <w:rPr>
                <w:sz w:val="22"/>
                <w:szCs w:val="22"/>
                <w:lang w:val="sk-SK"/>
              </w:rPr>
              <w:t>Medián</w:t>
            </w:r>
            <w:r w:rsidRPr="003A5C41">
              <w:rPr>
                <w:position w:val="8"/>
                <w:sz w:val="14"/>
                <w:szCs w:val="14"/>
                <w:lang w:val="sk-SK"/>
              </w:rPr>
              <w:t xml:space="preserve">a </w:t>
            </w:r>
            <w:r w:rsidRPr="003A5C41">
              <w:rPr>
                <w:sz w:val="22"/>
                <w:szCs w:val="22"/>
                <w:lang w:val="sk-SK"/>
              </w:rPr>
              <w:t xml:space="preserve">(95% </w:t>
            </w:r>
            <w:r w:rsidR="00765516">
              <w:rPr>
                <w:sz w:val="22"/>
                <w:szCs w:val="22"/>
                <w:lang w:val="sk-SK"/>
              </w:rPr>
              <w:t>IS</w:t>
            </w:r>
            <w:r w:rsidRPr="003A5C41">
              <w:rPr>
                <w:sz w:val="22"/>
                <w:szCs w:val="22"/>
                <w:lang w:val="sk-SK"/>
              </w:rPr>
              <w:t>)</w:t>
            </w:r>
            <w:r w:rsidRPr="003A5C41">
              <w:rPr>
                <w:position w:val="8"/>
                <w:sz w:val="14"/>
                <w:szCs w:val="14"/>
                <w:lang w:val="sk-SK"/>
              </w:rPr>
              <w:t>b</w:t>
            </w:r>
          </w:p>
        </w:tc>
        <w:tc>
          <w:tcPr>
            <w:tcW w:w="1723" w:type="dxa"/>
            <w:tcBorders>
              <w:top w:val="single" w:sz="7" w:space="0" w:color="000000"/>
              <w:left w:val="single" w:sz="7" w:space="0" w:color="000000"/>
              <w:bottom w:val="single" w:sz="7" w:space="0" w:color="000000"/>
              <w:right w:val="single" w:sz="7" w:space="0" w:color="000000"/>
            </w:tcBorders>
          </w:tcPr>
          <w:p w14:paraId="03B6A6C1" w14:textId="77777777" w:rsidR="00A150D7" w:rsidRPr="003A5C41" w:rsidRDefault="00A150D7">
            <w:pPr>
              <w:pStyle w:val="TableParagraph"/>
              <w:kinsoku w:val="0"/>
              <w:overflowPunct w:val="0"/>
              <w:spacing w:before="1"/>
              <w:ind w:right="94"/>
              <w:jc w:val="center"/>
              <w:rPr>
                <w:lang w:val="sk-SK"/>
              </w:rPr>
            </w:pPr>
            <w:r w:rsidRPr="003A5C41">
              <w:rPr>
                <w:sz w:val="22"/>
                <w:szCs w:val="22"/>
                <w:lang w:val="sk-SK"/>
              </w:rPr>
              <w:t>35,0 (27,9; 43,4)</w:t>
            </w:r>
          </w:p>
        </w:tc>
        <w:tc>
          <w:tcPr>
            <w:tcW w:w="1723" w:type="dxa"/>
            <w:tcBorders>
              <w:top w:val="single" w:sz="7" w:space="0" w:color="000000"/>
              <w:left w:val="single" w:sz="7" w:space="0" w:color="000000"/>
              <w:bottom w:val="single" w:sz="7" w:space="0" w:color="000000"/>
              <w:right w:val="single" w:sz="7" w:space="0" w:color="000000"/>
            </w:tcBorders>
          </w:tcPr>
          <w:p w14:paraId="1127EA85" w14:textId="77777777" w:rsidR="00A150D7" w:rsidRPr="003A5C41" w:rsidRDefault="00A150D7">
            <w:pPr>
              <w:pStyle w:val="TableParagraph"/>
              <w:kinsoku w:val="0"/>
              <w:overflowPunct w:val="0"/>
              <w:spacing w:before="1"/>
              <w:ind w:right="140"/>
              <w:jc w:val="right"/>
              <w:rPr>
                <w:lang w:val="sk-SK"/>
              </w:rPr>
            </w:pPr>
            <w:r w:rsidRPr="003A5C41">
              <w:rPr>
                <w:sz w:val="22"/>
                <w:szCs w:val="22"/>
                <w:lang w:val="sk-SK"/>
              </w:rPr>
              <w:t>22,1 (20,3;24,0)</w:t>
            </w:r>
          </w:p>
        </w:tc>
        <w:tc>
          <w:tcPr>
            <w:tcW w:w="1724" w:type="dxa"/>
            <w:tcBorders>
              <w:top w:val="single" w:sz="7" w:space="0" w:color="000000"/>
              <w:left w:val="single" w:sz="7" w:space="0" w:color="000000"/>
              <w:bottom w:val="single" w:sz="7" w:space="0" w:color="000000"/>
              <w:right w:val="single" w:sz="7" w:space="0" w:color="000000"/>
            </w:tcBorders>
          </w:tcPr>
          <w:p w14:paraId="435CB0D4" w14:textId="77777777" w:rsidR="00A150D7" w:rsidRPr="003A5C41" w:rsidRDefault="00A150D7">
            <w:pPr>
              <w:pStyle w:val="TableParagraph"/>
              <w:kinsoku w:val="0"/>
              <w:overflowPunct w:val="0"/>
              <w:spacing w:before="1"/>
              <w:ind w:right="94"/>
              <w:jc w:val="center"/>
              <w:rPr>
                <w:lang w:val="sk-SK"/>
              </w:rPr>
            </w:pPr>
            <w:r w:rsidRPr="003A5C41">
              <w:rPr>
                <w:sz w:val="22"/>
                <w:szCs w:val="22"/>
                <w:lang w:val="sk-SK"/>
              </w:rPr>
              <w:t>22,3 (20,2; 24,9)</w:t>
            </w:r>
          </w:p>
        </w:tc>
      </w:tr>
    </w:tbl>
    <w:p w14:paraId="3DCEFF3D" w14:textId="4475C273" w:rsidR="00A150D7" w:rsidRPr="00741D52" w:rsidRDefault="00A150D7" w:rsidP="00A150D7">
      <w:pPr>
        <w:autoSpaceDE w:val="0"/>
        <w:autoSpaceDN w:val="0"/>
        <w:adjustRightInd w:val="0"/>
        <w:ind w:left="0" w:firstLine="0"/>
        <w:rPr>
          <w:rFonts w:eastAsia="TimesNewRomanPSMT"/>
          <w:sz w:val="18"/>
          <w:szCs w:val="18"/>
          <w:lang w:eastAsia="en-US"/>
        </w:rPr>
      </w:pPr>
      <w:r w:rsidRPr="002A4197">
        <w:rPr>
          <w:rFonts w:eastAsia="TimesNewRomanPSMT"/>
          <w:sz w:val="18"/>
          <w:szCs w:val="18"/>
          <w:lang w:eastAsia="en-US"/>
        </w:rPr>
        <w:t>A</w:t>
      </w:r>
      <w:r w:rsidRPr="00741D52">
        <w:rPr>
          <w:rFonts w:eastAsia="TimesNewRomanPSMT"/>
          <w:sz w:val="18"/>
          <w:szCs w:val="18"/>
          <w:lang w:eastAsia="en-US"/>
        </w:rPr>
        <w:t xml:space="preserve">MT = antimyelómova liečba; </w:t>
      </w:r>
      <w:r w:rsidR="00765516">
        <w:rPr>
          <w:rFonts w:eastAsia="TimesNewRomanPSMT"/>
          <w:sz w:val="18"/>
          <w:szCs w:val="18"/>
          <w:lang w:eastAsia="en-US"/>
        </w:rPr>
        <w:t>IS</w:t>
      </w:r>
      <w:r w:rsidR="00765516" w:rsidRPr="00741D52">
        <w:rPr>
          <w:rFonts w:eastAsia="TimesNewRomanPSMT"/>
          <w:sz w:val="18"/>
          <w:szCs w:val="18"/>
          <w:lang w:eastAsia="en-US"/>
        </w:rPr>
        <w:t xml:space="preserve"> </w:t>
      </w:r>
      <w:r w:rsidRPr="00741D52">
        <w:rPr>
          <w:rFonts w:eastAsia="TimesNewRomanPSMT"/>
          <w:sz w:val="18"/>
          <w:szCs w:val="18"/>
          <w:lang w:eastAsia="en-US"/>
        </w:rPr>
        <w:t xml:space="preserve">= interval spoľahlivosti; CR = kompletná odpoveď; d = nízkodávkovaný dexametazón; HR = miera rizika; IMWG = </w:t>
      </w:r>
      <w:r w:rsidR="002A4197" w:rsidRPr="002A4197">
        <w:rPr>
          <w:rFonts w:eastAsia="TimesNewRomanPSMT"/>
          <w:sz w:val="18"/>
          <w:szCs w:val="18"/>
          <w:lang w:eastAsia="en-US"/>
        </w:rPr>
        <w:t xml:space="preserve">Mezinárodná myelómová pracovná skupina </w:t>
      </w:r>
      <w:r w:rsidR="002A4197">
        <w:rPr>
          <w:rFonts w:eastAsia="TimesNewRomanPSMT"/>
          <w:sz w:val="18"/>
          <w:szCs w:val="18"/>
          <w:lang w:eastAsia="en-US"/>
        </w:rPr>
        <w:t>(</w:t>
      </w:r>
      <w:r w:rsidRPr="00741D52">
        <w:rPr>
          <w:rFonts w:eastAsia="TimesNewRomanPSMT"/>
          <w:sz w:val="18"/>
          <w:szCs w:val="18"/>
          <w:lang w:eastAsia="en-US"/>
        </w:rPr>
        <w:t>International Myeloma Working Group</w:t>
      </w:r>
      <w:r w:rsidR="002A4197">
        <w:rPr>
          <w:rFonts w:eastAsia="TimesNewRomanPSMT"/>
          <w:sz w:val="18"/>
          <w:szCs w:val="18"/>
          <w:lang w:eastAsia="en-US"/>
        </w:rPr>
        <w:t>)</w:t>
      </w:r>
      <w:r w:rsidRPr="00741D52">
        <w:rPr>
          <w:rFonts w:eastAsia="TimesNewRomanPSMT"/>
          <w:sz w:val="18"/>
          <w:szCs w:val="18"/>
          <w:lang w:eastAsia="en-US"/>
        </w:rPr>
        <w:t xml:space="preserve">; IRAC = </w:t>
      </w:r>
      <w:r w:rsidR="002A4197" w:rsidRPr="002A4197">
        <w:rPr>
          <w:rFonts w:eastAsia="TimesNewRomanPSMT"/>
          <w:sz w:val="18"/>
          <w:szCs w:val="18"/>
          <w:lang w:eastAsia="en-US"/>
        </w:rPr>
        <w:t>Nezávislá komisia pre posu</w:t>
      </w:r>
      <w:r w:rsidR="00281558">
        <w:rPr>
          <w:rFonts w:eastAsia="TimesNewRomanPSMT"/>
          <w:sz w:val="18"/>
          <w:szCs w:val="18"/>
          <w:lang w:eastAsia="en-US"/>
        </w:rPr>
        <w:t>d</w:t>
      </w:r>
      <w:r w:rsidR="002A4197" w:rsidRPr="002A4197">
        <w:rPr>
          <w:rFonts w:eastAsia="TimesNewRomanPSMT"/>
          <w:sz w:val="18"/>
          <w:szCs w:val="18"/>
          <w:lang w:eastAsia="en-US"/>
        </w:rPr>
        <w:t xml:space="preserve">zovanie odpovede </w:t>
      </w:r>
      <w:r w:rsidR="002A4197">
        <w:rPr>
          <w:rFonts w:eastAsia="TimesNewRomanPSMT"/>
          <w:sz w:val="18"/>
          <w:szCs w:val="18"/>
          <w:lang w:eastAsia="en-US"/>
        </w:rPr>
        <w:t>(</w:t>
      </w:r>
      <w:r w:rsidRPr="00741D52">
        <w:rPr>
          <w:rFonts w:eastAsia="TimesNewRomanPSMT"/>
          <w:sz w:val="18"/>
          <w:szCs w:val="18"/>
          <w:lang w:eastAsia="en-US"/>
        </w:rPr>
        <w:t>Independent Response Adjudication Committee</w:t>
      </w:r>
      <w:r w:rsidR="002A4197">
        <w:rPr>
          <w:rFonts w:eastAsia="TimesNewRomanPSMT"/>
          <w:sz w:val="18"/>
          <w:szCs w:val="18"/>
          <w:lang w:eastAsia="en-US"/>
        </w:rPr>
        <w:t>)</w:t>
      </w:r>
      <w:r w:rsidRPr="00741D52">
        <w:rPr>
          <w:rFonts w:eastAsia="TimesNewRomanPSMT"/>
          <w:sz w:val="18"/>
          <w:szCs w:val="18"/>
          <w:lang w:eastAsia="en-US"/>
        </w:rPr>
        <w:t xml:space="preserve">; M = melfalán; max = maximum; min = minimum; NE = nestanoviteľné; OS = celkové prežívanie; P = prednizón; PFS = prežívanie bez progresie; PR = čiastočná odpoveď; R = lenalidomid; Rd = Rd podávané po zdokumentovanú progresiu ochorenia; Rd18 = Rd podávané </w:t>
      </w:r>
      <w:r w:rsidR="002A4197" w:rsidRPr="002A4197">
        <w:rPr>
          <w:rFonts w:eastAsia="TimesNewRomanPSMT"/>
          <w:sz w:val="18"/>
          <w:szCs w:val="18"/>
          <w:lang w:eastAsia="en-US"/>
        </w:rPr>
        <w:t>≥</w:t>
      </w:r>
      <w:r w:rsidRPr="00741D52">
        <w:rPr>
          <w:rFonts w:eastAsia="TimesNewRomanPSMT"/>
          <w:sz w:val="18"/>
          <w:szCs w:val="18"/>
          <w:lang w:eastAsia="en-US"/>
        </w:rPr>
        <w:t xml:space="preserve"> 18 cyklov; SE = štandardná chyba; T = talidomid; VGPR = veľmi dobrá čiastočná odpoveď; vs = versus.</w:t>
      </w:r>
    </w:p>
    <w:p w14:paraId="492289D9" w14:textId="74B18C51" w:rsidR="00A150D7" w:rsidRPr="00741D52" w:rsidRDefault="00A150D7" w:rsidP="00A150D7">
      <w:pPr>
        <w:autoSpaceDE w:val="0"/>
        <w:autoSpaceDN w:val="0"/>
        <w:adjustRightInd w:val="0"/>
        <w:ind w:left="0" w:firstLine="0"/>
        <w:rPr>
          <w:rFonts w:eastAsia="TimesNewRomanPSMT"/>
          <w:sz w:val="18"/>
          <w:szCs w:val="18"/>
          <w:lang w:eastAsia="en-US"/>
        </w:rPr>
      </w:pPr>
      <w:r w:rsidRPr="00741D52">
        <w:rPr>
          <w:rFonts w:eastAsia="TimesNewRomanPSMT"/>
          <w:sz w:val="18"/>
          <w:szCs w:val="18"/>
          <w:vertAlign w:val="superscript"/>
          <w:lang w:eastAsia="en-US"/>
        </w:rPr>
        <w:t>a</w:t>
      </w:r>
      <w:r w:rsidRPr="00741D52">
        <w:rPr>
          <w:rFonts w:eastAsia="TimesNewRomanPSMT"/>
          <w:sz w:val="18"/>
          <w:szCs w:val="18"/>
          <w:lang w:eastAsia="en-US"/>
        </w:rPr>
        <w:t xml:space="preserve"> Medián je založený na Kaplan</w:t>
      </w:r>
      <w:r w:rsidR="002A4197">
        <w:rPr>
          <w:rFonts w:eastAsia="TimesNewRomanPSMT"/>
          <w:sz w:val="18"/>
          <w:szCs w:val="18"/>
          <w:lang w:eastAsia="en-US"/>
        </w:rPr>
        <w:t>ovom</w:t>
      </w:r>
      <w:r w:rsidRPr="00741D52">
        <w:rPr>
          <w:rFonts w:eastAsia="TimesNewRomanPSMT"/>
          <w:sz w:val="18"/>
          <w:szCs w:val="18"/>
          <w:lang w:eastAsia="en-US"/>
        </w:rPr>
        <w:t>-Meier</w:t>
      </w:r>
      <w:r w:rsidR="002A4197">
        <w:rPr>
          <w:rFonts w:eastAsia="TimesNewRomanPSMT"/>
          <w:sz w:val="18"/>
          <w:szCs w:val="18"/>
          <w:lang w:eastAsia="en-US"/>
        </w:rPr>
        <w:t>ovom odhade</w:t>
      </w:r>
      <w:r w:rsidRPr="00741D52">
        <w:rPr>
          <w:rFonts w:eastAsia="TimesNewRomanPSMT"/>
          <w:sz w:val="18"/>
          <w:szCs w:val="18"/>
          <w:lang w:eastAsia="en-US"/>
        </w:rPr>
        <w:t>.</w:t>
      </w:r>
    </w:p>
    <w:p w14:paraId="4D0F16A2" w14:textId="5A60F7C2" w:rsidR="00A150D7" w:rsidRPr="00741D52" w:rsidRDefault="00A150D7" w:rsidP="00A150D7">
      <w:pPr>
        <w:autoSpaceDE w:val="0"/>
        <w:autoSpaceDN w:val="0"/>
        <w:adjustRightInd w:val="0"/>
        <w:ind w:left="0" w:firstLine="0"/>
        <w:rPr>
          <w:rFonts w:eastAsia="TimesNewRomanPSMT"/>
          <w:sz w:val="18"/>
          <w:szCs w:val="18"/>
          <w:lang w:eastAsia="en-US"/>
        </w:rPr>
      </w:pPr>
      <w:r w:rsidRPr="00741D52">
        <w:rPr>
          <w:rFonts w:eastAsia="TimesNewRomanPSMT"/>
          <w:sz w:val="18"/>
          <w:szCs w:val="18"/>
          <w:vertAlign w:val="superscript"/>
          <w:lang w:eastAsia="en-US"/>
        </w:rPr>
        <w:t>b</w:t>
      </w:r>
      <w:r w:rsidRPr="00741D52">
        <w:rPr>
          <w:rFonts w:eastAsia="TimesNewRomanPSMT"/>
          <w:sz w:val="18"/>
          <w:szCs w:val="18"/>
          <w:lang w:eastAsia="en-US"/>
        </w:rPr>
        <w:t xml:space="preserve"> 95% </w:t>
      </w:r>
      <w:r w:rsidR="00765516">
        <w:rPr>
          <w:rFonts w:eastAsia="TimesNewRomanPSMT"/>
          <w:sz w:val="18"/>
          <w:szCs w:val="18"/>
          <w:lang w:eastAsia="en-US"/>
        </w:rPr>
        <w:t>IS</w:t>
      </w:r>
      <w:r w:rsidR="00765516" w:rsidRPr="00741D52">
        <w:rPr>
          <w:rFonts w:eastAsia="TimesNewRomanPSMT"/>
          <w:sz w:val="18"/>
          <w:szCs w:val="18"/>
          <w:lang w:eastAsia="en-US"/>
        </w:rPr>
        <w:t xml:space="preserve"> </w:t>
      </w:r>
      <w:r w:rsidRPr="00741D52">
        <w:rPr>
          <w:rFonts w:eastAsia="TimesNewRomanPSMT"/>
          <w:sz w:val="18"/>
          <w:szCs w:val="18"/>
          <w:lang w:eastAsia="en-US"/>
        </w:rPr>
        <w:t>okolo mediánu.</w:t>
      </w:r>
    </w:p>
    <w:p w14:paraId="56E425A8" w14:textId="21BAF03D" w:rsidR="00A150D7" w:rsidRPr="00741D52" w:rsidRDefault="00A150D7" w:rsidP="00A150D7">
      <w:pPr>
        <w:autoSpaceDE w:val="0"/>
        <w:autoSpaceDN w:val="0"/>
        <w:adjustRightInd w:val="0"/>
        <w:ind w:left="0" w:firstLine="0"/>
        <w:rPr>
          <w:rFonts w:eastAsia="TimesNewRomanPSMT"/>
          <w:sz w:val="18"/>
          <w:szCs w:val="18"/>
          <w:lang w:eastAsia="en-US"/>
        </w:rPr>
      </w:pPr>
      <w:r w:rsidRPr="00741D52">
        <w:rPr>
          <w:rFonts w:eastAsia="TimesNewRomanPSMT"/>
          <w:sz w:val="18"/>
          <w:szCs w:val="18"/>
          <w:vertAlign w:val="superscript"/>
          <w:lang w:eastAsia="en-US"/>
        </w:rPr>
        <w:t>c</w:t>
      </w:r>
      <w:r w:rsidRPr="00741D52">
        <w:rPr>
          <w:rFonts w:eastAsia="TimesNewRomanPSMT"/>
          <w:sz w:val="18"/>
          <w:szCs w:val="18"/>
          <w:lang w:eastAsia="en-US"/>
        </w:rPr>
        <w:t xml:space="preserve"> Založené na </w:t>
      </w:r>
      <w:r w:rsidR="002A4197" w:rsidRPr="002A4197">
        <w:rPr>
          <w:rFonts w:eastAsia="TimesNewRomanPSMT"/>
          <w:sz w:val="18"/>
          <w:szCs w:val="18"/>
          <w:lang w:eastAsia="en-US"/>
        </w:rPr>
        <w:t>Coxovo</w:t>
      </w:r>
      <w:r w:rsidR="002A4197">
        <w:rPr>
          <w:rFonts w:eastAsia="TimesNewRomanPSMT"/>
          <w:sz w:val="18"/>
          <w:szCs w:val="18"/>
          <w:lang w:eastAsia="en-US"/>
        </w:rPr>
        <w:t>m modeli proporcionálnych rizík</w:t>
      </w:r>
      <w:r w:rsidRPr="00741D52">
        <w:rPr>
          <w:rFonts w:eastAsia="TimesNewRomanPSMT"/>
          <w:sz w:val="18"/>
          <w:szCs w:val="18"/>
          <w:lang w:eastAsia="en-US"/>
        </w:rPr>
        <w:t xml:space="preserve"> porovnajúc</w:t>
      </w:r>
      <w:r w:rsidR="002A4197">
        <w:rPr>
          <w:rFonts w:eastAsia="TimesNewRomanPSMT"/>
          <w:sz w:val="18"/>
          <w:szCs w:val="18"/>
          <w:lang w:eastAsia="en-US"/>
        </w:rPr>
        <w:t>om</w:t>
      </w:r>
      <w:r w:rsidRPr="00741D52">
        <w:rPr>
          <w:rFonts w:eastAsia="TimesNewRomanPSMT"/>
          <w:sz w:val="18"/>
          <w:szCs w:val="18"/>
          <w:lang w:eastAsia="en-US"/>
        </w:rPr>
        <w:t xml:space="preserve"> funkcie rizík spojené s liečebnými </w:t>
      </w:r>
      <w:r w:rsidR="00DD1E44">
        <w:rPr>
          <w:rFonts w:eastAsia="TimesNewRomanPSMT"/>
          <w:sz w:val="18"/>
          <w:szCs w:val="18"/>
          <w:lang w:eastAsia="en-US"/>
        </w:rPr>
        <w:t>skupinami</w:t>
      </w:r>
      <w:r w:rsidRPr="00741D52">
        <w:rPr>
          <w:rFonts w:eastAsia="TimesNewRomanPSMT"/>
          <w:sz w:val="18"/>
          <w:szCs w:val="18"/>
          <w:lang w:eastAsia="en-US"/>
        </w:rPr>
        <w:t>.</w:t>
      </w:r>
    </w:p>
    <w:p w14:paraId="098591F3" w14:textId="1B9F12CE" w:rsidR="00A150D7" w:rsidRPr="00741D52" w:rsidRDefault="00A150D7" w:rsidP="00A150D7">
      <w:pPr>
        <w:autoSpaceDE w:val="0"/>
        <w:autoSpaceDN w:val="0"/>
        <w:adjustRightInd w:val="0"/>
        <w:ind w:left="142" w:hanging="142"/>
        <w:rPr>
          <w:rFonts w:eastAsia="TimesNewRomanPSMT"/>
          <w:sz w:val="18"/>
          <w:szCs w:val="18"/>
          <w:lang w:eastAsia="en-US"/>
        </w:rPr>
      </w:pPr>
      <w:r w:rsidRPr="00741D52">
        <w:rPr>
          <w:rFonts w:eastAsia="TimesNewRomanPSMT"/>
          <w:sz w:val="18"/>
          <w:szCs w:val="18"/>
          <w:vertAlign w:val="superscript"/>
          <w:lang w:eastAsia="en-US"/>
        </w:rPr>
        <w:t>d</w:t>
      </w:r>
      <w:r w:rsidRPr="00741D52">
        <w:rPr>
          <w:rFonts w:eastAsia="TimesNewRomanPSMT"/>
          <w:sz w:val="18"/>
          <w:szCs w:val="18"/>
          <w:lang w:eastAsia="en-US"/>
        </w:rPr>
        <w:t xml:space="preserve"> p-hodnota je založená na nestratifikovanom log-rank teste Kaplan-Meierovej krivky rozdielov medzi liečebnými </w:t>
      </w:r>
      <w:r w:rsidR="00DD1E44">
        <w:rPr>
          <w:rFonts w:eastAsia="TimesNewRomanPSMT"/>
          <w:sz w:val="18"/>
          <w:szCs w:val="18"/>
          <w:lang w:eastAsia="en-US"/>
        </w:rPr>
        <w:t>skupinami</w:t>
      </w:r>
      <w:r w:rsidRPr="00741D52">
        <w:rPr>
          <w:rFonts w:eastAsia="TimesNewRomanPSMT"/>
          <w:sz w:val="18"/>
          <w:szCs w:val="18"/>
          <w:lang w:eastAsia="en-US"/>
        </w:rPr>
        <w:t>.</w:t>
      </w:r>
    </w:p>
    <w:p w14:paraId="643CCAAD" w14:textId="77777777" w:rsidR="00A150D7" w:rsidRPr="00741D52" w:rsidRDefault="00A150D7" w:rsidP="00A150D7">
      <w:pPr>
        <w:autoSpaceDE w:val="0"/>
        <w:autoSpaceDN w:val="0"/>
        <w:adjustRightInd w:val="0"/>
        <w:ind w:left="0" w:firstLine="0"/>
        <w:rPr>
          <w:rFonts w:eastAsia="TimesNewRomanPSMT"/>
          <w:sz w:val="18"/>
          <w:szCs w:val="18"/>
          <w:lang w:eastAsia="en-US"/>
        </w:rPr>
      </w:pPr>
      <w:r w:rsidRPr="00741D52">
        <w:rPr>
          <w:rFonts w:eastAsia="TimesNewRomanPSMT"/>
          <w:sz w:val="18"/>
          <w:szCs w:val="18"/>
          <w:vertAlign w:val="superscript"/>
          <w:lang w:eastAsia="en-US"/>
        </w:rPr>
        <w:t>e</w:t>
      </w:r>
      <w:r w:rsidRPr="00741D52">
        <w:rPr>
          <w:rFonts w:eastAsia="TimesNewRomanPSMT"/>
          <w:sz w:val="18"/>
          <w:szCs w:val="18"/>
          <w:lang w:eastAsia="en-US"/>
        </w:rPr>
        <w:t xml:space="preserve"> Predbežný koncový ukazovateľ (PFS2)</w:t>
      </w:r>
    </w:p>
    <w:p w14:paraId="0B383FEB" w14:textId="77777777" w:rsidR="00A150D7" w:rsidRPr="00741D52" w:rsidRDefault="00A150D7" w:rsidP="00A150D7">
      <w:pPr>
        <w:autoSpaceDE w:val="0"/>
        <w:autoSpaceDN w:val="0"/>
        <w:adjustRightInd w:val="0"/>
        <w:ind w:left="0" w:firstLine="0"/>
        <w:rPr>
          <w:rFonts w:eastAsia="TimesNewRomanPSMT"/>
          <w:sz w:val="18"/>
          <w:szCs w:val="18"/>
          <w:lang w:eastAsia="en-US"/>
        </w:rPr>
      </w:pPr>
      <w:r w:rsidRPr="00741D52">
        <w:rPr>
          <w:rFonts w:eastAsia="TimesNewRomanPSMT"/>
          <w:sz w:val="18"/>
          <w:szCs w:val="18"/>
          <w:vertAlign w:val="superscript"/>
          <w:lang w:eastAsia="en-US"/>
        </w:rPr>
        <w:t>f</w:t>
      </w:r>
      <w:r w:rsidRPr="00741D52">
        <w:rPr>
          <w:rFonts w:eastAsia="TimesNewRomanPSMT"/>
          <w:sz w:val="18"/>
          <w:szCs w:val="18"/>
          <w:lang w:eastAsia="en-US"/>
        </w:rPr>
        <w:t xml:space="preserve"> Medián je jednorozmerná štatistika bez úpravy pre cenzurovanie.</w:t>
      </w:r>
    </w:p>
    <w:p w14:paraId="07F8D186" w14:textId="77777777" w:rsidR="00A150D7" w:rsidRPr="00741D52" w:rsidRDefault="00A150D7" w:rsidP="00A150D7">
      <w:pPr>
        <w:autoSpaceDE w:val="0"/>
        <w:autoSpaceDN w:val="0"/>
        <w:adjustRightInd w:val="0"/>
        <w:ind w:left="142" w:hanging="142"/>
        <w:rPr>
          <w:rFonts w:eastAsia="TimesNewRomanPSMT"/>
          <w:sz w:val="18"/>
          <w:szCs w:val="18"/>
          <w:lang w:eastAsia="en-US"/>
        </w:rPr>
      </w:pPr>
      <w:r w:rsidRPr="00741D52">
        <w:rPr>
          <w:rFonts w:eastAsia="TimesNewRomanPSMT"/>
          <w:sz w:val="18"/>
          <w:szCs w:val="18"/>
          <w:vertAlign w:val="superscript"/>
          <w:lang w:eastAsia="en-US"/>
        </w:rPr>
        <w:t>g</w:t>
      </w:r>
      <w:r w:rsidRPr="00741D52">
        <w:rPr>
          <w:rFonts w:eastAsia="TimesNewRomanPSMT"/>
          <w:sz w:val="18"/>
          <w:szCs w:val="18"/>
          <w:lang w:eastAsia="en-US"/>
        </w:rPr>
        <w:t xml:space="preserve"> Najlepší odhad posudzovanej odpovede počas liečebnej fázy klinického skúšania (pre definíciu každej kategórie odpovede, dátum uzávierky pre údaje = 24. máj 2013).</w:t>
      </w:r>
    </w:p>
    <w:p w14:paraId="6F8AA92A" w14:textId="77777777" w:rsidR="00C75A8C" w:rsidRPr="00741D52" w:rsidRDefault="00A150D7" w:rsidP="00A150D7">
      <w:pPr>
        <w:autoSpaceDE w:val="0"/>
        <w:autoSpaceDN w:val="0"/>
        <w:adjustRightInd w:val="0"/>
        <w:ind w:left="0" w:firstLine="0"/>
        <w:rPr>
          <w:rFonts w:eastAsia="TimesNewRomanPSMT"/>
          <w:sz w:val="18"/>
          <w:szCs w:val="18"/>
          <w:lang w:eastAsia="en-US"/>
        </w:rPr>
      </w:pPr>
      <w:r w:rsidRPr="00741D52">
        <w:rPr>
          <w:rFonts w:eastAsia="TimesNewRomanPSMT"/>
          <w:sz w:val="18"/>
          <w:szCs w:val="18"/>
          <w:vertAlign w:val="superscript"/>
          <w:lang w:eastAsia="en-US"/>
        </w:rPr>
        <w:t>h</w:t>
      </w:r>
      <w:r w:rsidRPr="00741D52">
        <w:rPr>
          <w:rFonts w:eastAsia="TimesNewRomanPSMT"/>
          <w:sz w:val="18"/>
          <w:szCs w:val="18"/>
          <w:lang w:eastAsia="en-US"/>
        </w:rPr>
        <w:t xml:space="preserve"> uzávierka údajov 24. mája 2013</w:t>
      </w:r>
    </w:p>
    <w:p w14:paraId="3588A5E5" w14:textId="77777777" w:rsidR="00C75A8C" w:rsidRPr="003A5C41" w:rsidRDefault="00C75A8C" w:rsidP="00C75A8C">
      <w:pPr>
        <w:autoSpaceDE w:val="0"/>
        <w:autoSpaceDN w:val="0"/>
        <w:adjustRightInd w:val="0"/>
        <w:ind w:left="0" w:firstLine="0"/>
        <w:rPr>
          <w:rFonts w:eastAsia="TimesNewRomanPSMT"/>
          <w:sz w:val="20"/>
          <w:szCs w:val="20"/>
          <w:lang w:eastAsia="en-US"/>
        </w:rPr>
      </w:pPr>
    </w:p>
    <w:p w14:paraId="565122EC" w14:textId="77777777" w:rsidR="00A150D7" w:rsidRPr="003A5C41" w:rsidRDefault="00A150D7" w:rsidP="00A150D7">
      <w:pPr>
        <w:autoSpaceDE w:val="0"/>
        <w:autoSpaceDN w:val="0"/>
        <w:adjustRightInd w:val="0"/>
        <w:ind w:left="0" w:firstLine="426"/>
        <w:rPr>
          <w:rFonts w:eastAsia="TimesNewRomanPSMT"/>
          <w:i/>
          <w:szCs w:val="22"/>
          <w:lang w:eastAsia="en-US"/>
        </w:rPr>
      </w:pPr>
      <w:r w:rsidRPr="003A5C41">
        <w:rPr>
          <w:rFonts w:eastAsia="SymbolMT"/>
          <w:szCs w:val="22"/>
          <w:lang w:eastAsia="en-US"/>
        </w:rPr>
        <w:t>•</w:t>
      </w:r>
      <w:r w:rsidRPr="003A5C41">
        <w:rPr>
          <w:rFonts w:eastAsia="SymbolMT"/>
          <w:szCs w:val="22"/>
          <w:lang w:eastAsia="en-US"/>
        </w:rPr>
        <w:tab/>
      </w:r>
      <w:r w:rsidRPr="003A5C41">
        <w:rPr>
          <w:rFonts w:eastAsia="TimesNewRomanPSMT"/>
          <w:i/>
          <w:szCs w:val="22"/>
          <w:lang w:eastAsia="en-US"/>
        </w:rPr>
        <w:t>Lenalidomid v kombinácii s melfalánom a prednizónom nasledovaný udržiavacou liečbou</w:t>
      </w:r>
    </w:p>
    <w:p w14:paraId="01B5A4AF" w14:textId="77777777" w:rsidR="00A150D7" w:rsidRPr="003A5C41" w:rsidRDefault="00A150D7" w:rsidP="00A150D7">
      <w:pPr>
        <w:autoSpaceDE w:val="0"/>
        <w:autoSpaceDN w:val="0"/>
        <w:adjustRightInd w:val="0"/>
        <w:ind w:left="0" w:firstLine="720"/>
        <w:rPr>
          <w:rFonts w:eastAsia="SymbolMT"/>
          <w:i/>
          <w:szCs w:val="22"/>
          <w:lang w:eastAsia="en-US"/>
        </w:rPr>
      </w:pPr>
      <w:r w:rsidRPr="003A5C41">
        <w:rPr>
          <w:rFonts w:eastAsia="SymbolMT"/>
          <w:i/>
          <w:szCs w:val="22"/>
          <w:lang w:eastAsia="en-US"/>
        </w:rPr>
        <w:t>u pacientov, ktorí nie sú spôsobilí na transplantáciu</w:t>
      </w:r>
    </w:p>
    <w:p w14:paraId="307B8519" w14:textId="40A1169E" w:rsidR="00C75A8C" w:rsidRPr="003A5C41" w:rsidRDefault="00A150D7" w:rsidP="00A150D7">
      <w:pPr>
        <w:autoSpaceDE w:val="0"/>
        <w:autoSpaceDN w:val="0"/>
        <w:adjustRightInd w:val="0"/>
        <w:ind w:left="0" w:firstLine="0"/>
        <w:rPr>
          <w:rFonts w:eastAsia="TimesNewRomanPSMT"/>
          <w:szCs w:val="22"/>
          <w:lang w:eastAsia="en-US"/>
        </w:rPr>
      </w:pPr>
      <w:r w:rsidRPr="003A5C41">
        <w:rPr>
          <w:rFonts w:eastAsia="TimesNewRomanPSMT"/>
          <w:szCs w:val="22"/>
          <w:lang w:eastAsia="en-US"/>
        </w:rPr>
        <w:t xml:space="preserve">Bezpečnosť a účinnosť lenalidomidu bola hodnotená vo fáze III multicentrickej, randomizovanej, dvojito </w:t>
      </w:r>
      <w:r w:rsidRPr="003A5C41">
        <w:rPr>
          <w:rFonts w:eastAsia="SymbolMT"/>
          <w:szCs w:val="22"/>
          <w:lang w:eastAsia="en-US"/>
        </w:rPr>
        <w:t>zaslepenej</w:t>
      </w:r>
      <w:r w:rsidR="00BA4679">
        <w:rPr>
          <w:rFonts w:eastAsia="SymbolMT"/>
          <w:szCs w:val="22"/>
          <w:lang w:eastAsia="en-US"/>
        </w:rPr>
        <w:t xml:space="preserve"> </w:t>
      </w:r>
      <w:r w:rsidRPr="003A5C41">
        <w:rPr>
          <w:rFonts w:eastAsia="TimesNewRomanPSMT"/>
          <w:szCs w:val="22"/>
          <w:lang w:eastAsia="en-US"/>
        </w:rPr>
        <w:t>š</w:t>
      </w:r>
      <w:r w:rsidRPr="003A5C41">
        <w:rPr>
          <w:rFonts w:eastAsia="SymbolMT"/>
          <w:szCs w:val="22"/>
          <w:lang w:eastAsia="en-US"/>
        </w:rPr>
        <w:t xml:space="preserve">túdii </w:t>
      </w:r>
      <w:r w:rsidR="00BA4679">
        <w:rPr>
          <w:rFonts w:eastAsia="SymbolMT"/>
          <w:szCs w:val="22"/>
          <w:lang w:eastAsia="en-US"/>
        </w:rPr>
        <w:t xml:space="preserve">s troma skupinami </w:t>
      </w:r>
      <w:r w:rsidRPr="003A5C41">
        <w:rPr>
          <w:rFonts w:eastAsia="SymbolMT"/>
          <w:szCs w:val="22"/>
          <w:lang w:eastAsia="en-US"/>
        </w:rPr>
        <w:t>(MM-015) u pacientov, ktorí mali 65 rokov alebo boli star</w:t>
      </w:r>
      <w:r w:rsidRPr="003A5C41">
        <w:rPr>
          <w:rFonts w:eastAsia="TimesNewRomanPSMT"/>
          <w:szCs w:val="22"/>
          <w:lang w:eastAsia="en-US"/>
        </w:rPr>
        <w:t>š</w:t>
      </w:r>
      <w:r w:rsidRPr="003A5C41">
        <w:rPr>
          <w:rFonts w:eastAsia="SymbolMT"/>
          <w:szCs w:val="22"/>
          <w:lang w:eastAsia="en-US"/>
        </w:rPr>
        <w:t>í a mali hodnotu kreatinínu v sére &lt;2,5</w:t>
      </w:r>
      <w:r w:rsidR="00F47B93" w:rsidRPr="003A5C41">
        <w:rPr>
          <w:rFonts w:eastAsia="SymbolMT"/>
          <w:szCs w:val="22"/>
          <w:lang w:eastAsia="en-US"/>
        </w:rPr>
        <w:t> </w:t>
      </w:r>
      <w:r w:rsidRPr="003A5C41">
        <w:rPr>
          <w:rFonts w:eastAsia="SymbolMT"/>
          <w:szCs w:val="22"/>
          <w:lang w:eastAsia="en-US"/>
        </w:rPr>
        <w:t xml:space="preserve">mg/dl. </w:t>
      </w:r>
      <w:r w:rsidRPr="003A5C41">
        <w:rPr>
          <w:rFonts w:eastAsia="TimesNewRomanPSMT"/>
          <w:szCs w:val="22"/>
          <w:lang w:eastAsia="en-US"/>
        </w:rPr>
        <w:t>Š</w:t>
      </w:r>
      <w:r w:rsidRPr="003A5C41">
        <w:rPr>
          <w:rFonts w:eastAsia="SymbolMT"/>
          <w:szCs w:val="22"/>
          <w:lang w:eastAsia="en-US"/>
        </w:rPr>
        <w:t xml:space="preserve">túdia porovnávala lenalidomid v kombinácii s melfalánom a prednizónom </w:t>
      </w:r>
      <w:r w:rsidRPr="003A5C41">
        <w:rPr>
          <w:rFonts w:eastAsia="TimesNewRomanPSMT"/>
          <w:szCs w:val="22"/>
          <w:lang w:eastAsia="en-US"/>
        </w:rPr>
        <w:t>(MPR) s udržiavacou liečbou lenalidomidom alebo bez nej do progresie ochorenia s melfalánom a prednizónom počas maximálne 9 cyklov. Pacienti boli randomizovaní v pomere 1: 1: 1 do jednej z 3 liečebných skupín. Pacienti boli randomizovaní podľa veku (</w:t>
      </w:r>
      <w:r w:rsidRPr="003A5C41">
        <w:rPr>
          <w:rFonts w:eastAsia="SymbolMT"/>
          <w:szCs w:val="22"/>
          <w:lang w:eastAsia="en-US"/>
        </w:rPr>
        <w:t>≤</w:t>
      </w:r>
      <w:r w:rsidR="00F47B93" w:rsidRPr="003A5C41">
        <w:rPr>
          <w:rFonts w:eastAsia="SymbolMT"/>
          <w:szCs w:val="22"/>
          <w:lang w:eastAsia="en-US"/>
        </w:rPr>
        <w:t> </w:t>
      </w:r>
      <w:r w:rsidRPr="003A5C41">
        <w:rPr>
          <w:rFonts w:eastAsia="SymbolMT"/>
          <w:szCs w:val="22"/>
          <w:lang w:eastAsia="en-US"/>
        </w:rPr>
        <w:t xml:space="preserve">75 </w:t>
      </w:r>
      <w:r w:rsidR="00F47B93" w:rsidRPr="003A5C41">
        <w:rPr>
          <w:rFonts w:eastAsia="SymbolMT"/>
          <w:szCs w:val="22"/>
          <w:lang w:eastAsia="en-US"/>
        </w:rPr>
        <w:t>oproti</w:t>
      </w:r>
      <w:r w:rsidRPr="003A5C41">
        <w:rPr>
          <w:rFonts w:eastAsia="SymbolMT"/>
          <w:szCs w:val="22"/>
          <w:lang w:eastAsia="en-US"/>
        </w:rPr>
        <w:t xml:space="preserve"> &gt;</w:t>
      </w:r>
      <w:r w:rsidR="00F47B93" w:rsidRPr="003A5C41">
        <w:rPr>
          <w:rFonts w:eastAsia="SymbolMT"/>
          <w:szCs w:val="22"/>
          <w:lang w:eastAsia="en-US"/>
        </w:rPr>
        <w:t> </w:t>
      </w:r>
      <w:r w:rsidRPr="003A5C41">
        <w:rPr>
          <w:rFonts w:eastAsia="SymbolMT"/>
          <w:szCs w:val="22"/>
          <w:lang w:eastAsia="en-US"/>
        </w:rPr>
        <w:t xml:space="preserve">75 rokov) a </w:t>
      </w:r>
      <w:r w:rsidRPr="003A5C41">
        <w:rPr>
          <w:rFonts w:eastAsia="TimesNewRomanPSMT"/>
          <w:szCs w:val="22"/>
          <w:lang w:eastAsia="en-US"/>
        </w:rPr>
        <w:t>š</w:t>
      </w:r>
      <w:r w:rsidRPr="003A5C41">
        <w:rPr>
          <w:rFonts w:eastAsia="SymbolMT"/>
          <w:szCs w:val="22"/>
          <w:lang w:eastAsia="en-US"/>
        </w:rPr>
        <w:t xml:space="preserve">tádia ochorenia (ISS; </w:t>
      </w:r>
      <w:r w:rsidRPr="003A5C41">
        <w:rPr>
          <w:rFonts w:eastAsia="TimesNewRomanPSMT"/>
          <w:szCs w:val="22"/>
          <w:lang w:eastAsia="en-US"/>
        </w:rPr>
        <w:t>š</w:t>
      </w:r>
      <w:r w:rsidRPr="003A5C41">
        <w:rPr>
          <w:rFonts w:eastAsia="SymbolMT"/>
          <w:szCs w:val="22"/>
          <w:lang w:eastAsia="en-US"/>
        </w:rPr>
        <w:t xml:space="preserve">tádiá I a II </w:t>
      </w:r>
      <w:r w:rsidR="00CD7FE1">
        <w:rPr>
          <w:rFonts w:eastAsia="SymbolMT"/>
          <w:szCs w:val="22"/>
          <w:lang w:eastAsia="en-US"/>
        </w:rPr>
        <w:t>oproti</w:t>
      </w:r>
      <w:r w:rsidRPr="003A5C41">
        <w:rPr>
          <w:rFonts w:eastAsia="SymbolMT"/>
          <w:szCs w:val="22"/>
          <w:lang w:eastAsia="en-US"/>
        </w:rPr>
        <w:t xml:space="preserve"> </w:t>
      </w:r>
      <w:r w:rsidRPr="003A5C41">
        <w:rPr>
          <w:rFonts w:eastAsia="TimesNewRomanPSMT"/>
          <w:szCs w:val="22"/>
          <w:lang w:eastAsia="en-US"/>
        </w:rPr>
        <w:t>š</w:t>
      </w:r>
      <w:r w:rsidRPr="003A5C41">
        <w:rPr>
          <w:rFonts w:eastAsia="SymbolMT"/>
          <w:szCs w:val="22"/>
          <w:lang w:eastAsia="en-US"/>
        </w:rPr>
        <w:t>tádium III).</w:t>
      </w:r>
    </w:p>
    <w:p w14:paraId="0DADDA6B" w14:textId="77777777" w:rsidR="00A150D7" w:rsidRPr="003A5C41" w:rsidRDefault="00A150D7" w:rsidP="00A150D7">
      <w:pPr>
        <w:autoSpaceDE w:val="0"/>
        <w:autoSpaceDN w:val="0"/>
        <w:adjustRightInd w:val="0"/>
        <w:ind w:left="0" w:firstLine="0"/>
        <w:rPr>
          <w:rFonts w:eastAsia="TimesNewRomanPSMT"/>
          <w:szCs w:val="22"/>
          <w:lang w:eastAsia="en-US"/>
        </w:rPr>
      </w:pPr>
    </w:p>
    <w:p w14:paraId="61A0E62E" w14:textId="7EED848F" w:rsidR="00A150D7" w:rsidRPr="003A5C41" w:rsidRDefault="00A150D7" w:rsidP="00A150D7">
      <w:pPr>
        <w:autoSpaceDE w:val="0"/>
        <w:autoSpaceDN w:val="0"/>
        <w:adjustRightInd w:val="0"/>
        <w:ind w:left="0" w:firstLine="0"/>
        <w:rPr>
          <w:rFonts w:eastAsia="TimesNewRomanPSMT"/>
          <w:szCs w:val="22"/>
          <w:lang w:eastAsia="en-US"/>
        </w:rPr>
      </w:pPr>
      <w:r w:rsidRPr="003A5C41">
        <w:rPr>
          <w:rFonts w:eastAsia="TimesNewRomanPSMT"/>
          <w:szCs w:val="22"/>
          <w:lang w:eastAsia="en-US"/>
        </w:rPr>
        <w:t>Toto klinické skúšanie skúmalo použitie kombinovanej liečby MPR (melfalán 0,18</w:t>
      </w:r>
      <w:r w:rsidR="00F47B93" w:rsidRPr="003A5C41">
        <w:rPr>
          <w:rFonts w:eastAsia="TimesNewRomanPSMT"/>
          <w:szCs w:val="22"/>
          <w:lang w:eastAsia="en-US"/>
        </w:rPr>
        <w:t> </w:t>
      </w:r>
      <w:r w:rsidRPr="003A5C41">
        <w:rPr>
          <w:rFonts w:eastAsia="TimesNewRomanPSMT"/>
          <w:szCs w:val="22"/>
          <w:lang w:eastAsia="en-US"/>
        </w:rPr>
        <w:t>mg/kg perorálne v dňoch 1 až 4 opakovaných 28-dňových cyklov, prednizón v dávke 2</w:t>
      </w:r>
      <w:r w:rsidR="00F47B93" w:rsidRPr="003A5C41">
        <w:rPr>
          <w:rFonts w:eastAsia="TimesNewRomanPSMT"/>
          <w:szCs w:val="22"/>
          <w:lang w:eastAsia="en-US"/>
        </w:rPr>
        <w:t> </w:t>
      </w:r>
      <w:r w:rsidRPr="003A5C41">
        <w:rPr>
          <w:rFonts w:eastAsia="TimesNewRomanPSMT"/>
          <w:szCs w:val="22"/>
          <w:lang w:eastAsia="en-US"/>
        </w:rPr>
        <w:t>mg/kg perorálne v dňoch 1 až 4 opakovaných 28-dňových cyklov a lenalidomid 10 mg denne perorálne v dňoch 1 až 21 opakovaných 28-dňových cyklov) ako indukčnú liečbu, až 9 cyklov. Pacienti, ktorí absolvovali 9 cyklov, alebo ktorí nemohli dokončiť 9 cyklov z dôvodu intolerancie, pristúpili k udržiavacej liečbe lenalidomidom so začiatočnou dávkou 10</w:t>
      </w:r>
      <w:r w:rsidR="00F47B93" w:rsidRPr="003A5C41">
        <w:rPr>
          <w:rFonts w:eastAsia="TimesNewRomanPSMT"/>
          <w:szCs w:val="22"/>
          <w:lang w:eastAsia="en-US"/>
        </w:rPr>
        <w:t> </w:t>
      </w:r>
      <w:r w:rsidRPr="003A5C41">
        <w:rPr>
          <w:rFonts w:eastAsia="TimesNewRomanPSMT"/>
          <w:szCs w:val="22"/>
          <w:lang w:eastAsia="en-US"/>
        </w:rPr>
        <w:t>mg perorálne v dňoch 1 až 21 opakovan</w:t>
      </w:r>
      <w:r w:rsidR="00BA4679">
        <w:rPr>
          <w:rFonts w:eastAsia="TimesNewRomanPSMT"/>
          <w:szCs w:val="22"/>
          <w:lang w:eastAsia="en-US"/>
        </w:rPr>
        <w:t>ých</w:t>
      </w:r>
      <w:r w:rsidRPr="003A5C41">
        <w:rPr>
          <w:rFonts w:eastAsia="TimesNewRomanPSMT"/>
          <w:szCs w:val="22"/>
          <w:lang w:eastAsia="en-US"/>
        </w:rPr>
        <w:t xml:space="preserve"> 28-dňových cykloch až do progresie ochorenia.</w:t>
      </w:r>
    </w:p>
    <w:p w14:paraId="74AB4C19" w14:textId="77777777" w:rsidR="00A150D7" w:rsidRPr="003A5C41" w:rsidRDefault="00A150D7" w:rsidP="00A150D7">
      <w:pPr>
        <w:autoSpaceDE w:val="0"/>
        <w:autoSpaceDN w:val="0"/>
        <w:adjustRightInd w:val="0"/>
        <w:ind w:left="0" w:firstLine="0"/>
        <w:rPr>
          <w:rFonts w:eastAsia="TimesNewRomanPSMT"/>
          <w:szCs w:val="22"/>
          <w:lang w:eastAsia="en-US"/>
        </w:rPr>
      </w:pPr>
    </w:p>
    <w:p w14:paraId="6A934FAB" w14:textId="13FA388C" w:rsidR="00A150D7" w:rsidRPr="003A5C41" w:rsidRDefault="00A150D7" w:rsidP="00A150D7">
      <w:pPr>
        <w:autoSpaceDE w:val="0"/>
        <w:autoSpaceDN w:val="0"/>
        <w:adjustRightInd w:val="0"/>
        <w:ind w:left="0" w:firstLine="0"/>
        <w:rPr>
          <w:rFonts w:eastAsia="TimesNewRomanPSMT"/>
          <w:szCs w:val="22"/>
          <w:lang w:eastAsia="en-US"/>
        </w:rPr>
      </w:pPr>
      <w:r w:rsidRPr="003A5C41">
        <w:rPr>
          <w:rFonts w:eastAsia="TimesNewRomanPSMT"/>
          <w:szCs w:val="22"/>
          <w:lang w:eastAsia="en-US"/>
        </w:rPr>
        <w:t xml:space="preserve">Primárnym </w:t>
      </w:r>
      <w:r w:rsidR="00BA4679">
        <w:rPr>
          <w:rFonts w:eastAsia="TimesNewRomanPSMT"/>
          <w:szCs w:val="22"/>
          <w:lang w:eastAsia="en-US"/>
        </w:rPr>
        <w:t xml:space="preserve">koncovým </w:t>
      </w:r>
      <w:r w:rsidRPr="003A5C41">
        <w:rPr>
          <w:rFonts w:eastAsia="TimesNewRomanPSMT"/>
          <w:szCs w:val="22"/>
          <w:lang w:eastAsia="en-US"/>
        </w:rPr>
        <w:t>ukazovateľom účinnosti v klinickom skúšaní bolo prežívanie bez progresie (PFS). Celkovo</w:t>
      </w:r>
      <w:r w:rsidR="00F47B93" w:rsidRPr="003A5C41">
        <w:rPr>
          <w:rFonts w:eastAsia="TimesNewRomanPSMT"/>
          <w:szCs w:val="22"/>
          <w:lang w:eastAsia="en-US"/>
        </w:rPr>
        <w:t xml:space="preserve"> </w:t>
      </w:r>
      <w:r w:rsidRPr="003A5C41">
        <w:rPr>
          <w:rFonts w:eastAsia="TimesNewRomanPSMT"/>
          <w:szCs w:val="22"/>
          <w:lang w:eastAsia="en-US"/>
        </w:rPr>
        <w:t>bolo 459 pacientov zaradených do štúdie, 152 pacient</w:t>
      </w:r>
      <w:r w:rsidR="00BA4679">
        <w:rPr>
          <w:rFonts w:eastAsia="TimesNewRomanPSMT"/>
          <w:szCs w:val="22"/>
          <w:lang w:eastAsia="en-US"/>
        </w:rPr>
        <w:t>ov</w:t>
      </w:r>
      <w:r w:rsidRPr="003A5C41">
        <w:rPr>
          <w:rFonts w:eastAsia="TimesNewRomanPSMT"/>
          <w:szCs w:val="22"/>
          <w:lang w:eastAsia="en-US"/>
        </w:rPr>
        <w:t xml:space="preserve"> randomizovaný</w:t>
      </w:r>
      <w:r w:rsidR="00281558">
        <w:rPr>
          <w:rFonts w:eastAsia="TimesNewRomanPSMT"/>
          <w:szCs w:val="22"/>
          <w:lang w:eastAsia="en-US"/>
        </w:rPr>
        <w:t>ch</w:t>
      </w:r>
      <w:r w:rsidRPr="003A5C41">
        <w:rPr>
          <w:rFonts w:eastAsia="TimesNewRomanPSMT"/>
          <w:szCs w:val="22"/>
          <w:lang w:eastAsia="en-US"/>
        </w:rPr>
        <w:t xml:space="preserve"> do </w:t>
      </w:r>
      <w:r w:rsidR="00AF53B6">
        <w:rPr>
          <w:rFonts w:eastAsia="TimesNewRomanPSMT"/>
          <w:szCs w:val="22"/>
          <w:lang w:eastAsia="en-US"/>
        </w:rPr>
        <w:t>skupiny</w:t>
      </w:r>
      <w:r w:rsidRPr="003A5C41">
        <w:rPr>
          <w:rFonts w:eastAsia="TimesNewRomanPSMT"/>
          <w:szCs w:val="22"/>
          <w:lang w:eastAsia="en-US"/>
        </w:rPr>
        <w:t xml:space="preserve"> MPR + R,</w:t>
      </w:r>
      <w:r w:rsidR="00F47B93" w:rsidRPr="003A5C41">
        <w:rPr>
          <w:rFonts w:eastAsia="TimesNewRomanPSMT"/>
          <w:szCs w:val="22"/>
          <w:lang w:eastAsia="en-US"/>
        </w:rPr>
        <w:t xml:space="preserve"> </w:t>
      </w:r>
      <w:r w:rsidRPr="003A5C41">
        <w:rPr>
          <w:rFonts w:eastAsia="TimesNewRomanPSMT"/>
          <w:szCs w:val="22"/>
          <w:lang w:eastAsia="en-US"/>
        </w:rPr>
        <w:t xml:space="preserve">153 pacientov bolo randomizovaných do </w:t>
      </w:r>
      <w:r w:rsidR="00AF53B6">
        <w:rPr>
          <w:rFonts w:eastAsia="TimesNewRomanPSMT"/>
          <w:szCs w:val="22"/>
          <w:lang w:eastAsia="en-US"/>
        </w:rPr>
        <w:t>skupiny</w:t>
      </w:r>
      <w:r w:rsidRPr="003A5C41">
        <w:rPr>
          <w:rFonts w:eastAsia="TimesNewRomanPSMT"/>
          <w:szCs w:val="22"/>
          <w:lang w:eastAsia="en-US"/>
        </w:rPr>
        <w:t xml:space="preserve"> MPR + p a 154 pacientov bolo randomizovaných do</w:t>
      </w:r>
      <w:r w:rsidR="00F47B93" w:rsidRPr="003A5C41">
        <w:rPr>
          <w:rFonts w:eastAsia="TimesNewRomanPSMT"/>
          <w:szCs w:val="22"/>
          <w:lang w:eastAsia="en-US"/>
        </w:rPr>
        <w:t xml:space="preserve"> </w:t>
      </w:r>
      <w:r w:rsidR="00AF53B6">
        <w:rPr>
          <w:rFonts w:eastAsia="TimesNewRomanPSMT"/>
          <w:szCs w:val="22"/>
          <w:lang w:eastAsia="en-US"/>
        </w:rPr>
        <w:t>skupiny</w:t>
      </w:r>
      <w:r w:rsidRPr="003A5C41">
        <w:rPr>
          <w:rFonts w:eastAsia="TimesNewRomanPSMT"/>
          <w:szCs w:val="22"/>
          <w:lang w:eastAsia="en-US"/>
        </w:rPr>
        <w:t xml:space="preserve"> MPp + p. Demografické údaje a </w:t>
      </w:r>
      <w:r w:rsidR="00BA4679" w:rsidRPr="00BA4679">
        <w:rPr>
          <w:rFonts w:eastAsia="TimesNewRomanPSMT"/>
          <w:szCs w:val="22"/>
          <w:lang w:eastAsia="en-US"/>
        </w:rPr>
        <w:t>východisková charakteristika súvisiaca s chorobou</w:t>
      </w:r>
      <w:r w:rsidRPr="003A5C41">
        <w:rPr>
          <w:rFonts w:eastAsia="TimesNewRomanPSMT"/>
          <w:szCs w:val="22"/>
          <w:lang w:eastAsia="en-US"/>
        </w:rPr>
        <w:t xml:space="preserve"> boli vyvážené vo</w:t>
      </w:r>
      <w:r w:rsidR="00F47B93" w:rsidRPr="003A5C41">
        <w:rPr>
          <w:rFonts w:eastAsia="TimesNewRomanPSMT"/>
          <w:szCs w:val="22"/>
          <w:lang w:eastAsia="en-US"/>
        </w:rPr>
        <w:t xml:space="preserve"> </w:t>
      </w:r>
      <w:r w:rsidRPr="003A5C41">
        <w:rPr>
          <w:rFonts w:eastAsia="TimesNewRomanPSMT"/>
          <w:szCs w:val="22"/>
          <w:lang w:eastAsia="en-US"/>
        </w:rPr>
        <w:t xml:space="preserve">všetkých 3 </w:t>
      </w:r>
      <w:r w:rsidR="00DD1E44">
        <w:rPr>
          <w:rFonts w:eastAsia="TimesNewRomanPSMT"/>
          <w:szCs w:val="22"/>
          <w:lang w:eastAsia="en-US"/>
        </w:rPr>
        <w:t>skupinách</w:t>
      </w:r>
      <w:r w:rsidRPr="003A5C41">
        <w:rPr>
          <w:rFonts w:eastAsia="TimesNewRomanPSMT"/>
          <w:szCs w:val="22"/>
          <w:lang w:eastAsia="en-US"/>
        </w:rPr>
        <w:t>; predovšetkým, približne 50% pacientov zaradených do každ</w:t>
      </w:r>
      <w:r w:rsidR="00BA4679">
        <w:rPr>
          <w:rFonts w:eastAsia="TimesNewRomanPSMT"/>
          <w:szCs w:val="22"/>
          <w:lang w:eastAsia="en-US"/>
        </w:rPr>
        <w:t>ej</w:t>
      </w:r>
      <w:r w:rsidRPr="003A5C41">
        <w:rPr>
          <w:rFonts w:eastAsia="TimesNewRomanPSMT"/>
          <w:szCs w:val="22"/>
          <w:lang w:eastAsia="en-US"/>
        </w:rPr>
        <w:t xml:space="preserve"> </w:t>
      </w:r>
      <w:r w:rsidR="00AF53B6">
        <w:rPr>
          <w:rFonts w:eastAsia="TimesNewRomanPSMT"/>
          <w:szCs w:val="22"/>
          <w:lang w:eastAsia="en-US"/>
        </w:rPr>
        <w:t>skupiny</w:t>
      </w:r>
      <w:r w:rsidRPr="003A5C41">
        <w:rPr>
          <w:rFonts w:eastAsia="TimesNewRomanPSMT"/>
          <w:szCs w:val="22"/>
          <w:lang w:eastAsia="en-US"/>
        </w:rPr>
        <w:t xml:space="preserve"> malo</w:t>
      </w:r>
      <w:r w:rsidR="00F47B93" w:rsidRPr="003A5C41">
        <w:rPr>
          <w:rFonts w:eastAsia="TimesNewRomanPSMT"/>
          <w:szCs w:val="22"/>
          <w:lang w:eastAsia="en-US"/>
        </w:rPr>
        <w:t xml:space="preserve"> </w:t>
      </w:r>
      <w:r w:rsidRPr="003A5C41">
        <w:rPr>
          <w:rFonts w:eastAsia="TimesNewRomanPSMT"/>
          <w:szCs w:val="22"/>
          <w:lang w:eastAsia="en-US"/>
        </w:rPr>
        <w:t>nasledujúce charakteristiky; ISS štádium III a klírens kreatinínu &lt;60</w:t>
      </w:r>
      <w:r w:rsidR="00F47B93" w:rsidRPr="003A5C41">
        <w:rPr>
          <w:rFonts w:eastAsia="TimesNewRomanPSMT"/>
          <w:szCs w:val="22"/>
          <w:lang w:eastAsia="en-US"/>
        </w:rPr>
        <w:t> </w:t>
      </w:r>
      <w:r w:rsidRPr="003A5C41">
        <w:rPr>
          <w:rFonts w:eastAsia="TimesNewRomanPSMT"/>
          <w:szCs w:val="22"/>
          <w:lang w:eastAsia="en-US"/>
        </w:rPr>
        <w:t xml:space="preserve">ml/min. </w:t>
      </w:r>
      <w:r w:rsidR="00BA4679">
        <w:rPr>
          <w:rFonts w:eastAsia="TimesNewRomanPSMT"/>
          <w:szCs w:val="22"/>
          <w:lang w:eastAsia="en-US"/>
        </w:rPr>
        <w:t>Priemerný</w:t>
      </w:r>
      <w:r w:rsidRPr="003A5C41">
        <w:rPr>
          <w:rFonts w:eastAsia="TimesNewRomanPSMT"/>
          <w:szCs w:val="22"/>
          <w:lang w:eastAsia="en-US"/>
        </w:rPr>
        <w:t xml:space="preserve"> vek bol 71</w:t>
      </w:r>
      <w:r w:rsidR="00F47B93" w:rsidRPr="003A5C41">
        <w:rPr>
          <w:rFonts w:eastAsia="TimesNewRomanPSMT"/>
          <w:szCs w:val="22"/>
          <w:lang w:eastAsia="en-US"/>
        </w:rPr>
        <w:t xml:space="preserve"> </w:t>
      </w:r>
      <w:r w:rsidRPr="003A5C41">
        <w:rPr>
          <w:rFonts w:eastAsia="TimesNewRomanPSMT"/>
          <w:szCs w:val="22"/>
          <w:lang w:eastAsia="en-US"/>
        </w:rPr>
        <w:t xml:space="preserve">v </w:t>
      </w:r>
      <w:r w:rsidR="00DD1E44">
        <w:rPr>
          <w:rFonts w:eastAsia="TimesNewRomanPSMT"/>
          <w:szCs w:val="22"/>
          <w:lang w:eastAsia="en-US"/>
        </w:rPr>
        <w:t>skupinách</w:t>
      </w:r>
      <w:r w:rsidRPr="003A5C41">
        <w:rPr>
          <w:rFonts w:eastAsia="TimesNewRomanPSMT"/>
          <w:szCs w:val="22"/>
          <w:lang w:eastAsia="en-US"/>
        </w:rPr>
        <w:t xml:space="preserve"> MPR + R a MPR + p a 72 v MPp + p </w:t>
      </w:r>
      <w:r w:rsidR="00DD1E44">
        <w:rPr>
          <w:rFonts w:eastAsia="TimesNewRomanPSMT"/>
          <w:szCs w:val="22"/>
          <w:lang w:eastAsia="en-US"/>
        </w:rPr>
        <w:t>skupine</w:t>
      </w:r>
      <w:r w:rsidRPr="003A5C41">
        <w:rPr>
          <w:rFonts w:eastAsia="TimesNewRomanPSMT"/>
          <w:szCs w:val="22"/>
          <w:lang w:eastAsia="en-US"/>
        </w:rPr>
        <w:t>.</w:t>
      </w:r>
    </w:p>
    <w:p w14:paraId="3064453D" w14:textId="77777777" w:rsidR="00F47B93" w:rsidRPr="003A5C41" w:rsidRDefault="00F47B93" w:rsidP="00A150D7">
      <w:pPr>
        <w:autoSpaceDE w:val="0"/>
        <w:autoSpaceDN w:val="0"/>
        <w:adjustRightInd w:val="0"/>
        <w:ind w:left="0" w:firstLine="0"/>
        <w:rPr>
          <w:rFonts w:eastAsia="TimesNewRomanPSMT"/>
          <w:szCs w:val="22"/>
          <w:lang w:eastAsia="en-US"/>
        </w:rPr>
      </w:pPr>
    </w:p>
    <w:p w14:paraId="11C10124" w14:textId="01581A0C" w:rsidR="00A150D7" w:rsidRPr="003A5C41" w:rsidRDefault="00A150D7" w:rsidP="00A150D7">
      <w:pPr>
        <w:autoSpaceDE w:val="0"/>
        <w:autoSpaceDN w:val="0"/>
        <w:adjustRightInd w:val="0"/>
        <w:ind w:left="0" w:firstLine="0"/>
        <w:rPr>
          <w:rFonts w:eastAsia="TimesNewRomanPSMT"/>
          <w:szCs w:val="22"/>
          <w:lang w:eastAsia="en-US"/>
        </w:rPr>
      </w:pPr>
      <w:r w:rsidRPr="003A5C41">
        <w:rPr>
          <w:rFonts w:eastAsia="TimesNewRomanPSMT"/>
          <w:szCs w:val="22"/>
          <w:lang w:eastAsia="en-US"/>
        </w:rPr>
        <w:t>V</w:t>
      </w:r>
      <w:r w:rsidR="00BA4679">
        <w:rPr>
          <w:rFonts w:eastAsia="TimesNewRomanPSMT"/>
          <w:szCs w:val="22"/>
          <w:lang w:eastAsia="en-US"/>
        </w:rPr>
        <w:t>ýsledky</w:t>
      </w:r>
      <w:r w:rsidRPr="003A5C41">
        <w:rPr>
          <w:rFonts w:eastAsia="TimesNewRomanPSMT"/>
          <w:szCs w:val="22"/>
          <w:lang w:eastAsia="en-US"/>
        </w:rPr>
        <w:t xml:space="preserve"> analýz</w:t>
      </w:r>
      <w:r w:rsidR="00BA4679">
        <w:rPr>
          <w:rFonts w:eastAsia="TimesNewRomanPSMT"/>
          <w:szCs w:val="22"/>
          <w:lang w:eastAsia="en-US"/>
        </w:rPr>
        <w:t>y</w:t>
      </w:r>
      <w:r w:rsidRPr="003A5C41">
        <w:rPr>
          <w:rFonts w:eastAsia="TimesNewRomanPSMT"/>
          <w:szCs w:val="22"/>
          <w:lang w:eastAsia="en-US"/>
        </w:rPr>
        <w:t xml:space="preserve"> PFS, PFS2, OS s uzávierkou údajov v apríli 2013 bol medián sledovania všetkých</w:t>
      </w:r>
    </w:p>
    <w:p w14:paraId="34557C99" w14:textId="2BEBE0E7" w:rsidR="00A150D7" w:rsidRPr="003A5C41" w:rsidRDefault="00A150D7" w:rsidP="00A150D7">
      <w:pPr>
        <w:autoSpaceDE w:val="0"/>
        <w:autoSpaceDN w:val="0"/>
        <w:adjustRightInd w:val="0"/>
        <w:ind w:left="0" w:firstLine="0"/>
        <w:rPr>
          <w:rFonts w:eastAsia="TimesNewRomanPSMT"/>
          <w:szCs w:val="22"/>
          <w:lang w:eastAsia="en-US"/>
        </w:rPr>
      </w:pPr>
      <w:r w:rsidRPr="003A5C41">
        <w:rPr>
          <w:rFonts w:eastAsia="TimesNewRomanPSMT"/>
          <w:szCs w:val="22"/>
          <w:lang w:eastAsia="en-US"/>
        </w:rPr>
        <w:t xml:space="preserve">prežívajúcich </w:t>
      </w:r>
      <w:r w:rsidR="00BA4679">
        <w:rPr>
          <w:rFonts w:eastAsia="TimesNewRomanPSMT"/>
          <w:szCs w:val="22"/>
          <w:lang w:eastAsia="en-US"/>
        </w:rPr>
        <w:t>jedincov</w:t>
      </w:r>
      <w:r w:rsidRPr="003A5C41">
        <w:rPr>
          <w:rFonts w:eastAsia="TimesNewRomanPSMT"/>
          <w:szCs w:val="22"/>
          <w:lang w:eastAsia="en-US"/>
        </w:rPr>
        <w:t xml:space="preserve"> 62,4 mesiacov, výsledky štúdie sú uvedené v tabuľke 8:</w:t>
      </w:r>
    </w:p>
    <w:p w14:paraId="4E99CE1A" w14:textId="77777777" w:rsidR="00F47B93" w:rsidRPr="003A5C41" w:rsidRDefault="00F47B93" w:rsidP="00A150D7">
      <w:pPr>
        <w:autoSpaceDE w:val="0"/>
        <w:autoSpaceDN w:val="0"/>
        <w:adjustRightInd w:val="0"/>
        <w:ind w:left="0" w:firstLine="0"/>
        <w:rPr>
          <w:rFonts w:eastAsia="TimesNewRomanPSMT"/>
          <w:szCs w:val="22"/>
          <w:lang w:eastAsia="en-US"/>
        </w:rPr>
      </w:pPr>
    </w:p>
    <w:p w14:paraId="7D849116" w14:textId="77777777" w:rsidR="00C75A8C" w:rsidRPr="003A5C41" w:rsidRDefault="00A150D7" w:rsidP="00A150D7">
      <w:pPr>
        <w:autoSpaceDE w:val="0"/>
        <w:autoSpaceDN w:val="0"/>
        <w:adjustRightInd w:val="0"/>
        <w:ind w:left="0" w:firstLine="0"/>
        <w:rPr>
          <w:rFonts w:eastAsia="TimesNewRomanPSMT"/>
          <w:b/>
          <w:bCs/>
          <w:szCs w:val="22"/>
          <w:lang w:eastAsia="en-US"/>
        </w:rPr>
      </w:pPr>
      <w:r w:rsidRPr="003A5C41">
        <w:rPr>
          <w:rFonts w:eastAsia="TimesNewRomanPSMT"/>
          <w:b/>
          <w:bCs/>
          <w:szCs w:val="22"/>
          <w:lang w:eastAsia="en-US"/>
        </w:rPr>
        <w:lastRenderedPageBreak/>
        <w:t>Tabuľka 8. Súhrn údajov o celkovej účinnosti</w:t>
      </w:r>
    </w:p>
    <w:p w14:paraId="61BEEA6F" w14:textId="77777777" w:rsidR="00F47B93" w:rsidRPr="003A5C41" w:rsidRDefault="00F47B93" w:rsidP="00A150D7">
      <w:pPr>
        <w:autoSpaceDE w:val="0"/>
        <w:autoSpaceDN w:val="0"/>
        <w:adjustRightInd w:val="0"/>
        <w:ind w:left="0" w:firstLine="0"/>
        <w:rPr>
          <w:rFonts w:eastAsia="TimesNewRomanPSMT"/>
          <w:szCs w:val="22"/>
          <w:lang w:eastAsia="en-US"/>
        </w:rPr>
      </w:pPr>
    </w:p>
    <w:tbl>
      <w:tblPr>
        <w:tblW w:w="9291" w:type="dxa"/>
        <w:tblInd w:w="115" w:type="dxa"/>
        <w:tblLayout w:type="fixed"/>
        <w:tblCellMar>
          <w:left w:w="0" w:type="dxa"/>
          <w:right w:w="0" w:type="dxa"/>
        </w:tblCellMar>
        <w:tblLook w:val="0000" w:firstRow="0" w:lastRow="0" w:firstColumn="0" w:lastColumn="0" w:noHBand="0" w:noVBand="0"/>
      </w:tblPr>
      <w:tblGrid>
        <w:gridCol w:w="4121"/>
        <w:gridCol w:w="1723"/>
        <w:gridCol w:w="1723"/>
        <w:gridCol w:w="1724"/>
      </w:tblGrid>
      <w:tr w:rsidR="00F47B93" w:rsidRPr="003A5C41" w14:paraId="5F42663E" w14:textId="77777777" w:rsidTr="00F47B93">
        <w:trPr>
          <w:trHeight w:hRule="exact" w:val="535"/>
        </w:trPr>
        <w:tc>
          <w:tcPr>
            <w:tcW w:w="4121" w:type="dxa"/>
            <w:tcBorders>
              <w:top w:val="single" w:sz="11" w:space="0" w:color="000000"/>
              <w:left w:val="single" w:sz="7" w:space="0" w:color="000000"/>
              <w:bottom w:val="single" w:sz="11" w:space="0" w:color="000000"/>
              <w:right w:val="single" w:sz="7" w:space="0" w:color="000000"/>
            </w:tcBorders>
          </w:tcPr>
          <w:p w14:paraId="74347E76" w14:textId="77777777" w:rsidR="00F47B93" w:rsidRPr="003A5C41" w:rsidRDefault="00F47B93">
            <w:pPr>
              <w:rPr>
                <w:szCs w:val="22"/>
              </w:rPr>
            </w:pPr>
          </w:p>
        </w:tc>
        <w:tc>
          <w:tcPr>
            <w:tcW w:w="1723" w:type="dxa"/>
            <w:tcBorders>
              <w:top w:val="single" w:sz="11" w:space="0" w:color="000000"/>
              <w:left w:val="single" w:sz="7" w:space="0" w:color="000000"/>
              <w:bottom w:val="single" w:sz="11" w:space="0" w:color="000000"/>
              <w:right w:val="single" w:sz="7" w:space="0" w:color="000000"/>
            </w:tcBorders>
          </w:tcPr>
          <w:p w14:paraId="1CE4626A" w14:textId="77777777" w:rsidR="00F47B93" w:rsidRPr="003A5C41" w:rsidRDefault="00F47B93" w:rsidP="00F47B93">
            <w:pPr>
              <w:pStyle w:val="TableParagraph"/>
              <w:kinsoku w:val="0"/>
              <w:overflowPunct w:val="0"/>
              <w:spacing w:before="1"/>
              <w:ind w:left="415" w:right="398" w:firstLine="41"/>
              <w:rPr>
                <w:sz w:val="22"/>
                <w:szCs w:val="22"/>
                <w:lang w:val="sk-SK"/>
              </w:rPr>
            </w:pPr>
            <w:r w:rsidRPr="003A5C41">
              <w:rPr>
                <w:b/>
                <w:bCs/>
                <w:sz w:val="22"/>
                <w:szCs w:val="22"/>
                <w:lang w:val="sk-SK"/>
              </w:rPr>
              <w:t>MPR+R (N=152)</w:t>
            </w:r>
          </w:p>
        </w:tc>
        <w:tc>
          <w:tcPr>
            <w:tcW w:w="1723" w:type="dxa"/>
            <w:tcBorders>
              <w:top w:val="single" w:sz="11" w:space="0" w:color="000000"/>
              <w:left w:val="single" w:sz="7" w:space="0" w:color="000000"/>
              <w:bottom w:val="single" w:sz="11" w:space="0" w:color="000000"/>
              <w:right w:val="single" w:sz="7" w:space="0" w:color="000000"/>
            </w:tcBorders>
          </w:tcPr>
          <w:p w14:paraId="00A04591" w14:textId="77777777" w:rsidR="00F47B93" w:rsidRPr="003A5C41" w:rsidRDefault="00F47B93" w:rsidP="00F47B93">
            <w:pPr>
              <w:pStyle w:val="TableParagraph"/>
              <w:kinsoku w:val="0"/>
              <w:overflowPunct w:val="0"/>
              <w:spacing w:before="1"/>
              <w:ind w:left="417" w:right="396" w:firstLine="60"/>
              <w:rPr>
                <w:sz w:val="22"/>
                <w:szCs w:val="22"/>
                <w:lang w:val="sk-SK"/>
              </w:rPr>
            </w:pPr>
            <w:r w:rsidRPr="003A5C41">
              <w:rPr>
                <w:b/>
                <w:bCs/>
                <w:sz w:val="22"/>
                <w:szCs w:val="22"/>
                <w:lang w:val="sk-SK"/>
              </w:rPr>
              <w:t>MPR+p (N=153)</w:t>
            </w:r>
          </w:p>
        </w:tc>
        <w:tc>
          <w:tcPr>
            <w:tcW w:w="1724" w:type="dxa"/>
            <w:tcBorders>
              <w:top w:val="single" w:sz="11" w:space="0" w:color="000000"/>
              <w:left w:val="single" w:sz="7" w:space="0" w:color="000000"/>
              <w:bottom w:val="single" w:sz="11" w:space="0" w:color="000000"/>
              <w:right w:val="single" w:sz="7" w:space="0" w:color="000000"/>
            </w:tcBorders>
          </w:tcPr>
          <w:p w14:paraId="1F9982FA" w14:textId="77777777" w:rsidR="00F47B93" w:rsidRPr="003A5C41" w:rsidRDefault="00F47B93" w:rsidP="00F47B93">
            <w:pPr>
              <w:pStyle w:val="TableParagraph"/>
              <w:kinsoku w:val="0"/>
              <w:overflowPunct w:val="0"/>
              <w:spacing w:before="1"/>
              <w:ind w:left="415" w:right="398" w:firstLine="50"/>
              <w:rPr>
                <w:sz w:val="22"/>
                <w:szCs w:val="22"/>
                <w:lang w:val="sk-SK"/>
              </w:rPr>
            </w:pPr>
            <w:r w:rsidRPr="003A5C41">
              <w:rPr>
                <w:b/>
                <w:bCs/>
                <w:sz w:val="22"/>
                <w:szCs w:val="22"/>
                <w:lang w:val="sk-SK"/>
              </w:rPr>
              <w:t>MPp +p (N=154)</w:t>
            </w:r>
          </w:p>
        </w:tc>
      </w:tr>
      <w:tr w:rsidR="00F47B93" w:rsidRPr="003A5C41" w14:paraId="406FC4A3" w14:textId="77777777" w:rsidTr="00F47B93">
        <w:trPr>
          <w:trHeight w:hRule="exact" w:val="295"/>
        </w:trPr>
        <w:tc>
          <w:tcPr>
            <w:tcW w:w="4121" w:type="dxa"/>
            <w:tcBorders>
              <w:top w:val="single" w:sz="11" w:space="0" w:color="000000"/>
              <w:left w:val="single" w:sz="7" w:space="0" w:color="000000"/>
              <w:bottom w:val="single" w:sz="7" w:space="0" w:color="000000"/>
              <w:right w:val="single" w:sz="7" w:space="0" w:color="000000"/>
            </w:tcBorders>
          </w:tcPr>
          <w:p w14:paraId="1159516C" w14:textId="77777777" w:rsidR="00F47B93" w:rsidRPr="003A5C41" w:rsidRDefault="00F47B93" w:rsidP="00F47B93">
            <w:pPr>
              <w:pStyle w:val="TableParagraph"/>
              <w:kinsoku w:val="0"/>
              <w:overflowPunct w:val="0"/>
              <w:spacing w:before="2"/>
              <w:ind w:left="98"/>
              <w:rPr>
                <w:sz w:val="22"/>
                <w:szCs w:val="22"/>
                <w:lang w:val="sk-SK"/>
              </w:rPr>
            </w:pPr>
            <w:r w:rsidRPr="003A5C41">
              <w:rPr>
                <w:b/>
                <w:bCs/>
                <w:sz w:val="22"/>
                <w:szCs w:val="22"/>
                <w:lang w:val="sk-SK"/>
              </w:rPr>
              <w:t>PFS hodnotený skúšajúcim -(mesiace)</w:t>
            </w:r>
          </w:p>
        </w:tc>
        <w:tc>
          <w:tcPr>
            <w:tcW w:w="5170" w:type="dxa"/>
            <w:gridSpan w:val="3"/>
            <w:tcBorders>
              <w:top w:val="single" w:sz="11" w:space="0" w:color="000000"/>
              <w:left w:val="single" w:sz="7" w:space="0" w:color="000000"/>
              <w:bottom w:val="single" w:sz="7" w:space="0" w:color="000000"/>
              <w:right w:val="single" w:sz="7" w:space="0" w:color="000000"/>
            </w:tcBorders>
          </w:tcPr>
          <w:p w14:paraId="2A9565D1" w14:textId="77777777" w:rsidR="00F47B93" w:rsidRPr="003A5C41" w:rsidRDefault="00F47B93">
            <w:pPr>
              <w:rPr>
                <w:szCs w:val="22"/>
              </w:rPr>
            </w:pPr>
          </w:p>
        </w:tc>
      </w:tr>
      <w:tr w:rsidR="00F47B93" w:rsidRPr="003A5C41" w14:paraId="6BA31EA8" w14:textId="77777777" w:rsidTr="00F47B93">
        <w:trPr>
          <w:trHeight w:hRule="exact" w:val="274"/>
        </w:trPr>
        <w:tc>
          <w:tcPr>
            <w:tcW w:w="4121" w:type="dxa"/>
            <w:tcBorders>
              <w:top w:val="single" w:sz="7" w:space="0" w:color="000000"/>
              <w:left w:val="single" w:sz="7" w:space="0" w:color="000000"/>
              <w:bottom w:val="single" w:sz="7" w:space="0" w:color="000000"/>
              <w:right w:val="single" w:sz="7" w:space="0" w:color="000000"/>
            </w:tcBorders>
          </w:tcPr>
          <w:p w14:paraId="1AD78685" w14:textId="131FCDA5" w:rsidR="00F47B93" w:rsidRPr="003A5C41" w:rsidRDefault="00F47B93" w:rsidP="000C6C7D">
            <w:pPr>
              <w:pStyle w:val="TableParagraph"/>
              <w:kinsoku w:val="0"/>
              <w:overflowPunct w:val="0"/>
              <w:spacing w:line="254" w:lineRule="exact"/>
              <w:rPr>
                <w:sz w:val="22"/>
                <w:szCs w:val="22"/>
                <w:lang w:val="sk-SK"/>
              </w:rPr>
            </w:pPr>
            <w:r w:rsidRPr="003A5C41">
              <w:rPr>
                <w:sz w:val="22"/>
                <w:szCs w:val="22"/>
                <w:lang w:val="sk-SK"/>
              </w:rPr>
              <w:t>Medián</w:t>
            </w:r>
            <w:r w:rsidRPr="003A5C41">
              <w:rPr>
                <w:sz w:val="22"/>
                <w:szCs w:val="22"/>
                <w:vertAlign w:val="superscript"/>
                <w:lang w:val="sk-SK"/>
              </w:rPr>
              <w:t>a</w:t>
            </w:r>
            <w:r w:rsidRPr="003A5C41">
              <w:rPr>
                <w:position w:val="8"/>
                <w:sz w:val="22"/>
                <w:szCs w:val="22"/>
                <w:lang w:val="sk-SK"/>
              </w:rPr>
              <w:t xml:space="preserve"> </w:t>
            </w:r>
            <w:r w:rsidRPr="003A5C41">
              <w:rPr>
                <w:sz w:val="22"/>
                <w:szCs w:val="22"/>
                <w:lang w:val="sk-SK"/>
              </w:rPr>
              <w:t xml:space="preserve">PFS, mesiace (95% </w:t>
            </w:r>
            <w:r w:rsidR="000C6C7D">
              <w:rPr>
                <w:sz w:val="22"/>
                <w:szCs w:val="22"/>
                <w:lang w:val="sk-SK"/>
              </w:rPr>
              <w:t>IS</w:t>
            </w:r>
            <w:r w:rsidRPr="003A5C41">
              <w:rPr>
                <w:sz w:val="22"/>
                <w:szCs w:val="22"/>
                <w:lang w:val="sk-SK"/>
              </w:rPr>
              <w:t>)</w:t>
            </w:r>
          </w:p>
        </w:tc>
        <w:tc>
          <w:tcPr>
            <w:tcW w:w="1723" w:type="dxa"/>
            <w:tcBorders>
              <w:top w:val="single" w:sz="7" w:space="0" w:color="000000"/>
              <w:left w:val="single" w:sz="7" w:space="0" w:color="000000"/>
              <w:bottom w:val="single" w:sz="7" w:space="0" w:color="000000"/>
              <w:right w:val="single" w:sz="7" w:space="0" w:color="000000"/>
            </w:tcBorders>
          </w:tcPr>
          <w:p w14:paraId="595065F8" w14:textId="77777777" w:rsidR="00F47B93" w:rsidRPr="003A5C41" w:rsidRDefault="00F47B93">
            <w:pPr>
              <w:pStyle w:val="TableParagraph"/>
              <w:kinsoku w:val="0"/>
              <w:overflowPunct w:val="0"/>
              <w:spacing w:before="1"/>
              <w:ind w:right="113"/>
              <w:jc w:val="right"/>
              <w:rPr>
                <w:sz w:val="22"/>
                <w:szCs w:val="22"/>
                <w:lang w:val="sk-SK"/>
              </w:rPr>
            </w:pPr>
            <w:r w:rsidRPr="003A5C41">
              <w:rPr>
                <w:sz w:val="22"/>
                <w:szCs w:val="22"/>
                <w:lang w:val="sk-SK"/>
              </w:rPr>
              <w:t>27,4 (21,3; 35,0)</w:t>
            </w:r>
          </w:p>
        </w:tc>
        <w:tc>
          <w:tcPr>
            <w:tcW w:w="1723" w:type="dxa"/>
            <w:tcBorders>
              <w:top w:val="single" w:sz="7" w:space="0" w:color="000000"/>
              <w:left w:val="single" w:sz="7" w:space="0" w:color="000000"/>
              <w:bottom w:val="single" w:sz="7" w:space="0" w:color="000000"/>
              <w:right w:val="single" w:sz="7" w:space="0" w:color="000000"/>
            </w:tcBorders>
          </w:tcPr>
          <w:p w14:paraId="7C64CA22" w14:textId="77777777" w:rsidR="00F47B93" w:rsidRPr="003A5C41" w:rsidRDefault="00F47B93">
            <w:pPr>
              <w:pStyle w:val="TableParagraph"/>
              <w:kinsoku w:val="0"/>
              <w:overflowPunct w:val="0"/>
              <w:spacing w:before="1"/>
              <w:ind w:left="95" w:right="95"/>
              <w:jc w:val="center"/>
              <w:rPr>
                <w:sz w:val="22"/>
                <w:szCs w:val="22"/>
                <w:lang w:val="sk-SK"/>
              </w:rPr>
            </w:pPr>
            <w:r w:rsidRPr="003A5C41">
              <w:rPr>
                <w:sz w:val="22"/>
                <w:szCs w:val="22"/>
                <w:lang w:val="sk-SK"/>
              </w:rPr>
              <w:t>14,3 (13,2; 15,7)</w:t>
            </w:r>
          </w:p>
        </w:tc>
        <w:tc>
          <w:tcPr>
            <w:tcW w:w="1724" w:type="dxa"/>
            <w:tcBorders>
              <w:top w:val="single" w:sz="7" w:space="0" w:color="000000"/>
              <w:left w:val="single" w:sz="7" w:space="0" w:color="000000"/>
              <w:bottom w:val="single" w:sz="7" w:space="0" w:color="000000"/>
              <w:right w:val="single" w:sz="7" w:space="0" w:color="000000"/>
            </w:tcBorders>
          </w:tcPr>
          <w:p w14:paraId="41AB81E6" w14:textId="77777777" w:rsidR="00F47B93" w:rsidRPr="003A5C41" w:rsidRDefault="00F47B93">
            <w:pPr>
              <w:pStyle w:val="TableParagraph"/>
              <w:kinsoku w:val="0"/>
              <w:overflowPunct w:val="0"/>
              <w:spacing w:before="1"/>
              <w:ind w:left="95" w:right="95"/>
              <w:jc w:val="center"/>
              <w:rPr>
                <w:sz w:val="22"/>
                <w:szCs w:val="22"/>
                <w:lang w:val="sk-SK"/>
              </w:rPr>
            </w:pPr>
            <w:r w:rsidRPr="003A5C41">
              <w:rPr>
                <w:sz w:val="22"/>
                <w:szCs w:val="22"/>
                <w:lang w:val="sk-SK"/>
              </w:rPr>
              <w:t>13,1 (12,0; 14,8)</w:t>
            </w:r>
          </w:p>
        </w:tc>
      </w:tr>
      <w:tr w:rsidR="00F47B93" w:rsidRPr="003A5C41" w14:paraId="31414111" w14:textId="77777777" w:rsidTr="00F47B93">
        <w:trPr>
          <w:trHeight w:hRule="exact" w:val="274"/>
        </w:trPr>
        <w:tc>
          <w:tcPr>
            <w:tcW w:w="4121" w:type="dxa"/>
            <w:tcBorders>
              <w:top w:val="single" w:sz="7" w:space="0" w:color="000000"/>
              <w:left w:val="single" w:sz="7" w:space="0" w:color="000000"/>
              <w:bottom w:val="single" w:sz="7" w:space="0" w:color="000000"/>
              <w:right w:val="single" w:sz="7" w:space="0" w:color="000000"/>
            </w:tcBorders>
          </w:tcPr>
          <w:p w14:paraId="6BDC0585" w14:textId="4620FC1C" w:rsidR="00F47B93" w:rsidRPr="003A5C41" w:rsidRDefault="00F47B93" w:rsidP="000C6C7D">
            <w:pPr>
              <w:pStyle w:val="TableParagraph"/>
              <w:kinsoku w:val="0"/>
              <w:overflowPunct w:val="0"/>
              <w:rPr>
                <w:sz w:val="22"/>
                <w:szCs w:val="22"/>
                <w:lang w:val="sk-SK"/>
              </w:rPr>
            </w:pPr>
            <w:r w:rsidRPr="003A5C41">
              <w:rPr>
                <w:sz w:val="22"/>
                <w:szCs w:val="22"/>
                <w:lang w:val="sk-SK"/>
              </w:rPr>
              <w:t xml:space="preserve">HR [95% </w:t>
            </w:r>
            <w:r w:rsidR="000C6C7D">
              <w:rPr>
                <w:sz w:val="22"/>
                <w:szCs w:val="22"/>
                <w:lang w:val="sk-SK"/>
              </w:rPr>
              <w:t>IS</w:t>
            </w:r>
            <w:r w:rsidRPr="003A5C41">
              <w:rPr>
                <w:sz w:val="22"/>
                <w:szCs w:val="22"/>
                <w:lang w:val="sk-SK"/>
              </w:rPr>
              <w:t>]; p-hodnota</w:t>
            </w:r>
          </w:p>
        </w:tc>
        <w:tc>
          <w:tcPr>
            <w:tcW w:w="5170" w:type="dxa"/>
            <w:gridSpan w:val="3"/>
            <w:tcBorders>
              <w:top w:val="single" w:sz="7" w:space="0" w:color="000000"/>
              <w:left w:val="single" w:sz="7" w:space="0" w:color="000000"/>
              <w:bottom w:val="single" w:sz="7" w:space="0" w:color="000000"/>
              <w:right w:val="single" w:sz="7" w:space="0" w:color="000000"/>
            </w:tcBorders>
          </w:tcPr>
          <w:p w14:paraId="72CCAE22" w14:textId="77777777" w:rsidR="00F47B93" w:rsidRPr="003A5C41" w:rsidRDefault="00F47B93">
            <w:pPr>
              <w:rPr>
                <w:szCs w:val="22"/>
              </w:rPr>
            </w:pPr>
          </w:p>
        </w:tc>
      </w:tr>
      <w:tr w:rsidR="00F47B93" w:rsidRPr="003A5C41" w14:paraId="557AB9C4" w14:textId="77777777" w:rsidTr="00F47B93">
        <w:trPr>
          <w:trHeight w:hRule="exact" w:val="271"/>
        </w:trPr>
        <w:tc>
          <w:tcPr>
            <w:tcW w:w="4121" w:type="dxa"/>
            <w:tcBorders>
              <w:top w:val="single" w:sz="7" w:space="0" w:color="000000"/>
              <w:left w:val="single" w:sz="7" w:space="0" w:color="000000"/>
              <w:bottom w:val="single" w:sz="7" w:space="0" w:color="000000"/>
              <w:right w:val="single" w:sz="7" w:space="0" w:color="000000"/>
            </w:tcBorders>
          </w:tcPr>
          <w:p w14:paraId="2F6A069D" w14:textId="77777777" w:rsidR="00F47B93" w:rsidRPr="003A5C41" w:rsidRDefault="00F47B93">
            <w:pPr>
              <w:pStyle w:val="TableParagraph"/>
              <w:kinsoku w:val="0"/>
              <w:overflowPunct w:val="0"/>
              <w:ind w:left="549"/>
              <w:rPr>
                <w:sz w:val="22"/>
                <w:szCs w:val="22"/>
                <w:lang w:val="sk-SK"/>
              </w:rPr>
            </w:pPr>
            <w:r w:rsidRPr="003A5C41">
              <w:rPr>
                <w:sz w:val="22"/>
                <w:szCs w:val="22"/>
                <w:lang w:val="sk-SK"/>
              </w:rPr>
              <w:t>MPR+R vs MPp+p</w:t>
            </w:r>
          </w:p>
        </w:tc>
        <w:tc>
          <w:tcPr>
            <w:tcW w:w="5170" w:type="dxa"/>
            <w:gridSpan w:val="3"/>
            <w:tcBorders>
              <w:top w:val="single" w:sz="7" w:space="0" w:color="000000"/>
              <w:left w:val="single" w:sz="7" w:space="0" w:color="000000"/>
              <w:bottom w:val="single" w:sz="7" w:space="0" w:color="000000"/>
              <w:right w:val="single" w:sz="7" w:space="0" w:color="000000"/>
            </w:tcBorders>
          </w:tcPr>
          <w:p w14:paraId="118C7BEC" w14:textId="77777777" w:rsidR="00F47B93" w:rsidRPr="003A5C41" w:rsidRDefault="00F47B93">
            <w:pPr>
              <w:pStyle w:val="TableParagraph"/>
              <w:kinsoku w:val="0"/>
              <w:overflowPunct w:val="0"/>
              <w:ind w:left="1468"/>
              <w:rPr>
                <w:sz w:val="22"/>
                <w:szCs w:val="22"/>
                <w:lang w:val="sk-SK"/>
              </w:rPr>
            </w:pPr>
            <w:r w:rsidRPr="003A5C41">
              <w:rPr>
                <w:sz w:val="22"/>
                <w:szCs w:val="22"/>
                <w:lang w:val="sk-SK"/>
              </w:rPr>
              <w:t>0,37 (0,27; 0,50); &lt;0,001</w:t>
            </w:r>
          </w:p>
        </w:tc>
      </w:tr>
      <w:tr w:rsidR="00F47B93" w:rsidRPr="003A5C41" w14:paraId="409C3B38" w14:textId="77777777" w:rsidTr="00F47B93">
        <w:trPr>
          <w:trHeight w:hRule="exact" w:val="274"/>
        </w:trPr>
        <w:tc>
          <w:tcPr>
            <w:tcW w:w="4121" w:type="dxa"/>
            <w:tcBorders>
              <w:top w:val="single" w:sz="7" w:space="0" w:color="000000"/>
              <w:left w:val="single" w:sz="7" w:space="0" w:color="000000"/>
              <w:bottom w:val="single" w:sz="7" w:space="0" w:color="000000"/>
              <w:right w:val="single" w:sz="7" w:space="0" w:color="000000"/>
            </w:tcBorders>
          </w:tcPr>
          <w:p w14:paraId="60357469" w14:textId="77777777" w:rsidR="00F47B93" w:rsidRPr="003A5C41" w:rsidRDefault="00F47B93">
            <w:pPr>
              <w:pStyle w:val="TableParagraph"/>
              <w:kinsoku w:val="0"/>
              <w:overflowPunct w:val="0"/>
              <w:spacing w:before="1"/>
              <w:ind w:left="549"/>
              <w:rPr>
                <w:sz w:val="22"/>
                <w:szCs w:val="22"/>
                <w:lang w:val="sk-SK"/>
              </w:rPr>
            </w:pPr>
            <w:r w:rsidRPr="003A5C41">
              <w:rPr>
                <w:sz w:val="22"/>
                <w:szCs w:val="22"/>
                <w:lang w:val="sk-SK"/>
              </w:rPr>
              <w:t>MPR+R vs MPR+p</w:t>
            </w:r>
          </w:p>
        </w:tc>
        <w:tc>
          <w:tcPr>
            <w:tcW w:w="5170" w:type="dxa"/>
            <w:gridSpan w:val="3"/>
            <w:tcBorders>
              <w:top w:val="single" w:sz="7" w:space="0" w:color="000000"/>
              <w:left w:val="single" w:sz="7" w:space="0" w:color="000000"/>
              <w:bottom w:val="single" w:sz="7" w:space="0" w:color="000000"/>
              <w:right w:val="single" w:sz="7" w:space="0" w:color="000000"/>
            </w:tcBorders>
          </w:tcPr>
          <w:p w14:paraId="7DBFC2AC" w14:textId="77777777" w:rsidR="00F47B93" w:rsidRPr="003A5C41" w:rsidRDefault="00F47B93">
            <w:pPr>
              <w:pStyle w:val="TableParagraph"/>
              <w:kinsoku w:val="0"/>
              <w:overflowPunct w:val="0"/>
              <w:spacing w:before="1"/>
              <w:ind w:left="1468"/>
              <w:rPr>
                <w:sz w:val="22"/>
                <w:szCs w:val="22"/>
                <w:lang w:val="sk-SK"/>
              </w:rPr>
            </w:pPr>
            <w:r w:rsidRPr="003A5C41">
              <w:rPr>
                <w:sz w:val="22"/>
                <w:szCs w:val="22"/>
                <w:lang w:val="sk-SK"/>
              </w:rPr>
              <w:t>0,47 (0,35; 0,65); &lt;0,001</w:t>
            </w:r>
          </w:p>
        </w:tc>
      </w:tr>
      <w:tr w:rsidR="00F47B93" w:rsidRPr="003A5C41" w14:paraId="289DF405" w14:textId="77777777" w:rsidTr="00F47B93">
        <w:trPr>
          <w:trHeight w:hRule="exact" w:val="273"/>
        </w:trPr>
        <w:tc>
          <w:tcPr>
            <w:tcW w:w="4121" w:type="dxa"/>
            <w:tcBorders>
              <w:top w:val="single" w:sz="7" w:space="0" w:color="000000"/>
              <w:left w:val="single" w:sz="7" w:space="0" w:color="000000"/>
              <w:bottom w:val="single" w:sz="7" w:space="0" w:color="000000"/>
              <w:right w:val="single" w:sz="7" w:space="0" w:color="000000"/>
            </w:tcBorders>
          </w:tcPr>
          <w:p w14:paraId="44989B33" w14:textId="77777777" w:rsidR="00F47B93" w:rsidRPr="003A5C41" w:rsidRDefault="00F47B93">
            <w:pPr>
              <w:pStyle w:val="TableParagraph"/>
              <w:kinsoku w:val="0"/>
              <w:overflowPunct w:val="0"/>
              <w:spacing w:before="1"/>
              <w:ind w:left="549"/>
              <w:rPr>
                <w:sz w:val="22"/>
                <w:szCs w:val="22"/>
                <w:lang w:val="sk-SK"/>
              </w:rPr>
            </w:pPr>
            <w:r w:rsidRPr="003A5C41">
              <w:rPr>
                <w:sz w:val="22"/>
                <w:szCs w:val="22"/>
                <w:lang w:val="sk-SK"/>
              </w:rPr>
              <w:t>MPR+p vs MPp +p</w:t>
            </w:r>
          </w:p>
        </w:tc>
        <w:tc>
          <w:tcPr>
            <w:tcW w:w="5170" w:type="dxa"/>
            <w:gridSpan w:val="3"/>
            <w:tcBorders>
              <w:top w:val="single" w:sz="7" w:space="0" w:color="000000"/>
              <w:left w:val="single" w:sz="7" w:space="0" w:color="000000"/>
              <w:bottom w:val="single" w:sz="7" w:space="0" w:color="000000"/>
              <w:right w:val="single" w:sz="7" w:space="0" w:color="000000"/>
            </w:tcBorders>
          </w:tcPr>
          <w:p w14:paraId="2D86D4C9" w14:textId="77777777" w:rsidR="00F47B93" w:rsidRPr="003A5C41" w:rsidRDefault="00F47B93">
            <w:pPr>
              <w:pStyle w:val="TableParagraph"/>
              <w:kinsoku w:val="0"/>
              <w:overflowPunct w:val="0"/>
              <w:spacing w:before="1"/>
              <w:ind w:left="1533"/>
              <w:rPr>
                <w:sz w:val="22"/>
                <w:szCs w:val="22"/>
                <w:lang w:val="sk-SK"/>
              </w:rPr>
            </w:pPr>
            <w:r w:rsidRPr="003A5C41">
              <w:rPr>
                <w:sz w:val="22"/>
                <w:szCs w:val="22"/>
                <w:lang w:val="sk-SK"/>
              </w:rPr>
              <w:t>0,78 (0,60; 1,01); 0,059</w:t>
            </w:r>
          </w:p>
        </w:tc>
      </w:tr>
      <w:tr w:rsidR="00F47B93" w:rsidRPr="003A5C41" w14:paraId="42F613F9" w14:textId="77777777" w:rsidTr="00F47B93">
        <w:trPr>
          <w:trHeight w:hRule="exact" w:val="290"/>
        </w:trPr>
        <w:tc>
          <w:tcPr>
            <w:tcW w:w="4121" w:type="dxa"/>
            <w:tcBorders>
              <w:top w:val="single" w:sz="7" w:space="0" w:color="000000"/>
              <w:left w:val="single" w:sz="7" w:space="0" w:color="000000"/>
              <w:bottom w:val="single" w:sz="7" w:space="0" w:color="000000"/>
              <w:right w:val="single" w:sz="7" w:space="0" w:color="000000"/>
            </w:tcBorders>
          </w:tcPr>
          <w:p w14:paraId="4EA724DB" w14:textId="77777777" w:rsidR="00F47B93" w:rsidRPr="003A5C41" w:rsidRDefault="00F47B93" w:rsidP="00F47B93">
            <w:pPr>
              <w:pStyle w:val="TableParagraph"/>
              <w:kinsoku w:val="0"/>
              <w:overflowPunct w:val="0"/>
              <w:spacing w:line="269" w:lineRule="exact"/>
              <w:ind w:left="98"/>
              <w:rPr>
                <w:sz w:val="22"/>
                <w:szCs w:val="22"/>
                <w:lang w:val="sk-SK"/>
              </w:rPr>
            </w:pPr>
            <w:r w:rsidRPr="003A5C41">
              <w:rPr>
                <w:b/>
                <w:bCs/>
                <w:sz w:val="22"/>
                <w:szCs w:val="22"/>
                <w:lang w:val="sk-SK"/>
              </w:rPr>
              <w:t>PFS2 -</w:t>
            </w:r>
            <w:r w:rsidRPr="003A5C41">
              <w:rPr>
                <w:sz w:val="22"/>
                <w:szCs w:val="22"/>
                <w:lang w:val="sk-SK"/>
              </w:rPr>
              <w:t xml:space="preserve"> </w:t>
            </w:r>
            <w:r w:rsidRPr="003A5C41">
              <w:rPr>
                <w:b/>
                <w:bCs/>
                <w:sz w:val="22"/>
                <w:szCs w:val="22"/>
                <w:lang w:val="sk-SK"/>
              </w:rPr>
              <w:t xml:space="preserve">(mesiace) </w:t>
            </w:r>
            <w:r w:rsidRPr="003A5C41">
              <w:rPr>
                <w:position w:val="8"/>
                <w:sz w:val="22"/>
                <w:szCs w:val="22"/>
                <w:lang w:val="sk-SK"/>
              </w:rPr>
              <w:t>¤</w:t>
            </w:r>
          </w:p>
        </w:tc>
        <w:tc>
          <w:tcPr>
            <w:tcW w:w="5170" w:type="dxa"/>
            <w:gridSpan w:val="3"/>
            <w:tcBorders>
              <w:top w:val="single" w:sz="7" w:space="0" w:color="000000"/>
              <w:left w:val="single" w:sz="7" w:space="0" w:color="000000"/>
              <w:bottom w:val="single" w:sz="4" w:space="0" w:color="000000"/>
              <w:right w:val="single" w:sz="7" w:space="0" w:color="000000"/>
            </w:tcBorders>
          </w:tcPr>
          <w:p w14:paraId="7D3DB282" w14:textId="77777777" w:rsidR="00F47B93" w:rsidRPr="003A5C41" w:rsidRDefault="00F47B93">
            <w:pPr>
              <w:rPr>
                <w:szCs w:val="22"/>
              </w:rPr>
            </w:pPr>
          </w:p>
        </w:tc>
      </w:tr>
      <w:tr w:rsidR="00F47B93" w:rsidRPr="003A5C41" w14:paraId="0239012A" w14:textId="77777777" w:rsidTr="00F47B93">
        <w:trPr>
          <w:trHeight w:hRule="exact" w:val="271"/>
        </w:trPr>
        <w:tc>
          <w:tcPr>
            <w:tcW w:w="4121" w:type="dxa"/>
            <w:tcBorders>
              <w:top w:val="single" w:sz="7" w:space="0" w:color="000000"/>
              <w:left w:val="single" w:sz="7" w:space="0" w:color="000000"/>
              <w:bottom w:val="single" w:sz="7" w:space="0" w:color="000000"/>
              <w:right w:val="single" w:sz="3" w:space="0" w:color="000000"/>
            </w:tcBorders>
          </w:tcPr>
          <w:p w14:paraId="7568FCEA" w14:textId="7A74931A" w:rsidR="00F47B93" w:rsidRPr="003A5C41" w:rsidRDefault="00F47B93" w:rsidP="000C6C7D">
            <w:pPr>
              <w:pStyle w:val="TableParagraph"/>
              <w:kinsoku w:val="0"/>
              <w:overflowPunct w:val="0"/>
              <w:rPr>
                <w:sz w:val="22"/>
                <w:szCs w:val="22"/>
                <w:lang w:val="sk-SK"/>
              </w:rPr>
            </w:pPr>
            <w:r w:rsidRPr="003A5C41">
              <w:rPr>
                <w:sz w:val="22"/>
                <w:szCs w:val="22"/>
                <w:lang w:val="sk-SK"/>
              </w:rPr>
              <w:t>Medián</w:t>
            </w:r>
            <w:r w:rsidRPr="003A5C41">
              <w:rPr>
                <w:sz w:val="22"/>
                <w:szCs w:val="22"/>
                <w:vertAlign w:val="superscript"/>
                <w:lang w:val="sk-SK"/>
              </w:rPr>
              <w:t>a</w:t>
            </w:r>
            <w:r w:rsidRPr="003A5C41">
              <w:rPr>
                <w:position w:val="8"/>
                <w:sz w:val="22"/>
                <w:szCs w:val="22"/>
                <w:lang w:val="sk-SK"/>
              </w:rPr>
              <w:t xml:space="preserve"> </w:t>
            </w:r>
            <w:r w:rsidRPr="003A5C41">
              <w:rPr>
                <w:sz w:val="22"/>
                <w:szCs w:val="22"/>
                <w:lang w:val="sk-SK"/>
              </w:rPr>
              <w:t xml:space="preserve">PFS2, mesiace (95% </w:t>
            </w:r>
            <w:r w:rsidR="000C6C7D">
              <w:rPr>
                <w:sz w:val="22"/>
                <w:szCs w:val="22"/>
                <w:lang w:val="sk-SK"/>
              </w:rPr>
              <w:t>IS</w:t>
            </w:r>
            <w:r w:rsidRPr="003A5C41">
              <w:rPr>
                <w:sz w:val="22"/>
                <w:szCs w:val="22"/>
                <w:lang w:val="sk-SK"/>
              </w:rPr>
              <w:t>)</w:t>
            </w:r>
          </w:p>
        </w:tc>
        <w:tc>
          <w:tcPr>
            <w:tcW w:w="1723" w:type="dxa"/>
            <w:tcBorders>
              <w:top w:val="single" w:sz="4" w:space="0" w:color="000000"/>
              <w:left w:val="single" w:sz="3" w:space="0" w:color="000000"/>
              <w:bottom w:val="single" w:sz="4" w:space="0" w:color="000000"/>
              <w:right w:val="single" w:sz="3" w:space="0" w:color="000000"/>
            </w:tcBorders>
          </w:tcPr>
          <w:p w14:paraId="57BB8575" w14:textId="77777777" w:rsidR="00F47B93" w:rsidRPr="003A5C41" w:rsidRDefault="00F47B93">
            <w:pPr>
              <w:pStyle w:val="TableParagraph"/>
              <w:kinsoku w:val="0"/>
              <w:overflowPunct w:val="0"/>
              <w:spacing w:before="3"/>
              <w:ind w:right="116"/>
              <w:jc w:val="right"/>
              <w:rPr>
                <w:sz w:val="22"/>
                <w:szCs w:val="22"/>
                <w:lang w:val="sk-SK"/>
              </w:rPr>
            </w:pPr>
            <w:r w:rsidRPr="003A5C41">
              <w:rPr>
                <w:sz w:val="22"/>
                <w:szCs w:val="22"/>
                <w:lang w:val="sk-SK"/>
              </w:rPr>
              <w:t>39,7 (29,2; 48,4)</w:t>
            </w:r>
          </w:p>
        </w:tc>
        <w:tc>
          <w:tcPr>
            <w:tcW w:w="1723" w:type="dxa"/>
            <w:tcBorders>
              <w:top w:val="single" w:sz="4" w:space="0" w:color="000000"/>
              <w:left w:val="single" w:sz="3" w:space="0" w:color="000000"/>
              <w:bottom w:val="single" w:sz="4" w:space="0" w:color="000000"/>
              <w:right w:val="single" w:sz="3" w:space="0" w:color="000000"/>
            </w:tcBorders>
          </w:tcPr>
          <w:p w14:paraId="4FFBBB6F" w14:textId="77777777" w:rsidR="00F47B93" w:rsidRPr="003A5C41" w:rsidRDefault="00F47B93">
            <w:pPr>
              <w:pStyle w:val="TableParagraph"/>
              <w:kinsoku w:val="0"/>
              <w:overflowPunct w:val="0"/>
              <w:spacing w:before="3"/>
              <w:ind w:left="101" w:right="100"/>
              <w:jc w:val="center"/>
              <w:rPr>
                <w:sz w:val="22"/>
                <w:szCs w:val="22"/>
                <w:lang w:val="sk-SK"/>
              </w:rPr>
            </w:pPr>
            <w:r w:rsidRPr="003A5C41">
              <w:rPr>
                <w:sz w:val="22"/>
                <w:szCs w:val="22"/>
                <w:lang w:val="sk-SK"/>
              </w:rPr>
              <w:t>27,8 (23,1; 33,1)</w:t>
            </w:r>
          </w:p>
        </w:tc>
        <w:tc>
          <w:tcPr>
            <w:tcW w:w="1724" w:type="dxa"/>
            <w:tcBorders>
              <w:top w:val="single" w:sz="4" w:space="0" w:color="000000"/>
              <w:left w:val="single" w:sz="3" w:space="0" w:color="000000"/>
              <w:bottom w:val="single" w:sz="4" w:space="0" w:color="000000"/>
              <w:right w:val="single" w:sz="4" w:space="0" w:color="000000"/>
            </w:tcBorders>
          </w:tcPr>
          <w:p w14:paraId="07527AAD" w14:textId="77777777" w:rsidR="00F47B93" w:rsidRPr="003A5C41" w:rsidRDefault="00F47B93">
            <w:pPr>
              <w:pStyle w:val="TableParagraph"/>
              <w:kinsoku w:val="0"/>
              <w:overflowPunct w:val="0"/>
              <w:spacing w:before="3"/>
              <w:ind w:left="101" w:right="100"/>
              <w:jc w:val="center"/>
              <w:rPr>
                <w:sz w:val="22"/>
                <w:szCs w:val="22"/>
                <w:lang w:val="sk-SK"/>
              </w:rPr>
            </w:pPr>
            <w:r w:rsidRPr="003A5C41">
              <w:rPr>
                <w:sz w:val="22"/>
                <w:szCs w:val="22"/>
                <w:lang w:val="sk-SK"/>
              </w:rPr>
              <w:t>28,8 (24,3; 33,8)</w:t>
            </w:r>
          </w:p>
        </w:tc>
      </w:tr>
      <w:tr w:rsidR="00F47B93" w:rsidRPr="003A5C41" w14:paraId="0A09EE60" w14:textId="77777777" w:rsidTr="00F47B93">
        <w:trPr>
          <w:trHeight w:hRule="exact" w:val="274"/>
        </w:trPr>
        <w:tc>
          <w:tcPr>
            <w:tcW w:w="4121" w:type="dxa"/>
            <w:tcBorders>
              <w:top w:val="single" w:sz="7" w:space="0" w:color="000000"/>
              <w:left w:val="single" w:sz="7" w:space="0" w:color="000000"/>
              <w:bottom w:val="single" w:sz="7" w:space="0" w:color="000000"/>
              <w:right w:val="single" w:sz="3" w:space="0" w:color="000000"/>
            </w:tcBorders>
          </w:tcPr>
          <w:p w14:paraId="5FEE5237" w14:textId="653C3531" w:rsidR="00F47B93" w:rsidRPr="003A5C41" w:rsidRDefault="00F47B93" w:rsidP="000C6C7D">
            <w:pPr>
              <w:pStyle w:val="TableParagraph"/>
              <w:kinsoku w:val="0"/>
              <w:overflowPunct w:val="0"/>
              <w:spacing w:before="1"/>
              <w:rPr>
                <w:sz w:val="22"/>
                <w:szCs w:val="22"/>
                <w:lang w:val="sk-SK"/>
              </w:rPr>
            </w:pPr>
            <w:r w:rsidRPr="003A5C41">
              <w:rPr>
                <w:sz w:val="22"/>
                <w:szCs w:val="22"/>
                <w:lang w:val="sk-SK"/>
              </w:rPr>
              <w:t xml:space="preserve">HR [95% </w:t>
            </w:r>
            <w:r w:rsidR="000C6C7D">
              <w:rPr>
                <w:sz w:val="22"/>
                <w:szCs w:val="22"/>
                <w:lang w:val="sk-SK"/>
              </w:rPr>
              <w:t>IS</w:t>
            </w:r>
            <w:r w:rsidRPr="003A5C41">
              <w:rPr>
                <w:sz w:val="22"/>
                <w:szCs w:val="22"/>
                <w:lang w:val="sk-SK"/>
              </w:rPr>
              <w:t>]; p-hodnota</w:t>
            </w:r>
          </w:p>
        </w:tc>
        <w:tc>
          <w:tcPr>
            <w:tcW w:w="5170" w:type="dxa"/>
            <w:gridSpan w:val="3"/>
            <w:tcBorders>
              <w:top w:val="single" w:sz="4" w:space="0" w:color="000000"/>
              <w:left w:val="single" w:sz="3" w:space="0" w:color="000000"/>
              <w:bottom w:val="single" w:sz="3" w:space="0" w:color="000000"/>
              <w:right w:val="single" w:sz="4" w:space="0" w:color="000000"/>
            </w:tcBorders>
          </w:tcPr>
          <w:p w14:paraId="54D4FD65" w14:textId="77777777" w:rsidR="00F47B93" w:rsidRPr="003A5C41" w:rsidRDefault="00F47B93">
            <w:pPr>
              <w:rPr>
                <w:szCs w:val="22"/>
              </w:rPr>
            </w:pPr>
          </w:p>
        </w:tc>
      </w:tr>
      <w:tr w:rsidR="00F47B93" w:rsidRPr="003A5C41" w14:paraId="57F5EF2F" w14:textId="77777777" w:rsidTr="00F47B93">
        <w:trPr>
          <w:trHeight w:hRule="exact" w:val="274"/>
        </w:trPr>
        <w:tc>
          <w:tcPr>
            <w:tcW w:w="4121" w:type="dxa"/>
            <w:tcBorders>
              <w:top w:val="single" w:sz="7" w:space="0" w:color="000000"/>
              <w:left w:val="single" w:sz="7" w:space="0" w:color="000000"/>
              <w:bottom w:val="single" w:sz="7" w:space="0" w:color="000000"/>
              <w:right w:val="single" w:sz="7" w:space="0" w:color="000000"/>
            </w:tcBorders>
          </w:tcPr>
          <w:p w14:paraId="3A0A94D1" w14:textId="77777777" w:rsidR="00F47B93" w:rsidRPr="003A5C41" w:rsidRDefault="00F47B93">
            <w:pPr>
              <w:pStyle w:val="TableParagraph"/>
              <w:kinsoku w:val="0"/>
              <w:overflowPunct w:val="0"/>
              <w:ind w:left="549"/>
              <w:rPr>
                <w:sz w:val="22"/>
                <w:szCs w:val="22"/>
                <w:lang w:val="sk-SK"/>
              </w:rPr>
            </w:pPr>
            <w:r w:rsidRPr="003A5C41">
              <w:rPr>
                <w:sz w:val="22"/>
                <w:szCs w:val="22"/>
                <w:lang w:val="sk-SK"/>
              </w:rPr>
              <w:t>MPR+R vs MPp+p</w:t>
            </w:r>
          </w:p>
        </w:tc>
        <w:tc>
          <w:tcPr>
            <w:tcW w:w="5170" w:type="dxa"/>
            <w:gridSpan w:val="3"/>
            <w:tcBorders>
              <w:top w:val="single" w:sz="3" w:space="0" w:color="000000"/>
              <w:left w:val="single" w:sz="7" w:space="0" w:color="000000"/>
              <w:bottom w:val="single" w:sz="7" w:space="0" w:color="000000"/>
              <w:right w:val="single" w:sz="7" w:space="0" w:color="000000"/>
            </w:tcBorders>
          </w:tcPr>
          <w:p w14:paraId="42FBFBC1" w14:textId="77777777" w:rsidR="00F47B93" w:rsidRPr="003A5C41" w:rsidRDefault="00F47B93">
            <w:pPr>
              <w:pStyle w:val="TableParagraph"/>
              <w:kinsoku w:val="0"/>
              <w:overflowPunct w:val="0"/>
              <w:spacing w:before="3"/>
              <w:ind w:left="1533"/>
              <w:rPr>
                <w:sz w:val="22"/>
                <w:szCs w:val="22"/>
                <w:lang w:val="sk-SK"/>
              </w:rPr>
            </w:pPr>
            <w:r w:rsidRPr="003A5C41">
              <w:rPr>
                <w:sz w:val="22"/>
                <w:szCs w:val="22"/>
                <w:lang w:val="sk-SK"/>
              </w:rPr>
              <w:t>0,70 (0,54; 0,92); 0,009</w:t>
            </w:r>
          </w:p>
        </w:tc>
      </w:tr>
      <w:tr w:rsidR="00F47B93" w:rsidRPr="003A5C41" w14:paraId="0C8184C2" w14:textId="77777777" w:rsidTr="00F47B93">
        <w:trPr>
          <w:trHeight w:hRule="exact" w:val="274"/>
        </w:trPr>
        <w:tc>
          <w:tcPr>
            <w:tcW w:w="4121" w:type="dxa"/>
            <w:tcBorders>
              <w:top w:val="single" w:sz="7" w:space="0" w:color="000000"/>
              <w:left w:val="single" w:sz="7" w:space="0" w:color="000000"/>
              <w:bottom w:val="single" w:sz="7" w:space="0" w:color="000000"/>
              <w:right w:val="single" w:sz="7" w:space="0" w:color="000000"/>
            </w:tcBorders>
          </w:tcPr>
          <w:p w14:paraId="10E5B046" w14:textId="77777777" w:rsidR="00F47B93" w:rsidRPr="003A5C41" w:rsidRDefault="00F47B93">
            <w:pPr>
              <w:pStyle w:val="TableParagraph"/>
              <w:kinsoku w:val="0"/>
              <w:overflowPunct w:val="0"/>
              <w:ind w:left="549"/>
              <w:rPr>
                <w:sz w:val="22"/>
                <w:szCs w:val="22"/>
                <w:lang w:val="sk-SK"/>
              </w:rPr>
            </w:pPr>
            <w:r w:rsidRPr="003A5C41">
              <w:rPr>
                <w:sz w:val="22"/>
                <w:szCs w:val="22"/>
                <w:lang w:val="sk-SK"/>
              </w:rPr>
              <w:t>MPR+R vs MPR+p</w:t>
            </w:r>
          </w:p>
        </w:tc>
        <w:tc>
          <w:tcPr>
            <w:tcW w:w="5170" w:type="dxa"/>
            <w:gridSpan w:val="3"/>
            <w:tcBorders>
              <w:top w:val="single" w:sz="7" w:space="0" w:color="000000"/>
              <w:left w:val="single" w:sz="7" w:space="0" w:color="000000"/>
              <w:bottom w:val="single" w:sz="7" w:space="0" w:color="000000"/>
              <w:right w:val="single" w:sz="7" w:space="0" w:color="000000"/>
            </w:tcBorders>
          </w:tcPr>
          <w:p w14:paraId="56A82ADF" w14:textId="77777777" w:rsidR="00F47B93" w:rsidRPr="003A5C41" w:rsidRDefault="00F47B93">
            <w:pPr>
              <w:pStyle w:val="TableParagraph"/>
              <w:kinsoku w:val="0"/>
              <w:overflowPunct w:val="0"/>
              <w:ind w:left="1533"/>
              <w:rPr>
                <w:sz w:val="22"/>
                <w:szCs w:val="22"/>
                <w:lang w:val="sk-SK"/>
              </w:rPr>
            </w:pPr>
            <w:r w:rsidRPr="003A5C41">
              <w:rPr>
                <w:sz w:val="22"/>
                <w:szCs w:val="22"/>
                <w:lang w:val="sk-SK"/>
              </w:rPr>
              <w:t>0,77 (0,59; 1,02); 0,065</w:t>
            </w:r>
          </w:p>
        </w:tc>
      </w:tr>
      <w:tr w:rsidR="00F47B93" w:rsidRPr="003A5C41" w14:paraId="4764682E" w14:textId="77777777" w:rsidTr="00F47B93">
        <w:trPr>
          <w:trHeight w:hRule="exact" w:val="271"/>
        </w:trPr>
        <w:tc>
          <w:tcPr>
            <w:tcW w:w="4121" w:type="dxa"/>
            <w:tcBorders>
              <w:top w:val="single" w:sz="7" w:space="0" w:color="000000"/>
              <w:left w:val="single" w:sz="7" w:space="0" w:color="000000"/>
              <w:bottom w:val="single" w:sz="7" w:space="0" w:color="000000"/>
              <w:right w:val="single" w:sz="7" w:space="0" w:color="000000"/>
            </w:tcBorders>
          </w:tcPr>
          <w:p w14:paraId="5FCEAE7D" w14:textId="77777777" w:rsidR="00F47B93" w:rsidRPr="003A5C41" w:rsidRDefault="00F47B93">
            <w:pPr>
              <w:pStyle w:val="TableParagraph"/>
              <w:kinsoku w:val="0"/>
              <w:overflowPunct w:val="0"/>
              <w:ind w:left="549"/>
              <w:rPr>
                <w:sz w:val="22"/>
                <w:szCs w:val="22"/>
                <w:lang w:val="sk-SK"/>
              </w:rPr>
            </w:pPr>
            <w:r w:rsidRPr="003A5C41">
              <w:rPr>
                <w:sz w:val="22"/>
                <w:szCs w:val="22"/>
                <w:lang w:val="sk-SK"/>
              </w:rPr>
              <w:t>MPR+p vs MPp +p</w:t>
            </w:r>
          </w:p>
        </w:tc>
        <w:tc>
          <w:tcPr>
            <w:tcW w:w="5170" w:type="dxa"/>
            <w:gridSpan w:val="3"/>
            <w:tcBorders>
              <w:top w:val="single" w:sz="7" w:space="0" w:color="000000"/>
              <w:left w:val="single" w:sz="7" w:space="0" w:color="000000"/>
              <w:bottom w:val="single" w:sz="7" w:space="0" w:color="000000"/>
              <w:right w:val="single" w:sz="7" w:space="0" w:color="000000"/>
            </w:tcBorders>
          </w:tcPr>
          <w:p w14:paraId="1708CB1A" w14:textId="77777777" w:rsidR="00F47B93" w:rsidRPr="003A5C41" w:rsidRDefault="00F47B93">
            <w:pPr>
              <w:pStyle w:val="TableParagraph"/>
              <w:kinsoku w:val="0"/>
              <w:overflowPunct w:val="0"/>
              <w:ind w:left="1533"/>
              <w:rPr>
                <w:sz w:val="22"/>
                <w:szCs w:val="22"/>
                <w:lang w:val="sk-SK"/>
              </w:rPr>
            </w:pPr>
            <w:r w:rsidRPr="003A5C41">
              <w:rPr>
                <w:sz w:val="22"/>
                <w:szCs w:val="22"/>
                <w:lang w:val="sk-SK"/>
              </w:rPr>
              <w:t>0,92 (0,71; 1,19); 0,051</w:t>
            </w:r>
          </w:p>
        </w:tc>
      </w:tr>
      <w:tr w:rsidR="00F47B93" w:rsidRPr="003A5C41" w14:paraId="73074F5B" w14:textId="77777777" w:rsidTr="00F47B93">
        <w:trPr>
          <w:trHeight w:hRule="exact" w:val="274"/>
        </w:trPr>
        <w:tc>
          <w:tcPr>
            <w:tcW w:w="4121" w:type="dxa"/>
            <w:tcBorders>
              <w:top w:val="single" w:sz="7" w:space="0" w:color="000000"/>
              <w:left w:val="single" w:sz="7" w:space="0" w:color="000000"/>
              <w:bottom w:val="single" w:sz="7" w:space="0" w:color="000000"/>
              <w:right w:val="single" w:sz="7" w:space="0" w:color="000000"/>
            </w:tcBorders>
          </w:tcPr>
          <w:p w14:paraId="71FD8E57" w14:textId="77777777" w:rsidR="00F47B93" w:rsidRPr="003A5C41" w:rsidRDefault="00F47B93">
            <w:pPr>
              <w:pStyle w:val="TableParagraph"/>
              <w:kinsoku w:val="0"/>
              <w:overflowPunct w:val="0"/>
              <w:spacing w:before="1"/>
              <w:ind w:left="98"/>
              <w:rPr>
                <w:sz w:val="22"/>
                <w:szCs w:val="22"/>
                <w:lang w:val="sk-SK"/>
              </w:rPr>
            </w:pPr>
            <w:r w:rsidRPr="003A5C41">
              <w:rPr>
                <w:b/>
                <w:bCs/>
                <w:sz w:val="22"/>
                <w:szCs w:val="22"/>
                <w:lang w:val="sk-SK"/>
              </w:rPr>
              <w:t>Celkové prežívanie (mesiace)</w:t>
            </w:r>
          </w:p>
        </w:tc>
        <w:tc>
          <w:tcPr>
            <w:tcW w:w="5170" w:type="dxa"/>
            <w:gridSpan w:val="3"/>
            <w:tcBorders>
              <w:top w:val="single" w:sz="7" w:space="0" w:color="000000"/>
              <w:left w:val="single" w:sz="7" w:space="0" w:color="000000"/>
              <w:bottom w:val="single" w:sz="7" w:space="0" w:color="000000"/>
              <w:right w:val="single" w:sz="7" w:space="0" w:color="000000"/>
            </w:tcBorders>
          </w:tcPr>
          <w:p w14:paraId="274A9372" w14:textId="77777777" w:rsidR="00F47B93" w:rsidRPr="003A5C41" w:rsidRDefault="00F47B93">
            <w:pPr>
              <w:rPr>
                <w:szCs w:val="22"/>
              </w:rPr>
            </w:pPr>
          </w:p>
        </w:tc>
      </w:tr>
      <w:tr w:rsidR="00F47B93" w:rsidRPr="003A5C41" w14:paraId="4FCB8A15" w14:textId="77777777" w:rsidTr="00F47B93">
        <w:trPr>
          <w:trHeight w:hRule="exact" w:val="274"/>
        </w:trPr>
        <w:tc>
          <w:tcPr>
            <w:tcW w:w="4121" w:type="dxa"/>
            <w:tcBorders>
              <w:top w:val="single" w:sz="7" w:space="0" w:color="000000"/>
              <w:left w:val="single" w:sz="7" w:space="0" w:color="000000"/>
              <w:bottom w:val="single" w:sz="7" w:space="0" w:color="000000"/>
              <w:right w:val="single" w:sz="7" w:space="0" w:color="000000"/>
            </w:tcBorders>
          </w:tcPr>
          <w:p w14:paraId="7A7C592E" w14:textId="51D1969B" w:rsidR="00F47B93" w:rsidRPr="003A5C41" w:rsidRDefault="00F47B93" w:rsidP="000C6C7D">
            <w:pPr>
              <w:pStyle w:val="TableParagraph"/>
              <w:kinsoku w:val="0"/>
              <w:overflowPunct w:val="0"/>
              <w:rPr>
                <w:sz w:val="22"/>
                <w:szCs w:val="22"/>
                <w:lang w:val="sk-SK"/>
              </w:rPr>
            </w:pPr>
            <w:r w:rsidRPr="003A5C41">
              <w:rPr>
                <w:sz w:val="22"/>
                <w:szCs w:val="22"/>
                <w:lang w:val="sk-SK"/>
              </w:rPr>
              <w:t>Medián</w:t>
            </w:r>
            <w:r w:rsidRPr="003A5C41">
              <w:rPr>
                <w:sz w:val="22"/>
                <w:szCs w:val="22"/>
                <w:vertAlign w:val="superscript"/>
                <w:lang w:val="sk-SK"/>
              </w:rPr>
              <w:t>a</w:t>
            </w:r>
            <w:r w:rsidRPr="003A5C41">
              <w:rPr>
                <w:position w:val="8"/>
                <w:sz w:val="22"/>
                <w:szCs w:val="22"/>
                <w:lang w:val="sk-SK"/>
              </w:rPr>
              <w:t xml:space="preserve"> </w:t>
            </w:r>
            <w:r w:rsidRPr="003A5C41">
              <w:rPr>
                <w:sz w:val="22"/>
                <w:szCs w:val="22"/>
                <w:lang w:val="sk-SK"/>
              </w:rPr>
              <w:t xml:space="preserve">OS, mesiace (95% </w:t>
            </w:r>
            <w:r w:rsidR="000C6C7D">
              <w:rPr>
                <w:sz w:val="22"/>
                <w:szCs w:val="22"/>
                <w:lang w:val="sk-SK"/>
              </w:rPr>
              <w:t>IS</w:t>
            </w:r>
            <w:r w:rsidRPr="003A5C41">
              <w:rPr>
                <w:sz w:val="22"/>
                <w:szCs w:val="22"/>
                <w:lang w:val="sk-SK"/>
              </w:rPr>
              <w:t>)</w:t>
            </w:r>
          </w:p>
        </w:tc>
        <w:tc>
          <w:tcPr>
            <w:tcW w:w="1723" w:type="dxa"/>
            <w:tcBorders>
              <w:top w:val="single" w:sz="7" w:space="0" w:color="000000"/>
              <w:left w:val="single" w:sz="7" w:space="0" w:color="000000"/>
              <w:bottom w:val="single" w:sz="7" w:space="0" w:color="000000"/>
              <w:right w:val="single" w:sz="7" w:space="0" w:color="000000"/>
            </w:tcBorders>
          </w:tcPr>
          <w:p w14:paraId="0F76351F" w14:textId="77777777" w:rsidR="00F47B93" w:rsidRPr="003A5C41" w:rsidRDefault="00F47B93">
            <w:pPr>
              <w:pStyle w:val="TableParagraph"/>
              <w:kinsoku w:val="0"/>
              <w:overflowPunct w:val="0"/>
              <w:ind w:right="113"/>
              <w:jc w:val="right"/>
              <w:rPr>
                <w:sz w:val="22"/>
                <w:szCs w:val="22"/>
                <w:lang w:val="sk-SK"/>
              </w:rPr>
            </w:pPr>
            <w:r w:rsidRPr="003A5C41">
              <w:rPr>
                <w:sz w:val="22"/>
                <w:szCs w:val="22"/>
                <w:lang w:val="sk-SK"/>
              </w:rPr>
              <w:t>55,9 (49,1; 67,5)</w:t>
            </w:r>
          </w:p>
        </w:tc>
        <w:tc>
          <w:tcPr>
            <w:tcW w:w="1723" w:type="dxa"/>
            <w:tcBorders>
              <w:top w:val="single" w:sz="7" w:space="0" w:color="000000"/>
              <w:left w:val="single" w:sz="7" w:space="0" w:color="000000"/>
              <w:bottom w:val="single" w:sz="7" w:space="0" w:color="000000"/>
              <w:right w:val="single" w:sz="7" w:space="0" w:color="000000"/>
            </w:tcBorders>
          </w:tcPr>
          <w:p w14:paraId="44E0A008" w14:textId="77777777" w:rsidR="00F47B93" w:rsidRPr="003A5C41" w:rsidRDefault="00F47B93">
            <w:pPr>
              <w:pStyle w:val="TableParagraph"/>
              <w:kinsoku w:val="0"/>
              <w:overflowPunct w:val="0"/>
              <w:ind w:left="95" w:right="95"/>
              <w:jc w:val="center"/>
              <w:rPr>
                <w:sz w:val="22"/>
                <w:szCs w:val="22"/>
                <w:lang w:val="sk-SK"/>
              </w:rPr>
            </w:pPr>
            <w:r w:rsidRPr="003A5C41">
              <w:rPr>
                <w:sz w:val="22"/>
                <w:szCs w:val="22"/>
                <w:lang w:val="sk-SK"/>
              </w:rPr>
              <w:t>51,9 (43,1; 60,6)</w:t>
            </w:r>
          </w:p>
        </w:tc>
        <w:tc>
          <w:tcPr>
            <w:tcW w:w="1724" w:type="dxa"/>
            <w:tcBorders>
              <w:top w:val="single" w:sz="7" w:space="0" w:color="000000"/>
              <w:left w:val="single" w:sz="7" w:space="0" w:color="000000"/>
              <w:bottom w:val="single" w:sz="7" w:space="0" w:color="000000"/>
              <w:right w:val="single" w:sz="7" w:space="0" w:color="000000"/>
            </w:tcBorders>
          </w:tcPr>
          <w:p w14:paraId="78682E77" w14:textId="77777777" w:rsidR="00F47B93" w:rsidRPr="003A5C41" w:rsidRDefault="00F47B93">
            <w:pPr>
              <w:pStyle w:val="TableParagraph"/>
              <w:kinsoku w:val="0"/>
              <w:overflowPunct w:val="0"/>
              <w:ind w:left="95" w:right="95"/>
              <w:jc w:val="center"/>
              <w:rPr>
                <w:sz w:val="22"/>
                <w:szCs w:val="22"/>
                <w:lang w:val="sk-SK"/>
              </w:rPr>
            </w:pPr>
            <w:r w:rsidRPr="003A5C41">
              <w:rPr>
                <w:sz w:val="22"/>
                <w:szCs w:val="22"/>
                <w:lang w:val="sk-SK"/>
              </w:rPr>
              <w:t>53,9 (47,3; 64,2)</w:t>
            </w:r>
          </w:p>
        </w:tc>
      </w:tr>
      <w:tr w:rsidR="00F47B93" w:rsidRPr="003A5C41" w14:paraId="3D7B7302" w14:textId="77777777" w:rsidTr="00F47B93">
        <w:trPr>
          <w:trHeight w:hRule="exact" w:val="274"/>
        </w:trPr>
        <w:tc>
          <w:tcPr>
            <w:tcW w:w="4121" w:type="dxa"/>
            <w:tcBorders>
              <w:top w:val="single" w:sz="7" w:space="0" w:color="000000"/>
              <w:left w:val="single" w:sz="7" w:space="0" w:color="000000"/>
              <w:bottom w:val="single" w:sz="7" w:space="0" w:color="000000"/>
              <w:right w:val="single" w:sz="7" w:space="0" w:color="000000"/>
            </w:tcBorders>
          </w:tcPr>
          <w:p w14:paraId="4E7D3566" w14:textId="708B912C" w:rsidR="00F47B93" w:rsidRPr="003A5C41" w:rsidRDefault="00F47B93" w:rsidP="000C6C7D">
            <w:pPr>
              <w:pStyle w:val="TableParagraph"/>
              <w:kinsoku w:val="0"/>
              <w:overflowPunct w:val="0"/>
              <w:rPr>
                <w:sz w:val="22"/>
                <w:szCs w:val="22"/>
                <w:lang w:val="sk-SK"/>
              </w:rPr>
            </w:pPr>
            <w:r w:rsidRPr="003A5C41">
              <w:rPr>
                <w:sz w:val="22"/>
                <w:szCs w:val="22"/>
                <w:lang w:val="sk-SK"/>
              </w:rPr>
              <w:t xml:space="preserve">HR [95% </w:t>
            </w:r>
            <w:r w:rsidR="000C6C7D">
              <w:rPr>
                <w:sz w:val="22"/>
                <w:szCs w:val="22"/>
                <w:lang w:val="sk-SK"/>
              </w:rPr>
              <w:t>IS</w:t>
            </w:r>
            <w:r w:rsidRPr="003A5C41">
              <w:rPr>
                <w:sz w:val="22"/>
                <w:szCs w:val="22"/>
                <w:lang w:val="sk-SK"/>
              </w:rPr>
              <w:t>]; p-hodnota</w:t>
            </w:r>
          </w:p>
        </w:tc>
        <w:tc>
          <w:tcPr>
            <w:tcW w:w="5170" w:type="dxa"/>
            <w:gridSpan w:val="3"/>
            <w:tcBorders>
              <w:top w:val="single" w:sz="7" w:space="0" w:color="000000"/>
              <w:left w:val="single" w:sz="7" w:space="0" w:color="000000"/>
              <w:bottom w:val="single" w:sz="7" w:space="0" w:color="000000"/>
              <w:right w:val="single" w:sz="7" w:space="0" w:color="000000"/>
            </w:tcBorders>
          </w:tcPr>
          <w:p w14:paraId="347667DE" w14:textId="77777777" w:rsidR="00F47B93" w:rsidRPr="003A5C41" w:rsidRDefault="00F47B93">
            <w:pPr>
              <w:rPr>
                <w:szCs w:val="22"/>
              </w:rPr>
            </w:pPr>
          </w:p>
        </w:tc>
      </w:tr>
      <w:tr w:rsidR="00F47B93" w:rsidRPr="003A5C41" w14:paraId="5D999636" w14:textId="77777777" w:rsidTr="00F47B93">
        <w:trPr>
          <w:trHeight w:hRule="exact" w:val="271"/>
        </w:trPr>
        <w:tc>
          <w:tcPr>
            <w:tcW w:w="4121" w:type="dxa"/>
            <w:tcBorders>
              <w:top w:val="single" w:sz="7" w:space="0" w:color="000000"/>
              <w:left w:val="single" w:sz="7" w:space="0" w:color="000000"/>
              <w:bottom w:val="single" w:sz="7" w:space="0" w:color="000000"/>
              <w:right w:val="single" w:sz="7" w:space="0" w:color="000000"/>
            </w:tcBorders>
          </w:tcPr>
          <w:p w14:paraId="43F7F8E1" w14:textId="77777777" w:rsidR="00F47B93" w:rsidRPr="003A5C41" w:rsidRDefault="00F47B93">
            <w:pPr>
              <w:pStyle w:val="TableParagraph"/>
              <w:kinsoku w:val="0"/>
              <w:overflowPunct w:val="0"/>
              <w:ind w:left="549"/>
              <w:rPr>
                <w:sz w:val="22"/>
                <w:szCs w:val="22"/>
                <w:lang w:val="sk-SK"/>
              </w:rPr>
            </w:pPr>
            <w:r w:rsidRPr="003A5C41">
              <w:rPr>
                <w:sz w:val="22"/>
                <w:szCs w:val="22"/>
                <w:lang w:val="sk-SK"/>
              </w:rPr>
              <w:t>MPR+R vs MPp+p</w:t>
            </w:r>
          </w:p>
        </w:tc>
        <w:tc>
          <w:tcPr>
            <w:tcW w:w="5170" w:type="dxa"/>
            <w:gridSpan w:val="3"/>
            <w:tcBorders>
              <w:top w:val="single" w:sz="7" w:space="0" w:color="000000"/>
              <w:left w:val="single" w:sz="7" w:space="0" w:color="000000"/>
              <w:bottom w:val="single" w:sz="7" w:space="0" w:color="000000"/>
              <w:right w:val="single" w:sz="7" w:space="0" w:color="000000"/>
            </w:tcBorders>
          </w:tcPr>
          <w:p w14:paraId="1B13B1D2" w14:textId="77777777" w:rsidR="00F47B93" w:rsidRPr="003A5C41" w:rsidRDefault="00F47B93">
            <w:pPr>
              <w:pStyle w:val="TableParagraph"/>
              <w:kinsoku w:val="0"/>
              <w:overflowPunct w:val="0"/>
              <w:ind w:left="1531"/>
              <w:rPr>
                <w:sz w:val="22"/>
                <w:szCs w:val="22"/>
                <w:lang w:val="sk-SK"/>
              </w:rPr>
            </w:pPr>
            <w:r w:rsidRPr="003A5C41">
              <w:rPr>
                <w:sz w:val="22"/>
                <w:szCs w:val="22"/>
                <w:lang w:val="sk-SK"/>
              </w:rPr>
              <w:t>0,95 (0,70; 1,29); 0,736</w:t>
            </w:r>
          </w:p>
        </w:tc>
      </w:tr>
      <w:tr w:rsidR="00F47B93" w:rsidRPr="003A5C41" w14:paraId="5A38D71D" w14:textId="77777777" w:rsidTr="00F47B93">
        <w:trPr>
          <w:trHeight w:hRule="exact" w:val="274"/>
        </w:trPr>
        <w:tc>
          <w:tcPr>
            <w:tcW w:w="4121" w:type="dxa"/>
            <w:tcBorders>
              <w:top w:val="single" w:sz="7" w:space="0" w:color="000000"/>
              <w:left w:val="single" w:sz="7" w:space="0" w:color="000000"/>
              <w:bottom w:val="single" w:sz="7" w:space="0" w:color="000000"/>
              <w:right w:val="single" w:sz="7" w:space="0" w:color="000000"/>
            </w:tcBorders>
          </w:tcPr>
          <w:p w14:paraId="6824760C" w14:textId="77777777" w:rsidR="00F47B93" w:rsidRPr="003A5C41" w:rsidRDefault="00F47B93">
            <w:pPr>
              <w:pStyle w:val="TableParagraph"/>
              <w:kinsoku w:val="0"/>
              <w:overflowPunct w:val="0"/>
              <w:spacing w:before="1"/>
              <w:ind w:left="549"/>
              <w:rPr>
                <w:sz w:val="22"/>
                <w:szCs w:val="22"/>
                <w:lang w:val="sk-SK"/>
              </w:rPr>
            </w:pPr>
            <w:r w:rsidRPr="003A5C41">
              <w:rPr>
                <w:sz w:val="22"/>
                <w:szCs w:val="22"/>
                <w:lang w:val="sk-SK"/>
              </w:rPr>
              <w:t>MPR+R vs MPR+p</w:t>
            </w:r>
          </w:p>
        </w:tc>
        <w:tc>
          <w:tcPr>
            <w:tcW w:w="5170" w:type="dxa"/>
            <w:gridSpan w:val="3"/>
            <w:tcBorders>
              <w:top w:val="single" w:sz="7" w:space="0" w:color="000000"/>
              <w:left w:val="single" w:sz="7" w:space="0" w:color="000000"/>
              <w:bottom w:val="single" w:sz="7" w:space="0" w:color="000000"/>
              <w:right w:val="single" w:sz="7" w:space="0" w:color="000000"/>
            </w:tcBorders>
          </w:tcPr>
          <w:p w14:paraId="59D1A1CB" w14:textId="77777777" w:rsidR="00F47B93" w:rsidRPr="003A5C41" w:rsidRDefault="00F47B93">
            <w:pPr>
              <w:pStyle w:val="TableParagraph"/>
              <w:kinsoku w:val="0"/>
              <w:overflowPunct w:val="0"/>
              <w:spacing w:before="1"/>
              <w:ind w:left="1586"/>
              <w:rPr>
                <w:sz w:val="22"/>
                <w:szCs w:val="22"/>
                <w:lang w:val="sk-SK"/>
              </w:rPr>
            </w:pPr>
            <w:r w:rsidRPr="003A5C41">
              <w:rPr>
                <w:sz w:val="22"/>
                <w:szCs w:val="22"/>
                <w:lang w:val="sk-SK"/>
              </w:rPr>
              <w:t>0,88 (0,65; 1,20); 0,43</w:t>
            </w:r>
          </w:p>
        </w:tc>
      </w:tr>
      <w:tr w:rsidR="00F47B93" w:rsidRPr="003A5C41" w14:paraId="629E1016" w14:textId="77777777" w:rsidTr="00F47B93">
        <w:trPr>
          <w:trHeight w:hRule="exact" w:val="274"/>
        </w:trPr>
        <w:tc>
          <w:tcPr>
            <w:tcW w:w="4121" w:type="dxa"/>
            <w:tcBorders>
              <w:top w:val="single" w:sz="7" w:space="0" w:color="000000"/>
              <w:left w:val="single" w:sz="7" w:space="0" w:color="000000"/>
              <w:bottom w:val="single" w:sz="7" w:space="0" w:color="000000"/>
              <w:right w:val="single" w:sz="7" w:space="0" w:color="000000"/>
            </w:tcBorders>
          </w:tcPr>
          <w:p w14:paraId="51A162BA" w14:textId="77777777" w:rsidR="00F47B93" w:rsidRPr="003A5C41" w:rsidRDefault="00F47B93">
            <w:pPr>
              <w:pStyle w:val="TableParagraph"/>
              <w:kinsoku w:val="0"/>
              <w:overflowPunct w:val="0"/>
              <w:ind w:left="549"/>
              <w:rPr>
                <w:sz w:val="22"/>
                <w:szCs w:val="22"/>
                <w:lang w:val="sk-SK"/>
              </w:rPr>
            </w:pPr>
            <w:r w:rsidRPr="003A5C41">
              <w:rPr>
                <w:sz w:val="22"/>
                <w:szCs w:val="22"/>
                <w:lang w:val="sk-SK"/>
              </w:rPr>
              <w:t>MPR+p vs MPp +p</w:t>
            </w:r>
          </w:p>
        </w:tc>
        <w:tc>
          <w:tcPr>
            <w:tcW w:w="5170" w:type="dxa"/>
            <w:gridSpan w:val="3"/>
            <w:tcBorders>
              <w:top w:val="single" w:sz="7" w:space="0" w:color="000000"/>
              <w:left w:val="single" w:sz="7" w:space="0" w:color="000000"/>
              <w:bottom w:val="single" w:sz="7" w:space="0" w:color="000000"/>
              <w:right w:val="single" w:sz="7" w:space="0" w:color="000000"/>
            </w:tcBorders>
          </w:tcPr>
          <w:p w14:paraId="375568B1" w14:textId="77777777" w:rsidR="00F47B93" w:rsidRPr="003A5C41" w:rsidRDefault="00F47B93">
            <w:pPr>
              <w:pStyle w:val="TableParagraph"/>
              <w:kinsoku w:val="0"/>
              <w:overflowPunct w:val="0"/>
              <w:ind w:left="1586"/>
              <w:rPr>
                <w:sz w:val="22"/>
                <w:szCs w:val="22"/>
                <w:lang w:val="sk-SK"/>
              </w:rPr>
            </w:pPr>
            <w:r w:rsidRPr="003A5C41">
              <w:rPr>
                <w:sz w:val="22"/>
                <w:szCs w:val="22"/>
                <w:lang w:val="sk-SK"/>
              </w:rPr>
              <w:t>1,07 (0,79; 1,45); 0,67</w:t>
            </w:r>
          </w:p>
        </w:tc>
      </w:tr>
      <w:tr w:rsidR="00F47B93" w:rsidRPr="003A5C41" w14:paraId="759B9336" w14:textId="77777777" w:rsidTr="00F47B93">
        <w:trPr>
          <w:trHeight w:hRule="exact" w:val="274"/>
        </w:trPr>
        <w:tc>
          <w:tcPr>
            <w:tcW w:w="4121" w:type="dxa"/>
            <w:tcBorders>
              <w:top w:val="single" w:sz="7" w:space="0" w:color="000000"/>
              <w:left w:val="single" w:sz="7" w:space="0" w:color="000000"/>
              <w:bottom w:val="single" w:sz="7" w:space="0" w:color="000000"/>
              <w:right w:val="single" w:sz="7" w:space="0" w:color="000000"/>
            </w:tcBorders>
          </w:tcPr>
          <w:p w14:paraId="64DC0843" w14:textId="77777777" w:rsidR="00F47B93" w:rsidRPr="003A5C41" w:rsidRDefault="00F47B93">
            <w:pPr>
              <w:pStyle w:val="TableParagraph"/>
              <w:kinsoku w:val="0"/>
              <w:overflowPunct w:val="0"/>
              <w:rPr>
                <w:sz w:val="22"/>
                <w:szCs w:val="22"/>
                <w:lang w:val="sk-SK"/>
              </w:rPr>
            </w:pPr>
            <w:r w:rsidRPr="003A5C41">
              <w:rPr>
                <w:sz w:val="22"/>
                <w:szCs w:val="22"/>
                <w:lang w:val="sk-SK"/>
              </w:rPr>
              <w:t>Sledovanie (mesiace)</w:t>
            </w:r>
          </w:p>
        </w:tc>
        <w:tc>
          <w:tcPr>
            <w:tcW w:w="5170" w:type="dxa"/>
            <w:gridSpan w:val="3"/>
            <w:tcBorders>
              <w:top w:val="single" w:sz="7" w:space="0" w:color="000000"/>
              <w:left w:val="single" w:sz="7" w:space="0" w:color="000000"/>
              <w:bottom w:val="single" w:sz="7" w:space="0" w:color="000000"/>
              <w:right w:val="single" w:sz="7" w:space="0" w:color="000000"/>
            </w:tcBorders>
          </w:tcPr>
          <w:p w14:paraId="6835DE3C" w14:textId="77777777" w:rsidR="00F47B93" w:rsidRPr="003A5C41" w:rsidRDefault="00F47B93">
            <w:pPr>
              <w:rPr>
                <w:szCs w:val="22"/>
              </w:rPr>
            </w:pPr>
          </w:p>
        </w:tc>
      </w:tr>
      <w:tr w:rsidR="00F47B93" w:rsidRPr="003A5C41" w14:paraId="1E4A2822" w14:textId="77777777" w:rsidTr="00F47B93">
        <w:trPr>
          <w:trHeight w:hRule="exact" w:val="271"/>
        </w:trPr>
        <w:tc>
          <w:tcPr>
            <w:tcW w:w="4121" w:type="dxa"/>
            <w:tcBorders>
              <w:top w:val="single" w:sz="7" w:space="0" w:color="000000"/>
              <w:left w:val="single" w:sz="7" w:space="0" w:color="000000"/>
              <w:bottom w:val="single" w:sz="7" w:space="0" w:color="000000"/>
              <w:right w:val="single" w:sz="7" w:space="0" w:color="000000"/>
            </w:tcBorders>
          </w:tcPr>
          <w:p w14:paraId="6C6B82A3" w14:textId="77777777" w:rsidR="00F47B93" w:rsidRPr="003A5C41" w:rsidRDefault="00F47B93">
            <w:pPr>
              <w:pStyle w:val="TableParagraph"/>
              <w:kinsoku w:val="0"/>
              <w:overflowPunct w:val="0"/>
              <w:ind w:left="549"/>
              <w:rPr>
                <w:sz w:val="22"/>
                <w:szCs w:val="22"/>
                <w:lang w:val="sk-SK"/>
              </w:rPr>
            </w:pPr>
            <w:r w:rsidRPr="003A5C41">
              <w:rPr>
                <w:sz w:val="22"/>
                <w:szCs w:val="22"/>
                <w:lang w:val="sk-SK"/>
              </w:rPr>
              <w:t>Medián (min, max): všetci pacienti</w:t>
            </w:r>
          </w:p>
        </w:tc>
        <w:tc>
          <w:tcPr>
            <w:tcW w:w="1723" w:type="dxa"/>
            <w:tcBorders>
              <w:top w:val="single" w:sz="7" w:space="0" w:color="000000"/>
              <w:left w:val="single" w:sz="7" w:space="0" w:color="000000"/>
              <w:bottom w:val="single" w:sz="7" w:space="0" w:color="000000"/>
              <w:right w:val="single" w:sz="7" w:space="0" w:color="000000"/>
            </w:tcBorders>
          </w:tcPr>
          <w:p w14:paraId="737FA983" w14:textId="77777777" w:rsidR="00F47B93" w:rsidRPr="003A5C41" w:rsidRDefault="00F47B93">
            <w:pPr>
              <w:pStyle w:val="TableParagraph"/>
              <w:kinsoku w:val="0"/>
              <w:overflowPunct w:val="0"/>
              <w:ind w:right="170"/>
              <w:jc w:val="right"/>
              <w:rPr>
                <w:sz w:val="22"/>
                <w:szCs w:val="22"/>
                <w:lang w:val="sk-SK"/>
              </w:rPr>
            </w:pPr>
            <w:r w:rsidRPr="003A5C41">
              <w:rPr>
                <w:sz w:val="22"/>
                <w:szCs w:val="22"/>
                <w:lang w:val="sk-SK"/>
              </w:rPr>
              <w:t>48,4 (0,8; 73,8)</w:t>
            </w:r>
          </w:p>
        </w:tc>
        <w:tc>
          <w:tcPr>
            <w:tcW w:w="1723" w:type="dxa"/>
            <w:tcBorders>
              <w:top w:val="single" w:sz="7" w:space="0" w:color="000000"/>
              <w:left w:val="single" w:sz="7" w:space="0" w:color="000000"/>
              <w:bottom w:val="single" w:sz="7" w:space="0" w:color="000000"/>
              <w:right w:val="single" w:sz="7" w:space="0" w:color="000000"/>
            </w:tcBorders>
          </w:tcPr>
          <w:p w14:paraId="03970200" w14:textId="77777777" w:rsidR="00F47B93" w:rsidRPr="003A5C41" w:rsidRDefault="00F47B93">
            <w:pPr>
              <w:pStyle w:val="TableParagraph"/>
              <w:kinsoku w:val="0"/>
              <w:overflowPunct w:val="0"/>
              <w:ind w:left="94" w:right="95"/>
              <w:jc w:val="center"/>
              <w:rPr>
                <w:sz w:val="22"/>
                <w:szCs w:val="22"/>
                <w:lang w:val="sk-SK"/>
              </w:rPr>
            </w:pPr>
            <w:r w:rsidRPr="003A5C41">
              <w:rPr>
                <w:sz w:val="22"/>
                <w:szCs w:val="22"/>
                <w:lang w:val="sk-SK"/>
              </w:rPr>
              <w:t>46,3 (0,5; 71,9)</w:t>
            </w:r>
          </w:p>
        </w:tc>
        <w:tc>
          <w:tcPr>
            <w:tcW w:w="1724" w:type="dxa"/>
            <w:tcBorders>
              <w:top w:val="single" w:sz="7" w:space="0" w:color="000000"/>
              <w:left w:val="single" w:sz="7" w:space="0" w:color="000000"/>
              <w:bottom w:val="single" w:sz="7" w:space="0" w:color="000000"/>
              <w:right w:val="single" w:sz="7" w:space="0" w:color="000000"/>
            </w:tcBorders>
          </w:tcPr>
          <w:p w14:paraId="533473C5" w14:textId="77777777" w:rsidR="00F47B93" w:rsidRPr="003A5C41" w:rsidRDefault="00F47B93">
            <w:pPr>
              <w:pStyle w:val="TableParagraph"/>
              <w:kinsoku w:val="0"/>
              <w:overflowPunct w:val="0"/>
              <w:ind w:left="95" w:right="95"/>
              <w:jc w:val="center"/>
              <w:rPr>
                <w:sz w:val="22"/>
                <w:szCs w:val="22"/>
                <w:lang w:val="sk-SK"/>
              </w:rPr>
            </w:pPr>
            <w:r w:rsidRPr="003A5C41">
              <w:rPr>
                <w:sz w:val="22"/>
                <w:szCs w:val="22"/>
                <w:lang w:val="sk-SK"/>
              </w:rPr>
              <w:t>50,4 (0,5; 73,3)</w:t>
            </w:r>
          </w:p>
        </w:tc>
      </w:tr>
      <w:tr w:rsidR="00F47B93" w:rsidRPr="003A5C41" w14:paraId="2F34704C" w14:textId="77777777" w:rsidTr="00F47B93">
        <w:trPr>
          <w:trHeight w:hRule="exact" w:val="526"/>
        </w:trPr>
        <w:tc>
          <w:tcPr>
            <w:tcW w:w="4121" w:type="dxa"/>
            <w:tcBorders>
              <w:top w:val="single" w:sz="7" w:space="0" w:color="000000"/>
              <w:left w:val="single" w:sz="7" w:space="0" w:color="000000"/>
              <w:bottom w:val="single" w:sz="7" w:space="0" w:color="000000"/>
              <w:right w:val="single" w:sz="7" w:space="0" w:color="000000"/>
            </w:tcBorders>
          </w:tcPr>
          <w:p w14:paraId="1DF2527B" w14:textId="77777777" w:rsidR="00F47B93" w:rsidRPr="003A5C41" w:rsidRDefault="00F47B93" w:rsidP="00F47B93">
            <w:pPr>
              <w:pStyle w:val="TableParagraph"/>
              <w:kinsoku w:val="0"/>
              <w:overflowPunct w:val="0"/>
              <w:spacing w:before="1"/>
              <w:ind w:left="98"/>
              <w:rPr>
                <w:sz w:val="22"/>
                <w:szCs w:val="22"/>
                <w:lang w:val="sk-SK"/>
              </w:rPr>
            </w:pPr>
            <w:r w:rsidRPr="003A5C41">
              <w:rPr>
                <w:b/>
                <w:bCs/>
                <w:sz w:val="22"/>
                <w:szCs w:val="22"/>
                <w:lang w:val="sk-SK"/>
              </w:rPr>
              <w:t xml:space="preserve">Odpoveď na liečbu </w:t>
            </w:r>
            <w:r w:rsidR="00BA4679">
              <w:rPr>
                <w:b/>
                <w:bCs/>
                <w:sz w:val="22"/>
                <w:szCs w:val="22"/>
                <w:lang w:val="sk-SK"/>
              </w:rPr>
              <w:t xml:space="preserve">myelómu </w:t>
            </w:r>
            <w:r w:rsidRPr="003A5C41">
              <w:rPr>
                <w:b/>
                <w:bCs/>
                <w:sz w:val="22"/>
                <w:szCs w:val="22"/>
                <w:lang w:val="sk-SK"/>
              </w:rPr>
              <w:t>hodnotená skúšajúcim n (%)</w:t>
            </w:r>
          </w:p>
        </w:tc>
        <w:tc>
          <w:tcPr>
            <w:tcW w:w="5170" w:type="dxa"/>
            <w:gridSpan w:val="3"/>
            <w:tcBorders>
              <w:top w:val="single" w:sz="7" w:space="0" w:color="000000"/>
              <w:left w:val="single" w:sz="7" w:space="0" w:color="000000"/>
              <w:bottom w:val="single" w:sz="7" w:space="0" w:color="000000"/>
              <w:right w:val="single" w:sz="7" w:space="0" w:color="000000"/>
            </w:tcBorders>
          </w:tcPr>
          <w:p w14:paraId="74530003" w14:textId="77777777" w:rsidR="00F47B93" w:rsidRPr="003A5C41" w:rsidRDefault="00F47B93">
            <w:pPr>
              <w:rPr>
                <w:szCs w:val="22"/>
              </w:rPr>
            </w:pPr>
          </w:p>
        </w:tc>
      </w:tr>
      <w:tr w:rsidR="00F47B93" w:rsidRPr="003A5C41" w14:paraId="3436288D" w14:textId="77777777" w:rsidTr="00F47B93">
        <w:trPr>
          <w:trHeight w:hRule="exact" w:val="273"/>
        </w:trPr>
        <w:tc>
          <w:tcPr>
            <w:tcW w:w="4121" w:type="dxa"/>
            <w:tcBorders>
              <w:top w:val="single" w:sz="7" w:space="0" w:color="000000"/>
              <w:left w:val="single" w:sz="7" w:space="0" w:color="000000"/>
              <w:bottom w:val="single" w:sz="7" w:space="0" w:color="000000"/>
              <w:right w:val="single" w:sz="7" w:space="0" w:color="000000"/>
            </w:tcBorders>
          </w:tcPr>
          <w:p w14:paraId="09C4DB2B" w14:textId="77777777" w:rsidR="00F47B93" w:rsidRPr="003A5C41" w:rsidRDefault="00F47B93">
            <w:pPr>
              <w:pStyle w:val="TableParagraph"/>
              <w:kinsoku w:val="0"/>
              <w:overflowPunct w:val="0"/>
              <w:spacing w:before="1"/>
              <w:rPr>
                <w:sz w:val="22"/>
                <w:szCs w:val="22"/>
                <w:lang w:val="sk-SK"/>
              </w:rPr>
            </w:pPr>
            <w:r w:rsidRPr="003A5C41">
              <w:rPr>
                <w:sz w:val="22"/>
                <w:szCs w:val="22"/>
                <w:lang w:val="sk-SK"/>
              </w:rPr>
              <w:t>CR</w:t>
            </w:r>
          </w:p>
        </w:tc>
        <w:tc>
          <w:tcPr>
            <w:tcW w:w="1723" w:type="dxa"/>
            <w:tcBorders>
              <w:top w:val="single" w:sz="7" w:space="0" w:color="000000"/>
              <w:left w:val="single" w:sz="7" w:space="0" w:color="000000"/>
              <w:bottom w:val="single" w:sz="7" w:space="0" w:color="000000"/>
              <w:right w:val="single" w:sz="7" w:space="0" w:color="000000"/>
            </w:tcBorders>
          </w:tcPr>
          <w:p w14:paraId="6018C601" w14:textId="77777777" w:rsidR="00F47B93" w:rsidRPr="003A5C41" w:rsidRDefault="00F47B93">
            <w:pPr>
              <w:pStyle w:val="TableParagraph"/>
              <w:kinsoku w:val="0"/>
              <w:overflowPunct w:val="0"/>
              <w:spacing w:before="1"/>
              <w:ind w:left="446"/>
              <w:rPr>
                <w:sz w:val="22"/>
                <w:szCs w:val="22"/>
                <w:lang w:val="sk-SK"/>
              </w:rPr>
            </w:pPr>
            <w:r w:rsidRPr="003A5C41">
              <w:rPr>
                <w:sz w:val="22"/>
                <w:szCs w:val="22"/>
                <w:lang w:val="sk-SK"/>
              </w:rPr>
              <w:t>30 (19,7)</w:t>
            </w:r>
          </w:p>
        </w:tc>
        <w:tc>
          <w:tcPr>
            <w:tcW w:w="1723" w:type="dxa"/>
            <w:tcBorders>
              <w:top w:val="single" w:sz="7" w:space="0" w:color="000000"/>
              <w:left w:val="single" w:sz="7" w:space="0" w:color="000000"/>
              <w:bottom w:val="single" w:sz="7" w:space="0" w:color="000000"/>
              <w:right w:val="single" w:sz="7" w:space="0" w:color="000000"/>
            </w:tcBorders>
          </w:tcPr>
          <w:p w14:paraId="3170F5D9" w14:textId="77777777" w:rsidR="00F47B93" w:rsidRPr="003A5C41" w:rsidRDefault="00F47B93">
            <w:pPr>
              <w:pStyle w:val="TableParagraph"/>
              <w:kinsoku w:val="0"/>
              <w:overflowPunct w:val="0"/>
              <w:spacing w:before="1"/>
              <w:ind w:left="94" w:right="95"/>
              <w:jc w:val="center"/>
              <w:rPr>
                <w:sz w:val="22"/>
                <w:szCs w:val="22"/>
                <w:lang w:val="sk-SK"/>
              </w:rPr>
            </w:pPr>
            <w:r w:rsidRPr="003A5C41">
              <w:rPr>
                <w:sz w:val="22"/>
                <w:szCs w:val="22"/>
                <w:lang w:val="sk-SK"/>
              </w:rPr>
              <w:t>17 (11,1)</w:t>
            </w:r>
          </w:p>
        </w:tc>
        <w:tc>
          <w:tcPr>
            <w:tcW w:w="1724" w:type="dxa"/>
            <w:tcBorders>
              <w:top w:val="single" w:sz="7" w:space="0" w:color="000000"/>
              <w:left w:val="single" w:sz="7" w:space="0" w:color="000000"/>
              <w:bottom w:val="single" w:sz="7" w:space="0" w:color="000000"/>
              <w:right w:val="single" w:sz="7" w:space="0" w:color="000000"/>
            </w:tcBorders>
          </w:tcPr>
          <w:p w14:paraId="5594455F" w14:textId="77777777" w:rsidR="00F47B93" w:rsidRPr="003A5C41" w:rsidRDefault="00F47B93">
            <w:pPr>
              <w:pStyle w:val="TableParagraph"/>
              <w:kinsoku w:val="0"/>
              <w:overflowPunct w:val="0"/>
              <w:spacing w:before="1"/>
              <w:ind w:left="95" w:right="95"/>
              <w:jc w:val="center"/>
              <w:rPr>
                <w:sz w:val="22"/>
                <w:szCs w:val="22"/>
                <w:lang w:val="sk-SK"/>
              </w:rPr>
            </w:pPr>
            <w:r w:rsidRPr="003A5C41">
              <w:rPr>
                <w:sz w:val="22"/>
                <w:szCs w:val="22"/>
                <w:lang w:val="sk-SK"/>
              </w:rPr>
              <w:t>9 (5,8)</w:t>
            </w:r>
          </w:p>
        </w:tc>
      </w:tr>
      <w:tr w:rsidR="00F47B93" w:rsidRPr="003A5C41" w14:paraId="17F4A9D5" w14:textId="77777777" w:rsidTr="00F47B93">
        <w:trPr>
          <w:trHeight w:hRule="exact" w:val="274"/>
        </w:trPr>
        <w:tc>
          <w:tcPr>
            <w:tcW w:w="4121" w:type="dxa"/>
            <w:tcBorders>
              <w:top w:val="single" w:sz="7" w:space="0" w:color="000000"/>
              <w:left w:val="single" w:sz="7" w:space="0" w:color="000000"/>
              <w:bottom w:val="single" w:sz="7" w:space="0" w:color="000000"/>
              <w:right w:val="single" w:sz="7" w:space="0" w:color="000000"/>
            </w:tcBorders>
          </w:tcPr>
          <w:p w14:paraId="1CBE774D" w14:textId="77777777" w:rsidR="00F47B93" w:rsidRPr="003A5C41" w:rsidRDefault="00F47B93">
            <w:pPr>
              <w:pStyle w:val="TableParagraph"/>
              <w:kinsoku w:val="0"/>
              <w:overflowPunct w:val="0"/>
              <w:rPr>
                <w:sz w:val="22"/>
                <w:szCs w:val="22"/>
                <w:lang w:val="sk-SK"/>
              </w:rPr>
            </w:pPr>
            <w:r w:rsidRPr="003A5C41">
              <w:rPr>
                <w:sz w:val="22"/>
                <w:szCs w:val="22"/>
                <w:lang w:val="sk-SK"/>
              </w:rPr>
              <w:t>PR</w:t>
            </w:r>
          </w:p>
        </w:tc>
        <w:tc>
          <w:tcPr>
            <w:tcW w:w="1723" w:type="dxa"/>
            <w:tcBorders>
              <w:top w:val="single" w:sz="7" w:space="0" w:color="000000"/>
              <w:left w:val="single" w:sz="7" w:space="0" w:color="000000"/>
              <w:bottom w:val="single" w:sz="7" w:space="0" w:color="000000"/>
              <w:right w:val="single" w:sz="7" w:space="0" w:color="000000"/>
            </w:tcBorders>
          </w:tcPr>
          <w:p w14:paraId="51F382CA" w14:textId="77777777" w:rsidR="00F47B93" w:rsidRPr="003A5C41" w:rsidRDefault="00F47B93">
            <w:pPr>
              <w:pStyle w:val="TableParagraph"/>
              <w:kinsoku w:val="0"/>
              <w:overflowPunct w:val="0"/>
              <w:ind w:left="446"/>
              <w:rPr>
                <w:sz w:val="22"/>
                <w:szCs w:val="22"/>
                <w:lang w:val="sk-SK"/>
              </w:rPr>
            </w:pPr>
            <w:r w:rsidRPr="003A5C41">
              <w:rPr>
                <w:sz w:val="22"/>
                <w:szCs w:val="22"/>
                <w:lang w:val="sk-SK"/>
              </w:rPr>
              <w:t>90 (59,2)</w:t>
            </w:r>
          </w:p>
        </w:tc>
        <w:tc>
          <w:tcPr>
            <w:tcW w:w="1723" w:type="dxa"/>
            <w:tcBorders>
              <w:top w:val="single" w:sz="7" w:space="0" w:color="000000"/>
              <w:left w:val="single" w:sz="7" w:space="0" w:color="000000"/>
              <w:bottom w:val="single" w:sz="7" w:space="0" w:color="000000"/>
              <w:right w:val="single" w:sz="7" w:space="0" w:color="000000"/>
            </w:tcBorders>
          </w:tcPr>
          <w:p w14:paraId="05ED539B" w14:textId="77777777" w:rsidR="00F47B93" w:rsidRPr="003A5C41" w:rsidRDefault="00F47B93">
            <w:pPr>
              <w:pStyle w:val="TableParagraph"/>
              <w:kinsoku w:val="0"/>
              <w:overflowPunct w:val="0"/>
              <w:ind w:left="92" w:right="95"/>
              <w:jc w:val="center"/>
              <w:rPr>
                <w:sz w:val="22"/>
                <w:szCs w:val="22"/>
                <w:lang w:val="sk-SK"/>
              </w:rPr>
            </w:pPr>
            <w:r w:rsidRPr="003A5C41">
              <w:rPr>
                <w:sz w:val="22"/>
                <w:szCs w:val="22"/>
                <w:lang w:val="sk-SK"/>
              </w:rPr>
              <w:t>99 ( 64,7)</w:t>
            </w:r>
          </w:p>
        </w:tc>
        <w:tc>
          <w:tcPr>
            <w:tcW w:w="1724" w:type="dxa"/>
            <w:tcBorders>
              <w:top w:val="single" w:sz="7" w:space="0" w:color="000000"/>
              <w:left w:val="single" w:sz="7" w:space="0" w:color="000000"/>
              <w:bottom w:val="single" w:sz="7" w:space="0" w:color="000000"/>
              <w:right w:val="single" w:sz="7" w:space="0" w:color="000000"/>
            </w:tcBorders>
          </w:tcPr>
          <w:p w14:paraId="7CAD1B13" w14:textId="77777777" w:rsidR="00F47B93" w:rsidRPr="003A5C41" w:rsidRDefault="00F47B93">
            <w:pPr>
              <w:pStyle w:val="TableParagraph"/>
              <w:kinsoku w:val="0"/>
              <w:overflowPunct w:val="0"/>
              <w:ind w:left="95" w:right="95"/>
              <w:jc w:val="center"/>
              <w:rPr>
                <w:sz w:val="22"/>
                <w:szCs w:val="22"/>
                <w:lang w:val="sk-SK"/>
              </w:rPr>
            </w:pPr>
            <w:r w:rsidRPr="003A5C41">
              <w:rPr>
                <w:sz w:val="22"/>
                <w:szCs w:val="22"/>
                <w:lang w:val="sk-SK"/>
              </w:rPr>
              <w:t>75 (48,7)</w:t>
            </w:r>
          </w:p>
        </w:tc>
      </w:tr>
      <w:tr w:rsidR="00F47B93" w:rsidRPr="003A5C41" w14:paraId="621B1B96" w14:textId="77777777" w:rsidTr="00F47B93">
        <w:trPr>
          <w:trHeight w:hRule="exact" w:val="274"/>
        </w:trPr>
        <w:tc>
          <w:tcPr>
            <w:tcW w:w="4121" w:type="dxa"/>
            <w:tcBorders>
              <w:top w:val="single" w:sz="7" w:space="0" w:color="000000"/>
              <w:left w:val="single" w:sz="7" w:space="0" w:color="000000"/>
              <w:bottom w:val="single" w:sz="7" w:space="0" w:color="000000"/>
              <w:right w:val="single" w:sz="7" w:space="0" w:color="000000"/>
            </w:tcBorders>
          </w:tcPr>
          <w:p w14:paraId="202402A8" w14:textId="77777777" w:rsidR="00F47B93" w:rsidRPr="003A5C41" w:rsidRDefault="00F47B93">
            <w:pPr>
              <w:pStyle w:val="TableParagraph"/>
              <w:kinsoku w:val="0"/>
              <w:overflowPunct w:val="0"/>
              <w:ind w:left="319"/>
              <w:rPr>
                <w:sz w:val="22"/>
                <w:szCs w:val="22"/>
                <w:lang w:val="sk-SK"/>
              </w:rPr>
            </w:pPr>
            <w:r w:rsidRPr="003A5C41">
              <w:rPr>
                <w:sz w:val="22"/>
                <w:szCs w:val="22"/>
                <w:lang w:val="sk-SK"/>
              </w:rPr>
              <w:t>Stabilné ochorenie (SD)</w:t>
            </w:r>
          </w:p>
        </w:tc>
        <w:tc>
          <w:tcPr>
            <w:tcW w:w="1723" w:type="dxa"/>
            <w:tcBorders>
              <w:top w:val="single" w:sz="7" w:space="0" w:color="000000"/>
              <w:left w:val="single" w:sz="7" w:space="0" w:color="000000"/>
              <w:bottom w:val="single" w:sz="7" w:space="0" w:color="000000"/>
              <w:right w:val="single" w:sz="7" w:space="0" w:color="000000"/>
            </w:tcBorders>
          </w:tcPr>
          <w:p w14:paraId="2086BC4D" w14:textId="77777777" w:rsidR="00F47B93" w:rsidRPr="003A5C41" w:rsidRDefault="00F47B93">
            <w:pPr>
              <w:pStyle w:val="TableParagraph"/>
              <w:kinsoku w:val="0"/>
              <w:overflowPunct w:val="0"/>
              <w:ind w:left="446"/>
              <w:rPr>
                <w:sz w:val="22"/>
                <w:szCs w:val="22"/>
                <w:lang w:val="sk-SK"/>
              </w:rPr>
            </w:pPr>
            <w:r w:rsidRPr="003A5C41">
              <w:rPr>
                <w:sz w:val="22"/>
                <w:szCs w:val="22"/>
                <w:lang w:val="sk-SK"/>
              </w:rPr>
              <w:t>24 (15,8)</w:t>
            </w:r>
          </w:p>
        </w:tc>
        <w:tc>
          <w:tcPr>
            <w:tcW w:w="1723" w:type="dxa"/>
            <w:tcBorders>
              <w:top w:val="single" w:sz="7" w:space="0" w:color="000000"/>
              <w:left w:val="single" w:sz="7" w:space="0" w:color="000000"/>
              <w:bottom w:val="single" w:sz="7" w:space="0" w:color="000000"/>
              <w:right w:val="single" w:sz="7" w:space="0" w:color="000000"/>
            </w:tcBorders>
          </w:tcPr>
          <w:p w14:paraId="6BF2A492" w14:textId="77777777" w:rsidR="00F47B93" w:rsidRPr="003A5C41" w:rsidRDefault="00F47B93">
            <w:pPr>
              <w:pStyle w:val="TableParagraph"/>
              <w:kinsoku w:val="0"/>
              <w:overflowPunct w:val="0"/>
              <w:ind w:left="94" w:right="95"/>
              <w:jc w:val="center"/>
              <w:rPr>
                <w:sz w:val="22"/>
                <w:szCs w:val="22"/>
                <w:lang w:val="sk-SK"/>
              </w:rPr>
            </w:pPr>
            <w:r w:rsidRPr="003A5C41">
              <w:rPr>
                <w:sz w:val="22"/>
                <w:szCs w:val="22"/>
                <w:lang w:val="sk-SK"/>
              </w:rPr>
              <w:t>31 (20,3)</w:t>
            </w:r>
          </w:p>
        </w:tc>
        <w:tc>
          <w:tcPr>
            <w:tcW w:w="1724" w:type="dxa"/>
            <w:tcBorders>
              <w:top w:val="single" w:sz="7" w:space="0" w:color="000000"/>
              <w:left w:val="single" w:sz="7" w:space="0" w:color="000000"/>
              <w:bottom w:val="single" w:sz="7" w:space="0" w:color="000000"/>
              <w:right w:val="single" w:sz="7" w:space="0" w:color="000000"/>
            </w:tcBorders>
          </w:tcPr>
          <w:p w14:paraId="56A063A2" w14:textId="77777777" w:rsidR="00F47B93" w:rsidRPr="003A5C41" w:rsidRDefault="00F47B93">
            <w:pPr>
              <w:pStyle w:val="TableParagraph"/>
              <w:kinsoku w:val="0"/>
              <w:overflowPunct w:val="0"/>
              <w:ind w:left="95" w:right="95"/>
              <w:jc w:val="center"/>
              <w:rPr>
                <w:sz w:val="22"/>
                <w:szCs w:val="22"/>
                <w:lang w:val="sk-SK"/>
              </w:rPr>
            </w:pPr>
            <w:r w:rsidRPr="003A5C41">
              <w:rPr>
                <w:sz w:val="22"/>
                <w:szCs w:val="22"/>
                <w:lang w:val="sk-SK"/>
              </w:rPr>
              <w:t>63 (40,9)</w:t>
            </w:r>
          </w:p>
        </w:tc>
      </w:tr>
      <w:tr w:rsidR="00F47B93" w:rsidRPr="003A5C41" w14:paraId="55EA7700" w14:textId="77777777" w:rsidTr="00F47B93">
        <w:trPr>
          <w:trHeight w:hRule="exact" w:val="274"/>
        </w:trPr>
        <w:tc>
          <w:tcPr>
            <w:tcW w:w="4121" w:type="dxa"/>
            <w:tcBorders>
              <w:top w:val="single" w:sz="7" w:space="0" w:color="000000"/>
              <w:left w:val="single" w:sz="7" w:space="0" w:color="000000"/>
              <w:bottom w:val="single" w:sz="7" w:space="0" w:color="000000"/>
              <w:right w:val="single" w:sz="7" w:space="0" w:color="000000"/>
            </w:tcBorders>
          </w:tcPr>
          <w:p w14:paraId="44FE2C3F" w14:textId="77777777" w:rsidR="00F47B93" w:rsidRPr="003A5C41" w:rsidRDefault="00F47B93">
            <w:pPr>
              <w:pStyle w:val="TableParagraph"/>
              <w:kinsoku w:val="0"/>
              <w:overflowPunct w:val="0"/>
              <w:rPr>
                <w:sz w:val="22"/>
                <w:szCs w:val="22"/>
                <w:lang w:val="sk-SK"/>
              </w:rPr>
            </w:pPr>
            <w:r w:rsidRPr="003A5C41">
              <w:rPr>
                <w:sz w:val="22"/>
                <w:szCs w:val="22"/>
                <w:lang w:val="sk-SK"/>
              </w:rPr>
              <w:t>Odpoveď nehodnotiteľná (NE)</w:t>
            </w:r>
          </w:p>
        </w:tc>
        <w:tc>
          <w:tcPr>
            <w:tcW w:w="1723" w:type="dxa"/>
            <w:tcBorders>
              <w:top w:val="single" w:sz="7" w:space="0" w:color="000000"/>
              <w:left w:val="single" w:sz="7" w:space="0" w:color="000000"/>
              <w:bottom w:val="single" w:sz="7" w:space="0" w:color="000000"/>
              <w:right w:val="single" w:sz="7" w:space="0" w:color="000000"/>
            </w:tcBorders>
          </w:tcPr>
          <w:p w14:paraId="65F45629" w14:textId="77777777" w:rsidR="00F47B93" w:rsidRPr="003A5C41" w:rsidRDefault="00F47B93">
            <w:pPr>
              <w:pStyle w:val="TableParagraph"/>
              <w:kinsoku w:val="0"/>
              <w:overflowPunct w:val="0"/>
              <w:ind w:left="556"/>
              <w:rPr>
                <w:sz w:val="22"/>
                <w:szCs w:val="22"/>
                <w:lang w:val="sk-SK"/>
              </w:rPr>
            </w:pPr>
            <w:r w:rsidRPr="003A5C41">
              <w:rPr>
                <w:sz w:val="22"/>
                <w:szCs w:val="22"/>
                <w:lang w:val="sk-SK"/>
              </w:rPr>
              <w:t>8 (5,3)</w:t>
            </w:r>
          </w:p>
        </w:tc>
        <w:tc>
          <w:tcPr>
            <w:tcW w:w="1723" w:type="dxa"/>
            <w:tcBorders>
              <w:top w:val="single" w:sz="7" w:space="0" w:color="000000"/>
              <w:left w:val="single" w:sz="7" w:space="0" w:color="000000"/>
              <w:bottom w:val="single" w:sz="7" w:space="0" w:color="000000"/>
              <w:right w:val="single" w:sz="7" w:space="0" w:color="000000"/>
            </w:tcBorders>
          </w:tcPr>
          <w:p w14:paraId="699A4499" w14:textId="77777777" w:rsidR="00F47B93" w:rsidRPr="003A5C41" w:rsidRDefault="00F47B93">
            <w:pPr>
              <w:pStyle w:val="TableParagraph"/>
              <w:kinsoku w:val="0"/>
              <w:overflowPunct w:val="0"/>
              <w:ind w:left="95" w:right="95"/>
              <w:jc w:val="center"/>
              <w:rPr>
                <w:sz w:val="22"/>
                <w:szCs w:val="22"/>
                <w:lang w:val="sk-SK"/>
              </w:rPr>
            </w:pPr>
            <w:r w:rsidRPr="003A5C41">
              <w:rPr>
                <w:sz w:val="22"/>
                <w:szCs w:val="22"/>
                <w:lang w:val="sk-SK"/>
              </w:rPr>
              <w:t>4 (2,6)</w:t>
            </w:r>
          </w:p>
        </w:tc>
        <w:tc>
          <w:tcPr>
            <w:tcW w:w="1724" w:type="dxa"/>
            <w:tcBorders>
              <w:top w:val="single" w:sz="7" w:space="0" w:color="000000"/>
              <w:left w:val="single" w:sz="7" w:space="0" w:color="000000"/>
              <w:bottom w:val="single" w:sz="7" w:space="0" w:color="000000"/>
              <w:right w:val="single" w:sz="7" w:space="0" w:color="000000"/>
            </w:tcBorders>
          </w:tcPr>
          <w:p w14:paraId="5E469C63" w14:textId="77777777" w:rsidR="00F47B93" w:rsidRPr="003A5C41" w:rsidRDefault="00F47B93">
            <w:pPr>
              <w:pStyle w:val="TableParagraph"/>
              <w:kinsoku w:val="0"/>
              <w:overflowPunct w:val="0"/>
              <w:ind w:left="95" w:right="95"/>
              <w:jc w:val="center"/>
              <w:rPr>
                <w:sz w:val="22"/>
                <w:szCs w:val="22"/>
                <w:lang w:val="sk-SK"/>
              </w:rPr>
            </w:pPr>
            <w:r w:rsidRPr="003A5C41">
              <w:rPr>
                <w:sz w:val="22"/>
                <w:szCs w:val="22"/>
                <w:lang w:val="sk-SK"/>
              </w:rPr>
              <w:t>7 (4,5)</w:t>
            </w:r>
          </w:p>
        </w:tc>
      </w:tr>
      <w:tr w:rsidR="00F47B93" w:rsidRPr="003A5C41" w14:paraId="5FC319C0" w14:textId="77777777" w:rsidTr="00F47B93">
        <w:trPr>
          <w:trHeight w:hRule="exact" w:val="538"/>
        </w:trPr>
        <w:tc>
          <w:tcPr>
            <w:tcW w:w="4121" w:type="dxa"/>
            <w:tcBorders>
              <w:top w:val="single" w:sz="11" w:space="0" w:color="000000"/>
              <w:left w:val="single" w:sz="7" w:space="0" w:color="000000"/>
              <w:bottom w:val="single" w:sz="7" w:space="0" w:color="000000"/>
              <w:right w:val="single" w:sz="7" w:space="0" w:color="000000"/>
            </w:tcBorders>
          </w:tcPr>
          <w:p w14:paraId="1EE43091" w14:textId="77777777" w:rsidR="00F47B93" w:rsidRPr="003A5C41" w:rsidRDefault="00F47B93" w:rsidP="00741D52">
            <w:pPr>
              <w:pStyle w:val="TableParagraph"/>
              <w:kinsoku w:val="0"/>
              <w:overflowPunct w:val="0"/>
              <w:ind w:left="458" w:right="139" w:hanging="360"/>
              <w:rPr>
                <w:lang w:val="sk-SK"/>
              </w:rPr>
            </w:pPr>
            <w:r w:rsidRPr="003A5C41">
              <w:rPr>
                <w:b/>
                <w:bCs/>
                <w:sz w:val="22"/>
                <w:szCs w:val="22"/>
                <w:lang w:val="sk-SK"/>
              </w:rPr>
              <w:t xml:space="preserve">Trvanie odpovede hodnotené skúšajúcim (CR+PR) </w:t>
            </w:r>
            <w:r w:rsidR="00741D52">
              <w:rPr>
                <w:sz w:val="22"/>
                <w:szCs w:val="22"/>
                <w:lang w:val="sk-SK"/>
              </w:rPr>
              <w:t>-</w:t>
            </w:r>
            <w:r w:rsidRPr="003A5C41">
              <w:rPr>
                <w:sz w:val="22"/>
                <w:szCs w:val="22"/>
                <w:lang w:val="sk-SK"/>
              </w:rPr>
              <w:t xml:space="preserve"> </w:t>
            </w:r>
            <w:r w:rsidRPr="003A5C41">
              <w:rPr>
                <w:b/>
                <w:bCs/>
                <w:sz w:val="22"/>
                <w:szCs w:val="22"/>
                <w:lang w:val="sk-SK"/>
              </w:rPr>
              <w:t>(mesiace)</w:t>
            </w:r>
          </w:p>
        </w:tc>
        <w:tc>
          <w:tcPr>
            <w:tcW w:w="1723" w:type="dxa"/>
            <w:tcBorders>
              <w:top w:val="single" w:sz="11" w:space="0" w:color="000000"/>
              <w:left w:val="single" w:sz="7" w:space="0" w:color="000000"/>
              <w:bottom w:val="single" w:sz="7" w:space="0" w:color="000000"/>
              <w:right w:val="single" w:sz="7" w:space="0" w:color="000000"/>
            </w:tcBorders>
          </w:tcPr>
          <w:p w14:paraId="3327DDEE" w14:textId="77777777" w:rsidR="00F47B93" w:rsidRPr="003A5C41" w:rsidRDefault="00F47B93"/>
        </w:tc>
        <w:tc>
          <w:tcPr>
            <w:tcW w:w="1723" w:type="dxa"/>
            <w:tcBorders>
              <w:top w:val="single" w:sz="11" w:space="0" w:color="000000"/>
              <w:left w:val="single" w:sz="7" w:space="0" w:color="000000"/>
              <w:bottom w:val="single" w:sz="7" w:space="0" w:color="000000"/>
              <w:right w:val="single" w:sz="7" w:space="0" w:color="000000"/>
            </w:tcBorders>
          </w:tcPr>
          <w:p w14:paraId="1B79B03B" w14:textId="77777777" w:rsidR="00F47B93" w:rsidRPr="003A5C41" w:rsidRDefault="00F47B93"/>
        </w:tc>
        <w:tc>
          <w:tcPr>
            <w:tcW w:w="1724" w:type="dxa"/>
            <w:tcBorders>
              <w:top w:val="single" w:sz="11" w:space="0" w:color="000000"/>
              <w:left w:val="single" w:sz="7" w:space="0" w:color="000000"/>
              <w:bottom w:val="single" w:sz="7" w:space="0" w:color="000000"/>
              <w:right w:val="single" w:sz="7" w:space="0" w:color="000000"/>
            </w:tcBorders>
          </w:tcPr>
          <w:p w14:paraId="266A86D3" w14:textId="77777777" w:rsidR="00F47B93" w:rsidRPr="003A5C41" w:rsidRDefault="00F47B93"/>
        </w:tc>
      </w:tr>
      <w:tr w:rsidR="00F47B93" w:rsidRPr="003A5C41" w14:paraId="6906B18E" w14:textId="77777777" w:rsidTr="00F47B93">
        <w:trPr>
          <w:trHeight w:hRule="exact" w:val="274"/>
        </w:trPr>
        <w:tc>
          <w:tcPr>
            <w:tcW w:w="4121" w:type="dxa"/>
            <w:tcBorders>
              <w:top w:val="single" w:sz="7" w:space="0" w:color="000000"/>
              <w:left w:val="single" w:sz="7" w:space="0" w:color="000000"/>
              <w:bottom w:val="single" w:sz="7" w:space="0" w:color="000000"/>
              <w:right w:val="single" w:sz="7" w:space="0" w:color="000000"/>
            </w:tcBorders>
          </w:tcPr>
          <w:p w14:paraId="5ABFD76E" w14:textId="354D2F29" w:rsidR="00F47B93" w:rsidRPr="003A5C41" w:rsidRDefault="00F47B93" w:rsidP="000C6C7D">
            <w:pPr>
              <w:pStyle w:val="TableParagraph"/>
              <w:kinsoku w:val="0"/>
              <w:overflowPunct w:val="0"/>
              <w:spacing w:line="254" w:lineRule="exact"/>
              <w:rPr>
                <w:lang w:val="sk-SK"/>
              </w:rPr>
            </w:pPr>
            <w:r w:rsidRPr="003A5C41">
              <w:rPr>
                <w:sz w:val="22"/>
                <w:szCs w:val="22"/>
                <w:lang w:val="sk-SK"/>
              </w:rPr>
              <w:t>Medián</w:t>
            </w:r>
            <w:r w:rsidRPr="003A5C41">
              <w:rPr>
                <w:position w:val="8"/>
                <w:sz w:val="14"/>
                <w:szCs w:val="14"/>
                <w:lang w:val="sk-SK"/>
              </w:rPr>
              <w:t xml:space="preserve">a </w:t>
            </w:r>
            <w:r w:rsidRPr="003A5C41">
              <w:rPr>
                <w:sz w:val="22"/>
                <w:szCs w:val="22"/>
                <w:lang w:val="sk-SK"/>
              </w:rPr>
              <w:t xml:space="preserve">(95% </w:t>
            </w:r>
            <w:r w:rsidR="000C6C7D">
              <w:rPr>
                <w:sz w:val="22"/>
                <w:szCs w:val="22"/>
                <w:lang w:val="sk-SK"/>
              </w:rPr>
              <w:t>IS</w:t>
            </w:r>
            <w:r w:rsidRPr="003A5C41">
              <w:rPr>
                <w:sz w:val="22"/>
                <w:szCs w:val="22"/>
                <w:lang w:val="sk-SK"/>
              </w:rPr>
              <w:t>)</w:t>
            </w:r>
          </w:p>
        </w:tc>
        <w:tc>
          <w:tcPr>
            <w:tcW w:w="1723" w:type="dxa"/>
            <w:tcBorders>
              <w:top w:val="single" w:sz="7" w:space="0" w:color="000000"/>
              <w:left w:val="single" w:sz="7" w:space="0" w:color="000000"/>
              <w:bottom w:val="single" w:sz="7" w:space="0" w:color="000000"/>
              <w:right w:val="single" w:sz="7" w:space="0" w:color="000000"/>
            </w:tcBorders>
          </w:tcPr>
          <w:p w14:paraId="0CB87A65" w14:textId="77777777" w:rsidR="00F47B93" w:rsidRPr="003A5C41" w:rsidRDefault="00F47B93">
            <w:pPr>
              <w:pStyle w:val="TableParagraph"/>
              <w:kinsoku w:val="0"/>
              <w:overflowPunct w:val="0"/>
              <w:spacing w:before="1"/>
              <w:ind w:left="112"/>
              <w:rPr>
                <w:lang w:val="sk-SK"/>
              </w:rPr>
            </w:pPr>
            <w:r w:rsidRPr="003A5C41">
              <w:rPr>
                <w:sz w:val="22"/>
                <w:szCs w:val="22"/>
                <w:lang w:val="sk-SK"/>
              </w:rPr>
              <w:t>26,5 (19,4; 35,8)</w:t>
            </w:r>
          </w:p>
        </w:tc>
        <w:tc>
          <w:tcPr>
            <w:tcW w:w="1723" w:type="dxa"/>
            <w:tcBorders>
              <w:top w:val="single" w:sz="7" w:space="0" w:color="000000"/>
              <w:left w:val="single" w:sz="7" w:space="0" w:color="000000"/>
              <w:bottom w:val="single" w:sz="7" w:space="0" w:color="000000"/>
              <w:right w:val="single" w:sz="7" w:space="0" w:color="000000"/>
            </w:tcBorders>
          </w:tcPr>
          <w:p w14:paraId="1C3C2998" w14:textId="77777777" w:rsidR="00F47B93" w:rsidRPr="003A5C41" w:rsidRDefault="00F47B93">
            <w:pPr>
              <w:pStyle w:val="TableParagraph"/>
              <w:kinsoku w:val="0"/>
              <w:overflowPunct w:val="0"/>
              <w:spacing w:before="1"/>
              <w:ind w:left="112"/>
              <w:rPr>
                <w:lang w:val="sk-SK"/>
              </w:rPr>
            </w:pPr>
            <w:r w:rsidRPr="003A5C41">
              <w:rPr>
                <w:sz w:val="22"/>
                <w:szCs w:val="22"/>
                <w:lang w:val="sk-SK"/>
              </w:rPr>
              <w:t>12,4 (11,2; 13,9)</w:t>
            </w:r>
          </w:p>
        </w:tc>
        <w:tc>
          <w:tcPr>
            <w:tcW w:w="1724" w:type="dxa"/>
            <w:tcBorders>
              <w:top w:val="single" w:sz="7" w:space="0" w:color="000000"/>
              <w:left w:val="single" w:sz="7" w:space="0" w:color="000000"/>
              <w:bottom w:val="single" w:sz="7" w:space="0" w:color="000000"/>
              <w:right w:val="single" w:sz="7" w:space="0" w:color="000000"/>
            </w:tcBorders>
          </w:tcPr>
          <w:p w14:paraId="4B1468D6" w14:textId="77777777" w:rsidR="00F47B93" w:rsidRPr="003A5C41" w:rsidRDefault="00F47B93">
            <w:pPr>
              <w:pStyle w:val="TableParagraph"/>
              <w:kinsoku w:val="0"/>
              <w:overflowPunct w:val="0"/>
              <w:spacing w:before="1"/>
              <w:ind w:left="167"/>
              <w:rPr>
                <w:lang w:val="sk-SK"/>
              </w:rPr>
            </w:pPr>
            <w:r w:rsidRPr="003A5C41">
              <w:rPr>
                <w:sz w:val="22"/>
                <w:szCs w:val="22"/>
                <w:lang w:val="sk-SK"/>
              </w:rPr>
              <w:t>12,0 (9,4; 14,5)</w:t>
            </w:r>
          </w:p>
        </w:tc>
      </w:tr>
    </w:tbl>
    <w:p w14:paraId="40D6904B" w14:textId="6D16FA34" w:rsidR="00F47B93" w:rsidRPr="00741D52" w:rsidRDefault="000C6C7D" w:rsidP="00F47B93">
      <w:pPr>
        <w:autoSpaceDE w:val="0"/>
        <w:autoSpaceDN w:val="0"/>
        <w:adjustRightInd w:val="0"/>
        <w:ind w:left="0" w:firstLine="0"/>
        <w:rPr>
          <w:rFonts w:eastAsia="TimesNewRomanPSMT"/>
          <w:sz w:val="18"/>
          <w:szCs w:val="18"/>
          <w:lang w:eastAsia="en-US"/>
        </w:rPr>
      </w:pPr>
      <w:r>
        <w:rPr>
          <w:rFonts w:eastAsia="TimesNewRomanPSMT"/>
          <w:sz w:val="18"/>
          <w:szCs w:val="18"/>
          <w:lang w:eastAsia="en-US"/>
        </w:rPr>
        <w:t>IS</w:t>
      </w:r>
      <w:r w:rsidRPr="00741D52">
        <w:rPr>
          <w:rFonts w:eastAsia="TimesNewRomanPSMT"/>
          <w:sz w:val="18"/>
          <w:szCs w:val="18"/>
          <w:lang w:eastAsia="en-US"/>
        </w:rPr>
        <w:t xml:space="preserve"> </w:t>
      </w:r>
      <w:r w:rsidR="00F47B93" w:rsidRPr="00741D52">
        <w:rPr>
          <w:rFonts w:eastAsia="TimesNewRomanPSMT"/>
          <w:sz w:val="18"/>
          <w:szCs w:val="18"/>
          <w:lang w:eastAsia="en-US"/>
        </w:rPr>
        <w:t>= interval spoľahlivosti; CR = kompletná odpoveď; HR = miera rizika; M = melfalán; NE = nestanoviteľné; OS = celkové prežívanie; p = placebo; P = prednizón; PD = progresia ochorenia; PR = parciálna odpoveď; R = lenalidomid; SD = stabilné ochorenie; VGPR = veľmi dobrá čiastočná odpoveď.</w:t>
      </w:r>
    </w:p>
    <w:p w14:paraId="026A62D1" w14:textId="25899394" w:rsidR="00F47B93" w:rsidRPr="00741D52" w:rsidRDefault="00F47B93" w:rsidP="00F47B93">
      <w:pPr>
        <w:autoSpaceDE w:val="0"/>
        <w:autoSpaceDN w:val="0"/>
        <w:adjustRightInd w:val="0"/>
        <w:ind w:left="0" w:firstLine="0"/>
        <w:rPr>
          <w:rFonts w:eastAsia="TimesNewRomanPSMT"/>
          <w:sz w:val="18"/>
          <w:szCs w:val="18"/>
          <w:lang w:eastAsia="en-US"/>
        </w:rPr>
      </w:pPr>
      <w:r w:rsidRPr="00741D52">
        <w:rPr>
          <w:rFonts w:eastAsia="TimesNewRomanPSMT"/>
          <w:sz w:val="18"/>
          <w:szCs w:val="18"/>
          <w:lang w:eastAsia="en-US"/>
        </w:rPr>
        <w:t>ª Medián je založený na Kaplan</w:t>
      </w:r>
      <w:r w:rsidR="00BA4679">
        <w:rPr>
          <w:rFonts w:eastAsia="TimesNewRomanPSMT"/>
          <w:sz w:val="18"/>
          <w:szCs w:val="18"/>
          <w:lang w:eastAsia="en-US"/>
        </w:rPr>
        <w:t>ovom</w:t>
      </w:r>
      <w:r w:rsidRPr="00741D52">
        <w:rPr>
          <w:rFonts w:eastAsia="TimesNewRomanPSMT"/>
          <w:sz w:val="18"/>
          <w:szCs w:val="18"/>
          <w:lang w:eastAsia="en-US"/>
        </w:rPr>
        <w:t>-Meier</w:t>
      </w:r>
      <w:r w:rsidR="00BA4679">
        <w:rPr>
          <w:rFonts w:eastAsia="TimesNewRomanPSMT"/>
          <w:sz w:val="18"/>
          <w:szCs w:val="18"/>
          <w:lang w:eastAsia="en-US"/>
        </w:rPr>
        <w:t>ovom odhade</w:t>
      </w:r>
      <w:r w:rsidRPr="00741D52">
        <w:rPr>
          <w:rFonts w:eastAsia="TimesNewRomanPSMT"/>
          <w:sz w:val="18"/>
          <w:szCs w:val="18"/>
          <w:lang w:eastAsia="en-US"/>
        </w:rPr>
        <w:t>.</w:t>
      </w:r>
    </w:p>
    <w:p w14:paraId="465DB009" w14:textId="77777777" w:rsidR="00F47B93" w:rsidRPr="00741D52" w:rsidRDefault="00F47B93" w:rsidP="00F47B93">
      <w:pPr>
        <w:autoSpaceDE w:val="0"/>
        <w:autoSpaceDN w:val="0"/>
        <w:adjustRightInd w:val="0"/>
        <w:ind w:left="0" w:firstLine="0"/>
        <w:rPr>
          <w:rFonts w:eastAsia="TimesNewRomanPSMT"/>
          <w:sz w:val="18"/>
          <w:szCs w:val="18"/>
          <w:lang w:eastAsia="en-US"/>
        </w:rPr>
      </w:pPr>
      <w:r w:rsidRPr="00741D52">
        <w:rPr>
          <w:rFonts w:eastAsia="TimesNewRomanPSMT"/>
          <w:sz w:val="18"/>
          <w:szCs w:val="18"/>
          <w:lang w:eastAsia="en-US"/>
        </w:rPr>
        <w:t>¤PFS2 (predbežný koncový ukazovateľ) bol definovaný pre všetkých pacientov (ITT) ako čas od randomizácie do začiatku 3. Línie antimyelómovej liečby (AMT) alebo úmrtia všetkých randomizovaných pacientov</w:t>
      </w:r>
    </w:p>
    <w:p w14:paraId="13372763" w14:textId="77777777" w:rsidR="00F47B93" w:rsidRPr="00741D52" w:rsidRDefault="00F47B93" w:rsidP="00F47B93">
      <w:pPr>
        <w:autoSpaceDE w:val="0"/>
        <w:autoSpaceDN w:val="0"/>
        <w:adjustRightInd w:val="0"/>
        <w:ind w:left="0" w:firstLine="0"/>
        <w:rPr>
          <w:rFonts w:eastAsia="TimesNewRomanPSMT"/>
          <w:i/>
          <w:iCs/>
          <w:sz w:val="18"/>
          <w:szCs w:val="18"/>
          <w:lang w:eastAsia="en-US"/>
        </w:rPr>
      </w:pPr>
    </w:p>
    <w:p w14:paraId="45EEAA7A" w14:textId="29EF63D1" w:rsidR="00F47B93" w:rsidRPr="003A5C41" w:rsidRDefault="00F47B93" w:rsidP="00F47B93">
      <w:pPr>
        <w:autoSpaceDE w:val="0"/>
        <w:autoSpaceDN w:val="0"/>
        <w:adjustRightInd w:val="0"/>
        <w:ind w:left="0" w:firstLine="0"/>
        <w:rPr>
          <w:rFonts w:eastAsia="TimesNewRomanPSMT"/>
          <w:i/>
          <w:iCs/>
          <w:szCs w:val="22"/>
          <w:lang w:eastAsia="en-US"/>
        </w:rPr>
      </w:pPr>
      <w:r w:rsidRPr="003A5C41">
        <w:rPr>
          <w:rFonts w:eastAsia="TimesNewRomanPSMT"/>
          <w:i/>
          <w:iCs/>
          <w:szCs w:val="22"/>
          <w:lang w:eastAsia="en-US"/>
        </w:rPr>
        <w:t>Podporné štúdie novodiagnostikovaného mnohopočetného myelómu</w:t>
      </w:r>
    </w:p>
    <w:p w14:paraId="700ED5EC" w14:textId="5793D904" w:rsidR="00F47B93" w:rsidRPr="003A5C41" w:rsidRDefault="00F47B93" w:rsidP="00F47B93">
      <w:pPr>
        <w:autoSpaceDE w:val="0"/>
        <w:autoSpaceDN w:val="0"/>
        <w:adjustRightInd w:val="0"/>
        <w:ind w:left="0" w:firstLine="0"/>
        <w:rPr>
          <w:rFonts w:eastAsia="TimesNewRomanPSMT"/>
          <w:szCs w:val="22"/>
          <w:lang w:eastAsia="en-US"/>
        </w:rPr>
      </w:pPr>
      <w:r w:rsidRPr="003A5C41">
        <w:rPr>
          <w:rFonts w:eastAsia="TimesNewRomanPSMT"/>
          <w:szCs w:val="22"/>
          <w:lang w:eastAsia="en-US"/>
        </w:rPr>
        <w:t xml:space="preserve">Otvorené, randomizované, multicentrické klinické skúšanie fázy III (ECOG E4A03) bolo uskutočnené u 445 pacientov s novodiagnostikovaným mnohopočetným myelómom; 222 pacientov bolo randomizovaných do </w:t>
      </w:r>
      <w:r w:rsidR="00AF53B6">
        <w:rPr>
          <w:rFonts w:eastAsia="TimesNewRomanPSMT"/>
          <w:szCs w:val="22"/>
          <w:lang w:eastAsia="en-US"/>
        </w:rPr>
        <w:t>skupiny</w:t>
      </w:r>
      <w:r w:rsidRPr="003A5C41">
        <w:rPr>
          <w:rFonts w:eastAsia="TimesNewRomanPSMT"/>
          <w:szCs w:val="22"/>
          <w:lang w:eastAsia="en-US"/>
        </w:rPr>
        <w:t xml:space="preserve"> lenalidomid/ nízkodávkovaný dexametazón, a 223 pacientov bolo randomizovaných do </w:t>
      </w:r>
      <w:r w:rsidR="00AF53B6">
        <w:rPr>
          <w:rFonts w:eastAsia="TimesNewRomanPSMT"/>
          <w:szCs w:val="22"/>
          <w:lang w:eastAsia="en-US"/>
        </w:rPr>
        <w:t>skupiny</w:t>
      </w:r>
      <w:r w:rsidRPr="003A5C41">
        <w:rPr>
          <w:rFonts w:eastAsia="TimesNewRomanPSMT"/>
          <w:szCs w:val="22"/>
          <w:lang w:eastAsia="en-US"/>
        </w:rPr>
        <w:t xml:space="preserve"> lenalidomid/ štandardne dávkovaný dexametazón. Pacienti randomizovaní do </w:t>
      </w:r>
      <w:r w:rsidR="00AF53B6">
        <w:rPr>
          <w:rFonts w:eastAsia="TimesNewRomanPSMT"/>
          <w:szCs w:val="22"/>
          <w:lang w:eastAsia="en-US"/>
        </w:rPr>
        <w:t>skupiny</w:t>
      </w:r>
      <w:r w:rsidRPr="003A5C41">
        <w:rPr>
          <w:rFonts w:eastAsia="TimesNewRomanPSMT"/>
          <w:szCs w:val="22"/>
          <w:lang w:eastAsia="en-US"/>
        </w:rPr>
        <w:t xml:space="preserve"> lenalidomid/ štandardne dávkovaný dexametazón užívali lenalidomid 25</w:t>
      </w:r>
      <w:r w:rsidR="00C427BA" w:rsidRPr="003A5C41">
        <w:rPr>
          <w:rFonts w:eastAsia="TimesNewRomanPSMT"/>
          <w:szCs w:val="22"/>
          <w:lang w:eastAsia="en-US"/>
        </w:rPr>
        <w:t> </w:t>
      </w:r>
      <w:r w:rsidRPr="003A5C41">
        <w:rPr>
          <w:rFonts w:eastAsia="TimesNewRomanPSMT"/>
          <w:szCs w:val="22"/>
          <w:lang w:eastAsia="en-US"/>
        </w:rPr>
        <w:t xml:space="preserve">mg denne v 1. až 21. deň každých 28 dní spolu s </w:t>
      </w:r>
      <w:r w:rsidR="00BA4679" w:rsidRPr="00BA4679">
        <w:rPr>
          <w:rFonts w:eastAsia="TimesNewRomanPSMT"/>
          <w:szCs w:val="22"/>
          <w:lang w:eastAsia="en-US"/>
        </w:rPr>
        <w:t xml:space="preserve">nízkodávkovaným </w:t>
      </w:r>
      <w:r w:rsidRPr="003A5C41">
        <w:rPr>
          <w:rFonts w:eastAsia="TimesNewRomanPSMT"/>
          <w:szCs w:val="22"/>
          <w:lang w:eastAsia="en-US"/>
        </w:rPr>
        <w:t>dexametazónom 40</w:t>
      </w:r>
      <w:r w:rsidR="00C427BA" w:rsidRPr="003A5C41">
        <w:rPr>
          <w:rFonts w:eastAsia="TimesNewRomanPSMT"/>
          <w:szCs w:val="22"/>
          <w:lang w:eastAsia="en-US"/>
        </w:rPr>
        <w:t> </w:t>
      </w:r>
      <w:r w:rsidRPr="003A5C41">
        <w:rPr>
          <w:rFonts w:eastAsia="TimesNewRomanPSMT"/>
          <w:szCs w:val="22"/>
          <w:lang w:eastAsia="en-US"/>
        </w:rPr>
        <w:t xml:space="preserve">mg denne v dňoch 1 až 4, 9 až 12 a 17 až 20 každých 28 dní, prvé štyri liečebné cykly. Pacienti randomizovaní do </w:t>
      </w:r>
      <w:r w:rsidR="00AF53B6">
        <w:rPr>
          <w:rFonts w:eastAsia="TimesNewRomanPSMT"/>
          <w:szCs w:val="22"/>
          <w:lang w:eastAsia="en-US"/>
        </w:rPr>
        <w:t>skupiny</w:t>
      </w:r>
      <w:r w:rsidRPr="003A5C41">
        <w:rPr>
          <w:rFonts w:eastAsia="TimesNewRomanPSMT"/>
          <w:szCs w:val="22"/>
          <w:lang w:eastAsia="en-US"/>
        </w:rPr>
        <w:t xml:space="preserve"> lenalidomid/nízkodávkovaný dexametazón užívali lenalidomid 25</w:t>
      </w:r>
      <w:r w:rsidR="00C427BA" w:rsidRPr="003A5C41">
        <w:rPr>
          <w:rFonts w:eastAsia="TimesNewRomanPSMT"/>
          <w:szCs w:val="22"/>
          <w:lang w:eastAsia="en-US"/>
        </w:rPr>
        <w:t> </w:t>
      </w:r>
      <w:r w:rsidRPr="003A5C41">
        <w:rPr>
          <w:rFonts w:eastAsia="TimesNewRomanPSMT"/>
          <w:szCs w:val="22"/>
          <w:lang w:eastAsia="en-US"/>
        </w:rPr>
        <w:t>mg denne v 1. až 21. deň každých 28 dní spolu s nízkodávkovaným dexametazónom 40</w:t>
      </w:r>
      <w:r w:rsidR="00C427BA" w:rsidRPr="003A5C41">
        <w:rPr>
          <w:rFonts w:eastAsia="TimesNewRomanPSMT"/>
          <w:szCs w:val="22"/>
          <w:lang w:eastAsia="en-US"/>
        </w:rPr>
        <w:t> </w:t>
      </w:r>
      <w:r w:rsidRPr="003A5C41">
        <w:rPr>
          <w:rFonts w:eastAsia="TimesNewRomanPSMT"/>
          <w:szCs w:val="22"/>
          <w:lang w:eastAsia="en-US"/>
        </w:rPr>
        <w:t xml:space="preserve">mg denne v dňoch 1, 8, 15, a 22 každých 28 dní. V </w:t>
      </w:r>
      <w:r w:rsidR="00DD1E44">
        <w:rPr>
          <w:rFonts w:eastAsia="TimesNewRomanPSMT"/>
          <w:szCs w:val="22"/>
          <w:lang w:eastAsia="en-US"/>
        </w:rPr>
        <w:t>skupine</w:t>
      </w:r>
      <w:r w:rsidRPr="003A5C41">
        <w:rPr>
          <w:rFonts w:eastAsia="TimesNewRomanPSMT"/>
          <w:szCs w:val="22"/>
          <w:lang w:eastAsia="en-US"/>
        </w:rPr>
        <w:t xml:space="preserve"> lenalidomid/nízkodávkovaný dexametazón 20 pacientov (9,1%) malo aspoň jedno prerušenie liečby v porovnaní so 65 pacientmi (29,3%) v </w:t>
      </w:r>
      <w:r w:rsidR="00DD1E44">
        <w:rPr>
          <w:rFonts w:eastAsia="TimesNewRomanPSMT"/>
          <w:szCs w:val="22"/>
          <w:lang w:eastAsia="en-US"/>
        </w:rPr>
        <w:t>skupine</w:t>
      </w:r>
      <w:r w:rsidRPr="003A5C41">
        <w:rPr>
          <w:rFonts w:eastAsia="TimesNewRomanPSMT"/>
          <w:szCs w:val="22"/>
          <w:lang w:eastAsia="en-US"/>
        </w:rPr>
        <w:t xml:space="preserve"> lenalidomid/štandardne dávkovaný dexametazón.</w:t>
      </w:r>
    </w:p>
    <w:p w14:paraId="0431A324" w14:textId="77777777" w:rsidR="00F47B93" w:rsidRPr="003A5C41" w:rsidRDefault="00F47B93" w:rsidP="00F47B93">
      <w:pPr>
        <w:autoSpaceDE w:val="0"/>
        <w:autoSpaceDN w:val="0"/>
        <w:adjustRightInd w:val="0"/>
        <w:ind w:left="0" w:firstLine="0"/>
        <w:rPr>
          <w:rFonts w:eastAsia="TimesNewRomanPSMT"/>
          <w:szCs w:val="22"/>
          <w:lang w:eastAsia="en-US"/>
        </w:rPr>
      </w:pPr>
    </w:p>
    <w:p w14:paraId="7F4C5ED6" w14:textId="0D64DCB8" w:rsidR="00C75A8C" w:rsidRPr="003A5C41" w:rsidRDefault="00F47B93" w:rsidP="00F47B93">
      <w:pPr>
        <w:autoSpaceDE w:val="0"/>
        <w:autoSpaceDN w:val="0"/>
        <w:adjustRightInd w:val="0"/>
        <w:ind w:left="0" w:firstLine="0"/>
        <w:rPr>
          <w:rFonts w:eastAsia="TimesNewRomanPSMT"/>
          <w:szCs w:val="22"/>
          <w:lang w:eastAsia="en-US"/>
        </w:rPr>
      </w:pPr>
      <w:r w:rsidRPr="003A5C41">
        <w:rPr>
          <w:rFonts w:eastAsia="TimesNewRomanPSMT"/>
          <w:szCs w:val="22"/>
          <w:lang w:eastAsia="en-US"/>
        </w:rPr>
        <w:lastRenderedPageBreak/>
        <w:t xml:space="preserve">V post-hoc analýze bola pozorovaná nižšia mortalita v </w:t>
      </w:r>
      <w:r w:rsidR="00DD1E44">
        <w:rPr>
          <w:rFonts w:eastAsia="TimesNewRomanPSMT"/>
          <w:szCs w:val="22"/>
          <w:lang w:eastAsia="en-US"/>
        </w:rPr>
        <w:t>skupine</w:t>
      </w:r>
      <w:r w:rsidRPr="003A5C41">
        <w:rPr>
          <w:rFonts w:eastAsia="TimesNewRomanPSMT"/>
          <w:szCs w:val="22"/>
          <w:lang w:eastAsia="en-US"/>
        </w:rPr>
        <w:t xml:space="preserve"> lenalidomid/nízkodávkovaný</w:t>
      </w:r>
      <w:r w:rsidR="00C427BA" w:rsidRPr="003A5C41">
        <w:rPr>
          <w:rFonts w:eastAsia="TimesNewRomanPSMT"/>
          <w:szCs w:val="22"/>
          <w:lang w:eastAsia="en-US"/>
        </w:rPr>
        <w:t xml:space="preserve"> </w:t>
      </w:r>
      <w:r w:rsidRPr="003A5C41">
        <w:rPr>
          <w:rFonts w:eastAsia="TimesNewRomanPSMT"/>
          <w:szCs w:val="22"/>
          <w:lang w:eastAsia="en-US"/>
        </w:rPr>
        <w:t>dexametazón 6,8% (15/220) v porovnaní s</w:t>
      </w:r>
      <w:r w:rsidR="00BA4679">
        <w:rPr>
          <w:rFonts w:eastAsia="TimesNewRomanPSMT"/>
          <w:szCs w:val="22"/>
          <w:lang w:eastAsia="en-US"/>
        </w:rPr>
        <w:t>o</w:t>
      </w:r>
      <w:r w:rsidRPr="003A5C41">
        <w:rPr>
          <w:rFonts w:eastAsia="TimesNewRomanPSMT"/>
          <w:szCs w:val="22"/>
          <w:lang w:eastAsia="en-US"/>
        </w:rPr>
        <w:t xml:space="preserve"> </w:t>
      </w:r>
      <w:r w:rsidR="00DD1E44">
        <w:rPr>
          <w:rFonts w:eastAsia="TimesNewRomanPSMT"/>
          <w:szCs w:val="22"/>
          <w:lang w:eastAsia="en-US"/>
        </w:rPr>
        <w:t>skupinou</w:t>
      </w:r>
      <w:r w:rsidRPr="003A5C41">
        <w:rPr>
          <w:rFonts w:eastAsia="TimesNewRomanPSMT"/>
          <w:szCs w:val="22"/>
          <w:lang w:eastAsia="en-US"/>
        </w:rPr>
        <w:t xml:space="preserve"> lenalidomid/ štandardne dávkovaný dexametazón</w:t>
      </w:r>
      <w:r w:rsidR="00C427BA" w:rsidRPr="003A5C41">
        <w:rPr>
          <w:rFonts w:eastAsia="TimesNewRomanPSMT"/>
          <w:szCs w:val="22"/>
          <w:lang w:eastAsia="en-US"/>
        </w:rPr>
        <w:t xml:space="preserve"> </w:t>
      </w:r>
      <w:r w:rsidRPr="003A5C41">
        <w:rPr>
          <w:rFonts w:eastAsia="TimesNewRomanPSMT"/>
          <w:szCs w:val="22"/>
          <w:lang w:eastAsia="en-US"/>
        </w:rPr>
        <w:t>19,3% (43/223) u pacientov s novodiagnostikovaným mnohopočetným myelómom, s mediánom</w:t>
      </w:r>
      <w:r w:rsidR="00C427BA" w:rsidRPr="003A5C41">
        <w:rPr>
          <w:rFonts w:eastAsia="TimesNewRomanPSMT"/>
          <w:szCs w:val="22"/>
          <w:lang w:eastAsia="en-US"/>
        </w:rPr>
        <w:t xml:space="preserve"> </w:t>
      </w:r>
      <w:r w:rsidRPr="003A5C41">
        <w:rPr>
          <w:rFonts w:eastAsia="TimesNewRomanPSMT"/>
          <w:szCs w:val="22"/>
          <w:lang w:eastAsia="en-US"/>
        </w:rPr>
        <w:t>sledovania 72,3 týždňa.</w:t>
      </w:r>
    </w:p>
    <w:p w14:paraId="2FDF31E0" w14:textId="77777777" w:rsidR="00C75A8C" w:rsidRPr="003A5C41" w:rsidRDefault="00C75A8C" w:rsidP="00C75A8C">
      <w:pPr>
        <w:autoSpaceDE w:val="0"/>
        <w:autoSpaceDN w:val="0"/>
        <w:adjustRightInd w:val="0"/>
        <w:ind w:left="0" w:firstLine="0"/>
        <w:rPr>
          <w:rFonts w:eastAsia="TimesNewRomanPSMT"/>
          <w:szCs w:val="22"/>
          <w:lang w:eastAsia="en-US"/>
        </w:rPr>
      </w:pPr>
    </w:p>
    <w:p w14:paraId="20893B37" w14:textId="77777777" w:rsidR="00C427BA" w:rsidRPr="003A5C41" w:rsidRDefault="00C427BA" w:rsidP="00C427BA">
      <w:pPr>
        <w:autoSpaceDE w:val="0"/>
        <w:autoSpaceDN w:val="0"/>
        <w:adjustRightInd w:val="0"/>
        <w:ind w:left="0" w:firstLine="0"/>
        <w:rPr>
          <w:szCs w:val="22"/>
          <w:lang w:eastAsia="en-US"/>
        </w:rPr>
      </w:pPr>
      <w:r w:rsidRPr="003A5C41">
        <w:rPr>
          <w:szCs w:val="22"/>
          <w:lang w:eastAsia="en-US"/>
        </w:rPr>
        <w:t>Av</w:t>
      </w:r>
      <w:r w:rsidRPr="003A5C41">
        <w:rPr>
          <w:rFonts w:eastAsia="TimesNewRomanPSMT"/>
          <w:szCs w:val="22"/>
          <w:lang w:eastAsia="en-US"/>
        </w:rPr>
        <w:t>š</w:t>
      </w:r>
      <w:r w:rsidRPr="003A5C41">
        <w:rPr>
          <w:szCs w:val="22"/>
          <w:lang w:eastAsia="en-US"/>
        </w:rPr>
        <w:t>ak, po dlh</w:t>
      </w:r>
      <w:r w:rsidRPr="003A5C41">
        <w:rPr>
          <w:rFonts w:eastAsia="TimesNewRomanPSMT"/>
          <w:szCs w:val="22"/>
          <w:lang w:eastAsia="en-US"/>
        </w:rPr>
        <w:t>š</w:t>
      </w:r>
      <w:r w:rsidRPr="003A5C41">
        <w:rPr>
          <w:szCs w:val="22"/>
          <w:lang w:eastAsia="en-US"/>
        </w:rPr>
        <w:t>ej dobe sledovania, sa rozdiel v celkovom pre</w:t>
      </w:r>
      <w:r w:rsidRPr="003A5C41">
        <w:rPr>
          <w:rFonts w:eastAsia="TimesNewRomanPSMT"/>
          <w:szCs w:val="22"/>
          <w:lang w:eastAsia="en-US"/>
        </w:rPr>
        <w:t>ž</w:t>
      </w:r>
      <w:r w:rsidRPr="003A5C41">
        <w:rPr>
          <w:szCs w:val="22"/>
          <w:lang w:eastAsia="en-US"/>
        </w:rPr>
        <w:t>ívaní v prospech lenalidomidu/nízko dávkovaného dexametazónu zni</w:t>
      </w:r>
      <w:r w:rsidRPr="003A5C41">
        <w:rPr>
          <w:rFonts w:eastAsia="TimesNewRomanPSMT"/>
          <w:szCs w:val="22"/>
          <w:lang w:eastAsia="en-US"/>
        </w:rPr>
        <w:t>ž</w:t>
      </w:r>
      <w:r w:rsidRPr="003A5C41">
        <w:rPr>
          <w:szCs w:val="22"/>
          <w:lang w:eastAsia="en-US"/>
        </w:rPr>
        <w:t>uje.</w:t>
      </w:r>
    </w:p>
    <w:p w14:paraId="4BB1627B" w14:textId="77777777" w:rsidR="00C427BA" w:rsidRPr="003A5C41" w:rsidRDefault="00C427BA" w:rsidP="00C427BA">
      <w:pPr>
        <w:autoSpaceDE w:val="0"/>
        <w:autoSpaceDN w:val="0"/>
        <w:adjustRightInd w:val="0"/>
        <w:ind w:left="0" w:firstLine="0"/>
        <w:rPr>
          <w:i/>
          <w:iCs/>
          <w:szCs w:val="22"/>
          <w:lang w:eastAsia="en-US"/>
        </w:rPr>
      </w:pPr>
    </w:p>
    <w:p w14:paraId="6F1BD6AE" w14:textId="77777777" w:rsidR="00C427BA" w:rsidRPr="003A5C41" w:rsidRDefault="00C427BA" w:rsidP="00C427BA">
      <w:pPr>
        <w:autoSpaceDE w:val="0"/>
        <w:autoSpaceDN w:val="0"/>
        <w:adjustRightInd w:val="0"/>
        <w:ind w:left="0" w:firstLine="0"/>
        <w:rPr>
          <w:i/>
          <w:iCs/>
          <w:szCs w:val="22"/>
          <w:lang w:eastAsia="en-US"/>
        </w:rPr>
      </w:pPr>
      <w:r w:rsidRPr="003A5C41">
        <w:rPr>
          <w:i/>
          <w:iCs/>
          <w:szCs w:val="22"/>
          <w:lang w:eastAsia="en-US"/>
        </w:rPr>
        <w:t>Mnohopočetný myelóm s aspoň jednou predchádzajúcou liečbou</w:t>
      </w:r>
    </w:p>
    <w:p w14:paraId="1A07D4CA" w14:textId="77777777" w:rsidR="00C427BA" w:rsidRPr="003A5C41" w:rsidRDefault="00C427BA" w:rsidP="00C427BA">
      <w:pPr>
        <w:autoSpaceDE w:val="0"/>
        <w:autoSpaceDN w:val="0"/>
        <w:adjustRightInd w:val="0"/>
        <w:ind w:left="0" w:firstLine="0"/>
        <w:rPr>
          <w:szCs w:val="22"/>
          <w:lang w:eastAsia="en-US"/>
        </w:rPr>
      </w:pPr>
      <w:r w:rsidRPr="003A5C41">
        <w:rPr>
          <w:rFonts w:eastAsia="TimesNewRomanPSMT"/>
          <w:szCs w:val="22"/>
          <w:lang w:eastAsia="en-US"/>
        </w:rPr>
        <w:t>Účinnosť a bezpečnosť lenalidomidu sa vyhodnocovala v dvoch multicentrických, randomizovaných,</w:t>
      </w:r>
      <w:r w:rsidR="00954F57" w:rsidRPr="003A5C41">
        <w:rPr>
          <w:rFonts w:eastAsia="TimesNewRomanPSMT"/>
          <w:szCs w:val="22"/>
          <w:lang w:eastAsia="en-US"/>
        </w:rPr>
        <w:t xml:space="preserve"> </w:t>
      </w:r>
      <w:r w:rsidRPr="003A5C41">
        <w:rPr>
          <w:szCs w:val="22"/>
          <w:lang w:eastAsia="en-US"/>
        </w:rPr>
        <w:t xml:space="preserve">dvojito zaslepených, placebom kontrolovaných, </w:t>
      </w:r>
      <w:r w:rsidRPr="003A5C41">
        <w:rPr>
          <w:rFonts w:eastAsia="TimesNewRomanPSMT"/>
          <w:szCs w:val="22"/>
          <w:lang w:eastAsia="en-US"/>
        </w:rPr>
        <w:t>š</w:t>
      </w:r>
      <w:r w:rsidRPr="003A5C41">
        <w:rPr>
          <w:szCs w:val="22"/>
          <w:lang w:eastAsia="en-US"/>
        </w:rPr>
        <w:t xml:space="preserve">túdiách fázy III (MM-009 a MM-010). </w:t>
      </w:r>
      <w:r w:rsidRPr="003A5C41">
        <w:rPr>
          <w:rFonts w:eastAsia="TimesNewRomanPSMT"/>
          <w:szCs w:val="22"/>
          <w:lang w:eastAsia="en-US"/>
        </w:rPr>
        <w:t>Š</w:t>
      </w:r>
      <w:r w:rsidRPr="003A5C41">
        <w:rPr>
          <w:szCs w:val="22"/>
          <w:lang w:eastAsia="en-US"/>
        </w:rPr>
        <w:t>túdie boli</w:t>
      </w:r>
      <w:r w:rsidR="00954F57" w:rsidRPr="003A5C41">
        <w:rPr>
          <w:szCs w:val="22"/>
          <w:lang w:eastAsia="en-US"/>
        </w:rPr>
        <w:t xml:space="preserve"> </w:t>
      </w:r>
      <w:r w:rsidRPr="003A5C41">
        <w:rPr>
          <w:rFonts w:eastAsia="TimesNewRomanPSMT"/>
          <w:szCs w:val="22"/>
          <w:lang w:eastAsia="en-US"/>
        </w:rPr>
        <w:t>vykonávané u pacientov s mnohopočetným myelómom, ktorí v minulosti už podstúpili inú liečbu.</w:t>
      </w:r>
      <w:r w:rsidR="00954F57" w:rsidRPr="003A5C41">
        <w:rPr>
          <w:rFonts w:eastAsia="TimesNewRomanPSMT"/>
          <w:szCs w:val="22"/>
          <w:lang w:eastAsia="en-US"/>
        </w:rPr>
        <w:t xml:space="preserve"> </w:t>
      </w:r>
      <w:r w:rsidRPr="003A5C41">
        <w:rPr>
          <w:rFonts w:eastAsia="TimesNewRomanPSMT"/>
          <w:szCs w:val="22"/>
          <w:lang w:eastAsia="en-US"/>
        </w:rPr>
        <w:t>V štúdiách boli pacienti zadelení do dvoch paralelných kontrolných skupín a porovnávala sa liečba</w:t>
      </w:r>
      <w:r w:rsidR="00954F57" w:rsidRPr="003A5C41">
        <w:rPr>
          <w:rFonts w:eastAsia="TimesNewRomanPSMT"/>
          <w:szCs w:val="22"/>
          <w:lang w:eastAsia="en-US"/>
        </w:rPr>
        <w:t xml:space="preserve"> </w:t>
      </w:r>
      <w:r w:rsidRPr="003A5C41">
        <w:rPr>
          <w:rFonts w:eastAsia="TimesNewRomanPSMT"/>
          <w:szCs w:val="22"/>
          <w:lang w:eastAsia="en-US"/>
        </w:rPr>
        <w:t>lenalidomidom plus dexametazónom oproti liečbe samotným dexametazónom. Z 353 pacientov v</w:t>
      </w:r>
      <w:r w:rsidR="00954F57" w:rsidRPr="003A5C41">
        <w:rPr>
          <w:rFonts w:eastAsia="TimesNewRomanPSMT"/>
          <w:szCs w:val="22"/>
          <w:lang w:eastAsia="en-US"/>
        </w:rPr>
        <w:t xml:space="preserve"> </w:t>
      </w:r>
      <w:r w:rsidRPr="003A5C41">
        <w:rPr>
          <w:rFonts w:eastAsia="TimesNewRomanPSMT"/>
          <w:szCs w:val="22"/>
          <w:lang w:eastAsia="en-US"/>
        </w:rPr>
        <w:t>š</w:t>
      </w:r>
      <w:r w:rsidRPr="003A5C41">
        <w:rPr>
          <w:szCs w:val="22"/>
          <w:lang w:eastAsia="en-US"/>
        </w:rPr>
        <w:t>túdiách MM-009 a MM-010, ktorým sa podával lenalidomid/dexametazón, bolo 45,6% vo veku 65</w:t>
      </w:r>
      <w:r w:rsidR="00954F57" w:rsidRPr="003A5C41">
        <w:rPr>
          <w:szCs w:val="22"/>
          <w:lang w:eastAsia="en-US"/>
        </w:rPr>
        <w:t xml:space="preserve"> </w:t>
      </w:r>
      <w:r w:rsidRPr="003A5C41">
        <w:rPr>
          <w:szCs w:val="22"/>
          <w:lang w:eastAsia="en-US"/>
        </w:rPr>
        <w:t>rokov a star</w:t>
      </w:r>
      <w:r w:rsidRPr="003A5C41">
        <w:rPr>
          <w:rFonts w:eastAsia="TimesNewRomanPSMT"/>
          <w:szCs w:val="22"/>
          <w:lang w:eastAsia="en-US"/>
        </w:rPr>
        <w:t>š</w:t>
      </w:r>
      <w:r w:rsidRPr="003A5C41">
        <w:rPr>
          <w:szCs w:val="22"/>
          <w:lang w:eastAsia="en-US"/>
        </w:rPr>
        <w:t xml:space="preserve">ích. Zo 704 pacientov vyhodnocovaných v </w:t>
      </w:r>
      <w:r w:rsidRPr="003A5C41">
        <w:rPr>
          <w:rFonts w:eastAsia="TimesNewRomanPSMT"/>
          <w:szCs w:val="22"/>
          <w:lang w:eastAsia="en-US"/>
        </w:rPr>
        <w:t>š</w:t>
      </w:r>
      <w:r w:rsidRPr="003A5C41">
        <w:rPr>
          <w:szCs w:val="22"/>
          <w:lang w:eastAsia="en-US"/>
        </w:rPr>
        <w:t>túdiách MM-009 a MM-010 bolo 44,6% vo</w:t>
      </w:r>
      <w:r w:rsidR="00954F57" w:rsidRPr="003A5C41">
        <w:rPr>
          <w:szCs w:val="22"/>
          <w:lang w:eastAsia="en-US"/>
        </w:rPr>
        <w:t xml:space="preserve"> </w:t>
      </w:r>
      <w:r w:rsidRPr="003A5C41">
        <w:rPr>
          <w:szCs w:val="22"/>
          <w:lang w:eastAsia="en-US"/>
        </w:rPr>
        <w:t>veku 65 rokov a star</w:t>
      </w:r>
      <w:r w:rsidRPr="003A5C41">
        <w:rPr>
          <w:rFonts w:eastAsia="TimesNewRomanPSMT"/>
          <w:szCs w:val="22"/>
          <w:lang w:eastAsia="en-US"/>
        </w:rPr>
        <w:t>š</w:t>
      </w:r>
      <w:r w:rsidRPr="003A5C41">
        <w:rPr>
          <w:szCs w:val="22"/>
          <w:lang w:eastAsia="en-US"/>
        </w:rPr>
        <w:t>ích.</w:t>
      </w:r>
    </w:p>
    <w:p w14:paraId="397AFB5C" w14:textId="77777777" w:rsidR="00954F57" w:rsidRPr="003A5C41" w:rsidRDefault="00954F57" w:rsidP="00C427BA">
      <w:pPr>
        <w:autoSpaceDE w:val="0"/>
        <w:autoSpaceDN w:val="0"/>
        <w:adjustRightInd w:val="0"/>
        <w:ind w:left="0" w:firstLine="0"/>
        <w:rPr>
          <w:szCs w:val="22"/>
          <w:lang w:eastAsia="en-US"/>
        </w:rPr>
      </w:pPr>
    </w:p>
    <w:p w14:paraId="3E09D82E" w14:textId="77777777" w:rsidR="00F47B93" w:rsidRPr="003A5C41" w:rsidRDefault="00C427BA" w:rsidP="00C427BA">
      <w:pPr>
        <w:autoSpaceDE w:val="0"/>
        <w:autoSpaceDN w:val="0"/>
        <w:adjustRightInd w:val="0"/>
        <w:ind w:left="0" w:firstLine="0"/>
        <w:rPr>
          <w:rFonts w:eastAsia="TimesNewRomanPSMT"/>
          <w:szCs w:val="22"/>
          <w:lang w:eastAsia="en-US"/>
        </w:rPr>
      </w:pPr>
      <w:r w:rsidRPr="003A5C41">
        <w:rPr>
          <w:szCs w:val="22"/>
          <w:lang w:eastAsia="en-US"/>
        </w:rPr>
        <w:t xml:space="preserve">V oboch </w:t>
      </w:r>
      <w:r w:rsidRPr="003A5C41">
        <w:rPr>
          <w:rFonts w:eastAsia="TimesNewRomanPSMT"/>
          <w:szCs w:val="22"/>
          <w:lang w:eastAsia="en-US"/>
        </w:rPr>
        <w:t>š</w:t>
      </w:r>
      <w:r w:rsidRPr="003A5C41">
        <w:rPr>
          <w:szCs w:val="22"/>
          <w:lang w:eastAsia="en-US"/>
        </w:rPr>
        <w:t>túdiách u</w:t>
      </w:r>
      <w:r w:rsidRPr="003A5C41">
        <w:rPr>
          <w:rFonts w:eastAsia="TimesNewRomanPSMT"/>
          <w:szCs w:val="22"/>
          <w:lang w:eastAsia="en-US"/>
        </w:rPr>
        <w:t>ž</w:t>
      </w:r>
      <w:r w:rsidRPr="003A5C41">
        <w:rPr>
          <w:szCs w:val="22"/>
          <w:lang w:eastAsia="en-US"/>
        </w:rPr>
        <w:t>ívali pacienti v skupine lenalidomid/dexametazón (len/dex) 25</w:t>
      </w:r>
      <w:r w:rsidR="00954F57" w:rsidRPr="003A5C41">
        <w:rPr>
          <w:szCs w:val="22"/>
          <w:lang w:eastAsia="en-US"/>
        </w:rPr>
        <w:t> </w:t>
      </w:r>
      <w:r w:rsidRPr="003A5C41">
        <w:rPr>
          <w:szCs w:val="22"/>
          <w:lang w:eastAsia="en-US"/>
        </w:rPr>
        <w:t>mg lenalidomidu</w:t>
      </w:r>
      <w:r w:rsidR="00954F57" w:rsidRPr="003A5C41">
        <w:rPr>
          <w:szCs w:val="22"/>
          <w:lang w:eastAsia="en-US"/>
        </w:rPr>
        <w:t xml:space="preserve"> </w:t>
      </w:r>
      <w:r w:rsidRPr="003A5C41">
        <w:rPr>
          <w:rFonts w:eastAsia="TimesNewRomanPSMT"/>
          <w:szCs w:val="22"/>
          <w:lang w:eastAsia="en-US"/>
        </w:rPr>
        <w:t>perorálne jedenkrát denne v 1. až 21. deň a zodpovedajúcu kapsulu placeba jedenkrát denne v 22. až 28.</w:t>
      </w:r>
      <w:r w:rsidR="00954F57" w:rsidRPr="003A5C41">
        <w:rPr>
          <w:rFonts w:eastAsia="TimesNewRomanPSMT"/>
          <w:szCs w:val="22"/>
          <w:lang w:eastAsia="en-US"/>
        </w:rPr>
        <w:t xml:space="preserve"> </w:t>
      </w:r>
      <w:r w:rsidRPr="003A5C41">
        <w:rPr>
          <w:rFonts w:eastAsia="TimesNewRomanPSMT"/>
          <w:szCs w:val="22"/>
          <w:lang w:eastAsia="en-US"/>
        </w:rPr>
        <w:t>deň každého 28-dňového cyklu. Pacienti v skupine placebo/dexametazón (placebo/dex) užívali 1 kapsulu</w:t>
      </w:r>
      <w:r w:rsidR="00954F57" w:rsidRPr="003A5C41">
        <w:rPr>
          <w:rFonts w:eastAsia="TimesNewRomanPSMT"/>
          <w:szCs w:val="22"/>
          <w:lang w:eastAsia="en-US"/>
        </w:rPr>
        <w:t xml:space="preserve"> </w:t>
      </w:r>
      <w:r w:rsidRPr="003A5C41">
        <w:rPr>
          <w:rFonts w:eastAsia="TimesNewRomanPSMT"/>
          <w:szCs w:val="22"/>
          <w:lang w:eastAsia="en-US"/>
        </w:rPr>
        <w:t>placeba denne v 1. až 28. deň každého 28-dňového cyklu. Pacienti v oboch liečebných skupinách užívali</w:t>
      </w:r>
      <w:r w:rsidR="00954F57" w:rsidRPr="003A5C41">
        <w:rPr>
          <w:rFonts w:eastAsia="TimesNewRomanPSMT"/>
          <w:szCs w:val="22"/>
          <w:lang w:eastAsia="en-US"/>
        </w:rPr>
        <w:t xml:space="preserve"> </w:t>
      </w:r>
      <w:r w:rsidRPr="003A5C41">
        <w:rPr>
          <w:rFonts w:eastAsia="TimesNewRomanPSMT"/>
          <w:szCs w:val="22"/>
          <w:lang w:eastAsia="en-US"/>
        </w:rPr>
        <w:t>40</w:t>
      </w:r>
      <w:r w:rsidR="00954F57" w:rsidRPr="003A5C41">
        <w:rPr>
          <w:rFonts w:eastAsia="TimesNewRomanPSMT"/>
          <w:szCs w:val="22"/>
          <w:lang w:eastAsia="en-US"/>
        </w:rPr>
        <w:t> </w:t>
      </w:r>
      <w:r w:rsidRPr="003A5C41">
        <w:rPr>
          <w:rFonts w:eastAsia="TimesNewRomanPSMT"/>
          <w:szCs w:val="22"/>
          <w:lang w:eastAsia="en-US"/>
        </w:rPr>
        <w:t>mg dexametazónu perorálne jedenkrát denne v 1. až 4., 9. až 12. a 17. až 20. deň každého 28-dňového</w:t>
      </w:r>
      <w:r w:rsidR="00954F57" w:rsidRPr="003A5C41">
        <w:rPr>
          <w:rFonts w:eastAsia="TimesNewRomanPSMT"/>
          <w:szCs w:val="22"/>
          <w:lang w:eastAsia="en-US"/>
        </w:rPr>
        <w:t xml:space="preserve"> </w:t>
      </w:r>
      <w:r w:rsidRPr="003A5C41">
        <w:rPr>
          <w:rFonts w:eastAsia="TimesNewRomanPSMT"/>
          <w:szCs w:val="22"/>
          <w:lang w:eastAsia="en-US"/>
        </w:rPr>
        <w:t>cyklu počas prvých 4 cyklov liečby. Po prvých 4 cykloch liečby bola dávka dexametazónu znížená na</w:t>
      </w:r>
      <w:r w:rsidR="00954F57" w:rsidRPr="003A5C41">
        <w:rPr>
          <w:rFonts w:eastAsia="TimesNewRomanPSMT"/>
          <w:szCs w:val="22"/>
          <w:lang w:eastAsia="en-US"/>
        </w:rPr>
        <w:t xml:space="preserve"> </w:t>
      </w:r>
      <w:r w:rsidRPr="003A5C41">
        <w:rPr>
          <w:rFonts w:eastAsia="TimesNewRomanPSMT"/>
          <w:szCs w:val="22"/>
          <w:lang w:eastAsia="en-US"/>
        </w:rPr>
        <w:t>40</w:t>
      </w:r>
      <w:r w:rsidR="00954F57" w:rsidRPr="003A5C41">
        <w:rPr>
          <w:rFonts w:eastAsia="TimesNewRomanPSMT"/>
          <w:szCs w:val="22"/>
          <w:lang w:eastAsia="en-US"/>
        </w:rPr>
        <w:t> </w:t>
      </w:r>
      <w:r w:rsidRPr="003A5C41">
        <w:rPr>
          <w:rFonts w:eastAsia="TimesNewRomanPSMT"/>
          <w:szCs w:val="22"/>
          <w:lang w:eastAsia="en-US"/>
        </w:rPr>
        <w:t xml:space="preserve"> mg perorálne jedenkrát denne v 1. až 4 deň každého 28-dňového cyklu. V oboch štúdiách sa s liečbou</w:t>
      </w:r>
      <w:r w:rsidR="00954F57" w:rsidRPr="003A5C41">
        <w:rPr>
          <w:rFonts w:eastAsia="TimesNewRomanPSMT"/>
          <w:szCs w:val="22"/>
          <w:lang w:eastAsia="en-US"/>
        </w:rPr>
        <w:t xml:space="preserve"> </w:t>
      </w:r>
      <w:r w:rsidRPr="003A5C41">
        <w:rPr>
          <w:rFonts w:eastAsia="TimesNewRomanPSMT"/>
          <w:szCs w:val="22"/>
          <w:lang w:eastAsia="en-US"/>
        </w:rPr>
        <w:t>pokračovalo až do progresie ochorenia. V oboch štúdiách bola povolená úprava dávkovania na základe</w:t>
      </w:r>
      <w:r w:rsidR="00954F57" w:rsidRPr="003A5C41">
        <w:rPr>
          <w:rFonts w:eastAsia="TimesNewRomanPSMT"/>
          <w:szCs w:val="22"/>
          <w:lang w:eastAsia="en-US"/>
        </w:rPr>
        <w:t xml:space="preserve"> </w:t>
      </w:r>
      <w:r w:rsidRPr="003A5C41">
        <w:rPr>
          <w:szCs w:val="22"/>
          <w:lang w:eastAsia="en-US"/>
        </w:rPr>
        <w:t>klinických a laboratórnych nálezov.</w:t>
      </w:r>
    </w:p>
    <w:p w14:paraId="1AB73BCC" w14:textId="77777777" w:rsidR="00F47B93" w:rsidRPr="003A5C41" w:rsidRDefault="00F47B93" w:rsidP="00C75A8C">
      <w:pPr>
        <w:autoSpaceDE w:val="0"/>
        <w:autoSpaceDN w:val="0"/>
        <w:adjustRightInd w:val="0"/>
        <w:ind w:left="0" w:firstLine="0"/>
        <w:rPr>
          <w:rFonts w:eastAsia="TimesNewRomanPSMT"/>
          <w:szCs w:val="22"/>
          <w:lang w:eastAsia="en-US"/>
        </w:rPr>
      </w:pPr>
    </w:p>
    <w:p w14:paraId="027DC7D9" w14:textId="717434A4" w:rsidR="00C427BA" w:rsidRPr="003A5C41" w:rsidRDefault="00C427BA" w:rsidP="00C427BA">
      <w:pPr>
        <w:autoSpaceDE w:val="0"/>
        <w:autoSpaceDN w:val="0"/>
        <w:adjustRightInd w:val="0"/>
        <w:ind w:left="0" w:firstLine="0"/>
        <w:rPr>
          <w:rFonts w:eastAsia="TimesNewRomanPSMT"/>
          <w:szCs w:val="22"/>
          <w:lang w:eastAsia="en-US"/>
        </w:rPr>
      </w:pPr>
      <w:r w:rsidRPr="003A5C41">
        <w:rPr>
          <w:rFonts w:eastAsia="TimesNewRomanPSMT"/>
          <w:szCs w:val="22"/>
          <w:lang w:eastAsia="en-US"/>
        </w:rPr>
        <w:t xml:space="preserve">Primárnym </w:t>
      </w:r>
      <w:r w:rsidR="00BA4679">
        <w:rPr>
          <w:rFonts w:eastAsia="TimesNewRomanPSMT"/>
          <w:szCs w:val="22"/>
          <w:lang w:eastAsia="en-US"/>
        </w:rPr>
        <w:t>koncovým ukazovateľom účinnosti</w:t>
      </w:r>
      <w:r w:rsidRPr="003A5C41">
        <w:rPr>
          <w:rFonts w:eastAsia="TimesNewRomanPSMT"/>
          <w:szCs w:val="22"/>
          <w:lang w:eastAsia="en-US"/>
        </w:rPr>
        <w:t xml:space="preserve"> v rámci hodnotenia účinnosti v oboch štúdiách bol čas do progresie (</w:t>
      </w:r>
      <w:r w:rsidRPr="003A5C41">
        <w:rPr>
          <w:rFonts w:eastAsia="TimesNewRomanPSMT"/>
          <w:i/>
          <w:iCs/>
          <w:szCs w:val="22"/>
          <w:lang w:eastAsia="en-US"/>
        </w:rPr>
        <w:t>Time To</w:t>
      </w:r>
      <w:r w:rsidR="00954F57" w:rsidRPr="003A5C41">
        <w:rPr>
          <w:rFonts w:eastAsia="TimesNewRomanPSMT"/>
          <w:i/>
          <w:iCs/>
          <w:szCs w:val="22"/>
          <w:lang w:eastAsia="en-US"/>
        </w:rPr>
        <w:t xml:space="preserve"> </w:t>
      </w:r>
      <w:r w:rsidRPr="003A5C41">
        <w:rPr>
          <w:rFonts w:eastAsia="TimesNewRomanPSMT"/>
          <w:i/>
          <w:iCs/>
          <w:szCs w:val="22"/>
          <w:lang w:eastAsia="en-US"/>
        </w:rPr>
        <w:t>Progression</w:t>
      </w:r>
      <w:r w:rsidRPr="003A5C41">
        <w:rPr>
          <w:rFonts w:eastAsia="TimesNewRomanPSMT"/>
          <w:szCs w:val="22"/>
          <w:lang w:eastAsia="en-US"/>
        </w:rPr>
        <w:t>, TTP). Celkove sa v štúdii MM-009 vyhodnotilo 353 pacientov; 177 v skupine len/dex a 176</w:t>
      </w:r>
      <w:r w:rsidR="00954F57" w:rsidRPr="003A5C41">
        <w:rPr>
          <w:rFonts w:eastAsia="TimesNewRomanPSMT"/>
          <w:szCs w:val="22"/>
          <w:lang w:eastAsia="en-US"/>
        </w:rPr>
        <w:t xml:space="preserve"> </w:t>
      </w:r>
      <w:r w:rsidRPr="003A5C41">
        <w:rPr>
          <w:rFonts w:eastAsia="TimesNewRomanPSMT"/>
          <w:szCs w:val="22"/>
          <w:lang w:eastAsia="en-US"/>
        </w:rPr>
        <w:t>v skupine placebo/dex a v štúdii MM-010 sa celkove vyhodnotilo 351 pacientov; 176 v skupine len/dex a</w:t>
      </w:r>
      <w:r w:rsidR="00954F57" w:rsidRPr="003A5C41">
        <w:rPr>
          <w:rFonts w:eastAsia="TimesNewRomanPSMT"/>
          <w:szCs w:val="22"/>
          <w:lang w:eastAsia="en-US"/>
        </w:rPr>
        <w:t xml:space="preserve"> </w:t>
      </w:r>
      <w:r w:rsidRPr="003A5C41">
        <w:rPr>
          <w:rFonts w:eastAsia="TimesNewRomanPSMT"/>
          <w:szCs w:val="22"/>
          <w:lang w:eastAsia="en-US"/>
        </w:rPr>
        <w:t>175 v skupine placebo/dex.</w:t>
      </w:r>
    </w:p>
    <w:p w14:paraId="2E686EEE" w14:textId="77777777" w:rsidR="00954F57" w:rsidRPr="003A5C41" w:rsidRDefault="00954F57" w:rsidP="00C427BA">
      <w:pPr>
        <w:autoSpaceDE w:val="0"/>
        <w:autoSpaceDN w:val="0"/>
        <w:adjustRightInd w:val="0"/>
        <w:ind w:left="0" w:firstLine="0"/>
        <w:rPr>
          <w:rFonts w:eastAsia="TimesNewRomanPSMT"/>
          <w:szCs w:val="22"/>
          <w:lang w:eastAsia="en-US"/>
        </w:rPr>
      </w:pPr>
    </w:p>
    <w:p w14:paraId="7774628C" w14:textId="32EB6BF1" w:rsidR="00C427BA" w:rsidRPr="003A5C41" w:rsidRDefault="00C427BA" w:rsidP="00C427BA">
      <w:pPr>
        <w:autoSpaceDE w:val="0"/>
        <w:autoSpaceDN w:val="0"/>
        <w:adjustRightInd w:val="0"/>
        <w:ind w:left="0" w:firstLine="0"/>
        <w:rPr>
          <w:rFonts w:eastAsia="TimesNewRomanPSMT"/>
          <w:szCs w:val="22"/>
          <w:lang w:eastAsia="en-US"/>
        </w:rPr>
      </w:pPr>
      <w:r w:rsidRPr="003A5C41">
        <w:rPr>
          <w:rFonts w:eastAsia="TimesNewRomanPSMT"/>
          <w:szCs w:val="22"/>
          <w:lang w:eastAsia="en-US"/>
        </w:rPr>
        <w:t xml:space="preserve">V oboch štúdiách boli </w:t>
      </w:r>
      <w:r w:rsidR="00BA4679">
        <w:rPr>
          <w:rFonts w:eastAsia="TimesNewRomanPSMT"/>
          <w:szCs w:val="22"/>
          <w:lang w:eastAsia="en-US"/>
        </w:rPr>
        <w:t>východiskové</w:t>
      </w:r>
      <w:r w:rsidRPr="003A5C41">
        <w:rPr>
          <w:rFonts w:eastAsia="TimesNewRomanPSMT"/>
          <w:szCs w:val="22"/>
          <w:lang w:eastAsia="en-US"/>
        </w:rPr>
        <w:t xml:space="preserve"> demografické vlastnosti a </w:t>
      </w:r>
      <w:r w:rsidR="00BA4679" w:rsidRPr="00BA4679">
        <w:rPr>
          <w:rFonts w:eastAsia="TimesNewRomanPSMT"/>
          <w:szCs w:val="22"/>
          <w:lang w:eastAsia="en-US"/>
        </w:rPr>
        <w:t>charakteristika súvisiaca s chorobou pacientov</w:t>
      </w:r>
      <w:r w:rsidRPr="003A5C41">
        <w:rPr>
          <w:rFonts w:eastAsia="TimesNewRomanPSMT"/>
          <w:szCs w:val="22"/>
          <w:lang w:eastAsia="en-US"/>
        </w:rPr>
        <w:t xml:space="preserve"> medzi</w:t>
      </w:r>
      <w:r w:rsidR="00954F57" w:rsidRPr="003A5C41">
        <w:rPr>
          <w:rFonts w:eastAsia="TimesNewRomanPSMT"/>
          <w:szCs w:val="22"/>
          <w:lang w:eastAsia="en-US"/>
        </w:rPr>
        <w:t xml:space="preserve"> </w:t>
      </w:r>
      <w:r w:rsidRPr="003A5C41">
        <w:rPr>
          <w:rFonts w:eastAsia="TimesNewRomanPSMT"/>
          <w:szCs w:val="22"/>
          <w:lang w:eastAsia="en-US"/>
        </w:rPr>
        <w:t>skupinami len/dex a placebo/dex porovnateľné. Obe skupiny pacientov predstavovali vekový medián</w:t>
      </w:r>
      <w:r w:rsidR="00954F57" w:rsidRPr="003A5C41">
        <w:rPr>
          <w:rFonts w:eastAsia="TimesNewRomanPSMT"/>
          <w:szCs w:val="22"/>
          <w:lang w:eastAsia="en-US"/>
        </w:rPr>
        <w:t xml:space="preserve"> </w:t>
      </w:r>
      <w:r w:rsidRPr="003A5C41">
        <w:rPr>
          <w:rFonts w:eastAsia="TimesNewRomanPSMT"/>
          <w:szCs w:val="22"/>
          <w:lang w:eastAsia="en-US"/>
        </w:rPr>
        <w:t>63 rokov, s porovnateľným pomerom mužov k ženám. Stav podľa kritérií ECOG (</w:t>
      </w:r>
      <w:r w:rsidRPr="003A5C41">
        <w:rPr>
          <w:rFonts w:eastAsia="TimesNewRomanPSMT"/>
          <w:i/>
          <w:iCs/>
          <w:szCs w:val="22"/>
          <w:lang w:eastAsia="en-US"/>
        </w:rPr>
        <w:t>Eastern Cooperative</w:t>
      </w:r>
      <w:r w:rsidR="00954F57" w:rsidRPr="003A5C41">
        <w:rPr>
          <w:rFonts w:eastAsia="TimesNewRomanPSMT"/>
          <w:i/>
          <w:iCs/>
          <w:szCs w:val="22"/>
          <w:lang w:eastAsia="en-US"/>
        </w:rPr>
        <w:t xml:space="preserve"> </w:t>
      </w:r>
      <w:r w:rsidRPr="003A5C41">
        <w:rPr>
          <w:rFonts w:eastAsia="TimesNewRomanPSMT"/>
          <w:i/>
          <w:iCs/>
          <w:szCs w:val="22"/>
          <w:lang w:eastAsia="en-US"/>
        </w:rPr>
        <w:t>Oncology Group</w:t>
      </w:r>
      <w:r w:rsidRPr="003A5C41">
        <w:rPr>
          <w:rFonts w:eastAsia="TimesNewRomanPSMT"/>
          <w:szCs w:val="22"/>
          <w:lang w:eastAsia="en-US"/>
        </w:rPr>
        <w:t>), ako aj počet a druh predchádzajúcich terapií, bol medzi oboma skupinami</w:t>
      </w:r>
      <w:r w:rsidR="00954F57" w:rsidRPr="003A5C41">
        <w:rPr>
          <w:rFonts w:eastAsia="TimesNewRomanPSMT"/>
          <w:szCs w:val="22"/>
          <w:lang w:eastAsia="en-US"/>
        </w:rPr>
        <w:t xml:space="preserve"> </w:t>
      </w:r>
      <w:r w:rsidRPr="003A5C41">
        <w:rPr>
          <w:rFonts w:eastAsia="TimesNewRomanPSMT"/>
          <w:szCs w:val="22"/>
          <w:lang w:eastAsia="en-US"/>
        </w:rPr>
        <w:t>porovnateľný.</w:t>
      </w:r>
    </w:p>
    <w:p w14:paraId="46F58DA5" w14:textId="77777777" w:rsidR="00954F57" w:rsidRPr="003A5C41" w:rsidRDefault="00954F57" w:rsidP="00C427BA">
      <w:pPr>
        <w:autoSpaceDE w:val="0"/>
        <w:autoSpaceDN w:val="0"/>
        <w:adjustRightInd w:val="0"/>
        <w:ind w:left="0" w:firstLine="0"/>
        <w:rPr>
          <w:rFonts w:eastAsia="TimesNewRomanPSMT"/>
          <w:szCs w:val="22"/>
          <w:lang w:eastAsia="en-US"/>
        </w:rPr>
      </w:pPr>
    </w:p>
    <w:p w14:paraId="5547C549" w14:textId="5F70DFF9" w:rsidR="00C427BA" w:rsidRPr="003A5C41" w:rsidRDefault="00C427BA" w:rsidP="00C427BA">
      <w:pPr>
        <w:autoSpaceDE w:val="0"/>
        <w:autoSpaceDN w:val="0"/>
        <w:adjustRightInd w:val="0"/>
        <w:ind w:left="0" w:firstLine="0"/>
        <w:rPr>
          <w:rFonts w:eastAsia="TimesNewRomanPSMT"/>
          <w:szCs w:val="22"/>
          <w:lang w:eastAsia="en-US"/>
        </w:rPr>
      </w:pPr>
      <w:r w:rsidRPr="003A5C41">
        <w:rPr>
          <w:rFonts w:eastAsia="TimesNewRomanPSMT"/>
          <w:szCs w:val="22"/>
          <w:lang w:eastAsia="en-US"/>
        </w:rPr>
        <w:t xml:space="preserve">Predbežná analýza oboch štúdií preukázala, že </w:t>
      </w:r>
      <w:r w:rsidR="00BA4679">
        <w:rPr>
          <w:rFonts w:eastAsia="TimesNewRomanPSMT"/>
          <w:szCs w:val="22"/>
          <w:lang w:eastAsia="en-US"/>
        </w:rPr>
        <w:t>vzhľadom na</w:t>
      </w:r>
      <w:r w:rsidRPr="003A5C41">
        <w:rPr>
          <w:rFonts w:eastAsia="TimesNewRomanPSMT"/>
          <w:szCs w:val="22"/>
          <w:lang w:eastAsia="en-US"/>
        </w:rPr>
        <w:t xml:space="preserve"> primárn</w:t>
      </w:r>
      <w:r w:rsidR="00BA4679">
        <w:rPr>
          <w:rFonts w:eastAsia="TimesNewRomanPSMT"/>
          <w:szCs w:val="22"/>
          <w:lang w:eastAsia="en-US"/>
        </w:rPr>
        <w:t xml:space="preserve">y </w:t>
      </w:r>
      <w:r w:rsidR="00BA4679" w:rsidRPr="00BA4679">
        <w:rPr>
          <w:rFonts w:eastAsia="TimesNewRomanPSMT"/>
          <w:szCs w:val="22"/>
          <w:lang w:eastAsia="en-US"/>
        </w:rPr>
        <w:t>koncový ukazovateľ</w:t>
      </w:r>
      <w:r w:rsidRPr="003A5C41">
        <w:rPr>
          <w:rFonts w:eastAsia="TimesNewRomanPSMT"/>
          <w:szCs w:val="22"/>
          <w:lang w:eastAsia="en-US"/>
        </w:rPr>
        <w:t>, čas do progresie</w:t>
      </w:r>
      <w:r w:rsidR="00954F57" w:rsidRPr="003A5C41">
        <w:rPr>
          <w:rFonts w:eastAsia="TimesNewRomanPSMT"/>
          <w:szCs w:val="22"/>
          <w:lang w:eastAsia="en-US"/>
        </w:rPr>
        <w:t xml:space="preserve"> </w:t>
      </w:r>
      <w:r w:rsidRPr="003A5C41">
        <w:rPr>
          <w:rFonts w:eastAsia="TimesNewRomanPSMT"/>
          <w:szCs w:val="22"/>
          <w:lang w:eastAsia="en-US"/>
        </w:rPr>
        <w:t>ochorenia TTP (medián sledovania 98,0 týždňov), bol len/dex štatisticky signifikantne lepší (p</w:t>
      </w:r>
      <w:r w:rsidR="00954F57" w:rsidRPr="003A5C41">
        <w:rPr>
          <w:rFonts w:eastAsia="TimesNewRomanPSMT"/>
          <w:szCs w:val="22"/>
          <w:lang w:eastAsia="en-US"/>
        </w:rPr>
        <w:t> </w:t>
      </w:r>
      <w:r w:rsidRPr="003A5C41">
        <w:rPr>
          <w:rFonts w:eastAsia="TimesNewRomanPSMT"/>
          <w:szCs w:val="22"/>
          <w:lang w:eastAsia="en-US"/>
        </w:rPr>
        <w:t>&lt;</w:t>
      </w:r>
      <w:r w:rsidR="00954F57" w:rsidRPr="003A5C41">
        <w:rPr>
          <w:rFonts w:eastAsia="TimesNewRomanPSMT"/>
          <w:szCs w:val="22"/>
          <w:lang w:eastAsia="en-US"/>
        </w:rPr>
        <w:t> </w:t>
      </w:r>
      <w:r w:rsidRPr="003A5C41">
        <w:rPr>
          <w:rFonts w:eastAsia="TimesNewRomanPSMT"/>
          <w:szCs w:val="22"/>
          <w:lang w:eastAsia="en-US"/>
        </w:rPr>
        <w:t>0,00001)</w:t>
      </w:r>
      <w:r w:rsidR="00954F57" w:rsidRPr="003A5C41">
        <w:rPr>
          <w:rFonts w:eastAsia="TimesNewRomanPSMT"/>
          <w:szCs w:val="22"/>
          <w:lang w:eastAsia="en-US"/>
        </w:rPr>
        <w:t xml:space="preserve"> </w:t>
      </w:r>
      <w:r w:rsidRPr="003A5C41">
        <w:rPr>
          <w:rFonts w:eastAsia="TimesNewRomanPSMT"/>
          <w:szCs w:val="22"/>
          <w:lang w:eastAsia="en-US"/>
        </w:rPr>
        <w:t>ako samotným dexametazón. Pomer kompletnej odpovede a celkovej odpovede bol v oboch štúdiách v</w:t>
      </w:r>
      <w:r w:rsidR="00954F57" w:rsidRPr="003A5C41">
        <w:rPr>
          <w:rFonts w:eastAsia="TimesNewRomanPSMT"/>
          <w:szCs w:val="22"/>
          <w:lang w:eastAsia="en-US"/>
        </w:rPr>
        <w:t xml:space="preserve"> </w:t>
      </w:r>
      <w:r w:rsidR="00DD1E44">
        <w:rPr>
          <w:rFonts w:eastAsia="TimesNewRomanPSMT"/>
          <w:szCs w:val="22"/>
          <w:lang w:eastAsia="en-US"/>
        </w:rPr>
        <w:t>skupine</w:t>
      </w:r>
      <w:r w:rsidRPr="003A5C41">
        <w:rPr>
          <w:rFonts w:eastAsia="TimesNewRomanPSMT"/>
          <w:szCs w:val="22"/>
          <w:lang w:eastAsia="en-US"/>
        </w:rPr>
        <w:t xml:space="preserve"> len/dex tiež signifikantne vyšší ako v skupine placebo/dex. Výsledky týchto analýz následne</w:t>
      </w:r>
      <w:r w:rsidR="00954F57" w:rsidRPr="003A5C41">
        <w:rPr>
          <w:rFonts w:eastAsia="TimesNewRomanPSMT"/>
          <w:szCs w:val="22"/>
          <w:lang w:eastAsia="en-US"/>
        </w:rPr>
        <w:t xml:space="preserve"> </w:t>
      </w:r>
      <w:r w:rsidRPr="003A5C41">
        <w:rPr>
          <w:rFonts w:eastAsia="TimesNewRomanPSMT"/>
          <w:szCs w:val="22"/>
          <w:lang w:eastAsia="en-US"/>
        </w:rPr>
        <w:t>viedli k odslepeniu oboch štúdií, aby pacientom zo skupiny placebo/dex mohla byť podávaná</w:t>
      </w:r>
      <w:r w:rsidR="00954F57" w:rsidRPr="003A5C41">
        <w:rPr>
          <w:rFonts w:eastAsia="TimesNewRomanPSMT"/>
          <w:szCs w:val="22"/>
          <w:lang w:eastAsia="en-US"/>
        </w:rPr>
        <w:t xml:space="preserve"> </w:t>
      </w:r>
      <w:r w:rsidRPr="003A5C41">
        <w:rPr>
          <w:rFonts w:eastAsia="TimesNewRomanPSMT"/>
          <w:szCs w:val="22"/>
          <w:lang w:eastAsia="en-US"/>
        </w:rPr>
        <w:t>kombinovaná liečba len/dex.</w:t>
      </w:r>
    </w:p>
    <w:p w14:paraId="3D687343" w14:textId="77777777" w:rsidR="00954F57" w:rsidRPr="003A5C41" w:rsidRDefault="00954F57" w:rsidP="00C427BA">
      <w:pPr>
        <w:autoSpaceDE w:val="0"/>
        <w:autoSpaceDN w:val="0"/>
        <w:adjustRightInd w:val="0"/>
        <w:ind w:left="0" w:firstLine="0"/>
        <w:rPr>
          <w:rFonts w:eastAsia="TimesNewRomanPSMT"/>
          <w:szCs w:val="22"/>
          <w:lang w:eastAsia="en-US"/>
        </w:rPr>
      </w:pPr>
    </w:p>
    <w:p w14:paraId="6B1AA0D6" w14:textId="77777777" w:rsidR="00C427BA" w:rsidRPr="003A5C41" w:rsidRDefault="00C427BA" w:rsidP="00C427BA">
      <w:pPr>
        <w:autoSpaceDE w:val="0"/>
        <w:autoSpaceDN w:val="0"/>
        <w:adjustRightInd w:val="0"/>
        <w:ind w:left="0" w:firstLine="0"/>
        <w:rPr>
          <w:rFonts w:eastAsia="TimesNewRomanPSMT"/>
          <w:szCs w:val="22"/>
          <w:lang w:eastAsia="en-US"/>
        </w:rPr>
      </w:pPr>
      <w:r w:rsidRPr="003A5C41">
        <w:rPr>
          <w:rFonts w:eastAsia="TimesNewRomanPSMT"/>
          <w:szCs w:val="22"/>
          <w:lang w:eastAsia="en-US"/>
        </w:rPr>
        <w:t>Vykonala sa rozšírená analýza účinnosti s mediánom sledovania 130,7 týždňov. Tabuľka 9 súhrnne</w:t>
      </w:r>
      <w:r w:rsidR="00954F57" w:rsidRPr="003A5C41">
        <w:rPr>
          <w:rFonts w:eastAsia="TimesNewRomanPSMT"/>
          <w:szCs w:val="22"/>
          <w:lang w:eastAsia="en-US"/>
        </w:rPr>
        <w:t xml:space="preserve"> </w:t>
      </w:r>
      <w:r w:rsidRPr="003A5C41">
        <w:rPr>
          <w:rFonts w:eastAsia="TimesNewRomanPSMT"/>
          <w:szCs w:val="22"/>
          <w:lang w:eastAsia="en-US"/>
        </w:rPr>
        <w:t>uvádza výsledky analýz účinnosti pokračovacej liečby – súhrnné štúdie MM-009 a MM-010.</w:t>
      </w:r>
    </w:p>
    <w:p w14:paraId="7799273A" w14:textId="77777777" w:rsidR="00954F57" w:rsidRPr="003A5C41" w:rsidRDefault="00954F57" w:rsidP="00C427BA">
      <w:pPr>
        <w:autoSpaceDE w:val="0"/>
        <w:autoSpaceDN w:val="0"/>
        <w:adjustRightInd w:val="0"/>
        <w:ind w:left="0" w:firstLine="0"/>
        <w:rPr>
          <w:rFonts w:eastAsia="TimesNewRomanPSMT"/>
          <w:szCs w:val="22"/>
          <w:lang w:eastAsia="en-US"/>
        </w:rPr>
      </w:pPr>
    </w:p>
    <w:p w14:paraId="4982D514" w14:textId="602FABB7" w:rsidR="00C427BA" w:rsidRPr="003A5C41" w:rsidRDefault="00C427BA" w:rsidP="00C427BA">
      <w:pPr>
        <w:autoSpaceDE w:val="0"/>
        <w:autoSpaceDN w:val="0"/>
        <w:adjustRightInd w:val="0"/>
        <w:ind w:left="0" w:firstLine="0"/>
        <w:rPr>
          <w:rFonts w:eastAsia="TimesNewRomanPSMT"/>
          <w:szCs w:val="22"/>
          <w:lang w:eastAsia="en-US"/>
        </w:rPr>
      </w:pPr>
      <w:r w:rsidRPr="003A5C41">
        <w:rPr>
          <w:rFonts w:eastAsia="TimesNewRomanPSMT"/>
          <w:szCs w:val="22"/>
          <w:lang w:eastAsia="en-US"/>
        </w:rPr>
        <w:t xml:space="preserve">V tejto súhrnnej rozšírenej analýze pokračovacej liečby bol medián TTP 60,1 týždňov (95% </w:t>
      </w:r>
      <w:r w:rsidR="000C6C7D">
        <w:rPr>
          <w:rFonts w:eastAsia="TimesNewRomanPSMT"/>
          <w:szCs w:val="22"/>
          <w:lang w:eastAsia="en-US"/>
        </w:rPr>
        <w:t>IS</w:t>
      </w:r>
      <w:r w:rsidRPr="003A5C41">
        <w:rPr>
          <w:rFonts w:eastAsia="TimesNewRomanPSMT"/>
          <w:szCs w:val="22"/>
          <w:lang w:eastAsia="en-US"/>
        </w:rPr>
        <w:t>: 44,3;</w:t>
      </w:r>
      <w:r w:rsidR="00954F57" w:rsidRPr="003A5C41">
        <w:rPr>
          <w:rFonts w:eastAsia="TimesNewRomanPSMT"/>
          <w:szCs w:val="22"/>
          <w:lang w:eastAsia="en-US"/>
        </w:rPr>
        <w:t xml:space="preserve"> </w:t>
      </w:r>
      <w:r w:rsidRPr="003A5C41">
        <w:rPr>
          <w:rFonts w:eastAsia="TimesNewRomanPSMT"/>
          <w:szCs w:val="22"/>
          <w:lang w:eastAsia="en-US"/>
        </w:rPr>
        <w:t xml:space="preserve">73,1) u pacientov liečených len/dex (N = 353) oproti 20,1 týždňom (95% </w:t>
      </w:r>
      <w:r w:rsidR="000C6C7D">
        <w:rPr>
          <w:rFonts w:eastAsia="TimesNewRomanPSMT"/>
          <w:szCs w:val="22"/>
          <w:lang w:eastAsia="en-US"/>
        </w:rPr>
        <w:t>IS</w:t>
      </w:r>
      <w:r w:rsidRPr="003A5C41">
        <w:rPr>
          <w:rFonts w:eastAsia="TimesNewRomanPSMT"/>
          <w:szCs w:val="22"/>
          <w:lang w:eastAsia="en-US"/>
        </w:rPr>
        <w:t>: 17,7; 20,3) u pacientov</w:t>
      </w:r>
      <w:r w:rsidR="00954F57" w:rsidRPr="003A5C41">
        <w:rPr>
          <w:rFonts w:eastAsia="TimesNewRomanPSMT"/>
          <w:szCs w:val="22"/>
          <w:lang w:eastAsia="en-US"/>
        </w:rPr>
        <w:t xml:space="preserve"> </w:t>
      </w:r>
      <w:r w:rsidRPr="003A5C41">
        <w:rPr>
          <w:rFonts w:eastAsia="TimesNewRomanPSMT"/>
          <w:szCs w:val="22"/>
          <w:lang w:eastAsia="en-US"/>
        </w:rPr>
        <w:t xml:space="preserve">liečených placebom/dex (N = 351). Medián prežitia bez progresie bol 48,1 týždňov (95% </w:t>
      </w:r>
      <w:r w:rsidR="000C6C7D">
        <w:rPr>
          <w:rFonts w:eastAsia="TimesNewRomanPSMT"/>
          <w:szCs w:val="22"/>
          <w:lang w:eastAsia="en-US"/>
        </w:rPr>
        <w:t>IS</w:t>
      </w:r>
      <w:r w:rsidRPr="003A5C41">
        <w:rPr>
          <w:rFonts w:eastAsia="TimesNewRomanPSMT"/>
          <w:szCs w:val="22"/>
          <w:lang w:eastAsia="en-US"/>
        </w:rPr>
        <w:t>: 36,4; 62,1)</w:t>
      </w:r>
      <w:r w:rsidR="00954F57" w:rsidRPr="003A5C41">
        <w:rPr>
          <w:rFonts w:eastAsia="TimesNewRomanPSMT"/>
          <w:szCs w:val="22"/>
          <w:lang w:eastAsia="en-US"/>
        </w:rPr>
        <w:t xml:space="preserve"> </w:t>
      </w:r>
      <w:r w:rsidRPr="003A5C41">
        <w:rPr>
          <w:rFonts w:eastAsia="TimesNewRomanPSMT"/>
          <w:szCs w:val="22"/>
          <w:lang w:eastAsia="en-US"/>
        </w:rPr>
        <w:t xml:space="preserve">u pacientov liečených len/dex oproti 20,0 týždňom (95% </w:t>
      </w:r>
      <w:r w:rsidR="000C6C7D">
        <w:rPr>
          <w:rFonts w:eastAsia="TimesNewRomanPSMT"/>
          <w:szCs w:val="22"/>
          <w:lang w:eastAsia="en-US"/>
        </w:rPr>
        <w:t>IS</w:t>
      </w:r>
      <w:r w:rsidRPr="003A5C41">
        <w:rPr>
          <w:rFonts w:eastAsia="TimesNewRomanPSMT"/>
          <w:szCs w:val="22"/>
          <w:lang w:eastAsia="en-US"/>
        </w:rPr>
        <w:t>: 16,1; 20,1) u pacientov liečených</w:t>
      </w:r>
      <w:r w:rsidR="00954F57" w:rsidRPr="003A5C41">
        <w:rPr>
          <w:rFonts w:eastAsia="TimesNewRomanPSMT"/>
          <w:szCs w:val="22"/>
          <w:lang w:eastAsia="en-US"/>
        </w:rPr>
        <w:t xml:space="preserve"> </w:t>
      </w:r>
      <w:r w:rsidRPr="003A5C41">
        <w:rPr>
          <w:rFonts w:eastAsia="TimesNewRomanPSMT"/>
          <w:szCs w:val="22"/>
          <w:lang w:eastAsia="en-US"/>
        </w:rPr>
        <w:t>placebom/dex. Medián trvania liečby bol 44,0 týždňov (min: 0,1; max: 254,9) pri len/dex a 23,1 týždňov</w:t>
      </w:r>
      <w:r w:rsidR="00954F57" w:rsidRPr="003A5C41">
        <w:rPr>
          <w:rFonts w:eastAsia="TimesNewRomanPSMT"/>
          <w:szCs w:val="22"/>
          <w:lang w:eastAsia="en-US"/>
        </w:rPr>
        <w:t xml:space="preserve"> </w:t>
      </w:r>
      <w:r w:rsidRPr="003A5C41">
        <w:rPr>
          <w:rFonts w:eastAsia="TimesNewRomanPSMT"/>
          <w:szCs w:val="22"/>
          <w:lang w:eastAsia="en-US"/>
        </w:rPr>
        <w:t>(min: 0,3 max: 238,1) pri placebe/dex. Hodnoty kompletnej odpovede (</w:t>
      </w:r>
      <w:r w:rsidRPr="003A5C41">
        <w:rPr>
          <w:rFonts w:eastAsia="TimesNewRomanPSMT"/>
          <w:i/>
          <w:iCs/>
          <w:szCs w:val="22"/>
          <w:lang w:eastAsia="en-US"/>
        </w:rPr>
        <w:t xml:space="preserve">Complete Response, </w:t>
      </w:r>
      <w:r w:rsidRPr="003A5C41">
        <w:rPr>
          <w:rFonts w:eastAsia="TimesNewRomanPSMT"/>
          <w:szCs w:val="22"/>
          <w:lang w:eastAsia="en-US"/>
        </w:rPr>
        <w:t>CR),</w:t>
      </w:r>
      <w:r w:rsidR="00954F57" w:rsidRPr="003A5C41">
        <w:rPr>
          <w:rFonts w:eastAsia="TimesNewRomanPSMT"/>
          <w:szCs w:val="22"/>
          <w:lang w:eastAsia="en-US"/>
        </w:rPr>
        <w:t xml:space="preserve"> </w:t>
      </w:r>
      <w:r w:rsidRPr="003A5C41">
        <w:rPr>
          <w:rFonts w:eastAsia="TimesNewRomanPSMT"/>
          <w:szCs w:val="22"/>
          <w:lang w:eastAsia="en-US"/>
        </w:rPr>
        <w:t>čiastočnej odpovede (</w:t>
      </w:r>
      <w:r w:rsidRPr="003A5C41">
        <w:rPr>
          <w:rFonts w:eastAsia="TimesNewRomanPSMT"/>
          <w:i/>
          <w:iCs/>
          <w:szCs w:val="22"/>
          <w:lang w:eastAsia="en-US"/>
        </w:rPr>
        <w:t xml:space="preserve">Partial Response, </w:t>
      </w:r>
      <w:r w:rsidRPr="003A5C41">
        <w:rPr>
          <w:rFonts w:eastAsia="TimesNewRomanPSMT"/>
          <w:szCs w:val="22"/>
          <w:lang w:eastAsia="en-US"/>
        </w:rPr>
        <w:t xml:space="preserve">PR) a celkovej odpovede (CR+PR) v </w:t>
      </w:r>
      <w:r w:rsidR="00DD1E44">
        <w:rPr>
          <w:rFonts w:eastAsia="TimesNewRomanPSMT"/>
          <w:szCs w:val="22"/>
          <w:lang w:eastAsia="en-US"/>
        </w:rPr>
        <w:t>skupine</w:t>
      </w:r>
      <w:r w:rsidRPr="003A5C41">
        <w:rPr>
          <w:rFonts w:eastAsia="TimesNewRomanPSMT"/>
          <w:szCs w:val="22"/>
          <w:lang w:eastAsia="en-US"/>
        </w:rPr>
        <w:t xml:space="preserve"> len/dex </w:t>
      </w:r>
      <w:r w:rsidRPr="003A5C41">
        <w:rPr>
          <w:rFonts w:eastAsia="TimesNewRomanPSMT"/>
          <w:szCs w:val="22"/>
          <w:lang w:eastAsia="en-US"/>
        </w:rPr>
        <w:lastRenderedPageBreak/>
        <w:t>zostali v</w:t>
      </w:r>
      <w:r w:rsidR="00954F57" w:rsidRPr="003A5C41">
        <w:rPr>
          <w:rFonts w:eastAsia="TimesNewRomanPSMT"/>
          <w:szCs w:val="22"/>
          <w:lang w:eastAsia="en-US"/>
        </w:rPr>
        <w:t xml:space="preserve"> </w:t>
      </w:r>
      <w:r w:rsidRPr="003A5C41">
        <w:rPr>
          <w:rFonts w:eastAsia="TimesNewRomanPSMT"/>
          <w:szCs w:val="22"/>
          <w:lang w:eastAsia="en-US"/>
        </w:rPr>
        <w:t>oboch štúdiách signifikantne vyššie ako v skupine placebo/dex. Medián celkového prežívania (</w:t>
      </w:r>
      <w:r w:rsidRPr="003A5C41">
        <w:rPr>
          <w:rFonts w:eastAsia="TimesNewRomanPSMT"/>
          <w:i/>
          <w:iCs/>
          <w:szCs w:val="22"/>
          <w:lang w:eastAsia="en-US"/>
        </w:rPr>
        <w:t>Overall</w:t>
      </w:r>
      <w:r w:rsidR="00954F57" w:rsidRPr="003A5C41">
        <w:rPr>
          <w:rFonts w:eastAsia="TimesNewRomanPSMT"/>
          <w:i/>
          <w:iCs/>
          <w:szCs w:val="22"/>
          <w:lang w:eastAsia="en-US"/>
        </w:rPr>
        <w:t xml:space="preserve"> </w:t>
      </w:r>
      <w:r w:rsidRPr="003A5C41">
        <w:rPr>
          <w:rFonts w:eastAsia="TimesNewRomanPSMT"/>
          <w:i/>
          <w:iCs/>
          <w:szCs w:val="22"/>
          <w:lang w:eastAsia="en-US"/>
        </w:rPr>
        <w:t>Survival</w:t>
      </w:r>
      <w:r w:rsidRPr="003A5C41">
        <w:rPr>
          <w:rFonts w:eastAsia="TimesNewRomanPSMT"/>
          <w:szCs w:val="22"/>
          <w:lang w:eastAsia="en-US"/>
        </w:rPr>
        <w:t xml:space="preserve">, OS) v rozšírenej analýze pokračovacej liečby súhrnných štúdií bol 164,3 týždňov (95% </w:t>
      </w:r>
      <w:r w:rsidR="000C6C7D">
        <w:rPr>
          <w:rFonts w:eastAsia="TimesNewRomanPSMT"/>
          <w:szCs w:val="22"/>
          <w:lang w:eastAsia="en-US"/>
        </w:rPr>
        <w:t>IS</w:t>
      </w:r>
      <w:r w:rsidRPr="003A5C41">
        <w:rPr>
          <w:rFonts w:eastAsia="TimesNewRomanPSMT"/>
          <w:szCs w:val="22"/>
          <w:lang w:eastAsia="en-US"/>
        </w:rPr>
        <w:t>:</w:t>
      </w:r>
      <w:r w:rsidR="00954F57" w:rsidRPr="003A5C41">
        <w:rPr>
          <w:rFonts w:eastAsia="TimesNewRomanPSMT"/>
          <w:szCs w:val="22"/>
          <w:lang w:eastAsia="en-US"/>
        </w:rPr>
        <w:t xml:space="preserve"> </w:t>
      </w:r>
      <w:r w:rsidRPr="003A5C41">
        <w:rPr>
          <w:rFonts w:eastAsia="TimesNewRomanPSMT"/>
          <w:szCs w:val="22"/>
          <w:lang w:eastAsia="en-US"/>
        </w:rPr>
        <w:t xml:space="preserve">145,1; 192,6) u pacientov liečených len/dex oproti 136,4 týždňom (95% </w:t>
      </w:r>
      <w:r w:rsidR="000C6C7D">
        <w:rPr>
          <w:rFonts w:eastAsia="TimesNewRomanPSMT"/>
          <w:szCs w:val="22"/>
          <w:lang w:eastAsia="en-US"/>
        </w:rPr>
        <w:t>IS</w:t>
      </w:r>
      <w:r w:rsidRPr="003A5C41">
        <w:rPr>
          <w:rFonts w:eastAsia="TimesNewRomanPSMT"/>
          <w:szCs w:val="22"/>
          <w:lang w:eastAsia="en-US"/>
        </w:rPr>
        <w:t>: 113,1; 161,7) u</w:t>
      </w:r>
      <w:r w:rsidR="00954F57" w:rsidRPr="003A5C41">
        <w:rPr>
          <w:rFonts w:eastAsia="TimesNewRomanPSMT"/>
          <w:szCs w:val="22"/>
          <w:lang w:eastAsia="en-US"/>
        </w:rPr>
        <w:t> </w:t>
      </w:r>
      <w:r w:rsidRPr="003A5C41">
        <w:rPr>
          <w:rFonts w:eastAsia="TimesNewRomanPSMT"/>
          <w:szCs w:val="22"/>
          <w:lang w:eastAsia="en-US"/>
        </w:rPr>
        <w:t>pacientov</w:t>
      </w:r>
      <w:r w:rsidR="00954F57" w:rsidRPr="003A5C41">
        <w:rPr>
          <w:rFonts w:eastAsia="TimesNewRomanPSMT"/>
          <w:szCs w:val="22"/>
          <w:lang w:eastAsia="en-US"/>
        </w:rPr>
        <w:t xml:space="preserve"> </w:t>
      </w:r>
      <w:r w:rsidRPr="003A5C41">
        <w:rPr>
          <w:rFonts w:eastAsia="TimesNewRomanPSMT"/>
          <w:szCs w:val="22"/>
          <w:lang w:eastAsia="en-US"/>
        </w:rPr>
        <w:t>liečených placebom/dex. Napriek tomu, že 170 z 351 pacientov randomizovaných pre placebo/dex užilo</w:t>
      </w:r>
      <w:r w:rsidR="00954F57" w:rsidRPr="003A5C41">
        <w:rPr>
          <w:rFonts w:eastAsia="TimesNewRomanPSMT"/>
          <w:szCs w:val="22"/>
          <w:lang w:eastAsia="en-US"/>
        </w:rPr>
        <w:t xml:space="preserve"> </w:t>
      </w:r>
      <w:r w:rsidRPr="003A5C41">
        <w:rPr>
          <w:rFonts w:eastAsia="TimesNewRomanPSMT"/>
          <w:szCs w:val="22"/>
          <w:lang w:eastAsia="en-US"/>
        </w:rPr>
        <w:t>lenalidomid po progresii ochorenia alebo po otvorení štúdií, súhrnná analýza celkového prežívania</w:t>
      </w:r>
      <w:r w:rsidR="00954F57" w:rsidRPr="003A5C41">
        <w:rPr>
          <w:rFonts w:eastAsia="TimesNewRomanPSMT"/>
          <w:szCs w:val="22"/>
          <w:lang w:eastAsia="en-US"/>
        </w:rPr>
        <w:t xml:space="preserve"> </w:t>
      </w:r>
      <w:r w:rsidRPr="003A5C41">
        <w:rPr>
          <w:rFonts w:eastAsia="TimesNewRomanPSMT"/>
          <w:szCs w:val="22"/>
          <w:lang w:eastAsia="en-US"/>
        </w:rPr>
        <w:t>preukázala štatisticky signifikantne lepšie prežívanie pri len/dex v porovnaní s placebom/dex (pomer</w:t>
      </w:r>
      <w:r w:rsidR="00954F57" w:rsidRPr="003A5C41">
        <w:rPr>
          <w:rFonts w:eastAsia="TimesNewRomanPSMT"/>
          <w:szCs w:val="22"/>
          <w:lang w:eastAsia="en-US"/>
        </w:rPr>
        <w:t xml:space="preserve"> </w:t>
      </w:r>
      <w:r w:rsidRPr="003A5C41">
        <w:rPr>
          <w:rFonts w:eastAsia="TimesNewRomanPSMT"/>
          <w:szCs w:val="22"/>
          <w:lang w:eastAsia="en-US"/>
        </w:rPr>
        <w:t>rizika [</w:t>
      </w:r>
      <w:r w:rsidRPr="003A5C41">
        <w:rPr>
          <w:rFonts w:eastAsia="TimesNewRomanPSMT"/>
          <w:i/>
          <w:iCs/>
          <w:szCs w:val="22"/>
          <w:lang w:eastAsia="en-US"/>
        </w:rPr>
        <w:t xml:space="preserve">Hazard Ratio, </w:t>
      </w:r>
      <w:r w:rsidRPr="003A5C41">
        <w:rPr>
          <w:rFonts w:eastAsia="TimesNewRomanPSMT"/>
          <w:szCs w:val="22"/>
          <w:lang w:eastAsia="en-US"/>
        </w:rPr>
        <w:t xml:space="preserve">HR] = 0,833; 95% </w:t>
      </w:r>
      <w:r w:rsidR="000C6C7D">
        <w:rPr>
          <w:rFonts w:eastAsia="TimesNewRomanPSMT"/>
          <w:szCs w:val="22"/>
          <w:lang w:eastAsia="en-US"/>
        </w:rPr>
        <w:t>IS</w:t>
      </w:r>
      <w:r w:rsidR="000C6C7D" w:rsidRPr="003A5C41">
        <w:rPr>
          <w:rFonts w:eastAsia="TimesNewRomanPSMT"/>
          <w:szCs w:val="22"/>
          <w:lang w:eastAsia="en-US"/>
        </w:rPr>
        <w:t xml:space="preserve"> </w:t>
      </w:r>
      <w:r w:rsidRPr="003A5C41">
        <w:rPr>
          <w:rFonts w:eastAsia="TimesNewRomanPSMT"/>
          <w:szCs w:val="22"/>
          <w:lang w:eastAsia="en-US"/>
        </w:rPr>
        <w:t>= [0,687; 1,009], p = 0,045).</w:t>
      </w:r>
    </w:p>
    <w:p w14:paraId="3B354798" w14:textId="77777777" w:rsidR="00954F57" w:rsidRPr="003A5C41" w:rsidRDefault="00954F57" w:rsidP="00C427BA">
      <w:pPr>
        <w:autoSpaceDE w:val="0"/>
        <w:autoSpaceDN w:val="0"/>
        <w:adjustRightInd w:val="0"/>
        <w:ind w:left="0" w:firstLine="0"/>
        <w:rPr>
          <w:rFonts w:eastAsia="TimesNewRomanPSMT"/>
          <w:szCs w:val="22"/>
          <w:lang w:eastAsia="en-US"/>
        </w:rPr>
      </w:pPr>
    </w:p>
    <w:p w14:paraId="06085835" w14:textId="77777777" w:rsidR="00F47B93" w:rsidRPr="003A5C41" w:rsidRDefault="00C427BA" w:rsidP="00C427BA">
      <w:pPr>
        <w:autoSpaceDE w:val="0"/>
        <w:autoSpaceDN w:val="0"/>
        <w:adjustRightInd w:val="0"/>
        <w:ind w:left="0" w:firstLine="0"/>
        <w:rPr>
          <w:rFonts w:eastAsia="TimesNewRomanPSMT"/>
          <w:szCs w:val="22"/>
          <w:lang w:eastAsia="en-US"/>
        </w:rPr>
      </w:pPr>
      <w:r w:rsidRPr="003A5C41">
        <w:rPr>
          <w:rFonts w:eastAsia="TimesNewRomanPSMT"/>
          <w:b/>
          <w:bCs/>
          <w:szCs w:val="22"/>
          <w:lang w:eastAsia="en-US"/>
        </w:rPr>
        <w:t>Tabuľka 9. Súhrn výsledkov analýzy účinnosti od dátumu ukončenia rozšírenej pokračovacej</w:t>
      </w:r>
      <w:r w:rsidR="00954F57" w:rsidRPr="003A5C41">
        <w:rPr>
          <w:rFonts w:eastAsia="TimesNewRomanPSMT"/>
          <w:b/>
          <w:bCs/>
          <w:szCs w:val="22"/>
          <w:lang w:eastAsia="en-US"/>
        </w:rPr>
        <w:t xml:space="preserve"> liečby — </w:t>
      </w:r>
      <w:r w:rsidRPr="003A5C41">
        <w:rPr>
          <w:rFonts w:eastAsia="TimesNewRomanPSMT"/>
          <w:b/>
          <w:bCs/>
          <w:szCs w:val="22"/>
          <w:lang w:eastAsia="en-US"/>
        </w:rPr>
        <w:t>súhrnné štúdie MM-009 a MM-010 (ukončenie 23. júla 2008 a 2. marca 2008, v uvedenom</w:t>
      </w:r>
      <w:r w:rsidR="00954F57" w:rsidRPr="003A5C41">
        <w:rPr>
          <w:rFonts w:eastAsia="TimesNewRomanPSMT"/>
          <w:b/>
          <w:bCs/>
          <w:szCs w:val="22"/>
          <w:lang w:eastAsia="en-US"/>
        </w:rPr>
        <w:t xml:space="preserve"> </w:t>
      </w:r>
      <w:r w:rsidRPr="003A5C41">
        <w:rPr>
          <w:rFonts w:eastAsia="TimesNewRomanPSMT"/>
          <w:b/>
          <w:bCs/>
          <w:szCs w:val="22"/>
          <w:lang w:eastAsia="en-US"/>
        </w:rPr>
        <w:t>poradí)</w:t>
      </w:r>
    </w:p>
    <w:p w14:paraId="092C8F65" w14:textId="77777777" w:rsidR="00F47B93" w:rsidRPr="003A5C41" w:rsidRDefault="00F47B93" w:rsidP="00C75A8C">
      <w:pPr>
        <w:autoSpaceDE w:val="0"/>
        <w:autoSpaceDN w:val="0"/>
        <w:adjustRightInd w:val="0"/>
        <w:ind w:left="0" w:firstLine="0"/>
        <w:rPr>
          <w:rFonts w:eastAsia="TimesNewRomanPSMT"/>
          <w:szCs w:val="22"/>
          <w:lang w:eastAsia="en-US"/>
        </w:rPr>
      </w:pPr>
    </w:p>
    <w:tbl>
      <w:tblPr>
        <w:tblW w:w="9183" w:type="dxa"/>
        <w:tblInd w:w="107" w:type="dxa"/>
        <w:tblLayout w:type="fixed"/>
        <w:tblCellMar>
          <w:left w:w="0" w:type="dxa"/>
          <w:right w:w="0" w:type="dxa"/>
        </w:tblCellMar>
        <w:tblLook w:val="0000" w:firstRow="0" w:lastRow="0" w:firstColumn="0" w:lastColumn="0" w:noHBand="0" w:noVBand="0"/>
      </w:tblPr>
      <w:tblGrid>
        <w:gridCol w:w="3025"/>
        <w:gridCol w:w="1620"/>
        <w:gridCol w:w="1595"/>
        <w:gridCol w:w="2943"/>
      </w:tblGrid>
      <w:tr w:rsidR="00954F57" w:rsidRPr="003A5C41" w14:paraId="6EC0ABA4" w14:textId="77777777" w:rsidTr="00954F57">
        <w:trPr>
          <w:trHeight w:hRule="exact" w:val="521"/>
        </w:trPr>
        <w:tc>
          <w:tcPr>
            <w:tcW w:w="3025" w:type="dxa"/>
            <w:tcBorders>
              <w:top w:val="single" w:sz="5" w:space="0" w:color="000000"/>
              <w:left w:val="single" w:sz="5" w:space="0" w:color="000000"/>
              <w:bottom w:val="single" w:sz="5" w:space="0" w:color="000000"/>
              <w:right w:val="single" w:sz="5" w:space="0" w:color="000000"/>
            </w:tcBorders>
          </w:tcPr>
          <w:p w14:paraId="51DF4B0F" w14:textId="49EF2D19" w:rsidR="00954F57" w:rsidRPr="003A5C41" w:rsidRDefault="00954F57" w:rsidP="00893070">
            <w:pPr>
              <w:pStyle w:val="TableParagraph"/>
              <w:kinsoku w:val="0"/>
              <w:overflowPunct w:val="0"/>
              <w:spacing w:line="252" w:lineRule="exact"/>
              <w:ind w:left="330" w:right="330"/>
              <w:rPr>
                <w:lang w:val="sk-SK"/>
              </w:rPr>
            </w:pPr>
            <w:r w:rsidRPr="003A5C41">
              <w:rPr>
                <w:b/>
                <w:bCs/>
                <w:sz w:val="22"/>
                <w:szCs w:val="22"/>
                <w:lang w:val="sk-SK"/>
              </w:rPr>
              <w:t>Cieľ</w:t>
            </w:r>
            <w:r w:rsidR="006562CC">
              <w:rPr>
                <w:b/>
                <w:bCs/>
                <w:sz w:val="22"/>
                <w:szCs w:val="22"/>
                <w:lang w:val="sk-SK"/>
              </w:rPr>
              <w:t>ový ukazovateľ</w:t>
            </w:r>
            <w:r w:rsidRPr="003A5C41">
              <w:rPr>
                <w:b/>
                <w:bCs/>
                <w:sz w:val="22"/>
                <w:szCs w:val="22"/>
                <w:lang w:val="sk-SK"/>
              </w:rPr>
              <w:t xml:space="preserve"> liečby</w:t>
            </w:r>
          </w:p>
        </w:tc>
        <w:tc>
          <w:tcPr>
            <w:tcW w:w="1620" w:type="dxa"/>
            <w:tcBorders>
              <w:top w:val="single" w:sz="5" w:space="0" w:color="000000"/>
              <w:left w:val="single" w:sz="5" w:space="0" w:color="000000"/>
              <w:bottom w:val="single" w:sz="5" w:space="0" w:color="000000"/>
              <w:right w:val="single" w:sz="5" w:space="0" w:color="000000"/>
            </w:tcBorders>
          </w:tcPr>
          <w:p w14:paraId="7E4F4EFE" w14:textId="77777777" w:rsidR="00954F57" w:rsidRPr="003A5C41" w:rsidRDefault="00954F57" w:rsidP="00893070">
            <w:pPr>
              <w:pStyle w:val="TableParagraph"/>
              <w:kinsoku w:val="0"/>
              <w:overflowPunct w:val="0"/>
              <w:ind w:left="420" w:right="405" w:firstLine="43"/>
              <w:rPr>
                <w:lang w:val="sk-SK"/>
              </w:rPr>
            </w:pPr>
            <w:r w:rsidRPr="003A5C41">
              <w:rPr>
                <w:b/>
                <w:bCs/>
                <w:sz w:val="22"/>
                <w:szCs w:val="22"/>
                <w:lang w:val="sk-SK"/>
              </w:rPr>
              <w:t>len/dex (N=353)</w:t>
            </w:r>
          </w:p>
        </w:tc>
        <w:tc>
          <w:tcPr>
            <w:tcW w:w="1595" w:type="dxa"/>
            <w:tcBorders>
              <w:top w:val="single" w:sz="5" w:space="0" w:color="000000"/>
              <w:left w:val="single" w:sz="5" w:space="0" w:color="000000"/>
              <w:bottom w:val="single" w:sz="5" w:space="0" w:color="000000"/>
              <w:right w:val="single" w:sz="5" w:space="0" w:color="000000"/>
            </w:tcBorders>
          </w:tcPr>
          <w:p w14:paraId="43967097" w14:textId="77777777" w:rsidR="00954F57" w:rsidRPr="003A5C41" w:rsidRDefault="00954F57" w:rsidP="00893070">
            <w:pPr>
              <w:pStyle w:val="TableParagraph"/>
              <w:kinsoku w:val="0"/>
              <w:overflowPunct w:val="0"/>
              <w:ind w:left="407" w:right="217" w:hanging="175"/>
              <w:rPr>
                <w:lang w:val="sk-SK"/>
              </w:rPr>
            </w:pPr>
            <w:r w:rsidRPr="003A5C41">
              <w:rPr>
                <w:b/>
                <w:bCs/>
                <w:sz w:val="22"/>
                <w:szCs w:val="22"/>
                <w:lang w:val="sk-SK"/>
              </w:rPr>
              <w:t>placebo/dex (N=351)</w:t>
            </w:r>
          </w:p>
        </w:tc>
        <w:tc>
          <w:tcPr>
            <w:tcW w:w="2943" w:type="dxa"/>
            <w:tcBorders>
              <w:top w:val="single" w:sz="5" w:space="0" w:color="000000"/>
              <w:left w:val="single" w:sz="5" w:space="0" w:color="000000"/>
              <w:bottom w:val="single" w:sz="5" w:space="0" w:color="000000"/>
              <w:right w:val="single" w:sz="5" w:space="0" w:color="000000"/>
            </w:tcBorders>
          </w:tcPr>
          <w:p w14:paraId="7D6A36AE" w14:textId="77777777" w:rsidR="00954F57" w:rsidRPr="003A5C41" w:rsidRDefault="00954F57"/>
        </w:tc>
      </w:tr>
      <w:tr w:rsidR="00954F57" w:rsidRPr="003A5C41" w14:paraId="275437A3" w14:textId="77777777" w:rsidTr="00954F57">
        <w:trPr>
          <w:trHeight w:hRule="exact" w:val="751"/>
        </w:trPr>
        <w:tc>
          <w:tcPr>
            <w:tcW w:w="3025" w:type="dxa"/>
            <w:tcBorders>
              <w:top w:val="single" w:sz="5" w:space="0" w:color="000000"/>
              <w:left w:val="single" w:sz="5" w:space="0" w:color="000000"/>
              <w:bottom w:val="single" w:sz="5" w:space="0" w:color="000000"/>
              <w:right w:val="single" w:sz="5" w:space="0" w:color="000000"/>
            </w:tcBorders>
          </w:tcPr>
          <w:p w14:paraId="6BD9AD29" w14:textId="77777777" w:rsidR="00954F57" w:rsidRPr="003A5C41" w:rsidRDefault="00954F57">
            <w:pPr>
              <w:pStyle w:val="TableParagraph"/>
              <w:kinsoku w:val="0"/>
              <w:overflowPunct w:val="0"/>
              <w:spacing w:before="1"/>
              <w:ind w:left="330" w:right="331"/>
              <w:rPr>
                <w:lang w:val="sk-SK"/>
              </w:rPr>
            </w:pPr>
            <w:r w:rsidRPr="003A5C41">
              <w:rPr>
                <w:b/>
                <w:bCs/>
                <w:sz w:val="22"/>
                <w:szCs w:val="22"/>
                <w:lang w:val="sk-SK"/>
              </w:rPr>
              <w:t>Čas do udalosti</w:t>
            </w:r>
          </w:p>
        </w:tc>
        <w:tc>
          <w:tcPr>
            <w:tcW w:w="1620" w:type="dxa"/>
            <w:tcBorders>
              <w:top w:val="single" w:sz="5" w:space="0" w:color="000000"/>
              <w:left w:val="single" w:sz="5" w:space="0" w:color="000000"/>
              <w:bottom w:val="single" w:sz="5" w:space="0" w:color="000000"/>
              <w:right w:val="single" w:sz="5" w:space="0" w:color="000000"/>
            </w:tcBorders>
          </w:tcPr>
          <w:p w14:paraId="18D4F748" w14:textId="77777777" w:rsidR="00954F57" w:rsidRPr="003A5C41" w:rsidRDefault="00954F57"/>
        </w:tc>
        <w:tc>
          <w:tcPr>
            <w:tcW w:w="1595" w:type="dxa"/>
            <w:tcBorders>
              <w:top w:val="single" w:sz="5" w:space="0" w:color="000000"/>
              <w:left w:val="single" w:sz="5" w:space="0" w:color="000000"/>
              <w:bottom w:val="single" w:sz="5" w:space="0" w:color="000000"/>
              <w:right w:val="single" w:sz="5" w:space="0" w:color="000000"/>
            </w:tcBorders>
          </w:tcPr>
          <w:p w14:paraId="3D1F4286" w14:textId="77777777" w:rsidR="00954F57" w:rsidRPr="003A5C41" w:rsidRDefault="00954F57"/>
        </w:tc>
        <w:tc>
          <w:tcPr>
            <w:tcW w:w="2943" w:type="dxa"/>
            <w:tcBorders>
              <w:top w:val="single" w:sz="5" w:space="0" w:color="000000"/>
              <w:left w:val="single" w:sz="5" w:space="0" w:color="000000"/>
              <w:bottom w:val="single" w:sz="5" w:space="0" w:color="000000"/>
              <w:right w:val="single" w:sz="5" w:space="0" w:color="000000"/>
            </w:tcBorders>
          </w:tcPr>
          <w:p w14:paraId="7347DF73" w14:textId="1FDB7B6D" w:rsidR="00954F57" w:rsidRPr="003A5C41" w:rsidRDefault="00954F57" w:rsidP="00954F57">
            <w:pPr>
              <w:pStyle w:val="TableParagraph"/>
              <w:kinsoku w:val="0"/>
              <w:overflowPunct w:val="0"/>
              <w:spacing w:line="254" w:lineRule="exact"/>
              <w:ind w:left="204"/>
              <w:rPr>
                <w:lang w:val="sk-SK"/>
              </w:rPr>
            </w:pPr>
            <w:r w:rsidRPr="003A5C41">
              <w:rPr>
                <w:b/>
                <w:bCs/>
                <w:sz w:val="22"/>
                <w:szCs w:val="22"/>
                <w:lang w:val="sk-SK"/>
              </w:rPr>
              <w:t>HR [95% I</w:t>
            </w:r>
            <w:r w:rsidR="006562CC">
              <w:rPr>
                <w:b/>
                <w:bCs/>
                <w:sz w:val="22"/>
                <w:szCs w:val="22"/>
                <w:lang w:val="sk-SK"/>
              </w:rPr>
              <w:t>S</w:t>
            </w:r>
            <w:r w:rsidRPr="003A5C41">
              <w:rPr>
                <w:b/>
                <w:bCs/>
                <w:sz w:val="22"/>
                <w:szCs w:val="22"/>
                <w:lang w:val="sk-SK"/>
              </w:rPr>
              <w:t>], p-hodnota</w:t>
            </w:r>
            <w:r w:rsidRPr="003A5C41">
              <w:rPr>
                <w:position w:val="8"/>
                <w:sz w:val="14"/>
                <w:szCs w:val="14"/>
                <w:lang w:val="sk-SK"/>
              </w:rPr>
              <w:t>a</w:t>
            </w:r>
          </w:p>
        </w:tc>
      </w:tr>
      <w:tr w:rsidR="00954F57" w:rsidRPr="003A5C41" w14:paraId="5C83D853" w14:textId="77777777" w:rsidTr="00954F57">
        <w:trPr>
          <w:trHeight w:hRule="exact" w:val="521"/>
        </w:trPr>
        <w:tc>
          <w:tcPr>
            <w:tcW w:w="3025" w:type="dxa"/>
            <w:tcBorders>
              <w:top w:val="single" w:sz="5" w:space="0" w:color="000000"/>
              <w:left w:val="single" w:sz="5" w:space="0" w:color="000000"/>
              <w:bottom w:val="single" w:sz="5" w:space="0" w:color="000000"/>
              <w:right w:val="single" w:sz="5" w:space="0" w:color="000000"/>
            </w:tcBorders>
          </w:tcPr>
          <w:p w14:paraId="64E7419A" w14:textId="77777777" w:rsidR="00954F57" w:rsidRPr="003A5C41" w:rsidRDefault="00954F57">
            <w:pPr>
              <w:pStyle w:val="TableParagraph"/>
              <w:kinsoku w:val="0"/>
              <w:overflowPunct w:val="0"/>
              <w:spacing w:line="252" w:lineRule="exact"/>
              <w:ind w:left="330" w:right="330"/>
              <w:rPr>
                <w:sz w:val="22"/>
                <w:szCs w:val="22"/>
                <w:lang w:val="sk-SK"/>
              </w:rPr>
            </w:pPr>
            <w:r w:rsidRPr="003A5C41">
              <w:rPr>
                <w:sz w:val="22"/>
                <w:szCs w:val="22"/>
                <w:lang w:val="sk-SK"/>
              </w:rPr>
              <w:t>Čas do progresie</w:t>
            </w:r>
          </w:p>
          <w:p w14:paraId="16CCA589" w14:textId="421AC64F" w:rsidR="00954F57" w:rsidRPr="003A5C41" w:rsidRDefault="00954F57" w:rsidP="00954F57">
            <w:pPr>
              <w:pStyle w:val="TableParagraph"/>
              <w:kinsoku w:val="0"/>
              <w:overflowPunct w:val="0"/>
              <w:spacing w:before="1"/>
              <w:ind w:left="330" w:right="335"/>
              <w:rPr>
                <w:lang w:val="sk-SK"/>
              </w:rPr>
            </w:pPr>
            <w:r w:rsidRPr="003A5C41">
              <w:rPr>
                <w:sz w:val="22"/>
                <w:szCs w:val="22"/>
                <w:lang w:val="sk-SK"/>
              </w:rPr>
              <w:t>Medián [95% I</w:t>
            </w:r>
            <w:r w:rsidR="006562CC">
              <w:rPr>
                <w:sz w:val="22"/>
                <w:szCs w:val="22"/>
                <w:lang w:val="sk-SK"/>
              </w:rPr>
              <w:t>S</w:t>
            </w:r>
            <w:r w:rsidRPr="003A5C41">
              <w:rPr>
                <w:sz w:val="22"/>
                <w:szCs w:val="22"/>
                <w:lang w:val="sk-SK"/>
              </w:rPr>
              <w:t>], týždne</w:t>
            </w:r>
          </w:p>
        </w:tc>
        <w:tc>
          <w:tcPr>
            <w:tcW w:w="1620" w:type="dxa"/>
            <w:tcBorders>
              <w:top w:val="single" w:sz="5" w:space="0" w:color="000000"/>
              <w:left w:val="single" w:sz="5" w:space="0" w:color="000000"/>
              <w:bottom w:val="single" w:sz="5" w:space="0" w:color="000000"/>
              <w:right w:val="single" w:sz="5" w:space="0" w:color="000000"/>
            </w:tcBorders>
          </w:tcPr>
          <w:p w14:paraId="43F74486" w14:textId="77777777" w:rsidR="00954F57" w:rsidRPr="003A5C41" w:rsidRDefault="00954F57" w:rsidP="00954F57">
            <w:pPr>
              <w:pStyle w:val="TableParagraph"/>
              <w:kinsoku w:val="0"/>
              <w:overflowPunct w:val="0"/>
              <w:spacing w:line="252" w:lineRule="exact"/>
              <w:ind w:left="190" w:right="193"/>
              <w:rPr>
                <w:sz w:val="22"/>
                <w:szCs w:val="22"/>
                <w:lang w:val="sk-SK"/>
              </w:rPr>
            </w:pPr>
            <w:r w:rsidRPr="003A5C41">
              <w:rPr>
                <w:sz w:val="22"/>
                <w:szCs w:val="22"/>
                <w:lang w:val="sk-SK"/>
              </w:rPr>
              <w:t xml:space="preserve">60,1 </w:t>
            </w:r>
          </w:p>
          <w:p w14:paraId="000C94A9" w14:textId="77777777" w:rsidR="00954F57" w:rsidRPr="003A5C41" w:rsidRDefault="00954F57" w:rsidP="00954F57">
            <w:pPr>
              <w:pStyle w:val="TableParagraph"/>
              <w:kinsoku w:val="0"/>
              <w:overflowPunct w:val="0"/>
              <w:spacing w:line="252" w:lineRule="exact"/>
              <w:ind w:left="190" w:right="193"/>
              <w:rPr>
                <w:lang w:val="sk-SK"/>
              </w:rPr>
            </w:pPr>
            <w:r w:rsidRPr="003A5C41">
              <w:rPr>
                <w:sz w:val="22"/>
                <w:szCs w:val="22"/>
                <w:lang w:val="sk-SK"/>
              </w:rPr>
              <w:t>[44,3; 73,1]</w:t>
            </w:r>
          </w:p>
        </w:tc>
        <w:tc>
          <w:tcPr>
            <w:tcW w:w="1595" w:type="dxa"/>
            <w:tcBorders>
              <w:top w:val="single" w:sz="5" w:space="0" w:color="000000"/>
              <w:left w:val="single" w:sz="5" w:space="0" w:color="000000"/>
              <w:bottom w:val="single" w:sz="5" w:space="0" w:color="000000"/>
              <w:right w:val="single" w:sz="5" w:space="0" w:color="000000"/>
            </w:tcBorders>
          </w:tcPr>
          <w:p w14:paraId="7DAFD1E9" w14:textId="77777777" w:rsidR="00954F57" w:rsidRPr="003A5C41" w:rsidRDefault="00954F57">
            <w:pPr>
              <w:pStyle w:val="TableParagraph"/>
              <w:kinsoku w:val="0"/>
              <w:overflowPunct w:val="0"/>
              <w:spacing w:line="252" w:lineRule="exact"/>
              <w:ind w:right="181"/>
              <w:rPr>
                <w:sz w:val="22"/>
                <w:szCs w:val="22"/>
                <w:lang w:val="sk-SK"/>
              </w:rPr>
            </w:pPr>
            <w:r w:rsidRPr="003A5C41">
              <w:rPr>
                <w:sz w:val="22"/>
                <w:szCs w:val="22"/>
                <w:lang w:val="sk-SK"/>
              </w:rPr>
              <w:t xml:space="preserve">20,1 </w:t>
            </w:r>
          </w:p>
          <w:p w14:paraId="5D14D287" w14:textId="77777777" w:rsidR="00954F57" w:rsidRPr="003A5C41" w:rsidRDefault="00954F57" w:rsidP="00954F57">
            <w:pPr>
              <w:pStyle w:val="TableParagraph"/>
              <w:kinsoku w:val="0"/>
              <w:overflowPunct w:val="0"/>
              <w:spacing w:line="252" w:lineRule="exact"/>
              <w:ind w:right="181"/>
              <w:rPr>
                <w:lang w:val="sk-SK"/>
              </w:rPr>
            </w:pPr>
            <w:r w:rsidRPr="003A5C41">
              <w:rPr>
                <w:sz w:val="22"/>
                <w:szCs w:val="22"/>
                <w:lang w:val="sk-SK"/>
              </w:rPr>
              <w:t>[17,7; 20,3]</w:t>
            </w:r>
          </w:p>
        </w:tc>
        <w:tc>
          <w:tcPr>
            <w:tcW w:w="2943" w:type="dxa"/>
            <w:tcBorders>
              <w:top w:val="single" w:sz="5" w:space="0" w:color="000000"/>
              <w:left w:val="single" w:sz="5" w:space="0" w:color="000000"/>
              <w:bottom w:val="single" w:sz="5" w:space="0" w:color="000000"/>
              <w:right w:val="single" w:sz="5" w:space="0" w:color="000000"/>
            </w:tcBorders>
          </w:tcPr>
          <w:p w14:paraId="02DD687A" w14:textId="77777777" w:rsidR="00954F57" w:rsidRPr="003A5C41" w:rsidRDefault="00954F57">
            <w:pPr>
              <w:pStyle w:val="TableParagraph"/>
              <w:kinsoku w:val="0"/>
              <w:overflowPunct w:val="0"/>
              <w:spacing w:line="252" w:lineRule="exact"/>
              <w:ind w:left="514" w:right="515"/>
              <w:rPr>
                <w:sz w:val="22"/>
                <w:szCs w:val="22"/>
                <w:lang w:val="sk-SK"/>
              </w:rPr>
            </w:pPr>
            <w:r w:rsidRPr="003A5C41">
              <w:rPr>
                <w:sz w:val="22"/>
                <w:szCs w:val="22"/>
                <w:lang w:val="sk-SK"/>
              </w:rPr>
              <w:t>0,350 [0,287; 0,426],</w:t>
            </w:r>
          </w:p>
          <w:p w14:paraId="02FDC539" w14:textId="77777777" w:rsidR="00954F57" w:rsidRPr="003A5C41" w:rsidRDefault="00954F57">
            <w:pPr>
              <w:pStyle w:val="TableParagraph"/>
              <w:kinsoku w:val="0"/>
              <w:overflowPunct w:val="0"/>
              <w:spacing w:before="1"/>
              <w:ind w:left="514" w:right="512"/>
              <w:rPr>
                <w:lang w:val="sk-SK"/>
              </w:rPr>
            </w:pPr>
            <w:r w:rsidRPr="003A5C41">
              <w:rPr>
                <w:sz w:val="22"/>
                <w:szCs w:val="22"/>
                <w:lang w:val="sk-SK"/>
              </w:rPr>
              <w:t>p &lt; 0,001</w:t>
            </w:r>
          </w:p>
        </w:tc>
      </w:tr>
      <w:tr w:rsidR="00954F57" w:rsidRPr="003A5C41" w14:paraId="7863BCF2" w14:textId="77777777" w:rsidTr="00954F57">
        <w:trPr>
          <w:trHeight w:hRule="exact" w:val="521"/>
        </w:trPr>
        <w:tc>
          <w:tcPr>
            <w:tcW w:w="3025" w:type="dxa"/>
            <w:tcBorders>
              <w:top w:val="single" w:sz="5" w:space="0" w:color="000000"/>
              <w:left w:val="single" w:sz="5" w:space="0" w:color="000000"/>
              <w:bottom w:val="single" w:sz="5" w:space="0" w:color="000000"/>
              <w:right w:val="single" w:sz="5" w:space="0" w:color="000000"/>
            </w:tcBorders>
          </w:tcPr>
          <w:p w14:paraId="490ED6F7" w14:textId="1836AA01" w:rsidR="00954F57" w:rsidRPr="003A5C41" w:rsidRDefault="00954F57" w:rsidP="00954F57">
            <w:pPr>
              <w:pStyle w:val="TableParagraph"/>
              <w:kinsoku w:val="0"/>
              <w:overflowPunct w:val="0"/>
              <w:ind w:left="350" w:right="336" w:firstLine="156"/>
              <w:rPr>
                <w:lang w:val="sk-SK"/>
              </w:rPr>
            </w:pPr>
            <w:r w:rsidRPr="003A5C41">
              <w:rPr>
                <w:sz w:val="22"/>
                <w:szCs w:val="22"/>
                <w:lang w:val="sk-SK"/>
              </w:rPr>
              <w:t>Obdobie bez progresie Medián [95% I</w:t>
            </w:r>
            <w:r w:rsidR="006562CC">
              <w:rPr>
                <w:sz w:val="22"/>
                <w:szCs w:val="22"/>
                <w:lang w:val="sk-SK"/>
              </w:rPr>
              <w:t>S</w:t>
            </w:r>
            <w:r w:rsidRPr="003A5C41">
              <w:rPr>
                <w:sz w:val="22"/>
                <w:szCs w:val="22"/>
                <w:lang w:val="sk-SK"/>
              </w:rPr>
              <w:t>], týždne</w:t>
            </w:r>
          </w:p>
        </w:tc>
        <w:tc>
          <w:tcPr>
            <w:tcW w:w="1620" w:type="dxa"/>
            <w:tcBorders>
              <w:top w:val="single" w:sz="5" w:space="0" w:color="000000"/>
              <w:left w:val="single" w:sz="5" w:space="0" w:color="000000"/>
              <w:bottom w:val="single" w:sz="5" w:space="0" w:color="000000"/>
              <w:right w:val="single" w:sz="5" w:space="0" w:color="000000"/>
            </w:tcBorders>
          </w:tcPr>
          <w:p w14:paraId="5959ACBA" w14:textId="77777777" w:rsidR="00954F57" w:rsidRPr="003A5C41" w:rsidRDefault="00954F57">
            <w:pPr>
              <w:pStyle w:val="TableParagraph"/>
              <w:kinsoku w:val="0"/>
              <w:overflowPunct w:val="0"/>
              <w:spacing w:line="252" w:lineRule="exact"/>
              <w:ind w:left="190" w:right="192"/>
              <w:rPr>
                <w:sz w:val="22"/>
                <w:szCs w:val="22"/>
                <w:lang w:val="sk-SK"/>
              </w:rPr>
            </w:pPr>
            <w:r w:rsidRPr="003A5C41">
              <w:rPr>
                <w:sz w:val="22"/>
                <w:szCs w:val="22"/>
                <w:lang w:val="sk-SK"/>
              </w:rPr>
              <w:t>48,1</w:t>
            </w:r>
          </w:p>
          <w:p w14:paraId="60444418" w14:textId="77777777" w:rsidR="00954F57" w:rsidRPr="003A5C41" w:rsidRDefault="00954F57">
            <w:pPr>
              <w:pStyle w:val="TableParagraph"/>
              <w:kinsoku w:val="0"/>
              <w:overflowPunct w:val="0"/>
              <w:spacing w:before="1"/>
              <w:ind w:left="190" w:right="193"/>
              <w:rPr>
                <w:lang w:val="sk-SK"/>
              </w:rPr>
            </w:pPr>
            <w:r w:rsidRPr="003A5C41">
              <w:rPr>
                <w:sz w:val="22"/>
                <w:szCs w:val="22"/>
                <w:lang w:val="sk-SK"/>
              </w:rPr>
              <w:t>[36,4; 62,1]</w:t>
            </w:r>
          </w:p>
        </w:tc>
        <w:tc>
          <w:tcPr>
            <w:tcW w:w="1595" w:type="dxa"/>
            <w:tcBorders>
              <w:top w:val="single" w:sz="5" w:space="0" w:color="000000"/>
              <w:left w:val="single" w:sz="5" w:space="0" w:color="000000"/>
              <w:bottom w:val="single" w:sz="5" w:space="0" w:color="000000"/>
              <w:right w:val="single" w:sz="5" w:space="0" w:color="000000"/>
            </w:tcBorders>
          </w:tcPr>
          <w:p w14:paraId="35F53578" w14:textId="77777777" w:rsidR="00954F57" w:rsidRPr="003A5C41" w:rsidRDefault="00954F57" w:rsidP="00954F57">
            <w:pPr>
              <w:pStyle w:val="TableParagraph"/>
              <w:kinsoku w:val="0"/>
              <w:overflowPunct w:val="0"/>
              <w:spacing w:line="252" w:lineRule="exact"/>
              <w:ind w:right="181"/>
              <w:rPr>
                <w:sz w:val="22"/>
                <w:szCs w:val="22"/>
                <w:lang w:val="sk-SK"/>
              </w:rPr>
            </w:pPr>
            <w:r w:rsidRPr="003A5C41">
              <w:rPr>
                <w:sz w:val="22"/>
                <w:szCs w:val="22"/>
                <w:lang w:val="sk-SK"/>
              </w:rPr>
              <w:t xml:space="preserve">20,0 </w:t>
            </w:r>
          </w:p>
          <w:p w14:paraId="1B1113E3" w14:textId="77777777" w:rsidR="00954F57" w:rsidRPr="003A5C41" w:rsidRDefault="00954F57" w:rsidP="00954F57">
            <w:pPr>
              <w:pStyle w:val="TableParagraph"/>
              <w:kinsoku w:val="0"/>
              <w:overflowPunct w:val="0"/>
              <w:spacing w:line="252" w:lineRule="exact"/>
              <w:ind w:right="181"/>
              <w:rPr>
                <w:lang w:val="sk-SK"/>
              </w:rPr>
            </w:pPr>
            <w:r w:rsidRPr="003A5C41">
              <w:rPr>
                <w:sz w:val="22"/>
                <w:szCs w:val="22"/>
                <w:lang w:val="sk-SK"/>
              </w:rPr>
              <w:t>[16,1; 20,1]</w:t>
            </w:r>
          </w:p>
        </w:tc>
        <w:tc>
          <w:tcPr>
            <w:tcW w:w="2943" w:type="dxa"/>
            <w:tcBorders>
              <w:top w:val="single" w:sz="5" w:space="0" w:color="000000"/>
              <w:left w:val="single" w:sz="5" w:space="0" w:color="000000"/>
              <w:bottom w:val="single" w:sz="5" w:space="0" w:color="000000"/>
              <w:right w:val="single" w:sz="5" w:space="0" w:color="000000"/>
            </w:tcBorders>
          </w:tcPr>
          <w:p w14:paraId="7934B664" w14:textId="77777777" w:rsidR="00954F57" w:rsidRPr="003A5C41" w:rsidRDefault="00954F57">
            <w:pPr>
              <w:pStyle w:val="TableParagraph"/>
              <w:kinsoku w:val="0"/>
              <w:overflowPunct w:val="0"/>
              <w:spacing w:line="252" w:lineRule="exact"/>
              <w:ind w:left="514" w:right="514"/>
              <w:rPr>
                <w:sz w:val="22"/>
                <w:szCs w:val="22"/>
                <w:lang w:val="sk-SK"/>
              </w:rPr>
            </w:pPr>
            <w:r w:rsidRPr="003A5C41">
              <w:rPr>
                <w:sz w:val="22"/>
                <w:szCs w:val="22"/>
                <w:lang w:val="sk-SK"/>
              </w:rPr>
              <w:t>0,393 [0,326; 0,473]</w:t>
            </w:r>
          </w:p>
          <w:p w14:paraId="76460CBE" w14:textId="77777777" w:rsidR="00954F57" w:rsidRPr="003A5C41" w:rsidRDefault="00954F57">
            <w:pPr>
              <w:pStyle w:val="TableParagraph"/>
              <w:kinsoku w:val="0"/>
              <w:overflowPunct w:val="0"/>
              <w:spacing w:before="1"/>
              <w:ind w:left="514" w:right="512"/>
              <w:rPr>
                <w:lang w:val="sk-SK"/>
              </w:rPr>
            </w:pPr>
            <w:r w:rsidRPr="003A5C41">
              <w:rPr>
                <w:sz w:val="22"/>
                <w:szCs w:val="22"/>
                <w:lang w:val="sk-SK"/>
              </w:rPr>
              <w:t>p &lt; 0,001</w:t>
            </w:r>
          </w:p>
        </w:tc>
      </w:tr>
      <w:tr w:rsidR="00954F57" w:rsidRPr="003A5C41" w14:paraId="2FB61383" w14:textId="77777777" w:rsidTr="00954F57">
        <w:trPr>
          <w:trHeight w:hRule="exact" w:val="775"/>
        </w:trPr>
        <w:tc>
          <w:tcPr>
            <w:tcW w:w="3025" w:type="dxa"/>
            <w:tcBorders>
              <w:top w:val="single" w:sz="5" w:space="0" w:color="000000"/>
              <w:left w:val="single" w:sz="5" w:space="0" w:color="000000"/>
              <w:bottom w:val="single" w:sz="5" w:space="0" w:color="000000"/>
              <w:right w:val="single" w:sz="5" w:space="0" w:color="000000"/>
            </w:tcBorders>
          </w:tcPr>
          <w:p w14:paraId="7085AB49" w14:textId="0424B206" w:rsidR="00954F57" w:rsidRPr="003A5C41" w:rsidRDefault="00954F57" w:rsidP="000C6C7D">
            <w:pPr>
              <w:pStyle w:val="TableParagraph"/>
              <w:kinsoku w:val="0"/>
              <w:overflowPunct w:val="0"/>
              <w:ind w:left="312" w:right="310" w:hanging="3"/>
              <w:rPr>
                <w:lang w:val="sk-SK"/>
              </w:rPr>
            </w:pPr>
            <w:r w:rsidRPr="003A5C41">
              <w:rPr>
                <w:sz w:val="22"/>
                <w:szCs w:val="22"/>
                <w:lang w:val="sk-SK"/>
              </w:rPr>
              <w:t xml:space="preserve">Celkové prežívanie Medián [95% </w:t>
            </w:r>
            <w:r w:rsidR="000C6C7D">
              <w:rPr>
                <w:sz w:val="22"/>
                <w:szCs w:val="22"/>
                <w:lang w:val="sk-SK"/>
              </w:rPr>
              <w:t>IS</w:t>
            </w:r>
            <w:r w:rsidRPr="003A5C41">
              <w:rPr>
                <w:sz w:val="22"/>
                <w:szCs w:val="22"/>
                <w:lang w:val="sk-SK"/>
              </w:rPr>
              <w:t>], týždne 1-ročné celkové</w:t>
            </w:r>
            <w:r w:rsidRPr="003A5C41">
              <w:rPr>
                <w:spacing w:val="-6"/>
                <w:sz w:val="22"/>
                <w:szCs w:val="22"/>
                <w:lang w:val="sk-SK"/>
              </w:rPr>
              <w:t xml:space="preserve"> </w:t>
            </w:r>
            <w:r w:rsidRPr="003A5C41">
              <w:rPr>
                <w:sz w:val="22"/>
                <w:szCs w:val="22"/>
                <w:lang w:val="sk-SK"/>
              </w:rPr>
              <w:t>prežívanie</w:t>
            </w:r>
          </w:p>
        </w:tc>
        <w:tc>
          <w:tcPr>
            <w:tcW w:w="1620" w:type="dxa"/>
            <w:tcBorders>
              <w:top w:val="single" w:sz="5" w:space="0" w:color="000000"/>
              <w:left w:val="single" w:sz="5" w:space="0" w:color="000000"/>
              <w:bottom w:val="single" w:sz="5" w:space="0" w:color="000000"/>
              <w:right w:val="single" w:sz="5" w:space="0" w:color="000000"/>
            </w:tcBorders>
          </w:tcPr>
          <w:p w14:paraId="53090156" w14:textId="77777777" w:rsidR="00954F57" w:rsidRPr="003A5C41" w:rsidRDefault="00954F57" w:rsidP="00954F57">
            <w:pPr>
              <w:pStyle w:val="TableParagraph"/>
              <w:kinsoku w:val="0"/>
              <w:overflowPunct w:val="0"/>
              <w:spacing w:line="252" w:lineRule="exact"/>
              <w:ind w:left="190" w:right="195"/>
              <w:rPr>
                <w:sz w:val="22"/>
                <w:szCs w:val="22"/>
                <w:lang w:val="sk-SK"/>
              </w:rPr>
            </w:pPr>
            <w:r w:rsidRPr="003A5C41">
              <w:rPr>
                <w:sz w:val="22"/>
                <w:szCs w:val="22"/>
                <w:lang w:val="sk-SK"/>
              </w:rPr>
              <w:t>164,3</w:t>
            </w:r>
          </w:p>
          <w:p w14:paraId="1B8516C9" w14:textId="77777777" w:rsidR="00954F57" w:rsidRPr="003A5C41" w:rsidRDefault="00954F57" w:rsidP="00954F57">
            <w:pPr>
              <w:pStyle w:val="TableParagraph"/>
              <w:kinsoku w:val="0"/>
              <w:overflowPunct w:val="0"/>
              <w:spacing w:line="252" w:lineRule="exact"/>
              <w:ind w:left="190" w:right="195"/>
              <w:rPr>
                <w:sz w:val="22"/>
                <w:szCs w:val="22"/>
                <w:lang w:val="sk-SK"/>
              </w:rPr>
            </w:pPr>
            <w:r w:rsidRPr="003A5C41">
              <w:rPr>
                <w:sz w:val="22"/>
                <w:szCs w:val="22"/>
                <w:lang w:val="sk-SK"/>
              </w:rPr>
              <w:t>[145,1;192,6]</w:t>
            </w:r>
          </w:p>
          <w:p w14:paraId="5BC7EEFD" w14:textId="77777777" w:rsidR="00954F57" w:rsidRPr="003A5C41" w:rsidRDefault="00954F57" w:rsidP="00954F57">
            <w:pPr>
              <w:pStyle w:val="TableParagraph"/>
              <w:kinsoku w:val="0"/>
              <w:overflowPunct w:val="0"/>
              <w:spacing w:line="253" w:lineRule="exact"/>
              <w:ind w:left="190" w:right="191"/>
              <w:rPr>
                <w:lang w:val="sk-SK"/>
              </w:rPr>
            </w:pPr>
            <w:r w:rsidRPr="003A5C41">
              <w:rPr>
                <w:sz w:val="22"/>
                <w:szCs w:val="22"/>
                <w:lang w:val="sk-SK"/>
              </w:rPr>
              <w:t>82%</w:t>
            </w:r>
          </w:p>
        </w:tc>
        <w:tc>
          <w:tcPr>
            <w:tcW w:w="1595" w:type="dxa"/>
            <w:tcBorders>
              <w:top w:val="single" w:sz="5" w:space="0" w:color="000000"/>
              <w:left w:val="single" w:sz="5" w:space="0" w:color="000000"/>
              <w:bottom w:val="single" w:sz="5" w:space="0" w:color="000000"/>
              <w:right w:val="single" w:sz="5" w:space="0" w:color="000000"/>
            </w:tcBorders>
          </w:tcPr>
          <w:p w14:paraId="2028552D" w14:textId="77777777" w:rsidR="00954F57" w:rsidRPr="003A5C41" w:rsidRDefault="00954F57">
            <w:pPr>
              <w:pStyle w:val="TableParagraph"/>
              <w:kinsoku w:val="0"/>
              <w:overflowPunct w:val="0"/>
              <w:spacing w:line="252" w:lineRule="exact"/>
              <w:ind w:right="183"/>
              <w:rPr>
                <w:sz w:val="22"/>
                <w:szCs w:val="22"/>
                <w:lang w:val="sk-SK"/>
              </w:rPr>
            </w:pPr>
            <w:r w:rsidRPr="003A5C41">
              <w:rPr>
                <w:sz w:val="22"/>
                <w:szCs w:val="22"/>
                <w:lang w:val="sk-SK"/>
              </w:rPr>
              <w:t xml:space="preserve">136,4 </w:t>
            </w:r>
          </w:p>
          <w:p w14:paraId="46585D17" w14:textId="77777777" w:rsidR="00954F57" w:rsidRPr="003A5C41" w:rsidRDefault="00954F57" w:rsidP="00954F57">
            <w:pPr>
              <w:pStyle w:val="TableParagraph"/>
              <w:kinsoku w:val="0"/>
              <w:overflowPunct w:val="0"/>
              <w:spacing w:line="252" w:lineRule="exact"/>
              <w:ind w:right="183"/>
              <w:rPr>
                <w:sz w:val="22"/>
                <w:szCs w:val="22"/>
                <w:lang w:val="sk-SK"/>
              </w:rPr>
            </w:pPr>
            <w:r w:rsidRPr="003A5C41">
              <w:rPr>
                <w:sz w:val="22"/>
                <w:szCs w:val="22"/>
                <w:lang w:val="sk-SK"/>
              </w:rPr>
              <w:t>[113,1; 161,7]</w:t>
            </w:r>
          </w:p>
          <w:p w14:paraId="46F8089B" w14:textId="77777777" w:rsidR="00954F57" w:rsidRPr="003A5C41" w:rsidRDefault="00954F57" w:rsidP="00954F57">
            <w:pPr>
              <w:pStyle w:val="TableParagraph"/>
              <w:kinsoku w:val="0"/>
              <w:overflowPunct w:val="0"/>
              <w:spacing w:line="253" w:lineRule="exact"/>
              <w:ind w:right="179"/>
              <w:rPr>
                <w:lang w:val="sk-SK"/>
              </w:rPr>
            </w:pPr>
            <w:r w:rsidRPr="003A5C41">
              <w:rPr>
                <w:sz w:val="22"/>
                <w:szCs w:val="22"/>
                <w:lang w:val="sk-SK"/>
              </w:rPr>
              <w:t>75%</w:t>
            </w:r>
          </w:p>
        </w:tc>
        <w:tc>
          <w:tcPr>
            <w:tcW w:w="2943" w:type="dxa"/>
            <w:tcBorders>
              <w:top w:val="single" w:sz="5" w:space="0" w:color="000000"/>
              <w:left w:val="single" w:sz="5" w:space="0" w:color="000000"/>
              <w:bottom w:val="single" w:sz="5" w:space="0" w:color="000000"/>
              <w:right w:val="single" w:sz="5" w:space="0" w:color="000000"/>
            </w:tcBorders>
          </w:tcPr>
          <w:p w14:paraId="346F0690" w14:textId="77777777" w:rsidR="00954F57" w:rsidRPr="003A5C41" w:rsidRDefault="00954F57">
            <w:pPr>
              <w:pStyle w:val="TableParagraph"/>
              <w:kinsoku w:val="0"/>
              <w:overflowPunct w:val="0"/>
              <w:spacing w:line="252" w:lineRule="exact"/>
              <w:ind w:left="514" w:right="514"/>
              <w:rPr>
                <w:sz w:val="22"/>
                <w:szCs w:val="22"/>
                <w:lang w:val="sk-SK"/>
              </w:rPr>
            </w:pPr>
            <w:r w:rsidRPr="003A5C41">
              <w:rPr>
                <w:sz w:val="22"/>
                <w:szCs w:val="22"/>
                <w:lang w:val="sk-SK"/>
              </w:rPr>
              <w:t>0,833 [0,687; 1,009]</w:t>
            </w:r>
          </w:p>
          <w:p w14:paraId="225B9D81" w14:textId="77777777" w:rsidR="00954F57" w:rsidRPr="003A5C41" w:rsidRDefault="00954F57">
            <w:pPr>
              <w:pStyle w:val="TableParagraph"/>
              <w:kinsoku w:val="0"/>
              <w:overflowPunct w:val="0"/>
              <w:spacing w:before="1"/>
              <w:ind w:left="514" w:right="512"/>
              <w:rPr>
                <w:lang w:val="sk-SK"/>
              </w:rPr>
            </w:pPr>
            <w:r w:rsidRPr="003A5C41">
              <w:rPr>
                <w:sz w:val="22"/>
                <w:szCs w:val="22"/>
                <w:lang w:val="sk-SK"/>
              </w:rPr>
              <w:t>p = 0,045</w:t>
            </w:r>
          </w:p>
        </w:tc>
      </w:tr>
      <w:tr w:rsidR="00954F57" w:rsidRPr="003A5C41" w14:paraId="2DEA4E9E" w14:textId="77777777" w:rsidTr="00954F57">
        <w:trPr>
          <w:trHeight w:hRule="exact" w:val="521"/>
        </w:trPr>
        <w:tc>
          <w:tcPr>
            <w:tcW w:w="3025" w:type="dxa"/>
            <w:tcBorders>
              <w:top w:val="single" w:sz="5" w:space="0" w:color="000000"/>
              <w:left w:val="single" w:sz="5" w:space="0" w:color="000000"/>
              <w:bottom w:val="single" w:sz="5" w:space="0" w:color="000000"/>
              <w:right w:val="single" w:sz="5" w:space="0" w:color="000000"/>
            </w:tcBorders>
          </w:tcPr>
          <w:p w14:paraId="77176486" w14:textId="77777777" w:rsidR="00954F57" w:rsidRPr="003A5C41" w:rsidRDefault="00954F57">
            <w:pPr>
              <w:pStyle w:val="TableParagraph"/>
              <w:kinsoku w:val="0"/>
              <w:overflowPunct w:val="0"/>
              <w:spacing w:line="252" w:lineRule="exact"/>
              <w:ind w:left="330" w:right="330"/>
              <w:rPr>
                <w:lang w:val="sk-SK"/>
              </w:rPr>
            </w:pPr>
            <w:r w:rsidRPr="003A5C41">
              <w:rPr>
                <w:b/>
                <w:bCs/>
                <w:sz w:val="22"/>
                <w:szCs w:val="22"/>
                <w:lang w:val="sk-SK"/>
              </w:rPr>
              <w:t>Miera odpovede</w:t>
            </w:r>
          </w:p>
        </w:tc>
        <w:tc>
          <w:tcPr>
            <w:tcW w:w="1620" w:type="dxa"/>
            <w:tcBorders>
              <w:top w:val="single" w:sz="5" w:space="0" w:color="000000"/>
              <w:left w:val="single" w:sz="5" w:space="0" w:color="000000"/>
              <w:bottom w:val="single" w:sz="5" w:space="0" w:color="000000"/>
              <w:right w:val="single" w:sz="5" w:space="0" w:color="000000"/>
            </w:tcBorders>
          </w:tcPr>
          <w:p w14:paraId="57786403" w14:textId="77777777" w:rsidR="00954F57" w:rsidRPr="003A5C41" w:rsidRDefault="00954F57"/>
        </w:tc>
        <w:tc>
          <w:tcPr>
            <w:tcW w:w="1595" w:type="dxa"/>
            <w:tcBorders>
              <w:top w:val="single" w:sz="5" w:space="0" w:color="000000"/>
              <w:left w:val="single" w:sz="5" w:space="0" w:color="000000"/>
              <w:bottom w:val="single" w:sz="5" w:space="0" w:color="000000"/>
              <w:right w:val="single" w:sz="5" w:space="0" w:color="000000"/>
            </w:tcBorders>
          </w:tcPr>
          <w:p w14:paraId="40A1A054" w14:textId="77777777" w:rsidR="00954F57" w:rsidRPr="003A5C41" w:rsidRDefault="00954F57"/>
        </w:tc>
        <w:tc>
          <w:tcPr>
            <w:tcW w:w="2943" w:type="dxa"/>
            <w:tcBorders>
              <w:top w:val="single" w:sz="5" w:space="0" w:color="000000"/>
              <w:left w:val="single" w:sz="5" w:space="0" w:color="000000"/>
              <w:bottom w:val="single" w:sz="5" w:space="0" w:color="000000"/>
              <w:right w:val="single" w:sz="5" w:space="0" w:color="000000"/>
            </w:tcBorders>
          </w:tcPr>
          <w:p w14:paraId="13909D2C" w14:textId="0ECE3280" w:rsidR="00954F57" w:rsidRPr="003A5C41" w:rsidRDefault="00954F57" w:rsidP="0093598F">
            <w:pPr>
              <w:pStyle w:val="TableParagraph"/>
              <w:kinsoku w:val="0"/>
              <w:overflowPunct w:val="0"/>
              <w:spacing w:before="2" w:line="252" w:lineRule="exact"/>
              <w:ind w:left="391" w:right="257" w:hanging="118"/>
              <w:rPr>
                <w:lang w:val="sk-SK"/>
              </w:rPr>
            </w:pPr>
            <w:r w:rsidRPr="003A5C41">
              <w:rPr>
                <w:b/>
                <w:bCs/>
                <w:sz w:val="22"/>
                <w:szCs w:val="22"/>
                <w:lang w:val="sk-SK"/>
              </w:rPr>
              <w:t xml:space="preserve">Pomer pravdepodobnosti [95% </w:t>
            </w:r>
            <w:r w:rsidR="0093598F">
              <w:rPr>
                <w:b/>
                <w:bCs/>
                <w:sz w:val="22"/>
                <w:szCs w:val="22"/>
                <w:lang w:val="sk-SK"/>
              </w:rPr>
              <w:t>IS</w:t>
            </w:r>
            <w:r w:rsidRPr="003A5C41">
              <w:rPr>
                <w:b/>
                <w:bCs/>
                <w:sz w:val="22"/>
                <w:szCs w:val="22"/>
                <w:lang w:val="sk-SK"/>
              </w:rPr>
              <w:t xml:space="preserve">], p-hodnota </w:t>
            </w:r>
            <w:r w:rsidRPr="003A5C41">
              <w:rPr>
                <w:position w:val="8"/>
                <w:sz w:val="14"/>
                <w:szCs w:val="14"/>
                <w:lang w:val="sk-SK"/>
              </w:rPr>
              <w:t>b</w:t>
            </w:r>
          </w:p>
        </w:tc>
      </w:tr>
      <w:tr w:rsidR="00954F57" w:rsidRPr="003A5C41" w14:paraId="43B1BEAF" w14:textId="77777777" w:rsidTr="00954F57">
        <w:trPr>
          <w:trHeight w:hRule="exact" w:val="521"/>
        </w:trPr>
        <w:tc>
          <w:tcPr>
            <w:tcW w:w="3025" w:type="dxa"/>
            <w:tcBorders>
              <w:top w:val="single" w:sz="5" w:space="0" w:color="000000"/>
              <w:left w:val="single" w:sz="5" w:space="0" w:color="000000"/>
              <w:bottom w:val="single" w:sz="5" w:space="0" w:color="000000"/>
              <w:right w:val="single" w:sz="5" w:space="0" w:color="000000"/>
            </w:tcBorders>
          </w:tcPr>
          <w:p w14:paraId="10D6CEA1" w14:textId="77777777" w:rsidR="00954F57" w:rsidRPr="003A5C41" w:rsidRDefault="00954F57">
            <w:pPr>
              <w:pStyle w:val="TableParagraph"/>
              <w:kinsoku w:val="0"/>
              <w:overflowPunct w:val="0"/>
              <w:ind w:left="290" w:right="272" w:firstLine="120"/>
              <w:rPr>
                <w:lang w:val="sk-SK"/>
              </w:rPr>
            </w:pPr>
            <w:r w:rsidRPr="003A5C41">
              <w:rPr>
                <w:sz w:val="22"/>
                <w:szCs w:val="22"/>
                <w:lang w:val="sk-SK"/>
              </w:rPr>
              <w:t>Celková odpoveď [n, %] Kompletná odpoveď [n, %]</w:t>
            </w:r>
          </w:p>
        </w:tc>
        <w:tc>
          <w:tcPr>
            <w:tcW w:w="1620" w:type="dxa"/>
            <w:tcBorders>
              <w:top w:val="single" w:sz="5" w:space="0" w:color="000000"/>
              <w:left w:val="single" w:sz="5" w:space="0" w:color="000000"/>
              <w:bottom w:val="single" w:sz="5" w:space="0" w:color="000000"/>
              <w:right w:val="single" w:sz="5" w:space="0" w:color="000000"/>
            </w:tcBorders>
          </w:tcPr>
          <w:p w14:paraId="1BC1B80E" w14:textId="77777777" w:rsidR="00954F57" w:rsidRPr="003A5C41" w:rsidRDefault="00954F57">
            <w:pPr>
              <w:pStyle w:val="TableParagraph"/>
              <w:kinsoku w:val="0"/>
              <w:overflowPunct w:val="0"/>
              <w:spacing w:line="251" w:lineRule="exact"/>
              <w:ind w:left="340"/>
              <w:rPr>
                <w:sz w:val="22"/>
                <w:szCs w:val="22"/>
                <w:lang w:val="sk-SK"/>
              </w:rPr>
            </w:pPr>
            <w:r w:rsidRPr="003A5C41">
              <w:rPr>
                <w:sz w:val="22"/>
                <w:szCs w:val="22"/>
                <w:lang w:val="sk-SK"/>
              </w:rPr>
              <w:t>212 (60,1)</w:t>
            </w:r>
          </w:p>
          <w:p w14:paraId="71BEA216" w14:textId="77777777" w:rsidR="00954F57" w:rsidRPr="003A5C41" w:rsidRDefault="00954F57">
            <w:pPr>
              <w:pStyle w:val="TableParagraph"/>
              <w:kinsoku w:val="0"/>
              <w:overflowPunct w:val="0"/>
              <w:spacing w:line="252" w:lineRule="exact"/>
              <w:ind w:left="396"/>
              <w:rPr>
                <w:lang w:val="sk-SK"/>
              </w:rPr>
            </w:pPr>
            <w:r w:rsidRPr="003A5C41">
              <w:rPr>
                <w:sz w:val="22"/>
                <w:szCs w:val="22"/>
                <w:lang w:val="sk-SK"/>
              </w:rPr>
              <w:t>58 (16,4)</w:t>
            </w:r>
          </w:p>
        </w:tc>
        <w:tc>
          <w:tcPr>
            <w:tcW w:w="1595" w:type="dxa"/>
            <w:tcBorders>
              <w:top w:val="single" w:sz="5" w:space="0" w:color="000000"/>
              <w:left w:val="single" w:sz="5" w:space="0" w:color="000000"/>
              <w:bottom w:val="single" w:sz="5" w:space="0" w:color="000000"/>
              <w:right w:val="single" w:sz="5" w:space="0" w:color="000000"/>
            </w:tcBorders>
          </w:tcPr>
          <w:p w14:paraId="395D1E41" w14:textId="77777777" w:rsidR="00954F57" w:rsidRPr="003A5C41" w:rsidRDefault="00954F57">
            <w:pPr>
              <w:pStyle w:val="TableParagraph"/>
              <w:kinsoku w:val="0"/>
              <w:overflowPunct w:val="0"/>
              <w:spacing w:line="251" w:lineRule="exact"/>
              <w:ind w:left="383"/>
              <w:rPr>
                <w:sz w:val="22"/>
                <w:szCs w:val="22"/>
                <w:lang w:val="sk-SK"/>
              </w:rPr>
            </w:pPr>
            <w:r w:rsidRPr="003A5C41">
              <w:rPr>
                <w:sz w:val="22"/>
                <w:szCs w:val="22"/>
                <w:lang w:val="sk-SK"/>
              </w:rPr>
              <w:t>75 (21,4)</w:t>
            </w:r>
          </w:p>
          <w:p w14:paraId="445E6B9F" w14:textId="77777777" w:rsidR="00954F57" w:rsidRPr="003A5C41" w:rsidRDefault="00954F57">
            <w:pPr>
              <w:pStyle w:val="TableParagraph"/>
              <w:kinsoku w:val="0"/>
              <w:overflowPunct w:val="0"/>
              <w:spacing w:line="252" w:lineRule="exact"/>
              <w:ind w:left="439"/>
              <w:rPr>
                <w:lang w:val="sk-SK"/>
              </w:rPr>
            </w:pPr>
            <w:r w:rsidRPr="003A5C41">
              <w:rPr>
                <w:sz w:val="22"/>
                <w:szCs w:val="22"/>
                <w:lang w:val="sk-SK"/>
              </w:rPr>
              <w:t>11 (3,1)</w:t>
            </w:r>
          </w:p>
        </w:tc>
        <w:tc>
          <w:tcPr>
            <w:tcW w:w="2943" w:type="dxa"/>
            <w:tcBorders>
              <w:top w:val="single" w:sz="5" w:space="0" w:color="000000"/>
              <w:left w:val="single" w:sz="5" w:space="0" w:color="000000"/>
              <w:bottom w:val="single" w:sz="5" w:space="0" w:color="000000"/>
              <w:right w:val="single" w:sz="5" w:space="0" w:color="000000"/>
            </w:tcBorders>
          </w:tcPr>
          <w:p w14:paraId="75537B97" w14:textId="77777777" w:rsidR="00954F57" w:rsidRPr="003A5C41" w:rsidRDefault="00954F57">
            <w:pPr>
              <w:pStyle w:val="TableParagraph"/>
              <w:kinsoku w:val="0"/>
              <w:overflowPunct w:val="0"/>
              <w:spacing w:line="251" w:lineRule="exact"/>
              <w:ind w:left="251"/>
              <w:rPr>
                <w:sz w:val="22"/>
                <w:szCs w:val="22"/>
                <w:lang w:val="sk-SK"/>
              </w:rPr>
            </w:pPr>
            <w:r w:rsidRPr="003A5C41">
              <w:rPr>
                <w:sz w:val="22"/>
                <w:szCs w:val="22"/>
                <w:lang w:val="sk-SK"/>
              </w:rPr>
              <w:t>5,53 [3,97; 7,71], p &lt; 0,001</w:t>
            </w:r>
          </w:p>
          <w:p w14:paraId="1EB93EFA" w14:textId="77777777" w:rsidR="00954F57" w:rsidRPr="003A5C41" w:rsidRDefault="00954F57">
            <w:pPr>
              <w:pStyle w:val="TableParagraph"/>
              <w:kinsoku w:val="0"/>
              <w:overflowPunct w:val="0"/>
              <w:spacing w:line="252" w:lineRule="exact"/>
              <w:ind w:left="196"/>
              <w:rPr>
                <w:lang w:val="sk-SK"/>
              </w:rPr>
            </w:pPr>
            <w:r w:rsidRPr="003A5C41">
              <w:rPr>
                <w:sz w:val="22"/>
                <w:szCs w:val="22"/>
                <w:lang w:val="sk-SK"/>
              </w:rPr>
              <w:t>6,08 [3,13; 11,80], p &lt; 0,001</w:t>
            </w:r>
          </w:p>
        </w:tc>
      </w:tr>
    </w:tbl>
    <w:p w14:paraId="14ED0C74" w14:textId="77777777" w:rsidR="00954F57" w:rsidRPr="00BA7190" w:rsidRDefault="00954F57" w:rsidP="00954F57">
      <w:pPr>
        <w:autoSpaceDE w:val="0"/>
        <w:autoSpaceDN w:val="0"/>
        <w:adjustRightInd w:val="0"/>
        <w:ind w:left="0" w:firstLine="0"/>
        <w:rPr>
          <w:rFonts w:eastAsia="TimesNewRomanPSMT"/>
          <w:sz w:val="18"/>
          <w:szCs w:val="18"/>
          <w:lang w:eastAsia="en-US"/>
        </w:rPr>
      </w:pPr>
      <w:r w:rsidRPr="00BA7190">
        <w:rPr>
          <w:rFonts w:eastAsia="TimesNewRomanPSMT"/>
          <w:sz w:val="18"/>
          <w:szCs w:val="18"/>
          <w:vertAlign w:val="superscript"/>
          <w:lang w:eastAsia="en-US"/>
        </w:rPr>
        <w:t>a</w:t>
      </w:r>
      <w:r w:rsidRPr="00BA7190">
        <w:rPr>
          <w:rFonts w:eastAsia="TimesNewRomanPSMT"/>
          <w:sz w:val="18"/>
          <w:szCs w:val="18"/>
          <w:lang w:eastAsia="en-US"/>
        </w:rPr>
        <w:t>: Dvojstranný (two-tailed) log rank test porovnávajúci krivky prežívania medzi liečenými skupinami</w:t>
      </w:r>
    </w:p>
    <w:p w14:paraId="65037F8D" w14:textId="77777777" w:rsidR="00C75A8C" w:rsidRPr="00BA7190" w:rsidRDefault="00954F57" w:rsidP="00954F57">
      <w:pPr>
        <w:autoSpaceDE w:val="0"/>
        <w:autoSpaceDN w:val="0"/>
        <w:adjustRightInd w:val="0"/>
        <w:ind w:left="0" w:firstLine="0"/>
        <w:rPr>
          <w:rFonts w:eastAsia="TimesNewRomanPSMT"/>
          <w:sz w:val="18"/>
          <w:szCs w:val="18"/>
          <w:lang w:eastAsia="en-US"/>
        </w:rPr>
      </w:pPr>
      <w:r w:rsidRPr="00BA7190">
        <w:rPr>
          <w:rFonts w:eastAsia="TimesNewRomanPSMT"/>
          <w:sz w:val="18"/>
          <w:szCs w:val="18"/>
          <w:vertAlign w:val="superscript"/>
          <w:lang w:eastAsia="en-US"/>
        </w:rPr>
        <w:t>b</w:t>
      </w:r>
      <w:r w:rsidRPr="00BA7190">
        <w:rPr>
          <w:rFonts w:eastAsia="TimesNewRomanPSMT"/>
          <w:sz w:val="18"/>
          <w:szCs w:val="18"/>
          <w:lang w:eastAsia="en-US"/>
        </w:rPr>
        <w:t>: Dvojstranný (two-tailed) chi-kvadrát test korigovaný pre spojitosť</w:t>
      </w:r>
    </w:p>
    <w:p w14:paraId="52413404" w14:textId="77777777" w:rsidR="00C75A8C" w:rsidRPr="003A5C41" w:rsidRDefault="00C75A8C" w:rsidP="00C75A8C">
      <w:pPr>
        <w:autoSpaceDE w:val="0"/>
        <w:autoSpaceDN w:val="0"/>
        <w:adjustRightInd w:val="0"/>
        <w:ind w:left="0" w:firstLine="0"/>
        <w:rPr>
          <w:rFonts w:eastAsia="TimesNewRomanPSMT"/>
          <w:szCs w:val="22"/>
          <w:lang w:eastAsia="en-US"/>
        </w:rPr>
      </w:pPr>
    </w:p>
    <w:p w14:paraId="2A755798" w14:textId="77777777" w:rsidR="001462F9" w:rsidRPr="00BA7190" w:rsidRDefault="001462F9" w:rsidP="001462F9">
      <w:pPr>
        <w:autoSpaceDE w:val="0"/>
        <w:autoSpaceDN w:val="0"/>
        <w:adjustRightInd w:val="0"/>
        <w:ind w:left="0" w:firstLine="0"/>
        <w:rPr>
          <w:rFonts w:eastAsia="TimesNewRoman"/>
          <w:szCs w:val="22"/>
          <w:u w:val="single"/>
          <w:lang w:eastAsia="en-US"/>
        </w:rPr>
      </w:pPr>
      <w:r w:rsidRPr="00BA7190">
        <w:rPr>
          <w:rFonts w:eastAsia="TimesNewRoman"/>
          <w:szCs w:val="22"/>
          <w:u w:val="single"/>
          <w:lang w:eastAsia="en-US"/>
        </w:rPr>
        <w:t>Pediatrická populácia</w:t>
      </w:r>
    </w:p>
    <w:p w14:paraId="72AE2966" w14:textId="77777777" w:rsidR="00954F57" w:rsidRPr="00BA7190" w:rsidRDefault="00954F57" w:rsidP="00954F57">
      <w:pPr>
        <w:autoSpaceDE w:val="0"/>
        <w:autoSpaceDN w:val="0"/>
        <w:adjustRightInd w:val="0"/>
        <w:ind w:left="0" w:firstLine="0"/>
        <w:rPr>
          <w:rFonts w:eastAsia="TimesNewRomanPSMT"/>
          <w:szCs w:val="22"/>
          <w:lang w:eastAsia="en-US"/>
        </w:rPr>
      </w:pPr>
      <w:r w:rsidRPr="00BA7190">
        <w:rPr>
          <w:rFonts w:eastAsia="TimesNewRomanPSMT"/>
          <w:szCs w:val="22"/>
          <w:lang w:eastAsia="en-US"/>
        </w:rPr>
        <w:t>Európska agentúra pre lieky udelila výnimku z povinnosti predložiť výsledky štúdií s lenalidomidom vo všetkých podskupinách pediatrickej populácie s mnohopočetným myelómom (informácie o použití v pediatrickej populácii, pozri časť 4.2).</w:t>
      </w:r>
    </w:p>
    <w:p w14:paraId="1E771D53" w14:textId="77777777" w:rsidR="00954F57" w:rsidRPr="00BA7190" w:rsidRDefault="00954F57" w:rsidP="00954F57">
      <w:pPr>
        <w:autoSpaceDE w:val="0"/>
        <w:autoSpaceDN w:val="0"/>
        <w:adjustRightInd w:val="0"/>
        <w:ind w:left="0" w:firstLine="0"/>
        <w:rPr>
          <w:rFonts w:eastAsia="TimesNewRomanPSMT"/>
          <w:szCs w:val="22"/>
          <w:lang w:eastAsia="en-US"/>
        </w:rPr>
      </w:pPr>
    </w:p>
    <w:p w14:paraId="5AACC8F3" w14:textId="77777777" w:rsidR="00EE6E61" w:rsidRPr="00BA7190" w:rsidRDefault="000D0A90" w:rsidP="00C92B0B">
      <w:pPr>
        <w:rPr>
          <w:b/>
          <w:szCs w:val="22"/>
        </w:rPr>
      </w:pPr>
      <w:r w:rsidRPr="00BA7190">
        <w:rPr>
          <w:b/>
          <w:szCs w:val="22"/>
        </w:rPr>
        <w:t>5</w:t>
      </w:r>
      <w:r w:rsidR="00EE6E61" w:rsidRPr="00BA7190">
        <w:rPr>
          <w:b/>
          <w:szCs w:val="22"/>
        </w:rPr>
        <w:t>.2</w:t>
      </w:r>
      <w:r w:rsidR="00512679" w:rsidRPr="00BA7190">
        <w:rPr>
          <w:b/>
          <w:szCs w:val="22"/>
        </w:rPr>
        <w:tab/>
      </w:r>
      <w:r w:rsidR="00EE6E61" w:rsidRPr="00BA7190">
        <w:rPr>
          <w:b/>
          <w:szCs w:val="22"/>
        </w:rPr>
        <w:t>Farmakokinetické vlastnosti</w:t>
      </w:r>
    </w:p>
    <w:p w14:paraId="31A5FD47" w14:textId="77777777" w:rsidR="00A61A1D" w:rsidRPr="00BA7190" w:rsidRDefault="00A61A1D" w:rsidP="00C92B0B">
      <w:pPr>
        <w:ind w:left="0" w:firstLine="0"/>
        <w:rPr>
          <w:i/>
          <w:szCs w:val="22"/>
        </w:rPr>
      </w:pPr>
    </w:p>
    <w:p w14:paraId="47F24EF4" w14:textId="77777777" w:rsidR="00954F57" w:rsidRPr="00BA7190" w:rsidRDefault="00954F57" w:rsidP="00954F57">
      <w:pPr>
        <w:autoSpaceDE w:val="0"/>
        <w:autoSpaceDN w:val="0"/>
        <w:adjustRightInd w:val="0"/>
        <w:ind w:left="0" w:firstLine="0"/>
        <w:rPr>
          <w:rFonts w:eastAsia="TimesNewRomanPSMT"/>
          <w:szCs w:val="22"/>
          <w:lang w:eastAsia="en-US"/>
        </w:rPr>
      </w:pPr>
      <w:r w:rsidRPr="00BA7190">
        <w:rPr>
          <w:rFonts w:eastAsia="TimesNewRomanPSMT"/>
          <w:szCs w:val="22"/>
          <w:lang w:eastAsia="en-US"/>
        </w:rPr>
        <w:t>Lenalidomid má asymetrický atóm uhlíka a môže preto existovať v opticky aktívnych formách S(-)</w:t>
      </w:r>
      <w:r w:rsidR="006C2ABF" w:rsidRPr="00BA7190">
        <w:rPr>
          <w:rFonts w:eastAsia="TimesNewRomanPSMT"/>
          <w:szCs w:val="22"/>
          <w:lang w:eastAsia="en-US"/>
        </w:rPr>
        <w:t xml:space="preserve"> a </w:t>
      </w:r>
      <w:r w:rsidRPr="00BA7190">
        <w:rPr>
          <w:rFonts w:eastAsia="TimesNewRomanPSMT"/>
          <w:szCs w:val="22"/>
          <w:lang w:eastAsia="en-US"/>
        </w:rPr>
        <w:t>R(+). Lenalidomid sa produkuje ako racemická zmes. Lenalidomid je všeobecne lepšie rozpustný</w:t>
      </w:r>
      <w:r w:rsidR="006C2ABF" w:rsidRPr="00BA7190">
        <w:rPr>
          <w:rFonts w:eastAsia="TimesNewRomanPSMT"/>
          <w:szCs w:val="22"/>
          <w:lang w:eastAsia="en-US"/>
        </w:rPr>
        <w:t xml:space="preserve"> </w:t>
      </w:r>
      <w:r w:rsidRPr="00BA7190">
        <w:rPr>
          <w:rFonts w:eastAsia="TimesNewRomanPSMT"/>
          <w:szCs w:val="22"/>
          <w:lang w:eastAsia="en-US"/>
        </w:rPr>
        <w:t>v</w:t>
      </w:r>
      <w:r w:rsidR="006C2ABF" w:rsidRPr="00BA7190">
        <w:rPr>
          <w:rFonts w:eastAsia="TimesNewRomanPSMT"/>
          <w:szCs w:val="22"/>
          <w:lang w:eastAsia="en-US"/>
        </w:rPr>
        <w:t> </w:t>
      </w:r>
      <w:r w:rsidRPr="00BA7190">
        <w:rPr>
          <w:rFonts w:eastAsia="TimesNewRomanPSMT"/>
          <w:szCs w:val="22"/>
          <w:lang w:eastAsia="en-US"/>
        </w:rPr>
        <w:t>organických rozpúšťadlách, ale najvyššiu rozpustnosť vykazuje v pufrovom roztoku 0,1N HCl.</w:t>
      </w:r>
    </w:p>
    <w:p w14:paraId="35CBCF64" w14:textId="77777777" w:rsidR="006C2ABF" w:rsidRPr="00BA7190" w:rsidRDefault="006C2ABF" w:rsidP="00954F57">
      <w:pPr>
        <w:autoSpaceDE w:val="0"/>
        <w:autoSpaceDN w:val="0"/>
        <w:adjustRightInd w:val="0"/>
        <w:ind w:left="0" w:firstLine="0"/>
        <w:rPr>
          <w:rFonts w:eastAsia="TimesNewRomanPSMT"/>
          <w:szCs w:val="22"/>
          <w:lang w:eastAsia="en-US"/>
        </w:rPr>
      </w:pPr>
    </w:p>
    <w:p w14:paraId="66E0069E" w14:textId="77777777" w:rsidR="00954F57" w:rsidRPr="00BA7190" w:rsidRDefault="00954F57" w:rsidP="00954F57">
      <w:pPr>
        <w:autoSpaceDE w:val="0"/>
        <w:autoSpaceDN w:val="0"/>
        <w:adjustRightInd w:val="0"/>
        <w:ind w:left="0" w:firstLine="0"/>
        <w:rPr>
          <w:rFonts w:eastAsia="TimesNewRomanPSMT"/>
          <w:szCs w:val="22"/>
          <w:u w:val="single"/>
          <w:lang w:eastAsia="en-US"/>
        </w:rPr>
      </w:pPr>
      <w:r w:rsidRPr="00BA7190">
        <w:rPr>
          <w:rFonts w:eastAsia="TimesNewRomanPSMT"/>
          <w:szCs w:val="22"/>
          <w:u w:val="single"/>
          <w:lang w:eastAsia="en-US"/>
        </w:rPr>
        <w:t>Absorpcia</w:t>
      </w:r>
    </w:p>
    <w:p w14:paraId="3B6ACCB1" w14:textId="17741352" w:rsidR="00954F57" w:rsidRPr="00BA7190" w:rsidRDefault="00954F57" w:rsidP="00954F57">
      <w:pPr>
        <w:autoSpaceDE w:val="0"/>
        <w:autoSpaceDN w:val="0"/>
        <w:adjustRightInd w:val="0"/>
        <w:ind w:left="0" w:firstLine="0"/>
        <w:rPr>
          <w:rFonts w:eastAsia="TimesNewRomanPSMT"/>
          <w:szCs w:val="22"/>
          <w:lang w:eastAsia="en-US"/>
        </w:rPr>
      </w:pPr>
      <w:r w:rsidRPr="00BA7190">
        <w:rPr>
          <w:rFonts w:eastAsia="TimesNewRomanPSMT"/>
          <w:szCs w:val="22"/>
          <w:lang w:eastAsia="en-US"/>
        </w:rPr>
        <w:t>Lenalidomid sa po perorálnom podaní zdravým dobrovoľníkom nalačno rýchlo absorbuje a dosahuje</w:t>
      </w:r>
      <w:r w:rsidR="006C2ABF" w:rsidRPr="00BA7190">
        <w:rPr>
          <w:rFonts w:eastAsia="TimesNewRomanPSMT"/>
          <w:szCs w:val="22"/>
          <w:lang w:eastAsia="en-US"/>
        </w:rPr>
        <w:t xml:space="preserve"> </w:t>
      </w:r>
      <w:r w:rsidRPr="00BA7190">
        <w:rPr>
          <w:rFonts w:eastAsia="TimesNewRomanPSMT"/>
          <w:szCs w:val="22"/>
          <w:lang w:eastAsia="en-US"/>
        </w:rPr>
        <w:t>maximálne koncentrácie v plazme 0,5 až 2 hodiny po podaní. U pacientov, rovnako ako u zdravých</w:t>
      </w:r>
      <w:r w:rsidR="006C2ABF" w:rsidRPr="00BA7190">
        <w:rPr>
          <w:rFonts w:eastAsia="TimesNewRomanPSMT"/>
          <w:szCs w:val="22"/>
          <w:lang w:eastAsia="en-US"/>
        </w:rPr>
        <w:t xml:space="preserve"> </w:t>
      </w:r>
      <w:r w:rsidRPr="00BA7190">
        <w:rPr>
          <w:rFonts w:eastAsia="TimesNewRomanPSMT"/>
          <w:szCs w:val="22"/>
          <w:lang w:eastAsia="en-US"/>
        </w:rPr>
        <w:t>dobrovoľníkov, sa maximálna koncentrácia (C</w:t>
      </w:r>
      <w:r w:rsidRPr="00BA7190">
        <w:rPr>
          <w:rFonts w:eastAsia="TimesNewRomanPSMT"/>
          <w:szCs w:val="22"/>
          <w:vertAlign w:val="subscript"/>
          <w:lang w:eastAsia="en-US"/>
        </w:rPr>
        <w:t>max</w:t>
      </w:r>
      <w:r w:rsidRPr="00BA7190">
        <w:rPr>
          <w:rFonts w:eastAsia="TimesNewRomanPSMT"/>
          <w:szCs w:val="22"/>
          <w:lang w:eastAsia="en-US"/>
        </w:rPr>
        <w:t xml:space="preserve">) a plocha pod krivkou </w:t>
      </w:r>
      <w:r w:rsidR="00BA4679">
        <w:rPr>
          <w:rFonts w:eastAsia="TimesNewRomanPSMT"/>
          <w:szCs w:val="22"/>
          <w:lang w:eastAsia="en-US"/>
        </w:rPr>
        <w:t xml:space="preserve">závislosti </w:t>
      </w:r>
      <w:r w:rsidRPr="00BA7190">
        <w:rPr>
          <w:rFonts w:eastAsia="TimesNewRomanPSMT"/>
          <w:szCs w:val="22"/>
          <w:lang w:eastAsia="en-US"/>
        </w:rPr>
        <w:t>času a koncentrácie (AUC)</w:t>
      </w:r>
      <w:r w:rsidR="006C2ABF" w:rsidRPr="00BA7190">
        <w:rPr>
          <w:rFonts w:eastAsia="TimesNewRomanPSMT"/>
          <w:szCs w:val="22"/>
          <w:lang w:eastAsia="en-US"/>
        </w:rPr>
        <w:t xml:space="preserve"> </w:t>
      </w:r>
      <w:r w:rsidRPr="00BA7190">
        <w:rPr>
          <w:rFonts w:eastAsia="TimesNewRomanPSMT"/>
          <w:szCs w:val="22"/>
          <w:lang w:eastAsia="en-US"/>
        </w:rPr>
        <w:t>zvyšujú úmerne so zvyšovaním dávky.</w:t>
      </w:r>
      <w:r w:rsidR="00BA4679">
        <w:rPr>
          <w:rFonts w:eastAsia="TimesNewRomanPSMT"/>
          <w:szCs w:val="22"/>
          <w:lang w:eastAsia="en-US"/>
        </w:rPr>
        <w:t xml:space="preserve"> Opakované</w:t>
      </w:r>
      <w:r w:rsidRPr="00BA7190">
        <w:rPr>
          <w:rFonts w:eastAsia="TimesNewRomanPSMT"/>
          <w:szCs w:val="22"/>
          <w:lang w:eastAsia="en-US"/>
        </w:rPr>
        <w:t xml:space="preserve"> dávky nespôsobujú značnú akumuláciu lieku.</w:t>
      </w:r>
      <w:r w:rsidR="006C2ABF" w:rsidRPr="00BA7190">
        <w:rPr>
          <w:rFonts w:eastAsia="TimesNewRomanPSMT"/>
          <w:szCs w:val="22"/>
          <w:lang w:eastAsia="en-US"/>
        </w:rPr>
        <w:t xml:space="preserve"> </w:t>
      </w:r>
      <w:r w:rsidRPr="00BA7190">
        <w:rPr>
          <w:rFonts w:eastAsia="TimesNewRomanPSMT"/>
          <w:szCs w:val="22"/>
          <w:lang w:eastAsia="en-US"/>
        </w:rPr>
        <w:t>Relatívna expozícia S- a R- stereoizomérom lenalidomidu v plazme je približne 56</w:t>
      </w:r>
      <w:r w:rsidR="006C2ABF" w:rsidRPr="00BA7190">
        <w:rPr>
          <w:rFonts w:eastAsia="TimesNewRomanPSMT"/>
          <w:szCs w:val="22"/>
          <w:lang w:eastAsia="en-US"/>
        </w:rPr>
        <w:t>% a 44</w:t>
      </w:r>
      <w:r w:rsidRPr="00BA7190">
        <w:rPr>
          <w:rFonts w:eastAsia="TimesNewRomanPSMT"/>
          <w:szCs w:val="22"/>
          <w:lang w:eastAsia="en-US"/>
        </w:rPr>
        <w:t>%.</w:t>
      </w:r>
    </w:p>
    <w:p w14:paraId="0B3B6E5B" w14:textId="77777777" w:rsidR="006C2ABF" w:rsidRPr="00BA7190" w:rsidRDefault="006C2ABF" w:rsidP="00954F57">
      <w:pPr>
        <w:autoSpaceDE w:val="0"/>
        <w:autoSpaceDN w:val="0"/>
        <w:adjustRightInd w:val="0"/>
        <w:ind w:left="0" w:firstLine="0"/>
        <w:rPr>
          <w:rFonts w:eastAsia="TimesNewRomanPSMT"/>
          <w:szCs w:val="22"/>
          <w:lang w:eastAsia="en-US"/>
        </w:rPr>
      </w:pPr>
    </w:p>
    <w:p w14:paraId="02055A8D" w14:textId="77777777" w:rsidR="00954F57" w:rsidRPr="00BA7190" w:rsidRDefault="00954F57" w:rsidP="00954F57">
      <w:pPr>
        <w:autoSpaceDE w:val="0"/>
        <w:autoSpaceDN w:val="0"/>
        <w:adjustRightInd w:val="0"/>
        <w:ind w:left="0" w:firstLine="0"/>
        <w:rPr>
          <w:rFonts w:eastAsia="TimesNewRomanPSMT"/>
          <w:szCs w:val="22"/>
          <w:lang w:eastAsia="en-US"/>
        </w:rPr>
      </w:pPr>
      <w:r w:rsidRPr="00BA7190">
        <w:rPr>
          <w:rFonts w:eastAsia="TimesNewRomanPSMT"/>
          <w:szCs w:val="22"/>
          <w:lang w:eastAsia="en-US"/>
        </w:rPr>
        <w:t>Súbežné podávanie s vysokokalorickým jedlom s vysokým obsahom tukov u zdravých dobrovoľníkov</w:t>
      </w:r>
      <w:r w:rsidR="006C2ABF" w:rsidRPr="00BA7190">
        <w:rPr>
          <w:rFonts w:eastAsia="TimesNewRomanPSMT"/>
          <w:szCs w:val="22"/>
          <w:lang w:eastAsia="en-US"/>
        </w:rPr>
        <w:t xml:space="preserve"> </w:t>
      </w:r>
      <w:r w:rsidRPr="00BA7190">
        <w:rPr>
          <w:rFonts w:eastAsia="TimesNewRomanPSMT"/>
          <w:szCs w:val="22"/>
          <w:lang w:eastAsia="en-US"/>
        </w:rPr>
        <w:t>znižuje mieru absorpcie, čo má za následok zníženie plochy pod krivkou závislosti koncentrácie a času</w:t>
      </w:r>
      <w:r w:rsidR="006C2ABF" w:rsidRPr="00BA7190">
        <w:rPr>
          <w:rFonts w:eastAsia="TimesNewRomanPSMT"/>
          <w:szCs w:val="22"/>
          <w:lang w:eastAsia="en-US"/>
        </w:rPr>
        <w:t xml:space="preserve"> </w:t>
      </w:r>
      <w:r w:rsidRPr="00BA7190">
        <w:rPr>
          <w:rFonts w:eastAsia="TimesNewRomanPSMT"/>
          <w:szCs w:val="22"/>
          <w:lang w:eastAsia="en-US"/>
        </w:rPr>
        <w:t>(AUC) približne o 20% a zníženie C</w:t>
      </w:r>
      <w:r w:rsidRPr="00893070">
        <w:rPr>
          <w:rFonts w:eastAsia="TimesNewRomanPSMT"/>
          <w:vertAlign w:val="subscript"/>
        </w:rPr>
        <w:t>max</w:t>
      </w:r>
      <w:r w:rsidRPr="00BA7190">
        <w:rPr>
          <w:rFonts w:eastAsia="TimesNewRomanPSMT"/>
          <w:szCs w:val="22"/>
          <w:lang w:eastAsia="en-US"/>
        </w:rPr>
        <w:t xml:space="preserve"> v plazme o 50</w:t>
      </w:r>
      <w:r w:rsidR="006C2ABF" w:rsidRPr="00BA7190">
        <w:rPr>
          <w:rFonts w:eastAsia="TimesNewRomanPSMT"/>
          <w:szCs w:val="22"/>
          <w:lang w:eastAsia="en-US"/>
        </w:rPr>
        <w:t xml:space="preserve"> </w:t>
      </w:r>
      <w:r w:rsidRPr="00BA7190">
        <w:rPr>
          <w:rFonts w:eastAsia="TimesNewRomanPSMT"/>
          <w:szCs w:val="22"/>
          <w:lang w:eastAsia="en-US"/>
        </w:rPr>
        <w:t>%. V hlavných registračných štúdiách</w:t>
      </w:r>
      <w:r w:rsidR="006C2ABF" w:rsidRPr="00BA7190">
        <w:rPr>
          <w:rFonts w:eastAsia="TimesNewRomanPSMT"/>
          <w:szCs w:val="22"/>
          <w:lang w:eastAsia="en-US"/>
        </w:rPr>
        <w:t xml:space="preserve"> </w:t>
      </w:r>
      <w:r w:rsidRPr="00BA7190">
        <w:rPr>
          <w:rFonts w:eastAsia="TimesNewRomanPSMT"/>
          <w:szCs w:val="22"/>
          <w:lang w:eastAsia="en-US"/>
        </w:rPr>
        <w:t>s mnohopočetným myelómom a myelodysplastickým syndrómom, v ktorých sa stanovila bezpečnosť</w:t>
      </w:r>
      <w:r w:rsidR="006C2ABF" w:rsidRPr="00BA7190">
        <w:rPr>
          <w:rFonts w:eastAsia="TimesNewRomanPSMT"/>
          <w:szCs w:val="22"/>
          <w:lang w:eastAsia="en-US"/>
        </w:rPr>
        <w:t xml:space="preserve"> </w:t>
      </w:r>
      <w:r w:rsidRPr="00BA7190">
        <w:rPr>
          <w:rFonts w:eastAsia="TimesNewRomanPSMT"/>
          <w:szCs w:val="22"/>
          <w:lang w:eastAsia="en-US"/>
        </w:rPr>
        <w:t>a účinnosť lenalidomidu, bol však liek podávaný bez ohľadu na príjem jedla. A tak sa môže lenalidomid</w:t>
      </w:r>
      <w:r w:rsidR="006C2ABF" w:rsidRPr="00BA7190">
        <w:rPr>
          <w:rFonts w:eastAsia="TimesNewRomanPSMT"/>
          <w:szCs w:val="22"/>
          <w:lang w:eastAsia="en-US"/>
        </w:rPr>
        <w:t xml:space="preserve"> </w:t>
      </w:r>
      <w:r w:rsidRPr="00BA7190">
        <w:rPr>
          <w:rFonts w:eastAsia="TimesNewRomanPSMT"/>
          <w:szCs w:val="22"/>
          <w:lang w:eastAsia="en-US"/>
        </w:rPr>
        <w:t>podávať s jedlom alebo bez jedla.</w:t>
      </w:r>
    </w:p>
    <w:p w14:paraId="226F7D42" w14:textId="77777777" w:rsidR="006C2ABF" w:rsidRPr="00BA7190" w:rsidRDefault="006C2ABF" w:rsidP="00954F57">
      <w:pPr>
        <w:autoSpaceDE w:val="0"/>
        <w:autoSpaceDN w:val="0"/>
        <w:adjustRightInd w:val="0"/>
        <w:ind w:left="0" w:firstLine="0"/>
        <w:rPr>
          <w:rFonts w:eastAsia="TimesNewRomanPSMT"/>
          <w:szCs w:val="22"/>
          <w:lang w:eastAsia="en-US"/>
        </w:rPr>
      </w:pPr>
    </w:p>
    <w:p w14:paraId="2A252300" w14:textId="77777777" w:rsidR="00954F57" w:rsidRPr="00BA7190" w:rsidRDefault="00954F57" w:rsidP="00954F57">
      <w:pPr>
        <w:autoSpaceDE w:val="0"/>
        <w:autoSpaceDN w:val="0"/>
        <w:adjustRightInd w:val="0"/>
        <w:ind w:left="0" w:firstLine="0"/>
        <w:rPr>
          <w:rFonts w:eastAsia="TimesNewRomanPSMT"/>
          <w:szCs w:val="22"/>
          <w:u w:val="single"/>
          <w:lang w:eastAsia="en-US"/>
        </w:rPr>
      </w:pPr>
      <w:r w:rsidRPr="00BA7190">
        <w:rPr>
          <w:rFonts w:eastAsia="TimesNewRomanPSMT"/>
          <w:szCs w:val="22"/>
          <w:u w:val="single"/>
          <w:lang w:eastAsia="en-US"/>
        </w:rPr>
        <w:lastRenderedPageBreak/>
        <w:t>Distribúcia</w:t>
      </w:r>
    </w:p>
    <w:p w14:paraId="6DBC6F32" w14:textId="77777777" w:rsidR="00954F57" w:rsidRPr="00BA7190" w:rsidRDefault="00954F57" w:rsidP="00954F57">
      <w:pPr>
        <w:autoSpaceDE w:val="0"/>
        <w:autoSpaceDN w:val="0"/>
        <w:adjustRightInd w:val="0"/>
        <w:ind w:left="0" w:firstLine="0"/>
        <w:rPr>
          <w:rFonts w:eastAsia="TimesNewRomanPSMT"/>
          <w:szCs w:val="22"/>
          <w:lang w:eastAsia="en-US"/>
        </w:rPr>
      </w:pPr>
      <w:r w:rsidRPr="00BA7190">
        <w:rPr>
          <w:rFonts w:eastAsia="TimesNewRomanPSMT"/>
          <w:i/>
          <w:iCs/>
          <w:szCs w:val="22"/>
          <w:lang w:eastAsia="en-US"/>
        </w:rPr>
        <w:t xml:space="preserve">In vitro </w:t>
      </w:r>
      <w:r w:rsidRPr="00BA7190">
        <w:rPr>
          <w:rFonts w:eastAsia="TimesNewRomanPSMT"/>
          <w:szCs w:val="22"/>
          <w:lang w:eastAsia="en-US"/>
        </w:rPr>
        <w:t>bolo viazanie (</w:t>
      </w:r>
      <w:r w:rsidRPr="00BA7190">
        <w:rPr>
          <w:rFonts w:eastAsia="TimesNewRomanPSMT"/>
          <w:szCs w:val="22"/>
          <w:vertAlign w:val="superscript"/>
          <w:lang w:eastAsia="en-US"/>
        </w:rPr>
        <w:t>14</w:t>
      </w:r>
      <w:r w:rsidRPr="00BA7190">
        <w:rPr>
          <w:rFonts w:eastAsia="TimesNewRomanPSMT"/>
          <w:szCs w:val="22"/>
          <w:lang w:eastAsia="en-US"/>
        </w:rPr>
        <w:t>C)-lenalidomidu na proteíny v plazme nízke, s priemerným viazaním na proteíny</w:t>
      </w:r>
      <w:r w:rsidR="006C2ABF" w:rsidRPr="00BA7190">
        <w:rPr>
          <w:rFonts w:eastAsia="TimesNewRomanPSMT"/>
          <w:szCs w:val="22"/>
          <w:lang w:eastAsia="en-US"/>
        </w:rPr>
        <w:t xml:space="preserve"> </w:t>
      </w:r>
      <w:r w:rsidRPr="00BA7190">
        <w:rPr>
          <w:rFonts w:eastAsia="TimesNewRomanPSMT"/>
          <w:szCs w:val="22"/>
          <w:lang w:eastAsia="en-US"/>
        </w:rPr>
        <w:t>v plazme na úrovni 23% u pacientov s mnohopočetným myelómom a 29% u zdravých dobrovoľníkov.</w:t>
      </w:r>
      <w:r w:rsidR="006C2ABF" w:rsidRPr="00BA7190">
        <w:rPr>
          <w:rFonts w:eastAsia="TimesNewRomanPSMT"/>
          <w:szCs w:val="22"/>
          <w:lang w:eastAsia="en-US"/>
        </w:rPr>
        <w:t xml:space="preserve"> </w:t>
      </w:r>
    </w:p>
    <w:p w14:paraId="7102B3D8" w14:textId="77777777" w:rsidR="006C2ABF" w:rsidRPr="00BA7190" w:rsidRDefault="006C2ABF" w:rsidP="00954F57">
      <w:pPr>
        <w:autoSpaceDE w:val="0"/>
        <w:autoSpaceDN w:val="0"/>
        <w:adjustRightInd w:val="0"/>
        <w:ind w:left="0" w:firstLine="0"/>
        <w:rPr>
          <w:rFonts w:eastAsia="TimesNewRomanPSMT"/>
          <w:szCs w:val="22"/>
          <w:lang w:eastAsia="en-US"/>
        </w:rPr>
      </w:pPr>
    </w:p>
    <w:p w14:paraId="0FBA47DA" w14:textId="77777777" w:rsidR="00954F57" w:rsidRPr="00BA7190" w:rsidRDefault="00954F57" w:rsidP="00954F57">
      <w:pPr>
        <w:autoSpaceDE w:val="0"/>
        <w:autoSpaceDN w:val="0"/>
        <w:adjustRightInd w:val="0"/>
        <w:ind w:left="0" w:firstLine="0"/>
        <w:rPr>
          <w:rFonts w:eastAsia="TimesNewRomanPSMT"/>
          <w:szCs w:val="22"/>
          <w:lang w:eastAsia="en-US"/>
        </w:rPr>
      </w:pPr>
      <w:r w:rsidRPr="00BA7190">
        <w:rPr>
          <w:rFonts w:eastAsia="TimesNewRomanPSMT"/>
          <w:szCs w:val="22"/>
          <w:lang w:eastAsia="en-US"/>
        </w:rPr>
        <w:t>Lenalidomid je prítomný v ľudskej sperme (&lt;</w:t>
      </w:r>
      <w:r w:rsidR="006C2ABF" w:rsidRPr="00BA7190">
        <w:rPr>
          <w:rFonts w:eastAsia="TimesNewRomanPSMT"/>
          <w:szCs w:val="22"/>
          <w:lang w:eastAsia="en-US"/>
        </w:rPr>
        <w:t> </w:t>
      </w:r>
      <w:r w:rsidRPr="00BA7190">
        <w:rPr>
          <w:rFonts w:eastAsia="TimesNewRomanPSMT"/>
          <w:szCs w:val="22"/>
          <w:lang w:eastAsia="en-US"/>
        </w:rPr>
        <w:t>0,01% dávky) po podaní 25</w:t>
      </w:r>
      <w:r w:rsidR="006C2ABF" w:rsidRPr="00BA7190">
        <w:rPr>
          <w:rFonts w:eastAsia="TimesNewRomanPSMT"/>
          <w:szCs w:val="22"/>
          <w:lang w:eastAsia="en-US"/>
        </w:rPr>
        <w:t> </w:t>
      </w:r>
      <w:r w:rsidRPr="00BA7190">
        <w:rPr>
          <w:rFonts w:eastAsia="TimesNewRomanPSMT"/>
          <w:szCs w:val="22"/>
          <w:lang w:eastAsia="en-US"/>
        </w:rPr>
        <w:t>mg/deň a 3 dni po ukončení</w:t>
      </w:r>
      <w:r w:rsidR="006C2ABF" w:rsidRPr="00BA7190">
        <w:rPr>
          <w:rFonts w:eastAsia="TimesNewRomanPSMT"/>
          <w:szCs w:val="22"/>
          <w:lang w:eastAsia="en-US"/>
        </w:rPr>
        <w:t xml:space="preserve"> </w:t>
      </w:r>
      <w:r w:rsidRPr="00BA7190">
        <w:rPr>
          <w:rFonts w:eastAsia="TimesNewRomanPSMT"/>
          <w:szCs w:val="22"/>
          <w:lang w:eastAsia="en-US"/>
        </w:rPr>
        <w:t>užívania je liek nedetekovateľný v sperme zdravých osôb (pozri časť 4.4).</w:t>
      </w:r>
    </w:p>
    <w:p w14:paraId="78633CB3" w14:textId="77777777" w:rsidR="006C2ABF" w:rsidRPr="00BA7190" w:rsidRDefault="006C2ABF" w:rsidP="006C2ABF">
      <w:pPr>
        <w:autoSpaceDE w:val="0"/>
        <w:autoSpaceDN w:val="0"/>
        <w:adjustRightInd w:val="0"/>
        <w:ind w:left="0" w:firstLine="0"/>
        <w:rPr>
          <w:rFonts w:eastAsia="TimesNewRoman"/>
          <w:szCs w:val="22"/>
          <w:u w:val="single"/>
          <w:lang w:eastAsia="en-US"/>
        </w:rPr>
      </w:pPr>
    </w:p>
    <w:p w14:paraId="121C9C50" w14:textId="77777777" w:rsidR="006C2ABF" w:rsidRPr="00BA7190" w:rsidRDefault="006C2ABF" w:rsidP="006C2ABF">
      <w:pPr>
        <w:autoSpaceDE w:val="0"/>
        <w:autoSpaceDN w:val="0"/>
        <w:adjustRightInd w:val="0"/>
        <w:ind w:left="0" w:firstLine="0"/>
        <w:rPr>
          <w:szCs w:val="22"/>
          <w:u w:val="single"/>
          <w:lang w:eastAsia="en-US"/>
        </w:rPr>
      </w:pPr>
      <w:r w:rsidRPr="00BA7190">
        <w:rPr>
          <w:szCs w:val="22"/>
          <w:u w:val="single"/>
          <w:lang w:eastAsia="en-US"/>
        </w:rPr>
        <w:t>Biotransformácia a eliminácia</w:t>
      </w:r>
    </w:p>
    <w:p w14:paraId="6EA55126" w14:textId="77777777" w:rsidR="006C2ABF" w:rsidRPr="00BA7190" w:rsidRDefault="006C2ABF" w:rsidP="006C2ABF">
      <w:pPr>
        <w:autoSpaceDE w:val="0"/>
        <w:autoSpaceDN w:val="0"/>
        <w:adjustRightInd w:val="0"/>
        <w:ind w:left="0" w:firstLine="0"/>
        <w:rPr>
          <w:szCs w:val="22"/>
          <w:lang w:eastAsia="en-US"/>
        </w:rPr>
      </w:pPr>
      <w:r w:rsidRPr="00BA7190">
        <w:rPr>
          <w:rFonts w:eastAsia="TimesNewRomanPSMT"/>
          <w:szCs w:val="22"/>
          <w:lang w:eastAsia="en-US"/>
        </w:rPr>
        <w:t xml:space="preserve">Výsledky metabolických štúdií ľudí </w:t>
      </w:r>
      <w:r w:rsidRPr="00BA7190">
        <w:rPr>
          <w:i/>
          <w:iCs/>
          <w:szCs w:val="22"/>
          <w:lang w:eastAsia="en-US"/>
        </w:rPr>
        <w:t xml:space="preserve">in vitro </w:t>
      </w:r>
      <w:r w:rsidRPr="00BA7190">
        <w:rPr>
          <w:szCs w:val="22"/>
          <w:lang w:eastAsia="en-US"/>
        </w:rPr>
        <w:t xml:space="preserve">preukázali, </w:t>
      </w:r>
      <w:r w:rsidRPr="00BA7190">
        <w:rPr>
          <w:rFonts w:eastAsia="TimesNewRomanPSMT"/>
          <w:szCs w:val="22"/>
          <w:lang w:eastAsia="en-US"/>
        </w:rPr>
        <w:t>ž</w:t>
      </w:r>
      <w:r w:rsidRPr="00BA7190">
        <w:rPr>
          <w:szCs w:val="22"/>
          <w:lang w:eastAsia="en-US"/>
        </w:rPr>
        <w:t>e lenalidomid nie je metabolizovaný</w:t>
      </w:r>
      <w:r w:rsidR="002D190B" w:rsidRPr="00BA7190">
        <w:rPr>
          <w:szCs w:val="22"/>
          <w:lang w:eastAsia="en-US"/>
        </w:rPr>
        <w:t xml:space="preserve"> </w:t>
      </w:r>
      <w:r w:rsidRPr="00BA7190">
        <w:rPr>
          <w:rFonts w:eastAsia="TimesNewRomanPSMT"/>
          <w:szCs w:val="22"/>
          <w:lang w:eastAsia="en-US"/>
        </w:rPr>
        <w:t>prostredníctvom enzýmov cytochrómu P450, čo naznačuje, že podávanie lenalidomidu s liekmi, ktoré</w:t>
      </w:r>
      <w:r w:rsidR="002D190B" w:rsidRPr="00BA7190">
        <w:rPr>
          <w:rFonts w:eastAsia="TimesNewRomanPSMT"/>
          <w:szCs w:val="22"/>
          <w:lang w:eastAsia="en-US"/>
        </w:rPr>
        <w:t xml:space="preserve"> </w:t>
      </w:r>
      <w:r w:rsidRPr="00BA7190">
        <w:rPr>
          <w:szCs w:val="22"/>
          <w:lang w:eastAsia="en-US"/>
        </w:rPr>
        <w:t>inhibujú enzýmy cytochrómu P450, pravdepodobne nevedie k metabolickým liekovým interakciám</w:t>
      </w:r>
      <w:r w:rsidR="002D190B" w:rsidRPr="00BA7190">
        <w:rPr>
          <w:szCs w:val="22"/>
          <w:lang w:eastAsia="en-US"/>
        </w:rPr>
        <w:t xml:space="preserve"> </w:t>
      </w:r>
      <w:r w:rsidRPr="00BA7190">
        <w:rPr>
          <w:rFonts w:eastAsia="TimesNewRomanPSMT"/>
          <w:szCs w:val="22"/>
          <w:lang w:eastAsia="en-US"/>
        </w:rPr>
        <w:t xml:space="preserve">u ľudí. </w:t>
      </w:r>
      <w:r w:rsidRPr="00BA7190">
        <w:rPr>
          <w:i/>
          <w:iCs/>
          <w:szCs w:val="22"/>
          <w:lang w:eastAsia="en-US"/>
        </w:rPr>
        <w:t xml:space="preserve">In vitro </w:t>
      </w:r>
      <w:r w:rsidRPr="00BA7190">
        <w:rPr>
          <w:rFonts w:eastAsia="TimesNewRomanPSMT"/>
          <w:szCs w:val="22"/>
          <w:lang w:eastAsia="en-US"/>
        </w:rPr>
        <w:t>štúdie naznačujú, že lenalidomid nemá inhibičný účinok na CYP1A2, CYP2C9,</w:t>
      </w:r>
      <w:r w:rsidR="002D190B" w:rsidRPr="00BA7190">
        <w:rPr>
          <w:rFonts w:eastAsia="TimesNewRomanPSMT"/>
          <w:szCs w:val="22"/>
          <w:lang w:eastAsia="en-US"/>
        </w:rPr>
        <w:t xml:space="preserve"> </w:t>
      </w:r>
      <w:r w:rsidRPr="00BA7190">
        <w:rPr>
          <w:szCs w:val="22"/>
          <w:lang w:eastAsia="en-US"/>
        </w:rPr>
        <w:t xml:space="preserve">CYP2C19, CYP2D6, CYP2E1, CYP3A alebo UGT1A1. Preto je pravdepodobné, </w:t>
      </w:r>
      <w:r w:rsidRPr="00BA7190">
        <w:rPr>
          <w:rFonts w:eastAsia="TimesNewRomanPSMT"/>
          <w:szCs w:val="22"/>
          <w:lang w:eastAsia="en-US"/>
        </w:rPr>
        <w:t>ž</w:t>
      </w:r>
      <w:r w:rsidRPr="00BA7190">
        <w:rPr>
          <w:szCs w:val="22"/>
          <w:lang w:eastAsia="en-US"/>
        </w:rPr>
        <w:t>e lenalidomid</w:t>
      </w:r>
      <w:r w:rsidR="002D190B" w:rsidRPr="00BA7190">
        <w:rPr>
          <w:szCs w:val="22"/>
          <w:lang w:eastAsia="en-US"/>
        </w:rPr>
        <w:t xml:space="preserve"> </w:t>
      </w:r>
      <w:r w:rsidRPr="00BA7190">
        <w:rPr>
          <w:szCs w:val="22"/>
          <w:lang w:eastAsia="en-US"/>
        </w:rPr>
        <w:t>nespôsobí klinicky významné liekové interakcie pri súbe</w:t>
      </w:r>
      <w:r w:rsidRPr="00BA7190">
        <w:rPr>
          <w:rFonts w:eastAsia="TimesNewRomanPSMT"/>
          <w:szCs w:val="22"/>
          <w:lang w:eastAsia="en-US"/>
        </w:rPr>
        <w:t>ž</w:t>
      </w:r>
      <w:r w:rsidRPr="00BA7190">
        <w:rPr>
          <w:szCs w:val="22"/>
          <w:lang w:eastAsia="en-US"/>
        </w:rPr>
        <w:t>nom podávaní so substrátmi týchto enzýmov.</w:t>
      </w:r>
    </w:p>
    <w:p w14:paraId="5726FF76" w14:textId="77777777" w:rsidR="002D190B" w:rsidRPr="00BA7190" w:rsidRDefault="002D190B" w:rsidP="006C2ABF">
      <w:pPr>
        <w:autoSpaceDE w:val="0"/>
        <w:autoSpaceDN w:val="0"/>
        <w:adjustRightInd w:val="0"/>
        <w:ind w:left="0" w:firstLine="0"/>
        <w:rPr>
          <w:rFonts w:eastAsia="TimesNewRomanPSMT"/>
          <w:szCs w:val="22"/>
          <w:lang w:eastAsia="en-US"/>
        </w:rPr>
      </w:pPr>
    </w:p>
    <w:p w14:paraId="0E2337FF" w14:textId="2B43B6BB" w:rsidR="002D190B" w:rsidRPr="00BA7190" w:rsidRDefault="006C2ABF" w:rsidP="002D190B">
      <w:pPr>
        <w:autoSpaceDE w:val="0"/>
        <w:autoSpaceDN w:val="0"/>
        <w:adjustRightInd w:val="0"/>
        <w:ind w:left="0" w:firstLine="0"/>
        <w:rPr>
          <w:szCs w:val="22"/>
          <w:lang w:eastAsia="en-US"/>
        </w:rPr>
      </w:pPr>
      <w:r w:rsidRPr="00BA7190">
        <w:rPr>
          <w:rFonts w:eastAsia="TimesNewRomanPSMT"/>
          <w:szCs w:val="22"/>
          <w:lang w:eastAsia="en-US"/>
        </w:rPr>
        <w:t xml:space="preserve">Štúdie uskutočnené </w:t>
      </w:r>
      <w:r w:rsidRPr="00BA7190">
        <w:rPr>
          <w:i/>
          <w:iCs/>
          <w:szCs w:val="22"/>
          <w:lang w:eastAsia="en-US"/>
        </w:rPr>
        <w:t xml:space="preserve">in vitro </w:t>
      </w:r>
      <w:r w:rsidRPr="00BA7190">
        <w:rPr>
          <w:rFonts w:eastAsia="TimesNewRomanPSMT"/>
          <w:szCs w:val="22"/>
          <w:lang w:eastAsia="en-US"/>
        </w:rPr>
        <w:t>naznačujú, že lenalidomid nie je substrátom proteín</w:t>
      </w:r>
      <w:r w:rsidR="00BA4679">
        <w:rPr>
          <w:rFonts w:eastAsia="TimesNewRomanPSMT"/>
          <w:szCs w:val="22"/>
          <w:lang w:eastAsia="en-US"/>
        </w:rPr>
        <w:t>u</w:t>
      </w:r>
      <w:r w:rsidRPr="00BA7190">
        <w:rPr>
          <w:rFonts w:eastAsia="TimesNewRomanPSMT"/>
          <w:szCs w:val="22"/>
          <w:lang w:eastAsia="en-US"/>
        </w:rPr>
        <w:t xml:space="preserve"> rezistencie karcinómu</w:t>
      </w:r>
      <w:r w:rsidR="002D190B" w:rsidRPr="00BA7190">
        <w:rPr>
          <w:rFonts w:eastAsia="TimesNewRomanPSMT"/>
          <w:szCs w:val="22"/>
          <w:lang w:eastAsia="en-US"/>
        </w:rPr>
        <w:t xml:space="preserve"> </w:t>
      </w:r>
      <w:r w:rsidRPr="00BA7190">
        <w:rPr>
          <w:rFonts w:eastAsia="TimesNewRomanPSMT"/>
          <w:szCs w:val="22"/>
          <w:lang w:eastAsia="en-US"/>
        </w:rPr>
        <w:t xml:space="preserve">prsníka (breast cancer resistance protein, BCRP) u ľudí, </w:t>
      </w:r>
      <w:r w:rsidR="00BA4679" w:rsidRPr="00BA4679">
        <w:rPr>
          <w:rFonts w:eastAsia="TimesNewRomanPSMT"/>
          <w:szCs w:val="22"/>
          <w:lang w:eastAsia="en-US"/>
        </w:rPr>
        <w:t>transportných proteínov vyvolávajúce rezistenciu na viaceré lieky</w:t>
      </w:r>
      <w:r w:rsidRPr="00BA7190">
        <w:rPr>
          <w:rFonts w:eastAsia="TimesNewRomanPSMT"/>
          <w:szCs w:val="22"/>
          <w:lang w:eastAsia="en-US"/>
        </w:rPr>
        <w:t xml:space="preserve"> MRP1, MRP2 alebo MRP3</w:t>
      </w:r>
      <w:r w:rsidR="002D190B" w:rsidRPr="00BA7190">
        <w:rPr>
          <w:rFonts w:eastAsia="TimesNewRomanPSMT"/>
          <w:szCs w:val="22"/>
          <w:lang w:eastAsia="en-US"/>
        </w:rPr>
        <w:t xml:space="preserve"> </w:t>
      </w:r>
      <w:r w:rsidRPr="00BA7190">
        <w:rPr>
          <w:szCs w:val="22"/>
          <w:lang w:eastAsia="en-US"/>
        </w:rPr>
        <w:t>spájaných s MRP (multidrug resistance protein, MRP), transportérov OAT1 a OAT3 pre organické</w:t>
      </w:r>
      <w:r w:rsidR="002D190B" w:rsidRPr="00BA7190">
        <w:rPr>
          <w:szCs w:val="22"/>
          <w:lang w:eastAsia="en-US"/>
        </w:rPr>
        <w:t xml:space="preserve"> </w:t>
      </w:r>
      <w:r w:rsidRPr="00BA7190">
        <w:rPr>
          <w:szCs w:val="22"/>
          <w:lang w:eastAsia="en-US"/>
        </w:rPr>
        <w:t>anióny (organic anion transporters, OAT), polypeptidového transportéru 1B1 pre organické anióny</w:t>
      </w:r>
      <w:r w:rsidR="002D190B" w:rsidRPr="00BA7190">
        <w:rPr>
          <w:szCs w:val="22"/>
          <w:lang w:eastAsia="en-US"/>
        </w:rPr>
        <w:t xml:space="preserve"> </w:t>
      </w:r>
      <w:r w:rsidRPr="00BA7190">
        <w:rPr>
          <w:szCs w:val="22"/>
          <w:lang w:eastAsia="en-US"/>
        </w:rPr>
        <w:t>(</w:t>
      </w:r>
      <w:r w:rsidR="00BA4679" w:rsidRPr="00BA4679">
        <w:rPr>
          <w:szCs w:val="22"/>
          <w:lang w:eastAsia="en-US"/>
        </w:rPr>
        <w:t>organic anion transporting polypeptide 1B1</w:t>
      </w:r>
      <w:r w:rsidR="00BA4679">
        <w:rPr>
          <w:szCs w:val="22"/>
          <w:lang w:eastAsia="en-US"/>
        </w:rPr>
        <w:t xml:space="preserve">, </w:t>
      </w:r>
      <w:r w:rsidRPr="00BA7190">
        <w:rPr>
          <w:szCs w:val="22"/>
          <w:lang w:eastAsia="en-US"/>
        </w:rPr>
        <w:t>OATP1B1), transportérov OCT1 a OCT2 pre organické katióny (organic cation transporter, OCT),</w:t>
      </w:r>
      <w:r w:rsidR="00BA4679">
        <w:rPr>
          <w:szCs w:val="22"/>
          <w:lang w:eastAsia="en-US"/>
        </w:rPr>
        <w:t xml:space="preserve"> </w:t>
      </w:r>
      <w:r w:rsidR="00BA4679" w:rsidRPr="00BA4679">
        <w:rPr>
          <w:szCs w:val="22"/>
          <w:lang w:eastAsia="en-US"/>
        </w:rPr>
        <w:t>proteínu vylučujúceho viaceré lieky a toxíny</w:t>
      </w:r>
      <w:r w:rsidR="002D190B" w:rsidRPr="00BA7190">
        <w:rPr>
          <w:szCs w:val="22"/>
          <w:lang w:eastAsia="en-US"/>
        </w:rPr>
        <w:t xml:space="preserve"> MATE1 (multidrug and toxin extrusion protein, MATE) a n</w:t>
      </w:r>
      <w:r w:rsidR="00BA4679">
        <w:rPr>
          <w:szCs w:val="22"/>
          <w:lang w:eastAsia="en-US"/>
        </w:rPr>
        <w:t>eobvyklých</w:t>
      </w:r>
      <w:r w:rsidR="002D190B" w:rsidRPr="00BA7190">
        <w:rPr>
          <w:szCs w:val="22"/>
          <w:lang w:eastAsia="en-US"/>
        </w:rPr>
        <w:t xml:space="preserve"> transportérov OCTN1 a OCTN2 pre organické katióny</w:t>
      </w:r>
      <w:r w:rsidR="00BA4679">
        <w:rPr>
          <w:szCs w:val="22"/>
          <w:lang w:eastAsia="en-US"/>
        </w:rPr>
        <w:t xml:space="preserve"> </w:t>
      </w:r>
      <w:r w:rsidR="00BA4679" w:rsidRPr="00BA4679">
        <w:rPr>
          <w:szCs w:val="22"/>
          <w:lang w:eastAsia="en-US"/>
        </w:rPr>
        <w:t>(organic cation transporters novel, OCTN)</w:t>
      </w:r>
      <w:r w:rsidR="002D190B" w:rsidRPr="00BA7190">
        <w:rPr>
          <w:szCs w:val="22"/>
          <w:lang w:eastAsia="en-US"/>
        </w:rPr>
        <w:t>.</w:t>
      </w:r>
    </w:p>
    <w:p w14:paraId="7827FB37" w14:textId="77777777" w:rsidR="002D190B" w:rsidRPr="00BA7190" w:rsidRDefault="002D190B" w:rsidP="002D190B">
      <w:pPr>
        <w:autoSpaceDE w:val="0"/>
        <w:autoSpaceDN w:val="0"/>
        <w:adjustRightInd w:val="0"/>
        <w:ind w:left="0" w:firstLine="0"/>
        <w:rPr>
          <w:i/>
          <w:iCs/>
          <w:szCs w:val="22"/>
          <w:lang w:eastAsia="en-US"/>
        </w:rPr>
      </w:pPr>
    </w:p>
    <w:p w14:paraId="30DD550F" w14:textId="77777777" w:rsidR="002D190B" w:rsidRPr="00BA7190" w:rsidRDefault="002D190B" w:rsidP="002D190B">
      <w:pPr>
        <w:autoSpaceDE w:val="0"/>
        <w:autoSpaceDN w:val="0"/>
        <w:adjustRightInd w:val="0"/>
        <w:ind w:left="0" w:firstLine="0"/>
        <w:rPr>
          <w:szCs w:val="22"/>
          <w:lang w:eastAsia="en-US"/>
        </w:rPr>
      </w:pPr>
      <w:r w:rsidRPr="00BA7190">
        <w:rPr>
          <w:i/>
          <w:iCs/>
          <w:szCs w:val="22"/>
          <w:lang w:eastAsia="en-US"/>
        </w:rPr>
        <w:t xml:space="preserve">In vitro </w:t>
      </w:r>
      <w:r w:rsidRPr="00BA7190">
        <w:rPr>
          <w:rFonts w:eastAsia="TimesNewRomanPSMT"/>
          <w:szCs w:val="22"/>
          <w:lang w:eastAsia="en-US"/>
        </w:rPr>
        <w:t xml:space="preserve">štúdie naznačujú, že lenalidomid nemá inhibičný účinok na exportnú pumpu žlčových solí u ľudí </w:t>
      </w:r>
      <w:r w:rsidRPr="00BA7190">
        <w:rPr>
          <w:szCs w:val="22"/>
          <w:lang w:eastAsia="en-US"/>
        </w:rPr>
        <w:t>(human bile salt export pump, BSEP), BCRP, MRP2, OAT1, OAT3, OATP1B1, OATP1B3 a OCT2.</w:t>
      </w:r>
    </w:p>
    <w:p w14:paraId="3614DF77" w14:textId="77777777" w:rsidR="002D190B" w:rsidRPr="00BA7190" w:rsidRDefault="002D190B" w:rsidP="002D190B">
      <w:pPr>
        <w:autoSpaceDE w:val="0"/>
        <w:autoSpaceDN w:val="0"/>
        <w:adjustRightInd w:val="0"/>
        <w:ind w:left="0" w:firstLine="0"/>
        <w:rPr>
          <w:rFonts w:eastAsia="TimesNewRomanPSMT"/>
          <w:szCs w:val="22"/>
          <w:lang w:eastAsia="en-US"/>
        </w:rPr>
      </w:pPr>
    </w:p>
    <w:p w14:paraId="59CDA8DA" w14:textId="77777777" w:rsidR="002D190B" w:rsidRPr="00BA7190" w:rsidRDefault="002D190B" w:rsidP="002D190B">
      <w:pPr>
        <w:autoSpaceDE w:val="0"/>
        <w:autoSpaceDN w:val="0"/>
        <w:adjustRightInd w:val="0"/>
        <w:ind w:left="0" w:firstLine="0"/>
        <w:rPr>
          <w:rFonts w:eastAsia="TimesNewRomanPSMT"/>
          <w:szCs w:val="22"/>
          <w:lang w:eastAsia="en-US"/>
        </w:rPr>
      </w:pPr>
      <w:r w:rsidRPr="00BA7190">
        <w:rPr>
          <w:rFonts w:eastAsia="TimesNewRomanPSMT"/>
          <w:szCs w:val="22"/>
          <w:lang w:eastAsia="en-US"/>
        </w:rPr>
        <w:t>Väčšia časť lenalidomidu sa vylúči renálnym vylučovaním. Podiel renálneho vylučovania v celkovom klírense u osôb s normálnou funkciou obličiek bol 90%, pričom 4% lenalidomidu sa vylúčilo stolicou.</w:t>
      </w:r>
    </w:p>
    <w:p w14:paraId="41D39E1E" w14:textId="77777777" w:rsidR="002D190B" w:rsidRPr="00BA7190" w:rsidRDefault="002D190B" w:rsidP="002D190B">
      <w:pPr>
        <w:autoSpaceDE w:val="0"/>
        <w:autoSpaceDN w:val="0"/>
        <w:adjustRightInd w:val="0"/>
        <w:ind w:left="0" w:firstLine="0"/>
        <w:rPr>
          <w:rFonts w:eastAsia="TimesNewRomanPSMT"/>
          <w:szCs w:val="22"/>
          <w:lang w:eastAsia="en-US"/>
        </w:rPr>
      </w:pPr>
    </w:p>
    <w:p w14:paraId="6E65C674" w14:textId="77777777" w:rsidR="002D190B" w:rsidRPr="00BA7190" w:rsidRDefault="002D190B" w:rsidP="002D190B">
      <w:pPr>
        <w:autoSpaceDE w:val="0"/>
        <w:autoSpaceDN w:val="0"/>
        <w:adjustRightInd w:val="0"/>
        <w:ind w:left="0" w:firstLine="0"/>
        <w:rPr>
          <w:rFonts w:eastAsia="TimesNewRomanPSMT"/>
          <w:szCs w:val="22"/>
          <w:lang w:eastAsia="en-US"/>
        </w:rPr>
      </w:pPr>
      <w:r w:rsidRPr="00BA7190">
        <w:rPr>
          <w:rFonts w:eastAsia="TimesNewRomanPSMT"/>
          <w:szCs w:val="22"/>
          <w:lang w:eastAsia="en-US"/>
        </w:rPr>
        <w:t>Lenalidomid sa slabo metabolizuje, nakoľko 82% dávky sa vylúči v nezmenenej forme močom. Hydroxy-lenalidomid predstavuje 4,59% a N-acetyl-lenalidomid 1,83% vylúčenej dávky. Renálny klírens lenalidomidu prevyšuje mieru glomerulárnej filtrácie a preto je aspoň do určitej miery aktívne vylučovaný.</w:t>
      </w:r>
    </w:p>
    <w:p w14:paraId="517B3D03" w14:textId="77777777" w:rsidR="002D190B" w:rsidRPr="00BA7190" w:rsidRDefault="002D190B" w:rsidP="002D190B">
      <w:pPr>
        <w:autoSpaceDE w:val="0"/>
        <w:autoSpaceDN w:val="0"/>
        <w:adjustRightInd w:val="0"/>
        <w:ind w:left="0" w:firstLine="0"/>
        <w:rPr>
          <w:rFonts w:eastAsia="TimesNewRomanPSMT"/>
          <w:szCs w:val="22"/>
          <w:lang w:eastAsia="en-US"/>
        </w:rPr>
      </w:pPr>
    </w:p>
    <w:p w14:paraId="7FE07314" w14:textId="77777777" w:rsidR="006C2ABF" w:rsidRPr="00BA7190" w:rsidRDefault="002D190B" w:rsidP="002D190B">
      <w:pPr>
        <w:autoSpaceDE w:val="0"/>
        <w:autoSpaceDN w:val="0"/>
        <w:adjustRightInd w:val="0"/>
        <w:ind w:left="0" w:firstLine="0"/>
        <w:rPr>
          <w:rFonts w:eastAsia="TimesNewRoman"/>
          <w:szCs w:val="22"/>
          <w:u w:val="single"/>
          <w:lang w:eastAsia="en-US"/>
        </w:rPr>
      </w:pPr>
      <w:r w:rsidRPr="00BA7190">
        <w:rPr>
          <w:rFonts w:eastAsia="TimesNewRomanPSMT"/>
          <w:szCs w:val="22"/>
          <w:lang w:eastAsia="en-US"/>
        </w:rPr>
        <w:t xml:space="preserve">V dávkach 5 až 25 mg/deň je polčas v plazme u zdravých dobrovoľníkov približne 3 hodiny a u pacientov s mnohopočetným myelómom, myelodysplastickým syndrómom alebo lymfómom z plášťových buniek </w:t>
      </w:r>
      <w:r w:rsidRPr="00BA7190">
        <w:rPr>
          <w:szCs w:val="22"/>
          <w:lang w:eastAsia="en-US"/>
        </w:rPr>
        <w:t>sa pohybuje od 3 do 5 hodín.</w:t>
      </w:r>
    </w:p>
    <w:p w14:paraId="60ABC20C" w14:textId="77777777" w:rsidR="002D190B" w:rsidRPr="00BA7190" w:rsidRDefault="002D190B" w:rsidP="002D190B">
      <w:pPr>
        <w:autoSpaceDE w:val="0"/>
        <w:autoSpaceDN w:val="0"/>
        <w:adjustRightInd w:val="0"/>
        <w:ind w:left="0" w:firstLine="0"/>
        <w:rPr>
          <w:szCs w:val="22"/>
          <w:lang w:eastAsia="en-US"/>
        </w:rPr>
      </w:pPr>
    </w:p>
    <w:p w14:paraId="384022E6" w14:textId="77777777" w:rsidR="002D190B" w:rsidRPr="00BA7190" w:rsidRDefault="002D190B" w:rsidP="002D190B">
      <w:pPr>
        <w:autoSpaceDE w:val="0"/>
        <w:autoSpaceDN w:val="0"/>
        <w:adjustRightInd w:val="0"/>
        <w:ind w:left="0" w:firstLine="0"/>
        <w:rPr>
          <w:szCs w:val="22"/>
          <w:u w:val="single"/>
          <w:lang w:eastAsia="en-US"/>
        </w:rPr>
      </w:pPr>
      <w:r w:rsidRPr="00BA7190">
        <w:rPr>
          <w:szCs w:val="22"/>
          <w:u w:val="single"/>
          <w:lang w:eastAsia="en-US"/>
        </w:rPr>
        <w:t>Star</w:t>
      </w:r>
      <w:r w:rsidRPr="00BA7190">
        <w:rPr>
          <w:rFonts w:eastAsia="TimesNewRomanPSMT"/>
          <w:szCs w:val="22"/>
          <w:u w:val="single"/>
          <w:lang w:eastAsia="en-US"/>
        </w:rPr>
        <w:t>š</w:t>
      </w:r>
      <w:r w:rsidRPr="00BA7190">
        <w:rPr>
          <w:szCs w:val="22"/>
          <w:u w:val="single"/>
          <w:lang w:eastAsia="en-US"/>
        </w:rPr>
        <w:t>ie osoby</w:t>
      </w:r>
    </w:p>
    <w:p w14:paraId="0F87918C" w14:textId="77777777" w:rsidR="002D190B" w:rsidRPr="00BA7190" w:rsidRDefault="002D190B" w:rsidP="002D190B">
      <w:pPr>
        <w:autoSpaceDE w:val="0"/>
        <w:autoSpaceDN w:val="0"/>
        <w:adjustRightInd w:val="0"/>
        <w:ind w:left="0" w:firstLine="0"/>
        <w:rPr>
          <w:szCs w:val="22"/>
          <w:lang w:eastAsia="en-US"/>
        </w:rPr>
      </w:pPr>
      <w:r w:rsidRPr="00BA7190">
        <w:rPr>
          <w:szCs w:val="22"/>
          <w:lang w:eastAsia="en-US"/>
        </w:rPr>
        <w:t xml:space="preserve">Nevykonali sa </w:t>
      </w:r>
      <w:r w:rsidRPr="00BA7190">
        <w:rPr>
          <w:rFonts w:eastAsia="TimesNewRomanPSMT"/>
          <w:szCs w:val="22"/>
          <w:lang w:eastAsia="en-US"/>
        </w:rPr>
        <w:t>ž</w:t>
      </w:r>
      <w:r w:rsidRPr="00BA7190">
        <w:rPr>
          <w:szCs w:val="22"/>
          <w:lang w:eastAsia="en-US"/>
        </w:rPr>
        <w:t xml:space="preserve">iadne klinické </w:t>
      </w:r>
      <w:r w:rsidRPr="00BA7190">
        <w:rPr>
          <w:rFonts w:eastAsia="TimesNewRomanPSMT"/>
          <w:szCs w:val="22"/>
          <w:lang w:eastAsia="en-US"/>
        </w:rPr>
        <w:t>š</w:t>
      </w:r>
      <w:r w:rsidRPr="00BA7190">
        <w:rPr>
          <w:szCs w:val="22"/>
          <w:lang w:eastAsia="en-US"/>
        </w:rPr>
        <w:t>túdie na hodnotenie farmakokinetiky lenalidomidu u star</w:t>
      </w:r>
      <w:r w:rsidRPr="00BA7190">
        <w:rPr>
          <w:rFonts w:eastAsia="TimesNewRomanPSMT"/>
          <w:szCs w:val="22"/>
          <w:lang w:eastAsia="en-US"/>
        </w:rPr>
        <w:t>š</w:t>
      </w:r>
      <w:r w:rsidRPr="00BA7190">
        <w:rPr>
          <w:szCs w:val="22"/>
          <w:lang w:eastAsia="en-US"/>
        </w:rPr>
        <w:t>ích osôb.</w:t>
      </w:r>
    </w:p>
    <w:p w14:paraId="5EE75FFB" w14:textId="77777777" w:rsidR="002D190B" w:rsidRPr="00BA7190" w:rsidRDefault="002D190B" w:rsidP="002D190B">
      <w:pPr>
        <w:autoSpaceDE w:val="0"/>
        <w:autoSpaceDN w:val="0"/>
        <w:adjustRightInd w:val="0"/>
        <w:ind w:left="0" w:firstLine="0"/>
        <w:rPr>
          <w:rFonts w:eastAsia="TimesNewRomanPSMT"/>
          <w:szCs w:val="22"/>
          <w:lang w:eastAsia="en-US"/>
        </w:rPr>
      </w:pPr>
      <w:r w:rsidRPr="00BA7190">
        <w:rPr>
          <w:rFonts w:eastAsia="TimesNewRomanPSMT"/>
          <w:szCs w:val="22"/>
          <w:lang w:eastAsia="en-US"/>
        </w:rPr>
        <w:t>Populačné farmakokinetické analýzy zahŕňali pacientov vo veku 39 až 85 rokov a naznačujú, že vek neovplyvňuje klírens lenalidomidu (prítomnosť v plazme). Keďže je u starších osôb pravdepodobnejšia znížená funkcia obličiek, pri voľbe dávkovania sa odporúča opatrnosť a je vhodné sledovať funkciu obličiek.</w:t>
      </w:r>
    </w:p>
    <w:p w14:paraId="6D59FBE5" w14:textId="77777777" w:rsidR="002D190B" w:rsidRPr="00BA7190" w:rsidRDefault="002D190B" w:rsidP="002D190B">
      <w:pPr>
        <w:autoSpaceDE w:val="0"/>
        <w:autoSpaceDN w:val="0"/>
        <w:adjustRightInd w:val="0"/>
        <w:ind w:left="0" w:firstLine="0"/>
        <w:rPr>
          <w:rFonts w:eastAsia="TimesNewRomanPSMT"/>
          <w:szCs w:val="22"/>
          <w:lang w:eastAsia="en-US"/>
        </w:rPr>
      </w:pPr>
    </w:p>
    <w:p w14:paraId="3021669F" w14:textId="77777777" w:rsidR="002D190B" w:rsidRPr="00BA7190" w:rsidRDefault="002D190B" w:rsidP="002D190B">
      <w:pPr>
        <w:autoSpaceDE w:val="0"/>
        <w:autoSpaceDN w:val="0"/>
        <w:adjustRightInd w:val="0"/>
        <w:ind w:left="0" w:firstLine="0"/>
        <w:rPr>
          <w:rFonts w:eastAsia="TimesNewRomanPSMT"/>
          <w:szCs w:val="22"/>
          <w:u w:val="single"/>
          <w:lang w:eastAsia="en-US"/>
        </w:rPr>
      </w:pPr>
      <w:r w:rsidRPr="00BA7190">
        <w:rPr>
          <w:rFonts w:eastAsia="TimesNewRomanPSMT"/>
          <w:szCs w:val="22"/>
          <w:u w:val="single"/>
          <w:lang w:eastAsia="en-US"/>
        </w:rPr>
        <w:t>Porucha funkcie obličiek</w:t>
      </w:r>
    </w:p>
    <w:p w14:paraId="0C6AA0EE" w14:textId="5FC5E186" w:rsidR="006C2ABF" w:rsidRPr="00BA7190" w:rsidRDefault="002D190B" w:rsidP="002D190B">
      <w:pPr>
        <w:autoSpaceDE w:val="0"/>
        <w:autoSpaceDN w:val="0"/>
        <w:adjustRightInd w:val="0"/>
        <w:ind w:left="0" w:firstLine="0"/>
        <w:rPr>
          <w:rFonts w:eastAsia="TimesNewRoman"/>
          <w:szCs w:val="22"/>
          <w:u w:val="single"/>
          <w:lang w:eastAsia="en-US"/>
        </w:rPr>
      </w:pPr>
      <w:r w:rsidRPr="00BA7190">
        <w:rPr>
          <w:rFonts w:eastAsia="TimesNewRomanPSMT"/>
          <w:szCs w:val="22"/>
          <w:lang w:eastAsia="en-US"/>
        </w:rPr>
        <w:t>Farmakokinetika lenalidomidu sa skúmala u osôb s poruchou funkcie obličiek z dôvodu iných ako</w:t>
      </w:r>
      <w:r w:rsidR="008D2C0E" w:rsidRPr="00BA7190">
        <w:rPr>
          <w:rFonts w:eastAsia="TimesNewRomanPSMT"/>
          <w:szCs w:val="22"/>
          <w:lang w:eastAsia="en-US"/>
        </w:rPr>
        <w:t xml:space="preserve"> </w:t>
      </w:r>
      <w:r w:rsidRPr="00BA7190">
        <w:rPr>
          <w:rFonts w:eastAsia="TimesNewRomanPSMT"/>
          <w:szCs w:val="22"/>
          <w:lang w:eastAsia="en-US"/>
        </w:rPr>
        <w:t>malígnych ochorení. V tejto štúdii sa na klasifikáciu funkcie obličiek použili dve metódy: klírens</w:t>
      </w:r>
      <w:r w:rsidR="008D2C0E" w:rsidRPr="00BA7190">
        <w:rPr>
          <w:rFonts w:eastAsia="TimesNewRomanPSMT"/>
          <w:szCs w:val="22"/>
          <w:lang w:eastAsia="en-US"/>
        </w:rPr>
        <w:t xml:space="preserve"> </w:t>
      </w:r>
      <w:r w:rsidRPr="00BA7190">
        <w:rPr>
          <w:rFonts w:eastAsia="TimesNewRomanPSMT"/>
          <w:szCs w:val="22"/>
          <w:lang w:eastAsia="en-US"/>
        </w:rPr>
        <w:t>kreatinínu v moči meraný počas 24 hodín a klírens kreatinínu stanovený pomocou Cockcroftovho-Gaultovho vzorca. Výsledky naznačujú, že so znížením funkcie obličiek (&lt;</w:t>
      </w:r>
      <w:r w:rsidR="008D2C0E" w:rsidRPr="00BA7190">
        <w:rPr>
          <w:rFonts w:eastAsia="TimesNewRomanPSMT"/>
          <w:szCs w:val="22"/>
          <w:lang w:eastAsia="en-US"/>
        </w:rPr>
        <w:t> </w:t>
      </w:r>
      <w:r w:rsidRPr="00BA7190">
        <w:rPr>
          <w:rFonts w:eastAsia="TimesNewRomanPSMT"/>
          <w:szCs w:val="22"/>
          <w:lang w:eastAsia="en-US"/>
        </w:rPr>
        <w:t>50</w:t>
      </w:r>
      <w:r w:rsidR="008D2C0E" w:rsidRPr="00BA7190">
        <w:rPr>
          <w:rFonts w:eastAsia="TimesNewRomanPSMT"/>
          <w:szCs w:val="22"/>
          <w:lang w:eastAsia="en-US"/>
        </w:rPr>
        <w:t> </w:t>
      </w:r>
      <w:r w:rsidRPr="00BA7190">
        <w:rPr>
          <w:rFonts w:eastAsia="TimesNewRomanPSMT"/>
          <w:szCs w:val="22"/>
          <w:lang w:eastAsia="en-US"/>
        </w:rPr>
        <w:t>ml/min) úmerne klesá</w:t>
      </w:r>
      <w:r w:rsidR="008D2C0E" w:rsidRPr="00BA7190">
        <w:rPr>
          <w:rFonts w:eastAsia="TimesNewRomanPSMT"/>
          <w:szCs w:val="22"/>
          <w:lang w:eastAsia="en-US"/>
        </w:rPr>
        <w:t xml:space="preserve"> </w:t>
      </w:r>
      <w:r w:rsidRPr="00BA7190">
        <w:rPr>
          <w:rFonts w:eastAsia="TimesNewRomanPSMT"/>
          <w:szCs w:val="22"/>
          <w:lang w:eastAsia="en-US"/>
        </w:rPr>
        <w:t>celkový klírens lenalidomidu, čo má za následok zvýšenie AUC. AUC sa zvýšilo približne 2,5, 4 a 5-</w:t>
      </w:r>
      <w:r w:rsidRPr="00BA7190">
        <w:rPr>
          <w:rFonts w:eastAsia="TimesNewRomanPSMT"/>
          <w:szCs w:val="22"/>
          <w:lang w:eastAsia="en-US"/>
        </w:rPr>
        <w:lastRenderedPageBreak/>
        <w:t>násobne u osôb so stredne ťažkou poruchou funkcie obličiek, s ťažkou poruchou funkcie obličiek</w:t>
      </w:r>
      <w:r w:rsidR="008D2C0E" w:rsidRPr="00BA7190">
        <w:rPr>
          <w:rFonts w:eastAsia="TimesNewRomanPSMT"/>
          <w:szCs w:val="22"/>
          <w:lang w:eastAsia="en-US"/>
        </w:rPr>
        <w:t xml:space="preserve"> </w:t>
      </w:r>
      <w:r w:rsidRPr="00BA7190">
        <w:rPr>
          <w:rFonts w:eastAsia="TimesNewRomanPSMT"/>
          <w:szCs w:val="22"/>
          <w:lang w:eastAsia="en-US"/>
        </w:rPr>
        <w:t>a s terminálnym štádiom obličkového ochorenia, v uvedenom poradí, v porovnaní so skupinou</w:t>
      </w:r>
      <w:r w:rsidR="008D2C0E" w:rsidRPr="00BA7190">
        <w:rPr>
          <w:rFonts w:eastAsia="TimesNewRomanPSMT"/>
          <w:szCs w:val="22"/>
          <w:lang w:eastAsia="en-US"/>
        </w:rPr>
        <w:t xml:space="preserve"> </w:t>
      </w:r>
      <w:r w:rsidRPr="00BA7190">
        <w:rPr>
          <w:rFonts w:eastAsia="TimesNewRomanPSMT"/>
          <w:szCs w:val="22"/>
          <w:lang w:eastAsia="en-US"/>
        </w:rPr>
        <w:t>zahrňujúcou osoby s normálnou funkciou obličiek a osoby s miernou poruchou funkcie obličiek. Polčas</w:t>
      </w:r>
      <w:r w:rsidR="008D2C0E" w:rsidRPr="00BA7190">
        <w:rPr>
          <w:rFonts w:eastAsia="TimesNewRomanPSMT"/>
          <w:szCs w:val="22"/>
          <w:lang w:eastAsia="en-US"/>
        </w:rPr>
        <w:t xml:space="preserve"> </w:t>
      </w:r>
      <w:r w:rsidRPr="00BA7190">
        <w:rPr>
          <w:szCs w:val="22"/>
          <w:lang w:eastAsia="en-US"/>
        </w:rPr>
        <w:t>lenalidomidu sa z pribli</w:t>
      </w:r>
      <w:r w:rsidRPr="00BA7190">
        <w:rPr>
          <w:rFonts w:eastAsia="TimesNewRomanPSMT"/>
          <w:szCs w:val="22"/>
          <w:lang w:eastAsia="en-US"/>
        </w:rPr>
        <w:t>ž</w:t>
      </w:r>
      <w:r w:rsidRPr="00BA7190">
        <w:rPr>
          <w:szCs w:val="22"/>
          <w:lang w:eastAsia="en-US"/>
        </w:rPr>
        <w:t>ne 3,5 hodín u pacientov s klírensom kreatinínu &gt;</w:t>
      </w:r>
      <w:r w:rsidR="008D2C0E" w:rsidRPr="00BA7190">
        <w:rPr>
          <w:szCs w:val="22"/>
          <w:lang w:eastAsia="en-US"/>
        </w:rPr>
        <w:t> </w:t>
      </w:r>
      <w:r w:rsidRPr="00BA7190">
        <w:rPr>
          <w:szCs w:val="22"/>
          <w:lang w:eastAsia="en-US"/>
        </w:rPr>
        <w:t>50</w:t>
      </w:r>
      <w:r w:rsidR="008D2C0E" w:rsidRPr="00BA7190">
        <w:rPr>
          <w:szCs w:val="22"/>
          <w:lang w:eastAsia="en-US"/>
        </w:rPr>
        <w:t> </w:t>
      </w:r>
      <w:r w:rsidRPr="00BA7190">
        <w:rPr>
          <w:szCs w:val="22"/>
          <w:lang w:eastAsia="en-US"/>
        </w:rPr>
        <w:t>ml/min zvy</w:t>
      </w:r>
      <w:r w:rsidRPr="00BA7190">
        <w:rPr>
          <w:rFonts w:eastAsia="TimesNewRomanPSMT"/>
          <w:szCs w:val="22"/>
          <w:lang w:eastAsia="en-US"/>
        </w:rPr>
        <w:t>š</w:t>
      </w:r>
      <w:r w:rsidRPr="00BA7190">
        <w:rPr>
          <w:szCs w:val="22"/>
          <w:lang w:eastAsia="en-US"/>
        </w:rPr>
        <w:t>uje na viac ako</w:t>
      </w:r>
      <w:r w:rsidR="008D2C0E" w:rsidRPr="00BA7190">
        <w:rPr>
          <w:szCs w:val="22"/>
          <w:lang w:eastAsia="en-US"/>
        </w:rPr>
        <w:t xml:space="preserve"> </w:t>
      </w:r>
      <w:r w:rsidRPr="00BA7190">
        <w:rPr>
          <w:rFonts w:eastAsia="TimesNewRomanPSMT"/>
          <w:szCs w:val="22"/>
          <w:lang w:eastAsia="en-US"/>
        </w:rPr>
        <w:t>9 hodín u pacientov so zníženou funkciou obličiek s klírensom kreatinínu &lt;</w:t>
      </w:r>
      <w:r w:rsidR="008D2C0E" w:rsidRPr="00BA7190">
        <w:rPr>
          <w:rFonts w:eastAsia="TimesNewRomanPSMT"/>
          <w:szCs w:val="22"/>
          <w:lang w:eastAsia="en-US"/>
        </w:rPr>
        <w:t> </w:t>
      </w:r>
      <w:r w:rsidRPr="00BA7190">
        <w:rPr>
          <w:rFonts w:eastAsia="TimesNewRomanPSMT"/>
          <w:szCs w:val="22"/>
          <w:lang w:eastAsia="en-US"/>
        </w:rPr>
        <w:t>50</w:t>
      </w:r>
      <w:r w:rsidR="008D2C0E" w:rsidRPr="00BA7190">
        <w:rPr>
          <w:rFonts w:eastAsia="TimesNewRomanPSMT"/>
          <w:szCs w:val="22"/>
          <w:lang w:eastAsia="en-US"/>
        </w:rPr>
        <w:t> </w:t>
      </w:r>
      <w:r w:rsidRPr="00BA7190">
        <w:rPr>
          <w:rFonts w:eastAsia="TimesNewRomanPSMT"/>
          <w:szCs w:val="22"/>
          <w:lang w:eastAsia="en-US"/>
        </w:rPr>
        <w:t>ml/min. Porucha funkcie</w:t>
      </w:r>
      <w:r w:rsidR="008D2C0E" w:rsidRPr="00BA7190">
        <w:rPr>
          <w:rFonts w:eastAsia="TimesNewRomanPSMT"/>
          <w:szCs w:val="22"/>
          <w:lang w:eastAsia="en-US"/>
        </w:rPr>
        <w:t xml:space="preserve"> </w:t>
      </w:r>
      <w:r w:rsidRPr="00BA7190">
        <w:rPr>
          <w:rFonts w:eastAsia="TimesNewRomanPSMT"/>
          <w:szCs w:val="22"/>
          <w:lang w:eastAsia="en-US"/>
        </w:rPr>
        <w:t>obličiek vš</w:t>
      </w:r>
      <w:r w:rsidR="008D2C0E" w:rsidRPr="00BA7190">
        <w:rPr>
          <w:rFonts w:eastAsia="TimesNewRomanPSMT"/>
          <w:szCs w:val="22"/>
          <w:lang w:eastAsia="en-US"/>
        </w:rPr>
        <w:t>ak nezmenila</w:t>
      </w:r>
      <w:r w:rsidRPr="00BA7190">
        <w:rPr>
          <w:rFonts w:eastAsia="TimesNewRomanPSMT"/>
          <w:szCs w:val="22"/>
          <w:lang w:eastAsia="en-US"/>
        </w:rPr>
        <w:t xml:space="preserve"> vstrebávanie lenalidomidu po perorálnom podaní. Hodnota C</w:t>
      </w:r>
      <w:r w:rsidRPr="00BA7190">
        <w:rPr>
          <w:szCs w:val="22"/>
          <w:vertAlign w:val="subscript"/>
          <w:lang w:eastAsia="en-US"/>
        </w:rPr>
        <w:t>max</w:t>
      </w:r>
      <w:r w:rsidRPr="00BA7190">
        <w:rPr>
          <w:szCs w:val="22"/>
          <w:lang w:eastAsia="en-US"/>
        </w:rPr>
        <w:t xml:space="preserve"> je u zdravých</w:t>
      </w:r>
      <w:r w:rsidR="008D2C0E" w:rsidRPr="00BA7190">
        <w:rPr>
          <w:szCs w:val="22"/>
          <w:lang w:eastAsia="en-US"/>
        </w:rPr>
        <w:t xml:space="preserve"> </w:t>
      </w:r>
      <w:r w:rsidRPr="00BA7190">
        <w:rPr>
          <w:rFonts w:eastAsia="TimesNewRomanPSMT"/>
          <w:szCs w:val="22"/>
          <w:lang w:eastAsia="en-US"/>
        </w:rPr>
        <w:t>jedincov a pacientov s poruchou funkcie obličiek podobná. Približne 30% liečiva v tele sa vylúčilo počas</w:t>
      </w:r>
      <w:r w:rsidR="008D2C0E" w:rsidRPr="00BA7190">
        <w:rPr>
          <w:rFonts w:eastAsia="TimesNewRomanPSMT"/>
          <w:szCs w:val="22"/>
          <w:lang w:eastAsia="en-US"/>
        </w:rPr>
        <w:t xml:space="preserve"> </w:t>
      </w:r>
      <w:r w:rsidRPr="00BA7190">
        <w:rPr>
          <w:rFonts w:eastAsia="TimesNewRomanPSMT"/>
          <w:szCs w:val="22"/>
          <w:lang w:eastAsia="en-US"/>
        </w:rPr>
        <w:t>jednej 4-hodinovej dialýzy. Odporúčaná úprava dávkovania u pacientov s poruchou funkcie obličiek je</w:t>
      </w:r>
      <w:r w:rsidR="008D2C0E" w:rsidRPr="00BA7190">
        <w:rPr>
          <w:rFonts w:eastAsia="TimesNewRomanPSMT"/>
          <w:szCs w:val="22"/>
          <w:lang w:eastAsia="en-US"/>
        </w:rPr>
        <w:t xml:space="preserve"> </w:t>
      </w:r>
      <w:r w:rsidRPr="00BA7190">
        <w:rPr>
          <w:rFonts w:eastAsia="TimesNewRomanPSMT"/>
          <w:szCs w:val="22"/>
          <w:lang w:eastAsia="en-US"/>
        </w:rPr>
        <w:t>opísaná v časti 4.2.</w:t>
      </w:r>
    </w:p>
    <w:p w14:paraId="71AC82A8" w14:textId="77777777" w:rsidR="008D2C0E" w:rsidRPr="00BA7190" w:rsidRDefault="008D2C0E" w:rsidP="002D190B">
      <w:pPr>
        <w:autoSpaceDE w:val="0"/>
        <w:autoSpaceDN w:val="0"/>
        <w:adjustRightInd w:val="0"/>
        <w:ind w:left="0" w:firstLine="0"/>
        <w:rPr>
          <w:rFonts w:eastAsia="TimesNewRomanPSMT"/>
          <w:szCs w:val="22"/>
          <w:lang w:eastAsia="en-US"/>
        </w:rPr>
      </w:pPr>
    </w:p>
    <w:p w14:paraId="021D49B7" w14:textId="77777777" w:rsidR="002D190B" w:rsidRPr="00BA7190" w:rsidRDefault="002D190B" w:rsidP="002D190B">
      <w:pPr>
        <w:autoSpaceDE w:val="0"/>
        <w:autoSpaceDN w:val="0"/>
        <w:adjustRightInd w:val="0"/>
        <w:ind w:left="0" w:firstLine="0"/>
        <w:rPr>
          <w:rFonts w:eastAsia="TimesNewRomanPSMT"/>
          <w:szCs w:val="22"/>
          <w:u w:val="single"/>
          <w:lang w:eastAsia="en-US"/>
        </w:rPr>
      </w:pPr>
      <w:r w:rsidRPr="00BA7190">
        <w:rPr>
          <w:rFonts w:eastAsia="TimesNewRomanPSMT"/>
          <w:szCs w:val="22"/>
          <w:u w:val="single"/>
          <w:lang w:eastAsia="en-US"/>
        </w:rPr>
        <w:t>Porucha funkcie pečene</w:t>
      </w:r>
    </w:p>
    <w:p w14:paraId="38A1AD80" w14:textId="77777777" w:rsidR="002D190B" w:rsidRPr="00BA7190" w:rsidRDefault="002D190B" w:rsidP="002D190B">
      <w:pPr>
        <w:autoSpaceDE w:val="0"/>
        <w:autoSpaceDN w:val="0"/>
        <w:adjustRightInd w:val="0"/>
        <w:ind w:left="0" w:firstLine="0"/>
        <w:rPr>
          <w:rFonts w:eastAsia="TimesNewRomanPSMT"/>
          <w:szCs w:val="22"/>
          <w:lang w:eastAsia="en-US"/>
        </w:rPr>
      </w:pPr>
      <w:r w:rsidRPr="00BA7190">
        <w:rPr>
          <w:rFonts w:eastAsia="TimesNewRomanPSMT"/>
          <w:szCs w:val="22"/>
          <w:lang w:eastAsia="en-US"/>
        </w:rPr>
        <w:t>Populačné farmakokinetické analýzy zahŕňali pacientov s miernou poruchou funkcie pečene (N=16,</w:t>
      </w:r>
      <w:r w:rsidR="008D2C0E" w:rsidRPr="00BA7190">
        <w:rPr>
          <w:rFonts w:eastAsia="TimesNewRomanPSMT"/>
          <w:szCs w:val="22"/>
          <w:lang w:eastAsia="en-US"/>
        </w:rPr>
        <w:t xml:space="preserve"> </w:t>
      </w:r>
      <w:r w:rsidRPr="00BA7190">
        <w:rPr>
          <w:rFonts w:eastAsia="TimesNewRomanPSMT"/>
          <w:szCs w:val="22"/>
          <w:lang w:eastAsia="en-US"/>
        </w:rPr>
        <w:t>celkový bilirubín &gt;</w:t>
      </w:r>
      <w:r w:rsidR="00AB4401" w:rsidRPr="00BA7190">
        <w:rPr>
          <w:rFonts w:eastAsia="TimesNewRomanPSMT"/>
          <w:szCs w:val="22"/>
          <w:lang w:eastAsia="en-US"/>
        </w:rPr>
        <w:t> </w:t>
      </w:r>
      <w:r w:rsidRPr="00BA7190">
        <w:rPr>
          <w:rFonts w:eastAsia="TimesNewRomanPSMT"/>
          <w:szCs w:val="22"/>
          <w:lang w:eastAsia="en-US"/>
        </w:rPr>
        <w:t>1 až ≤</w:t>
      </w:r>
      <w:r w:rsidR="00AB4401" w:rsidRPr="00BA7190">
        <w:rPr>
          <w:rFonts w:eastAsia="TimesNewRomanPSMT"/>
          <w:szCs w:val="22"/>
          <w:lang w:eastAsia="en-US"/>
        </w:rPr>
        <w:t> 1,5 x ULN alebo AST </w:t>
      </w:r>
      <w:r w:rsidRPr="00BA7190">
        <w:rPr>
          <w:rFonts w:eastAsia="TimesNewRomanPSMT"/>
          <w:szCs w:val="22"/>
          <w:lang w:eastAsia="en-US"/>
        </w:rPr>
        <w:t>&gt;</w:t>
      </w:r>
      <w:r w:rsidR="00AB4401" w:rsidRPr="00BA7190">
        <w:rPr>
          <w:rFonts w:eastAsia="TimesNewRomanPSMT"/>
          <w:szCs w:val="22"/>
          <w:lang w:eastAsia="en-US"/>
        </w:rPr>
        <w:t> </w:t>
      </w:r>
      <w:r w:rsidRPr="00BA7190">
        <w:rPr>
          <w:rFonts w:eastAsia="TimesNewRomanPSMT"/>
          <w:szCs w:val="22"/>
          <w:lang w:eastAsia="en-US"/>
        </w:rPr>
        <w:t>ULN) a naznačujú, že mierna porucha funkcie pečene</w:t>
      </w:r>
      <w:r w:rsidR="00AB4401" w:rsidRPr="00BA7190">
        <w:rPr>
          <w:rFonts w:eastAsia="TimesNewRomanPSMT"/>
          <w:szCs w:val="22"/>
          <w:lang w:eastAsia="en-US"/>
        </w:rPr>
        <w:t xml:space="preserve"> </w:t>
      </w:r>
      <w:r w:rsidRPr="00BA7190">
        <w:rPr>
          <w:rFonts w:eastAsia="TimesNewRomanPSMT"/>
          <w:szCs w:val="22"/>
          <w:lang w:eastAsia="en-US"/>
        </w:rPr>
        <w:t>neovplyvňuje klírens lenalidomidu (prítomnosť v plazme). Nie sú dostupné žiadne údaje u pacientov so</w:t>
      </w:r>
      <w:r w:rsidR="00AB4401" w:rsidRPr="00BA7190">
        <w:rPr>
          <w:rFonts w:eastAsia="TimesNewRomanPSMT"/>
          <w:szCs w:val="22"/>
          <w:lang w:eastAsia="en-US"/>
        </w:rPr>
        <w:t xml:space="preserve"> </w:t>
      </w:r>
      <w:r w:rsidRPr="00BA7190">
        <w:rPr>
          <w:rFonts w:eastAsia="TimesNewRomanPSMT"/>
          <w:szCs w:val="22"/>
          <w:lang w:eastAsia="en-US"/>
        </w:rPr>
        <w:t>stredne ťažkou až ťažkou poruchou funkcie pečene.</w:t>
      </w:r>
    </w:p>
    <w:p w14:paraId="2D89CDF0" w14:textId="77777777" w:rsidR="00AB4401" w:rsidRPr="00BA7190" w:rsidRDefault="00AB4401" w:rsidP="002D190B">
      <w:pPr>
        <w:autoSpaceDE w:val="0"/>
        <w:autoSpaceDN w:val="0"/>
        <w:adjustRightInd w:val="0"/>
        <w:ind w:left="0" w:firstLine="0"/>
        <w:rPr>
          <w:rFonts w:eastAsia="TimesNewRomanPSMT"/>
          <w:szCs w:val="22"/>
          <w:lang w:eastAsia="en-US"/>
        </w:rPr>
      </w:pPr>
    </w:p>
    <w:p w14:paraId="1AAE30C7" w14:textId="77777777" w:rsidR="002D190B" w:rsidRPr="00BA7190" w:rsidRDefault="002D190B" w:rsidP="002D190B">
      <w:pPr>
        <w:autoSpaceDE w:val="0"/>
        <w:autoSpaceDN w:val="0"/>
        <w:adjustRightInd w:val="0"/>
        <w:ind w:left="0" w:firstLine="0"/>
        <w:rPr>
          <w:rFonts w:eastAsia="TimesNewRomanPSMT"/>
          <w:szCs w:val="22"/>
          <w:u w:val="single"/>
          <w:lang w:eastAsia="en-US"/>
        </w:rPr>
      </w:pPr>
      <w:r w:rsidRPr="00BA7190">
        <w:rPr>
          <w:rFonts w:eastAsia="TimesNewRomanPSMT"/>
          <w:szCs w:val="22"/>
          <w:u w:val="single"/>
          <w:lang w:eastAsia="en-US"/>
        </w:rPr>
        <w:t>Iné vnútorné faktory</w:t>
      </w:r>
    </w:p>
    <w:p w14:paraId="27920BCD" w14:textId="77777777" w:rsidR="006C2ABF" w:rsidRPr="00BA7190" w:rsidRDefault="002D190B" w:rsidP="002D190B">
      <w:pPr>
        <w:autoSpaceDE w:val="0"/>
        <w:autoSpaceDN w:val="0"/>
        <w:adjustRightInd w:val="0"/>
        <w:ind w:left="0" w:firstLine="0"/>
        <w:rPr>
          <w:rFonts w:eastAsia="TimesNewRoman"/>
          <w:szCs w:val="22"/>
          <w:u w:val="single"/>
          <w:lang w:eastAsia="en-US"/>
        </w:rPr>
      </w:pPr>
      <w:r w:rsidRPr="00BA7190">
        <w:rPr>
          <w:rFonts w:eastAsia="TimesNewRomanPSMT"/>
          <w:szCs w:val="22"/>
          <w:lang w:eastAsia="en-US"/>
        </w:rPr>
        <w:t>Populačné farmakokinetické analýzy naznačujú, že telesná hmotnosť (33</w:t>
      </w:r>
      <w:r w:rsidR="00D16E44" w:rsidRPr="00BA7190">
        <w:rPr>
          <w:rFonts w:eastAsia="TimesNewRomanPSMT"/>
          <w:szCs w:val="22"/>
          <w:lang w:eastAsia="en-US"/>
        </w:rPr>
        <w:t> – </w:t>
      </w:r>
      <w:r w:rsidRPr="00BA7190">
        <w:rPr>
          <w:rFonts w:eastAsia="TimesNewRomanPSMT"/>
          <w:szCs w:val="22"/>
          <w:lang w:eastAsia="en-US"/>
        </w:rPr>
        <w:t>135</w:t>
      </w:r>
      <w:r w:rsidR="00D16E44" w:rsidRPr="00BA7190">
        <w:rPr>
          <w:rFonts w:eastAsia="TimesNewRomanPSMT"/>
          <w:szCs w:val="22"/>
          <w:lang w:eastAsia="en-US"/>
        </w:rPr>
        <w:t> </w:t>
      </w:r>
      <w:r w:rsidRPr="00BA7190">
        <w:rPr>
          <w:rFonts w:eastAsia="TimesNewRomanPSMT"/>
          <w:szCs w:val="22"/>
          <w:lang w:eastAsia="en-US"/>
        </w:rPr>
        <w:t>kg), pohlavie, rasa a typ</w:t>
      </w:r>
      <w:r w:rsidR="00D16E44" w:rsidRPr="00BA7190">
        <w:rPr>
          <w:rFonts w:eastAsia="TimesNewRomanPSMT"/>
          <w:szCs w:val="22"/>
          <w:lang w:eastAsia="en-US"/>
        </w:rPr>
        <w:t xml:space="preserve"> </w:t>
      </w:r>
      <w:r w:rsidRPr="00BA7190">
        <w:rPr>
          <w:rFonts w:eastAsia="TimesNewRomanPSMT"/>
          <w:szCs w:val="22"/>
          <w:lang w:eastAsia="en-US"/>
        </w:rPr>
        <w:t>hematologickej malignity (MM, MDS alebo MCL) nemajú klinicky významný účinok na klírens</w:t>
      </w:r>
      <w:r w:rsidR="00D16E44" w:rsidRPr="00BA7190">
        <w:rPr>
          <w:rFonts w:eastAsia="TimesNewRomanPSMT"/>
          <w:szCs w:val="22"/>
          <w:lang w:eastAsia="en-US"/>
        </w:rPr>
        <w:t xml:space="preserve"> </w:t>
      </w:r>
      <w:r w:rsidRPr="00BA7190">
        <w:rPr>
          <w:rFonts w:eastAsia="TimesNewRomanPSMT"/>
          <w:szCs w:val="22"/>
          <w:lang w:eastAsia="en-US"/>
        </w:rPr>
        <w:t>lenalidomidu u dospelých pacientov.</w:t>
      </w:r>
    </w:p>
    <w:p w14:paraId="28DB7238" w14:textId="77777777" w:rsidR="006C2ABF" w:rsidRPr="00BA7190" w:rsidRDefault="006C2ABF" w:rsidP="006C2ABF">
      <w:pPr>
        <w:autoSpaceDE w:val="0"/>
        <w:autoSpaceDN w:val="0"/>
        <w:adjustRightInd w:val="0"/>
        <w:ind w:left="0" w:firstLine="0"/>
        <w:rPr>
          <w:rFonts w:eastAsia="TimesNewRoman"/>
          <w:szCs w:val="22"/>
          <w:u w:val="single"/>
          <w:lang w:eastAsia="en-US"/>
        </w:rPr>
      </w:pPr>
    </w:p>
    <w:p w14:paraId="05B99169" w14:textId="77777777" w:rsidR="00EE6E61" w:rsidRPr="00BA7190" w:rsidRDefault="00626362" w:rsidP="00C92B0B">
      <w:pPr>
        <w:rPr>
          <w:b/>
          <w:szCs w:val="22"/>
        </w:rPr>
      </w:pPr>
      <w:r w:rsidRPr="00BA7190">
        <w:rPr>
          <w:b/>
          <w:szCs w:val="22"/>
        </w:rPr>
        <w:t>5.3</w:t>
      </w:r>
      <w:r w:rsidR="00636C42" w:rsidRPr="00BA7190">
        <w:rPr>
          <w:b/>
          <w:szCs w:val="22"/>
        </w:rPr>
        <w:tab/>
      </w:r>
      <w:r w:rsidR="00EE6E61" w:rsidRPr="00BA7190">
        <w:rPr>
          <w:b/>
          <w:szCs w:val="22"/>
        </w:rPr>
        <w:t>Predklinické údaje o bezpečnosti</w:t>
      </w:r>
    </w:p>
    <w:p w14:paraId="3B0C0C10" w14:textId="77777777" w:rsidR="00DB3CFA" w:rsidRPr="00BA7190" w:rsidRDefault="00DB3CFA" w:rsidP="00C92B0B">
      <w:pPr>
        <w:ind w:left="0" w:firstLine="0"/>
        <w:rPr>
          <w:szCs w:val="22"/>
          <w:u w:val="single"/>
        </w:rPr>
      </w:pPr>
    </w:p>
    <w:p w14:paraId="58378E03" w14:textId="77777777" w:rsidR="00B57F0F" w:rsidRPr="00BA7190" w:rsidRDefault="00B57F0F" w:rsidP="00B57F0F">
      <w:pPr>
        <w:autoSpaceDE w:val="0"/>
        <w:autoSpaceDN w:val="0"/>
        <w:adjustRightInd w:val="0"/>
        <w:ind w:left="0" w:firstLine="0"/>
        <w:rPr>
          <w:rFonts w:eastAsia="TimesNewRomanPSMT"/>
          <w:szCs w:val="22"/>
          <w:lang w:eastAsia="en-US"/>
        </w:rPr>
      </w:pPr>
      <w:r w:rsidRPr="00BA7190">
        <w:rPr>
          <w:rFonts w:eastAsia="TimesNewRomanPSMT"/>
          <w:szCs w:val="22"/>
          <w:lang w:eastAsia="en-US"/>
        </w:rPr>
        <w:t>Štúdia embryofetálneho vývoja sa vykonala na opiciach, ktorým sa podával lenalidomid v dávkach od 0,5 a až do 4 mg/kg/deň. Pozorovania tejto štúdie naznačujú, že lenalidomid spôsobil externé malformácie, vrátane nepriechodnosti anusu a malformácie horných a dolných končatín (skrivená, skrátená, deformovaná, zle otočená a/alebo chýbajúca časť končatiny, oligodaktýlia a/alebo polydaktýlia) u potomstva samíc opíc, ktoré dostávali liečivo počas gravidity.</w:t>
      </w:r>
    </w:p>
    <w:p w14:paraId="664FFEE0" w14:textId="77777777" w:rsidR="00B57F0F" w:rsidRPr="00BA7190" w:rsidRDefault="00B57F0F" w:rsidP="00B57F0F">
      <w:pPr>
        <w:autoSpaceDE w:val="0"/>
        <w:autoSpaceDN w:val="0"/>
        <w:adjustRightInd w:val="0"/>
        <w:ind w:left="0" w:firstLine="0"/>
        <w:rPr>
          <w:rFonts w:eastAsia="TimesNewRomanPSMT"/>
          <w:szCs w:val="22"/>
          <w:lang w:eastAsia="en-US"/>
        </w:rPr>
      </w:pPr>
    </w:p>
    <w:p w14:paraId="25F1C5E5" w14:textId="4569B75B" w:rsidR="00B57F0F" w:rsidRPr="00BA7190" w:rsidRDefault="00B57F0F" w:rsidP="00B57F0F">
      <w:pPr>
        <w:autoSpaceDE w:val="0"/>
        <w:autoSpaceDN w:val="0"/>
        <w:adjustRightInd w:val="0"/>
        <w:ind w:left="0" w:firstLine="0"/>
        <w:rPr>
          <w:rFonts w:eastAsia="TimesNewRomanPSMT"/>
          <w:szCs w:val="22"/>
          <w:lang w:eastAsia="en-US"/>
        </w:rPr>
      </w:pPr>
      <w:r w:rsidRPr="00BA7190">
        <w:rPr>
          <w:rFonts w:eastAsia="TimesNewRomanPSMT"/>
          <w:szCs w:val="22"/>
          <w:lang w:eastAsia="en-US"/>
        </w:rPr>
        <w:t xml:space="preserve">U jednotlivých plodov sa pozorovali aj rôzne viscerálne zmeny (zmena farby, červené ložiská v rozličných orgánoch, malé </w:t>
      </w:r>
      <w:r w:rsidR="009A39C4">
        <w:rPr>
          <w:rFonts w:eastAsia="TimesNewRomanPSMT"/>
          <w:szCs w:val="22"/>
          <w:lang w:eastAsia="en-US"/>
        </w:rPr>
        <w:t xml:space="preserve">množstvo </w:t>
      </w:r>
      <w:r w:rsidRPr="00BA7190">
        <w:rPr>
          <w:rFonts w:eastAsia="TimesNewRomanPSMT"/>
          <w:szCs w:val="22"/>
          <w:lang w:eastAsia="en-US"/>
        </w:rPr>
        <w:t>bezfarebné</w:t>
      </w:r>
      <w:r w:rsidR="009A39C4">
        <w:rPr>
          <w:rFonts w:eastAsia="TimesNewRomanPSMT"/>
          <w:szCs w:val="22"/>
          <w:lang w:eastAsia="en-US"/>
        </w:rPr>
        <w:t>ho</w:t>
      </w:r>
      <w:r w:rsidRPr="00BA7190">
        <w:rPr>
          <w:rFonts w:eastAsia="TimesNewRomanPSMT"/>
          <w:szCs w:val="22"/>
          <w:lang w:eastAsia="en-US"/>
        </w:rPr>
        <w:t xml:space="preserve"> tkaniv</w:t>
      </w:r>
      <w:r w:rsidR="009A39C4">
        <w:rPr>
          <w:rFonts w:eastAsia="TimesNewRomanPSMT"/>
          <w:szCs w:val="22"/>
          <w:lang w:eastAsia="en-US"/>
        </w:rPr>
        <w:t>a</w:t>
      </w:r>
      <w:r w:rsidRPr="00BA7190">
        <w:rPr>
          <w:rFonts w:eastAsia="TimesNewRomanPSMT"/>
          <w:szCs w:val="22"/>
          <w:lang w:eastAsia="en-US"/>
        </w:rPr>
        <w:t xml:space="preserve"> nad atrioventrikulárnou chlopňou, malý žlčník, deformovaná bránica).</w:t>
      </w:r>
    </w:p>
    <w:p w14:paraId="4741B8F5" w14:textId="77777777" w:rsidR="00B57F0F" w:rsidRPr="00BA7190" w:rsidRDefault="00B57F0F" w:rsidP="00B57F0F">
      <w:pPr>
        <w:autoSpaceDE w:val="0"/>
        <w:autoSpaceDN w:val="0"/>
        <w:adjustRightInd w:val="0"/>
        <w:ind w:left="0" w:firstLine="0"/>
        <w:rPr>
          <w:rFonts w:eastAsia="TimesNewRomanPSMT"/>
          <w:szCs w:val="22"/>
          <w:lang w:eastAsia="en-US"/>
        </w:rPr>
      </w:pPr>
    </w:p>
    <w:p w14:paraId="3F6175E1" w14:textId="77777777" w:rsidR="00D71895" w:rsidRPr="00BA7190" w:rsidRDefault="00B57F0F" w:rsidP="00B57F0F">
      <w:pPr>
        <w:autoSpaceDE w:val="0"/>
        <w:autoSpaceDN w:val="0"/>
        <w:adjustRightInd w:val="0"/>
        <w:ind w:left="0" w:firstLine="0"/>
        <w:rPr>
          <w:rFonts w:eastAsia="TimesNewRomanPSMT"/>
          <w:szCs w:val="22"/>
          <w:lang w:eastAsia="en-US"/>
        </w:rPr>
      </w:pPr>
      <w:r w:rsidRPr="00BA7190">
        <w:rPr>
          <w:rFonts w:eastAsia="TimesNewRomanPSMT"/>
          <w:szCs w:val="22"/>
          <w:lang w:eastAsia="en-US"/>
        </w:rPr>
        <w:t>Lenalidomid môže mať akútny toxický účinok; minimálna smrteľná dávka po perorálnom podaní bola</w:t>
      </w:r>
      <w:r w:rsidR="00826DC2" w:rsidRPr="00BA7190">
        <w:rPr>
          <w:rFonts w:eastAsia="TimesNewRomanPSMT"/>
          <w:szCs w:val="22"/>
          <w:lang w:eastAsia="en-US"/>
        </w:rPr>
        <w:t xml:space="preserve"> </w:t>
      </w:r>
      <w:r w:rsidRPr="00BA7190">
        <w:rPr>
          <w:rFonts w:eastAsia="TimesNewRomanPSMT"/>
          <w:szCs w:val="22"/>
          <w:lang w:eastAsia="en-US"/>
        </w:rPr>
        <w:t>u hlodavcov &gt;</w:t>
      </w:r>
      <w:r w:rsidR="00826DC2" w:rsidRPr="00BA7190">
        <w:rPr>
          <w:rFonts w:eastAsia="TimesNewRomanPSMT"/>
          <w:szCs w:val="22"/>
          <w:lang w:eastAsia="en-US"/>
        </w:rPr>
        <w:t> </w:t>
      </w:r>
      <w:r w:rsidRPr="00BA7190">
        <w:rPr>
          <w:rFonts w:eastAsia="TimesNewRomanPSMT"/>
          <w:szCs w:val="22"/>
          <w:lang w:eastAsia="en-US"/>
        </w:rPr>
        <w:t>2000</w:t>
      </w:r>
      <w:r w:rsidR="00826DC2" w:rsidRPr="00BA7190">
        <w:rPr>
          <w:rFonts w:eastAsia="TimesNewRomanPSMT"/>
          <w:szCs w:val="22"/>
          <w:lang w:eastAsia="en-US"/>
        </w:rPr>
        <w:t> </w:t>
      </w:r>
      <w:r w:rsidRPr="00BA7190">
        <w:rPr>
          <w:rFonts w:eastAsia="TimesNewRomanPSMT"/>
          <w:szCs w:val="22"/>
          <w:lang w:eastAsia="en-US"/>
        </w:rPr>
        <w:t>mg/kg/deň. Opakované perorálne podanie dávky 75, 150 a 300</w:t>
      </w:r>
      <w:r w:rsidR="00826DC2" w:rsidRPr="00BA7190">
        <w:rPr>
          <w:rFonts w:eastAsia="TimesNewRomanPSMT"/>
          <w:szCs w:val="22"/>
          <w:lang w:eastAsia="en-US"/>
        </w:rPr>
        <w:t> </w:t>
      </w:r>
      <w:r w:rsidRPr="00BA7190">
        <w:rPr>
          <w:rFonts w:eastAsia="TimesNewRomanPSMT"/>
          <w:szCs w:val="22"/>
          <w:lang w:eastAsia="en-US"/>
        </w:rPr>
        <w:t>mg/kg/deň potkanom</w:t>
      </w:r>
      <w:r w:rsidR="00826DC2" w:rsidRPr="00BA7190">
        <w:rPr>
          <w:rFonts w:eastAsia="TimesNewRomanPSMT"/>
          <w:szCs w:val="22"/>
          <w:lang w:eastAsia="en-US"/>
        </w:rPr>
        <w:t xml:space="preserve"> </w:t>
      </w:r>
      <w:r w:rsidRPr="00BA7190">
        <w:rPr>
          <w:rFonts w:eastAsia="TimesNewRomanPSMT"/>
          <w:szCs w:val="22"/>
          <w:lang w:eastAsia="en-US"/>
        </w:rPr>
        <w:t>po dobu až 26 týždňov spôsobilo v prípade všetkých 3 dávok a najvýraznejšie u samíc, zvratné, s liečbou</w:t>
      </w:r>
      <w:r w:rsidR="00826DC2" w:rsidRPr="00BA7190">
        <w:rPr>
          <w:rFonts w:eastAsia="TimesNewRomanPSMT"/>
          <w:szCs w:val="22"/>
          <w:lang w:eastAsia="en-US"/>
        </w:rPr>
        <w:t xml:space="preserve"> </w:t>
      </w:r>
      <w:r w:rsidRPr="00BA7190">
        <w:rPr>
          <w:rFonts w:eastAsia="TimesNewRomanPSMT"/>
          <w:szCs w:val="22"/>
          <w:lang w:eastAsia="en-US"/>
        </w:rPr>
        <w:t>súvisiace zvýšenie mineralizácie v obličkovej panvičke. Za hodnotu dávky bez pozorovaného</w:t>
      </w:r>
      <w:r w:rsidR="00826DC2" w:rsidRPr="00BA7190">
        <w:rPr>
          <w:rFonts w:eastAsia="TimesNewRomanPSMT"/>
          <w:szCs w:val="22"/>
          <w:lang w:eastAsia="en-US"/>
        </w:rPr>
        <w:t xml:space="preserve"> </w:t>
      </w:r>
      <w:r w:rsidRPr="00BA7190">
        <w:rPr>
          <w:rFonts w:eastAsia="TimesNewRomanPSMT"/>
          <w:szCs w:val="22"/>
          <w:lang w:eastAsia="en-US"/>
        </w:rPr>
        <w:t>nepriaznivého účinku (</w:t>
      </w:r>
      <w:r w:rsidRPr="00893070">
        <w:rPr>
          <w:rFonts w:eastAsia="TimesNewRomanPSMT"/>
        </w:rPr>
        <w:t>no observed adverse effect level</w:t>
      </w:r>
      <w:r w:rsidRPr="00BA7190">
        <w:rPr>
          <w:rFonts w:eastAsia="TimesNewRomanPSMT"/>
          <w:szCs w:val="22"/>
          <w:lang w:eastAsia="en-US"/>
        </w:rPr>
        <w:t>, NOAEL) sa považovala hodnota do</w:t>
      </w:r>
      <w:r w:rsidR="00826DC2" w:rsidRPr="00BA7190">
        <w:rPr>
          <w:rFonts w:eastAsia="TimesNewRomanPSMT"/>
          <w:szCs w:val="22"/>
          <w:lang w:eastAsia="en-US"/>
        </w:rPr>
        <w:t xml:space="preserve"> </w:t>
      </w:r>
      <w:r w:rsidRPr="00BA7190">
        <w:rPr>
          <w:rFonts w:eastAsia="TimesNewRomanPSMT"/>
          <w:szCs w:val="22"/>
          <w:lang w:eastAsia="en-US"/>
        </w:rPr>
        <w:t>75</w:t>
      </w:r>
      <w:r w:rsidR="00826DC2" w:rsidRPr="00BA7190">
        <w:rPr>
          <w:rFonts w:eastAsia="TimesNewRomanPSMT"/>
          <w:szCs w:val="22"/>
          <w:lang w:eastAsia="en-US"/>
        </w:rPr>
        <w:t> </w:t>
      </w:r>
      <w:r w:rsidRPr="00BA7190">
        <w:rPr>
          <w:rFonts w:eastAsia="TimesNewRomanPSMT"/>
          <w:szCs w:val="22"/>
          <w:lang w:eastAsia="en-US"/>
        </w:rPr>
        <w:t>mg/kg/deň, ktorá je približne 25-násobne vyššia ako denná expozícia u ľudí na základe expozície</w:t>
      </w:r>
      <w:r w:rsidR="00826DC2" w:rsidRPr="00BA7190">
        <w:rPr>
          <w:rFonts w:eastAsia="TimesNewRomanPSMT"/>
          <w:szCs w:val="22"/>
          <w:lang w:eastAsia="en-US"/>
        </w:rPr>
        <w:t xml:space="preserve"> </w:t>
      </w:r>
      <w:r w:rsidRPr="00BA7190">
        <w:rPr>
          <w:rFonts w:eastAsia="TimesNewRomanPSMT"/>
          <w:szCs w:val="22"/>
          <w:lang w:eastAsia="en-US"/>
        </w:rPr>
        <w:t>AUC. Opakované perorálne podávanie 4 a 6</w:t>
      </w:r>
      <w:r w:rsidR="00826DC2" w:rsidRPr="00BA7190">
        <w:rPr>
          <w:rFonts w:eastAsia="TimesNewRomanPSMT"/>
          <w:szCs w:val="22"/>
          <w:lang w:eastAsia="en-US"/>
        </w:rPr>
        <w:t> </w:t>
      </w:r>
      <w:r w:rsidRPr="00BA7190">
        <w:rPr>
          <w:rFonts w:eastAsia="TimesNewRomanPSMT"/>
          <w:szCs w:val="22"/>
          <w:lang w:eastAsia="en-US"/>
        </w:rPr>
        <w:t>mg/kg/deň opiciam po dobu až 20 týždňov viedlo k</w:t>
      </w:r>
      <w:r w:rsidR="00826DC2" w:rsidRPr="00BA7190">
        <w:rPr>
          <w:rFonts w:eastAsia="TimesNewRomanPSMT"/>
          <w:szCs w:val="22"/>
          <w:lang w:eastAsia="en-US"/>
        </w:rPr>
        <w:t xml:space="preserve"> </w:t>
      </w:r>
      <w:r w:rsidRPr="00BA7190">
        <w:rPr>
          <w:rFonts w:eastAsia="TimesNewRomanPSMT"/>
          <w:szCs w:val="22"/>
          <w:lang w:eastAsia="en-US"/>
        </w:rPr>
        <w:t>úmrtnosti a významnej toxicite (výrazná strata hmotnosti, znížený počet erytrocytov, leukocytov a</w:t>
      </w:r>
      <w:r w:rsidR="00826DC2" w:rsidRPr="00BA7190">
        <w:rPr>
          <w:rFonts w:eastAsia="TimesNewRomanPSMT"/>
          <w:szCs w:val="22"/>
          <w:lang w:eastAsia="en-US"/>
        </w:rPr>
        <w:t xml:space="preserve"> </w:t>
      </w:r>
      <w:r w:rsidRPr="00BA7190">
        <w:rPr>
          <w:rFonts w:eastAsia="TimesNewRomanPSMT"/>
          <w:szCs w:val="22"/>
          <w:lang w:eastAsia="en-US"/>
        </w:rPr>
        <w:t>trombocytov, krvácanie početných orgánov, zápal gastrointestinálneho traktu, lymfoidná atrofia a atrofia</w:t>
      </w:r>
      <w:r w:rsidR="00826DC2" w:rsidRPr="00BA7190">
        <w:rPr>
          <w:rFonts w:eastAsia="TimesNewRomanPSMT"/>
          <w:szCs w:val="22"/>
          <w:lang w:eastAsia="en-US"/>
        </w:rPr>
        <w:t xml:space="preserve"> </w:t>
      </w:r>
      <w:r w:rsidRPr="00BA7190">
        <w:rPr>
          <w:rFonts w:eastAsia="TimesNewRomanPSMT"/>
          <w:szCs w:val="22"/>
          <w:lang w:eastAsia="en-US"/>
        </w:rPr>
        <w:t>kostnej drene). Opakované perorálne podávanie v dávke 1 a 2</w:t>
      </w:r>
      <w:r w:rsidR="00826DC2" w:rsidRPr="00BA7190">
        <w:rPr>
          <w:rFonts w:eastAsia="TimesNewRomanPSMT"/>
          <w:szCs w:val="22"/>
          <w:lang w:eastAsia="en-US"/>
        </w:rPr>
        <w:t> </w:t>
      </w:r>
      <w:r w:rsidRPr="00BA7190">
        <w:rPr>
          <w:rFonts w:eastAsia="TimesNewRomanPSMT"/>
          <w:szCs w:val="22"/>
          <w:lang w:eastAsia="en-US"/>
        </w:rPr>
        <w:t>mg/kg/deň opiciam po dobu až 1 rok</w:t>
      </w:r>
      <w:r w:rsidR="00826DC2" w:rsidRPr="00BA7190">
        <w:rPr>
          <w:rFonts w:eastAsia="TimesNewRomanPSMT"/>
          <w:szCs w:val="22"/>
          <w:lang w:eastAsia="en-US"/>
        </w:rPr>
        <w:t xml:space="preserve"> </w:t>
      </w:r>
      <w:r w:rsidRPr="00BA7190">
        <w:rPr>
          <w:rFonts w:eastAsia="TimesNewRomanPSMT"/>
          <w:szCs w:val="22"/>
          <w:lang w:eastAsia="en-US"/>
        </w:rPr>
        <w:t>spôsobilo zvratné zmeny v bunkovej štruktúre kostnej drene a mierny pokles pomeru</w:t>
      </w:r>
      <w:r w:rsidR="00826DC2" w:rsidRPr="00BA7190">
        <w:rPr>
          <w:rFonts w:eastAsia="TimesNewRomanPSMT"/>
          <w:szCs w:val="22"/>
          <w:lang w:eastAsia="en-US"/>
        </w:rPr>
        <w:t xml:space="preserve"> </w:t>
      </w:r>
      <w:r w:rsidRPr="00BA7190">
        <w:rPr>
          <w:rFonts w:eastAsia="TimesNewRomanPSMT"/>
          <w:szCs w:val="22"/>
          <w:lang w:eastAsia="en-US"/>
        </w:rPr>
        <w:t>myeloidných/erytroidných buniek a atrofiu týmusu. Mierny pokles počtu leukocytov sa pozoroval pri</w:t>
      </w:r>
      <w:r w:rsidR="00826DC2" w:rsidRPr="00BA7190">
        <w:rPr>
          <w:rFonts w:eastAsia="TimesNewRomanPSMT"/>
          <w:szCs w:val="22"/>
          <w:lang w:eastAsia="en-US"/>
        </w:rPr>
        <w:t xml:space="preserve"> </w:t>
      </w:r>
      <w:r w:rsidRPr="00BA7190">
        <w:rPr>
          <w:rFonts w:eastAsia="TimesNewRomanPSMT"/>
          <w:szCs w:val="22"/>
          <w:lang w:eastAsia="en-US"/>
        </w:rPr>
        <w:t>dávke 1</w:t>
      </w:r>
      <w:r w:rsidR="00826DC2" w:rsidRPr="00BA7190">
        <w:rPr>
          <w:rFonts w:eastAsia="TimesNewRomanPSMT"/>
          <w:szCs w:val="22"/>
          <w:lang w:eastAsia="en-US"/>
        </w:rPr>
        <w:t> </w:t>
      </w:r>
      <w:r w:rsidRPr="00BA7190">
        <w:rPr>
          <w:rFonts w:eastAsia="TimesNewRomanPSMT"/>
          <w:szCs w:val="22"/>
          <w:lang w:eastAsia="en-US"/>
        </w:rPr>
        <w:t>mg/kg/deň, ktorá približne zodpovedá rovnakej dávke u ľudí na základe porovnaní AUC.</w:t>
      </w:r>
    </w:p>
    <w:p w14:paraId="18F421A4" w14:textId="77777777" w:rsidR="00826DC2" w:rsidRPr="00BA7190" w:rsidRDefault="00826DC2" w:rsidP="00B57F0F">
      <w:pPr>
        <w:autoSpaceDE w:val="0"/>
        <w:autoSpaceDN w:val="0"/>
        <w:adjustRightInd w:val="0"/>
        <w:ind w:left="0" w:firstLine="0"/>
        <w:rPr>
          <w:rFonts w:eastAsia="TimesNewRomanPSMT"/>
          <w:szCs w:val="22"/>
          <w:lang w:eastAsia="en-US"/>
        </w:rPr>
      </w:pPr>
    </w:p>
    <w:p w14:paraId="68BB4F71" w14:textId="77777777" w:rsidR="00B57F0F" w:rsidRPr="00BA7190" w:rsidRDefault="00B57F0F" w:rsidP="00B57F0F">
      <w:pPr>
        <w:autoSpaceDE w:val="0"/>
        <w:autoSpaceDN w:val="0"/>
        <w:adjustRightInd w:val="0"/>
        <w:ind w:left="0" w:firstLine="0"/>
        <w:rPr>
          <w:rFonts w:eastAsia="TimesNewRomanPSMT"/>
          <w:szCs w:val="22"/>
          <w:lang w:eastAsia="en-US"/>
        </w:rPr>
      </w:pPr>
      <w:r w:rsidRPr="00BA7190">
        <w:rPr>
          <w:i/>
          <w:iCs/>
          <w:szCs w:val="22"/>
          <w:lang w:eastAsia="en-US"/>
        </w:rPr>
        <w:t xml:space="preserve">In vitro </w:t>
      </w:r>
      <w:r w:rsidRPr="00BA7190">
        <w:rPr>
          <w:rFonts w:eastAsia="TimesNewRomanPSMT"/>
          <w:szCs w:val="22"/>
          <w:lang w:eastAsia="en-US"/>
        </w:rPr>
        <w:t>(bakteriálna mutácia, ľudské lymfocyty, lymfóm myší, transformácia embryonálnych buniek</w:t>
      </w:r>
      <w:r w:rsidR="00826DC2" w:rsidRPr="00BA7190">
        <w:rPr>
          <w:rFonts w:eastAsia="TimesNewRomanPSMT"/>
          <w:szCs w:val="22"/>
          <w:lang w:eastAsia="en-US"/>
        </w:rPr>
        <w:t xml:space="preserve"> </w:t>
      </w:r>
      <w:r w:rsidRPr="00BA7190">
        <w:rPr>
          <w:rFonts w:eastAsia="TimesNewRomanPSMT"/>
          <w:szCs w:val="22"/>
          <w:lang w:eastAsia="en-US"/>
        </w:rPr>
        <w:t xml:space="preserve">škrečka zlatého) a </w:t>
      </w:r>
      <w:r w:rsidRPr="00BA7190">
        <w:rPr>
          <w:i/>
          <w:iCs/>
          <w:szCs w:val="22"/>
          <w:lang w:eastAsia="en-US"/>
        </w:rPr>
        <w:t xml:space="preserve">in vivo </w:t>
      </w:r>
      <w:r w:rsidRPr="00BA7190">
        <w:rPr>
          <w:rFonts w:eastAsia="TimesNewRomanPSMT"/>
          <w:szCs w:val="22"/>
          <w:lang w:eastAsia="en-US"/>
        </w:rPr>
        <w:t>(mikronukleus potkanov) štúdie mutagenity neodhalili žiadne účinky súvisiace</w:t>
      </w:r>
      <w:r w:rsidR="00826DC2" w:rsidRPr="00BA7190">
        <w:rPr>
          <w:rFonts w:eastAsia="TimesNewRomanPSMT"/>
          <w:szCs w:val="22"/>
          <w:lang w:eastAsia="en-US"/>
        </w:rPr>
        <w:t xml:space="preserve"> </w:t>
      </w:r>
      <w:r w:rsidRPr="00BA7190">
        <w:rPr>
          <w:rFonts w:eastAsia="TimesNewRomanPSMT"/>
          <w:szCs w:val="22"/>
          <w:lang w:eastAsia="en-US"/>
        </w:rPr>
        <w:t>s liekom na úrovni génov ani chromozómov. Štúdie karcinogenity s lenalidomidom sa neuskutočnili.</w:t>
      </w:r>
    </w:p>
    <w:p w14:paraId="74E38B19" w14:textId="77777777" w:rsidR="00826DC2" w:rsidRPr="00BA7190" w:rsidRDefault="00826DC2" w:rsidP="00B57F0F">
      <w:pPr>
        <w:autoSpaceDE w:val="0"/>
        <w:autoSpaceDN w:val="0"/>
        <w:adjustRightInd w:val="0"/>
        <w:ind w:left="0" w:firstLine="0"/>
        <w:rPr>
          <w:rFonts w:eastAsia="TimesNewRomanPSMT"/>
          <w:szCs w:val="22"/>
          <w:lang w:eastAsia="en-US"/>
        </w:rPr>
      </w:pPr>
    </w:p>
    <w:p w14:paraId="585C313F" w14:textId="77777777" w:rsidR="00B57F0F" w:rsidRPr="00BA7190" w:rsidRDefault="00B57F0F" w:rsidP="00B57F0F">
      <w:pPr>
        <w:autoSpaceDE w:val="0"/>
        <w:autoSpaceDN w:val="0"/>
        <w:adjustRightInd w:val="0"/>
        <w:ind w:left="0" w:firstLine="0"/>
        <w:rPr>
          <w:b/>
          <w:szCs w:val="22"/>
        </w:rPr>
      </w:pPr>
      <w:r w:rsidRPr="00BA7190">
        <w:rPr>
          <w:rFonts w:eastAsia="TimesNewRomanPSMT"/>
          <w:szCs w:val="22"/>
          <w:lang w:eastAsia="en-US"/>
        </w:rPr>
        <w:t>Štúdie vývojovej toxicity sa uskutočnili predtým na králikoch. V týchto šúdiách sa podávali králikom</w:t>
      </w:r>
      <w:r w:rsidR="00826DC2" w:rsidRPr="00BA7190">
        <w:rPr>
          <w:rFonts w:eastAsia="TimesNewRomanPSMT"/>
          <w:szCs w:val="22"/>
          <w:lang w:eastAsia="en-US"/>
        </w:rPr>
        <w:t xml:space="preserve"> </w:t>
      </w:r>
      <w:r w:rsidRPr="00BA7190">
        <w:rPr>
          <w:rFonts w:eastAsia="TimesNewRomanPSMT"/>
          <w:szCs w:val="22"/>
          <w:lang w:eastAsia="en-US"/>
        </w:rPr>
        <w:t>perorálne dávky 3, 10 a 20</w:t>
      </w:r>
      <w:r w:rsidR="00826DC2" w:rsidRPr="00BA7190">
        <w:rPr>
          <w:rFonts w:eastAsia="TimesNewRomanPSMT"/>
          <w:szCs w:val="22"/>
          <w:lang w:eastAsia="en-US"/>
        </w:rPr>
        <w:t> </w:t>
      </w:r>
      <w:r w:rsidRPr="00BA7190">
        <w:rPr>
          <w:rFonts w:eastAsia="TimesNewRomanPSMT"/>
          <w:szCs w:val="22"/>
          <w:lang w:eastAsia="en-US"/>
        </w:rPr>
        <w:t>mg/kg/deň. Pri dávkach 10 a 20</w:t>
      </w:r>
      <w:r w:rsidR="00826DC2" w:rsidRPr="00BA7190">
        <w:rPr>
          <w:rFonts w:eastAsia="TimesNewRomanPSMT"/>
          <w:szCs w:val="22"/>
          <w:lang w:eastAsia="en-US"/>
        </w:rPr>
        <w:t> </w:t>
      </w:r>
      <w:r w:rsidRPr="00BA7190">
        <w:rPr>
          <w:rFonts w:eastAsia="TimesNewRomanPSMT"/>
          <w:szCs w:val="22"/>
          <w:lang w:eastAsia="en-US"/>
        </w:rPr>
        <w:t>mg/kg/deň bola v závislosti od dávky</w:t>
      </w:r>
      <w:r w:rsidR="00826DC2" w:rsidRPr="00BA7190">
        <w:rPr>
          <w:rFonts w:eastAsia="TimesNewRomanPSMT"/>
          <w:szCs w:val="22"/>
          <w:lang w:eastAsia="en-US"/>
        </w:rPr>
        <w:t xml:space="preserve"> </w:t>
      </w:r>
      <w:r w:rsidRPr="00BA7190">
        <w:rPr>
          <w:rFonts w:eastAsia="TimesNewRomanPSMT"/>
          <w:szCs w:val="22"/>
          <w:lang w:eastAsia="en-US"/>
        </w:rPr>
        <w:t>pozorovaná absencia stredného laloka pľúc a narušenie polohy oblič</w:t>
      </w:r>
      <w:r w:rsidR="00826DC2" w:rsidRPr="00BA7190">
        <w:rPr>
          <w:rFonts w:eastAsia="TimesNewRomanPSMT"/>
          <w:szCs w:val="22"/>
          <w:lang w:eastAsia="en-US"/>
        </w:rPr>
        <w:t>iek sa pozorovalo pri 20 </w:t>
      </w:r>
      <w:r w:rsidRPr="00BA7190">
        <w:rPr>
          <w:rFonts w:eastAsia="TimesNewRomanPSMT"/>
          <w:szCs w:val="22"/>
          <w:lang w:eastAsia="en-US"/>
        </w:rPr>
        <w:t>mg/kg/deň.</w:t>
      </w:r>
      <w:r w:rsidR="00826DC2" w:rsidRPr="00BA7190">
        <w:rPr>
          <w:rFonts w:eastAsia="TimesNewRomanPSMT"/>
          <w:szCs w:val="22"/>
          <w:lang w:eastAsia="en-US"/>
        </w:rPr>
        <w:t xml:space="preserve"> </w:t>
      </w:r>
      <w:r w:rsidRPr="00BA7190">
        <w:rPr>
          <w:rFonts w:eastAsia="TimesNewRomanPSMT"/>
          <w:szCs w:val="22"/>
          <w:lang w:eastAsia="en-US"/>
        </w:rPr>
        <w:t xml:space="preserve">Aj keď sa tieto účinky pozorovali pri hladinách toxických pre matku, môžu byť </w:t>
      </w:r>
      <w:r w:rsidRPr="00BA7190">
        <w:rPr>
          <w:rFonts w:eastAsia="TimesNewRomanPSMT"/>
          <w:szCs w:val="22"/>
          <w:lang w:eastAsia="en-US"/>
        </w:rPr>
        <w:lastRenderedPageBreak/>
        <w:t>pripísané priamemu</w:t>
      </w:r>
      <w:r w:rsidR="00826DC2" w:rsidRPr="00BA7190">
        <w:rPr>
          <w:rFonts w:eastAsia="TimesNewRomanPSMT"/>
          <w:szCs w:val="22"/>
          <w:lang w:eastAsia="en-US"/>
        </w:rPr>
        <w:t xml:space="preserve"> </w:t>
      </w:r>
      <w:r w:rsidRPr="00BA7190">
        <w:rPr>
          <w:rFonts w:eastAsia="TimesNewRomanPSMT"/>
          <w:szCs w:val="22"/>
          <w:lang w:eastAsia="en-US"/>
        </w:rPr>
        <w:t>účinku. Zmeny mäkkých tkanív a kostry sa tiež pozorovali u plodov pri dávkach 10 a 20</w:t>
      </w:r>
      <w:r w:rsidR="00826DC2" w:rsidRPr="00BA7190">
        <w:rPr>
          <w:rFonts w:eastAsia="TimesNewRomanPSMT"/>
          <w:szCs w:val="22"/>
          <w:lang w:eastAsia="en-US"/>
        </w:rPr>
        <w:t> </w:t>
      </w:r>
      <w:r w:rsidRPr="00BA7190">
        <w:rPr>
          <w:rFonts w:eastAsia="TimesNewRomanPSMT"/>
          <w:szCs w:val="22"/>
          <w:lang w:eastAsia="en-US"/>
        </w:rPr>
        <w:t>mg/kg/deň.</w:t>
      </w:r>
    </w:p>
    <w:p w14:paraId="63DA1EC4" w14:textId="77777777" w:rsidR="00D71895" w:rsidRPr="00BA7190" w:rsidRDefault="00D71895" w:rsidP="00F15761">
      <w:pPr>
        <w:ind w:left="0" w:firstLine="0"/>
        <w:rPr>
          <w:b/>
          <w:szCs w:val="22"/>
        </w:rPr>
      </w:pPr>
    </w:p>
    <w:p w14:paraId="41DB4016" w14:textId="77777777" w:rsidR="00D71895" w:rsidRPr="00BA7190" w:rsidRDefault="00D71895" w:rsidP="00F15761">
      <w:pPr>
        <w:ind w:left="0" w:firstLine="0"/>
        <w:rPr>
          <w:b/>
          <w:szCs w:val="22"/>
        </w:rPr>
      </w:pPr>
    </w:p>
    <w:p w14:paraId="133661A3" w14:textId="77777777" w:rsidR="00FF6BE0" w:rsidRPr="00BA7190" w:rsidRDefault="00FF6BE0" w:rsidP="00C92B0B">
      <w:pPr>
        <w:rPr>
          <w:b/>
          <w:szCs w:val="22"/>
        </w:rPr>
      </w:pPr>
      <w:r w:rsidRPr="00BA7190">
        <w:rPr>
          <w:b/>
          <w:szCs w:val="22"/>
        </w:rPr>
        <w:t>6.</w:t>
      </w:r>
      <w:r w:rsidRPr="00BA7190">
        <w:rPr>
          <w:b/>
          <w:szCs w:val="22"/>
        </w:rPr>
        <w:tab/>
        <w:t>FARMACEUTICKÉ INFORMÁCIE</w:t>
      </w:r>
    </w:p>
    <w:p w14:paraId="284C754B" w14:textId="77777777" w:rsidR="00FF6BE0" w:rsidRPr="00BA7190" w:rsidRDefault="00FF6BE0" w:rsidP="00C92B0B">
      <w:pPr>
        <w:rPr>
          <w:szCs w:val="22"/>
        </w:rPr>
      </w:pPr>
    </w:p>
    <w:p w14:paraId="183C983D" w14:textId="77777777" w:rsidR="00FF6BE0" w:rsidRPr="00BA7190" w:rsidRDefault="00FF6BE0" w:rsidP="00C92B0B">
      <w:pPr>
        <w:rPr>
          <w:szCs w:val="22"/>
        </w:rPr>
      </w:pPr>
      <w:r w:rsidRPr="00BA7190">
        <w:rPr>
          <w:b/>
          <w:szCs w:val="22"/>
        </w:rPr>
        <w:t>6.1</w:t>
      </w:r>
      <w:r w:rsidRPr="00BA7190">
        <w:rPr>
          <w:b/>
          <w:szCs w:val="22"/>
        </w:rPr>
        <w:tab/>
        <w:t>Zoznam pomocných látok</w:t>
      </w:r>
    </w:p>
    <w:p w14:paraId="67A91567" w14:textId="77777777" w:rsidR="00FF6BE0" w:rsidRPr="00BA7190" w:rsidRDefault="00FF6BE0" w:rsidP="00C92B0B">
      <w:pPr>
        <w:rPr>
          <w:szCs w:val="22"/>
        </w:rPr>
      </w:pPr>
    </w:p>
    <w:p w14:paraId="5CA707ED" w14:textId="77777777" w:rsidR="00651F26" w:rsidRPr="00BA7190" w:rsidRDefault="00D75503" w:rsidP="00651F26">
      <w:pPr>
        <w:autoSpaceDE w:val="0"/>
        <w:autoSpaceDN w:val="0"/>
        <w:adjustRightInd w:val="0"/>
        <w:ind w:left="0" w:firstLine="0"/>
        <w:rPr>
          <w:i/>
          <w:color w:val="000000"/>
          <w:szCs w:val="22"/>
        </w:rPr>
      </w:pPr>
      <w:r w:rsidRPr="00BA7190">
        <w:rPr>
          <w:i/>
          <w:iCs/>
          <w:color w:val="000000"/>
          <w:szCs w:val="22"/>
        </w:rPr>
        <w:t>Obsah kapsuly</w:t>
      </w:r>
      <w:r w:rsidR="00651F26" w:rsidRPr="00BA7190">
        <w:rPr>
          <w:i/>
          <w:iCs/>
          <w:color w:val="000000"/>
          <w:szCs w:val="22"/>
        </w:rPr>
        <w:t>:</w:t>
      </w:r>
    </w:p>
    <w:p w14:paraId="0EE80470" w14:textId="77777777" w:rsidR="00D75503" w:rsidRPr="00BA7190" w:rsidRDefault="00D75503" w:rsidP="00D75503">
      <w:pPr>
        <w:autoSpaceDE w:val="0"/>
        <w:autoSpaceDN w:val="0"/>
        <w:adjustRightInd w:val="0"/>
        <w:ind w:left="0" w:firstLine="0"/>
        <w:rPr>
          <w:szCs w:val="22"/>
          <w:lang w:eastAsia="en-US"/>
        </w:rPr>
      </w:pPr>
      <w:r w:rsidRPr="00BA7190">
        <w:rPr>
          <w:szCs w:val="22"/>
          <w:lang w:eastAsia="en-US"/>
        </w:rPr>
        <w:t>laktóza</w:t>
      </w:r>
    </w:p>
    <w:p w14:paraId="75FF0165" w14:textId="77777777" w:rsidR="00D75503" w:rsidRPr="00BA7190" w:rsidRDefault="00D75503" w:rsidP="00D75503">
      <w:pPr>
        <w:autoSpaceDE w:val="0"/>
        <w:autoSpaceDN w:val="0"/>
        <w:adjustRightInd w:val="0"/>
        <w:ind w:left="0" w:firstLine="0"/>
        <w:rPr>
          <w:szCs w:val="22"/>
          <w:lang w:eastAsia="en-US"/>
        </w:rPr>
      </w:pPr>
      <w:r w:rsidRPr="00BA7190">
        <w:rPr>
          <w:szCs w:val="22"/>
          <w:lang w:eastAsia="en-US"/>
        </w:rPr>
        <w:t>mikrokry</w:t>
      </w:r>
      <w:r w:rsidRPr="00BA7190">
        <w:rPr>
          <w:rFonts w:eastAsia="TimesNewRomanPSMT"/>
          <w:szCs w:val="22"/>
          <w:lang w:eastAsia="en-US"/>
        </w:rPr>
        <w:t>š</w:t>
      </w:r>
      <w:r w:rsidRPr="00BA7190">
        <w:rPr>
          <w:szCs w:val="22"/>
          <w:lang w:eastAsia="en-US"/>
        </w:rPr>
        <w:t>talická celulóza (E 460)</w:t>
      </w:r>
    </w:p>
    <w:p w14:paraId="52E56F2F" w14:textId="6D658CDD" w:rsidR="00D75503" w:rsidRPr="00BA7190" w:rsidRDefault="00D75503" w:rsidP="00D75503">
      <w:pPr>
        <w:autoSpaceDE w:val="0"/>
        <w:autoSpaceDN w:val="0"/>
        <w:adjustRightInd w:val="0"/>
        <w:ind w:left="0" w:firstLine="0"/>
        <w:rPr>
          <w:rFonts w:eastAsia="TimesNewRomanPSMT"/>
          <w:szCs w:val="22"/>
          <w:lang w:eastAsia="en-US"/>
        </w:rPr>
      </w:pPr>
      <w:r w:rsidRPr="00BA7190">
        <w:rPr>
          <w:rFonts w:eastAsia="TimesNewRomanPSMT"/>
          <w:szCs w:val="22"/>
          <w:lang w:eastAsia="en-US"/>
        </w:rPr>
        <w:t>kroskarmelóz</w:t>
      </w:r>
      <w:r w:rsidR="00576DE4">
        <w:rPr>
          <w:rFonts w:eastAsia="TimesNewRomanPSMT"/>
          <w:szCs w:val="22"/>
          <w:lang w:eastAsia="en-US"/>
        </w:rPr>
        <w:t>a,</w:t>
      </w:r>
      <w:r w:rsidRPr="00BA7190">
        <w:rPr>
          <w:rFonts w:eastAsia="TimesNewRomanPSMT"/>
          <w:szCs w:val="22"/>
          <w:lang w:eastAsia="en-US"/>
        </w:rPr>
        <w:t xml:space="preserve"> sodná soľ (E 468)</w:t>
      </w:r>
    </w:p>
    <w:p w14:paraId="46E742B4" w14:textId="77777777" w:rsidR="00D75503" w:rsidRPr="00BA7190" w:rsidRDefault="00D75503" w:rsidP="00D75503">
      <w:pPr>
        <w:autoSpaceDE w:val="0"/>
        <w:autoSpaceDN w:val="0"/>
        <w:adjustRightInd w:val="0"/>
        <w:ind w:left="0" w:firstLine="0"/>
        <w:rPr>
          <w:color w:val="000000"/>
          <w:szCs w:val="22"/>
        </w:rPr>
      </w:pPr>
      <w:r w:rsidRPr="00BA7190">
        <w:rPr>
          <w:color w:val="000000"/>
          <w:szCs w:val="22"/>
        </w:rPr>
        <w:t>stearan horečnatý (E470b)</w:t>
      </w:r>
    </w:p>
    <w:p w14:paraId="30F6CB0F" w14:textId="77777777" w:rsidR="00D75503" w:rsidRPr="00BA7190" w:rsidRDefault="00D75503" w:rsidP="00D75503">
      <w:pPr>
        <w:autoSpaceDE w:val="0"/>
        <w:autoSpaceDN w:val="0"/>
        <w:adjustRightInd w:val="0"/>
        <w:ind w:left="0" w:firstLine="0"/>
        <w:rPr>
          <w:szCs w:val="22"/>
          <w:lang w:eastAsia="en-US"/>
        </w:rPr>
      </w:pPr>
    </w:p>
    <w:p w14:paraId="06D8C5DC" w14:textId="03AC0A8F" w:rsidR="00D75503" w:rsidRPr="00BA7190" w:rsidRDefault="00166ED7" w:rsidP="00D75503">
      <w:pPr>
        <w:autoSpaceDE w:val="0"/>
        <w:autoSpaceDN w:val="0"/>
        <w:adjustRightInd w:val="0"/>
        <w:ind w:left="0" w:firstLine="0"/>
        <w:rPr>
          <w:i/>
          <w:szCs w:val="22"/>
          <w:lang w:eastAsia="en-US"/>
        </w:rPr>
      </w:pPr>
      <w:r>
        <w:rPr>
          <w:i/>
          <w:szCs w:val="22"/>
          <w:lang w:eastAsia="en-US"/>
        </w:rPr>
        <w:t>Obal</w:t>
      </w:r>
      <w:r w:rsidR="00D75503" w:rsidRPr="00BA7190">
        <w:rPr>
          <w:i/>
          <w:szCs w:val="22"/>
          <w:lang w:eastAsia="en-US"/>
        </w:rPr>
        <w:t xml:space="preserve"> kapsuly</w:t>
      </w:r>
    </w:p>
    <w:p w14:paraId="535A65F5" w14:textId="77777777" w:rsidR="00D75503" w:rsidRPr="00BA7190" w:rsidRDefault="00C87DC9" w:rsidP="00D75503">
      <w:pPr>
        <w:autoSpaceDE w:val="0"/>
        <w:autoSpaceDN w:val="0"/>
        <w:adjustRightInd w:val="0"/>
        <w:ind w:left="0" w:firstLine="0"/>
        <w:rPr>
          <w:szCs w:val="22"/>
          <w:lang w:eastAsia="en-US"/>
        </w:rPr>
      </w:pPr>
      <w:r>
        <w:rPr>
          <w:szCs w:val="22"/>
          <w:lang w:eastAsia="en-US"/>
        </w:rPr>
        <w:t>ž</w:t>
      </w:r>
      <w:r w:rsidR="00D75503" w:rsidRPr="00BA7190">
        <w:rPr>
          <w:szCs w:val="22"/>
          <w:lang w:eastAsia="en-US"/>
        </w:rPr>
        <w:t>elatína</w:t>
      </w:r>
    </w:p>
    <w:p w14:paraId="27513FE0" w14:textId="77777777" w:rsidR="00D75503" w:rsidRPr="00BA7190" w:rsidRDefault="00D75503" w:rsidP="00D75503">
      <w:pPr>
        <w:autoSpaceDE w:val="0"/>
        <w:autoSpaceDN w:val="0"/>
        <w:adjustRightInd w:val="0"/>
        <w:ind w:left="0" w:firstLine="0"/>
        <w:rPr>
          <w:rFonts w:eastAsia="TimesNewRomanPSMT"/>
          <w:szCs w:val="22"/>
          <w:lang w:eastAsia="en-US"/>
        </w:rPr>
      </w:pPr>
      <w:r w:rsidRPr="00BA7190">
        <w:rPr>
          <w:rFonts w:eastAsia="TimesNewRomanPSMT"/>
          <w:szCs w:val="22"/>
          <w:lang w:eastAsia="en-US"/>
        </w:rPr>
        <w:t>oxid titaničitý (E171)</w:t>
      </w:r>
    </w:p>
    <w:p w14:paraId="730C332A" w14:textId="66120044" w:rsidR="00D75503" w:rsidRPr="00BA7190" w:rsidRDefault="00D75503" w:rsidP="00D75503">
      <w:pPr>
        <w:autoSpaceDE w:val="0"/>
        <w:autoSpaceDN w:val="0"/>
        <w:adjustRightInd w:val="0"/>
        <w:ind w:left="0" w:firstLine="0"/>
        <w:rPr>
          <w:rFonts w:eastAsia="TimesNewRomanPSMT"/>
          <w:szCs w:val="22"/>
          <w:lang w:eastAsia="en-US"/>
        </w:rPr>
      </w:pPr>
      <w:r w:rsidRPr="00BA7190">
        <w:rPr>
          <w:szCs w:val="22"/>
          <w:lang w:eastAsia="en-US"/>
        </w:rPr>
        <w:t>Len</w:t>
      </w:r>
      <w:r w:rsidR="00BA7190" w:rsidRPr="00BA7190">
        <w:rPr>
          <w:szCs w:val="22"/>
          <w:lang w:eastAsia="en-US"/>
        </w:rPr>
        <w:t xml:space="preserve"> </w:t>
      </w:r>
      <w:r w:rsidRPr="00BA7190">
        <w:rPr>
          <w:szCs w:val="22"/>
          <w:lang w:eastAsia="en-US"/>
        </w:rPr>
        <w:t>10</w:t>
      </w:r>
      <w:r w:rsidR="00BA7190" w:rsidRPr="00BA7190">
        <w:rPr>
          <w:szCs w:val="22"/>
          <w:lang w:eastAsia="en-US"/>
        </w:rPr>
        <w:t> </w:t>
      </w:r>
      <w:r w:rsidRPr="00BA7190">
        <w:rPr>
          <w:szCs w:val="22"/>
          <w:lang w:eastAsia="en-US"/>
        </w:rPr>
        <w:t>mg/15</w:t>
      </w:r>
      <w:r w:rsidR="00BA7190" w:rsidRPr="00BA7190">
        <w:rPr>
          <w:szCs w:val="22"/>
          <w:lang w:eastAsia="en-US"/>
        </w:rPr>
        <w:t> </w:t>
      </w:r>
      <w:r w:rsidRPr="00BA7190">
        <w:rPr>
          <w:szCs w:val="22"/>
          <w:lang w:eastAsia="en-US"/>
        </w:rPr>
        <w:t xml:space="preserve">mg: </w:t>
      </w:r>
      <w:r w:rsidRPr="00BA7190">
        <w:rPr>
          <w:rFonts w:eastAsia="TimesNewRomanPSMT"/>
          <w:szCs w:val="22"/>
          <w:lang w:eastAsia="en-US"/>
        </w:rPr>
        <w:t>indigokarmín (E132)</w:t>
      </w:r>
    </w:p>
    <w:p w14:paraId="3613B457" w14:textId="177B93EE" w:rsidR="00D75503" w:rsidRPr="00BA7190" w:rsidRDefault="00D75503" w:rsidP="00D75503">
      <w:pPr>
        <w:autoSpaceDE w:val="0"/>
        <w:autoSpaceDN w:val="0"/>
        <w:adjustRightInd w:val="0"/>
        <w:ind w:left="0" w:firstLine="0"/>
        <w:rPr>
          <w:szCs w:val="22"/>
          <w:lang w:eastAsia="en-US"/>
        </w:rPr>
      </w:pPr>
      <w:r w:rsidRPr="00BA7190">
        <w:rPr>
          <w:szCs w:val="22"/>
          <w:lang w:eastAsia="en-US"/>
        </w:rPr>
        <w:t>Len 10</w:t>
      </w:r>
      <w:r w:rsidR="00BA7190" w:rsidRPr="00BA7190">
        <w:rPr>
          <w:szCs w:val="22"/>
          <w:lang w:eastAsia="en-US"/>
        </w:rPr>
        <w:t> </w:t>
      </w:r>
      <w:r w:rsidRPr="00BA7190">
        <w:rPr>
          <w:szCs w:val="22"/>
          <w:lang w:eastAsia="en-US"/>
        </w:rPr>
        <w:t>mg</w:t>
      </w:r>
      <w:r w:rsidR="00166ED7">
        <w:rPr>
          <w:szCs w:val="22"/>
          <w:lang w:eastAsia="en-US"/>
        </w:rPr>
        <w:t>:</w:t>
      </w:r>
      <w:r w:rsidRPr="00BA7190">
        <w:rPr>
          <w:rFonts w:eastAsia="TimesNewRomanPSMT"/>
          <w:szCs w:val="22"/>
          <w:lang w:eastAsia="en-US"/>
        </w:rPr>
        <w:t xml:space="preserve"> žltý oxid železitý (E172)</w:t>
      </w:r>
    </w:p>
    <w:p w14:paraId="2CFA3E9B" w14:textId="77777777" w:rsidR="00D75503" w:rsidRPr="00BA7190" w:rsidRDefault="00D75503" w:rsidP="00D75503">
      <w:pPr>
        <w:autoSpaceDE w:val="0"/>
        <w:autoSpaceDN w:val="0"/>
        <w:adjustRightInd w:val="0"/>
        <w:ind w:left="0" w:firstLine="0"/>
        <w:rPr>
          <w:color w:val="000000"/>
          <w:szCs w:val="22"/>
        </w:rPr>
      </w:pPr>
    </w:p>
    <w:p w14:paraId="17408159" w14:textId="77777777" w:rsidR="00D75503" w:rsidRPr="00BA7190" w:rsidRDefault="00D75503" w:rsidP="00D75503">
      <w:pPr>
        <w:autoSpaceDE w:val="0"/>
        <w:autoSpaceDN w:val="0"/>
        <w:adjustRightInd w:val="0"/>
        <w:ind w:left="0" w:firstLine="0"/>
        <w:rPr>
          <w:rFonts w:eastAsia="TimesNewRomanPSMT"/>
          <w:i/>
          <w:szCs w:val="22"/>
          <w:lang w:eastAsia="en-US"/>
        </w:rPr>
      </w:pPr>
      <w:r w:rsidRPr="00BA7190">
        <w:rPr>
          <w:rFonts w:eastAsia="TimesNewRomanPSMT"/>
          <w:i/>
          <w:szCs w:val="22"/>
          <w:lang w:eastAsia="en-US"/>
        </w:rPr>
        <w:t>Potlačový atrament</w:t>
      </w:r>
    </w:p>
    <w:p w14:paraId="20AF0049" w14:textId="49110938" w:rsidR="00D75503" w:rsidRPr="00BA7190" w:rsidRDefault="00C87DC9" w:rsidP="00D75503">
      <w:pPr>
        <w:autoSpaceDE w:val="0"/>
        <w:autoSpaceDN w:val="0"/>
        <w:adjustRightInd w:val="0"/>
        <w:ind w:left="0" w:firstLine="0"/>
        <w:rPr>
          <w:rFonts w:eastAsia="TimesNewRomanPSMT"/>
          <w:szCs w:val="22"/>
          <w:lang w:eastAsia="en-US"/>
        </w:rPr>
      </w:pPr>
      <w:r>
        <w:rPr>
          <w:rFonts w:eastAsia="TimesNewRomanPSMT"/>
          <w:szCs w:val="22"/>
          <w:lang w:eastAsia="en-US"/>
        </w:rPr>
        <w:t>š</w:t>
      </w:r>
      <w:r w:rsidR="00D75503" w:rsidRPr="00BA7190">
        <w:rPr>
          <w:rFonts w:eastAsia="TimesNewRomanPSMT"/>
          <w:szCs w:val="22"/>
          <w:lang w:eastAsia="en-US"/>
        </w:rPr>
        <w:t>elak (E904)</w:t>
      </w:r>
    </w:p>
    <w:p w14:paraId="74AAB8E6" w14:textId="2D9B8369" w:rsidR="00D75503" w:rsidRPr="00BA7190" w:rsidRDefault="00C87DC9" w:rsidP="00D75503">
      <w:pPr>
        <w:autoSpaceDE w:val="0"/>
        <w:autoSpaceDN w:val="0"/>
        <w:adjustRightInd w:val="0"/>
        <w:ind w:left="0" w:firstLine="0"/>
        <w:rPr>
          <w:rFonts w:eastAsia="TimesNewRomanPSMT"/>
          <w:szCs w:val="22"/>
          <w:lang w:eastAsia="en-US"/>
        </w:rPr>
      </w:pPr>
      <w:r>
        <w:rPr>
          <w:rFonts w:eastAsia="TimesNewRomanPSMT"/>
          <w:szCs w:val="22"/>
          <w:lang w:eastAsia="en-US"/>
        </w:rPr>
        <w:t>p</w:t>
      </w:r>
      <w:r w:rsidR="00D75503" w:rsidRPr="00BA7190">
        <w:rPr>
          <w:rFonts w:eastAsia="TimesNewRomanPSMT"/>
          <w:szCs w:val="22"/>
          <w:lang w:eastAsia="en-US"/>
        </w:rPr>
        <w:t>ropylénglykol (E1520)</w:t>
      </w:r>
    </w:p>
    <w:p w14:paraId="54843B3A" w14:textId="77777777" w:rsidR="00D75503" w:rsidRPr="00BA7190" w:rsidRDefault="00D75503" w:rsidP="00D75503">
      <w:pPr>
        <w:autoSpaceDE w:val="0"/>
        <w:autoSpaceDN w:val="0"/>
        <w:adjustRightInd w:val="0"/>
        <w:ind w:left="0" w:firstLine="0"/>
        <w:rPr>
          <w:rFonts w:eastAsia="TimesNewRomanPSMT"/>
          <w:szCs w:val="22"/>
          <w:lang w:eastAsia="en-US"/>
        </w:rPr>
      </w:pPr>
      <w:r w:rsidRPr="00BA7190">
        <w:rPr>
          <w:rFonts w:eastAsia="TimesNewRomanPSMT"/>
          <w:szCs w:val="22"/>
          <w:lang w:eastAsia="en-US"/>
        </w:rPr>
        <w:t>čierny oxid železitý (E172)</w:t>
      </w:r>
    </w:p>
    <w:p w14:paraId="6FE0FAA8" w14:textId="77777777" w:rsidR="00651F26" w:rsidRPr="00BA7190" w:rsidRDefault="00D75503" w:rsidP="00D75503">
      <w:pPr>
        <w:autoSpaceDE w:val="0"/>
        <w:autoSpaceDN w:val="0"/>
        <w:adjustRightInd w:val="0"/>
        <w:ind w:left="0" w:firstLine="0"/>
        <w:rPr>
          <w:color w:val="000000"/>
          <w:szCs w:val="22"/>
        </w:rPr>
      </w:pPr>
      <w:r w:rsidRPr="00BA7190">
        <w:rPr>
          <w:rFonts w:eastAsia="TimesNewRomanPSMT"/>
          <w:szCs w:val="22"/>
          <w:lang w:eastAsia="en-US"/>
        </w:rPr>
        <w:t>hydroxid draselný</w:t>
      </w:r>
      <w:r w:rsidRPr="00BA7190">
        <w:rPr>
          <w:color w:val="000000"/>
          <w:szCs w:val="22"/>
        </w:rPr>
        <w:t xml:space="preserve"> (E525)</w:t>
      </w:r>
    </w:p>
    <w:p w14:paraId="24FCF006" w14:textId="77777777" w:rsidR="00D71895" w:rsidRPr="00BA7190" w:rsidRDefault="00D71895" w:rsidP="00C92B0B">
      <w:pPr>
        <w:rPr>
          <w:b/>
          <w:szCs w:val="22"/>
        </w:rPr>
      </w:pPr>
    </w:p>
    <w:p w14:paraId="1690ECBA" w14:textId="77777777" w:rsidR="00FF6BE0" w:rsidRPr="00BA7190" w:rsidRDefault="00FF6BE0" w:rsidP="00C92B0B">
      <w:pPr>
        <w:rPr>
          <w:szCs w:val="22"/>
        </w:rPr>
      </w:pPr>
      <w:r w:rsidRPr="00BA7190">
        <w:rPr>
          <w:b/>
          <w:szCs w:val="22"/>
        </w:rPr>
        <w:t>6.2</w:t>
      </w:r>
      <w:r w:rsidRPr="00BA7190">
        <w:rPr>
          <w:b/>
          <w:szCs w:val="22"/>
        </w:rPr>
        <w:tab/>
        <w:t>Inkompatibility</w:t>
      </w:r>
    </w:p>
    <w:p w14:paraId="50D6472E" w14:textId="77777777" w:rsidR="00FF6BE0" w:rsidRPr="00BA7190" w:rsidRDefault="00FF6BE0" w:rsidP="00C92B0B">
      <w:pPr>
        <w:rPr>
          <w:szCs w:val="22"/>
        </w:rPr>
      </w:pPr>
    </w:p>
    <w:p w14:paraId="47757E9C" w14:textId="77777777" w:rsidR="00FF6BE0" w:rsidRPr="00BA7190" w:rsidRDefault="00CB5345" w:rsidP="00C92B0B">
      <w:pPr>
        <w:ind w:left="0" w:firstLine="0"/>
        <w:rPr>
          <w:rFonts w:eastAsia="TimesNewRoman"/>
          <w:szCs w:val="22"/>
          <w:lang w:eastAsia="en-US"/>
        </w:rPr>
      </w:pPr>
      <w:r w:rsidRPr="00BA7190">
        <w:rPr>
          <w:rFonts w:eastAsia="TimesNewRoman"/>
          <w:szCs w:val="22"/>
          <w:lang w:eastAsia="en-US"/>
        </w:rPr>
        <w:t>Neaplikovateľné.</w:t>
      </w:r>
    </w:p>
    <w:p w14:paraId="01870AC8" w14:textId="77777777" w:rsidR="00D47819" w:rsidRPr="00BA7190" w:rsidRDefault="00D47819" w:rsidP="00C92B0B">
      <w:pPr>
        <w:ind w:left="0" w:firstLine="0"/>
        <w:rPr>
          <w:szCs w:val="22"/>
        </w:rPr>
      </w:pPr>
    </w:p>
    <w:p w14:paraId="34B5418C" w14:textId="77777777" w:rsidR="00FF6BE0" w:rsidRPr="00BA7190" w:rsidRDefault="00FF6BE0" w:rsidP="00C92B0B">
      <w:pPr>
        <w:rPr>
          <w:szCs w:val="22"/>
        </w:rPr>
      </w:pPr>
      <w:r w:rsidRPr="00BA7190">
        <w:rPr>
          <w:b/>
          <w:szCs w:val="22"/>
        </w:rPr>
        <w:t>6.3</w:t>
      </w:r>
      <w:r w:rsidRPr="00BA7190">
        <w:rPr>
          <w:b/>
          <w:szCs w:val="22"/>
        </w:rPr>
        <w:tab/>
        <w:t>Čas použiteľnosti</w:t>
      </w:r>
    </w:p>
    <w:p w14:paraId="28A055C1" w14:textId="77777777" w:rsidR="00FF6BE0" w:rsidRPr="00BA7190" w:rsidRDefault="00FF6BE0" w:rsidP="00C92B0B">
      <w:pPr>
        <w:rPr>
          <w:szCs w:val="22"/>
        </w:rPr>
      </w:pPr>
    </w:p>
    <w:p w14:paraId="2A068D71" w14:textId="77777777" w:rsidR="00D47819" w:rsidRPr="00BA7190" w:rsidRDefault="001F44C5" w:rsidP="00D47819">
      <w:pPr>
        <w:autoSpaceDE w:val="0"/>
        <w:autoSpaceDN w:val="0"/>
        <w:adjustRightInd w:val="0"/>
        <w:ind w:left="0" w:firstLine="0"/>
        <w:rPr>
          <w:rFonts w:eastAsia="TimesNewRoman"/>
          <w:szCs w:val="22"/>
          <w:lang w:eastAsia="en-US"/>
        </w:rPr>
      </w:pPr>
      <w:r w:rsidRPr="00BA7190">
        <w:rPr>
          <w:rFonts w:eastAsia="TimesNewRoman"/>
          <w:szCs w:val="22"/>
          <w:lang w:eastAsia="en-US"/>
        </w:rPr>
        <w:t>3</w:t>
      </w:r>
      <w:r w:rsidR="00D47819" w:rsidRPr="00BA7190">
        <w:rPr>
          <w:rFonts w:eastAsia="TimesNewRoman"/>
          <w:szCs w:val="22"/>
          <w:lang w:eastAsia="en-US"/>
        </w:rPr>
        <w:t xml:space="preserve"> roky</w:t>
      </w:r>
    </w:p>
    <w:p w14:paraId="586CEC59" w14:textId="77777777" w:rsidR="00FB095A" w:rsidRPr="00BA7190" w:rsidRDefault="00FB095A" w:rsidP="00D47819">
      <w:pPr>
        <w:autoSpaceDE w:val="0"/>
        <w:autoSpaceDN w:val="0"/>
        <w:adjustRightInd w:val="0"/>
        <w:ind w:left="0" w:firstLine="0"/>
        <w:rPr>
          <w:rFonts w:eastAsia="TimesNewRoman"/>
          <w:szCs w:val="22"/>
          <w:lang w:eastAsia="en-US"/>
        </w:rPr>
      </w:pPr>
    </w:p>
    <w:p w14:paraId="65B3EEAE" w14:textId="77777777" w:rsidR="00FF6BE0" w:rsidRPr="00BA7190" w:rsidRDefault="00FF6BE0" w:rsidP="00C92B0B">
      <w:pPr>
        <w:rPr>
          <w:szCs w:val="22"/>
        </w:rPr>
      </w:pPr>
      <w:r w:rsidRPr="00BA7190">
        <w:rPr>
          <w:b/>
          <w:szCs w:val="22"/>
        </w:rPr>
        <w:t>6.4</w:t>
      </w:r>
      <w:r w:rsidRPr="00BA7190">
        <w:rPr>
          <w:b/>
          <w:szCs w:val="22"/>
        </w:rPr>
        <w:tab/>
        <w:t>Špeciálne upozornenia na uchovávanie</w:t>
      </w:r>
    </w:p>
    <w:p w14:paraId="42D8715D" w14:textId="77777777" w:rsidR="007567B5" w:rsidRPr="00BA7190" w:rsidRDefault="007567B5" w:rsidP="00C92B0B">
      <w:pPr>
        <w:autoSpaceDE w:val="0"/>
        <w:autoSpaceDN w:val="0"/>
        <w:adjustRightInd w:val="0"/>
        <w:ind w:left="0" w:firstLine="0"/>
        <w:rPr>
          <w:szCs w:val="22"/>
        </w:rPr>
      </w:pPr>
    </w:p>
    <w:p w14:paraId="0481C2B2" w14:textId="77777777" w:rsidR="00D47819" w:rsidRPr="00BA7190" w:rsidRDefault="009C2BB1" w:rsidP="00D47819">
      <w:pPr>
        <w:autoSpaceDE w:val="0"/>
        <w:autoSpaceDN w:val="0"/>
        <w:adjustRightInd w:val="0"/>
        <w:ind w:left="0" w:firstLine="0"/>
        <w:rPr>
          <w:rFonts w:eastAsia="TimesNewRoman"/>
          <w:szCs w:val="22"/>
          <w:lang w:eastAsia="en-US"/>
        </w:rPr>
      </w:pPr>
      <w:r w:rsidRPr="00BA7190">
        <w:rPr>
          <w:rFonts w:eastAsia="TimesNewRoman"/>
          <w:szCs w:val="22"/>
          <w:lang w:eastAsia="en-US"/>
        </w:rPr>
        <w:t>Tento liek nevyžaduje žiadne zvláštne podmienky na uchovávanie.</w:t>
      </w:r>
    </w:p>
    <w:p w14:paraId="0116EC34" w14:textId="77777777" w:rsidR="009C2BB1" w:rsidRPr="00BA7190" w:rsidRDefault="009C2BB1" w:rsidP="00D47819">
      <w:pPr>
        <w:autoSpaceDE w:val="0"/>
        <w:autoSpaceDN w:val="0"/>
        <w:adjustRightInd w:val="0"/>
        <w:ind w:left="0" w:firstLine="0"/>
        <w:rPr>
          <w:rFonts w:eastAsia="TimesNewRoman"/>
          <w:szCs w:val="22"/>
          <w:lang w:eastAsia="en-US"/>
        </w:rPr>
      </w:pPr>
    </w:p>
    <w:p w14:paraId="67702995" w14:textId="77777777" w:rsidR="00FF6BE0" w:rsidRPr="00BA7190" w:rsidRDefault="00FF6BE0" w:rsidP="00C92B0B">
      <w:pPr>
        <w:rPr>
          <w:szCs w:val="22"/>
        </w:rPr>
      </w:pPr>
      <w:r w:rsidRPr="00BA7190">
        <w:rPr>
          <w:b/>
          <w:szCs w:val="22"/>
        </w:rPr>
        <w:t>6.5</w:t>
      </w:r>
      <w:r w:rsidRPr="00BA7190">
        <w:rPr>
          <w:b/>
          <w:szCs w:val="22"/>
        </w:rPr>
        <w:tab/>
        <w:t>Druh obalu a obsah balenia</w:t>
      </w:r>
      <w:r w:rsidRPr="00BA7190">
        <w:rPr>
          <w:b/>
          <w:color w:val="0000FF"/>
          <w:szCs w:val="22"/>
        </w:rPr>
        <w:t xml:space="preserve"> </w:t>
      </w:r>
    </w:p>
    <w:p w14:paraId="54F816CA" w14:textId="77777777" w:rsidR="00D21D8D" w:rsidRPr="00BA7190" w:rsidRDefault="00D21D8D" w:rsidP="00C92B0B">
      <w:pPr>
        <w:rPr>
          <w:szCs w:val="22"/>
        </w:rPr>
      </w:pPr>
    </w:p>
    <w:p w14:paraId="4C8F2AA2" w14:textId="0AAC7D74" w:rsidR="00D75503" w:rsidRPr="00BA7190" w:rsidRDefault="008C43EE" w:rsidP="002E0A2D">
      <w:pPr>
        <w:autoSpaceDE w:val="0"/>
        <w:autoSpaceDN w:val="0"/>
        <w:adjustRightInd w:val="0"/>
        <w:ind w:left="0" w:firstLine="0"/>
        <w:rPr>
          <w:rFonts w:eastAsia="TimesNewRoman"/>
          <w:szCs w:val="22"/>
          <w:lang w:eastAsia="en-US"/>
        </w:rPr>
      </w:pPr>
      <w:r w:rsidRPr="00BA7190">
        <w:rPr>
          <w:rFonts w:eastAsia="TimesNewRoman"/>
          <w:szCs w:val="22"/>
          <w:lang w:eastAsia="en-US"/>
        </w:rPr>
        <w:t>O</w:t>
      </w:r>
      <w:r w:rsidR="00726C6F" w:rsidRPr="00BA7190">
        <w:rPr>
          <w:rFonts w:eastAsia="TimesNewRoman"/>
          <w:szCs w:val="22"/>
          <w:lang w:eastAsia="en-US"/>
        </w:rPr>
        <w:t>PA/A</w:t>
      </w:r>
      <w:r w:rsidR="00576DE4">
        <w:rPr>
          <w:rFonts w:eastAsia="TimesNewRoman"/>
          <w:szCs w:val="22"/>
          <w:lang w:eastAsia="en-US"/>
        </w:rPr>
        <w:t>LU</w:t>
      </w:r>
      <w:r w:rsidRPr="00BA7190">
        <w:rPr>
          <w:rFonts w:eastAsia="TimesNewRoman"/>
          <w:szCs w:val="22"/>
          <w:lang w:eastAsia="en-US"/>
        </w:rPr>
        <w:t>/PVC</w:t>
      </w:r>
      <w:r w:rsidR="00D75503" w:rsidRPr="00BA7190">
        <w:rPr>
          <w:rFonts w:eastAsia="TimesNewRoman"/>
          <w:szCs w:val="22"/>
          <w:lang w:eastAsia="en-US"/>
        </w:rPr>
        <w:t>/A</w:t>
      </w:r>
      <w:r w:rsidR="00576DE4">
        <w:rPr>
          <w:rFonts w:eastAsia="TimesNewRoman"/>
          <w:szCs w:val="22"/>
          <w:lang w:eastAsia="en-US"/>
        </w:rPr>
        <w:t>LU</w:t>
      </w:r>
      <w:r w:rsidR="002E0A2D" w:rsidRPr="00BA7190">
        <w:rPr>
          <w:rFonts w:eastAsia="TimesNewRoman"/>
          <w:szCs w:val="22"/>
          <w:lang w:eastAsia="en-US"/>
        </w:rPr>
        <w:t xml:space="preserve"> blistre</w:t>
      </w:r>
      <w:r w:rsidR="00D75503" w:rsidRPr="00BA7190">
        <w:rPr>
          <w:rFonts w:eastAsia="TimesNewRoman"/>
          <w:szCs w:val="22"/>
          <w:lang w:eastAsia="en-US"/>
        </w:rPr>
        <w:t>.</w:t>
      </w:r>
    </w:p>
    <w:p w14:paraId="2B636E3B" w14:textId="77777777" w:rsidR="00D75503" w:rsidRPr="00BA7190" w:rsidRDefault="00D75503" w:rsidP="002E0A2D">
      <w:pPr>
        <w:autoSpaceDE w:val="0"/>
        <w:autoSpaceDN w:val="0"/>
        <w:adjustRightInd w:val="0"/>
        <w:ind w:left="0" w:firstLine="0"/>
        <w:rPr>
          <w:rFonts w:eastAsia="TimesNewRoman"/>
          <w:szCs w:val="22"/>
          <w:lang w:eastAsia="en-US"/>
        </w:rPr>
      </w:pPr>
    </w:p>
    <w:p w14:paraId="20889E0F" w14:textId="16557421" w:rsidR="006F52DB" w:rsidRPr="00BA7190" w:rsidRDefault="00576DE4" w:rsidP="006F52DB">
      <w:pPr>
        <w:autoSpaceDE w:val="0"/>
        <w:autoSpaceDN w:val="0"/>
        <w:adjustRightInd w:val="0"/>
        <w:ind w:left="0" w:firstLine="0"/>
        <w:rPr>
          <w:rFonts w:eastAsia="TimesNewRoman"/>
          <w:szCs w:val="22"/>
          <w:lang w:eastAsia="en-US"/>
        </w:rPr>
      </w:pPr>
      <w:r>
        <w:rPr>
          <w:rFonts w:eastAsia="TimesNewRoman"/>
          <w:szCs w:val="22"/>
          <w:lang w:eastAsia="en-US"/>
        </w:rPr>
        <w:t>Škatuľky obsahujú</w:t>
      </w:r>
      <w:r w:rsidR="001A588B" w:rsidRPr="00BA7190">
        <w:rPr>
          <w:rFonts w:eastAsia="TimesNewRoman"/>
          <w:szCs w:val="22"/>
          <w:lang w:eastAsia="en-US"/>
        </w:rPr>
        <w:t xml:space="preserve"> 7, 14, 21, 28, 42 kapsúl.</w:t>
      </w:r>
    </w:p>
    <w:p w14:paraId="34246A02" w14:textId="77777777" w:rsidR="00C11F28" w:rsidRPr="00BA7190" w:rsidRDefault="00C11F28" w:rsidP="002E0A2D">
      <w:pPr>
        <w:autoSpaceDE w:val="0"/>
        <w:autoSpaceDN w:val="0"/>
        <w:adjustRightInd w:val="0"/>
        <w:ind w:left="0" w:firstLine="0"/>
        <w:rPr>
          <w:rFonts w:eastAsia="TimesNewRoman"/>
          <w:szCs w:val="22"/>
          <w:lang w:eastAsia="en-US"/>
        </w:rPr>
      </w:pPr>
    </w:p>
    <w:p w14:paraId="7403B048" w14:textId="77777777" w:rsidR="00E06557" w:rsidRPr="00BA7190" w:rsidRDefault="006F52DB" w:rsidP="00C92B0B">
      <w:pPr>
        <w:rPr>
          <w:noProof/>
          <w:szCs w:val="22"/>
        </w:rPr>
      </w:pPr>
      <w:r w:rsidRPr="00BA7190">
        <w:rPr>
          <w:noProof/>
          <w:szCs w:val="22"/>
        </w:rPr>
        <w:t>Na trh nemusia byť uvedené všetky veľkosti balenia.</w:t>
      </w:r>
    </w:p>
    <w:p w14:paraId="4C8EA707" w14:textId="77777777" w:rsidR="006F52DB" w:rsidRPr="00BA7190" w:rsidRDefault="006F52DB" w:rsidP="00C92B0B">
      <w:pPr>
        <w:rPr>
          <w:noProof/>
          <w:szCs w:val="22"/>
        </w:rPr>
      </w:pPr>
    </w:p>
    <w:p w14:paraId="17AA8E8A" w14:textId="77777777" w:rsidR="00FF6BE0" w:rsidRPr="00BA7190" w:rsidRDefault="00FF6BE0" w:rsidP="00C92B0B">
      <w:pPr>
        <w:rPr>
          <w:b/>
          <w:bCs/>
          <w:noProof/>
          <w:szCs w:val="22"/>
        </w:rPr>
      </w:pPr>
      <w:r w:rsidRPr="00BA7190">
        <w:rPr>
          <w:b/>
          <w:szCs w:val="22"/>
        </w:rPr>
        <w:t>6.6</w:t>
      </w:r>
      <w:r w:rsidRPr="00BA7190">
        <w:rPr>
          <w:b/>
          <w:szCs w:val="22"/>
        </w:rPr>
        <w:tab/>
      </w:r>
      <w:r w:rsidRPr="00BA7190">
        <w:rPr>
          <w:b/>
          <w:bCs/>
          <w:noProof/>
          <w:szCs w:val="22"/>
        </w:rPr>
        <w:t>Špeciálne opatrenia na likvidáciu</w:t>
      </w:r>
      <w:r w:rsidR="000432C6" w:rsidRPr="00BA7190">
        <w:rPr>
          <w:b/>
          <w:bCs/>
          <w:noProof/>
          <w:szCs w:val="22"/>
        </w:rPr>
        <w:t xml:space="preserve"> a iné zaobchádzanie s liekom</w:t>
      </w:r>
    </w:p>
    <w:p w14:paraId="052AF331" w14:textId="77777777" w:rsidR="00FF6BE0" w:rsidRPr="00BA7190" w:rsidRDefault="00FF6BE0" w:rsidP="00C92B0B">
      <w:pPr>
        <w:rPr>
          <w:b/>
          <w:bCs/>
          <w:noProof/>
          <w:szCs w:val="22"/>
        </w:rPr>
      </w:pPr>
    </w:p>
    <w:p w14:paraId="5BC054F9" w14:textId="77777777" w:rsidR="00D75503" w:rsidRPr="00BA7190" w:rsidRDefault="00D75503" w:rsidP="00D75503">
      <w:pPr>
        <w:autoSpaceDE w:val="0"/>
        <w:autoSpaceDN w:val="0"/>
        <w:adjustRightInd w:val="0"/>
        <w:ind w:left="0" w:firstLine="0"/>
        <w:rPr>
          <w:rFonts w:eastAsia="TimesNewRomanPSMT"/>
          <w:szCs w:val="22"/>
          <w:lang w:eastAsia="en-US"/>
        </w:rPr>
      </w:pPr>
      <w:r w:rsidRPr="00BA7190">
        <w:rPr>
          <w:rFonts w:eastAsia="TimesNewRomanPSMT"/>
          <w:szCs w:val="22"/>
          <w:lang w:eastAsia="en-US"/>
        </w:rPr>
        <w:t>Kapsuly sa nemajú otvárať ani drviť. Ak sa prášok z lenalidomidu dostane do kontaktu s kožou, koža sa má okamžite a dôkladne umyť mydlom a vodou. Ak sa lenalidomid dostane do kontaktu so sliznicami, majú sa dôkladne opláchnuť vodou.</w:t>
      </w:r>
    </w:p>
    <w:p w14:paraId="7C88BACE" w14:textId="77777777" w:rsidR="00D75503" w:rsidRPr="00BA7190" w:rsidRDefault="00D75503" w:rsidP="00D75503">
      <w:pPr>
        <w:autoSpaceDE w:val="0"/>
        <w:autoSpaceDN w:val="0"/>
        <w:adjustRightInd w:val="0"/>
        <w:ind w:left="0" w:firstLine="0"/>
        <w:rPr>
          <w:rFonts w:eastAsia="TimesNewRoman"/>
          <w:szCs w:val="22"/>
          <w:lang w:eastAsia="en-US"/>
        </w:rPr>
      </w:pPr>
    </w:p>
    <w:p w14:paraId="247375B0" w14:textId="77777777" w:rsidR="00001FD4" w:rsidRPr="00BA7190" w:rsidRDefault="00001FD4" w:rsidP="00D75503">
      <w:pPr>
        <w:autoSpaceDE w:val="0"/>
        <w:autoSpaceDN w:val="0"/>
        <w:adjustRightInd w:val="0"/>
        <w:ind w:left="0" w:firstLine="0"/>
        <w:rPr>
          <w:szCs w:val="22"/>
        </w:rPr>
      </w:pPr>
      <w:r w:rsidRPr="00BA7190">
        <w:rPr>
          <w:rFonts w:eastAsia="TimesNewRoman"/>
          <w:szCs w:val="22"/>
          <w:lang w:eastAsia="en-US"/>
        </w:rPr>
        <w:t>Všetok nepoužitý liek alebo odpad vzniknutý z lieku sa má zlikvidovať v súlade s národnými požiadavkami.</w:t>
      </w:r>
    </w:p>
    <w:p w14:paraId="7C76965C" w14:textId="77777777" w:rsidR="00FF6BE0" w:rsidRPr="00BA7190" w:rsidRDefault="00FF6BE0" w:rsidP="00C92B0B">
      <w:pPr>
        <w:rPr>
          <w:szCs w:val="22"/>
        </w:rPr>
      </w:pPr>
    </w:p>
    <w:p w14:paraId="6C7334D1" w14:textId="77777777" w:rsidR="00D21D8D" w:rsidRPr="00BA7190" w:rsidRDefault="00D21D8D" w:rsidP="00C92B0B">
      <w:pPr>
        <w:rPr>
          <w:szCs w:val="22"/>
        </w:rPr>
      </w:pPr>
    </w:p>
    <w:p w14:paraId="1ABE1743" w14:textId="77777777" w:rsidR="00FF6BE0" w:rsidRPr="00BA7190" w:rsidRDefault="00FF6BE0" w:rsidP="00C92B0B">
      <w:pPr>
        <w:rPr>
          <w:b/>
          <w:szCs w:val="22"/>
        </w:rPr>
      </w:pPr>
      <w:r w:rsidRPr="00BA7190">
        <w:rPr>
          <w:b/>
          <w:szCs w:val="22"/>
        </w:rPr>
        <w:lastRenderedPageBreak/>
        <w:t>7.</w:t>
      </w:r>
      <w:r w:rsidRPr="00BA7190">
        <w:rPr>
          <w:b/>
          <w:szCs w:val="22"/>
        </w:rPr>
        <w:tab/>
        <w:t>DRŽ</w:t>
      </w:r>
      <w:smartTag w:uri="urn:schemas-microsoft-com:office:smarttags" w:element="PersonName">
        <w:r w:rsidRPr="00BA7190">
          <w:rPr>
            <w:b/>
            <w:szCs w:val="22"/>
          </w:rPr>
          <w:t>IT</w:t>
        </w:r>
      </w:smartTag>
      <w:r w:rsidRPr="00BA7190">
        <w:rPr>
          <w:b/>
          <w:szCs w:val="22"/>
        </w:rPr>
        <w:t>EĽ ROZHODNUTIA O REGISTRÁCII</w:t>
      </w:r>
    </w:p>
    <w:p w14:paraId="098F1705" w14:textId="77777777" w:rsidR="00FF6BE0" w:rsidRPr="00BA7190" w:rsidRDefault="00FF6BE0" w:rsidP="00C92B0B">
      <w:pPr>
        <w:rPr>
          <w:szCs w:val="22"/>
        </w:rPr>
      </w:pPr>
    </w:p>
    <w:p w14:paraId="796ED530" w14:textId="77777777" w:rsidR="001A5201" w:rsidRDefault="00576DE4" w:rsidP="00C92B0B">
      <w:pPr>
        <w:rPr>
          <w:szCs w:val="22"/>
        </w:rPr>
      </w:pPr>
      <w:r>
        <w:rPr>
          <w:szCs w:val="22"/>
        </w:rPr>
        <w:t>Synthon BV</w:t>
      </w:r>
    </w:p>
    <w:p w14:paraId="2BF58EBF" w14:textId="77777777" w:rsidR="00576DE4" w:rsidRDefault="00576DE4" w:rsidP="00C92B0B">
      <w:pPr>
        <w:rPr>
          <w:szCs w:val="22"/>
        </w:rPr>
      </w:pPr>
      <w:r>
        <w:rPr>
          <w:szCs w:val="22"/>
        </w:rPr>
        <w:t>Microweg 22</w:t>
      </w:r>
    </w:p>
    <w:p w14:paraId="0671F60E" w14:textId="77777777" w:rsidR="00576DE4" w:rsidRDefault="00576DE4" w:rsidP="00C92B0B">
      <w:pPr>
        <w:rPr>
          <w:szCs w:val="22"/>
        </w:rPr>
      </w:pPr>
      <w:r>
        <w:rPr>
          <w:szCs w:val="22"/>
        </w:rPr>
        <w:t>6545 CM Nijmegen</w:t>
      </w:r>
    </w:p>
    <w:p w14:paraId="5CF92132" w14:textId="77777777" w:rsidR="00576DE4" w:rsidRPr="00BA7190" w:rsidRDefault="00576DE4" w:rsidP="00576DE4">
      <w:pPr>
        <w:ind w:left="0" w:firstLine="0"/>
        <w:rPr>
          <w:szCs w:val="22"/>
        </w:rPr>
      </w:pPr>
      <w:r>
        <w:rPr>
          <w:szCs w:val="22"/>
        </w:rPr>
        <w:t>Holandsko</w:t>
      </w:r>
    </w:p>
    <w:p w14:paraId="728724BC" w14:textId="77777777" w:rsidR="008764DA" w:rsidRPr="00BA7190" w:rsidRDefault="008764DA" w:rsidP="00C92B0B">
      <w:pPr>
        <w:ind w:left="0" w:firstLine="0"/>
        <w:rPr>
          <w:szCs w:val="22"/>
        </w:rPr>
      </w:pPr>
    </w:p>
    <w:p w14:paraId="45994119" w14:textId="77777777" w:rsidR="00FF6BE0" w:rsidRPr="00BA7190" w:rsidRDefault="00FF6BE0" w:rsidP="00C92B0B">
      <w:pPr>
        <w:rPr>
          <w:szCs w:val="22"/>
        </w:rPr>
      </w:pPr>
    </w:p>
    <w:p w14:paraId="23633F37" w14:textId="77777777" w:rsidR="00FF6BE0" w:rsidRPr="00BA7190" w:rsidRDefault="00D21D8D" w:rsidP="00C92B0B">
      <w:pPr>
        <w:rPr>
          <w:b/>
          <w:szCs w:val="22"/>
        </w:rPr>
      </w:pPr>
      <w:r w:rsidRPr="00BA7190">
        <w:rPr>
          <w:b/>
          <w:szCs w:val="22"/>
        </w:rPr>
        <w:t>8.</w:t>
      </w:r>
      <w:r w:rsidRPr="00BA7190">
        <w:rPr>
          <w:b/>
          <w:szCs w:val="22"/>
        </w:rPr>
        <w:tab/>
        <w:t>REGISTRAČNÉ ČÍSL</w:t>
      </w:r>
      <w:r w:rsidR="00726C6F" w:rsidRPr="00BA7190">
        <w:rPr>
          <w:b/>
          <w:szCs w:val="22"/>
        </w:rPr>
        <w:t>A</w:t>
      </w:r>
    </w:p>
    <w:p w14:paraId="317CE05F" w14:textId="77777777" w:rsidR="00610650" w:rsidRPr="00BA7190" w:rsidRDefault="00610650" w:rsidP="00C92B0B">
      <w:pPr>
        <w:rPr>
          <w:szCs w:val="22"/>
        </w:rPr>
      </w:pPr>
    </w:p>
    <w:p w14:paraId="1EB8699E" w14:textId="6206D30C" w:rsidR="007E1011" w:rsidRPr="00BA7190" w:rsidRDefault="007E1011" w:rsidP="007E1011">
      <w:pPr>
        <w:rPr>
          <w:szCs w:val="22"/>
        </w:rPr>
      </w:pPr>
      <w:r w:rsidRPr="00BA7190">
        <w:rPr>
          <w:szCs w:val="22"/>
        </w:rPr>
        <w:t xml:space="preserve">Lenalidomid </w:t>
      </w:r>
      <w:r w:rsidR="00576DE4">
        <w:rPr>
          <w:szCs w:val="22"/>
        </w:rPr>
        <w:t>Synthon</w:t>
      </w:r>
      <w:r w:rsidRPr="00BA7190">
        <w:rPr>
          <w:szCs w:val="22"/>
        </w:rPr>
        <w:t xml:space="preserve"> 5 mg:</w:t>
      </w:r>
      <w:r w:rsidR="00893070">
        <w:rPr>
          <w:szCs w:val="22"/>
        </w:rPr>
        <w:t xml:space="preserve"> 59/0411</w:t>
      </w:r>
      <w:r w:rsidR="00893070" w:rsidRPr="00893070">
        <w:rPr>
          <w:szCs w:val="22"/>
        </w:rPr>
        <w:t>/18-S</w:t>
      </w:r>
    </w:p>
    <w:p w14:paraId="23B8825B" w14:textId="0F633332" w:rsidR="007E1011" w:rsidRPr="00BA7190" w:rsidRDefault="007E1011" w:rsidP="007E1011">
      <w:pPr>
        <w:rPr>
          <w:szCs w:val="22"/>
        </w:rPr>
      </w:pPr>
      <w:r w:rsidRPr="00BA7190">
        <w:rPr>
          <w:szCs w:val="22"/>
        </w:rPr>
        <w:t xml:space="preserve">Lenalidomid </w:t>
      </w:r>
      <w:r w:rsidR="00576DE4">
        <w:rPr>
          <w:szCs w:val="22"/>
        </w:rPr>
        <w:t>Synthon</w:t>
      </w:r>
      <w:r w:rsidRPr="00BA7190">
        <w:rPr>
          <w:szCs w:val="22"/>
        </w:rPr>
        <w:t xml:space="preserve"> 10 mg:</w:t>
      </w:r>
      <w:r w:rsidR="00893070">
        <w:rPr>
          <w:szCs w:val="22"/>
        </w:rPr>
        <w:t xml:space="preserve"> 59/0412</w:t>
      </w:r>
      <w:r w:rsidR="00893070" w:rsidRPr="00893070">
        <w:rPr>
          <w:szCs w:val="22"/>
        </w:rPr>
        <w:t>/18-S</w:t>
      </w:r>
    </w:p>
    <w:p w14:paraId="786D9A1F" w14:textId="501FF3AE" w:rsidR="007E1011" w:rsidRPr="00BA7190" w:rsidRDefault="007E1011" w:rsidP="007E1011">
      <w:pPr>
        <w:rPr>
          <w:szCs w:val="22"/>
        </w:rPr>
      </w:pPr>
      <w:r w:rsidRPr="00BA7190">
        <w:rPr>
          <w:szCs w:val="22"/>
        </w:rPr>
        <w:t xml:space="preserve">Lenalidomid </w:t>
      </w:r>
      <w:r w:rsidR="00576DE4">
        <w:rPr>
          <w:szCs w:val="22"/>
        </w:rPr>
        <w:t>Synthon</w:t>
      </w:r>
      <w:r w:rsidRPr="00BA7190">
        <w:rPr>
          <w:szCs w:val="22"/>
        </w:rPr>
        <w:t xml:space="preserve"> 15 mg:</w:t>
      </w:r>
      <w:r w:rsidR="00893070">
        <w:rPr>
          <w:szCs w:val="22"/>
        </w:rPr>
        <w:t xml:space="preserve"> 59/0413</w:t>
      </w:r>
      <w:r w:rsidR="00893070" w:rsidRPr="00893070">
        <w:rPr>
          <w:szCs w:val="22"/>
        </w:rPr>
        <w:t>/18-S</w:t>
      </w:r>
    </w:p>
    <w:p w14:paraId="6DFC1F98" w14:textId="4835274A" w:rsidR="00FF6BE0" w:rsidRPr="00BA7190" w:rsidRDefault="007E1011" w:rsidP="007E1011">
      <w:pPr>
        <w:rPr>
          <w:szCs w:val="22"/>
        </w:rPr>
      </w:pPr>
      <w:r w:rsidRPr="00BA7190">
        <w:rPr>
          <w:szCs w:val="22"/>
        </w:rPr>
        <w:t xml:space="preserve">Lenalidomid </w:t>
      </w:r>
      <w:r w:rsidR="00576DE4">
        <w:rPr>
          <w:szCs w:val="22"/>
        </w:rPr>
        <w:t>Synthon</w:t>
      </w:r>
      <w:r w:rsidRPr="00BA7190">
        <w:rPr>
          <w:szCs w:val="22"/>
        </w:rPr>
        <w:t xml:space="preserve"> 25 mg:</w:t>
      </w:r>
      <w:r w:rsidR="00893070">
        <w:rPr>
          <w:szCs w:val="22"/>
        </w:rPr>
        <w:t xml:space="preserve"> </w:t>
      </w:r>
      <w:r w:rsidR="00893070" w:rsidRPr="00893070">
        <w:rPr>
          <w:szCs w:val="22"/>
        </w:rPr>
        <w:t>59/0414/18-S</w:t>
      </w:r>
    </w:p>
    <w:p w14:paraId="7C54EFF8" w14:textId="77777777" w:rsidR="000933B4" w:rsidRPr="00BA7190" w:rsidRDefault="000933B4" w:rsidP="000933B4">
      <w:pPr>
        <w:rPr>
          <w:szCs w:val="22"/>
        </w:rPr>
      </w:pPr>
    </w:p>
    <w:p w14:paraId="6186F0B5" w14:textId="77777777" w:rsidR="000933B4" w:rsidRPr="00BA7190" w:rsidRDefault="000933B4" w:rsidP="000933B4">
      <w:pPr>
        <w:rPr>
          <w:szCs w:val="22"/>
        </w:rPr>
      </w:pPr>
    </w:p>
    <w:p w14:paraId="10CD3416" w14:textId="77777777" w:rsidR="00FF6BE0" w:rsidRPr="00BA7190" w:rsidRDefault="00FF6BE0" w:rsidP="00C92B0B">
      <w:pPr>
        <w:rPr>
          <w:b/>
          <w:szCs w:val="22"/>
        </w:rPr>
      </w:pPr>
      <w:r w:rsidRPr="00BA7190">
        <w:rPr>
          <w:b/>
          <w:szCs w:val="22"/>
        </w:rPr>
        <w:t>9.</w:t>
      </w:r>
      <w:r w:rsidRPr="00BA7190">
        <w:rPr>
          <w:b/>
          <w:szCs w:val="22"/>
        </w:rPr>
        <w:tab/>
        <w:t>DÁTUM PRVEJ REGISTRÁCIE/PREDĹŽENIA REGISTRÁCIE</w:t>
      </w:r>
    </w:p>
    <w:p w14:paraId="2B53EBC9" w14:textId="77777777" w:rsidR="00D534C5" w:rsidRPr="00BA7190" w:rsidRDefault="00D534C5" w:rsidP="00C92B0B">
      <w:pPr>
        <w:ind w:left="0" w:firstLine="0"/>
        <w:rPr>
          <w:szCs w:val="22"/>
        </w:rPr>
      </w:pPr>
    </w:p>
    <w:p w14:paraId="4D8955E9" w14:textId="77777777" w:rsidR="00FF6BE0" w:rsidRPr="00BA7190" w:rsidRDefault="00D534C5" w:rsidP="00C92B0B">
      <w:pPr>
        <w:ind w:left="0" w:firstLine="0"/>
        <w:rPr>
          <w:szCs w:val="22"/>
        </w:rPr>
      </w:pPr>
      <w:r w:rsidRPr="00BA7190">
        <w:rPr>
          <w:szCs w:val="22"/>
        </w:rPr>
        <w:t xml:space="preserve">Dátum prvej registrácie: </w:t>
      </w:r>
    </w:p>
    <w:p w14:paraId="28B1A7F5" w14:textId="77777777" w:rsidR="00586500" w:rsidRPr="00BA7190" w:rsidRDefault="00586500" w:rsidP="00C92B0B">
      <w:pPr>
        <w:ind w:left="0" w:firstLine="0"/>
        <w:rPr>
          <w:szCs w:val="22"/>
        </w:rPr>
      </w:pPr>
    </w:p>
    <w:p w14:paraId="42853373" w14:textId="77777777" w:rsidR="00FF6BE0" w:rsidRPr="00BA7190" w:rsidRDefault="00FF6BE0" w:rsidP="00C92B0B">
      <w:pPr>
        <w:rPr>
          <w:szCs w:val="22"/>
        </w:rPr>
      </w:pPr>
    </w:p>
    <w:p w14:paraId="0B13ADA1" w14:textId="77777777" w:rsidR="00FF6BE0" w:rsidRPr="00BA7190" w:rsidRDefault="00FF6BE0" w:rsidP="00C92B0B">
      <w:pPr>
        <w:rPr>
          <w:b/>
          <w:szCs w:val="22"/>
        </w:rPr>
      </w:pPr>
      <w:r w:rsidRPr="00BA7190">
        <w:rPr>
          <w:b/>
          <w:szCs w:val="22"/>
        </w:rPr>
        <w:t>10.</w:t>
      </w:r>
      <w:r w:rsidRPr="00BA7190">
        <w:rPr>
          <w:b/>
          <w:szCs w:val="22"/>
        </w:rPr>
        <w:tab/>
        <w:t>DÁTUM REVÍZIE TEXTU</w:t>
      </w:r>
    </w:p>
    <w:p w14:paraId="0CF8ADB7" w14:textId="77777777" w:rsidR="005760B0" w:rsidRPr="00BA7190" w:rsidRDefault="005760B0" w:rsidP="00C92B0B">
      <w:pPr>
        <w:rPr>
          <w:szCs w:val="22"/>
        </w:rPr>
      </w:pPr>
    </w:p>
    <w:p w14:paraId="3B2D101C" w14:textId="35AB2579" w:rsidR="00CB035E" w:rsidRDefault="004874A8" w:rsidP="00C92B0B">
      <w:pPr>
        <w:rPr>
          <w:szCs w:val="22"/>
        </w:rPr>
      </w:pPr>
      <w:r>
        <w:rPr>
          <w:szCs w:val="22"/>
        </w:rPr>
        <w:t>12/2018</w:t>
      </w:r>
    </w:p>
    <w:p w14:paraId="3DD1D37D" w14:textId="77777777" w:rsidR="004874A8" w:rsidRPr="00BA7190" w:rsidRDefault="004874A8" w:rsidP="00C92B0B">
      <w:pPr>
        <w:rPr>
          <w:szCs w:val="22"/>
        </w:rPr>
      </w:pPr>
    </w:p>
    <w:p w14:paraId="4ACFD8B7" w14:textId="77777777" w:rsidR="00CB035E" w:rsidRPr="00BA7190" w:rsidRDefault="00CB035E" w:rsidP="00C92B0B">
      <w:pPr>
        <w:rPr>
          <w:szCs w:val="22"/>
        </w:rPr>
      </w:pPr>
    </w:p>
    <w:sectPr w:rsidR="00CB035E" w:rsidRPr="00BA7190" w:rsidSect="000932CA">
      <w:headerReference w:type="default" r:id="rId9"/>
      <w:footerReference w:type="default" r:id="rId10"/>
      <w:headerReference w:type="first" r:id="rId11"/>
      <w:footerReference w:type="firs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B3417" w14:textId="77777777" w:rsidR="004E2236" w:rsidRDefault="004E2236" w:rsidP="0035564D">
      <w:r>
        <w:separator/>
      </w:r>
    </w:p>
  </w:endnote>
  <w:endnote w:type="continuationSeparator" w:id="0">
    <w:p w14:paraId="5886C714" w14:textId="77777777" w:rsidR="004E2236" w:rsidRDefault="004E2236" w:rsidP="0035564D">
      <w:r>
        <w:continuationSeparator/>
      </w:r>
    </w:p>
  </w:endnote>
  <w:endnote w:type="continuationNotice" w:id="1">
    <w:p w14:paraId="437D27CD" w14:textId="77777777" w:rsidR="004E2236" w:rsidRDefault="004E2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71DE8" w14:textId="77777777" w:rsidR="004E2236" w:rsidRPr="007950D7" w:rsidRDefault="004E2236">
    <w:pPr>
      <w:pStyle w:val="Pta"/>
      <w:jc w:val="center"/>
      <w:rPr>
        <w:sz w:val="18"/>
        <w:szCs w:val="18"/>
      </w:rPr>
    </w:pPr>
    <w:r w:rsidRPr="007950D7">
      <w:rPr>
        <w:sz w:val="18"/>
        <w:szCs w:val="18"/>
      </w:rPr>
      <w:fldChar w:fldCharType="begin"/>
    </w:r>
    <w:r w:rsidRPr="007950D7">
      <w:rPr>
        <w:sz w:val="18"/>
        <w:szCs w:val="18"/>
      </w:rPr>
      <w:instrText xml:space="preserve"> PAGE   \* MERGEFORMAT </w:instrText>
    </w:r>
    <w:r w:rsidRPr="007950D7">
      <w:rPr>
        <w:sz w:val="18"/>
        <w:szCs w:val="18"/>
      </w:rPr>
      <w:fldChar w:fldCharType="separate"/>
    </w:r>
    <w:r w:rsidR="00893070">
      <w:rPr>
        <w:noProof/>
        <w:sz w:val="18"/>
        <w:szCs w:val="18"/>
      </w:rPr>
      <w:t>41</w:t>
    </w:r>
    <w:r w:rsidRPr="007950D7">
      <w:rPr>
        <w:noProof/>
        <w:sz w:val="18"/>
        <w:szCs w:val="18"/>
      </w:rPr>
      <w:fldChar w:fldCharType="end"/>
    </w:r>
  </w:p>
  <w:p w14:paraId="20D357E7" w14:textId="77777777" w:rsidR="004E2236" w:rsidRDefault="004E2236">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105A1" w14:textId="77777777" w:rsidR="004E2236" w:rsidRPr="0056175F" w:rsidRDefault="004E2236">
    <w:pPr>
      <w:pStyle w:val="Pta"/>
      <w:jc w:val="center"/>
      <w:rPr>
        <w:sz w:val="18"/>
        <w:szCs w:val="18"/>
      </w:rPr>
    </w:pPr>
    <w:r w:rsidRPr="0056175F">
      <w:rPr>
        <w:sz w:val="18"/>
        <w:szCs w:val="18"/>
      </w:rPr>
      <w:fldChar w:fldCharType="begin"/>
    </w:r>
    <w:r w:rsidRPr="0056175F">
      <w:rPr>
        <w:sz w:val="18"/>
        <w:szCs w:val="18"/>
      </w:rPr>
      <w:instrText xml:space="preserve"> PAGE   \* MERGEFORMAT </w:instrText>
    </w:r>
    <w:r w:rsidRPr="0056175F">
      <w:rPr>
        <w:sz w:val="18"/>
        <w:szCs w:val="18"/>
      </w:rPr>
      <w:fldChar w:fldCharType="separate"/>
    </w:r>
    <w:r>
      <w:rPr>
        <w:noProof/>
        <w:sz w:val="18"/>
        <w:szCs w:val="18"/>
      </w:rPr>
      <w:t>1</w:t>
    </w:r>
    <w:r w:rsidRPr="0056175F">
      <w:rPr>
        <w:sz w:val="18"/>
        <w:szCs w:val="18"/>
      </w:rPr>
      <w:fldChar w:fldCharType="end"/>
    </w:r>
  </w:p>
  <w:p w14:paraId="70F1C388" w14:textId="77777777" w:rsidR="004E2236" w:rsidRDefault="004E223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3E219" w14:textId="77777777" w:rsidR="004E2236" w:rsidRDefault="004E2236" w:rsidP="0035564D">
      <w:r>
        <w:separator/>
      </w:r>
    </w:p>
  </w:footnote>
  <w:footnote w:type="continuationSeparator" w:id="0">
    <w:p w14:paraId="45C171B8" w14:textId="77777777" w:rsidR="004E2236" w:rsidRDefault="004E2236" w:rsidP="0035564D">
      <w:r>
        <w:continuationSeparator/>
      </w:r>
    </w:p>
  </w:footnote>
  <w:footnote w:type="continuationNotice" w:id="1">
    <w:p w14:paraId="79DD7952" w14:textId="77777777" w:rsidR="004E2236" w:rsidRDefault="004E22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9B674" w14:textId="1200C5BC" w:rsidR="004E2236" w:rsidRDefault="004E2236" w:rsidP="00476987">
    <w:pPr>
      <w:ind w:left="0" w:firstLine="0"/>
      <w:rPr>
        <w:sz w:val="18"/>
        <w:szCs w:val="18"/>
      </w:rPr>
    </w:pPr>
    <w:r>
      <w:rPr>
        <w:sz w:val="18"/>
        <w:szCs w:val="18"/>
      </w:rPr>
      <w:t>Schválený text k</w:t>
    </w:r>
    <w:r w:rsidRPr="00BF7256">
      <w:rPr>
        <w:sz w:val="18"/>
        <w:szCs w:val="18"/>
      </w:rPr>
      <w:t> rozhodnutiu o registrácii lieku, ev.</w:t>
    </w:r>
    <w:r w:rsidRPr="002120BF">
      <w:rPr>
        <w:sz w:val="18"/>
        <w:szCs w:val="18"/>
      </w:rPr>
      <w:t xml:space="preserve">č.: </w:t>
    </w:r>
    <w:r w:rsidRPr="00DE2355">
      <w:rPr>
        <w:sz w:val="18"/>
        <w:szCs w:val="18"/>
      </w:rPr>
      <w:t>2017/</w:t>
    </w:r>
    <w:r>
      <w:rPr>
        <w:sz w:val="18"/>
        <w:szCs w:val="18"/>
      </w:rPr>
      <w:t>03252</w:t>
    </w:r>
    <w:r w:rsidRPr="00DE2355">
      <w:rPr>
        <w:sz w:val="18"/>
        <w:szCs w:val="18"/>
      </w:rPr>
      <w:t>-REG, 2017/</w:t>
    </w:r>
    <w:r>
      <w:rPr>
        <w:sz w:val="18"/>
        <w:szCs w:val="18"/>
      </w:rPr>
      <w:t>03253</w:t>
    </w:r>
    <w:r w:rsidRPr="00DE2355">
      <w:rPr>
        <w:sz w:val="18"/>
        <w:szCs w:val="18"/>
      </w:rPr>
      <w:t>-REG, 201</w:t>
    </w:r>
    <w:r>
      <w:rPr>
        <w:sz w:val="18"/>
        <w:szCs w:val="18"/>
      </w:rPr>
      <w:t>7</w:t>
    </w:r>
    <w:r w:rsidRPr="00DE2355">
      <w:rPr>
        <w:sz w:val="18"/>
        <w:szCs w:val="18"/>
      </w:rPr>
      <w:t>/</w:t>
    </w:r>
    <w:r>
      <w:rPr>
        <w:sz w:val="18"/>
        <w:szCs w:val="18"/>
      </w:rPr>
      <w:t>03254</w:t>
    </w:r>
    <w:r w:rsidRPr="00DE2355">
      <w:rPr>
        <w:sz w:val="18"/>
        <w:szCs w:val="18"/>
      </w:rPr>
      <w:t>-REG,</w:t>
    </w:r>
    <w:r>
      <w:rPr>
        <w:sz w:val="18"/>
        <w:szCs w:val="18"/>
      </w:rPr>
      <w:t xml:space="preserve"> 2017/03255-REG</w:t>
    </w:r>
  </w:p>
  <w:p w14:paraId="49994F0A" w14:textId="77777777" w:rsidR="004E2236" w:rsidRDefault="004E2236" w:rsidP="00476987">
    <w:pPr>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62DC7" w14:textId="77777777" w:rsidR="004E2236" w:rsidRDefault="004E2236" w:rsidP="009E145F">
    <w:pPr>
      <w:ind w:left="0" w:firstLine="0"/>
    </w:pPr>
    <w:r>
      <w:rPr>
        <w:sz w:val="18"/>
        <w:szCs w:val="18"/>
      </w:rPr>
      <w:t>Schválený text k</w:t>
    </w:r>
    <w:r w:rsidRPr="00BF7256">
      <w:rPr>
        <w:sz w:val="18"/>
        <w:szCs w:val="18"/>
      </w:rPr>
      <w:t> rozhodnutiu o registrácii, ev.</w:t>
    </w:r>
    <w:r>
      <w:rPr>
        <w:sz w:val="18"/>
        <w:szCs w:val="18"/>
      </w:rPr>
      <w:t xml:space="preserve"> </w:t>
    </w:r>
    <w:r w:rsidRPr="002120BF">
      <w:rPr>
        <w:sz w:val="18"/>
        <w:szCs w:val="18"/>
      </w:rPr>
      <w:t xml:space="preserve">č.: </w:t>
    </w:r>
    <w:r w:rsidRPr="00DE2355">
      <w:rPr>
        <w:sz w:val="18"/>
        <w:szCs w:val="18"/>
      </w:rPr>
      <w:t>2017/03188-REG, 2017/03189-REG, 2017/03190-REG, 201</w:t>
    </w:r>
    <w:r>
      <w:rPr>
        <w:sz w:val="18"/>
        <w:szCs w:val="18"/>
      </w:rPr>
      <w:t>7</w:t>
    </w:r>
    <w:r w:rsidRPr="00DE2355">
      <w:rPr>
        <w:sz w:val="18"/>
        <w:szCs w:val="18"/>
      </w:rPr>
      <w:t>/03191-REG,</w:t>
    </w:r>
    <w:r>
      <w:rPr>
        <w:sz w:val="18"/>
        <w:szCs w:val="18"/>
      </w:rPr>
      <w:t xml:space="preserve"> 2017/03192-REG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940" w:hanging="360"/>
      </w:pPr>
      <w:rPr>
        <w:rFonts w:ascii="Symbol" w:hAnsi="Symbol" w:cs="Symbol"/>
        <w:b w:val="0"/>
        <w:bCs w:val="0"/>
        <w:w w:val="100"/>
        <w:sz w:val="16"/>
        <w:szCs w:val="16"/>
      </w:rPr>
    </w:lvl>
    <w:lvl w:ilvl="1">
      <w:numFmt w:val="bullet"/>
      <w:lvlText w:val="•"/>
      <w:lvlJc w:val="left"/>
      <w:pPr>
        <w:ind w:left="1808" w:hanging="360"/>
      </w:pPr>
    </w:lvl>
    <w:lvl w:ilvl="2">
      <w:numFmt w:val="bullet"/>
      <w:lvlText w:val="•"/>
      <w:lvlJc w:val="left"/>
      <w:pPr>
        <w:ind w:left="2676" w:hanging="360"/>
      </w:pPr>
    </w:lvl>
    <w:lvl w:ilvl="3">
      <w:numFmt w:val="bullet"/>
      <w:lvlText w:val="•"/>
      <w:lvlJc w:val="left"/>
      <w:pPr>
        <w:ind w:left="3544" w:hanging="360"/>
      </w:pPr>
    </w:lvl>
    <w:lvl w:ilvl="4">
      <w:numFmt w:val="bullet"/>
      <w:lvlText w:val="•"/>
      <w:lvlJc w:val="left"/>
      <w:pPr>
        <w:ind w:left="4412" w:hanging="360"/>
      </w:pPr>
    </w:lvl>
    <w:lvl w:ilvl="5">
      <w:numFmt w:val="bullet"/>
      <w:lvlText w:val="•"/>
      <w:lvlJc w:val="left"/>
      <w:pPr>
        <w:ind w:left="5280" w:hanging="360"/>
      </w:pPr>
    </w:lvl>
    <w:lvl w:ilvl="6">
      <w:numFmt w:val="bullet"/>
      <w:lvlText w:val="•"/>
      <w:lvlJc w:val="left"/>
      <w:pPr>
        <w:ind w:left="6148" w:hanging="360"/>
      </w:pPr>
    </w:lvl>
    <w:lvl w:ilvl="7">
      <w:numFmt w:val="bullet"/>
      <w:lvlText w:val="•"/>
      <w:lvlJc w:val="left"/>
      <w:pPr>
        <w:ind w:left="7016" w:hanging="360"/>
      </w:pPr>
    </w:lvl>
    <w:lvl w:ilvl="8">
      <w:numFmt w:val="bullet"/>
      <w:lvlText w:val="•"/>
      <w:lvlJc w:val="left"/>
      <w:pPr>
        <w:ind w:left="7884" w:hanging="360"/>
      </w:pPr>
    </w:lvl>
  </w:abstractNum>
  <w:abstractNum w:abstractNumId="1" w15:restartNumberingAfterBreak="0">
    <w:nsid w:val="00006F57"/>
    <w:multiLevelType w:val="hybridMultilevel"/>
    <w:tmpl w:val="CB96EC84"/>
    <w:lvl w:ilvl="0" w:tplc="2116A5D4">
      <w:start w:val="1"/>
      <w:numFmt w:val="bullet"/>
      <w:lvlText w:val="*"/>
      <w:lvlJc w:val="left"/>
    </w:lvl>
    <w:lvl w:ilvl="1" w:tplc="510A3E2E">
      <w:numFmt w:val="decimal"/>
      <w:lvlText w:val=""/>
      <w:lvlJc w:val="left"/>
    </w:lvl>
    <w:lvl w:ilvl="2" w:tplc="D780DC80">
      <w:numFmt w:val="decimal"/>
      <w:lvlText w:val=""/>
      <w:lvlJc w:val="left"/>
    </w:lvl>
    <w:lvl w:ilvl="3" w:tplc="BE5C6BD6">
      <w:numFmt w:val="decimal"/>
      <w:lvlText w:val=""/>
      <w:lvlJc w:val="left"/>
    </w:lvl>
    <w:lvl w:ilvl="4" w:tplc="8AD4550A">
      <w:numFmt w:val="decimal"/>
      <w:lvlText w:val=""/>
      <w:lvlJc w:val="left"/>
    </w:lvl>
    <w:lvl w:ilvl="5" w:tplc="CBCCF9DE">
      <w:numFmt w:val="decimal"/>
      <w:lvlText w:val=""/>
      <w:lvlJc w:val="left"/>
    </w:lvl>
    <w:lvl w:ilvl="6" w:tplc="5EDC9988">
      <w:numFmt w:val="decimal"/>
      <w:lvlText w:val=""/>
      <w:lvlJc w:val="left"/>
    </w:lvl>
    <w:lvl w:ilvl="7" w:tplc="7E8C23FE">
      <w:numFmt w:val="decimal"/>
      <w:lvlText w:val=""/>
      <w:lvlJc w:val="left"/>
    </w:lvl>
    <w:lvl w:ilvl="8" w:tplc="276A7F74">
      <w:numFmt w:val="decimal"/>
      <w:lvlText w:val=""/>
      <w:lvlJc w:val="left"/>
    </w:lvl>
  </w:abstractNum>
  <w:abstractNum w:abstractNumId="2" w15:restartNumberingAfterBreak="0">
    <w:nsid w:val="07BD161B"/>
    <w:multiLevelType w:val="hybridMultilevel"/>
    <w:tmpl w:val="93686D66"/>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9775D00"/>
    <w:multiLevelType w:val="hybridMultilevel"/>
    <w:tmpl w:val="5EB6C9FE"/>
    <w:lvl w:ilvl="0" w:tplc="6944C6A0">
      <w:start w:val="1"/>
      <w:numFmt w:val="bullet"/>
      <w:lvlRestart w:val="0"/>
      <w:pStyle w:val="Zoznamsodrkami2"/>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44C91"/>
    <w:multiLevelType w:val="hybridMultilevel"/>
    <w:tmpl w:val="B120A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10BF8"/>
    <w:multiLevelType w:val="hybridMultilevel"/>
    <w:tmpl w:val="1EDAE706"/>
    <w:lvl w:ilvl="0" w:tplc="9ADC6564">
      <w:start w:val="1"/>
      <w:numFmt w:val="decimal"/>
      <w:lvlRestart w:val="0"/>
      <w:pStyle w:val="slovanzoznam2"/>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B804E4"/>
    <w:multiLevelType w:val="hybridMultilevel"/>
    <w:tmpl w:val="CA548A8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5604BA4"/>
    <w:multiLevelType w:val="hybridMultilevel"/>
    <w:tmpl w:val="BAD61890"/>
    <w:lvl w:ilvl="0" w:tplc="6EC04642">
      <w:start w:val="1"/>
      <w:numFmt w:val="decimal"/>
      <w:lvlText w:val="%1."/>
      <w:lvlJc w:val="left"/>
      <w:pPr>
        <w:ind w:left="-150" w:hanging="360"/>
      </w:pPr>
      <w:rPr>
        <w:rFonts w:hint="default"/>
      </w:rPr>
    </w:lvl>
    <w:lvl w:ilvl="1" w:tplc="04090019" w:tentative="1">
      <w:start w:val="1"/>
      <w:numFmt w:val="lowerLetter"/>
      <w:lvlText w:val="%2."/>
      <w:lvlJc w:val="left"/>
      <w:pPr>
        <w:ind w:left="570" w:hanging="360"/>
      </w:pPr>
    </w:lvl>
    <w:lvl w:ilvl="2" w:tplc="0409001B" w:tentative="1">
      <w:start w:val="1"/>
      <w:numFmt w:val="lowerRoman"/>
      <w:lvlText w:val="%3."/>
      <w:lvlJc w:val="right"/>
      <w:pPr>
        <w:ind w:left="1290" w:hanging="180"/>
      </w:pPr>
    </w:lvl>
    <w:lvl w:ilvl="3" w:tplc="0409000F" w:tentative="1">
      <w:start w:val="1"/>
      <w:numFmt w:val="decimal"/>
      <w:lvlText w:val="%4."/>
      <w:lvlJc w:val="left"/>
      <w:pPr>
        <w:ind w:left="2010" w:hanging="360"/>
      </w:pPr>
    </w:lvl>
    <w:lvl w:ilvl="4" w:tplc="04090019" w:tentative="1">
      <w:start w:val="1"/>
      <w:numFmt w:val="lowerLetter"/>
      <w:lvlText w:val="%5."/>
      <w:lvlJc w:val="left"/>
      <w:pPr>
        <w:ind w:left="2730" w:hanging="360"/>
      </w:pPr>
    </w:lvl>
    <w:lvl w:ilvl="5" w:tplc="0409001B" w:tentative="1">
      <w:start w:val="1"/>
      <w:numFmt w:val="lowerRoman"/>
      <w:lvlText w:val="%6."/>
      <w:lvlJc w:val="right"/>
      <w:pPr>
        <w:ind w:left="3450" w:hanging="180"/>
      </w:pPr>
    </w:lvl>
    <w:lvl w:ilvl="6" w:tplc="0409000F" w:tentative="1">
      <w:start w:val="1"/>
      <w:numFmt w:val="decimal"/>
      <w:lvlText w:val="%7."/>
      <w:lvlJc w:val="left"/>
      <w:pPr>
        <w:ind w:left="4170" w:hanging="360"/>
      </w:pPr>
    </w:lvl>
    <w:lvl w:ilvl="7" w:tplc="04090019" w:tentative="1">
      <w:start w:val="1"/>
      <w:numFmt w:val="lowerLetter"/>
      <w:lvlText w:val="%8."/>
      <w:lvlJc w:val="left"/>
      <w:pPr>
        <w:ind w:left="4890" w:hanging="360"/>
      </w:pPr>
    </w:lvl>
    <w:lvl w:ilvl="8" w:tplc="0409001B" w:tentative="1">
      <w:start w:val="1"/>
      <w:numFmt w:val="lowerRoman"/>
      <w:lvlText w:val="%9."/>
      <w:lvlJc w:val="right"/>
      <w:pPr>
        <w:ind w:left="5610" w:hanging="180"/>
      </w:pPr>
    </w:lvl>
  </w:abstractNum>
  <w:abstractNum w:abstractNumId="8" w15:restartNumberingAfterBreak="0">
    <w:nsid w:val="187A3998"/>
    <w:multiLevelType w:val="hybridMultilevel"/>
    <w:tmpl w:val="95CE8D50"/>
    <w:lvl w:ilvl="0" w:tplc="61345E0A">
      <w:start w:val="1"/>
      <w:numFmt w:val="bullet"/>
      <w:lvlRestart w:val="0"/>
      <w:pStyle w:val="Zoznamsodrkami4"/>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045706"/>
    <w:multiLevelType w:val="hybridMultilevel"/>
    <w:tmpl w:val="79149308"/>
    <w:lvl w:ilvl="0" w:tplc="46B28BC2">
      <w:start w:val="1"/>
      <w:numFmt w:val="decimal"/>
      <w:lvlRestart w:val="0"/>
      <w:pStyle w:val="slovanzoznam"/>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F741DB"/>
    <w:multiLevelType w:val="hybridMultilevel"/>
    <w:tmpl w:val="44284896"/>
    <w:lvl w:ilvl="0" w:tplc="1A9C413E">
      <w:start w:val="1"/>
      <w:numFmt w:val="decimal"/>
      <w:lvlRestart w:val="0"/>
      <w:pStyle w:val="slovanzoznam5"/>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BC9262C"/>
    <w:multiLevelType w:val="hybridMultilevel"/>
    <w:tmpl w:val="1FB6E7F2"/>
    <w:lvl w:ilvl="0" w:tplc="957C4422">
      <w:start w:val="1"/>
      <w:numFmt w:val="decimal"/>
      <w:lvlRestart w:val="0"/>
      <w:pStyle w:val="slovanzoznam3"/>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DA33951"/>
    <w:multiLevelType w:val="hybridMultilevel"/>
    <w:tmpl w:val="20F6E778"/>
    <w:lvl w:ilvl="0" w:tplc="04090003">
      <w:start w:val="1"/>
      <w:numFmt w:val="bullet"/>
      <w:lvlText w:val="o"/>
      <w:lvlJc w:val="left"/>
      <w:pPr>
        <w:ind w:left="1300" w:hanging="360"/>
      </w:pPr>
      <w:rPr>
        <w:rFonts w:ascii="Courier New" w:hAnsi="Courier New" w:cs="Courier New"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3" w15:restartNumberingAfterBreak="0">
    <w:nsid w:val="1FC02FCD"/>
    <w:multiLevelType w:val="hybridMultilevel"/>
    <w:tmpl w:val="1E1A0D94"/>
    <w:lvl w:ilvl="0" w:tplc="8CCAB564">
      <w:start w:val="1"/>
      <w:numFmt w:val="bullet"/>
      <w:lvlRestart w:val="0"/>
      <w:pStyle w:val="Zoznamsodrkami3"/>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3055B5"/>
    <w:multiLevelType w:val="hybridMultilevel"/>
    <w:tmpl w:val="9C26D116"/>
    <w:lvl w:ilvl="0" w:tplc="263AC0B4">
      <w:start w:val="1"/>
      <w:numFmt w:val="bullet"/>
      <w:lvlRestart w:val="0"/>
      <w:pStyle w:val="Zoznamsodrkami"/>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BD1CE7"/>
    <w:multiLevelType w:val="hybridMultilevel"/>
    <w:tmpl w:val="24CE6A36"/>
    <w:lvl w:ilvl="0" w:tplc="2D269300">
      <w:start w:val="1"/>
      <w:numFmt w:val="bullet"/>
      <w:lvlText w:val="◇"/>
      <w:lvlJc w:val="left"/>
      <w:pPr>
        <w:ind w:left="92" w:hanging="92"/>
      </w:pPr>
      <w:rPr>
        <w:rFonts w:ascii="Times New Roman" w:eastAsia="Times New Roman" w:hAnsi="Times New Roman" w:hint="default"/>
        <w:w w:val="49"/>
        <w:position w:val="6"/>
        <w:sz w:val="10"/>
        <w:szCs w:val="10"/>
      </w:rPr>
    </w:lvl>
    <w:lvl w:ilvl="1" w:tplc="0D583852">
      <w:start w:val="1"/>
      <w:numFmt w:val="bullet"/>
      <w:lvlText w:val="•"/>
      <w:lvlJc w:val="left"/>
      <w:pPr>
        <w:ind w:left="1079" w:hanging="92"/>
      </w:pPr>
      <w:rPr>
        <w:rFonts w:hint="default"/>
      </w:rPr>
    </w:lvl>
    <w:lvl w:ilvl="2" w:tplc="EE862F02">
      <w:start w:val="1"/>
      <w:numFmt w:val="bullet"/>
      <w:lvlText w:val="•"/>
      <w:lvlJc w:val="left"/>
      <w:pPr>
        <w:ind w:left="2065" w:hanging="92"/>
      </w:pPr>
      <w:rPr>
        <w:rFonts w:hint="default"/>
      </w:rPr>
    </w:lvl>
    <w:lvl w:ilvl="3" w:tplc="ACD29F9A">
      <w:start w:val="1"/>
      <w:numFmt w:val="bullet"/>
      <w:lvlText w:val="•"/>
      <w:lvlJc w:val="left"/>
      <w:pPr>
        <w:ind w:left="3052" w:hanging="92"/>
      </w:pPr>
      <w:rPr>
        <w:rFonts w:hint="default"/>
      </w:rPr>
    </w:lvl>
    <w:lvl w:ilvl="4" w:tplc="764A657C">
      <w:start w:val="1"/>
      <w:numFmt w:val="bullet"/>
      <w:lvlText w:val="•"/>
      <w:lvlJc w:val="left"/>
      <w:pPr>
        <w:ind w:left="4038" w:hanging="92"/>
      </w:pPr>
      <w:rPr>
        <w:rFonts w:hint="default"/>
      </w:rPr>
    </w:lvl>
    <w:lvl w:ilvl="5" w:tplc="D56E9780">
      <w:start w:val="1"/>
      <w:numFmt w:val="bullet"/>
      <w:lvlText w:val="•"/>
      <w:lvlJc w:val="left"/>
      <w:pPr>
        <w:ind w:left="5025" w:hanging="92"/>
      </w:pPr>
      <w:rPr>
        <w:rFonts w:hint="default"/>
      </w:rPr>
    </w:lvl>
    <w:lvl w:ilvl="6" w:tplc="AF888286">
      <w:start w:val="1"/>
      <w:numFmt w:val="bullet"/>
      <w:lvlText w:val="•"/>
      <w:lvlJc w:val="left"/>
      <w:pPr>
        <w:ind w:left="6012" w:hanging="92"/>
      </w:pPr>
      <w:rPr>
        <w:rFonts w:hint="default"/>
      </w:rPr>
    </w:lvl>
    <w:lvl w:ilvl="7" w:tplc="AED00922">
      <w:start w:val="1"/>
      <w:numFmt w:val="bullet"/>
      <w:lvlText w:val="•"/>
      <w:lvlJc w:val="left"/>
      <w:pPr>
        <w:ind w:left="6998" w:hanging="92"/>
      </w:pPr>
      <w:rPr>
        <w:rFonts w:hint="default"/>
      </w:rPr>
    </w:lvl>
    <w:lvl w:ilvl="8" w:tplc="A336F9E2">
      <w:start w:val="1"/>
      <w:numFmt w:val="bullet"/>
      <w:lvlText w:val="•"/>
      <w:lvlJc w:val="left"/>
      <w:pPr>
        <w:ind w:left="7985" w:hanging="92"/>
      </w:pPr>
      <w:rPr>
        <w:rFonts w:hint="default"/>
      </w:rPr>
    </w:lvl>
  </w:abstractNum>
  <w:abstractNum w:abstractNumId="16" w15:restartNumberingAfterBreak="0">
    <w:nsid w:val="4A11206A"/>
    <w:multiLevelType w:val="hybridMultilevel"/>
    <w:tmpl w:val="AF945A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A84DE7"/>
    <w:multiLevelType w:val="hybridMultilevel"/>
    <w:tmpl w:val="DD849CD6"/>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4661A90"/>
    <w:multiLevelType w:val="hybridMultilevel"/>
    <w:tmpl w:val="83B64A6A"/>
    <w:lvl w:ilvl="0" w:tplc="BCE2AEA6">
      <w:start w:val="1"/>
      <w:numFmt w:val="decimal"/>
      <w:lvlRestart w:val="0"/>
      <w:pStyle w:val="slovanzoznam4"/>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6066BF0"/>
    <w:multiLevelType w:val="hybridMultilevel"/>
    <w:tmpl w:val="2530E978"/>
    <w:lvl w:ilvl="0" w:tplc="DAB8587A">
      <w:start w:val="1"/>
      <w:numFmt w:val="bullet"/>
      <w:lvlRestart w:val="0"/>
      <w:pStyle w:val="Zoznamsodrkami5"/>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EB4BBD"/>
    <w:multiLevelType w:val="hybridMultilevel"/>
    <w:tmpl w:val="9E744202"/>
    <w:lvl w:ilvl="0" w:tplc="C68A2A1A">
      <w:start w:val="1"/>
      <w:numFmt w:val="decimal"/>
      <w:lvlText w:val="%1."/>
      <w:lvlJc w:val="left"/>
      <w:pPr>
        <w:ind w:left="-150" w:hanging="360"/>
      </w:pPr>
      <w:rPr>
        <w:rFonts w:hint="default"/>
      </w:rPr>
    </w:lvl>
    <w:lvl w:ilvl="1" w:tplc="04090019" w:tentative="1">
      <w:start w:val="1"/>
      <w:numFmt w:val="lowerLetter"/>
      <w:lvlText w:val="%2."/>
      <w:lvlJc w:val="left"/>
      <w:pPr>
        <w:ind w:left="570" w:hanging="360"/>
      </w:pPr>
    </w:lvl>
    <w:lvl w:ilvl="2" w:tplc="0409001B" w:tentative="1">
      <w:start w:val="1"/>
      <w:numFmt w:val="lowerRoman"/>
      <w:lvlText w:val="%3."/>
      <w:lvlJc w:val="right"/>
      <w:pPr>
        <w:ind w:left="1290" w:hanging="180"/>
      </w:pPr>
    </w:lvl>
    <w:lvl w:ilvl="3" w:tplc="0409000F" w:tentative="1">
      <w:start w:val="1"/>
      <w:numFmt w:val="decimal"/>
      <w:lvlText w:val="%4."/>
      <w:lvlJc w:val="left"/>
      <w:pPr>
        <w:ind w:left="2010" w:hanging="360"/>
      </w:pPr>
    </w:lvl>
    <w:lvl w:ilvl="4" w:tplc="04090019" w:tentative="1">
      <w:start w:val="1"/>
      <w:numFmt w:val="lowerLetter"/>
      <w:lvlText w:val="%5."/>
      <w:lvlJc w:val="left"/>
      <w:pPr>
        <w:ind w:left="2730" w:hanging="360"/>
      </w:pPr>
    </w:lvl>
    <w:lvl w:ilvl="5" w:tplc="0409001B" w:tentative="1">
      <w:start w:val="1"/>
      <w:numFmt w:val="lowerRoman"/>
      <w:lvlText w:val="%6."/>
      <w:lvlJc w:val="right"/>
      <w:pPr>
        <w:ind w:left="3450" w:hanging="180"/>
      </w:pPr>
    </w:lvl>
    <w:lvl w:ilvl="6" w:tplc="0409000F" w:tentative="1">
      <w:start w:val="1"/>
      <w:numFmt w:val="decimal"/>
      <w:lvlText w:val="%7."/>
      <w:lvlJc w:val="left"/>
      <w:pPr>
        <w:ind w:left="4170" w:hanging="360"/>
      </w:pPr>
    </w:lvl>
    <w:lvl w:ilvl="7" w:tplc="04090019" w:tentative="1">
      <w:start w:val="1"/>
      <w:numFmt w:val="lowerLetter"/>
      <w:lvlText w:val="%8."/>
      <w:lvlJc w:val="left"/>
      <w:pPr>
        <w:ind w:left="4890" w:hanging="360"/>
      </w:pPr>
    </w:lvl>
    <w:lvl w:ilvl="8" w:tplc="0409001B" w:tentative="1">
      <w:start w:val="1"/>
      <w:numFmt w:val="lowerRoman"/>
      <w:lvlText w:val="%9."/>
      <w:lvlJc w:val="right"/>
      <w:pPr>
        <w:ind w:left="5610" w:hanging="180"/>
      </w:pPr>
    </w:lvl>
  </w:abstractNum>
  <w:abstractNum w:abstractNumId="21" w15:restartNumberingAfterBreak="0">
    <w:nsid w:val="6FD91C57"/>
    <w:multiLevelType w:val="hybridMultilevel"/>
    <w:tmpl w:val="A00A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4"/>
  </w:num>
  <w:num w:numId="4">
    <w:abstractNumId w:val="6"/>
  </w:num>
  <w:num w:numId="5">
    <w:abstractNumId w:val="21"/>
  </w:num>
  <w:num w:numId="6">
    <w:abstractNumId w:val="14"/>
  </w:num>
  <w:num w:numId="7">
    <w:abstractNumId w:val="3"/>
  </w:num>
  <w:num w:numId="8">
    <w:abstractNumId w:val="13"/>
  </w:num>
  <w:num w:numId="9">
    <w:abstractNumId w:val="8"/>
  </w:num>
  <w:num w:numId="10">
    <w:abstractNumId w:val="19"/>
  </w:num>
  <w:num w:numId="11">
    <w:abstractNumId w:val="9"/>
  </w:num>
  <w:num w:numId="12">
    <w:abstractNumId w:val="5"/>
  </w:num>
  <w:num w:numId="13">
    <w:abstractNumId w:val="11"/>
  </w:num>
  <w:num w:numId="14">
    <w:abstractNumId w:val="18"/>
  </w:num>
  <w:num w:numId="15">
    <w:abstractNumId w:val="10"/>
  </w:num>
  <w:num w:numId="16">
    <w:abstractNumId w:val="1"/>
  </w:num>
  <w:num w:numId="17">
    <w:abstractNumId w:val="15"/>
  </w:num>
  <w:num w:numId="18">
    <w:abstractNumId w:val="0"/>
  </w:num>
  <w:num w:numId="19">
    <w:abstractNumId w:val="12"/>
  </w:num>
  <w:num w:numId="20">
    <w:abstractNumId w:val="17"/>
  </w:num>
  <w:num w:numId="21">
    <w:abstractNumId w:val="2"/>
  </w:num>
  <w:num w:numId="2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10"/>
  <w:displayHorizontalDrawingGridEvery w:val="2"/>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270"/>
    <w:rsid w:val="00000393"/>
    <w:rsid w:val="00001D39"/>
    <w:rsid w:val="00001FD4"/>
    <w:rsid w:val="000043DC"/>
    <w:rsid w:val="00004DD3"/>
    <w:rsid w:val="0000557C"/>
    <w:rsid w:val="00016AD9"/>
    <w:rsid w:val="00017E0D"/>
    <w:rsid w:val="000206B0"/>
    <w:rsid w:val="000212ED"/>
    <w:rsid w:val="00021F45"/>
    <w:rsid w:val="00022A9C"/>
    <w:rsid w:val="00022DDE"/>
    <w:rsid w:val="0002432A"/>
    <w:rsid w:val="00025ECF"/>
    <w:rsid w:val="00026D02"/>
    <w:rsid w:val="00026E97"/>
    <w:rsid w:val="00026EAF"/>
    <w:rsid w:val="000272DF"/>
    <w:rsid w:val="00032623"/>
    <w:rsid w:val="00032CAC"/>
    <w:rsid w:val="000332F9"/>
    <w:rsid w:val="000337F3"/>
    <w:rsid w:val="000340FD"/>
    <w:rsid w:val="00035C58"/>
    <w:rsid w:val="0004161D"/>
    <w:rsid w:val="00042DE6"/>
    <w:rsid w:val="0004325D"/>
    <w:rsid w:val="000432C6"/>
    <w:rsid w:val="0004345F"/>
    <w:rsid w:val="0004491C"/>
    <w:rsid w:val="00050031"/>
    <w:rsid w:val="00051613"/>
    <w:rsid w:val="0005274D"/>
    <w:rsid w:val="00053821"/>
    <w:rsid w:val="00057A09"/>
    <w:rsid w:val="00057DC0"/>
    <w:rsid w:val="00060268"/>
    <w:rsid w:val="00060FA9"/>
    <w:rsid w:val="00063713"/>
    <w:rsid w:val="00064FC6"/>
    <w:rsid w:val="00065A28"/>
    <w:rsid w:val="00070D76"/>
    <w:rsid w:val="000726BC"/>
    <w:rsid w:val="0007363D"/>
    <w:rsid w:val="00080264"/>
    <w:rsid w:val="0008045A"/>
    <w:rsid w:val="00085F4F"/>
    <w:rsid w:val="000863BA"/>
    <w:rsid w:val="00090566"/>
    <w:rsid w:val="00091173"/>
    <w:rsid w:val="000932CA"/>
    <w:rsid w:val="000933B4"/>
    <w:rsid w:val="000934F2"/>
    <w:rsid w:val="00094018"/>
    <w:rsid w:val="000948A2"/>
    <w:rsid w:val="00094D5D"/>
    <w:rsid w:val="000963BB"/>
    <w:rsid w:val="00097ADC"/>
    <w:rsid w:val="00097EF1"/>
    <w:rsid w:val="000A0CBA"/>
    <w:rsid w:val="000A2A7D"/>
    <w:rsid w:val="000A2E5F"/>
    <w:rsid w:val="000A43E8"/>
    <w:rsid w:val="000A4569"/>
    <w:rsid w:val="000A5899"/>
    <w:rsid w:val="000A7ABD"/>
    <w:rsid w:val="000B0728"/>
    <w:rsid w:val="000B1A81"/>
    <w:rsid w:val="000B2773"/>
    <w:rsid w:val="000B2BAF"/>
    <w:rsid w:val="000B309A"/>
    <w:rsid w:val="000B4A4E"/>
    <w:rsid w:val="000C0536"/>
    <w:rsid w:val="000C105E"/>
    <w:rsid w:val="000C19AD"/>
    <w:rsid w:val="000C2C41"/>
    <w:rsid w:val="000C2ED2"/>
    <w:rsid w:val="000C3636"/>
    <w:rsid w:val="000C3699"/>
    <w:rsid w:val="000C636C"/>
    <w:rsid w:val="000C6673"/>
    <w:rsid w:val="000C69DF"/>
    <w:rsid w:val="000C6B96"/>
    <w:rsid w:val="000C6C7D"/>
    <w:rsid w:val="000C75BC"/>
    <w:rsid w:val="000D0A90"/>
    <w:rsid w:val="000D0CF1"/>
    <w:rsid w:val="000D10EC"/>
    <w:rsid w:val="000D293F"/>
    <w:rsid w:val="000D3D55"/>
    <w:rsid w:val="000D4A2B"/>
    <w:rsid w:val="000D5353"/>
    <w:rsid w:val="000D5CD0"/>
    <w:rsid w:val="000D66AA"/>
    <w:rsid w:val="000D69B3"/>
    <w:rsid w:val="000E1BBD"/>
    <w:rsid w:val="000E1C10"/>
    <w:rsid w:val="000E3EE2"/>
    <w:rsid w:val="000E6F2F"/>
    <w:rsid w:val="000F06A7"/>
    <w:rsid w:val="000F17E1"/>
    <w:rsid w:val="000F619E"/>
    <w:rsid w:val="000F6B6A"/>
    <w:rsid w:val="000F6BBA"/>
    <w:rsid w:val="0010561A"/>
    <w:rsid w:val="00105B97"/>
    <w:rsid w:val="00113BEF"/>
    <w:rsid w:val="00113D7B"/>
    <w:rsid w:val="00114F48"/>
    <w:rsid w:val="00115538"/>
    <w:rsid w:val="00116387"/>
    <w:rsid w:val="00116C0F"/>
    <w:rsid w:val="001171A6"/>
    <w:rsid w:val="00121434"/>
    <w:rsid w:val="001214C2"/>
    <w:rsid w:val="00121661"/>
    <w:rsid w:val="00125754"/>
    <w:rsid w:val="0013110C"/>
    <w:rsid w:val="001317CE"/>
    <w:rsid w:val="00133395"/>
    <w:rsid w:val="00134290"/>
    <w:rsid w:val="00134FEA"/>
    <w:rsid w:val="00135FA4"/>
    <w:rsid w:val="00136F77"/>
    <w:rsid w:val="0014171B"/>
    <w:rsid w:val="00141808"/>
    <w:rsid w:val="00143C96"/>
    <w:rsid w:val="001443BB"/>
    <w:rsid w:val="001462F9"/>
    <w:rsid w:val="00146DC6"/>
    <w:rsid w:val="001517C4"/>
    <w:rsid w:val="00151E7B"/>
    <w:rsid w:val="0015227B"/>
    <w:rsid w:val="001533B1"/>
    <w:rsid w:val="00155F8F"/>
    <w:rsid w:val="00156040"/>
    <w:rsid w:val="00160381"/>
    <w:rsid w:val="00160C14"/>
    <w:rsid w:val="00162A96"/>
    <w:rsid w:val="001637E7"/>
    <w:rsid w:val="001642BC"/>
    <w:rsid w:val="00165F40"/>
    <w:rsid w:val="001660AC"/>
    <w:rsid w:val="00166ED7"/>
    <w:rsid w:val="00167ED3"/>
    <w:rsid w:val="00171525"/>
    <w:rsid w:val="0017266F"/>
    <w:rsid w:val="00172AFE"/>
    <w:rsid w:val="00172B86"/>
    <w:rsid w:val="00176449"/>
    <w:rsid w:val="00177088"/>
    <w:rsid w:val="00177401"/>
    <w:rsid w:val="00182870"/>
    <w:rsid w:val="001829AF"/>
    <w:rsid w:val="0018565C"/>
    <w:rsid w:val="001876D3"/>
    <w:rsid w:val="001877D1"/>
    <w:rsid w:val="00190622"/>
    <w:rsid w:val="001913AB"/>
    <w:rsid w:val="00191F33"/>
    <w:rsid w:val="0019320B"/>
    <w:rsid w:val="001958EC"/>
    <w:rsid w:val="00195C78"/>
    <w:rsid w:val="001976FE"/>
    <w:rsid w:val="001A0480"/>
    <w:rsid w:val="001A1018"/>
    <w:rsid w:val="001A24B0"/>
    <w:rsid w:val="001A270E"/>
    <w:rsid w:val="001A2C28"/>
    <w:rsid w:val="001A4DD4"/>
    <w:rsid w:val="001A5201"/>
    <w:rsid w:val="001A588B"/>
    <w:rsid w:val="001A5E7C"/>
    <w:rsid w:val="001B060A"/>
    <w:rsid w:val="001B0637"/>
    <w:rsid w:val="001B1E32"/>
    <w:rsid w:val="001B3103"/>
    <w:rsid w:val="001B3A36"/>
    <w:rsid w:val="001B462A"/>
    <w:rsid w:val="001B488D"/>
    <w:rsid w:val="001B592E"/>
    <w:rsid w:val="001B68F6"/>
    <w:rsid w:val="001B6BF2"/>
    <w:rsid w:val="001B7BD1"/>
    <w:rsid w:val="001B7ED2"/>
    <w:rsid w:val="001C1774"/>
    <w:rsid w:val="001C1979"/>
    <w:rsid w:val="001C2899"/>
    <w:rsid w:val="001C3BD3"/>
    <w:rsid w:val="001C6A17"/>
    <w:rsid w:val="001D07AD"/>
    <w:rsid w:val="001D0A27"/>
    <w:rsid w:val="001D12D9"/>
    <w:rsid w:val="001D3BCE"/>
    <w:rsid w:val="001D66BC"/>
    <w:rsid w:val="001D6D78"/>
    <w:rsid w:val="001D7FCD"/>
    <w:rsid w:val="001E2944"/>
    <w:rsid w:val="001E6253"/>
    <w:rsid w:val="001E7D3E"/>
    <w:rsid w:val="001F0AA4"/>
    <w:rsid w:val="001F2987"/>
    <w:rsid w:val="001F2FBA"/>
    <w:rsid w:val="001F3204"/>
    <w:rsid w:val="001F379B"/>
    <w:rsid w:val="001F3FBF"/>
    <w:rsid w:val="001F44C5"/>
    <w:rsid w:val="001F4FF7"/>
    <w:rsid w:val="001F52ED"/>
    <w:rsid w:val="001F7D2E"/>
    <w:rsid w:val="0020115F"/>
    <w:rsid w:val="00201E31"/>
    <w:rsid w:val="00204515"/>
    <w:rsid w:val="00205AC3"/>
    <w:rsid w:val="00205F7B"/>
    <w:rsid w:val="002066CC"/>
    <w:rsid w:val="0020718A"/>
    <w:rsid w:val="00207947"/>
    <w:rsid w:val="00210401"/>
    <w:rsid w:val="002120BF"/>
    <w:rsid w:val="002120DC"/>
    <w:rsid w:val="0021235A"/>
    <w:rsid w:val="0021284E"/>
    <w:rsid w:val="0021304F"/>
    <w:rsid w:val="00213293"/>
    <w:rsid w:val="002175A6"/>
    <w:rsid w:val="00220B14"/>
    <w:rsid w:val="00221953"/>
    <w:rsid w:val="002219D1"/>
    <w:rsid w:val="00222693"/>
    <w:rsid w:val="00222A57"/>
    <w:rsid w:val="00222B5E"/>
    <w:rsid w:val="00223122"/>
    <w:rsid w:val="0022350C"/>
    <w:rsid w:val="00224C34"/>
    <w:rsid w:val="00225175"/>
    <w:rsid w:val="00225393"/>
    <w:rsid w:val="00226790"/>
    <w:rsid w:val="00226CC7"/>
    <w:rsid w:val="002279A5"/>
    <w:rsid w:val="00230D9A"/>
    <w:rsid w:val="00231B9E"/>
    <w:rsid w:val="00231D4F"/>
    <w:rsid w:val="0023335C"/>
    <w:rsid w:val="002336F1"/>
    <w:rsid w:val="0023568F"/>
    <w:rsid w:val="00235A74"/>
    <w:rsid w:val="002405B3"/>
    <w:rsid w:val="0024527C"/>
    <w:rsid w:val="00245581"/>
    <w:rsid w:val="00246B14"/>
    <w:rsid w:val="0025013D"/>
    <w:rsid w:val="002501F9"/>
    <w:rsid w:val="00250706"/>
    <w:rsid w:val="002517B6"/>
    <w:rsid w:val="00253B30"/>
    <w:rsid w:val="00256BCE"/>
    <w:rsid w:val="0025774F"/>
    <w:rsid w:val="00261851"/>
    <w:rsid w:val="00266AEF"/>
    <w:rsid w:val="0027077F"/>
    <w:rsid w:val="0027329E"/>
    <w:rsid w:val="002732F1"/>
    <w:rsid w:val="00273780"/>
    <w:rsid w:val="00275200"/>
    <w:rsid w:val="00275587"/>
    <w:rsid w:val="00276D40"/>
    <w:rsid w:val="00281558"/>
    <w:rsid w:val="00283F4F"/>
    <w:rsid w:val="0028451E"/>
    <w:rsid w:val="00285449"/>
    <w:rsid w:val="00285C91"/>
    <w:rsid w:val="0028720D"/>
    <w:rsid w:val="002879D2"/>
    <w:rsid w:val="00290673"/>
    <w:rsid w:val="00290694"/>
    <w:rsid w:val="00293BBC"/>
    <w:rsid w:val="00294F05"/>
    <w:rsid w:val="00295E63"/>
    <w:rsid w:val="00296C58"/>
    <w:rsid w:val="00297A6F"/>
    <w:rsid w:val="002A1267"/>
    <w:rsid w:val="002A302C"/>
    <w:rsid w:val="002A3C66"/>
    <w:rsid w:val="002A4197"/>
    <w:rsid w:val="002A637A"/>
    <w:rsid w:val="002A68E4"/>
    <w:rsid w:val="002A7763"/>
    <w:rsid w:val="002A77DD"/>
    <w:rsid w:val="002B0578"/>
    <w:rsid w:val="002B0971"/>
    <w:rsid w:val="002B2EF5"/>
    <w:rsid w:val="002B3270"/>
    <w:rsid w:val="002B43BA"/>
    <w:rsid w:val="002B49E2"/>
    <w:rsid w:val="002C1DF7"/>
    <w:rsid w:val="002C3285"/>
    <w:rsid w:val="002C5069"/>
    <w:rsid w:val="002C7D09"/>
    <w:rsid w:val="002D04D9"/>
    <w:rsid w:val="002D0F5C"/>
    <w:rsid w:val="002D190B"/>
    <w:rsid w:val="002D217D"/>
    <w:rsid w:val="002D3530"/>
    <w:rsid w:val="002D3711"/>
    <w:rsid w:val="002D5CC0"/>
    <w:rsid w:val="002E04F8"/>
    <w:rsid w:val="002E0753"/>
    <w:rsid w:val="002E0A2D"/>
    <w:rsid w:val="002E24C6"/>
    <w:rsid w:val="002F0916"/>
    <w:rsid w:val="002F1CB5"/>
    <w:rsid w:val="002F20F1"/>
    <w:rsid w:val="00301FAA"/>
    <w:rsid w:val="00304887"/>
    <w:rsid w:val="00304C16"/>
    <w:rsid w:val="00305BF2"/>
    <w:rsid w:val="0031006B"/>
    <w:rsid w:val="00311249"/>
    <w:rsid w:val="00311C04"/>
    <w:rsid w:val="003132BD"/>
    <w:rsid w:val="00314AB3"/>
    <w:rsid w:val="00316415"/>
    <w:rsid w:val="0032146E"/>
    <w:rsid w:val="0032147F"/>
    <w:rsid w:val="00321960"/>
    <w:rsid w:val="00321C60"/>
    <w:rsid w:val="00322012"/>
    <w:rsid w:val="003227E4"/>
    <w:rsid w:val="00323B22"/>
    <w:rsid w:val="00323DDD"/>
    <w:rsid w:val="003253BE"/>
    <w:rsid w:val="00326A40"/>
    <w:rsid w:val="00326C0E"/>
    <w:rsid w:val="00327300"/>
    <w:rsid w:val="003308BE"/>
    <w:rsid w:val="00331F57"/>
    <w:rsid w:val="003325D0"/>
    <w:rsid w:val="00332DA3"/>
    <w:rsid w:val="003335B2"/>
    <w:rsid w:val="00333C3B"/>
    <w:rsid w:val="00333D03"/>
    <w:rsid w:val="0033548F"/>
    <w:rsid w:val="003359F5"/>
    <w:rsid w:val="003371C5"/>
    <w:rsid w:val="003377CE"/>
    <w:rsid w:val="0033780B"/>
    <w:rsid w:val="003412BF"/>
    <w:rsid w:val="00341A5B"/>
    <w:rsid w:val="00341A7D"/>
    <w:rsid w:val="00341FCE"/>
    <w:rsid w:val="00342AC6"/>
    <w:rsid w:val="00342EE8"/>
    <w:rsid w:val="00344788"/>
    <w:rsid w:val="00350A32"/>
    <w:rsid w:val="00350BD4"/>
    <w:rsid w:val="00351688"/>
    <w:rsid w:val="00354FF5"/>
    <w:rsid w:val="0035564D"/>
    <w:rsid w:val="003559C8"/>
    <w:rsid w:val="00356565"/>
    <w:rsid w:val="00356FF4"/>
    <w:rsid w:val="00357316"/>
    <w:rsid w:val="0036015A"/>
    <w:rsid w:val="00361670"/>
    <w:rsid w:val="003619B2"/>
    <w:rsid w:val="00362339"/>
    <w:rsid w:val="00362C4E"/>
    <w:rsid w:val="00363B8B"/>
    <w:rsid w:val="0036617C"/>
    <w:rsid w:val="00366753"/>
    <w:rsid w:val="00366CA0"/>
    <w:rsid w:val="00367D7E"/>
    <w:rsid w:val="00370E6A"/>
    <w:rsid w:val="00373D38"/>
    <w:rsid w:val="00374678"/>
    <w:rsid w:val="00374934"/>
    <w:rsid w:val="00375092"/>
    <w:rsid w:val="003769D3"/>
    <w:rsid w:val="0038093E"/>
    <w:rsid w:val="00381A83"/>
    <w:rsid w:val="00383094"/>
    <w:rsid w:val="003832BE"/>
    <w:rsid w:val="00387A8B"/>
    <w:rsid w:val="00387ED6"/>
    <w:rsid w:val="0039192C"/>
    <w:rsid w:val="00393BC8"/>
    <w:rsid w:val="00395EDA"/>
    <w:rsid w:val="0039674D"/>
    <w:rsid w:val="003A06F1"/>
    <w:rsid w:val="003A1DB0"/>
    <w:rsid w:val="003A2005"/>
    <w:rsid w:val="003A24D7"/>
    <w:rsid w:val="003A3623"/>
    <w:rsid w:val="003A5C41"/>
    <w:rsid w:val="003A6CB0"/>
    <w:rsid w:val="003A7154"/>
    <w:rsid w:val="003A7177"/>
    <w:rsid w:val="003B5277"/>
    <w:rsid w:val="003B6A9D"/>
    <w:rsid w:val="003B7621"/>
    <w:rsid w:val="003B76DC"/>
    <w:rsid w:val="003C2635"/>
    <w:rsid w:val="003C5F41"/>
    <w:rsid w:val="003C6C6D"/>
    <w:rsid w:val="003C7A5A"/>
    <w:rsid w:val="003D0A2D"/>
    <w:rsid w:val="003D29D2"/>
    <w:rsid w:val="003D483F"/>
    <w:rsid w:val="003D4F19"/>
    <w:rsid w:val="003E6717"/>
    <w:rsid w:val="003F304B"/>
    <w:rsid w:val="003F471C"/>
    <w:rsid w:val="003F4FDA"/>
    <w:rsid w:val="003F5557"/>
    <w:rsid w:val="004001E5"/>
    <w:rsid w:val="004018FF"/>
    <w:rsid w:val="004022F5"/>
    <w:rsid w:val="004044E0"/>
    <w:rsid w:val="00404561"/>
    <w:rsid w:val="00407C35"/>
    <w:rsid w:val="00411405"/>
    <w:rsid w:val="00412C4B"/>
    <w:rsid w:val="00414327"/>
    <w:rsid w:val="00417FA3"/>
    <w:rsid w:val="00420270"/>
    <w:rsid w:val="00421B17"/>
    <w:rsid w:val="00421BFA"/>
    <w:rsid w:val="004250D8"/>
    <w:rsid w:val="00426357"/>
    <w:rsid w:val="0042637C"/>
    <w:rsid w:val="0042671E"/>
    <w:rsid w:val="00427C38"/>
    <w:rsid w:val="00430B6A"/>
    <w:rsid w:val="00430C12"/>
    <w:rsid w:val="004323ED"/>
    <w:rsid w:val="004339B9"/>
    <w:rsid w:val="00434FAE"/>
    <w:rsid w:val="00441338"/>
    <w:rsid w:val="00441847"/>
    <w:rsid w:val="004419E3"/>
    <w:rsid w:val="00441F85"/>
    <w:rsid w:val="004425DD"/>
    <w:rsid w:val="004442DC"/>
    <w:rsid w:val="0044540A"/>
    <w:rsid w:val="004506E7"/>
    <w:rsid w:val="00450E4E"/>
    <w:rsid w:val="00452A52"/>
    <w:rsid w:val="004536C4"/>
    <w:rsid w:val="004552D0"/>
    <w:rsid w:val="0045726F"/>
    <w:rsid w:val="00461AD8"/>
    <w:rsid w:val="00463306"/>
    <w:rsid w:val="00466025"/>
    <w:rsid w:val="004665C1"/>
    <w:rsid w:val="004667FA"/>
    <w:rsid w:val="00466ED4"/>
    <w:rsid w:val="00467503"/>
    <w:rsid w:val="00472084"/>
    <w:rsid w:val="00476987"/>
    <w:rsid w:val="00477C5E"/>
    <w:rsid w:val="00480B37"/>
    <w:rsid w:val="0048414E"/>
    <w:rsid w:val="004863BF"/>
    <w:rsid w:val="0048705B"/>
    <w:rsid w:val="004874A8"/>
    <w:rsid w:val="0048755B"/>
    <w:rsid w:val="0049138B"/>
    <w:rsid w:val="00492AF8"/>
    <w:rsid w:val="0049505C"/>
    <w:rsid w:val="004958E2"/>
    <w:rsid w:val="00495E1B"/>
    <w:rsid w:val="00495F24"/>
    <w:rsid w:val="0049656A"/>
    <w:rsid w:val="00496AA0"/>
    <w:rsid w:val="004A00D4"/>
    <w:rsid w:val="004A5848"/>
    <w:rsid w:val="004A678E"/>
    <w:rsid w:val="004B0442"/>
    <w:rsid w:val="004B1B84"/>
    <w:rsid w:val="004B35BA"/>
    <w:rsid w:val="004B54F5"/>
    <w:rsid w:val="004B592B"/>
    <w:rsid w:val="004B5A2B"/>
    <w:rsid w:val="004B67F0"/>
    <w:rsid w:val="004B72E6"/>
    <w:rsid w:val="004B7597"/>
    <w:rsid w:val="004B794C"/>
    <w:rsid w:val="004C0131"/>
    <w:rsid w:val="004C0297"/>
    <w:rsid w:val="004C1BAC"/>
    <w:rsid w:val="004C6EF8"/>
    <w:rsid w:val="004D074C"/>
    <w:rsid w:val="004D1386"/>
    <w:rsid w:val="004D3F04"/>
    <w:rsid w:val="004D69AB"/>
    <w:rsid w:val="004D7124"/>
    <w:rsid w:val="004D7AAB"/>
    <w:rsid w:val="004E2236"/>
    <w:rsid w:val="004E31B7"/>
    <w:rsid w:val="004E43E2"/>
    <w:rsid w:val="004E6B26"/>
    <w:rsid w:val="004F0B1A"/>
    <w:rsid w:val="004F19E1"/>
    <w:rsid w:val="004F35C0"/>
    <w:rsid w:val="004F3BE7"/>
    <w:rsid w:val="004F4D99"/>
    <w:rsid w:val="004F5260"/>
    <w:rsid w:val="0050037D"/>
    <w:rsid w:val="00500713"/>
    <w:rsid w:val="00505D59"/>
    <w:rsid w:val="0050604B"/>
    <w:rsid w:val="00507185"/>
    <w:rsid w:val="00511EF7"/>
    <w:rsid w:val="00512310"/>
    <w:rsid w:val="00512679"/>
    <w:rsid w:val="005139D0"/>
    <w:rsid w:val="0051598B"/>
    <w:rsid w:val="00517B98"/>
    <w:rsid w:val="005219A7"/>
    <w:rsid w:val="00522EC5"/>
    <w:rsid w:val="005258CF"/>
    <w:rsid w:val="00525B6F"/>
    <w:rsid w:val="00525F8C"/>
    <w:rsid w:val="00526129"/>
    <w:rsid w:val="00531703"/>
    <w:rsid w:val="005351A8"/>
    <w:rsid w:val="00535BAB"/>
    <w:rsid w:val="00536511"/>
    <w:rsid w:val="0053679A"/>
    <w:rsid w:val="0053787F"/>
    <w:rsid w:val="00537BE1"/>
    <w:rsid w:val="00541026"/>
    <w:rsid w:val="00541D88"/>
    <w:rsid w:val="00542657"/>
    <w:rsid w:val="00542F79"/>
    <w:rsid w:val="005436EB"/>
    <w:rsid w:val="0054571F"/>
    <w:rsid w:val="0054774A"/>
    <w:rsid w:val="005479EB"/>
    <w:rsid w:val="0055088D"/>
    <w:rsid w:val="00550DB0"/>
    <w:rsid w:val="00551719"/>
    <w:rsid w:val="0055245F"/>
    <w:rsid w:val="00552840"/>
    <w:rsid w:val="00555D28"/>
    <w:rsid w:val="00556838"/>
    <w:rsid w:val="0055691F"/>
    <w:rsid w:val="00556C5B"/>
    <w:rsid w:val="00557F18"/>
    <w:rsid w:val="0056175F"/>
    <w:rsid w:val="0056230C"/>
    <w:rsid w:val="005632FA"/>
    <w:rsid w:val="005641E1"/>
    <w:rsid w:val="005654BD"/>
    <w:rsid w:val="00567082"/>
    <w:rsid w:val="0056748C"/>
    <w:rsid w:val="005677A5"/>
    <w:rsid w:val="0057256E"/>
    <w:rsid w:val="0057429F"/>
    <w:rsid w:val="00575663"/>
    <w:rsid w:val="00575ECC"/>
    <w:rsid w:val="005760B0"/>
    <w:rsid w:val="00576DE4"/>
    <w:rsid w:val="0057738A"/>
    <w:rsid w:val="00580EF7"/>
    <w:rsid w:val="005819F7"/>
    <w:rsid w:val="0058394F"/>
    <w:rsid w:val="0058476E"/>
    <w:rsid w:val="0058500C"/>
    <w:rsid w:val="00585731"/>
    <w:rsid w:val="00586500"/>
    <w:rsid w:val="00586532"/>
    <w:rsid w:val="005875E7"/>
    <w:rsid w:val="00591275"/>
    <w:rsid w:val="005913B3"/>
    <w:rsid w:val="0059190D"/>
    <w:rsid w:val="005942E1"/>
    <w:rsid w:val="00594581"/>
    <w:rsid w:val="005952F5"/>
    <w:rsid w:val="00595316"/>
    <w:rsid w:val="005954EF"/>
    <w:rsid w:val="00596E39"/>
    <w:rsid w:val="005A1D84"/>
    <w:rsid w:val="005A2B0E"/>
    <w:rsid w:val="005A2CF3"/>
    <w:rsid w:val="005A2EE5"/>
    <w:rsid w:val="005A6452"/>
    <w:rsid w:val="005A67C3"/>
    <w:rsid w:val="005B0124"/>
    <w:rsid w:val="005B23AE"/>
    <w:rsid w:val="005B50B4"/>
    <w:rsid w:val="005B6E63"/>
    <w:rsid w:val="005B75C6"/>
    <w:rsid w:val="005B7936"/>
    <w:rsid w:val="005C020A"/>
    <w:rsid w:val="005C1B1D"/>
    <w:rsid w:val="005C3459"/>
    <w:rsid w:val="005C43FB"/>
    <w:rsid w:val="005C5DF7"/>
    <w:rsid w:val="005C5E5D"/>
    <w:rsid w:val="005D0830"/>
    <w:rsid w:val="005D0FF6"/>
    <w:rsid w:val="005D4F02"/>
    <w:rsid w:val="005D5BF7"/>
    <w:rsid w:val="005D6E03"/>
    <w:rsid w:val="005D79BB"/>
    <w:rsid w:val="005D7DDE"/>
    <w:rsid w:val="005E0048"/>
    <w:rsid w:val="005E0265"/>
    <w:rsid w:val="005E0C19"/>
    <w:rsid w:val="005E26E2"/>
    <w:rsid w:val="005E335D"/>
    <w:rsid w:val="005E39AE"/>
    <w:rsid w:val="005E5BC4"/>
    <w:rsid w:val="005E5F27"/>
    <w:rsid w:val="005E6E7F"/>
    <w:rsid w:val="005E735F"/>
    <w:rsid w:val="005F08D3"/>
    <w:rsid w:val="005F149D"/>
    <w:rsid w:val="005F16BC"/>
    <w:rsid w:val="005F43F3"/>
    <w:rsid w:val="005F4BCC"/>
    <w:rsid w:val="005F7B7F"/>
    <w:rsid w:val="00602581"/>
    <w:rsid w:val="00604786"/>
    <w:rsid w:val="00604DF5"/>
    <w:rsid w:val="006051CA"/>
    <w:rsid w:val="0060671F"/>
    <w:rsid w:val="00607AC5"/>
    <w:rsid w:val="00607FA4"/>
    <w:rsid w:val="00610650"/>
    <w:rsid w:val="00610BC5"/>
    <w:rsid w:val="006126B3"/>
    <w:rsid w:val="00612AC5"/>
    <w:rsid w:val="00614DDA"/>
    <w:rsid w:val="00615D7C"/>
    <w:rsid w:val="00621102"/>
    <w:rsid w:val="006211F2"/>
    <w:rsid w:val="00626362"/>
    <w:rsid w:val="00626917"/>
    <w:rsid w:val="00627A3D"/>
    <w:rsid w:val="00627A3F"/>
    <w:rsid w:val="0063164A"/>
    <w:rsid w:val="00631DD0"/>
    <w:rsid w:val="006321A9"/>
    <w:rsid w:val="00632C61"/>
    <w:rsid w:val="006331FF"/>
    <w:rsid w:val="00636C42"/>
    <w:rsid w:val="00636D05"/>
    <w:rsid w:val="0063702B"/>
    <w:rsid w:val="00640181"/>
    <w:rsid w:val="00640660"/>
    <w:rsid w:val="00641FD0"/>
    <w:rsid w:val="00642A26"/>
    <w:rsid w:val="0064420C"/>
    <w:rsid w:val="00645216"/>
    <w:rsid w:val="006456B7"/>
    <w:rsid w:val="00645960"/>
    <w:rsid w:val="00646978"/>
    <w:rsid w:val="00646D48"/>
    <w:rsid w:val="006477CA"/>
    <w:rsid w:val="00647AFA"/>
    <w:rsid w:val="00651F26"/>
    <w:rsid w:val="006546B1"/>
    <w:rsid w:val="00655013"/>
    <w:rsid w:val="006562CC"/>
    <w:rsid w:val="006571D0"/>
    <w:rsid w:val="00660D22"/>
    <w:rsid w:val="006616CC"/>
    <w:rsid w:val="00662643"/>
    <w:rsid w:val="006632EC"/>
    <w:rsid w:val="00663E94"/>
    <w:rsid w:val="00665082"/>
    <w:rsid w:val="00665C57"/>
    <w:rsid w:val="006671E6"/>
    <w:rsid w:val="006675BC"/>
    <w:rsid w:val="00667CC3"/>
    <w:rsid w:val="00670744"/>
    <w:rsid w:val="00670FC2"/>
    <w:rsid w:val="0067169E"/>
    <w:rsid w:val="00672D14"/>
    <w:rsid w:val="00674469"/>
    <w:rsid w:val="00674CA8"/>
    <w:rsid w:val="00674DB0"/>
    <w:rsid w:val="00675182"/>
    <w:rsid w:val="00676009"/>
    <w:rsid w:val="00676F6D"/>
    <w:rsid w:val="00680259"/>
    <w:rsid w:val="00680A42"/>
    <w:rsid w:val="00680B2F"/>
    <w:rsid w:val="00681C1F"/>
    <w:rsid w:val="00682657"/>
    <w:rsid w:val="006827D7"/>
    <w:rsid w:val="0068294C"/>
    <w:rsid w:val="00682A4D"/>
    <w:rsid w:val="00683E95"/>
    <w:rsid w:val="0068464F"/>
    <w:rsid w:val="006861F9"/>
    <w:rsid w:val="006863FF"/>
    <w:rsid w:val="00687EA3"/>
    <w:rsid w:val="00690DFA"/>
    <w:rsid w:val="00691FB1"/>
    <w:rsid w:val="00692714"/>
    <w:rsid w:val="00692B47"/>
    <w:rsid w:val="006933DE"/>
    <w:rsid w:val="00695234"/>
    <w:rsid w:val="0069523A"/>
    <w:rsid w:val="00696F33"/>
    <w:rsid w:val="006A0F90"/>
    <w:rsid w:val="006A1141"/>
    <w:rsid w:val="006A2217"/>
    <w:rsid w:val="006A24D9"/>
    <w:rsid w:val="006A398B"/>
    <w:rsid w:val="006A3E7B"/>
    <w:rsid w:val="006A46AE"/>
    <w:rsid w:val="006A4761"/>
    <w:rsid w:val="006A498D"/>
    <w:rsid w:val="006A50C8"/>
    <w:rsid w:val="006A5405"/>
    <w:rsid w:val="006A58A1"/>
    <w:rsid w:val="006B04B3"/>
    <w:rsid w:val="006B34E5"/>
    <w:rsid w:val="006B3D7B"/>
    <w:rsid w:val="006B3F97"/>
    <w:rsid w:val="006B414D"/>
    <w:rsid w:val="006B45DB"/>
    <w:rsid w:val="006B6451"/>
    <w:rsid w:val="006B7136"/>
    <w:rsid w:val="006B7F12"/>
    <w:rsid w:val="006C0794"/>
    <w:rsid w:val="006C248E"/>
    <w:rsid w:val="006C2ABF"/>
    <w:rsid w:val="006C3F98"/>
    <w:rsid w:val="006C4DD5"/>
    <w:rsid w:val="006C5DF8"/>
    <w:rsid w:val="006C63D5"/>
    <w:rsid w:val="006C7292"/>
    <w:rsid w:val="006D088D"/>
    <w:rsid w:val="006D2543"/>
    <w:rsid w:val="006D2F37"/>
    <w:rsid w:val="006D5845"/>
    <w:rsid w:val="006D64E6"/>
    <w:rsid w:val="006D74F4"/>
    <w:rsid w:val="006D7A3E"/>
    <w:rsid w:val="006E2B0E"/>
    <w:rsid w:val="006E3F7B"/>
    <w:rsid w:val="006F29F0"/>
    <w:rsid w:val="006F4D4B"/>
    <w:rsid w:val="006F5161"/>
    <w:rsid w:val="006F52DB"/>
    <w:rsid w:val="006F6B19"/>
    <w:rsid w:val="006F7028"/>
    <w:rsid w:val="006F7B89"/>
    <w:rsid w:val="006F7CA7"/>
    <w:rsid w:val="00701916"/>
    <w:rsid w:val="00702191"/>
    <w:rsid w:val="007021FD"/>
    <w:rsid w:val="00703191"/>
    <w:rsid w:val="00703704"/>
    <w:rsid w:val="0070429F"/>
    <w:rsid w:val="007052F7"/>
    <w:rsid w:val="0070556B"/>
    <w:rsid w:val="00707BEC"/>
    <w:rsid w:val="00710A08"/>
    <w:rsid w:val="00712C18"/>
    <w:rsid w:val="007137D2"/>
    <w:rsid w:val="0072102A"/>
    <w:rsid w:val="00721848"/>
    <w:rsid w:val="00721E7B"/>
    <w:rsid w:val="00722C5A"/>
    <w:rsid w:val="00723259"/>
    <w:rsid w:val="00723720"/>
    <w:rsid w:val="00726C6F"/>
    <w:rsid w:val="007300CF"/>
    <w:rsid w:val="007307AF"/>
    <w:rsid w:val="007310E4"/>
    <w:rsid w:val="00732B26"/>
    <w:rsid w:val="00734197"/>
    <w:rsid w:val="00734386"/>
    <w:rsid w:val="00737B33"/>
    <w:rsid w:val="007403DF"/>
    <w:rsid w:val="00740B0B"/>
    <w:rsid w:val="00741D52"/>
    <w:rsid w:val="00743473"/>
    <w:rsid w:val="00744211"/>
    <w:rsid w:val="00744DA2"/>
    <w:rsid w:val="007453CA"/>
    <w:rsid w:val="00754355"/>
    <w:rsid w:val="007567B5"/>
    <w:rsid w:val="007579A8"/>
    <w:rsid w:val="00761E2B"/>
    <w:rsid w:val="0076335A"/>
    <w:rsid w:val="0076418E"/>
    <w:rsid w:val="00765516"/>
    <w:rsid w:val="00767D49"/>
    <w:rsid w:val="00767EF5"/>
    <w:rsid w:val="00772B13"/>
    <w:rsid w:val="00772E8E"/>
    <w:rsid w:val="00774885"/>
    <w:rsid w:val="00775591"/>
    <w:rsid w:val="00775668"/>
    <w:rsid w:val="00775C74"/>
    <w:rsid w:val="00776342"/>
    <w:rsid w:val="00780817"/>
    <w:rsid w:val="007843AC"/>
    <w:rsid w:val="00786C18"/>
    <w:rsid w:val="007873EC"/>
    <w:rsid w:val="00790783"/>
    <w:rsid w:val="0079147C"/>
    <w:rsid w:val="00791834"/>
    <w:rsid w:val="00792F95"/>
    <w:rsid w:val="00794D3C"/>
    <w:rsid w:val="007950D7"/>
    <w:rsid w:val="007A14F9"/>
    <w:rsid w:val="007A2FF1"/>
    <w:rsid w:val="007A4098"/>
    <w:rsid w:val="007A469B"/>
    <w:rsid w:val="007A6E62"/>
    <w:rsid w:val="007A7A63"/>
    <w:rsid w:val="007B053F"/>
    <w:rsid w:val="007B0ABD"/>
    <w:rsid w:val="007B1BBC"/>
    <w:rsid w:val="007B1E19"/>
    <w:rsid w:val="007B20C8"/>
    <w:rsid w:val="007B2DD3"/>
    <w:rsid w:val="007B2FF0"/>
    <w:rsid w:val="007B734A"/>
    <w:rsid w:val="007C041D"/>
    <w:rsid w:val="007C08AC"/>
    <w:rsid w:val="007C0AA7"/>
    <w:rsid w:val="007C0C9A"/>
    <w:rsid w:val="007C10D3"/>
    <w:rsid w:val="007C2793"/>
    <w:rsid w:val="007C4274"/>
    <w:rsid w:val="007C4E3B"/>
    <w:rsid w:val="007C548D"/>
    <w:rsid w:val="007C5858"/>
    <w:rsid w:val="007C6AF4"/>
    <w:rsid w:val="007D0687"/>
    <w:rsid w:val="007D09BC"/>
    <w:rsid w:val="007D1215"/>
    <w:rsid w:val="007D2110"/>
    <w:rsid w:val="007D2EB1"/>
    <w:rsid w:val="007D3342"/>
    <w:rsid w:val="007D3B7F"/>
    <w:rsid w:val="007D52EB"/>
    <w:rsid w:val="007E038F"/>
    <w:rsid w:val="007E1011"/>
    <w:rsid w:val="007E13A8"/>
    <w:rsid w:val="007E2418"/>
    <w:rsid w:val="007E4755"/>
    <w:rsid w:val="007E4D11"/>
    <w:rsid w:val="007E7CC3"/>
    <w:rsid w:val="007F028A"/>
    <w:rsid w:val="007F059D"/>
    <w:rsid w:val="007F080C"/>
    <w:rsid w:val="007F27DD"/>
    <w:rsid w:val="007F2A4A"/>
    <w:rsid w:val="007F36E4"/>
    <w:rsid w:val="007F630E"/>
    <w:rsid w:val="00801388"/>
    <w:rsid w:val="00804114"/>
    <w:rsid w:val="00804E5F"/>
    <w:rsid w:val="00806617"/>
    <w:rsid w:val="00807828"/>
    <w:rsid w:val="00810BCC"/>
    <w:rsid w:val="00812FDC"/>
    <w:rsid w:val="00813F95"/>
    <w:rsid w:val="008148FC"/>
    <w:rsid w:val="0082242D"/>
    <w:rsid w:val="00822511"/>
    <w:rsid w:val="00822FFA"/>
    <w:rsid w:val="00823E95"/>
    <w:rsid w:val="00826DC2"/>
    <w:rsid w:val="00830013"/>
    <w:rsid w:val="00830DB6"/>
    <w:rsid w:val="0083106B"/>
    <w:rsid w:val="008315BF"/>
    <w:rsid w:val="00832F71"/>
    <w:rsid w:val="00833578"/>
    <w:rsid w:val="00834AF0"/>
    <w:rsid w:val="00835097"/>
    <w:rsid w:val="008355B2"/>
    <w:rsid w:val="00835A31"/>
    <w:rsid w:val="00836F3A"/>
    <w:rsid w:val="00837804"/>
    <w:rsid w:val="00837EC4"/>
    <w:rsid w:val="008422C4"/>
    <w:rsid w:val="00842941"/>
    <w:rsid w:val="00847372"/>
    <w:rsid w:val="00847AA5"/>
    <w:rsid w:val="0085026E"/>
    <w:rsid w:val="00850424"/>
    <w:rsid w:val="00851289"/>
    <w:rsid w:val="00852D4B"/>
    <w:rsid w:val="0085361F"/>
    <w:rsid w:val="00853E74"/>
    <w:rsid w:val="00854416"/>
    <w:rsid w:val="00855F45"/>
    <w:rsid w:val="00860207"/>
    <w:rsid w:val="00860C8B"/>
    <w:rsid w:val="008623D2"/>
    <w:rsid w:val="0086527B"/>
    <w:rsid w:val="00865D66"/>
    <w:rsid w:val="00866FA0"/>
    <w:rsid w:val="008679EB"/>
    <w:rsid w:val="00870975"/>
    <w:rsid w:val="00872C68"/>
    <w:rsid w:val="00873CC6"/>
    <w:rsid w:val="008764DA"/>
    <w:rsid w:val="00877715"/>
    <w:rsid w:val="00880F22"/>
    <w:rsid w:val="00882BE2"/>
    <w:rsid w:val="008830E8"/>
    <w:rsid w:val="00883BAF"/>
    <w:rsid w:val="0088545F"/>
    <w:rsid w:val="00886991"/>
    <w:rsid w:val="008876B6"/>
    <w:rsid w:val="00887CC9"/>
    <w:rsid w:val="008914AF"/>
    <w:rsid w:val="00891FE9"/>
    <w:rsid w:val="00893070"/>
    <w:rsid w:val="0089395A"/>
    <w:rsid w:val="008A40EA"/>
    <w:rsid w:val="008A4B70"/>
    <w:rsid w:val="008A650F"/>
    <w:rsid w:val="008A6781"/>
    <w:rsid w:val="008A6DDA"/>
    <w:rsid w:val="008A6F46"/>
    <w:rsid w:val="008B0F79"/>
    <w:rsid w:val="008B1017"/>
    <w:rsid w:val="008B11A3"/>
    <w:rsid w:val="008B2B1E"/>
    <w:rsid w:val="008B2D9D"/>
    <w:rsid w:val="008B3272"/>
    <w:rsid w:val="008B40F0"/>
    <w:rsid w:val="008B4E3C"/>
    <w:rsid w:val="008B5655"/>
    <w:rsid w:val="008B6707"/>
    <w:rsid w:val="008B7120"/>
    <w:rsid w:val="008B76DF"/>
    <w:rsid w:val="008B7EFE"/>
    <w:rsid w:val="008C026F"/>
    <w:rsid w:val="008C0B69"/>
    <w:rsid w:val="008C0F94"/>
    <w:rsid w:val="008C1E56"/>
    <w:rsid w:val="008C1F72"/>
    <w:rsid w:val="008C2AAB"/>
    <w:rsid w:val="008C43EE"/>
    <w:rsid w:val="008C47F8"/>
    <w:rsid w:val="008C6B12"/>
    <w:rsid w:val="008D0973"/>
    <w:rsid w:val="008D2C0E"/>
    <w:rsid w:val="008D4732"/>
    <w:rsid w:val="008E102E"/>
    <w:rsid w:val="008E3EF1"/>
    <w:rsid w:val="008E47FE"/>
    <w:rsid w:val="008E5A25"/>
    <w:rsid w:val="008E5DE7"/>
    <w:rsid w:val="008E6817"/>
    <w:rsid w:val="008E755F"/>
    <w:rsid w:val="008F3B3C"/>
    <w:rsid w:val="008F74A6"/>
    <w:rsid w:val="009008DE"/>
    <w:rsid w:val="00900B24"/>
    <w:rsid w:val="00902DE4"/>
    <w:rsid w:val="00904C72"/>
    <w:rsid w:val="009074FD"/>
    <w:rsid w:val="00907C7B"/>
    <w:rsid w:val="00910320"/>
    <w:rsid w:val="0091085B"/>
    <w:rsid w:val="009110A0"/>
    <w:rsid w:val="0091168A"/>
    <w:rsid w:val="009134C3"/>
    <w:rsid w:val="00915D40"/>
    <w:rsid w:val="00916A23"/>
    <w:rsid w:val="00920419"/>
    <w:rsid w:val="009210C1"/>
    <w:rsid w:val="00921368"/>
    <w:rsid w:val="0092221B"/>
    <w:rsid w:val="00925F7E"/>
    <w:rsid w:val="0092718B"/>
    <w:rsid w:val="00927521"/>
    <w:rsid w:val="00927DFF"/>
    <w:rsid w:val="0093297B"/>
    <w:rsid w:val="009342EF"/>
    <w:rsid w:val="00934489"/>
    <w:rsid w:val="009355AE"/>
    <w:rsid w:val="0093598F"/>
    <w:rsid w:val="009368E1"/>
    <w:rsid w:val="009419A3"/>
    <w:rsid w:val="009441D1"/>
    <w:rsid w:val="00945039"/>
    <w:rsid w:val="009460C2"/>
    <w:rsid w:val="009462DF"/>
    <w:rsid w:val="00952AA8"/>
    <w:rsid w:val="00954E20"/>
    <w:rsid w:val="00954F57"/>
    <w:rsid w:val="00955145"/>
    <w:rsid w:val="009578A7"/>
    <w:rsid w:val="00957CE8"/>
    <w:rsid w:val="00960729"/>
    <w:rsid w:val="00960A47"/>
    <w:rsid w:val="00963FB8"/>
    <w:rsid w:val="0097114A"/>
    <w:rsid w:val="00973573"/>
    <w:rsid w:val="0097463E"/>
    <w:rsid w:val="009758B5"/>
    <w:rsid w:val="00981814"/>
    <w:rsid w:val="00982584"/>
    <w:rsid w:val="00982AAB"/>
    <w:rsid w:val="00982AF1"/>
    <w:rsid w:val="00984230"/>
    <w:rsid w:val="0098626F"/>
    <w:rsid w:val="009862AD"/>
    <w:rsid w:val="00986411"/>
    <w:rsid w:val="00990658"/>
    <w:rsid w:val="00990F68"/>
    <w:rsid w:val="00992977"/>
    <w:rsid w:val="0099431A"/>
    <w:rsid w:val="00994C2C"/>
    <w:rsid w:val="009952BB"/>
    <w:rsid w:val="00996258"/>
    <w:rsid w:val="009962E5"/>
    <w:rsid w:val="00996C27"/>
    <w:rsid w:val="00997EAD"/>
    <w:rsid w:val="009A0127"/>
    <w:rsid w:val="009A0D6A"/>
    <w:rsid w:val="009A2DBE"/>
    <w:rsid w:val="009A39C4"/>
    <w:rsid w:val="009A48F3"/>
    <w:rsid w:val="009A4D29"/>
    <w:rsid w:val="009A538D"/>
    <w:rsid w:val="009A5560"/>
    <w:rsid w:val="009A61AD"/>
    <w:rsid w:val="009A6FD8"/>
    <w:rsid w:val="009A7086"/>
    <w:rsid w:val="009A7134"/>
    <w:rsid w:val="009A7D50"/>
    <w:rsid w:val="009B070A"/>
    <w:rsid w:val="009B082E"/>
    <w:rsid w:val="009B1447"/>
    <w:rsid w:val="009B19EF"/>
    <w:rsid w:val="009B1AEA"/>
    <w:rsid w:val="009B1F2C"/>
    <w:rsid w:val="009B2BF8"/>
    <w:rsid w:val="009B2C13"/>
    <w:rsid w:val="009B35A8"/>
    <w:rsid w:val="009B652C"/>
    <w:rsid w:val="009B683B"/>
    <w:rsid w:val="009C0979"/>
    <w:rsid w:val="009C12C3"/>
    <w:rsid w:val="009C26D7"/>
    <w:rsid w:val="009C2BB1"/>
    <w:rsid w:val="009C3E7C"/>
    <w:rsid w:val="009C3FA4"/>
    <w:rsid w:val="009C420F"/>
    <w:rsid w:val="009C7DB1"/>
    <w:rsid w:val="009C7E60"/>
    <w:rsid w:val="009D0F10"/>
    <w:rsid w:val="009D3F81"/>
    <w:rsid w:val="009D61E4"/>
    <w:rsid w:val="009E145F"/>
    <w:rsid w:val="009E3BF8"/>
    <w:rsid w:val="009E424C"/>
    <w:rsid w:val="009E59C0"/>
    <w:rsid w:val="009E6376"/>
    <w:rsid w:val="009F032D"/>
    <w:rsid w:val="009F082F"/>
    <w:rsid w:val="009F4373"/>
    <w:rsid w:val="009F4832"/>
    <w:rsid w:val="009F4D0F"/>
    <w:rsid w:val="009F7C22"/>
    <w:rsid w:val="00A00BA7"/>
    <w:rsid w:val="00A0110B"/>
    <w:rsid w:val="00A023B1"/>
    <w:rsid w:val="00A03412"/>
    <w:rsid w:val="00A05DE6"/>
    <w:rsid w:val="00A06A75"/>
    <w:rsid w:val="00A13178"/>
    <w:rsid w:val="00A140D3"/>
    <w:rsid w:val="00A14D1F"/>
    <w:rsid w:val="00A150D7"/>
    <w:rsid w:val="00A1590E"/>
    <w:rsid w:val="00A17AB9"/>
    <w:rsid w:val="00A17FC2"/>
    <w:rsid w:val="00A21F0D"/>
    <w:rsid w:val="00A238BF"/>
    <w:rsid w:val="00A25578"/>
    <w:rsid w:val="00A30938"/>
    <w:rsid w:val="00A30BEA"/>
    <w:rsid w:val="00A30ED5"/>
    <w:rsid w:val="00A3127A"/>
    <w:rsid w:val="00A31D45"/>
    <w:rsid w:val="00A31F6E"/>
    <w:rsid w:val="00A33184"/>
    <w:rsid w:val="00A34D0F"/>
    <w:rsid w:val="00A352E1"/>
    <w:rsid w:val="00A359A2"/>
    <w:rsid w:val="00A3746A"/>
    <w:rsid w:val="00A416F6"/>
    <w:rsid w:val="00A43F30"/>
    <w:rsid w:val="00A455E1"/>
    <w:rsid w:val="00A47CDC"/>
    <w:rsid w:val="00A47DAA"/>
    <w:rsid w:val="00A50E6C"/>
    <w:rsid w:val="00A52522"/>
    <w:rsid w:val="00A55F4E"/>
    <w:rsid w:val="00A56C0D"/>
    <w:rsid w:val="00A576C4"/>
    <w:rsid w:val="00A60B0E"/>
    <w:rsid w:val="00A61A1D"/>
    <w:rsid w:val="00A61D0D"/>
    <w:rsid w:val="00A62244"/>
    <w:rsid w:val="00A62985"/>
    <w:rsid w:val="00A62C56"/>
    <w:rsid w:val="00A62F81"/>
    <w:rsid w:val="00A67C63"/>
    <w:rsid w:val="00A702BD"/>
    <w:rsid w:val="00A717F9"/>
    <w:rsid w:val="00A720DE"/>
    <w:rsid w:val="00A724FE"/>
    <w:rsid w:val="00A7306C"/>
    <w:rsid w:val="00A740FF"/>
    <w:rsid w:val="00A753A4"/>
    <w:rsid w:val="00A76C79"/>
    <w:rsid w:val="00A77514"/>
    <w:rsid w:val="00A81DA0"/>
    <w:rsid w:val="00A85A35"/>
    <w:rsid w:val="00A86587"/>
    <w:rsid w:val="00A86DA3"/>
    <w:rsid w:val="00A90FC3"/>
    <w:rsid w:val="00A92325"/>
    <w:rsid w:val="00A927F8"/>
    <w:rsid w:val="00A93321"/>
    <w:rsid w:val="00A935E1"/>
    <w:rsid w:val="00A93F5E"/>
    <w:rsid w:val="00A95B99"/>
    <w:rsid w:val="00AA160C"/>
    <w:rsid w:val="00AA721E"/>
    <w:rsid w:val="00AB4401"/>
    <w:rsid w:val="00AB55D5"/>
    <w:rsid w:val="00AB69FE"/>
    <w:rsid w:val="00AC4C81"/>
    <w:rsid w:val="00AC5006"/>
    <w:rsid w:val="00AC65A1"/>
    <w:rsid w:val="00AC6A80"/>
    <w:rsid w:val="00AC71C9"/>
    <w:rsid w:val="00AC7514"/>
    <w:rsid w:val="00AD20E9"/>
    <w:rsid w:val="00AD67CF"/>
    <w:rsid w:val="00AD7624"/>
    <w:rsid w:val="00AE2056"/>
    <w:rsid w:val="00AE31B8"/>
    <w:rsid w:val="00AF0A0A"/>
    <w:rsid w:val="00AF1F5C"/>
    <w:rsid w:val="00AF26D4"/>
    <w:rsid w:val="00AF332B"/>
    <w:rsid w:val="00AF4469"/>
    <w:rsid w:val="00AF4666"/>
    <w:rsid w:val="00AF4AA2"/>
    <w:rsid w:val="00AF53B6"/>
    <w:rsid w:val="00AF5669"/>
    <w:rsid w:val="00AF587A"/>
    <w:rsid w:val="00AF58C6"/>
    <w:rsid w:val="00AF5C54"/>
    <w:rsid w:val="00AF7C47"/>
    <w:rsid w:val="00AF7E58"/>
    <w:rsid w:val="00B00E79"/>
    <w:rsid w:val="00B02A4B"/>
    <w:rsid w:val="00B03865"/>
    <w:rsid w:val="00B0487E"/>
    <w:rsid w:val="00B1262A"/>
    <w:rsid w:val="00B12DB6"/>
    <w:rsid w:val="00B1336D"/>
    <w:rsid w:val="00B15819"/>
    <w:rsid w:val="00B15A1D"/>
    <w:rsid w:val="00B15B4C"/>
    <w:rsid w:val="00B21882"/>
    <w:rsid w:val="00B262E0"/>
    <w:rsid w:val="00B31CB2"/>
    <w:rsid w:val="00B32BD7"/>
    <w:rsid w:val="00B342D3"/>
    <w:rsid w:val="00B34AC9"/>
    <w:rsid w:val="00B36D44"/>
    <w:rsid w:val="00B40FD5"/>
    <w:rsid w:val="00B414A7"/>
    <w:rsid w:val="00B4222F"/>
    <w:rsid w:val="00B44CED"/>
    <w:rsid w:val="00B46EF2"/>
    <w:rsid w:val="00B50636"/>
    <w:rsid w:val="00B51CE4"/>
    <w:rsid w:val="00B52280"/>
    <w:rsid w:val="00B527D5"/>
    <w:rsid w:val="00B53EF2"/>
    <w:rsid w:val="00B53FCB"/>
    <w:rsid w:val="00B54801"/>
    <w:rsid w:val="00B5638C"/>
    <w:rsid w:val="00B56BFE"/>
    <w:rsid w:val="00B574FF"/>
    <w:rsid w:val="00B57DE6"/>
    <w:rsid w:val="00B57F0F"/>
    <w:rsid w:val="00B60809"/>
    <w:rsid w:val="00B61FE6"/>
    <w:rsid w:val="00B63B80"/>
    <w:rsid w:val="00B641BA"/>
    <w:rsid w:val="00B645CB"/>
    <w:rsid w:val="00B646DC"/>
    <w:rsid w:val="00B64996"/>
    <w:rsid w:val="00B669E9"/>
    <w:rsid w:val="00B6723E"/>
    <w:rsid w:val="00B706AA"/>
    <w:rsid w:val="00B72C2F"/>
    <w:rsid w:val="00B7330A"/>
    <w:rsid w:val="00B733FB"/>
    <w:rsid w:val="00B74A74"/>
    <w:rsid w:val="00B74FFA"/>
    <w:rsid w:val="00B7569C"/>
    <w:rsid w:val="00B802FA"/>
    <w:rsid w:val="00B837DB"/>
    <w:rsid w:val="00B85A68"/>
    <w:rsid w:val="00B8681B"/>
    <w:rsid w:val="00B86A28"/>
    <w:rsid w:val="00B90B3B"/>
    <w:rsid w:val="00B914C9"/>
    <w:rsid w:val="00B91742"/>
    <w:rsid w:val="00B929B4"/>
    <w:rsid w:val="00B934CB"/>
    <w:rsid w:val="00B94738"/>
    <w:rsid w:val="00B95196"/>
    <w:rsid w:val="00B960C4"/>
    <w:rsid w:val="00B960ED"/>
    <w:rsid w:val="00B9649C"/>
    <w:rsid w:val="00BA0EA3"/>
    <w:rsid w:val="00BA15E2"/>
    <w:rsid w:val="00BA177B"/>
    <w:rsid w:val="00BA23B8"/>
    <w:rsid w:val="00BA2971"/>
    <w:rsid w:val="00BA34C4"/>
    <w:rsid w:val="00BA3908"/>
    <w:rsid w:val="00BA3A19"/>
    <w:rsid w:val="00BA4679"/>
    <w:rsid w:val="00BA48A7"/>
    <w:rsid w:val="00BA565A"/>
    <w:rsid w:val="00BA5A2E"/>
    <w:rsid w:val="00BA5C87"/>
    <w:rsid w:val="00BA7190"/>
    <w:rsid w:val="00BB04DE"/>
    <w:rsid w:val="00BB41A3"/>
    <w:rsid w:val="00BB4401"/>
    <w:rsid w:val="00BB5A2D"/>
    <w:rsid w:val="00BB615E"/>
    <w:rsid w:val="00BB6402"/>
    <w:rsid w:val="00BB6F5E"/>
    <w:rsid w:val="00BB7E49"/>
    <w:rsid w:val="00BB7F8E"/>
    <w:rsid w:val="00BC0CBB"/>
    <w:rsid w:val="00BC51FE"/>
    <w:rsid w:val="00BC584F"/>
    <w:rsid w:val="00BC58B6"/>
    <w:rsid w:val="00BC60B5"/>
    <w:rsid w:val="00BC7C43"/>
    <w:rsid w:val="00BD1912"/>
    <w:rsid w:val="00BD21B9"/>
    <w:rsid w:val="00BD22F1"/>
    <w:rsid w:val="00BD2899"/>
    <w:rsid w:val="00BD4A74"/>
    <w:rsid w:val="00BD4D70"/>
    <w:rsid w:val="00BD5CC0"/>
    <w:rsid w:val="00BE011D"/>
    <w:rsid w:val="00BE4209"/>
    <w:rsid w:val="00BE63E1"/>
    <w:rsid w:val="00BE6953"/>
    <w:rsid w:val="00BE71F7"/>
    <w:rsid w:val="00BF005A"/>
    <w:rsid w:val="00BF0862"/>
    <w:rsid w:val="00BF09BE"/>
    <w:rsid w:val="00BF20A5"/>
    <w:rsid w:val="00BF292A"/>
    <w:rsid w:val="00BF30DC"/>
    <w:rsid w:val="00BF31D1"/>
    <w:rsid w:val="00BF5091"/>
    <w:rsid w:val="00BF7FC7"/>
    <w:rsid w:val="00C01E93"/>
    <w:rsid w:val="00C05F0B"/>
    <w:rsid w:val="00C05F26"/>
    <w:rsid w:val="00C06152"/>
    <w:rsid w:val="00C06B08"/>
    <w:rsid w:val="00C118E2"/>
    <w:rsid w:val="00C11F28"/>
    <w:rsid w:val="00C133A2"/>
    <w:rsid w:val="00C13DD2"/>
    <w:rsid w:val="00C163AA"/>
    <w:rsid w:val="00C17285"/>
    <w:rsid w:val="00C17E87"/>
    <w:rsid w:val="00C2031C"/>
    <w:rsid w:val="00C2078F"/>
    <w:rsid w:val="00C221B2"/>
    <w:rsid w:val="00C22352"/>
    <w:rsid w:val="00C225A3"/>
    <w:rsid w:val="00C265C4"/>
    <w:rsid w:val="00C30FC2"/>
    <w:rsid w:val="00C33ED0"/>
    <w:rsid w:val="00C346E9"/>
    <w:rsid w:val="00C36EA0"/>
    <w:rsid w:val="00C41D8E"/>
    <w:rsid w:val="00C427BA"/>
    <w:rsid w:val="00C44325"/>
    <w:rsid w:val="00C44D0B"/>
    <w:rsid w:val="00C4561A"/>
    <w:rsid w:val="00C45F25"/>
    <w:rsid w:val="00C505C9"/>
    <w:rsid w:val="00C52B78"/>
    <w:rsid w:val="00C5562C"/>
    <w:rsid w:val="00C55F11"/>
    <w:rsid w:val="00C57212"/>
    <w:rsid w:val="00C603DF"/>
    <w:rsid w:val="00C61255"/>
    <w:rsid w:val="00C61ACC"/>
    <w:rsid w:val="00C6294F"/>
    <w:rsid w:val="00C62B27"/>
    <w:rsid w:val="00C63739"/>
    <w:rsid w:val="00C637C8"/>
    <w:rsid w:val="00C6419A"/>
    <w:rsid w:val="00C67F5B"/>
    <w:rsid w:val="00C73810"/>
    <w:rsid w:val="00C7512B"/>
    <w:rsid w:val="00C75A8C"/>
    <w:rsid w:val="00C76736"/>
    <w:rsid w:val="00C81B8F"/>
    <w:rsid w:val="00C830F4"/>
    <w:rsid w:val="00C831D4"/>
    <w:rsid w:val="00C87DC9"/>
    <w:rsid w:val="00C90D6F"/>
    <w:rsid w:val="00C92B0B"/>
    <w:rsid w:val="00C933D7"/>
    <w:rsid w:val="00C96E29"/>
    <w:rsid w:val="00CA079B"/>
    <w:rsid w:val="00CA3D81"/>
    <w:rsid w:val="00CA413E"/>
    <w:rsid w:val="00CA44FE"/>
    <w:rsid w:val="00CA4C27"/>
    <w:rsid w:val="00CA7A4F"/>
    <w:rsid w:val="00CA7D95"/>
    <w:rsid w:val="00CB035E"/>
    <w:rsid w:val="00CB1210"/>
    <w:rsid w:val="00CB2DE1"/>
    <w:rsid w:val="00CB5345"/>
    <w:rsid w:val="00CB5732"/>
    <w:rsid w:val="00CB5BCE"/>
    <w:rsid w:val="00CB6FDF"/>
    <w:rsid w:val="00CB77D3"/>
    <w:rsid w:val="00CC311A"/>
    <w:rsid w:val="00CC332E"/>
    <w:rsid w:val="00CC4802"/>
    <w:rsid w:val="00CC4CBD"/>
    <w:rsid w:val="00CC5371"/>
    <w:rsid w:val="00CC585A"/>
    <w:rsid w:val="00CC7E5E"/>
    <w:rsid w:val="00CD0B80"/>
    <w:rsid w:val="00CD1E9E"/>
    <w:rsid w:val="00CD2FCC"/>
    <w:rsid w:val="00CD33DD"/>
    <w:rsid w:val="00CD39B0"/>
    <w:rsid w:val="00CD3A10"/>
    <w:rsid w:val="00CD3D64"/>
    <w:rsid w:val="00CD50DD"/>
    <w:rsid w:val="00CD684E"/>
    <w:rsid w:val="00CD714B"/>
    <w:rsid w:val="00CD7463"/>
    <w:rsid w:val="00CD7F91"/>
    <w:rsid w:val="00CD7FE1"/>
    <w:rsid w:val="00CE3D68"/>
    <w:rsid w:val="00CE5BA5"/>
    <w:rsid w:val="00CF13F0"/>
    <w:rsid w:val="00CF3924"/>
    <w:rsid w:val="00CF68DD"/>
    <w:rsid w:val="00CF6B46"/>
    <w:rsid w:val="00D0115E"/>
    <w:rsid w:val="00D018D2"/>
    <w:rsid w:val="00D02B26"/>
    <w:rsid w:val="00D03377"/>
    <w:rsid w:val="00D03E31"/>
    <w:rsid w:val="00D05C48"/>
    <w:rsid w:val="00D05C59"/>
    <w:rsid w:val="00D06068"/>
    <w:rsid w:val="00D1431B"/>
    <w:rsid w:val="00D16E44"/>
    <w:rsid w:val="00D217AB"/>
    <w:rsid w:val="00D21D8D"/>
    <w:rsid w:val="00D23A5E"/>
    <w:rsid w:val="00D24EDE"/>
    <w:rsid w:val="00D257C4"/>
    <w:rsid w:val="00D26A1B"/>
    <w:rsid w:val="00D26B78"/>
    <w:rsid w:val="00D26C36"/>
    <w:rsid w:val="00D30333"/>
    <w:rsid w:val="00D32B42"/>
    <w:rsid w:val="00D33F63"/>
    <w:rsid w:val="00D34FED"/>
    <w:rsid w:val="00D35224"/>
    <w:rsid w:val="00D35AF1"/>
    <w:rsid w:val="00D41B96"/>
    <w:rsid w:val="00D43F72"/>
    <w:rsid w:val="00D45F9F"/>
    <w:rsid w:val="00D463F2"/>
    <w:rsid w:val="00D46837"/>
    <w:rsid w:val="00D468D2"/>
    <w:rsid w:val="00D46E1F"/>
    <w:rsid w:val="00D47819"/>
    <w:rsid w:val="00D50758"/>
    <w:rsid w:val="00D5140A"/>
    <w:rsid w:val="00D518F7"/>
    <w:rsid w:val="00D529DD"/>
    <w:rsid w:val="00D534C5"/>
    <w:rsid w:val="00D5544A"/>
    <w:rsid w:val="00D559AA"/>
    <w:rsid w:val="00D610EB"/>
    <w:rsid w:val="00D6163D"/>
    <w:rsid w:val="00D61E31"/>
    <w:rsid w:val="00D62B97"/>
    <w:rsid w:val="00D67E26"/>
    <w:rsid w:val="00D7039D"/>
    <w:rsid w:val="00D70C62"/>
    <w:rsid w:val="00D71895"/>
    <w:rsid w:val="00D71BE3"/>
    <w:rsid w:val="00D724D0"/>
    <w:rsid w:val="00D733FA"/>
    <w:rsid w:val="00D75503"/>
    <w:rsid w:val="00D75E2C"/>
    <w:rsid w:val="00D76626"/>
    <w:rsid w:val="00D81262"/>
    <w:rsid w:val="00D843AC"/>
    <w:rsid w:val="00D84CF9"/>
    <w:rsid w:val="00D865CA"/>
    <w:rsid w:val="00D86ECD"/>
    <w:rsid w:val="00D90818"/>
    <w:rsid w:val="00D91926"/>
    <w:rsid w:val="00D976B9"/>
    <w:rsid w:val="00D977C5"/>
    <w:rsid w:val="00D97B19"/>
    <w:rsid w:val="00D97DF9"/>
    <w:rsid w:val="00DA0C20"/>
    <w:rsid w:val="00DA1CE4"/>
    <w:rsid w:val="00DA2C83"/>
    <w:rsid w:val="00DA3D49"/>
    <w:rsid w:val="00DA4435"/>
    <w:rsid w:val="00DA4CBE"/>
    <w:rsid w:val="00DA4DDE"/>
    <w:rsid w:val="00DA6D0E"/>
    <w:rsid w:val="00DA73E9"/>
    <w:rsid w:val="00DB389C"/>
    <w:rsid w:val="00DB3CFA"/>
    <w:rsid w:val="00DB62E1"/>
    <w:rsid w:val="00DB6D0F"/>
    <w:rsid w:val="00DB7658"/>
    <w:rsid w:val="00DC1C4D"/>
    <w:rsid w:val="00DC2988"/>
    <w:rsid w:val="00DC3B36"/>
    <w:rsid w:val="00DC4868"/>
    <w:rsid w:val="00DC725B"/>
    <w:rsid w:val="00DD0215"/>
    <w:rsid w:val="00DD1E44"/>
    <w:rsid w:val="00DD5198"/>
    <w:rsid w:val="00DD685F"/>
    <w:rsid w:val="00DD6C6A"/>
    <w:rsid w:val="00DE1F62"/>
    <w:rsid w:val="00DE2338"/>
    <w:rsid w:val="00DE2355"/>
    <w:rsid w:val="00DE2DE1"/>
    <w:rsid w:val="00DE3551"/>
    <w:rsid w:val="00DE4288"/>
    <w:rsid w:val="00DE4B4D"/>
    <w:rsid w:val="00DE53D9"/>
    <w:rsid w:val="00DE5444"/>
    <w:rsid w:val="00DE6F92"/>
    <w:rsid w:val="00DE72BB"/>
    <w:rsid w:val="00DF4DA1"/>
    <w:rsid w:val="00E044A6"/>
    <w:rsid w:val="00E05096"/>
    <w:rsid w:val="00E06557"/>
    <w:rsid w:val="00E07206"/>
    <w:rsid w:val="00E07DCD"/>
    <w:rsid w:val="00E113EF"/>
    <w:rsid w:val="00E122F7"/>
    <w:rsid w:val="00E140A5"/>
    <w:rsid w:val="00E14828"/>
    <w:rsid w:val="00E1523D"/>
    <w:rsid w:val="00E17BDD"/>
    <w:rsid w:val="00E22A54"/>
    <w:rsid w:val="00E23C45"/>
    <w:rsid w:val="00E32277"/>
    <w:rsid w:val="00E32BE5"/>
    <w:rsid w:val="00E3311C"/>
    <w:rsid w:val="00E34846"/>
    <w:rsid w:val="00E3635B"/>
    <w:rsid w:val="00E37CE3"/>
    <w:rsid w:val="00E407B4"/>
    <w:rsid w:val="00E458B4"/>
    <w:rsid w:val="00E479B2"/>
    <w:rsid w:val="00E52083"/>
    <w:rsid w:val="00E52476"/>
    <w:rsid w:val="00E52AA7"/>
    <w:rsid w:val="00E53024"/>
    <w:rsid w:val="00E54069"/>
    <w:rsid w:val="00E5494E"/>
    <w:rsid w:val="00E560AB"/>
    <w:rsid w:val="00E6154C"/>
    <w:rsid w:val="00E615F1"/>
    <w:rsid w:val="00E61D5F"/>
    <w:rsid w:val="00E6281F"/>
    <w:rsid w:val="00E62FFD"/>
    <w:rsid w:val="00E67113"/>
    <w:rsid w:val="00E674C0"/>
    <w:rsid w:val="00E67A22"/>
    <w:rsid w:val="00E71B0D"/>
    <w:rsid w:val="00E727D3"/>
    <w:rsid w:val="00E7303A"/>
    <w:rsid w:val="00E73DD6"/>
    <w:rsid w:val="00E75416"/>
    <w:rsid w:val="00E76187"/>
    <w:rsid w:val="00E7661A"/>
    <w:rsid w:val="00E77412"/>
    <w:rsid w:val="00E801CB"/>
    <w:rsid w:val="00E83574"/>
    <w:rsid w:val="00E83869"/>
    <w:rsid w:val="00E83DF1"/>
    <w:rsid w:val="00E84856"/>
    <w:rsid w:val="00E84E11"/>
    <w:rsid w:val="00E85923"/>
    <w:rsid w:val="00E90095"/>
    <w:rsid w:val="00E93162"/>
    <w:rsid w:val="00E93E15"/>
    <w:rsid w:val="00E944FD"/>
    <w:rsid w:val="00E956F8"/>
    <w:rsid w:val="00EA0C85"/>
    <w:rsid w:val="00EA2AEA"/>
    <w:rsid w:val="00EA3833"/>
    <w:rsid w:val="00EA4433"/>
    <w:rsid w:val="00EA5065"/>
    <w:rsid w:val="00EA7188"/>
    <w:rsid w:val="00EB153D"/>
    <w:rsid w:val="00EB223C"/>
    <w:rsid w:val="00EB45A3"/>
    <w:rsid w:val="00EB4716"/>
    <w:rsid w:val="00EC0C9E"/>
    <w:rsid w:val="00EC1913"/>
    <w:rsid w:val="00EC2E6E"/>
    <w:rsid w:val="00EC37DF"/>
    <w:rsid w:val="00EC3CA3"/>
    <w:rsid w:val="00ED01F0"/>
    <w:rsid w:val="00ED18A1"/>
    <w:rsid w:val="00ED4952"/>
    <w:rsid w:val="00ED4F8C"/>
    <w:rsid w:val="00ED6955"/>
    <w:rsid w:val="00ED765D"/>
    <w:rsid w:val="00EE16B4"/>
    <w:rsid w:val="00EE5336"/>
    <w:rsid w:val="00EE6E61"/>
    <w:rsid w:val="00EF039F"/>
    <w:rsid w:val="00EF4851"/>
    <w:rsid w:val="00EF48E0"/>
    <w:rsid w:val="00EF492B"/>
    <w:rsid w:val="00EF53A1"/>
    <w:rsid w:val="00EF61FA"/>
    <w:rsid w:val="00EF6B98"/>
    <w:rsid w:val="00F02D07"/>
    <w:rsid w:val="00F03B45"/>
    <w:rsid w:val="00F03D01"/>
    <w:rsid w:val="00F04FCC"/>
    <w:rsid w:val="00F0726E"/>
    <w:rsid w:val="00F131B4"/>
    <w:rsid w:val="00F15761"/>
    <w:rsid w:val="00F159F3"/>
    <w:rsid w:val="00F17F82"/>
    <w:rsid w:val="00F20B63"/>
    <w:rsid w:val="00F21E69"/>
    <w:rsid w:val="00F22078"/>
    <w:rsid w:val="00F236B5"/>
    <w:rsid w:val="00F238D1"/>
    <w:rsid w:val="00F243A5"/>
    <w:rsid w:val="00F2516E"/>
    <w:rsid w:val="00F26440"/>
    <w:rsid w:val="00F30DE4"/>
    <w:rsid w:val="00F343B7"/>
    <w:rsid w:val="00F343BA"/>
    <w:rsid w:val="00F35810"/>
    <w:rsid w:val="00F400D9"/>
    <w:rsid w:val="00F40F62"/>
    <w:rsid w:val="00F4168C"/>
    <w:rsid w:val="00F43CA4"/>
    <w:rsid w:val="00F47B93"/>
    <w:rsid w:val="00F533FA"/>
    <w:rsid w:val="00F5570A"/>
    <w:rsid w:val="00F57156"/>
    <w:rsid w:val="00F57749"/>
    <w:rsid w:val="00F57FA9"/>
    <w:rsid w:val="00F60861"/>
    <w:rsid w:val="00F61C8C"/>
    <w:rsid w:val="00F67358"/>
    <w:rsid w:val="00F70B1A"/>
    <w:rsid w:val="00F72769"/>
    <w:rsid w:val="00F73469"/>
    <w:rsid w:val="00F7394C"/>
    <w:rsid w:val="00F74653"/>
    <w:rsid w:val="00F74818"/>
    <w:rsid w:val="00F762F1"/>
    <w:rsid w:val="00F76EA4"/>
    <w:rsid w:val="00F80682"/>
    <w:rsid w:val="00F80F77"/>
    <w:rsid w:val="00F82606"/>
    <w:rsid w:val="00F827FC"/>
    <w:rsid w:val="00F84758"/>
    <w:rsid w:val="00F85DEF"/>
    <w:rsid w:val="00F871FF"/>
    <w:rsid w:val="00F905EA"/>
    <w:rsid w:val="00F9095A"/>
    <w:rsid w:val="00F91CCF"/>
    <w:rsid w:val="00F95AC8"/>
    <w:rsid w:val="00F978DA"/>
    <w:rsid w:val="00FA1033"/>
    <w:rsid w:val="00FA30D9"/>
    <w:rsid w:val="00FA3EDE"/>
    <w:rsid w:val="00FA3FE0"/>
    <w:rsid w:val="00FA49B1"/>
    <w:rsid w:val="00FA6B80"/>
    <w:rsid w:val="00FB024A"/>
    <w:rsid w:val="00FB095A"/>
    <w:rsid w:val="00FB1399"/>
    <w:rsid w:val="00FB1611"/>
    <w:rsid w:val="00FB33D9"/>
    <w:rsid w:val="00FB6377"/>
    <w:rsid w:val="00FB7694"/>
    <w:rsid w:val="00FC00E2"/>
    <w:rsid w:val="00FC03DE"/>
    <w:rsid w:val="00FC130F"/>
    <w:rsid w:val="00FC1862"/>
    <w:rsid w:val="00FC32B4"/>
    <w:rsid w:val="00FC360F"/>
    <w:rsid w:val="00FC60FF"/>
    <w:rsid w:val="00FC6106"/>
    <w:rsid w:val="00FD09B2"/>
    <w:rsid w:val="00FD2021"/>
    <w:rsid w:val="00FD3525"/>
    <w:rsid w:val="00FD4455"/>
    <w:rsid w:val="00FD5138"/>
    <w:rsid w:val="00FD5FC6"/>
    <w:rsid w:val="00FD64C6"/>
    <w:rsid w:val="00FE073A"/>
    <w:rsid w:val="00FE1924"/>
    <w:rsid w:val="00FE1B1A"/>
    <w:rsid w:val="00FE28D6"/>
    <w:rsid w:val="00FE329F"/>
    <w:rsid w:val="00FE3E73"/>
    <w:rsid w:val="00FE4C88"/>
    <w:rsid w:val="00FE6387"/>
    <w:rsid w:val="00FE664F"/>
    <w:rsid w:val="00FF0F77"/>
    <w:rsid w:val="00FF1F52"/>
    <w:rsid w:val="00FF5802"/>
    <w:rsid w:val="00FF60EF"/>
    <w:rsid w:val="00FF6BE0"/>
    <w:rsid w:val="00FF79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5:chartTrackingRefBased/>
  <w15:docId w15:val="{40138246-551F-4920-8D2F-85867EF43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6BE0"/>
    <w:pPr>
      <w:ind w:left="567" w:hanging="567"/>
    </w:pPr>
    <w:rPr>
      <w:sz w:val="22"/>
      <w:szCs w:val="24"/>
    </w:rPr>
  </w:style>
  <w:style w:type="paragraph" w:styleId="Nadpis1">
    <w:name w:val="heading 1"/>
    <w:basedOn w:val="Normlny"/>
    <w:next w:val="Normlny"/>
    <w:link w:val="Nadpis1Char"/>
    <w:uiPriority w:val="1"/>
    <w:qFormat/>
    <w:rsid w:val="00732B26"/>
    <w:pPr>
      <w:autoSpaceDE w:val="0"/>
      <w:autoSpaceDN w:val="0"/>
      <w:adjustRightInd w:val="0"/>
      <w:ind w:left="0" w:firstLine="0"/>
      <w:outlineLvl w:val="0"/>
    </w:pPr>
    <w:rPr>
      <w:b/>
      <w:bCs/>
      <w:sz w:val="17"/>
      <w:szCs w:val="17"/>
      <w:lang w:val="en-US" w:eastAsia="en-US"/>
    </w:rPr>
  </w:style>
  <w:style w:type="paragraph" w:styleId="Nadpis2">
    <w:name w:val="heading 2"/>
    <w:basedOn w:val="Nadpis1"/>
    <w:next w:val="Normlny"/>
    <w:link w:val="Nadpis2Char"/>
    <w:uiPriority w:val="1"/>
    <w:qFormat/>
    <w:rsid w:val="00C61ACC"/>
    <w:pPr>
      <w:keepNext/>
      <w:tabs>
        <w:tab w:val="num" w:pos="1140"/>
      </w:tabs>
      <w:autoSpaceDE/>
      <w:autoSpaceDN/>
      <w:adjustRightInd/>
      <w:spacing w:after="120"/>
      <w:ind w:left="1140" w:hanging="1140"/>
      <w:outlineLvl w:val="1"/>
    </w:pPr>
    <w:rPr>
      <w:bCs w:val="0"/>
      <w:iCs/>
      <w:sz w:val="22"/>
      <w:szCs w:val="28"/>
    </w:rPr>
  </w:style>
  <w:style w:type="paragraph" w:styleId="Nadpis3">
    <w:name w:val="heading 3"/>
    <w:basedOn w:val="Nadpis2"/>
    <w:next w:val="Normlny"/>
    <w:link w:val="Nadpis3Char"/>
    <w:qFormat/>
    <w:rsid w:val="00C61ACC"/>
    <w:pPr>
      <w:outlineLvl w:val="2"/>
    </w:pPr>
    <w:rPr>
      <w:bCs/>
      <w:szCs w:val="26"/>
    </w:rPr>
  </w:style>
  <w:style w:type="paragraph" w:styleId="Nadpis4">
    <w:name w:val="heading 4"/>
    <w:basedOn w:val="Nadpis2"/>
    <w:next w:val="Normlny"/>
    <w:link w:val="Nadpis4Char"/>
    <w:qFormat/>
    <w:rsid w:val="00C61ACC"/>
    <w:pPr>
      <w:outlineLvl w:val="3"/>
    </w:pPr>
    <w:rPr>
      <w:bCs/>
    </w:rPr>
  </w:style>
  <w:style w:type="paragraph" w:styleId="Nadpis5">
    <w:name w:val="heading 5"/>
    <w:basedOn w:val="Nadpis2"/>
    <w:next w:val="Normlny"/>
    <w:link w:val="Nadpis5Char"/>
    <w:qFormat/>
    <w:rsid w:val="00C61ACC"/>
    <w:pPr>
      <w:outlineLvl w:val="4"/>
    </w:pPr>
    <w:rPr>
      <w:bCs/>
      <w:iCs w:val="0"/>
      <w:szCs w:val="26"/>
    </w:rPr>
  </w:style>
  <w:style w:type="paragraph" w:styleId="Nadpis6">
    <w:name w:val="heading 6"/>
    <w:basedOn w:val="Nadpis2"/>
    <w:next w:val="Normlny"/>
    <w:link w:val="Nadpis6Char"/>
    <w:qFormat/>
    <w:rsid w:val="00C61ACC"/>
    <w:pPr>
      <w:outlineLvl w:val="5"/>
    </w:pPr>
    <w:rPr>
      <w:bCs/>
      <w:szCs w:val="22"/>
    </w:rPr>
  </w:style>
  <w:style w:type="paragraph" w:styleId="Nadpis7">
    <w:name w:val="heading 7"/>
    <w:basedOn w:val="Nadpis2"/>
    <w:next w:val="Normlny"/>
    <w:link w:val="Nadpis7Char"/>
    <w:qFormat/>
    <w:rsid w:val="00C61ACC"/>
    <w:pPr>
      <w:outlineLvl w:val="6"/>
    </w:pPr>
  </w:style>
  <w:style w:type="paragraph" w:styleId="Nadpis8">
    <w:name w:val="heading 8"/>
    <w:basedOn w:val="Nadpis2"/>
    <w:next w:val="Normlny"/>
    <w:link w:val="Nadpis8Char"/>
    <w:qFormat/>
    <w:rsid w:val="00C61ACC"/>
    <w:pPr>
      <w:outlineLvl w:val="7"/>
    </w:pPr>
    <w:rPr>
      <w:iCs w:val="0"/>
    </w:rPr>
  </w:style>
  <w:style w:type="paragraph" w:styleId="Nadpis9">
    <w:name w:val="heading 9"/>
    <w:basedOn w:val="Nadpis2"/>
    <w:next w:val="Normlny"/>
    <w:link w:val="Nadpis9Char"/>
    <w:qFormat/>
    <w:rsid w:val="00C61ACC"/>
    <w:pPr>
      <w:outlineLvl w:val="8"/>
    </w:pPr>
    <w:rPr>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F6BE0"/>
    <w:rPr>
      <w:color w:val="0000FF"/>
      <w:u w:val="single"/>
    </w:rPr>
  </w:style>
  <w:style w:type="paragraph" w:styleId="Zkladntext">
    <w:name w:val="Body Text"/>
    <w:basedOn w:val="Normlny"/>
    <w:link w:val="ZkladntextChar"/>
    <w:uiPriority w:val="1"/>
    <w:qFormat/>
    <w:rsid w:val="00FF6BE0"/>
    <w:pPr>
      <w:ind w:left="0" w:firstLine="0"/>
    </w:pPr>
  </w:style>
  <w:style w:type="paragraph" w:customStyle="1" w:styleId="EMEAEnBodyText">
    <w:name w:val="EMEA En Body Text"/>
    <w:basedOn w:val="Normlny"/>
    <w:rsid w:val="00FF6BE0"/>
    <w:pPr>
      <w:spacing w:before="120" w:after="120"/>
      <w:ind w:left="0" w:firstLine="0"/>
      <w:jc w:val="both"/>
    </w:pPr>
    <w:rPr>
      <w:szCs w:val="20"/>
      <w:lang w:val="en-US" w:eastAsia="en-US"/>
    </w:rPr>
  </w:style>
  <w:style w:type="character" w:styleId="Odkaznakomentr">
    <w:name w:val="annotation reference"/>
    <w:semiHidden/>
    <w:rsid w:val="00D217AB"/>
    <w:rPr>
      <w:sz w:val="16"/>
      <w:szCs w:val="16"/>
    </w:rPr>
  </w:style>
  <w:style w:type="paragraph" w:styleId="Textkomentra">
    <w:name w:val="annotation text"/>
    <w:basedOn w:val="Normlny"/>
    <w:link w:val="TextkomentraChar"/>
    <w:semiHidden/>
    <w:rsid w:val="00D217AB"/>
    <w:rPr>
      <w:sz w:val="20"/>
      <w:szCs w:val="20"/>
    </w:rPr>
  </w:style>
  <w:style w:type="paragraph" w:styleId="Predmetkomentra">
    <w:name w:val="annotation subject"/>
    <w:basedOn w:val="Textkomentra"/>
    <w:next w:val="Textkomentra"/>
    <w:link w:val="PredmetkomentraChar"/>
    <w:semiHidden/>
    <w:rsid w:val="00D217AB"/>
    <w:rPr>
      <w:b/>
      <w:bCs/>
    </w:rPr>
  </w:style>
  <w:style w:type="paragraph" w:styleId="Textbubliny">
    <w:name w:val="Balloon Text"/>
    <w:basedOn w:val="Normlny"/>
    <w:link w:val="TextbublinyChar"/>
    <w:uiPriority w:val="99"/>
    <w:semiHidden/>
    <w:rsid w:val="00D217AB"/>
    <w:rPr>
      <w:rFonts w:ascii="Tahoma" w:hAnsi="Tahoma" w:cs="Tahoma"/>
      <w:sz w:val="16"/>
      <w:szCs w:val="16"/>
    </w:rPr>
  </w:style>
  <w:style w:type="character" w:customStyle="1" w:styleId="st1">
    <w:name w:val="st1"/>
    <w:rsid w:val="0038093E"/>
  </w:style>
  <w:style w:type="character" w:styleId="Zvraznenie">
    <w:name w:val="Emphasis"/>
    <w:uiPriority w:val="20"/>
    <w:qFormat/>
    <w:rsid w:val="00F73469"/>
    <w:rPr>
      <w:i/>
      <w:iCs/>
    </w:rPr>
  </w:style>
  <w:style w:type="paragraph" w:styleId="Normlnywebov">
    <w:name w:val="Normal (Web)"/>
    <w:basedOn w:val="Normlny"/>
    <w:unhideWhenUsed/>
    <w:rsid w:val="00C52B78"/>
    <w:pPr>
      <w:spacing w:after="100" w:afterAutospacing="1" w:line="336" w:lineRule="auto"/>
      <w:ind w:left="0" w:firstLine="0"/>
    </w:pPr>
    <w:rPr>
      <w:sz w:val="24"/>
      <w:lang w:val="en-US" w:eastAsia="en-US"/>
    </w:rPr>
  </w:style>
  <w:style w:type="paragraph" w:customStyle="1" w:styleId="Default">
    <w:name w:val="Default"/>
    <w:rsid w:val="00646978"/>
    <w:pPr>
      <w:widowControl w:val="0"/>
      <w:autoSpaceDE w:val="0"/>
      <w:autoSpaceDN w:val="0"/>
      <w:adjustRightInd w:val="0"/>
    </w:pPr>
    <w:rPr>
      <w:color w:val="000000"/>
      <w:sz w:val="24"/>
      <w:szCs w:val="24"/>
      <w:lang w:val="en-US" w:eastAsia="en-US"/>
    </w:rPr>
  </w:style>
  <w:style w:type="paragraph" w:styleId="Hlavika">
    <w:name w:val="header"/>
    <w:basedOn w:val="Normlny"/>
    <w:link w:val="HlavikaChar"/>
    <w:uiPriority w:val="99"/>
    <w:unhideWhenUsed/>
    <w:rsid w:val="0035564D"/>
    <w:pPr>
      <w:tabs>
        <w:tab w:val="center" w:pos="4703"/>
        <w:tab w:val="right" w:pos="9406"/>
      </w:tabs>
    </w:pPr>
  </w:style>
  <w:style w:type="character" w:customStyle="1" w:styleId="HlavikaChar">
    <w:name w:val="Hlavička Char"/>
    <w:link w:val="Hlavika"/>
    <w:uiPriority w:val="99"/>
    <w:rsid w:val="0035564D"/>
    <w:rPr>
      <w:sz w:val="22"/>
      <w:szCs w:val="24"/>
      <w:lang w:val="sk-SK" w:eastAsia="sk-SK"/>
    </w:rPr>
  </w:style>
  <w:style w:type="paragraph" w:styleId="Pta">
    <w:name w:val="footer"/>
    <w:basedOn w:val="Normlny"/>
    <w:link w:val="PtaChar"/>
    <w:uiPriority w:val="99"/>
    <w:unhideWhenUsed/>
    <w:rsid w:val="0035564D"/>
    <w:pPr>
      <w:tabs>
        <w:tab w:val="center" w:pos="4703"/>
        <w:tab w:val="right" w:pos="9406"/>
      </w:tabs>
    </w:pPr>
  </w:style>
  <w:style w:type="character" w:customStyle="1" w:styleId="PtaChar">
    <w:name w:val="Päta Char"/>
    <w:link w:val="Pta"/>
    <w:uiPriority w:val="99"/>
    <w:rsid w:val="0035564D"/>
    <w:rPr>
      <w:sz w:val="22"/>
      <w:szCs w:val="24"/>
      <w:lang w:val="sk-SK" w:eastAsia="sk-SK"/>
    </w:rPr>
  </w:style>
  <w:style w:type="table" w:styleId="Mriekatabuky">
    <w:name w:val="Table Grid"/>
    <w:basedOn w:val="Normlnatabuka"/>
    <w:rsid w:val="0027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unhideWhenUsed/>
    <w:rsid w:val="001D66BC"/>
    <w:rPr>
      <w:color w:val="800080"/>
      <w:u w:val="single"/>
    </w:rPr>
  </w:style>
  <w:style w:type="paragraph" w:styleId="Revzia">
    <w:name w:val="Revision"/>
    <w:hidden/>
    <w:uiPriority w:val="99"/>
    <w:semiHidden/>
    <w:rsid w:val="00C17285"/>
    <w:rPr>
      <w:sz w:val="22"/>
      <w:szCs w:val="24"/>
    </w:rPr>
  </w:style>
  <w:style w:type="paragraph" w:styleId="Odsekzoznamu">
    <w:name w:val="List Paragraph"/>
    <w:basedOn w:val="Normlny"/>
    <w:uiPriority w:val="1"/>
    <w:qFormat/>
    <w:rsid w:val="00245581"/>
    <w:pPr>
      <w:widowControl w:val="0"/>
      <w:spacing w:after="200" w:line="276" w:lineRule="auto"/>
      <w:ind w:left="720" w:firstLine="0"/>
      <w:contextualSpacing/>
    </w:pPr>
    <w:rPr>
      <w:rFonts w:ascii="Calibri" w:eastAsia="Calibri" w:hAnsi="Calibri"/>
      <w:szCs w:val="22"/>
      <w:lang w:val="en-US" w:eastAsia="en-US"/>
    </w:rPr>
  </w:style>
  <w:style w:type="character" w:customStyle="1" w:styleId="TextbublinyChar">
    <w:name w:val="Text bubliny Char"/>
    <w:link w:val="Textbubliny"/>
    <w:uiPriority w:val="99"/>
    <w:semiHidden/>
    <w:rsid w:val="00245581"/>
    <w:rPr>
      <w:rFonts w:ascii="Tahoma" w:hAnsi="Tahoma" w:cs="Tahoma"/>
      <w:sz w:val="16"/>
      <w:szCs w:val="16"/>
      <w:lang w:val="sk-SK" w:eastAsia="sk-SK"/>
    </w:rPr>
  </w:style>
  <w:style w:type="character" w:customStyle="1" w:styleId="TextkomentraChar">
    <w:name w:val="Text komentára Char"/>
    <w:link w:val="Textkomentra"/>
    <w:semiHidden/>
    <w:rsid w:val="00245581"/>
    <w:rPr>
      <w:lang w:val="sk-SK" w:eastAsia="sk-SK"/>
    </w:rPr>
  </w:style>
  <w:style w:type="character" w:customStyle="1" w:styleId="PredmetkomentraChar">
    <w:name w:val="Predmet komentára Char"/>
    <w:link w:val="Predmetkomentra"/>
    <w:semiHidden/>
    <w:rsid w:val="00245581"/>
    <w:rPr>
      <w:b/>
      <w:bCs/>
      <w:lang w:val="sk-SK" w:eastAsia="sk-SK"/>
    </w:rPr>
  </w:style>
  <w:style w:type="paragraph" w:customStyle="1" w:styleId="TableParagraph">
    <w:name w:val="Table Paragraph"/>
    <w:basedOn w:val="Normlny"/>
    <w:uiPriority w:val="1"/>
    <w:qFormat/>
    <w:rsid w:val="006671E6"/>
    <w:pPr>
      <w:autoSpaceDE w:val="0"/>
      <w:autoSpaceDN w:val="0"/>
      <w:adjustRightInd w:val="0"/>
      <w:ind w:left="0" w:firstLine="0"/>
    </w:pPr>
    <w:rPr>
      <w:sz w:val="24"/>
      <w:lang w:val="en-US" w:eastAsia="en-US"/>
    </w:rPr>
  </w:style>
  <w:style w:type="character" w:customStyle="1" w:styleId="Nadpis1Char">
    <w:name w:val="Nadpis 1 Char"/>
    <w:link w:val="Nadpis1"/>
    <w:uiPriority w:val="1"/>
    <w:rsid w:val="00732B26"/>
    <w:rPr>
      <w:b/>
      <w:bCs/>
      <w:sz w:val="17"/>
      <w:szCs w:val="17"/>
    </w:rPr>
  </w:style>
  <w:style w:type="character" w:customStyle="1" w:styleId="Nadpis2Char">
    <w:name w:val="Nadpis 2 Char"/>
    <w:link w:val="Nadpis2"/>
    <w:uiPriority w:val="1"/>
    <w:rsid w:val="00C61ACC"/>
    <w:rPr>
      <w:b/>
      <w:iCs/>
      <w:sz w:val="22"/>
      <w:szCs w:val="28"/>
    </w:rPr>
  </w:style>
  <w:style w:type="character" w:customStyle="1" w:styleId="Nadpis3Char">
    <w:name w:val="Nadpis 3 Char"/>
    <w:link w:val="Nadpis3"/>
    <w:rsid w:val="00C61ACC"/>
    <w:rPr>
      <w:b/>
      <w:bCs/>
      <w:iCs/>
      <w:sz w:val="22"/>
      <w:szCs w:val="26"/>
    </w:rPr>
  </w:style>
  <w:style w:type="character" w:customStyle="1" w:styleId="Nadpis4Char">
    <w:name w:val="Nadpis 4 Char"/>
    <w:link w:val="Nadpis4"/>
    <w:rsid w:val="00C61ACC"/>
    <w:rPr>
      <w:b/>
      <w:bCs/>
      <w:iCs/>
      <w:sz w:val="22"/>
      <w:szCs w:val="28"/>
    </w:rPr>
  </w:style>
  <w:style w:type="character" w:customStyle="1" w:styleId="Nadpis5Char">
    <w:name w:val="Nadpis 5 Char"/>
    <w:link w:val="Nadpis5"/>
    <w:rsid w:val="00C61ACC"/>
    <w:rPr>
      <w:b/>
      <w:bCs/>
      <w:sz w:val="22"/>
      <w:szCs w:val="26"/>
    </w:rPr>
  </w:style>
  <w:style w:type="character" w:customStyle="1" w:styleId="Nadpis6Char">
    <w:name w:val="Nadpis 6 Char"/>
    <w:link w:val="Nadpis6"/>
    <w:rsid w:val="00C61ACC"/>
    <w:rPr>
      <w:b/>
      <w:bCs/>
      <w:iCs/>
      <w:sz w:val="22"/>
      <w:szCs w:val="22"/>
    </w:rPr>
  </w:style>
  <w:style w:type="character" w:customStyle="1" w:styleId="Nadpis7Char">
    <w:name w:val="Nadpis 7 Char"/>
    <w:link w:val="Nadpis7"/>
    <w:rsid w:val="00C61ACC"/>
    <w:rPr>
      <w:b/>
      <w:iCs/>
      <w:sz w:val="22"/>
      <w:szCs w:val="28"/>
    </w:rPr>
  </w:style>
  <w:style w:type="character" w:customStyle="1" w:styleId="Nadpis8Char">
    <w:name w:val="Nadpis 8 Char"/>
    <w:link w:val="Nadpis8"/>
    <w:rsid w:val="00C61ACC"/>
    <w:rPr>
      <w:b/>
      <w:sz w:val="22"/>
      <w:szCs w:val="28"/>
    </w:rPr>
  </w:style>
  <w:style w:type="character" w:customStyle="1" w:styleId="Nadpis9Char">
    <w:name w:val="Nadpis 9 Char"/>
    <w:link w:val="Nadpis9"/>
    <w:rsid w:val="00C61ACC"/>
    <w:rPr>
      <w:b/>
      <w:iCs/>
      <w:sz w:val="22"/>
      <w:szCs w:val="22"/>
    </w:rPr>
  </w:style>
  <w:style w:type="paragraph" w:styleId="Normlnysozarkami">
    <w:name w:val="Normal Indent"/>
    <w:basedOn w:val="Normlny"/>
    <w:rsid w:val="00C61ACC"/>
    <w:pPr>
      <w:ind w:left="425" w:firstLine="0"/>
    </w:pPr>
    <w:rPr>
      <w:szCs w:val="22"/>
      <w:lang w:val="en-US" w:eastAsia="en-US"/>
    </w:rPr>
  </w:style>
  <w:style w:type="paragraph" w:styleId="Obyajntext">
    <w:name w:val="Plain Text"/>
    <w:basedOn w:val="Normlny"/>
    <w:next w:val="Normlny"/>
    <w:link w:val="ObyajntextChar"/>
    <w:rsid w:val="00C61ACC"/>
    <w:pPr>
      <w:ind w:left="0" w:firstLine="0"/>
    </w:pPr>
    <w:rPr>
      <w:rFonts w:ascii="Courier New" w:hAnsi="Courier New" w:cs="Courier New"/>
      <w:sz w:val="18"/>
      <w:szCs w:val="20"/>
      <w:lang w:val="en-US" w:eastAsia="en-US"/>
    </w:rPr>
  </w:style>
  <w:style w:type="character" w:customStyle="1" w:styleId="ObyajntextChar">
    <w:name w:val="Obyčajný text Char"/>
    <w:link w:val="Obyajntext"/>
    <w:rsid w:val="00C61ACC"/>
    <w:rPr>
      <w:rFonts w:ascii="Courier New" w:hAnsi="Courier New" w:cs="Courier New"/>
      <w:sz w:val="18"/>
    </w:rPr>
  </w:style>
  <w:style w:type="paragraph" w:customStyle="1" w:styleId="HeadingFree">
    <w:name w:val="Heading Free"/>
    <w:basedOn w:val="Normlny"/>
    <w:next w:val="Normlny"/>
    <w:rsid w:val="00C61ACC"/>
    <w:pPr>
      <w:keepNext/>
      <w:spacing w:after="260"/>
      <w:ind w:left="1140" w:hanging="1140"/>
    </w:pPr>
    <w:rPr>
      <w:b/>
      <w:caps/>
      <w:szCs w:val="22"/>
      <w:lang w:val="en-US" w:eastAsia="en-US"/>
    </w:rPr>
  </w:style>
  <w:style w:type="paragraph" w:styleId="Obsah1">
    <w:name w:val="toc 1"/>
    <w:basedOn w:val="Normlny"/>
    <w:next w:val="Normlny"/>
    <w:rsid w:val="00C61ACC"/>
    <w:pPr>
      <w:tabs>
        <w:tab w:val="right" w:leader="dot" w:pos="9923"/>
      </w:tabs>
      <w:spacing w:before="120"/>
      <w:ind w:left="1140" w:hanging="1140"/>
    </w:pPr>
    <w:rPr>
      <w:szCs w:val="22"/>
      <w:lang w:val="en-US" w:eastAsia="en-US"/>
    </w:rPr>
  </w:style>
  <w:style w:type="paragraph" w:styleId="Obsah2">
    <w:name w:val="toc 2"/>
    <w:basedOn w:val="Obsah1"/>
    <w:next w:val="Normlny"/>
    <w:rsid w:val="00C61ACC"/>
    <w:pPr>
      <w:spacing w:before="0"/>
    </w:pPr>
  </w:style>
  <w:style w:type="paragraph" w:styleId="Obsah3">
    <w:name w:val="toc 3"/>
    <w:basedOn w:val="Obsah2"/>
    <w:next w:val="Normlny"/>
    <w:rsid w:val="00C61ACC"/>
  </w:style>
  <w:style w:type="paragraph" w:styleId="Obsah4">
    <w:name w:val="toc 4"/>
    <w:basedOn w:val="Obsah2"/>
    <w:next w:val="Normlny"/>
    <w:semiHidden/>
    <w:rsid w:val="00C61ACC"/>
  </w:style>
  <w:style w:type="paragraph" w:styleId="Obsah5">
    <w:name w:val="toc 5"/>
    <w:basedOn w:val="Obsah2"/>
    <w:next w:val="Normlny"/>
    <w:semiHidden/>
    <w:rsid w:val="00C61ACC"/>
  </w:style>
  <w:style w:type="paragraph" w:styleId="Obsah6">
    <w:name w:val="toc 6"/>
    <w:basedOn w:val="Obsah2"/>
    <w:next w:val="Normlny"/>
    <w:semiHidden/>
    <w:rsid w:val="00C61ACC"/>
  </w:style>
  <w:style w:type="paragraph" w:styleId="Obsah7">
    <w:name w:val="toc 7"/>
    <w:basedOn w:val="Obsah2"/>
    <w:next w:val="Normlny"/>
    <w:semiHidden/>
    <w:rsid w:val="00C61ACC"/>
  </w:style>
  <w:style w:type="paragraph" w:styleId="Obsah8">
    <w:name w:val="toc 8"/>
    <w:basedOn w:val="Obsah1"/>
    <w:next w:val="Normlny"/>
    <w:semiHidden/>
    <w:rsid w:val="00C61ACC"/>
    <w:pPr>
      <w:ind w:firstLine="0"/>
    </w:pPr>
  </w:style>
  <w:style w:type="paragraph" w:styleId="Obsah9">
    <w:name w:val="toc 9"/>
    <w:basedOn w:val="Obsah2"/>
    <w:next w:val="Normlny"/>
    <w:semiHidden/>
    <w:rsid w:val="00C61ACC"/>
    <w:pPr>
      <w:ind w:firstLine="0"/>
    </w:pPr>
  </w:style>
  <w:style w:type="paragraph" w:styleId="Nzov">
    <w:name w:val="Title"/>
    <w:basedOn w:val="Normlny"/>
    <w:link w:val="NzovChar"/>
    <w:qFormat/>
    <w:rsid w:val="00C61ACC"/>
    <w:pPr>
      <w:spacing w:line="400" w:lineRule="exact"/>
      <w:ind w:left="0" w:firstLine="0"/>
      <w:jc w:val="center"/>
    </w:pPr>
    <w:rPr>
      <w:bCs/>
      <w:kern w:val="28"/>
      <w:sz w:val="40"/>
      <w:szCs w:val="32"/>
      <w:lang w:val="en-US" w:eastAsia="en-US"/>
    </w:rPr>
  </w:style>
  <w:style w:type="character" w:customStyle="1" w:styleId="NzovChar">
    <w:name w:val="Názov Char"/>
    <w:link w:val="Nzov"/>
    <w:rsid w:val="00C61ACC"/>
    <w:rPr>
      <w:bCs/>
      <w:kern w:val="28"/>
      <w:sz w:val="40"/>
      <w:szCs w:val="32"/>
    </w:rPr>
  </w:style>
  <w:style w:type="paragraph" w:styleId="Textpoznmkypodiarou">
    <w:name w:val="footnote text"/>
    <w:basedOn w:val="Normlny"/>
    <w:link w:val="TextpoznmkypodiarouChar"/>
    <w:semiHidden/>
    <w:rsid w:val="00C61ACC"/>
    <w:pPr>
      <w:tabs>
        <w:tab w:val="left" w:pos="425"/>
      </w:tabs>
      <w:spacing w:line="200" w:lineRule="exact"/>
      <w:ind w:left="425" w:hanging="425"/>
    </w:pPr>
    <w:rPr>
      <w:sz w:val="18"/>
      <w:szCs w:val="20"/>
      <w:lang w:val="en-US" w:eastAsia="en-US"/>
    </w:rPr>
  </w:style>
  <w:style w:type="character" w:customStyle="1" w:styleId="TextpoznmkypodiarouChar">
    <w:name w:val="Text poznámky pod čiarou Char"/>
    <w:link w:val="Textpoznmkypodiarou"/>
    <w:semiHidden/>
    <w:rsid w:val="00C61ACC"/>
    <w:rPr>
      <w:sz w:val="18"/>
    </w:rPr>
  </w:style>
  <w:style w:type="paragraph" w:customStyle="1" w:styleId="Picture">
    <w:name w:val="Picture"/>
    <w:basedOn w:val="Normlny"/>
    <w:next w:val="Normlny"/>
    <w:rsid w:val="00C61ACC"/>
    <w:pPr>
      <w:spacing w:before="120" w:after="120" w:line="260" w:lineRule="atLeast"/>
      <w:ind w:left="0" w:firstLine="0"/>
    </w:pPr>
    <w:rPr>
      <w:szCs w:val="22"/>
      <w:lang w:val="en-US" w:eastAsia="en-US"/>
    </w:rPr>
  </w:style>
  <w:style w:type="paragraph" w:customStyle="1" w:styleId="PictureIndent">
    <w:name w:val="Picture Indent"/>
    <w:basedOn w:val="Picture"/>
    <w:next w:val="Normlny"/>
    <w:rsid w:val="00C61ACC"/>
    <w:pPr>
      <w:ind w:left="-1140"/>
    </w:pPr>
  </w:style>
  <w:style w:type="paragraph" w:styleId="Popis">
    <w:name w:val="caption"/>
    <w:basedOn w:val="Normlny"/>
    <w:next w:val="Normlny"/>
    <w:qFormat/>
    <w:rsid w:val="00C61ACC"/>
    <w:pPr>
      <w:tabs>
        <w:tab w:val="left" w:pos="1134"/>
      </w:tabs>
      <w:ind w:left="1077" w:hanging="1134"/>
    </w:pPr>
    <w:rPr>
      <w:bCs/>
      <w:szCs w:val="20"/>
      <w:lang w:val="en-US" w:eastAsia="en-US"/>
    </w:rPr>
  </w:style>
  <w:style w:type="paragraph" w:styleId="Zoznamsodrkami">
    <w:name w:val="List Bullet"/>
    <w:basedOn w:val="Normlny"/>
    <w:rsid w:val="00C61ACC"/>
    <w:pPr>
      <w:numPr>
        <w:numId w:val="6"/>
      </w:numPr>
    </w:pPr>
    <w:rPr>
      <w:szCs w:val="22"/>
      <w:lang w:val="en-US" w:eastAsia="en-US"/>
    </w:rPr>
  </w:style>
  <w:style w:type="paragraph" w:styleId="Zoznamsodrkami2">
    <w:name w:val="List Bullet 2"/>
    <w:basedOn w:val="Zoznamsodrkami"/>
    <w:rsid w:val="00C61ACC"/>
    <w:pPr>
      <w:numPr>
        <w:numId w:val="7"/>
      </w:numPr>
      <w:tabs>
        <w:tab w:val="clear" w:pos="425"/>
        <w:tab w:val="left" w:pos="850"/>
      </w:tabs>
      <w:ind w:left="720" w:hanging="360"/>
    </w:pPr>
  </w:style>
  <w:style w:type="paragraph" w:styleId="Zoznamsodrkami3">
    <w:name w:val="List Bullet 3"/>
    <w:basedOn w:val="Zoznamsodrkami"/>
    <w:rsid w:val="00C61ACC"/>
    <w:pPr>
      <w:numPr>
        <w:numId w:val="8"/>
      </w:numPr>
      <w:tabs>
        <w:tab w:val="clear" w:pos="425"/>
        <w:tab w:val="num" w:pos="720"/>
        <w:tab w:val="left" w:pos="1275"/>
      </w:tabs>
      <w:ind w:left="720" w:hanging="360"/>
    </w:pPr>
  </w:style>
  <w:style w:type="paragraph" w:styleId="Zoznamsodrkami4">
    <w:name w:val="List Bullet 4"/>
    <w:basedOn w:val="Zoznamsodrkami"/>
    <w:rsid w:val="00C61ACC"/>
    <w:pPr>
      <w:numPr>
        <w:numId w:val="9"/>
      </w:numPr>
      <w:tabs>
        <w:tab w:val="clear" w:pos="425"/>
        <w:tab w:val="num" w:pos="720"/>
        <w:tab w:val="left" w:pos="1700"/>
      </w:tabs>
      <w:ind w:left="720" w:hanging="360"/>
    </w:pPr>
  </w:style>
  <w:style w:type="paragraph" w:styleId="Zoznamsodrkami5">
    <w:name w:val="List Bullet 5"/>
    <w:basedOn w:val="Zoznamsodrkami"/>
    <w:rsid w:val="00C61ACC"/>
    <w:pPr>
      <w:numPr>
        <w:numId w:val="10"/>
      </w:numPr>
      <w:tabs>
        <w:tab w:val="clear" w:pos="425"/>
        <w:tab w:val="num" w:pos="720"/>
        <w:tab w:val="left" w:pos="2125"/>
      </w:tabs>
      <w:ind w:left="720" w:hanging="360"/>
    </w:pPr>
  </w:style>
  <w:style w:type="paragraph" w:styleId="slovanzoznam">
    <w:name w:val="List Number"/>
    <w:basedOn w:val="Normlny"/>
    <w:rsid w:val="00C61ACC"/>
    <w:pPr>
      <w:numPr>
        <w:numId w:val="11"/>
      </w:numPr>
    </w:pPr>
    <w:rPr>
      <w:szCs w:val="22"/>
      <w:lang w:val="en-US" w:eastAsia="en-US"/>
    </w:rPr>
  </w:style>
  <w:style w:type="paragraph" w:styleId="slovanzoznam2">
    <w:name w:val="List Number 2"/>
    <w:basedOn w:val="slovanzoznam"/>
    <w:rsid w:val="00C61ACC"/>
    <w:pPr>
      <w:numPr>
        <w:numId w:val="12"/>
      </w:numPr>
      <w:tabs>
        <w:tab w:val="clear" w:pos="425"/>
        <w:tab w:val="left" w:pos="850"/>
      </w:tabs>
      <w:ind w:left="720" w:hanging="360"/>
    </w:pPr>
  </w:style>
  <w:style w:type="paragraph" w:styleId="slovanzoznam3">
    <w:name w:val="List Number 3"/>
    <w:basedOn w:val="slovanzoznam"/>
    <w:rsid w:val="00C61ACC"/>
    <w:pPr>
      <w:numPr>
        <w:numId w:val="13"/>
      </w:numPr>
      <w:tabs>
        <w:tab w:val="clear" w:pos="425"/>
        <w:tab w:val="left" w:pos="1275"/>
      </w:tabs>
      <w:ind w:left="720" w:hanging="360"/>
    </w:pPr>
  </w:style>
  <w:style w:type="paragraph" w:styleId="slovanzoznam4">
    <w:name w:val="List Number 4"/>
    <w:basedOn w:val="slovanzoznam"/>
    <w:rsid w:val="00C61ACC"/>
    <w:pPr>
      <w:numPr>
        <w:numId w:val="14"/>
      </w:numPr>
      <w:tabs>
        <w:tab w:val="clear" w:pos="425"/>
        <w:tab w:val="left" w:pos="1700"/>
      </w:tabs>
      <w:ind w:left="720" w:hanging="360"/>
    </w:pPr>
  </w:style>
  <w:style w:type="paragraph" w:styleId="slovanzoznam5">
    <w:name w:val="List Number 5"/>
    <w:basedOn w:val="slovanzoznam"/>
    <w:rsid w:val="00C61ACC"/>
    <w:pPr>
      <w:numPr>
        <w:numId w:val="15"/>
      </w:numPr>
      <w:tabs>
        <w:tab w:val="clear" w:pos="425"/>
        <w:tab w:val="left" w:pos="2125"/>
      </w:tabs>
      <w:ind w:left="720" w:hanging="360"/>
    </w:pPr>
  </w:style>
  <w:style w:type="paragraph" w:styleId="Zoznam">
    <w:name w:val="List"/>
    <w:basedOn w:val="Normlny"/>
    <w:rsid w:val="00C61ACC"/>
    <w:pPr>
      <w:ind w:left="425" w:firstLine="0"/>
    </w:pPr>
    <w:rPr>
      <w:szCs w:val="22"/>
      <w:lang w:val="en-US" w:eastAsia="en-US"/>
    </w:rPr>
  </w:style>
  <w:style w:type="paragraph" w:styleId="Zoznam2">
    <w:name w:val="List 2"/>
    <w:basedOn w:val="Zoznam"/>
    <w:rsid w:val="00C61ACC"/>
    <w:pPr>
      <w:ind w:left="850"/>
    </w:pPr>
  </w:style>
  <w:style w:type="paragraph" w:styleId="Zoznam3">
    <w:name w:val="List 3"/>
    <w:basedOn w:val="Zoznam"/>
    <w:rsid w:val="00C61ACC"/>
    <w:pPr>
      <w:ind w:left="1275"/>
    </w:pPr>
  </w:style>
  <w:style w:type="paragraph" w:styleId="Zoznam4">
    <w:name w:val="List 4"/>
    <w:basedOn w:val="Zoznam"/>
    <w:rsid w:val="00C61ACC"/>
    <w:pPr>
      <w:ind w:left="1700"/>
    </w:pPr>
  </w:style>
  <w:style w:type="paragraph" w:styleId="Zoznam5">
    <w:name w:val="List 5"/>
    <w:basedOn w:val="Zoznam"/>
    <w:rsid w:val="00C61ACC"/>
    <w:pPr>
      <w:ind w:left="2125"/>
    </w:pPr>
  </w:style>
  <w:style w:type="paragraph" w:customStyle="1" w:styleId="ListFree1">
    <w:name w:val="List Free 1"/>
    <w:basedOn w:val="Normlny"/>
    <w:rsid w:val="00C61ACC"/>
    <w:pPr>
      <w:tabs>
        <w:tab w:val="left" w:pos="425"/>
      </w:tabs>
      <w:ind w:left="425" w:hanging="425"/>
    </w:pPr>
    <w:rPr>
      <w:szCs w:val="22"/>
      <w:lang w:val="en-US" w:eastAsia="en-US"/>
    </w:rPr>
  </w:style>
  <w:style w:type="paragraph" w:customStyle="1" w:styleId="ListFree2">
    <w:name w:val="List Free 2"/>
    <w:basedOn w:val="ListFree1"/>
    <w:rsid w:val="00C61ACC"/>
    <w:pPr>
      <w:tabs>
        <w:tab w:val="clear" w:pos="425"/>
        <w:tab w:val="left" w:pos="850"/>
      </w:tabs>
      <w:ind w:left="850"/>
    </w:pPr>
  </w:style>
  <w:style w:type="paragraph" w:customStyle="1" w:styleId="ListFree3">
    <w:name w:val="List Free 3"/>
    <w:basedOn w:val="ListFree1"/>
    <w:rsid w:val="00C61ACC"/>
    <w:pPr>
      <w:tabs>
        <w:tab w:val="clear" w:pos="425"/>
        <w:tab w:val="left" w:pos="1275"/>
      </w:tabs>
      <w:ind w:left="1275"/>
    </w:pPr>
  </w:style>
  <w:style w:type="paragraph" w:customStyle="1" w:styleId="ListFree4">
    <w:name w:val="List Free 4"/>
    <w:basedOn w:val="ListFree1"/>
    <w:rsid w:val="00C61ACC"/>
    <w:pPr>
      <w:tabs>
        <w:tab w:val="clear" w:pos="425"/>
        <w:tab w:val="left" w:pos="1700"/>
      </w:tabs>
      <w:ind w:left="1700"/>
    </w:pPr>
  </w:style>
  <w:style w:type="paragraph" w:customStyle="1" w:styleId="ListFree5">
    <w:name w:val="List Free 5"/>
    <w:basedOn w:val="ListFree1"/>
    <w:rsid w:val="00C61ACC"/>
    <w:pPr>
      <w:tabs>
        <w:tab w:val="clear" w:pos="425"/>
        <w:tab w:val="left" w:pos="2125"/>
      </w:tabs>
      <w:ind w:left="2125"/>
    </w:pPr>
  </w:style>
  <w:style w:type="paragraph" w:styleId="Bezriadkovania">
    <w:name w:val="No Spacing"/>
    <w:link w:val="BezriadkovaniaChar"/>
    <w:uiPriority w:val="1"/>
    <w:qFormat/>
    <w:rsid w:val="00C61ACC"/>
    <w:rPr>
      <w:rFonts w:ascii="Calibri" w:hAnsi="Calibri"/>
      <w:sz w:val="22"/>
      <w:szCs w:val="22"/>
      <w:lang w:val="en-US" w:eastAsia="en-US"/>
    </w:rPr>
  </w:style>
  <w:style w:type="character" w:customStyle="1" w:styleId="BezriadkovaniaChar">
    <w:name w:val="Bez riadkovania Char"/>
    <w:link w:val="Bezriadkovania"/>
    <w:uiPriority w:val="1"/>
    <w:rsid w:val="00C61ACC"/>
    <w:rPr>
      <w:rFonts w:ascii="Calibri" w:hAnsi="Calibri"/>
      <w:sz w:val="22"/>
      <w:szCs w:val="22"/>
    </w:rPr>
  </w:style>
  <w:style w:type="table" w:customStyle="1" w:styleId="Synthon2">
    <w:name w:val="Synthon 2"/>
    <w:basedOn w:val="Normlnatabuka"/>
    <w:uiPriority w:val="99"/>
    <w:qFormat/>
    <w:rsid w:val="00C61ACC"/>
    <w:tblPr>
      <w:tblBorders>
        <w:bottom w:val="single" w:sz="4" w:space="0" w:color="000000"/>
      </w:tblBorders>
    </w:tblPr>
    <w:tblStylePr w:type="firstRow">
      <w:rPr>
        <w:b/>
        <w:i/>
      </w:rPr>
      <w:tblPr/>
      <w:tcPr>
        <w:tcBorders>
          <w:top w:val="single" w:sz="4" w:space="0" w:color="000000"/>
          <w:bottom w:val="single" w:sz="4" w:space="0" w:color="000000"/>
        </w:tcBorders>
      </w:tcPr>
    </w:tblStylePr>
  </w:style>
  <w:style w:type="character" w:styleId="Odkaznapoznmkupodiarou">
    <w:name w:val="footnote reference"/>
    <w:uiPriority w:val="99"/>
    <w:semiHidden/>
    <w:unhideWhenUsed/>
    <w:rsid w:val="00C61ACC"/>
    <w:rPr>
      <w:vertAlign w:val="superscript"/>
    </w:rPr>
  </w:style>
  <w:style w:type="table" w:customStyle="1" w:styleId="Synthon1">
    <w:name w:val="Synthon1"/>
    <w:basedOn w:val="Normlnatabuka"/>
    <w:uiPriority w:val="99"/>
    <w:qFormat/>
    <w:rsid w:val="00C61ACC"/>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rPr>
        <w:b/>
        <w:i/>
      </w:rPr>
      <w:tblPr/>
      <w:tcPr>
        <w:shd w:val="clear" w:color="auto" w:fill="D9D9D9"/>
      </w:tcPr>
    </w:tblStylePr>
    <w:tblStylePr w:type="firstCol">
      <w:tblPr/>
      <w:tcPr>
        <w:shd w:val="clear" w:color="auto" w:fill="D9D9D9"/>
      </w:tcPr>
    </w:tblStylePr>
  </w:style>
  <w:style w:type="table" w:customStyle="1" w:styleId="Synthon10">
    <w:name w:val="Synthon 1"/>
    <w:basedOn w:val="Normlnatabuka"/>
    <w:uiPriority w:val="99"/>
    <w:qFormat/>
    <w:rsid w:val="00C61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firstCol">
      <w:tblPr/>
      <w:tcPr>
        <w:shd w:val="clear" w:color="auto" w:fill="D9D9D9"/>
      </w:tcPr>
    </w:tblStylePr>
  </w:style>
  <w:style w:type="table" w:styleId="Strednpodfarbenie1zvraznenie5">
    <w:name w:val="Medium Shading 1 Accent 5"/>
    <w:basedOn w:val="Normlnatabuka"/>
    <w:uiPriority w:val="63"/>
    <w:rsid w:val="00C61A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Normlnatabuka"/>
    <w:uiPriority w:val="60"/>
    <w:rsid w:val="00C61A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ListFreeIndent">
    <w:name w:val="List Free Indent"/>
    <w:basedOn w:val="Normlnysozarkami"/>
    <w:rsid w:val="00C61ACC"/>
    <w:pPr>
      <w:ind w:hanging="425"/>
    </w:pPr>
    <w:rPr>
      <w:color w:val="000000"/>
      <w:szCs w:val="20"/>
      <w:lang w:eastAsia="nl-NL"/>
    </w:rPr>
  </w:style>
  <w:style w:type="paragraph" w:customStyle="1" w:styleId="toa">
    <w:name w:val="toa"/>
    <w:rsid w:val="00C61ACC"/>
    <w:pPr>
      <w:widowControl w:val="0"/>
      <w:tabs>
        <w:tab w:val="left" w:pos="-164"/>
        <w:tab w:val="left" w:pos="8836"/>
        <w:tab w:val="right" w:pos="9196"/>
      </w:tabs>
      <w:suppressAutoHyphens/>
      <w:overflowPunct w:val="0"/>
      <w:autoSpaceDE w:val="0"/>
      <w:autoSpaceDN w:val="0"/>
      <w:adjustRightInd w:val="0"/>
      <w:textAlignment w:val="baseline"/>
    </w:pPr>
    <w:rPr>
      <w:rFonts w:ascii="CG Times" w:hAnsi="CG Times"/>
      <w:sz w:val="24"/>
      <w:lang w:val="en-GB" w:eastAsia="zh-CN"/>
    </w:rPr>
  </w:style>
  <w:style w:type="paragraph" w:styleId="Zarkazkladnhotextu">
    <w:name w:val="Body Text Indent"/>
    <w:basedOn w:val="Normlny"/>
    <w:link w:val="ZarkazkladnhotextuChar"/>
    <w:rsid w:val="00C61ACC"/>
    <w:pPr>
      <w:widowControl w:val="0"/>
      <w:tabs>
        <w:tab w:val="left" w:pos="426"/>
      </w:tabs>
      <w:overflowPunct w:val="0"/>
      <w:autoSpaceDE w:val="0"/>
      <w:autoSpaceDN w:val="0"/>
      <w:adjustRightInd w:val="0"/>
      <w:ind w:left="426" w:firstLine="0"/>
      <w:textAlignment w:val="baseline"/>
    </w:pPr>
    <w:rPr>
      <w:szCs w:val="20"/>
      <w:lang w:val="en-US" w:eastAsia="zh-CN"/>
    </w:rPr>
  </w:style>
  <w:style w:type="character" w:customStyle="1" w:styleId="ZarkazkladnhotextuChar">
    <w:name w:val="Zarážka základného textu Char"/>
    <w:link w:val="Zarkazkladnhotextu"/>
    <w:rsid w:val="00C61ACC"/>
    <w:rPr>
      <w:sz w:val="22"/>
      <w:lang w:eastAsia="zh-CN"/>
    </w:rPr>
  </w:style>
  <w:style w:type="paragraph" w:styleId="Zarkazkladnhotextu2">
    <w:name w:val="Body Text Indent 2"/>
    <w:basedOn w:val="Normlny"/>
    <w:link w:val="Zarkazkladnhotextu2Char"/>
    <w:rsid w:val="00C61ACC"/>
    <w:pPr>
      <w:widowControl w:val="0"/>
      <w:tabs>
        <w:tab w:val="left" w:pos="426"/>
      </w:tabs>
      <w:overflowPunct w:val="0"/>
      <w:autoSpaceDE w:val="0"/>
      <w:autoSpaceDN w:val="0"/>
      <w:adjustRightInd w:val="0"/>
      <w:ind w:left="426" w:hanging="426"/>
      <w:textAlignment w:val="baseline"/>
    </w:pPr>
    <w:rPr>
      <w:szCs w:val="20"/>
      <w:lang w:val="en-US" w:eastAsia="zh-CN"/>
    </w:rPr>
  </w:style>
  <w:style w:type="character" w:customStyle="1" w:styleId="Zarkazkladnhotextu2Char">
    <w:name w:val="Zarážka základného textu 2 Char"/>
    <w:link w:val="Zarkazkladnhotextu2"/>
    <w:rsid w:val="00C61ACC"/>
    <w:rPr>
      <w:sz w:val="22"/>
      <w:lang w:eastAsia="zh-CN"/>
    </w:rPr>
  </w:style>
  <w:style w:type="table" w:styleId="Stpcetabuky4">
    <w:name w:val="Table Columns 4"/>
    <w:basedOn w:val="Normlnatabuka"/>
    <w:rsid w:val="00C61ACC"/>
    <w:pPr>
      <w:spacing w:line="260" w:lineRule="exac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Text">
    <w:name w:val="Text"/>
    <w:basedOn w:val="Normlny"/>
    <w:link w:val="TextChar1"/>
    <w:rsid w:val="00C61ACC"/>
    <w:pPr>
      <w:spacing w:before="120"/>
      <w:ind w:left="0" w:firstLine="0"/>
    </w:pPr>
    <w:rPr>
      <w:szCs w:val="22"/>
      <w:lang w:val="en-US" w:eastAsia="en-US"/>
    </w:rPr>
  </w:style>
  <w:style w:type="character" w:customStyle="1" w:styleId="TextChar1">
    <w:name w:val="Text Char1"/>
    <w:link w:val="Text"/>
    <w:rsid w:val="00C61ACC"/>
    <w:rPr>
      <w:sz w:val="22"/>
      <w:szCs w:val="22"/>
    </w:rPr>
  </w:style>
  <w:style w:type="paragraph" w:customStyle="1" w:styleId="Nottoc-headings">
    <w:name w:val="Not toc-headings"/>
    <w:basedOn w:val="Normlny"/>
    <w:next w:val="Text"/>
    <w:rsid w:val="00C61ACC"/>
    <w:pPr>
      <w:keepNext/>
      <w:keepLines/>
      <w:spacing w:before="240" w:after="60"/>
      <w:ind w:left="1701" w:hanging="1701"/>
    </w:pPr>
    <w:rPr>
      <w:rFonts w:ascii="Arial" w:hAnsi="Arial"/>
      <w:b/>
      <w:szCs w:val="20"/>
      <w:lang w:val="en-US" w:eastAsia="en-US"/>
    </w:rPr>
  </w:style>
  <w:style w:type="paragraph" w:customStyle="1" w:styleId="StyleHeadingFreeBOLDNOCAPS">
    <w:name w:val="Style Heading Free + BOLD + NO CAPS"/>
    <w:basedOn w:val="HeadingFree"/>
    <w:rsid w:val="00C61ACC"/>
    <w:rPr>
      <w:caps w:val="0"/>
    </w:rPr>
  </w:style>
  <w:style w:type="character" w:styleId="Jemnzvraznenie">
    <w:name w:val="Subtle Emphasis"/>
    <w:uiPriority w:val="19"/>
    <w:qFormat/>
    <w:rsid w:val="00C61ACC"/>
    <w:rPr>
      <w:i/>
      <w:iCs/>
      <w:color w:val="808080"/>
    </w:rPr>
  </w:style>
  <w:style w:type="character" w:customStyle="1" w:styleId="ZkladntextChar">
    <w:name w:val="Základný text Char"/>
    <w:link w:val="Zkladntext"/>
    <w:uiPriority w:val="1"/>
    <w:rsid w:val="00C61ACC"/>
    <w:rPr>
      <w:sz w:val="22"/>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4149">
      <w:bodyDiv w:val="1"/>
      <w:marLeft w:val="0"/>
      <w:marRight w:val="0"/>
      <w:marTop w:val="0"/>
      <w:marBottom w:val="0"/>
      <w:divBdr>
        <w:top w:val="none" w:sz="0" w:space="0" w:color="auto"/>
        <w:left w:val="none" w:sz="0" w:space="0" w:color="auto"/>
        <w:bottom w:val="none" w:sz="0" w:space="0" w:color="auto"/>
        <w:right w:val="none" w:sz="0" w:space="0" w:color="auto"/>
      </w:divBdr>
      <w:divsChild>
        <w:div w:id="1326788765">
          <w:marLeft w:val="0"/>
          <w:marRight w:val="0"/>
          <w:marTop w:val="0"/>
          <w:marBottom w:val="0"/>
          <w:divBdr>
            <w:top w:val="none" w:sz="0" w:space="0" w:color="auto"/>
            <w:left w:val="none" w:sz="0" w:space="0" w:color="auto"/>
            <w:bottom w:val="none" w:sz="0" w:space="0" w:color="auto"/>
            <w:right w:val="none" w:sz="0" w:space="0" w:color="auto"/>
          </w:divBdr>
          <w:divsChild>
            <w:div w:id="463239122">
              <w:marLeft w:val="0"/>
              <w:marRight w:val="0"/>
              <w:marTop w:val="0"/>
              <w:marBottom w:val="0"/>
              <w:divBdr>
                <w:top w:val="none" w:sz="0" w:space="0" w:color="auto"/>
                <w:left w:val="none" w:sz="0" w:space="0" w:color="auto"/>
                <w:bottom w:val="none" w:sz="0" w:space="0" w:color="auto"/>
                <w:right w:val="none" w:sz="0" w:space="0" w:color="auto"/>
              </w:divBdr>
              <w:divsChild>
                <w:div w:id="1822186003">
                  <w:marLeft w:val="0"/>
                  <w:marRight w:val="0"/>
                  <w:marTop w:val="0"/>
                  <w:marBottom w:val="0"/>
                  <w:divBdr>
                    <w:top w:val="none" w:sz="0" w:space="0" w:color="auto"/>
                    <w:left w:val="none" w:sz="0" w:space="0" w:color="auto"/>
                    <w:bottom w:val="none" w:sz="0" w:space="0" w:color="auto"/>
                    <w:right w:val="none" w:sz="0" w:space="0" w:color="auto"/>
                  </w:divBdr>
                  <w:divsChild>
                    <w:div w:id="82073238">
                      <w:marLeft w:val="0"/>
                      <w:marRight w:val="0"/>
                      <w:marTop w:val="0"/>
                      <w:marBottom w:val="0"/>
                      <w:divBdr>
                        <w:top w:val="none" w:sz="0" w:space="0" w:color="auto"/>
                        <w:left w:val="none" w:sz="0" w:space="0" w:color="auto"/>
                        <w:bottom w:val="none" w:sz="0" w:space="0" w:color="auto"/>
                        <w:right w:val="none" w:sz="0" w:space="0" w:color="auto"/>
                      </w:divBdr>
                      <w:divsChild>
                        <w:div w:id="378435446">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4559690">
      <w:bodyDiv w:val="1"/>
      <w:marLeft w:val="0"/>
      <w:marRight w:val="0"/>
      <w:marTop w:val="0"/>
      <w:marBottom w:val="0"/>
      <w:divBdr>
        <w:top w:val="none" w:sz="0" w:space="0" w:color="auto"/>
        <w:left w:val="none" w:sz="0" w:space="0" w:color="auto"/>
        <w:bottom w:val="none" w:sz="0" w:space="0" w:color="auto"/>
        <w:right w:val="none" w:sz="0" w:space="0" w:color="auto"/>
      </w:divBdr>
      <w:divsChild>
        <w:div w:id="122038875">
          <w:marLeft w:val="0"/>
          <w:marRight w:val="0"/>
          <w:marTop w:val="0"/>
          <w:marBottom w:val="0"/>
          <w:divBdr>
            <w:top w:val="none" w:sz="0" w:space="0" w:color="auto"/>
            <w:left w:val="none" w:sz="0" w:space="0" w:color="auto"/>
            <w:bottom w:val="none" w:sz="0" w:space="0" w:color="auto"/>
            <w:right w:val="none" w:sz="0" w:space="0" w:color="auto"/>
          </w:divBdr>
          <w:divsChild>
            <w:div w:id="753936854">
              <w:marLeft w:val="0"/>
              <w:marRight w:val="0"/>
              <w:marTop w:val="0"/>
              <w:marBottom w:val="0"/>
              <w:divBdr>
                <w:top w:val="none" w:sz="0" w:space="0" w:color="auto"/>
                <w:left w:val="none" w:sz="0" w:space="0" w:color="auto"/>
                <w:bottom w:val="none" w:sz="0" w:space="0" w:color="auto"/>
                <w:right w:val="none" w:sz="0" w:space="0" w:color="auto"/>
              </w:divBdr>
              <w:divsChild>
                <w:div w:id="1187792305">
                  <w:marLeft w:val="0"/>
                  <w:marRight w:val="0"/>
                  <w:marTop w:val="0"/>
                  <w:marBottom w:val="0"/>
                  <w:divBdr>
                    <w:top w:val="none" w:sz="0" w:space="0" w:color="auto"/>
                    <w:left w:val="none" w:sz="0" w:space="0" w:color="auto"/>
                    <w:bottom w:val="none" w:sz="0" w:space="0" w:color="auto"/>
                    <w:right w:val="none" w:sz="0" w:space="0" w:color="auto"/>
                  </w:divBdr>
                  <w:divsChild>
                    <w:div w:id="1758020618">
                      <w:marLeft w:val="0"/>
                      <w:marRight w:val="0"/>
                      <w:marTop w:val="0"/>
                      <w:marBottom w:val="0"/>
                      <w:divBdr>
                        <w:top w:val="none" w:sz="0" w:space="0" w:color="auto"/>
                        <w:left w:val="none" w:sz="0" w:space="0" w:color="auto"/>
                        <w:bottom w:val="none" w:sz="0" w:space="0" w:color="auto"/>
                        <w:right w:val="none" w:sz="0" w:space="0" w:color="auto"/>
                      </w:divBdr>
                      <w:divsChild>
                        <w:div w:id="1701517643">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99249704">
      <w:bodyDiv w:val="1"/>
      <w:marLeft w:val="0"/>
      <w:marRight w:val="0"/>
      <w:marTop w:val="0"/>
      <w:marBottom w:val="0"/>
      <w:divBdr>
        <w:top w:val="none" w:sz="0" w:space="0" w:color="auto"/>
        <w:left w:val="none" w:sz="0" w:space="0" w:color="auto"/>
        <w:bottom w:val="none" w:sz="0" w:space="0" w:color="auto"/>
        <w:right w:val="none" w:sz="0" w:space="0" w:color="auto"/>
      </w:divBdr>
      <w:divsChild>
        <w:div w:id="2077623213">
          <w:marLeft w:val="0"/>
          <w:marRight w:val="0"/>
          <w:marTop w:val="0"/>
          <w:marBottom w:val="0"/>
          <w:divBdr>
            <w:top w:val="none" w:sz="0" w:space="0" w:color="auto"/>
            <w:left w:val="none" w:sz="0" w:space="0" w:color="auto"/>
            <w:bottom w:val="none" w:sz="0" w:space="0" w:color="auto"/>
            <w:right w:val="none" w:sz="0" w:space="0" w:color="auto"/>
          </w:divBdr>
          <w:divsChild>
            <w:div w:id="1115054640">
              <w:marLeft w:val="0"/>
              <w:marRight w:val="0"/>
              <w:marTop w:val="0"/>
              <w:marBottom w:val="0"/>
              <w:divBdr>
                <w:top w:val="none" w:sz="0" w:space="0" w:color="auto"/>
                <w:left w:val="none" w:sz="0" w:space="0" w:color="auto"/>
                <w:bottom w:val="none" w:sz="0" w:space="0" w:color="auto"/>
                <w:right w:val="none" w:sz="0" w:space="0" w:color="auto"/>
              </w:divBdr>
              <w:divsChild>
                <w:div w:id="1467745872">
                  <w:marLeft w:val="0"/>
                  <w:marRight w:val="0"/>
                  <w:marTop w:val="0"/>
                  <w:marBottom w:val="0"/>
                  <w:divBdr>
                    <w:top w:val="none" w:sz="0" w:space="0" w:color="auto"/>
                    <w:left w:val="none" w:sz="0" w:space="0" w:color="auto"/>
                    <w:bottom w:val="none" w:sz="0" w:space="0" w:color="auto"/>
                    <w:right w:val="none" w:sz="0" w:space="0" w:color="auto"/>
                  </w:divBdr>
                  <w:divsChild>
                    <w:div w:id="1944414131">
                      <w:marLeft w:val="0"/>
                      <w:marRight w:val="0"/>
                      <w:marTop w:val="0"/>
                      <w:marBottom w:val="0"/>
                      <w:divBdr>
                        <w:top w:val="none" w:sz="0" w:space="0" w:color="auto"/>
                        <w:left w:val="none" w:sz="0" w:space="0" w:color="auto"/>
                        <w:bottom w:val="none" w:sz="0" w:space="0" w:color="auto"/>
                        <w:right w:val="none" w:sz="0" w:space="0" w:color="auto"/>
                      </w:divBdr>
                      <w:divsChild>
                        <w:div w:id="1071658458">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318801372">
      <w:bodyDiv w:val="1"/>
      <w:marLeft w:val="0"/>
      <w:marRight w:val="0"/>
      <w:marTop w:val="0"/>
      <w:marBottom w:val="0"/>
      <w:divBdr>
        <w:top w:val="none" w:sz="0" w:space="0" w:color="auto"/>
        <w:left w:val="none" w:sz="0" w:space="0" w:color="auto"/>
        <w:bottom w:val="none" w:sz="0" w:space="0" w:color="auto"/>
        <w:right w:val="none" w:sz="0" w:space="0" w:color="auto"/>
      </w:divBdr>
      <w:divsChild>
        <w:div w:id="1856531963">
          <w:marLeft w:val="0"/>
          <w:marRight w:val="0"/>
          <w:marTop w:val="0"/>
          <w:marBottom w:val="0"/>
          <w:divBdr>
            <w:top w:val="none" w:sz="0" w:space="0" w:color="auto"/>
            <w:left w:val="none" w:sz="0" w:space="0" w:color="auto"/>
            <w:bottom w:val="none" w:sz="0" w:space="0" w:color="auto"/>
            <w:right w:val="none" w:sz="0" w:space="0" w:color="auto"/>
          </w:divBdr>
          <w:divsChild>
            <w:div w:id="1914006135">
              <w:marLeft w:val="0"/>
              <w:marRight w:val="0"/>
              <w:marTop w:val="0"/>
              <w:marBottom w:val="0"/>
              <w:divBdr>
                <w:top w:val="none" w:sz="0" w:space="0" w:color="auto"/>
                <w:left w:val="none" w:sz="0" w:space="0" w:color="auto"/>
                <w:bottom w:val="none" w:sz="0" w:space="0" w:color="auto"/>
                <w:right w:val="none" w:sz="0" w:space="0" w:color="auto"/>
              </w:divBdr>
              <w:divsChild>
                <w:div w:id="422191276">
                  <w:marLeft w:val="0"/>
                  <w:marRight w:val="0"/>
                  <w:marTop w:val="0"/>
                  <w:marBottom w:val="0"/>
                  <w:divBdr>
                    <w:top w:val="none" w:sz="0" w:space="0" w:color="auto"/>
                    <w:left w:val="none" w:sz="0" w:space="0" w:color="auto"/>
                    <w:bottom w:val="none" w:sz="0" w:space="0" w:color="auto"/>
                    <w:right w:val="none" w:sz="0" w:space="0" w:color="auto"/>
                  </w:divBdr>
                  <w:divsChild>
                    <w:div w:id="1195001248">
                      <w:marLeft w:val="0"/>
                      <w:marRight w:val="0"/>
                      <w:marTop w:val="0"/>
                      <w:marBottom w:val="0"/>
                      <w:divBdr>
                        <w:top w:val="none" w:sz="0" w:space="0" w:color="auto"/>
                        <w:left w:val="none" w:sz="0" w:space="0" w:color="auto"/>
                        <w:bottom w:val="none" w:sz="0" w:space="0" w:color="auto"/>
                        <w:right w:val="none" w:sz="0" w:space="0" w:color="auto"/>
                      </w:divBdr>
                      <w:divsChild>
                        <w:div w:id="1187981507">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20263084">
      <w:bodyDiv w:val="1"/>
      <w:marLeft w:val="0"/>
      <w:marRight w:val="0"/>
      <w:marTop w:val="0"/>
      <w:marBottom w:val="0"/>
      <w:divBdr>
        <w:top w:val="none" w:sz="0" w:space="0" w:color="auto"/>
        <w:left w:val="none" w:sz="0" w:space="0" w:color="auto"/>
        <w:bottom w:val="none" w:sz="0" w:space="0" w:color="auto"/>
        <w:right w:val="none" w:sz="0" w:space="0" w:color="auto"/>
      </w:divBdr>
      <w:divsChild>
        <w:div w:id="1539194690">
          <w:marLeft w:val="0"/>
          <w:marRight w:val="0"/>
          <w:marTop w:val="0"/>
          <w:marBottom w:val="0"/>
          <w:divBdr>
            <w:top w:val="none" w:sz="0" w:space="0" w:color="auto"/>
            <w:left w:val="none" w:sz="0" w:space="0" w:color="auto"/>
            <w:bottom w:val="none" w:sz="0" w:space="0" w:color="auto"/>
            <w:right w:val="none" w:sz="0" w:space="0" w:color="auto"/>
          </w:divBdr>
          <w:divsChild>
            <w:div w:id="941185993">
              <w:marLeft w:val="0"/>
              <w:marRight w:val="0"/>
              <w:marTop w:val="0"/>
              <w:marBottom w:val="0"/>
              <w:divBdr>
                <w:top w:val="none" w:sz="0" w:space="0" w:color="auto"/>
                <w:left w:val="none" w:sz="0" w:space="0" w:color="auto"/>
                <w:bottom w:val="none" w:sz="0" w:space="0" w:color="auto"/>
                <w:right w:val="none" w:sz="0" w:space="0" w:color="auto"/>
              </w:divBdr>
              <w:divsChild>
                <w:div w:id="616454475">
                  <w:marLeft w:val="0"/>
                  <w:marRight w:val="0"/>
                  <w:marTop w:val="0"/>
                  <w:marBottom w:val="0"/>
                  <w:divBdr>
                    <w:top w:val="none" w:sz="0" w:space="0" w:color="auto"/>
                    <w:left w:val="none" w:sz="0" w:space="0" w:color="auto"/>
                    <w:bottom w:val="none" w:sz="0" w:space="0" w:color="auto"/>
                    <w:right w:val="none" w:sz="0" w:space="0" w:color="auto"/>
                  </w:divBdr>
                  <w:divsChild>
                    <w:div w:id="511922216">
                      <w:marLeft w:val="0"/>
                      <w:marRight w:val="0"/>
                      <w:marTop w:val="0"/>
                      <w:marBottom w:val="0"/>
                      <w:divBdr>
                        <w:top w:val="none" w:sz="0" w:space="0" w:color="auto"/>
                        <w:left w:val="none" w:sz="0" w:space="0" w:color="auto"/>
                        <w:bottom w:val="none" w:sz="0" w:space="0" w:color="auto"/>
                        <w:right w:val="none" w:sz="0" w:space="0" w:color="auto"/>
                      </w:divBdr>
                      <w:divsChild>
                        <w:div w:id="501437693">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723483766">
      <w:bodyDiv w:val="1"/>
      <w:marLeft w:val="0"/>
      <w:marRight w:val="0"/>
      <w:marTop w:val="0"/>
      <w:marBottom w:val="0"/>
      <w:divBdr>
        <w:top w:val="none" w:sz="0" w:space="0" w:color="auto"/>
        <w:left w:val="none" w:sz="0" w:space="0" w:color="auto"/>
        <w:bottom w:val="none" w:sz="0" w:space="0" w:color="auto"/>
        <w:right w:val="none" w:sz="0" w:space="0" w:color="auto"/>
      </w:divBdr>
      <w:divsChild>
        <w:div w:id="1402412053">
          <w:marLeft w:val="0"/>
          <w:marRight w:val="0"/>
          <w:marTop w:val="0"/>
          <w:marBottom w:val="0"/>
          <w:divBdr>
            <w:top w:val="none" w:sz="0" w:space="0" w:color="auto"/>
            <w:left w:val="none" w:sz="0" w:space="0" w:color="auto"/>
            <w:bottom w:val="none" w:sz="0" w:space="0" w:color="auto"/>
            <w:right w:val="none" w:sz="0" w:space="0" w:color="auto"/>
          </w:divBdr>
          <w:divsChild>
            <w:div w:id="1944607549">
              <w:marLeft w:val="0"/>
              <w:marRight w:val="0"/>
              <w:marTop w:val="0"/>
              <w:marBottom w:val="0"/>
              <w:divBdr>
                <w:top w:val="none" w:sz="0" w:space="0" w:color="auto"/>
                <w:left w:val="none" w:sz="0" w:space="0" w:color="auto"/>
                <w:bottom w:val="none" w:sz="0" w:space="0" w:color="auto"/>
                <w:right w:val="none" w:sz="0" w:space="0" w:color="auto"/>
              </w:divBdr>
              <w:divsChild>
                <w:div w:id="667513754">
                  <w:marLeft w:val="0"/>
                  <w:marRight w:val="0"/>
                  <w:marTop w:val="0"/>
                  <w:marBottom w:val="0"/>
                  <w:divBdr>
                    <w:top w:val="none" w:sz="0" w:space="0" w:color="auto"/>
                    <w:left w:val="none" w:sz="0" w:space="0" w:color="auto"/>
                    <w:bottom w:val="none" w:sz="0" w:space="0" w:color="auto"/>
                    <w:right w:val="none" w:sz="0" w:space="0" w:color="auto"/>
                  </w:divBdr>
                  <w:divsChild>
                    <w:div w:id="1752389352">
                      <w:marLeft w:val="0"/>
                      <w:marRight w:val="0"/>
                      <w:marTop w:val="0"/>
                      <w:marBottom w:val="0"/>
                      <w:divBdr>
                        <w:top w:val="none" w:sz="0" w:space="0" w:color="auto"/>
                        <w:left w:val="none" w:sz="0" w:space="0" w:color="auto"/>
                        <w:bottom w:val="none" w:sz="0" w:space="0" w:color="auto"/>
                        <w:right w:val="none" w:sz="0" w:space="0" w:color="auto"/>
                      </w:divBdr>
                      <w:divsChild>
                        <w:div w:id="2008751923">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17605172">
      <w:bodyDiv w:val="1"/>
      <w:marLeft w:val="0"/>
      <w:marRight w:val="0"/>
      <w:marTop w:val="0"/>
      <w:marBottom w:val="0"/>
      <w:divBdr>
        <w:top w:val="none" w:sz="0" w:space="0" w:color="auto"/>
        <w:left w:val="none" w:sz="0" w:space="0" w:color="auto"/>
        <w:bottom w:val="none" w:sz="0" w:space="0" w:color="auto"/>
        <w:right w:val="none" w:sz="0" w:space="0" w:color="auto"/>
      </w:divBdr>
    </w:div>
    <w:div w:id="209434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7E916-AA80-462D-8E0B-21DBACCD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2485</TotalTime>
  <Pages>43</Pages>
  <Words>17699</Words>
  <Characters>111300</Characters>
  <Application>Microsoft Office Word</Application>
  <DocSecurity>0</DocSecurity>
  <Lines>927</Lines>
  <Paragraphs>257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1</vt:lpstr>
      <vt:lpstr>1</vt:lpstr>
    </vt:vector>
  </TitlesOfParts>
  <Company>Novartis</Company>
  <LinksUpToDate>false</LinksUpToDate>
  <CharactersWithSpaces>128742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VYBOCSI1</dc:creator>
  <cp:keywords/>
  <cp:lastModifiedBy>Lacková, Beáta</cp:lastModifiedBy>
  <cp:revision>6</cp:revision>
  <cp:lastPrinted>2012-05-16T12:23:00Z</cp:lastPrinted>
  <dcterms:created xsi:type="dcterms:W3CDTF">2017-02-01T06:12:00Z</dcterms:created>
  <dcterms:modified xsi:type="dcterms:W3CDTF">2018-12-14T12:16:00Z</dcterms:modified>
</cp:coreProperties>
</file>