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0A8EC" w14:textId="77777777" w:rsidR="00A87287" w:rsidRDefault="00A87287" w:rsidP="00086057">
      <w:pPr>
        <w:pStyle w:val="EUHeading1"/>
        <w:jc w:val="center"/>
        <w:rPr>
          <w:szCs w:val="22"/>
        </w:rPr>
      </w:pPr>
    </w:p>
    <w:p w14:paraId="08419D85" w14:textId="77777777" w:rsidR="00030576" w:rsidRPr="001252AA" w:rsidRDefault="00030576" w:rsidP="00086057">
      <w:pPr>
        <w:pStyle w:val="EUHeading1"/>
        <w:jc w:val="center"/>
        <w:rPr>
          <w:szCs w:val="22"/>
        </w:rPr>
      </w:pPr>
      <w:r w:rsidRPr="001252AA">
        <w:rPr>
          <w:szCs w:val="22"/>
        </w:rPr>
        <w:t>SÚHRN CHARAKTERISTICKÝCH VLASTNOSTÍ LIEKU</w:t>
      </w:r>
    </w:p>
    <w:p w14:paraId="58449B48" w14:textId="77777777" w:rsidR="00030576" w:rsidRPr="001252AA" w:rsidRDefault="00030576" w:rsidP="001317AB">
      <w:pPr>
        <w:pStyle w:val="EUHeading1"/>
        <w:rPr>
          <w:szCs w:val="22"/>
        </w:rPr>
      </w:pPr>
    </w:p>
    <w:p w14:paraId="5B05FA30" w14:textId="77777777" w:rsidR="00030576" w:rsidRPr="001252AA" w:rsidRDefault="00030576" w:rsidP="001317AB">
      <w:pPr>
        <w:pStyle w:val="EUHeading1"/>
        <w:rPr>
          <w:szCs w:val="22"/>
        </w:rPr>
      </w:pPr>
      <w:r w:rsidRPr="001252AA">
        <w:rPr>
          <w:szCs w:val="22"/>
        </w:rPr>
        <w:t>1.</w:t>
      </w:r>
      <w:r w:rsidRPr="001252AA">
        <w:rPr>
          <w:szCs w:val="22"/>
        </w:rPr>
        <w:tab/>
        <w:t>Názov Lieku</w:t>
      </w:r>
    </w:p>
    <w:p w14:paraId="0F5BE5E6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538F4F97" w14:textId="77777777" w:rsidR="00030576" w:rsidRPr="001317AB" w:rsidRDefault="00030576" w:rsidP="001317AB">
      <w:pPr>
        <w:pStyle w:val="EUNormal"/>
      </w:pPr>
      <w:proofErr w:type="spellStart"/>
      <w:r w:rsidRPr="001317AB">
        <w:t>Calgel</w:t>
      </w:r>
      <w:proofErr w:type="spellEnd"/>
    </w:p>
    <w:p w14:paraId="18A50D4F" w14:textId="0BE1E76C" w:rsidR="0033479E" w:rsidRPr="001252AA" w:rsidRDefault="00A87287" w:rsidP="0033479E">
      <w:pPr>
        <w:pStyle w:val="EUNormal"/>
        <w:rPr>
          <w:szCs w:val="22"/>
        </w:rPr>
      </w:pPr>
      <w:r>
        <w:rPr>
          <w:szCs w:val="22"/>
        </w:rPr>
        <w:t>3,3 mg/g + 1,0 </w:t>
      </w:r>
      <w:r w:rsidR="00025936">
        <w:rPr>
          <w:szCs w:val="22"/>
        </w:rPr>
        <w:t>mg/g</w:t>
      </w:r>
      <w:r>
        <w:rPr>
          <w:szCs w:val="22"/>
        </w:rPr>
        <w:t xml:space="preserve"> </w:t>
      </w:r>
      <w:r w:rsidR="0033479E">
        <w:rPr>
          <w:szCs w:val="22"/>
        </w:rPr>
        <w:t>zubný gél</w:t>
      </w:r>
    </w:p>
    <w:p w14:paraId="0EFC461A" w14:textId="77777777" w:rsidR="00030576" w:rsidRDefault="00030576" w:rsidP="001317AB">
      <w:pPr>
        <w:pStyle w:val="EUNormal"/>
        <w:rPr>
          <w:szCs w:val="22"/>
        </w:rPr>
      </w:pPr>
    </w:p>
    <w:p w14:paraId="7F1A01F9" w14:textId="77777777" w:rsidR="0033479E" w:rsidRPr="001252AA" w:rsidRDefault="0033479E" w:rsidP="001317AB">
      <w:pPr>
        <w:pStyle w:val="EUNormal"/>
        <w:rPr>
          <w:szCs w:val="22"/>
        </w:rPr>
      </w:pPr>
    </w:p>
    <w:p w14:paraId="23CAA5F2" w14:textId="77777777" w:rsidR="00030576" w:rsidRPr="001252AA" w:rsidRDefault="00030576" w:rsidP="001317AB">
      <w:pPr>
        <w:pStyle w:val="EUHeading1"/>
        <w:rPr>
          <w:szCs w:val="22"/>
        </w:rPr>
      </w:pPr>
      <w:r w:rsidRPr="001252AA">
        <w:rPr>
          <w:szCs w:val="22"/>
        </w:rPr>
        <w:t>2.</w:t>
      </w:r>
      <w:r w:rsidRPr="001252AA">
        <w:rPr>
          <w:szCs w:val="22"/>
        </w:rPr>
        <w:tab/>
        <w:t>Kvalitatívne a kvantitatívne zloženie</w:t>
      </w:r>
    </w:p>
    <w:p w14:paraId="304CEB63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11EF10D4" w14:textId="001C6A4C" w:rsidR="00030576" w:rsidRPr="001252AA" w:rsidRDefault="00030576" w:rsidP="001317AB">
      <w:pPr>
        <w:pStyle w:val="EUNormal"/>
        <w:tabs>
          <w:tab w:val="left" w:pos="3780"/>
        </w:tabs>
        <w:rPr>
          <w:szCs w:val="22"/>
        </w:rPr>
      </w:pPr>
      <w:r w:rsidRPr="001252AA">
        <w:rPr>
          <w:szCs w:val="22"/>
        </w:rPr>
        <w:t>1 g</w:t>
      </w:r>
      <w:r w:rsidR="0033479E">
        <w:rPr>
          <w:szCs w:val="22"/>
        </w:rPr>
        <w:t>ram</w:t>
      </w:r>
      <w:r w:rsidRPr="001252AA">
        <w:rPr>
          <w:szCs w:val="22"/>
        </w:rPr>
        <w:t xml:space="preserve"> zubného gélu obsahuje</w:t>
      </w:r>
      <w:r w:rsidR="0033479E">
        <w:rPr>
          <w:szCs w:val="22"/>
        </w:rPr>
        <w:t xml:space="preserve"> 3,3</w:t>
      </w:r>
      <w:r w:rsidR="00A87287">
        <w:rPr>
          <w:szCs w:val="22"/>
        </w:rPr>
        <w:t> </w:t>
      </w:r>
      <w:r w:rsidR="0033479E">
        <w:rPr>
          <w:szCs w:val="22"/>
        </w:rPr>
        <w:t xml:space="preserve">mg </w:t>
      </w:r>
      <w:proofErr w:type="spellStart"/>
      <w:r w:rsidRPr="001252AA">
        <w:rPr>
          <w:szCs w:val="22"/>
        </w:rPr>
        <w:t>l</w:t>
      </w:r>
      <w:r w:rsidR="0033479E">
        <w:rPr>
          <w:szCs w:val="22"/>
        </w:rPr>
        <w:t>idok</w:t>
      </w:r>
      <w:r w:rsidRPr="001252AA">
        <w:rPr>
          <w:szCs w:val="22"/>
        </w:rPr>
        <w:t>a</w:t>
      </w:r>
      <w:r w:rsidR="0033479E">
        <w:rPr>
          <w:szCs w:val="22"/>
        </w:rPr>
        <w:t>í</w:t>
      </w:r>
      <w:r w:rsidRPr="001252AA">
        <w:rPr>
          <w:szCs w:val="22"/>
        </w:rPr>
        <w:t>ni</w:t>
      </w:r>
      <w:r w:rsidR="0033479E">
        <w:rPr>
          <w:szCs w:val="22"/>
        </w:rPr>
        <w:t>umchloridu</w:t>
      </w:r>
      <w:proofErr w:type="spellEnd"/>
      <w:r w:rsidR="0033479E">
        <w:rPr>
          <w:szCs w:val="22"/>
        </w:rPr>
        <w:t xml:space="preserve"> (vo forme </w:t>
      </w:r>
      <w:proofErr w:type="spellStart"/>
      <w:r w:rsidR="0033479E">
        <w:rPr>
          <w:szCs w:val="22"/>
        </w:rPr>
        <w:t>monohydrátu</w:t>
      </w:r>
      <w:proofErr w:type="spellEnd"/>
      <w:r w:rsidR="0033479E">
        <w:rPr>
          <w:szCs w:val="22"/>
        </w:rPr>
        <w:t>) a 1,0</w:t>
      </w:r>
      <w:r w:rsidR="00A87287">
        <w:rPr>
          <w:szCs w:val="22"/>
        </w:rPr>
        <w:t> </w:t>
      </w:r>
      <w:r w:rsidR="0033479E">
        <w:rPr>
          <w:szCs w:val="22"/>
        </w:rPr>
        <w:t xml:space="preserve">mg </w:t>
      </w:r>
      <w:proofErr w:type="spellStart"/>
      <w:r w:rsidRPr="001252AA">
        <w:rPr>
          <w:szCs w:val="22"/>
        </w:rPr>
        <w:t>cetylpyrid</w:t>
      </w:r>
      <w:r w:rsidR="0033479E">
        <w:rPr>
          <w:szCs w:val="22"/>
        </w:rPr>
        <w:t>íniumchloridu</w:t>
      </w:r>
      <w:proofErr w:type="spellEnd"/>
      <w:r w:rsidR="0033479E">
        <w:rPr>
          <w:szCs w:val="22"/>
        </w:rPr>
        <w:t xml:space="preserve"> (vo forme </w:t>
      </w:r>
      <w:proofErr w:type="spellStart"/>
      <w:r w:rsidR="0033479E">
        <w:rPr>
          <w:szCs w:val="22"/>
        </w:rPr>
        <w:t>monohydrátu</w:t>
      </w:r>
      <w:proofErr w:type="spellEnd"/>
      <w:r w:rsidR="0033479E">
        <w:rPr>
          <w:szCs w:val="22"/>
        </w:rPr>
        <w:t>).</w:t>
      </w:r>
    </w:p>
    <w:p w14:paraId="1B656305" w14:textId="77777777" w:rsidR="00030576" w:rsidRDefault="00030576" w:rsidP="0033479E">
      <w:pPr>
        <w:pStyle w:val="EUNormal"/>
        <w:rPr>
          <w:szCs w:val="22"/>
        </w:rPr>
      </w:pPr>
    </w:p>
    <w:p w14:paraId="1B946DAB" w14:textId="77777777" w:rsidR="0033479E" w:rsidRDefault="0033479E" w:rsidP="0033479E">
      <w:pPr>
        <w:pStyle w:val="EUNormal"/>
        <w:ind w:right="-432"/>
        <w:rPr>
          <w:szCs w:val="22"/>
        </w:rPr>
      </w:pPr>
      <w:r w:rsidRPr="0033479E">
        <w:rPr>
          <w:szCs w:val="22"/>
          <w:u w:val="single"/>
        </w:rPr>
        <w:t>Pomocné látky so známym účinkom</w:t>
      </w:r>
      <w:r>
        <w:rPr>
          <w:szCs w:val="22"/>
        </w:rPr>
        <w:t xml:space="preserve">: etanol 96 %, kryštalizujúci </w:t>
      </w:r>
      <w:proofErr w:type="spellStart"/>
      <w:r>
        <w:rPr>
          <w:szCs w:val="22"/>
        </w:rPr>
        <w:t>sorbitol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hydrogénricínomakrogol</w:t>
      </w:r>
      <w:proofErr w:type="spellEnd"/>
      <w:r>
        <w:rPr>
          <w:szCs w:val="22"/>
        </w:rPr>
        <w:t>.</w:t>
      </w:r>
    </w:p>
    <w:p w14:paraId="283FEB1A" w14:textId="77777777" w:rsidR="0033479E" w:rsidRPr="001252AA" w:rsidRDefault="0033479E" w:rsidP="001317AB">
      <w:pPr>
        <w:pStyle w:val="EUNormal"/>
        <w:rPr>
          <w:szCs w:val="22"/>
        </w:rPr>
      </w:pPr>
    </w:p>
    <w:p w14:paraId="372AFDD7" w14:textId="77777777" w:rsidR="00030576" w:rsidRPr="001252AA" w:rsidRDefault="00030576" w:rsidP="001317AB">
      <w:pPr>
        <w:pStyle w:val="EUNormal"/>
        <w:rPr>
          <w:szCs w:val="22"/>
        </w:rPr>
      </w:pPr>
      <w:r w:rsidRPr="0008237E">
        <w:rPr>
          <w:szCs w:val="22"/>
        </w:rPr>
        <w:t>Úplný zoznam pomocných látok</w:t>
      </w:r>
      <w:r w:rsidRPr="001252AA">
        <w:rPr>
          <w:szCs w:val="22"/>
        </w:rPr>
        <w:t>, pozri časť 6.1.</w:t>
      </w:r>
    </w:p>
    <w:p w14:paraId="07590031" w14:textId="77777777" w:rsidR="00030576" w:rsidRPr="001252AA" w:rsidRDefault="00030576" w:rsidP="001317AB">
      <w:pPr>
        <w:pStyle w:val="EUNormal"/>
        <w:rPr>
          <w:szCs w:val="22"/>
        </w:rPr>
      </w:pPr>
    </w:p>
    <w:p w14:paraId="7C691E88" w14:textId="77777777" w:rsidR="00030576" w:rsidRPr="001252AA" w:rsidRDefault="00030576" w:rsidP="001317AB">
      <w:pPr>
        <w:pStyle w:val="EUNormal"/>
        <w:rPr>
          <w:szCs w:val="22"/>
        </w:rPr>
      </w:pPr>
    </w:p>
    <w:p w14:paraId="67C5333A" w14:textId="77777777" w:rsidR="00030576" w:rsidRPr="001252AA" w:rsidRDefault="00030576" w:rsidP="001317AB">
      <w:pPr>
        <w:pStyle w:val="EUHeading1"/>
        <w:rPr>
          <w:szCs w:val="22"/>
        </w:rPr>
      </w:pPr>
      <w:r w:rsidRPr="001252AA">
        <w:rPr>
          <w:szCs w:val="22"/>
        </w:rPr>
        <w:t>3.</w:t>
      </w:r>
      <w:r w:rsidRPr="001252AA">
        <w:rPr>
          <w:szCs w:val="22"/>
        </w:rPr>
        <w:tab/>
        <w:t>Lieková forma</w:t>
      </w:r>
    </w:p>
    <w:p w14:paraId="134B2099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442E4FF8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Zubný gél.</w:t>
      </w:r>
    </w:p>
    <w:p w14:paraId="3FBEB463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Opis lieku: žltohnedý gél s charakteristickou vôňou, homogénneho vzhľadu.</w:t>
      </w:r>
    </w:p>
    <w:p w14:paraId="121B04E5" w14:textId="77777777" w:rsidR="00030576" w:rsidRPr="001252AA" w:rsidRDefault="00030576" w:rsidP="001317AB">
      <w:pPr>
        <w:pStyle w:val="EUNormal"/>
        <w:rPr>
          <w:szCs w:val="22"/>
        </w:rPr>
      </w:pPr>
    </w:p>
    <w:p w14:paraId="3197913F" w14:textId="77777777" w:rsidR="00030576" w:rsidRPr="001252AA" w:rsidRDefault="00030576" w:rsidP="001317AB">
      <w:pPr>
        <w:pStyle w:val="EUNormal"/>
        <w:rPr>
          <w:szCs w:val="22"/>
        </w:rPr>
      </w:pPr>
    </w:p>
    <w:p w14:paraId="1EABDF60" w14:textId="77777777" w:rsidR="00030576" w:rsidRPr="001252AA" w:rsidRDefault="00030576" w:rsidP="001317AB">
      <w:pPr>
        <w:pStyle w:val="EUHeading1"/>
        <w:rPr>
          <w:szCs w:val="22"/>
        </w:rPr>
      </w:pPr>
      <w:r w:rsidRPr="001252AA">
        <w:rPr>
          <w:szCs w:val="22"/>
        </w:rPr>
        <w:t>4.</w:t>
      </w:r>
      <w:r w:rsidRPr="001252AA">
        <w:rPr>
          <w:szCs w:val="22"/>
        </w:rPr>
        <w:tab/>
        <w:t>Klinické údaje</w:t>
      </w:r>
    </w:p>
    <w:p w14:paraId="42A53646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571FF172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4.1</w:t>
      </w:r>
      <w:r w:rsidRPr="001252AA">
        <w:rPr>
          <w:szCs w:val="22"/>
        </w:rPr>
        <w:tab/>
        <w:t>Terapeutické indikácie</w:t>
      </w:r>
    </w:p>
    <w:p w14:paraId="7F7E9055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3573F8A0" w14:textId="4B3FDD28" w:rsidR="00030576" w:rsidRPr="001252AA" w:rsidRDefault="00030576" w:rsidP="001317AB">
      <w:pPr>
        <w:pStyle w:val="EUNormal"/>
        <w:rPr>
          <w:szCs w:val="22"/>
        </w:rPr>
      </w:pPr>
      <w:r>
        <w:rPr>
          <w:szCs w:val="22"/>
        </w:rPr>
        <w:t>Liek</w:t>
      </w:r>
      <w:r w:rsidRPr="001252AA">
        <w:rPr>
          <w:szCs w:val="22"/>
        </w:rPr>
        <w:t xml:space="preserve"> je určený na </w:t>
      </w:r>
      <w:r w:rsidRPr="0008237E">
        <w:rPr>
          <w:szCs w:val="22"/>
        </w:rPr>
        <w:t>používanie</w:t>
      </w:r>
      <w:r w:rsidRPr="001252AA">
        <w:rPr>
          <w:szCs w:val="22"/>
        </w:rPr>
        <w:t xml:space="preserve"> pri prerezávaní zubov</w:t>
      </w:r>
      <w:r>
        <w:rPr>
          <w:szCs w:val="22"/>
        </w:rPr>
        <w:t>.</w:t>
      </w:r>
      <w:r w:rsidRPr="001252AA">
        <w:rPr>
          <w:szCs w:val="22"/>
        </w:rPr>
        <w:t xml:space="preserve"> </w:t>
      </w:r>
      <w:r w:rsidRPr="0008237E">
        <w:rPr>
          <w:szCs w:val="22"/>
        </w:rPr>
        <w:t>Pomáh</w:t>
      </w:r>
      <w:r>
        <w:rPr>
          <w:szCs w:val="22"/>
        </w:rPr>
        <w:t>a</w:t>
      </w:r>
      <w:r w:rsidRPr="0008237E">
        <w:rPr>
          <w:szCs w:val="22"/>
        </w:rPr>
        <w:t xml:space="preserve"> zm</w:t>
      </w:r>
      <w:r>
        <w:rPr>
          <w:szCs w:val="22"/>
        </w:rPr>
        <w:t>ie</w:t>
      </w:r>
      <w:r w:rsidRPr="0008237E">
        <w:rPr>
          <w:szCs w:val="22"/>
        </w:rPr>
        <w:t>rni</w:t>
      </w:r>
      <w:r>
        <w:rPr>
          <w:szCs w:val="22"/>
        </w:rPr>
        <w:t>ť</w:t>
      </w:r>
      <w:r w:rsidRPr="0008237E">
        <w:rPr>
          <w:szCs w:val="22"/>
        </w:rPr>
        <w:t xml:space="preserve"> bolesti </w:t>
      </w:r>
      <w:r>
        <w:rPr>
          <w:szCs w:val="22"/>
        </w:rPr>
        <w:t>s</w:t>
      </w:r>
      <w:r w:rsidRPr="0008237E">
        <w:rPr>
          <w:szCs w:val="22"/>
        </w:rPr>
        <w:t>p</w:t>
      </w:r>
      <w:r>
        <w:rPr>
          <w:szCs w:val="22"/>
        </w:rPr>
        <w:t>ô</w:t>
      </w:r>
      <w:r w:rsidRPr="0008237E">
        <w:rPr>
          <w:szCs w:val="22"/>
        </w:rPr>
        <w:t>sobené pr</w:t>
      </w:r>
      <w:r>
        <w:rPr>
          <w:szCs w:val="22"/>
        </w:rPr>
        <w:t>er</w:t>
      </w:r>
      <w:r w:rsidRPr="0008237E">
        <w:rPr>
          <w:szCs w:val="22"/>
        </w:rPr>
        <w:t>ezáv</w:t>
      </w:r>
      <w:r>
        <w:rPr>
          <w:szCs w:val="22"/>
        </w:rPr>
        <w:t>a</w:t>
      </w:r>
      <w:r w:rsidRPr="0008237E">
        <w:rPr>
          <w:szCs w:val="22"/>
        </w:rPr>
        <w:t>ním zub</w:t>
      </w:r>
      <w:r>
        <w:rPr>
          <w:szCs w:val="22"/>
        </w:rPr>
        <w:t>ov</w:t>
      </w:r>
      <w:r w:rsidRPr="0008237E">
        <w:rPr>
          <w:szCs w:val="22"/>
        </w:rPr>
        <w:t xml:space="preserve"> a </w:t>
      </w:r>
      <w:r>
        <w:rPr>
          <w:szCs w:val="22"/>
        </w:rPr>
        <w:t>upokojiť</w:t>
      </w:r>
      <w:r w:rsidRPr="0008237E">
        <w:rPr>
          <w:szCs w:val="22"/>
        </w:rPr>
        <w:t xml:space="preserve"> </w:t>
      </w:r>
      <w:r>
        <w:rPr>
          <w:szCs w:val="22"/>
        </w:rPr>
        <w:t xml:space="preserve">ďasná </w:t>
      </w:r>
      <w:r w:rsidRPr="0008237E">
        <w:rPr>
          <w:szCs w:val="22"/>
        </w:rPr>
        <w:t>batol</w:t>
      </w:r>
      <w:r>
        <w:rPr>
          <w:szCs w:val="22"/>
        </w:rPr>
        <w:t>i</w:t>
      </w:r>
      <w:r w:rsidRPr="0008237E">
        <w:rPr>
          <w:szCs w:val="22"/>
        </w:rPr>
        <w:t xml:space="preserve">at a </w:t>
      </w:r>
      <w:r>
        <w:rPr>
          <w:szCs w:val="22"/>
        </w:rPr>
        <w:t>dojčiat</w:t>
      </w:r>
      <w:r w:rsidRPr="001252AA">
        <w:rPr>
          <w:szCs w:val="22"/>
        </w:rPr>
        <w:t>.</w:t>
      </w:r>
      <w:r w:rsidR="0033479E">
        <w:rPr>
          <w:szCs w:val="22"/>
        </w:rPr>
        <w:t xml:space="preserve"> </w:t>
      </w:r>
      <w:r>
        <w:rPr>
          <w:szCs w:val="22"/>
        </w:rPr>
        <w:t xml:space="preserve">Má </w:t>
      </w:r>
      <w:r w:rsidRPr="001252AA">
        <w:rPr>
          <w:szCs w:val="22"/>
        </w:rPr>
        <w:t>mierne antiseptické účinky.</w:t>
      </w:r>
    </w:p>
    <w:p w14:paraId="3D15F3C2" w14:textId="77777777" w:rsidR="00030576" w:rsidRPr="001252AA" w:rsidRDefault="00030576" w:rsidP="001317AB">
      <w:pPr>
        <w:pStyle w:val="EUNormal"/>
        <w:rPr>
          <w:szCs w:val="22"/>
        </w:rPr>
      </w:pPr>
    </w:p>
    <w:p w14:paraId="0E3526F5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4.2</w:t>
      </w:r>
      <w:r w:rsidRPr="001252AA">
        <w:rPr>
          <w:szCs w:val="22"/>
        </w:rPr>
        <w:tab/>
        <w:t>Dávkovanie a spôsob podávania</w:t>
      </w:r>
    </w:p>
    <w:p w14:paraId="28243170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0F896484" w14:textId="77777777" w:rsidR="00030576" w:rsidRPr="00CF3044" w:rsidRDefault="00030576" w:rsidP="001317AB">
      <w:pPr>
        <w:rPr>
          <w:sz w:val="22"/>
          <w:szCs w:val="22"/>
          <w:u w:val="single"/>
          <w:lang w:val="sk-SK"/>
        </w:rPr>
      </w:pPr>
      <w:r w:rsidRPr="00CF3044">
        <w:rPr>
          <w:sz w:val="22"/>
          <w:szCs w:val="22"/>
          <w:u w:val="single"/>
          <w:lang w:val="sk-SK"/>
        </w:rPr>
        <w:t>Dávkovanie</w:t>
      </w:r>
    </w:p>
    <w:p w14:paraId="24E1D2BA" w14:textId="77777777" w:rsidR="00030576" w:rsidRPr="00E16879" w:rsidRDefault="00030576" w:rsidP="001317AB">
      <w:pPr>
        <w:rPr>
          <w:b/>
          <w:sz w:val="22"/>
          <w:szCs w:val="22"/>
          <w:lang w:val="sk-SK"/>
        </w:rPr>
      </w:pPr>
    </w:p>
    <w:p w14:paraId="065DFAF2" w14:textId="77777777" w:rsidR="00030576" w:rsidRPr="001317AB" w:rsidRDefault="00030576" w:rsidP="001317AB">
      <w:pPr>
        <w:rPr>
          <w:b/>
          <w:sz w:val="22"/>
          <w:lang w:val="sk-SK"/>
        </w:rPr>
      </w:pPr>
      <w:r w:rsidRPr="001317AB">
        <w:rPr>
          <w:b/>
          <w:sz w:val="22"/>
          <w:lang w:val="sk-SK"/>
        </w:rPr>
        <w:t>Batoľatá a dojčatá od 5 mesiacov.</w:t>
      </w:r>
    </w:p>
    <w:p w14:paraId="5E70D36E" w14:textId="5C4B1FEE" w:rsidR="00030576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Malé množstvo gélu, približne</w:t>
      </w:r>
      <w:r>
        <w:rPr>
          <w:szCs w:val="22"/>
        </w:rPr>
        <w:t xml:space="preserve"> v dĺžke</w:t>
      </w:r>
      <w:r w:rsidRPr="001252AA">
        <w:rPr>
          <w:szCs w:val="22"/>
        </w:rPr>
        <w:t xml:space="preserve"> 7,5 mm</w:t>
      </w:r>
      <w:r>
        <w:rPr>
          <w:szCs w:val="22"/>
        </w:rPr>
        <w:t xml:space="preserve"> (</w:t>
      </w:r>
      <w:smartTag w:uri="urn:schemas-microsoft-com:office:smarttags" w:element="metricconverter">
        <w:smartTagPr>
          <w:attr w:name="ProductID" w:val="0,22 g"/>
        </w:smartTagPr>
        <w:r>
          <w:rPr>
            <w:szCs w:val="22"/>
          </w:rPr>
          <w:t>0,22 g</w:t>
        </w:r>
      </w:smartTag>
      <w:r>
        <w:rPr>
          <w:szCs w:val="22"/>
        </w:rPr>
        <w:t>)</w:t>
      </w:r>
      <w:r w:rsidRPr="001252AA">
        <w:rPr>
          <w:szCs w:val="22"/>
        </w:rPr>
        <w:t xml:space="preserve">, </w:t>
      </w:r>
      <w:r w:rsidR="0033479E">
        <w:rPr>
          <w:szCs w:val="22"/>
        </w:rPr>
        <w:t xml:space="preserve">sa </w:t>
      </w:r>
      <w:r w:rsidRPr="001252AA">
        <w:rPr>
          <w:szCs w:val="22"/>
        </w:rPr>
        <w:t>vytlač</w:t>
      </w:r>
      <w:r w:rsidR="0033479E">
        <w:rPr>
          <w:szCs w:val="22"/>
        </w:rPr>
        <w:t>í</w:t>
      </w:r>
      <w:r w:rsidRPr="001252AA">
        <w:rPr>
          <w:szCs w:val="22"/>
        </w:rPr>
        <w:t xml:space="preserve"> na čistý kon</w:t>
      </w:r>
      <w:r>
        <w:rPr>
          <w:szCs w:val="22"/>
        </w:rPr>
        <w:t>ček</w:t>
      </w:r>
      <w:r w:rsidRPr="001252AA">
        <w:rPr>
          <w:szCs w:val="22"/>
        </w:rPr>
        <w:t xml:space="preserve"> prsta a jemne vtiera do ďasna</w:t>
      </w:r>
      <w:r>
        <w:rPr>
          <w:szCs w:val="22"/>
        </w:rPr>
        <w:t xml:space="preserve"> v mieste rastu zubov</w:t>
      </w:r>
      <w:r w:rsidRPr="001252AA">
        <w:rPr>
          <w:szCs w:val="22"/>
        </w:rPr>
        <w:t>.</w:t>
      </w:r>
    </w:p>
    <w:p w14:paraId="296C01AC" w14:textId="77777777" w:rsidR="00030576" w:rsidRDefault="00030576" w:rsidP="001317AB">
      <w:pPr>
        <w:pStyle w:val="EUNormal"/>
        <w:rPr>
          <w:szCs w:val="22"/>
        </w:rPr>
      </w:pPr>
    </w:p>
    <w:p w14:paraId="2F88EDBD" w14:textId="40E33BF8" w:rsidR="00030576" w:rsidRDefault="00030576" w:rsidP="001317AB">
      <w:pPr>
        <w:pStyle w:val="EUNormal"/>
        <w:rPr>
          <w:szCs w:val="22"/>
        </w:rPr>
      </w:pPr>
      <w:r>
        <w:rPr>
          <w:szCs w:val="22"/>
        </w:rPr>
        <w:t>Aplikáciu je možné</w:t>
      </w:r>
      <w:r w:rsidRPr="001252AA">
        <w:rPr>
          <w:szCs w:val="22"/>
        </w:rPr>
        <w:t xml:space="preserve"> </w:t>
      </w:r>
      <w:r>
        <w:rPr>
          <w:szCs w:val="22"/>
        </w:rPr>
        <w:t>v</w:t>
      </w:r>
      <w:r w:rsidRPr="001252AA">
        <w:rPr>
          <w:szCs w:val="22"/>
        </w:rPr>
        <w:t> prípade potreby opak</w:t>
      </w:r>
      <w:r>
        <w:rPr>
          <w:szCs w:val="22"/>
        </w:rPr>
        <w:t xml:space="preserve">ovať. Pred opakovanou aplikáciou </w:t>
      </w:r>
      <w:r w:rsidR="0033479E">
        <w:rPr>
          <w:szCs w:val="22"/>
        </w:rPr>
        <w:t xml:space="preserve">sa má </w:t>
      </w:r>
      <w:r>
        <w:rPr>
          <w:szCs w:val="22"/>
        </w:rPr>
        <w:t>počka</w:t>
      </w:r>
      <w:r w:rsidR="0033479E">
        <w:rPr>
          <w:szCs w:val="22"/>
        </w:rPr>
        <w:t>ť</w:t>
      </w:r>
      <w:r>
        <w:rPr>
          <w:szCs w:val="22"/>
        </w:rPr>
        <w:t xml:space="preserve"> aspoň 2 hodiny. </w:t>
      </w:r>
      <w:r w:rsidR="0033479E">
        <w:rPr>
          <w:szCs w:val="22"/>
        </w:rPr>
        <w:t xml:space="preserve">Nesmie sa prekročiť </w:t>
      </w:r>
      <w:r w:rsidRPr="001252AA">
        <w:rPr>
          <w:szCs w:val="22"/>
        </w:rPr>
        <w:t>6 aplikácií za deň</w:t>
      </w:r>
      <w:r w:rsidR="0033479E">
        <w:rPr>
          <w:szCs w:val="22"/>
        </w:rPr>
        <w:t>, nesmie sa prekročiť veľkosť jednotlivej dávky</w:t>
      </w:r>
      <w:r w:rsidRPr="001252AA">
        <w:rPr>
          <w:szCs w:val="22"/>
        </w:rPr>
        <w:t>.</w:t>
      </w:r>
    </w:p>
    <w:p w14:paraId="331545BA" w14:textId="77777777" w:rsidR="00030576" w:rsidRDefault="00030576" w:rsidP="001317AB">
      <w:pPr>
        <w:pStyle w:val="EUNormal"/>
        <w:rPr>
          <w:szCs w:val="22"/>
        </w:rPr>
      </w:pPr>
    </w:p>
    <w:p w14:paraId="5220B0C8" w14:textId="77777777" w:rsidR="00030576" w:rsidRPr="00CF3044" w:rsidRDefault="00030576" w:rsidP="001317AB">
      <w:pPr>
        <w:pStyle w:val="EUNormal"/>
        <w:rPr>
          <w:szCs w:val="22"/>
          <w:u w:val="single"/>
        </w:rPr>
      </w:pPr>
      <w:r w:rsidRPr="00CF3044">
        <w:rPr>
          <w:szCs w:val="22"/>
          <w:u w:val="single"/>
        </w:rPr>
        <w:t>Spôsob podávania</w:t>
      </w:r>
    </w:p>
    <w:p w14:paraId="4B2ADC0C" w14:textId="1182D5FC" w:rsidR="00030576" w:rsidRPr="001252AA" w:rsidRDefault="00A87287" w:rsidP="001317AB">
      <w:pPr>
        <w:pStyle w:val="EUNormal"/>
        <w:rPr>
          <w:szCs w:val="22"/>
        </w:rPr>
      </w:pPr>
      <w:r>
        <w:rPr>
          <w:szCs w:val="22"/>
        </w:rPr>
        <w:t>Orálne použitie</w:t>
      </w:r>
      <w:r w:rsidR="0033479E">
        <w:rPr>
          <w:szCs w:val="22"/>
        </w:rPr>
        <w:t xml:space="preserve">, </w:t>
      </w:r>
      <w:r w:rsidR="00030576">
        <w:rPr>
          <w:szCs w:val="22"/>
        </w:rPr>
        <w:t>na miestnu aplikáciu na postihnuté ďasno.</w:t>
      </w:r>
    </w:p>
    <w:p w14:paraId="464887B5" w14:textId="77777777" w:rsidR="00030576" w:rsidRPr="001252AA" w:rsidRDefault="00030576" w:rsidP="001317AB">
      <w:pPr>
        <w:pStyle w:val="EUNormal"/>
        <w:rPr>
          <w:szCs w:val="22"/>
        </w:rPr>
      </w:pPr>
    </w:p>
    <w:p w14:paraId="678B124D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4.3</w:t>
      </w:r>
      <w:r w:rsidRPr="001252AA">
        <w:rPr>
          <w:szCs w:val="22"/>
        </w:rPr>
        <w:tab/>
        <w:t xml:space="preserve">Kontraindikácie </w:t>
      </w:r>
    </w:p>
    <w:p w14:paraId="5D4A1539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7E1D1235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Precitlivenosť</w:t>
      </w:r>
      <w:r>
        <w:rPr>
          <w:szCs w:val="22"/>
        </w:rPr>
        <w:t xml:space="preserve"> </w:t>
      </w:r>
      <w:r w:rsidRPr="001252AA">
        <w:rPr>
          <w:szCs w:val="22"/>
        </w:rPr>
        <w:t xml:space="preserve">na liečivá alebo na ktorúkoľvek z pomocných látok </w:t>
      </w:r>
      <w:r>
        <w:rPr>
          <w:szCs w:val="22"/>
        </w:rPr>
        <w:t>uvedených v časti 6.1</w:t>
      </w:r>
      <w:r w:rsidRPr="001252AA">
        <w:rPr>
          <w:szCs w:val="22"/>
        </w:rPr>
        <w:t>.</w:t>
      </w:r>
    </w:p>
    <w:p w14:paraId="3C5067AD" w14:textId="77777777" w:rsidR="00030576" w:rsidRPr="001252AA" w:rsidRDefault="00030576" w:rsidP="001317AB">
      <w:pPr>
        <w:pStyle w:val="EUNormal"/>
        <w:rPr>
          <w:szCs w:val="22"/>
        </w:rPr>
      </w:pPr>
    </w:p>
    <w:p w14:paraId="73A62B64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lastRenderedPageBreak/>
        <w:t>4.4</w:t>
      </w:r>
      <w:r w:rsidRPr="001252AA">
        <w:rPr>
          <w:szCs w:val="22"/>
        </w:rPr>
        <w:tab/>
        <w:t>Osobitné upozornenia a opatrenia pri používaní</w:t>
      </w:r>
    </w:p>
    <w:p w14:paraId="48DB8979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2935C166" w14:textId="1F1D426B" w:rsidR="00030576" w:rsidRDefault="00030576" w:rsidP="001317AB">
      <w:pPr>
        <w:pStyle w:val="EUNormal"/>
        <w:rPr>
          <w:szCs w:val="22"/>
        </w:rPr>
      </w:pPr>
      <w:r w:rsidRPr="00E16879">
        <w:rPr>
          <w:szCs w:val="22"/>
        </w:rPr>
        <w:t xml:space="preserve">Rumanček, minoritná súčasť bylinkovej prísady upravujúcej chuť, môže byť príčinou alergických reakcií. Prejavy </w:t>
      </w:r>
      <w:r w:rsidR="0033479E">
        <w:rPr>
          <w:szCs w:val="22"/>
        </w:rPr>
        <w:t>precitlivenosti</w:t>
      </w:r>
      <w:r w:rsidRPr="00E16879">
        <w:rPr>
          <w:szCs w:val="22"/>
        </w:rPr>
        <w:t xml:space="preserve"> na rumanček sa zvyčajne </w:t>
      </w:r>
      <w:r w:rsidR="0033479E">
        <w:rPr>
          <w:szCs w:val="22"/>
        </w:rPr>
        <w:t>prejavujú</w:t>
      </w:r>
      <w:r w:rsidRPr="00E16879">
        <w:rPr>
          <w:szCs w:val="22"/>
        </w:rPr>
        <w:t xml:space="preserve"> dýchacími ťažkosťami u </w:t>
      </w:r>
      <w:proofErr w:type="spellStart"/>
      <w:r w:rsidRPr="00E16879">
        <w:rPr>
          <w:szCs w:val="22"/>
        </w:rPr>
        <w:t>atopických</w:t>
      </w:r>
      <w:proofErr w:type="spellEnd"/>
      <w:r w:rsidRPr="00E16879">
        <w:rPr>
          <w:szCs w:val="22"/>
        </w:rPr>
        <w:t xml:space="preserve"> jedincov. Boli popísané </w:t>
      </w:r>
      <w:proofErr w:type="spellStart"/>
      <w:r w:rsidRPr="00E16879">
        <w:rPr>
          <w:szCs w:val="22"/>
        </w:rPr>
        <w:t>anafylaktické</w:t>
      </w:r>
      <w:proofErr w:type="spellEnd"/>
      <w:r w:rsidRPr="00E16879">
        <w:rPr>
          <w:szCs w:val="22"/>
        </w:rPr>
        <w:t xml:space="preserve"> reakcie u jedincov požívajúcich </w:t>
      </w:r>
      <w:r w:rsidR="0033479E">
        <w:rPr>
          <w:szCs w:val="22"/>
        </w:rPr>
        <w:t>rastlinné</w:t>
      </w:r>
      <w:r w:rsidRPr="00E16879">
        <w:rPr>
          <w:szCs w:val="22"/>
        </w:rPr>
        <w:t xml:space="preserve"> prípravky s obsahom rumančeka. U citlivých jedincov sa môžu vyskytovať pozitívne kožné reakcie pri používaní prípravkov obsahujúcich rumanček.</w:t>
      </w:r>
    </w:p>
    <w:p w14:paraId="0E4922C0" w14:textId="77777777" w:rsidR="0033479E" w:rsidRDefault="0033479E" w:rsidP="001317AB">
      <w:pPr>
        <w:pStyle w:val="EUNormal"/>
        <w:rPr>
          <w:szCs w:val="22"/>
        </w:rPr>
      </w:pPr>
    </w:p>
    <w:p w14:paraId="26C6D82C" w14:textId="77777777" w:rsidR="0033479E" w:rsidRPr="00E16879" w:rsidRDefault="0033479E" w:rsidP="0033479E">
      <w:pPr>
        <w:pStyle w:val="EUNormal"/>
        <w:rPr>
          <w:szCs w:val="22"/>
        </w:rPr>
      </w:pPr>
      <w:r>
        <w:rPr>
          <w:szCs w:val="22"/>
        </w:rPr>
        <w:t xml:space="preserve">Liek obsahuje aj alkohol, </w:t>
      </w:r>
      <w:proofErr w:type="spellStart"/>
      <w:r>
        <w:rPr>
          <w:szCs w:val="22"/>
        </w:rPr>
        <w:t>sorbitol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hydrogénricínomakrogol</w:t>
      </w:r>
      <w:proofErr w:type="spellEnd"/>
      <w:r>
        <w:rPr>
          <w:szCs w:val="22"/>
        </w:rPr>
        <w:t xml:space="preserve">. Množstvo potenciálne prehltnutého alkoholu, </w:t>
      </w:r>
      <w:proofErr w:type="spellStart"/>
      <w:r>
        <w:rPr>
          <w:szCs w:val="22"/>
        </w:rPr>
        <w:t>sorbitolu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hydrogénricínomakrogolu</w:t>
      </w:r>
      <w:proofErr w:type="spellEnd"/>
      <w:r>
        <w:rPr>
          <w:szCs w:val="22"/>
        </w:rPr>
        <w:t xml:space="preserve"> je však zanedbateľné. Obsah </w:t>
      </w:r>
      <w:proofErr w:type="spellStart"/>
      <w:r>
        <w:rPr>
          <w:szCs w:val="22"/>
        </w:rPr>
        <w:t>sorbitolu</w:t>
      </w:r>
      <w:proofErr w:type="spellEnd"/>
      <w:r>
        <w:rPr>
          <w:szCs w:val="22"/>
        </w:rPr>
        <w:t xml:space="preserve"> sa má zvážiť u osôb so </w:t>
      </w:r>
      <w:proofErr w:type="spellStart"/>
      <w:r>
        <w:rPr>
          <w:szCs w:val="22"/>
        </w:rPr>
        <w:t>vzácynmi</w:t>
      </w:r>
      <w:proofErr w:type="spellEnd"/>
      <w:r>
        <w:rPr>
          <w:szCs w:val="22"/>
        </w:rPr>
        <w:t xml:space="preserve"> dedičnými problémami intolerancie </w:t>
      </w:r>
      <w:proofErr w:type="spellStart"/>
      <w:r>
        <w:rPr>
          <w:szCs w:val="22"/>
        </w:rPr>
        <w:t>furktózy</w:t>
      </w:r>
      <w:proofErr w:type="spellEnd"/>
      <w:r>
        <w:rPr>
          <w:szCs w:val="22"/>
        </w:rPr>
        <w:t xml:space="preserve">. Obsah </w:t>
      </w:r>
      <w:proofErr w:type="spellStart"/>
      <w:r>
        <w:rPr>
          <w:szCs w:val="22"/>
        </w:rPr>
        <w:t>hydrogénricínomakrogolu</w:t>
      </w:r>
      <w:proofErr w:type="spellEnd"/>
      <w:r>
        <w:rPr>
          <w:szCs w:val="22"/>
        </w:rPr>
        <w:t xml:space="preserve"> môže vyvolať podráždenie žalúdka a hnačku.</w:t>
      </w:r>
    </w:p>
    <w:p w14:paraId="355FE135" w14:textId="77777777" w:rsidR="00030576" w:rsidRPr="001252AA" w:rsidRDefault="00030576" w:rsidP="0033479E">
      <w:pPr>
        <w:pStyle w:val="EUNormal"/>
        <w:rPr>
          <w:szCs w:val="22"/>
        </w:rPr>
      </w:pPr>
    </w:p>
    <w:p w14:paraId="3A4F8433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4.5</w:t>
      </w:r>
      <w:r w:rsidRPr="001252AA">
        <w:rPr>
          <w:szCs w:val="22"/>
        </w:rPr>
        <w:tab/>
        <w:t>Liekové a iné interakcie</w:t>
      </w:r>
    </w:p>
    <w:p w14:paraId="178F591E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715A9D67" w14:textId="4089C1BC" w:rsidR="00030576" w:rsidRDefault="00030576" w:rsidP="001317AB">
      <w:pPr>
        <w:pStyle w:val="EUNormal"/>
        <w:rPr>
          <w:szCs w:val="22"/>
        </w:rPr>
      </w:pPr>
      <w:r>
        <w:rPr>
          <w:szCs w:val="22"/>
        </w:rPr>
        <w:t>N</w:t>
      </w:r>
      <w:r w:rsidRPr="001252AA">
        <w:rPr>
          <w:szCs w:val="22"/>
        </w:rPr>
        <w:t>ie sú známe</w:t>
      </w:r>
      <w:r w:rsidR="0033479E">
        <w:rPr>
          <w:szCs w:val="22"/>
        </w:rPr>
        <w:t>.</w:t>
      </w:r>
    </w:p>
    <w:p w14:paraId="3C555987" w14:textId="7FDA3258" w:rsidR="0033479E" w:rsidRDefault="00030576" w:rsidP="0033479E">
      <w:pPr>
        <w:pStyle w:val="EUNormal"/>
        <w:rPr>
          <w:szCs w:val="22"/>
        </w:rPr>
      </w:pPr>
      <w:r w:rsidRPr="001252AA">
        <w:rPr>
          <w:szCs w:val="22"/>
        </w:rPr>
        <w:t xml:space="preserve">Boli hlásené liekové interakcie medzi intravenózne podanými liečivami </w:t>
      </w:r>
      <w:proofErr w:type="spellStart"/>
      <w:r w:rsidRPr="001252AA">
        <w:rPr>
          <w:szCs w:val="22"/>
        </w:rPr>
        <w:t>lidokaínom</w:t>
      </w:r>
      <w:proofErr w:type="spellEnd"/>
      <w:r w:rsidRPr="001252AA">
        <w:rPr>
          <w:szCs w:val="22"/>
        </w:rPr>
        <w:t xml:space="preserve"> a perorálnym </w:t>
      </w:r>
      <w:proofErr w:type="spellStart"/>
      <w:r w:rsidRPr="001252AA">
        <w:rPr>
          <w:szCs w:val="22"/>
        </w:rPr>
        <w:t>prokaínamidom</w:t>
      </w:r>
      <w:proofErr w:type="spellEnd"/>
      <w:r w:rsidRPr="001252AA">
        <w:rPr>
          <w:szCs w:val="22"/>
        </w:rPr>
        <w:t xml:space="preserve">, perorálnym </w:t>
      </w:r>
      <w:proofErr w:type="spellStart"/>
      <w:r w:rsidRPr="001252AA">
        <w:rPr>
          <w:szCs w:val="22"/>
        </w:rPr>
        <w:t>fenytoínom</w:t>
      </w:r>
      <w:proofErr w:type="spellEnd"/>
      <w:r w:rsidRPr="001252AA">
        <w:rPr>
          <w:szCs w:val="22"/>
        </w:rPr>
        <w:t xml:space="preserve"> samostatne alebo v kombinácii s </w:t>
      </w:r>
      <w:proofErr w:type="spellStart"/>
      <w:r w:rsidRPr="001252AA">
        <w:rPr>
          <w:szCs w:val="22"/>
        </w:rPr>
        <w:t>fenobarbitalom</w:t>
      </w:r>
      <w:proofErr w:type="spellEnd"/>
      <w:r w:rsidRPr="001252AA">
        <w:rPr>
          <w:szCs w:val="22"/>
        </w:rPr>
        <w:t xml:space="preserve">, </w:t>
      </w:r>
      <w:proofErr w:type="spellStart"/>
      <w:r w:rsidRPr="001252AA">
        <w:rPr>
          <w:szCs w:val="22"/>
        </w:rPr>
        <w:t>primidónom</w:t>
      </w:r>
      <w:proofErr w:type="spellEnd"/>
      <w:r w:rsidRPr="001252AA">
        <w:rPr>
          <w:szCs w:val="22"/>
        </w:rPr>
        <w:t xml:space="preserve"> alebo </w:t>
      </w:r>
      <w:proofErr w:type="spellStart"/>
      <w:r w:rsidRPr="001252AA">
        <w:rPr>
          <w:szCs w:val="22"/>
        </w:rPr>
        <w:t>karbamazepínom</w:t>
      </w:r>
      <w:proofErr w:type="spellEnd"/>
      <w:r w:rsidRPr="001252AA">
        <w:rPr>
          <w:szCs w:val="22"/>
        </w:rPr>
        <w:t xml:space="preserve">, perorálnym </w:t>
      </w:r>
      <w:proofErr w:type="spellStart"/>
      <w:r w:rsidRPr="001252AA">
        <w:rPr>
          <w:szCs w:val="22"/>
        </w:rPr>
        <w:t>prop</w:t>
      </w:r>
      <w:r>
        <w:rPr>
          <w:szCs w:val="22"/>
        </w:rPr>
        <w:t>r</w:t>
      </w:r>
      <w:r w:rsidRPr="001252AA">
        <w:rPr>
          <w:szCs w:val="22"/>
        </w:rPr>
        <w:t>anololom</w:t>
      </w:r>
      <w:proofErr w:type="spellEnd"/>
      <w:r w:rsidRPr="001252AA">
        <w:rPr>
          <w:szCs w:val="22"/>
        </w:rPr>
        <w:t xml:space="preserve"> a kálium nešetriacimi diuretikami, vrátane </w:t>
      </w:r>
      <w:proofErr w:type="spellStart"/>
      <w:r w:rsidRPr="001252AA">
        <w:rPr>
          <w:szCs w:val="22"/>
        </w:rPr>
        <w:t>bumetanidu</w:t>
      </w:r>
      <w:proofErr w:type="spellEnd"/>
      <w:r w:rsidRPr="001252AA">
        <w:rPr>
          <w:szCs w:val="22"/>
        </w:rPr>
        <w:t xml:space="preserve">, </w:t>
      </w:r>
      <w:proofErr w:type="spellStart"/>
      <w:r w:rsidRPr="001252AA">
        <w:rPr>
          <w:szCs w:val="22"/>
        </w:rPr>
        <w:t>furosemidu</w:t>
      </w:r>
      <w:proofErr w:type="spellEnd"/>
      <w:r w:rsidRPr="001252AA">
        <w:rPr>
          <w:szCs w:val="22"/>
        </w:rPr>
        <w:t xml:space="preserve"> a </w:t>
      </w:r>
      <w:proofErr w:type="spellStart"/>
      <w:r w:rsidRPr="001252AA">
        <w:rPr>
          <w:szCs w:val="22"/>
        </w:rPr>
        <w:t>tiazid</w:t>
      </w:r>
      <w:r w:rsidR="0033479E">
        <w:rPr>
          <w:szCs w:val="22"/>
        </w:rPr>
        <w:t>u</w:t>
      </w:r>
      <w:proofErr w:type="spellEnd"/>
      <w:r w:rsidR="0033479E">
        <w:rPr>
          <w:szCs w:val="22"/>
        </w:rPr>
        <w:t>.</w:t>
      </w:r>
    </w:p>
    <w:p w14:paraId="3158531B" w14:textId="77777777" w:rsidR="0033479E" w:rsidRDefault="0033479E" w:rsidP="0033479E">
      <w:pPr>
        <w:pStyle w:val="EUNormal"/>
        <w:rPr>
          <w:szCs w:val="22"/>
        </w:rPr>
      </w:pPr>
    </w:p>
    <w:p w14:paraId="2478FC17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 xml:space="preserve">Tieto účinky nie sú pravdepodobne pre používanie zubného gélu </w:t>
      </w:r>
      <w:proofErr w:type="spellStart"/>
      <w:r w:rsidRPr="001252AA">
        <w:rPr>
          <w:szCs w:val="22"/>
        </w:rPr>
        <w:t>Calgel</w:t>
      </w:r>
      <w:proofErr w:type="spellEnd"/>
      <w:r w:rsidRPr="001252AA">
        <w:rPr>
          <w:szCs w:val="22"/>
        </w:rPr>
        <w:t xml:space="preserve"> relevantné.</w:t>
      </w:r>
    </w:p>
    <w:p w14:paraId="506BCA8F" w14:textId="77777777" w:rsidR="00030576" w:rsidRPr="001252AA" w:rsidRDefault="00030576" w:rsidP="001317AB">
      <w:pPr>
        <w:pStyle w:val="EUNormal"/>
        <w:rPr>
          <w:szCs w:val="22"/>
        </w:rPr>
      </w:pPr>
    </w:p>
    <w:p w14:paraId="52469F5F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4.6</w:t>
      </w:r>
      <w:r w:rsidRPr="001252AA">
        <w:rPr>
          <w:szCs w:val="22"/>
        </w:rPr>
        <w:tab/>
      </w:r>
      <w:r>
        <w:rPr>
          <w:szCs w:val="22"/>
        </w:rPr>
        <w:t>Fertilita, g</w:t>
      </w:r>
      <w:r w:rsidRPr="001252AA">
        <w:rPr>
          <w:szCs w:val="22"/>
        </w:rPr>
        <w:t>ravidita a laktácia</w:t>
      </w:r>
    </w:p>
    <w:p w14:paraId="7A5CEE07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5A247FAC" w14:textId="77777777" w:rsidR="00030576" w:rsidRPr="00E16879" w:rsidRDefault="00030576" w:rsidP="001317AB">
      <w:pPr>
        <w:pStyle w:val="EUNormal"/>
        <w:rPr>
          <w:szCs w:val="22"/>
        </w:rPr>
      </w:pPr>
      <w:r w:rsidRPr="00E16879">
        <w:rPr>
          <w:szCs w:val="22"/>
        </w:rPr>
        <w:t>Liek je určený na používanie u batoliat a dojčiat, a preto používanie počas gravidity a dojčenia neprichádza do úvahy.</w:t>
      </w:r>
    </w:p>
    <w:p w14:paraId="4542D083" w14:textId="77777777" w:rsidR="00030576" w:rsidRPr="001252AA" w:rsidRDefault="00030576" w:rsidP="001317AB">
      <w:pPr>
        <w:pStyle w:val="EUNormal"/>
        <w:rPr>
          <w:szCs w:val="22"/>
        </w:rPr>
      </w:pPr>
    </w:p>
    <w:p w14:paraId="2F460210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4.7</w:t>
      </w:r>
      <w:r w:rsidRPr="001252AA">
        <w:rPr>
          <w:szCs w:val="22"/>
        </w:rPr>
        <w:tab/>
        <w:t>Ovplyvnenie schopnosti viesť vozidlá a obsluhovať stroje</w:t>
      </w:r>
    </w:p>
    <w:p w14:paraId="2BC9FCCD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7EF407E8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Netýka sa.</w:t>
      </w:r>
    </w:p>
    <w:p w14:paraId="72E03B66" w14:textId="77777777" w:rsidR="00030576" w:rsidRPr="001252AA" w:rsidRDefault="00030576" w:rsidP="001317AB">
      <w:pPr>
        <w:pStyle w:val="EUNormal"/>
        <w:rPr>
          <w:szCs w:val="22"/>
        </w:rPr>
      </w:pPr>
    </w:p>
    <w:p w14:paraId="1F53BC75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4.8</w:t>
      </w:r>
      <w:r w:rsidRPr="001252AA">
        <w:rPr>
          <w:szCs w:val="22"/>
        </w:rPr>
        <w:tab/>
        <w:t>Nežiaduce účinky</w:t>
      </w:r>
    </w:p>
    <w:p w14:paraId="6A71867B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2040FC72" w14:textId="77777777" w:rsidR="00030576" w:rsidRPr="00672977" w:rsidRDefault="00030576" w:rsidP="001317AB">
      <w:pPr>
        <w:pStyle w:val="EUNormal"/>
        <w:rPr>
          <w:bCs/>
          <w:szCs w:val="22"/>
        </w:rPr>
      </w:pPr>
      <w:r w:rsidRPr="00672977">
        <w:rPr>
          <w:szCs w:val="22"/>
        </w:rPr>
        <w:t xml:space="preserve">Nežiaduce účinky hlásené v sledovaní po uvedení </w:t>
      </w:r>
      <w:r>
        <w:rPr>
          <w:szCs w:val="22"/>
        </w:rPr>
        <w:t xml:space="preserve">na trh </w:t>
      </w:r>
      <w:proofErr w:type="spellStart"/>
      <w:r w:rsidRPr="00672977">
        <w:rPr>
          <w:szCs w:val="22"/>
        </w:rPr>
        <w:t>cetylpyridínu</w:t>
      </w:r>
      <w:proofErr w:type="spellEnd"/>
      <w:r w:rsidRPr="00672977">
        <w:rPr>
          <w:szCs w:val="22"/>
        </w:rPr>
        <w:t>/</w:t>
      </w:r>
      <w:proofErr w:type="spellStart"/>
      <w:r w:rsidRPr="00672977">
        <w:rPr>
          <w:szCs w:val="22"/>
        </w:rPr>
        <w:t>lidokaínu</w:t>
      </w:r>
      <w:proofErr w:type="spellEnd"/>
      <w:r w:rsidRPr="00672977">
        <w:rPr>
          <w:szCs w:val="22"/>
        </w:rPr>
        <w:t xml:space="preserve"> s frekvenciou výskytu po</w:t>
      </w:r>
      <w:r w:rsidRPr="00672977">
        <w:rPr>
          <w:bCs/>
          <w:szCs w:val="22"/>
        </w:rPr>
        <w:t>dľa tejto konvenčnej klasifikácie:</w:t>
      </w:r>
    </w:p>
    <w:p w14:paraId="78215A22" w14:textId="77777777" w:rsidR="00030576" w:rsidRPr="00672977" w:rsidRDefault="00030576" w:rsidP="001317AB">
      <w:pPr>
        <w:pStyle w:val="EUNormal"/>
        <w:rPr>
          <w:szCs w:val="22"/>
        </w:rPr>
      </w:pPr>
      <w:r w:rsidRPr="00672977">
        <w:rPr>
          <w:szCs w:val="22"/>
        </w:rPr>
        <w:t>veľmi časté</w:t>
      </w:r>
      <w:r w:rsidRPr="00672977">
        <w:rPr>
          <w:szCs w:val="22"/>
        </w:rPr>
        <w:tab/>
      </w:r>
      <w:r w:rsidRPr="00672977">
        <w:rPr>
          <w:szCs w:val="22"/>
        </w:rPr>
        <w:tab/>
        <w:t>≥1/10</w:t>
      </w:r>
    </w:p>
    <w:p w14:paraId="328BB773" w14:textId="77777777" w:rsidR="00030576" w:rsidRPr="00672977" w:rsidRDefault="00030576" w:rsidP="001317AB">
      <w:pPr>
        <w:pStyle w:val="EUNormal"/>
        <w:rPr>
          <w:szCs w:val="22"/>
        </w:rPr>
      </w:pPr>
      <w:r w:rsidRPr="00672977">
        <w:rPr>
          <w:szCs w:val="22"/>
        </w:rPr>
        <w:t>časté</w:t>
      </w:r>
      <w:r w:rsidRPr="00672977">
        <w:rPr>
          <w:szCs w:val="22"/>
        </w:rPr>
        <w:tab/>
      </w:r>
      <w:r w:rsidRPr="00672977">
        <w:rPr>
          <w:szCs w:val="22"/>
        </w:rPr>
        <w:tab/>
      </w:r>
      <w:r w:rsidRPr="00672977">
        <w:rPr>
          <w:szCs w:val="22"/>
        </w:rPr>
        <w:tab/>
      </w:r>
      <w:r>
        <w:rPr>
          <w:szCs w:val="22"/>
        </w:rPr>
        <w:tab/>
      </w:r>
      <w:r w:rsidRPr="00672977">
        <w:rPr>
          <w:szCs w:val="22"/>
        </w:rPr>
        <w:t>≥1/100 až &lt;1/10</w:t>
      </w:r>
    </w:p>
    <w:p w14:paraId="35097C3D" w14:textId="77777777" w:rsidR="00030576" w:rsidRPr="00672977" w:rsidRDefault="00030576" w:rsidP="001317AB">
      <w:pPr>
        <w:pStyle w:val="EUNormal"/>
        <w:rPr>
          <w:szCs w:val="22"/>
        </w:rPr>
      </w:pPr>
      <w:r w:rsidRPr="00672977">
        <w:rPr>
          <w:szCs w:val="22"/>
        </w:rPr>
        <w:t>menej časté</w:t>
      </w:r>
      <w:r w:rsidRPr="00672977">
        <w:rPr>
          <w:szCs w:val="22"/>
        </w:rPr>
        <w:tab/>
      </w:r>
      <w:r w:rsidRPr="00672977">
        <w:rPr>
          <w:szCs w:val="22"/>
        </w:rPr>
        <w:tab/>
        <w:t>≥1/1000 až &lt;1/100</w:t>
      </w:r>
    </w:p>
    <w:p w14:paraId="47EFF23F" w14:textId="77777777" w:rsidR="00030576" w:rsidRPr="00672977" w:rsidRDefault="00030576" w:rsidP="001317AB">
      <w:pPr>
        <w:pStyle w:val="EUNormal"/>
        <w:rPr>
          <w:szCs w:val="22"/>
        </w:rPr>
      </w:pPr>
      <w:r w:rsidRPr="00672977">
        <w:rPr>
          <w:szCs w:val="22"/>
        </w:rPr>
        <w:t>zriedkavé</w:t>
      </w:r>
      <w:r w:rsidRPr="00672977">
        <w:rPr>
          <w:szCs w:val="22"/>
        </w:rPr>
        <w:tab/>
      </w:r>
      <w:r w:rsidRPr="00672977">
        <w:rPr>
          <w:szCs w:val="22"/>
        </w:rPr>
        <w:tab/>
        <w:t>≥1/10 000 až &lt;1/1000</w:t>
      </w:r>
    </w:p>
    <w:p w14:paraId="5B2D3CAB" w14:textId="77777777" w:rsidR="00030576" w:rsidRPr="00672977" w:rsidRDefault="00030576" w:rsidP="001317AB">
      <w:pPr>
        <w:pStyle w:val="EUNormal"/>
        <w:rPr>
          <w:szCs w:val="22"/>
        </w:rPr>
      </w:pPr>
      <w:r w:rsidRPr="00672977">
        <w:rPr>
          <w:szCs w:val="22"/>
        </w:rPr>
        <w:t>veľmi zriedkavé</w:t>
      </w:r>
      <w:r w:rsidRPr="00672977">
        <w:rPr>
          <w:szCs w:val="22"/>
        </w:rPr>
        <w:tab/>
      </w:r>
      <w:r>
        <w:rPr>
          <w:szCs w:val="22"/>
        </w:rPr>
        <w:tab/>
      </w:r>
      <w:r w:rsidRPr="00672977">
        <w:rPr>
          <w:szCs w:val="22"/>
        </w:rPr>
        <w:t>&lt;1/10 000</w:t>
      </w:r>
    </w:p>
    <w:p w14:paraId="717D4788" w14:textId="70CA4D22" w:rsidR="00030576" w:rsidRPr="00672977" w:rsidRDefault="00030576" w:rsidP="001317AB">
      <w:pPr>
        <w:pStyle w:val="EUNormal"/>
        <w:rPr>
          <w:szCs w:val="22"/>
        </w:rPr>
      </w:pPr>
      <w:r w:rsidRPr="00672977">
        <w:rPr>
          <w:szCs w:val="22"/>
        </w:rPr>
        <w:t>neznáme (z dostupných údajov)</w:t>
      </w:r>
    </w:p>
    <w:p w14:paraId="6E2E1D52" w14:textId="77777777" w:rsidR="00030576" w:rsidRPr="00672977" w:rsidRDefault="00030576" w:rsidP="0033479E">
      <w:pPr>
        <w:pStyle w:val="EUNormal"/>
        <w:rPr>
          <w:szCs w:val="22"/>
        </w:rPr>
      </w:pPr>
    </w:p>
    <w:p w14:paraId="7A27C8CC" w14:textId="77777777" w:rsidR="00030576" w:rsidRPr="00672977" w:rsidRDefault="00030576" w:rsidP="001317AB">
      <w:pPr>
        <w:pStyle w:val="EUNormal"/>
        <w:rPr>
          <w:b/>
          <w:szCs w:val="22"/>
        </w:rPr>
      </w:pPr>
      <w:r w:rsidRPr="00672977">
        <w:rPr>
          <w:b/>
          <w:szCs w:val="22"/>
        </w:rPr>
        <w:t>Trieda orgánových systémov</w:t>
      </w:r>
      <w:r w:rsidRPr="00672977">
        <w:rPr>
          <w:b/>
          <w:szCs w:val="22"/>
        </w:rPr>
        <w:tab/>
      </w:r>
      <w:r w:rsidRPr="00672977">
        <w:rPr>
          <w:b/>
          <w:szCs w:val="22"/>
        </w:rPr>
        <w:tab/>
        <w:t>nežiaduci účinok</w:t>
      </w:r>
    </w:p>
    <w:p w14:paraId="634F3D9B" w14:textId="77777777" w:rsidR="00030576" w:rsidRPr="00672977" w:rsidRDefault="00030576" w:rsidP="0033479E">
      <w:pPr>
        <w:pStyle w:val="EUNormal"/>
        <w:rPr>
          <w:b/>
          <w:szCs w:val="22"/>
        </w:rPr>
      </w:pPr>
      <w:r w:rsidRPr="00672977">
        <w:rPr>
          <w:b/>
          <w:szCs w:val="22"/>
        </w:rPr>
        <w:t>vyjadrenie frekvencie</w:t>
      </w:r>
    </w:p>
    <w:p w14:paraId="71FB5B1E" w14:textId="77777777" w:rsidR="00030576" w:rsidRPr="00672977" w:rsidRDefault="00030576" w:rsidP="0033479E">
      <w:pPr>
        <w:pStyle w:val="EUNormal"/>
        <w:rPr>
          <w:b/>
          <w:szCs w:val="22"/>
        </w:rPr>
      </w:pPr>
    </w:p>
    <w:p w14:paraId="52E378BF" w14:textId="77777777" w:rsidR="00030576" w:rsidRPr="00672977" w:rsidRDefault="00030576" w:rsidP="0033479E">
      <w:pPr>
        <w:pStyle w:val="EUNormal"/>
        <w:rPr>
          <w:b/>
          <w:i/>
          <w:szCs w:val="22"/>
        </w:rPr>
      </w:pPr>
      <w:r w:rsidRPr="00672977">
        <w:rPr>
          <w:b/>
          <w:i/>
          <w:szCs w:val="22"/>
        </w:rPr>
        <w:t>Poruchy imunitného systému</w:t>
      </w:r>
    </w:p>
    <w:p w14:paraId="7B9C121F" w14:textId="77777777" w:rsidR="00030576" w:rsidRPr="00672977" w:rsidRDefault="00030576" w:rsidP="0033479E">
      <w:pPr>
        <w:pStyle w:val="EUNormal"/>
        <w:rPr>
          <w:b/>
          <w:i/>
          <w:szCs w:val="22"/>
        </w:rPr>
      </w:pPr>
    </w:p>
    <w:p w14:paraId="2D702E31" w14:textId="1BFDF23D" w:rsidR="00030576" w:rsidRPr="00672977" w:rsidRDefault="00030576" w:rsidP="0033479E">
      <w:pPr>
        <w:pStyle w:val="EUNormal"/>
        <w:rPr>
          <w:szCs w:val="22"/>
        </w:rPr>
      </w:pPr>
      <w:r w:rsidRPr="00672977">
        <w:rPr>
          <w:szCs w:val="22"/>
        </w:rPr>
        <w:t>veľmi zriedkavé</w:t>
      </w:r>
      <w:r w:rsidRPr="00672977">
        <w:rPr>
          <w:szCs w:val="22"/>
        </w:rPr>
        <w:tab/>
      </w:r>
      <w:r w:rsidRPr="00672977">
        <w:rPr>
          <w:szCs w:val="22"/>
        </w:rPr>
        <w:tab/>
      </w:r>
      <w:r w:rsidRPr="00672977">
        <w:rPr>
          <w:szCs w:val="22"/>
        </w:rPr>
        <w:tab/>
      </w:r>
      <w:r w:rsidR="0033479E">
        <w:rPr>
          <w:szCs w:val="22"/>
        </w:rPr>
        <w:t>precitlivenosť</w:t>
      </w:r>
      <w:r w:rsidRPr="00672977">
        <w:rPr>
          <w:szCs w:val="22"/>
        </w:rPr>
        <w:t xml:space="preserve"> (vrátane dermatitídy)</w:t>
      </w:r>
    </w:p>
    <w:p w14:paraId="43A8DC40" w14:textId="77777777" w:rsidR="00030576" w:rsidRPr="00672977" w:rsidRDefault="00030576" w:rsidP="0033479E">
      <w:pPr>
        <w:pStyle w:val="EUNormal"/>
        <w:rPr>
          <w:szCs w:val="22"/>
        </w:rPr>
      </w:pPr>
    </w:p>
    <w:p w14:paraId="401663E8" w14:textId="77777777" w:rsidR="00030576" w:rsidRPr="00672977" w:rsidRDefault="00030576" w:rsidP="00A87287">
      <w:pPr>
        <w:pStyle w:val="EUNormal"/>
        <w:keepNext/>
        <w:rPr>
          <w:b/>
          <w:i/>
          <w:szCs w:val="22"/>
        </w:rPr>
      </w:pPr>
      <w:r w:rsidRPr="00672977">
        <w:rPr>
          <w:b/>
          <w:i/>
          <w:szCs w:val="22"/>
        </w:rPr>
        <w:lastRenderedPageBreak/>
        <w:t>Celkové poruchy a reakcie v mieste podania</w:t>
      </w:r>
    </w:p>
    <w:p w14:paraId="3603A142" w14:textId="77777777" w:rsidR="00030576" w:rsidRPr="00672977" w:rsidRDefault="00030576" w:rsidP="00A87287">
      <w:pPr>
        <w:pStyle w:val="EUNormal"/>
        <w:keepNext/>
        <w:rPr>
          <w:szCs w:val="22"/>
        </w:rPr>
      </w:pPr>
    </w:p>
    <w:p w14:paraId="444E42FC" w14:textId="77777777" w:rsidR="00030576" w:rsidRPr="00672977" w:rsidRDefault="00030576" w:rsidP="00A87287">
      <w:pPr>
        <w:pStyle w:val="EUNormal"/>
        <w:keepNext/>
        <w:rPr>
          <w:szCs w:val="22"/>
        </w:rPr>
      </w:pPr>
      <w:r w:rsidRPr="00672977">
        <w:rPr>
          <w:szCs w:val="22"/>
        </w:rPr>
        <w:t>veľmi zriedkavé</w:t>
      </w:r>
      <w:r w:rsidRPr="00672977">
        <w:rPr>
          <w:szCs w:val="22"/>
        </w:rPr>
        <w:tab/>
      </w:r>
      <w:r w:rsidRPr="00672977">
        <w:rPr>
          <w:szCs w:val="22"/>
        </w:rPr>
        <w:tab/>
      </w:r>
      <w:r w:rsidRPr="00672977">
        <w:rPr>
          <w:szCs w:val="22"/>
        </w:rPr>
        <w:tab/>
        <w:t xml:space="preserve">reakcie v mieste aplikácie (vrátane </w:t>
      </w:r>
      <w:proofErr w:type="spellStart"/>
      <w:r w:rsidRPr="00672977">
        <w:rPr>
          <w:szCs w:val="22"/>
        </w:rPr>
        <w:t>erytému</w:t>
      </w:r>
      <w:proofErr w:type="spellEnd"/>
      <w:r w:rsidRPr="00672977">
        <w:rPr>
          <w:szCs w:val="22"/>
        </w:rPr>
        <w:t>)</w:t>
      </w:r>
    </w:p>
    <w:p w14:paraId="096C8781" w14:textId="77777777" w:rsidR="00030576" w:rsidRPr="001252AA" w:rsidRDefault="00030576" w:rsidP="001317AB">
      <w:pPr>
        <w:pStyle w:val="EUNormal"/>
        <w:rPr>
          <w:szCs w:val="22"/>
        </w:rPr>
      </w:pPr>
    </w:p>
    <w:p w14:paraId="23971E0E" w14:textId="77777777" w:rsidR="00030576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 xml:space="preserve">V prípade výskytu akýchkoľvek neočakávaných nežiaducich účinkov </w:t>
      </w:r>
      <w:r>
        <w:rPr>
          <w:szCs w:val="22"/>
        </w:rPr>
        <w:t xml:space="preserve">sa </w:t>
      </w:r>
      <w:r w:rsidRPr="001252AA">
        <w:rPr>
          <w:szCs w:val="22"/>
        </w:rPr>
        <w:t>musí používanie lieku</w:t>
      </w:r>
      <w:r>
        <w:rPr>
          <w:szCs w:val="22"/>
        </w:rPr>
        <w:t xml:space="preserve"> ukončiť</w:t>
      </w:r>
      <w:r w:rsidRPr="001252AA">
        <w:rPr>
          <w:szCs w:val="22"/>
        </w:rPr>
        <w:t xml:space="preserve"> a je </w:t>
      </w:r>
      <w:r>
        <w:rPr>
          <w:szCs w:val="22"/>
        </w:rPr>
        <w:t>potrebná konzultácia</w:t>
      </w:r>
      <w:r w:rsidRPr="001252AA">
        <w:rPr>
          <w:szCs w:val="22"/>
        </w:rPr>
        <w:t xml:space="preserve"> s lekárom.</w:t>
      </w:r>
    </w:p>
    <w:p w14:paraId="7768CFC8" w14:textId="77777777" w:rsidR="00030576" w:rsidRDefault="00030576" w:rsidP="001317AB">
      <w:pPr>
        <w:pStyle w:val="EUNormal"/>
        <w:rPr>
          <w:szCs w:val="22"/>
        </w:rPr>
      </w:pPr>
    </w:p>
    <w:p w14:paraId="0AF81D8D" w14:textId="77777777" w:rsidR="00030576" w:rsidRPr="006109A4" w:rsidRDefault="00030576" w:rsidP="001317AB">
      <w:pPr>
        <w:pStyle w:val="EUNormal"/>
        <w:rPr>
          <w:szCs w:val="22"/>
          <w:u w:val="single"/>
        </w:rPr>
      </w:pPr>
      <w:r w:rsidRPr="006109A4">
        <w:rPr>
          <w:szCs w:val="22"/>
          <w:u w:val="single"/>
        </w:rPr>
        <w:t>Hlásenie podozrení na nežiaduce reakcie</w:t>
      </w:r>
    </w:p>
    <w:p w14:paraId="6B92614B" w14:textId="2D3D6D97" w:rsidR="00030576" w:rsidRPr="001252AA" w:rsidRDefault="00030576" w:rsidP="001317AB">
      <w:pPr>
        <w:pStyle w:val="EUNormal"/>
        <w:rPr>
          <w:szCs w:val="22"/>
        </w:rPr>
      </w:pPr>
      <w:r w:rsidRPr="006109A4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3479E">
        <w:rPr>
          <w:szCs w:val="22"/>
        </w:rPr>
        <w:t xml:space="preserve">na </w:t>
      </w:r>
      <w:r w:rsidR="0033479E" w:rsidRPr="0033479E">
        <w:rPr>
          <w:szCs w:val="22"/>
          <w:highlight w:val="lightGray"/>
        </w:rPr>
        <w:t>národné centrum</w:t>
      </w:r>
      <w:r w:rsidR="0033479E" w:rsidRPr="001317AB">
        <w:rPr>
          <w:highlight w:val="lightGray"/>
        </w:rPr>
        <w:t xml:space="preserve"> hlásenia </w:t>
      </w:r>
      <w:r w:rsidR="0033479E" w:rsidRPr="0033479E">
        <w:rPr>
          <w:szCs w:val="22"/>
          <w:highlight w:val="lightGray"/>
        </w:rPr>
        <w:t>uvedené</w:t>
      </w:r>
      <w:r w:rsidRPr="001317AB">
        <w:rPr>
          <w:highlight w:val="lightGray"/>
        </w:rPr>
        <w:t xml:space="preserve"> v </w:t>
      </w:r>
      <w:hyperlink r:id="rId7" w:history="1">
        <w:r w:rsidRPr="001317AB">
          <w:rPr>
            <w:highlight w:val="lightGray"/>
          </w:rPr>
          <w:t>Prílohe V</w:t>
        </w:r>
      </w:hyperlink>
      <w:r w:rsidRPr="0033479E">
        <w:rPr>
          <w:szCs w:val="22"/>
          <w:highlight w:val="lightGray"/>
        </w:rPr>
        <w:t>.</w:t>
      </w:r>
    </w:p>
    <w:p w14:paraId="69AB677D" w14:textId="77777777" w:rsidR="00030576" w:rsidRPr="001252AA" w:rsidRDefault="00030576" w:rsidP="001317AB">
      <w:pPr>
        <w:pStyle w:val="EUNormal"/>
        <w:rPr>
          <w:szCs w:val="22"/>
        </w:rPr>
      </w:pPr>
    </w:p>
    <w:p w14:paraId="6FAE2051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4.9</w:t>
      </w:r>
      <w:r w:rsidRPr="001252AA">
        <w:rPr>
          <w:szCs w:val="22"/>
        </w:rPr>
        <w:tab/>
        <w:t>Predávkovanie</w:t>
      </w:r>
    </w:p>
    <w:p w14:paraId="061AB193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491B087A" w14:textId="77777777" w:rsidR="00030576" w:rsidRPr="00672977" w:rsidRDefault="00030576" w:rsidP="0033479E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proofErr w:type="spellStart"/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>Cetylpyridín</w:t>
      </w:r>
      <w:proofErr w:type="spellEnd"/>
    </w:p>
    <w:p w14:paraId="2D211361" w14:textId="77777777" w:rsidR="00030576" w:rsidRPr="00672977" w:rsidRDefault="00030576" w:rsidP="001317AB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Požitie vysokých dávok </w:t>
      </w:r>
      <w:proofErr w:type="spellStart"/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>cetylpyridínu</w:t>
      </w:r>
      <w:proofErr w:type="spellEnd"/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môže spôsobiť žalúdočnú nevoľnosť a depresiu centrálneho nervového systému.</w:t>
      </w:r>
    </w:p>
    <w:p w14:paraId="68F128A8" w14:textId="77777777" w:rsidR="00030576" w:rsidRPr="00672977" w:rsidRDefault="00030576" w:rsidP="0033479E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14:paraId="06B1AC9F" w14:textId="77777777" w:rsidR="00030576" w:rsidRPr="00672977" w:rsidRDefault="00030576" w:rsidP="0033479E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proofErr w:type="spellStart"/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>Lidokaín</w:t>
      </w:r>
      <w:proofErr w:type="spellEnd"/>
    </w:p>
    <w:p w14:paraId="6937FF57" w14:textId="77777777" w:rsidR="00030576" w:rsidRPr="00672977" w:rsidRDefault="00030576" w:rsidP="001317AB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>Systémové toxické účinky lokálnych anestetík (všetkých liekových foriem) môžu zahrnovať účinky na centrálny nervový systém a srdcovú činnosť.</w:t>
      </w:r>
    </w:p>
    <w:p w14:paraId="244B938F" w14:textId="77777777" w:rsidR="0033479E" w:rsidRDefault="0033479E" w:rsidP="0033479E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14:paraId="02689E75" w14:textId="64132446" w:rsidR="00030576" w:rsidRPr="001317AB" w:rsidRDefault="00030576" w:rsidP="001317AB">
      <w:pPr>
        <w:pStyle w:val="Nadpis3"/>
        <w:spacing w:before="0" w:after="0"/>
        <w:rPr>
          <w:rFonts w:ascii="Times New Roman" w:hAnsi="Times New Roman"/>
          <w:b w:val="0"/>
          <w:sz w:val="22"/>
          <w:lang w:val="sk-SK"/>
        </w:rPr>
      </w:pPr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>Z analýzy sledovania po uvedení na trh neboli identifikované žiadne príznaky predávkovania tohto lieku.</w:t>
      </w:r>
      <w:r w:rsidR="0033479E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Pr="001317AB">
        <w:rPr>
          <w:rFonts w:ascii="Times New Roman" w:hAnsi="Times New Roman"/>
          <w:b w:val="0"/>
          <w:sz w:val="22"/>
          <w:lang w:val="sk-SK"/>
        </w:rPr>
        <w:t xml:space="preserve">Nadmerná lokálna aplikácia lieku </w:t>
      </w:r>
      <w:proofErr w:type="spellStart"/>
      <w:r w:rsidRPr="001317AB">
        <w:rPr>
          <w:rFonts w:ascii="Times New Roman" w:hAnsi="Times New Roman"/>
          <w:b w:val="0"/>
          <w:sz w:val="22"/>
          <w:lang w:val="sk-SK"/>
        </w:rPr>
        <w:t>Calgel</w:t>
      </w:r>
      <w:proofErr w:type="spellEnd"/>
      <w:r w:rsidRPr="001317AB">
        <w:rPr>
          <w:rFonts w:ascii="Times New Roman" w:hAnsi="Times New Roman"/>
          <w:b w:val="0"/>
          <w:sz w:val="22"/>
          <w:lang w:val="sk-SK"/>
        </w:rPr>
        <w:t xml:space="preserve"> sa môže prejaviť  poruch</w:t>
      </w:r>
      <w:r w:rsidR="00C469D8">
        <w:rPr>
          <w:rFonts w:ascii="Times New Roman" w:hAnsi="Times New Roman"/>
          <w:b w:val="0"/>
          <w:sz w:val="22"/>
          <w:lang w:val="sk-SK"/>
        </w:rPr>
        <w:t>ami</w:t>
      </w:r>
      <w:r w:rsidRPr="001317AB">
        <w:rPr>
          <w:rFonts w:ascii="Times New Roman" w:hAnsi="Times New Roman"/>
          <w:b w:val="0"/>
          <w:sz w:val="22"/>
          <w:lang w:val="sk-SK"/>
        </w:rPr>
        <w:t xml:space="preserve"> funkcie hltan</w:t>
      </w:r>
      <w:r w:rsidR="00C469D8">
        <w:rPr>
          <w:rFonts w:ascii="Times New Roman" w:hAnsi="Times New Roman"/>
          <w:b w:val="0"/>
          <w:sz w:val="22"/>
          <w:lang w:val="sk-SK"/>
        </w:rPr>
        <w:t>a</w:t>
      </w:r>
      <w:r w:rsidRPr="001317AB">
        <w:rPr>
          <w:rFonts w:ascii="Times New Roman" w:hAnsi="Times New Roman"/>
          <w:b w:val="0"/>
          <w:sz w:val="22"/>
          <w:lang w:val="sk-SK"/>
        </w:rPr>
        <w:t xml:space="preserve"> s následnou poruchou prehĺtania</w:t>
      </w:r>
      <w:r w:rsidR="0033479E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="00C469D8">
        <w:rPr>
          <w:rFonts w:ascii="Times New Roman" w:hAnsi="Times New Roman" w:cs="Times New Roman"/>
          <w:b w:val="0"/>
          <w:sz w:val="22"/>
          <w:szCs w:val="22"/>
          <w:lang w:val="sk-SK"/>
        </w:rPr>
        <w:t>a</w:t>
      </w:r>
      <w:r w:rsidR="0033479E">
        <w:rPr>
          <w:rFonts w:ascii="Times New Roman" w:hAnsi="Times New Roman" w:cs="Times New Roman"/>
          <w:b w:val="0"/>
          <w:sz w:val="22"/>
          <w:szCs w:val="22"/>
          <w:lang w:val="sk-SK"/>
        </w:rPr>
        <w:t> rizikom aspirácie</w:t>
      </w:r>
      <w:r w:rsidRPr="001317AB">
        <w:rPr>
          <w:rFonts w:ascii="Times New Roman" w:hAnsi="Times New Roman"/>
          <w:b w:val="0"/>
          <w:sz w:val="22"/>
          <w:lang w:val="sk-SK"/>
        </w:rPr>
        <w:t>. Táto príhoda bola hlásená u</w:t>
      </w:r>
      <w:r w:rsidR="00C469D8">
        <w:rPr>
          <w:rFonts w:ascii="Times New Roman" w:hAnsi="Times New Roman"/>
          <w:b w:val="0"/>
          <w:sz w:val="22"/>
          <w:lang w:val="sk-SK"/>
        </w:rPr>
        <w:t> </w:t>
      </w:r>
      <w:r w:rsidRPr="001317AB">
        <w:rPr>
          <w:rFonts w:ascii="Times New Roman" w:hAnsi="Times New Roman"/>
          <w:b w:val="0"/>
          <w:sz w:val="22"/>
          <w:lang w:val="sk-SK"/>
        </w:rPr>
        <w:t>dospelého</w:t>
      </w:r>
      <w:r w:rsidR="00C469D8">
        <w:rPr>
          <w:rFonts w:ascii="Times New Roman" w:hAnsi="Times New Roman"/>
          <w:b w:val="0"/>
          <w:sz w:val="22"/>
          <w:lang w:val="sk-SK"/>
        </w:rPr>
        <w:t xml:space="preserve"> pacienta</w:t>
      </w:r>
      <w:r w:rsidRPr="001317AB">
        <w:rPr>
          <w:rFonts w:ascii="Times New Roman" w:hAnsi="Times New Roman"/>
          <w:b w:val="0"/>
          <w:sz w:val="22"/>
          <w:lang w:val="sk-SK"/>
        </w:rPr>
        <w:t xml:space="preserve">, ktorý kloktal a prehltol 5 ml 2 % roztoku </w:t>
      </w:r>
      <w:proofErr w:type="spellStart"/>
      <w:r w:rsidRPr="001317AB">
        <w:rPr>
          <w:rFonts w:ascii="Times New Roman" w:hAnsi="Times New Roman"/>
          <w:b w:val="0"/>
          <w:sz w:val="22"/>
          <w:lang w:val="sk-SK"/>
        </w:rPr>
        <w:t>lidokaíniumhydrochloridu</w:t>
      </w:r>
      <w:proofErr w:type="spellEnd"/>
      <w:r w:rsidRPr="001317AB">
        <w:rPr>
          <w:rFonts w:ascii="Times New Roman" w:hAnsi="Times New Roman"/>
          <w:b w:val="0"/>
          <w:sz w:val="22"/>
          <w:lang w:val="sk-SK"/>
        </w:rPr>
        <w:t xml:space="preserve"> (čo </w:t>
      </w:r>
      <w:r w:rsidR="00C469D8">
        <w:rPr>
          <w:rFonts w:ascii="Times New Roman" w:hAnsi="Times New Roman"/>
          <w:b w:val="0"/>
          <w:sz w:val="22"/>
          <w:lang w:val="sk-SK"/>
        </w:rPr>
        <w:t>z</w:t>
      </w:r>
      <w:r w:rsidRPr="001317AB">
        <w:rPr>
          <w:rFonts w:ascii="Times New Roman" w:hAnsi="Times New Roman"/>
          <w:b w:val="0"/>
          <w:sz w:val="22"/>
          <w:lang w:val="sk-SK"/>
        </w:rPr>
        <w:t xml:space="preserve">odpovedá 100 mg </w:t>
      </w:r>
      <w:proofErr w:type="spellStart"/>
      <w:r w:rsidRPr="001317AB">
        <w:rPr>
          <w:rFonts w:ascii="Times New Roman" w:hAnsi="Times New Roman"/>
          <w:b w:val="0"/>
          <w:sz w:val="22"/>
          <w:lang w:val="sk-SK"/>
        </w:rPr>
        <w:t>lidokaínu</w:t>
      </w:r>
      <w:proofErr w:type="spellEnd"/>
      <w:r w:rsidRPr="001317AB">
        <w:rPr>
          <w:rFonts w:ascii="Times New Roman" w:hAnsi="Times New Roman"/>
          <w:b w:val="0"/>
          <w:sz w:val="22"/>
          <w:lang w:val="sk-SK"/>
        </w:rPr>
        <w:t xml:space="preserve">). Dávka však </w:t>
      </w:r>
      <w:r w:rsidR="00C469D8">
        <w:rPr>
          <w:rFonts w:ascii="Times New Roman" w:hAnsi="Times New Roman"/>
          <w:b w:val="0"/>
          <w:sz w:val="22"/>
          <w:lang w:val="sk-SK"/>
        </w:rPr>
        <w:t>z</w:t>
      </w:r>
      <w:r w:rsidRPr="001317AB">
        <w:rPr>
          <w:rFonts w:ascii="Times New Roman" w:hAnsi="Times New Roman"/>
          <w:b w:val="0"/>
          <w:sz w:val="22"/>
          <w:lang w:val="sk-SK"/>
        </w:rPr>
        <w:t xml:space="preserve">odpovedá jednotlivej dávke 5,4 g zubného gélu </w:t>
      </w:r>
      <w:proofErr w:type="spellStart"/>
      <w:r w:rsidRPr="001317AB">
        <w:rPr>
          <w:rFonts w:ascii="Times New Roman" w:hAnsi="Times New Roman"/>
          <w:b w:val="0"/>
          <w:sz w:val="22"/>
          <w:lang w:val="sk-SK"/>
        </w:rPr>
        <w:t>Calgel</w:t>
      </w:r>
      <w:proofErr w:type="spellEnd"/>
      <w:r w:rsidRPr="001317AB">
        <w:rPr>
          <w:rFonts w:ascii="Times New Roman" w:hAnsi="Times New Roman"/>
          <w:b w:val="0"/>
          <w:sz w:val="22"/>
          <w:lang w:val="sk-SK"/>
        </w:rPr>
        <w:t xml:space="preserve"> prepočítanej na </w:t>
      </w:r>
      <w:r w:rsidR="00C469D8">
        <w:rPr>
          <w:rFonts w:ascii="Times New Roman" w:hAnsi="Times New Roman"/>
          <w:b w:val="0"/>
          <w:sz w:val="22"/>
          <w:lang w:val="sk-SK"/>
        </w:rPr>
        <w:t>z</w:t>
      </w:r>
      <w:r w:rsidRPr="001317AB">
        <w:rPr>
          <w:rFonts w:ascii="Times New Roman" w:hAnsi="Times New Roman"/>
          <w:b w:val="0"/>
          <w:sz w:val="22"/>
          <w:lang w:val="sk-SK"/>
        </w:rPr>
        <w:t xml:space="preserve">odpovedajúci povrch tela a povrch hltana u dieťaťa od 3 mesiacov. Je veľmi nepravdepodobné, a to i pri nesprávnom použití (príliš častej alebo nadmernej aplikácii) lieku </w:t>
      </w:r>
      <w:proofErr w:type="spellStart"/>
      <w:r w:rsidRPr="001317AB">
        <w:rPr>
          <w:rFonts w:ascii="Times New Roman" w:hAnsi="Times New Roman"/>
          <w:b w:val="0"/>
          <w:sz w:val="22"/>
          <w:lang w:val="sk-SK"/>
        </w:rPr>
        <w:t>Calgel</w:t>
      </w:r>
      <w:proofErr w:type="spellEnd"/>
      <w:r w:rsidRPr="001317AB">
        <w:rPr>
          <w:rFonts w:ascii="Times New Roman" w:hAnsi="Times New Roman"/>
          <w:b w:val="0"/>
          <w:sz w:val="22"/>
          <w:lang w:val="sk-SK"/>
        </w:rPr>
        <w:t xml:space="preserve">, že môže byť dosiahnutá taká koncentrácia </w:t>
      </w:r>
      <w:proofErr w:type="spellStart"/>
      <w:r w:rsidRPr="001317AB">
        <w:rPr>
          <w:rFonts w:ascii="Times New Roman" w:hAnsi="Times New Roman"/>
          <w:b w:val="0"/>
          <w:sz w:val="22"/>
          <w:lang w:val="sk-SK"/>
        </w:rPr>
        <w:t>lidokaíniumhydrochloridu</w:t>
      </w:r>
      <w:proofErr w:type="spellEnd"/>
      <w:r w:rsidRPr="001317AB">
        <w:rPr>
          <w:rFonts w:ascii="Times New Roman" w:hAnsi="Times New Roman"/>
          <w:b w:val="0"/>
          <w:sz w:val="22"/>
          <w:lang w:val="sk-SK"/>
        </w:rPr>
        <w:t xml:space="preserve"> alebo </w:t>
      </w:r>
      <w:proofErr w:type="spellStart"/>
      <w:r w:rsidRPr="001317AB">
        <w:rPr>
          <w:rFonts w:ascii="Times New Roman" w:hAnsi="Times New Roman"/>
          <w:b w:val="0"/>
          <w:sz w:val="22"/>
          <w:lang w:val="sk-SK"/>
        </w:rPr>
        <w:t>cetylpyridíniumchloridu</w:t>
      </w:r>
      <w:proofErr w:type="spellEnd"/>
      <w:r w:rsidRPr="001317AB">
        <w:rPr>
          <w:rFonts w:ascii="Times New Roman" w:hAnsi="Times New Roman"/>
          <w:b w:val="0"/>
          <w:sz w:val="22"/>
          <w:lang w:val="sk-SK"/>
        </w:rPr>
        <w:t>, ktorá môže vyvolať klinicky významné toxické účinky.</w:t>
      </w:r>
    </w:p>
    <w:p w14:paraId="0293A940" w14:textId="77777777" w:rsidR="00030576" w:rsidRDefault="00030576" w:rsidP="001317AB">
      <w:pPr>
        <w:pStyle w:val="EUNormal"/>
        <w:rPr>
          <w:szCs w:val="22"/>
        </w:rPr>
      </w:pPr>
    </w:p>
    <w:p w14:paraId="75D0BF4F" w14:textId="77777777" w:rsidR="0033479E" w:rsidRPr="001252AA" w:rsidRDefault="0033479E" w:rsidP="0033479E">
      <w:pPr>
        <w:pStyle w:val="EUNormal"/>
        <w:rPr>
          <w:szCs w:val="22"/>
        </w:rPr>
      </w:pPr>
      <w:r>
        <w:rPr>
          <w:szCs w:val="22"/>
        </w:rPr>
        <w:t>Liečba predávkovania ja symptomatická.</w:t>
      </w:r>
    </w:p>
    <w:p w14:paraId="64484057" w14:textId="77777777" w:rsidR="00030576" w:rsidRDefault="00030576" w:rsidP="0033479E">
      <w:pPr>
        <w:pStyle w:val="EUNormal"/>
        <w:rPr>
          <w:szCs w:val="22"/>
        </w:rPr>
      </w:pPr>
    </w:p>
    <w:p w14:paraId="42D92B89" w14:textId="77777777" w:rsidR="0033479E" w:rsidRPr="001252AA" w:rsidRDefault="0033479E" w:rsidP="001317AB">
      <w:pPr>
        <w:pStyle w:val="EUNormal"/>
        <w:rPr>
          <w:szCs w:val="22"/>
        </w:rPr>
      </w:pPr>
    </w:p>
    <w:p w14:paraId="2068101F" w14:textId="77777777" w:rsidR="00030576" w:rsidRPr="001252AA" w:rsidRDefault="00030576" w:rsidP="001317AB">
      <w:pPr>
        <w:pStyle w:val="EUHeading1"/>
        <w:rPr>
          <w:szCs w:val="22"/>
        </w:rPr>
      </w:pPr>
      <w:r w:rsidRPr="001252AA">
        <w:rPr>
          <w:szCs w:val="22"/>
        </w:rPr>
        <w:t>5.</w:t>
      </w:r>
      <w:r w:rsidRPr="001252AA">
        <w:rPr>
          <w:szCs w:val="22"/>
        </w:rPr>
        <w:tab/>
        <w:t>Farmakologické vlastnosti</w:t>
      </w:r>
    </w:p>
    <w:p w14:paraId="533F3793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3B43D2BA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5.1</w:t>
      </w:r>
      <w:r w:rsidRPr="001252AA">
        <w:rPr>
          <w:szCs w:val="22"/>
        </w:rPr>
        <w:tab/>
      </w:r>
      <w:proofErr w:type="spellStart"/>
      <w:r w:rsidRPr="001252AA">
        <w:rPr>
          <w:szCs w:val="22"/>
        </w:rPr>
        <w:t>Farmakodynamické</w:t>
      </w:r>
      <w:proofErr w:type="spellEnd"/>
      <w:r w:rsidRPr="001252AA">
        <w:rPr>
          <w:szCs w:val="22"/>
        </w:rPr>
        <w:t xml:space="preserve"> vlastnosti</w:t>
      </w:r>
    </w:p>
    <w:p w14:paraId="33F7F89F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4B09B770" w14:textId="7A0E681F" w:rsidR="00030576" w:rsidRPr="00672977" w:rsidRDefault="00030576" w:rsidP="001317AB">
      <w:pPr>
        <w:pStyle w:val="EUNormal"/>
        <w:rPr>
          <w:bCs/>
          <w:szCs w:val="22"/>
        </w:rPr>
      </w:pPr>
      <w:proofErr w:type="spellStart"/>
      <w:r w:rsidRPr="00672977">
        <w:rPr>
          <w:bCs/>
          <w:szCs w:val="22"/>
        </w:rPr>
        <w:t>Farmakoterapeutická</w:t>
      </w:r>
      <w:proofErr w:type="spellEnd"/>
      <w:r w:rsidRPr="00672977">
        <w:rPr>
          <w:bCs/>
          <w:szCs w:val="22"/>
        </w:rPr>
        <w:t xml:space="preserve"> skupina: </w:t>
      </w:r>
      <w:r w:rsidR="00B11DC6">
        <w:rPr>
          <w:bCs/>
          <w:szCs w:val="22"/>
        </w:rPr>
        <w:t xml:space="preserve">stomatologické liečivá, </w:t>
      </w:r>
      <w:r w:rsidRPr="00672977">
        <w:rPr>
          <w:bCs/>
          <w:szCs w:val="22"/>
        </w:rPr>
        <w:t>iné liečivá na lokálnu liečbu</w:t>
      </w:r>
    </w:p>
    <w:p w14:paraId="4ECF2F0F" w14:textId="77777777" w:rsidR="00030576" w:rsidRPr="00672977" w:rsidRDefault="00030576" w:rsidP="0033479E">
      <w:pPr>
        <w:pStyle w:val="EUNormal"/>
        <w:rPr>
          <w:bCs/>
          <w:szCs w:val="22"/>
        </w:rPr>
      </w:pPr>
      <w:proofErr w:type="spellStart"/>
      <w:r w:rsidRPr="00672977">
        <w:rPr>
          <w:bCs/>
          <w:szCs w:val="22"/>
        </w:rPr>
        <w:t>ATC</w:t>
      </w:r>
      <w:proofErr w:type="spellEnd"/>
      <w:r w:rsidRPr="00672977">
        <w:rPr>
          <w:bCs/>
          <w:szCs w:val="22"/>
        </w:rPr>
        <w:t xml:space="preserve"> kód: </w:t>
      </w:r>
      <w:proofErr w:type="spellStart"/>
      <w:r w:rsidRPr="00672977">
        <w:rPr>
          <w:bCs/>
          <w:szCs w:val="22"/>
        </w:rPr>
        <w:t>A01AD11</w:t>
      </w:r>
      <w:proofErr w:type="spellEnd"/>
    </w:p>
    <w:p w14:paraId="7D4D3773" w14:textId="77777777" w:rsidR="00030576" w:rsidRPr="00672977" w:rsidRDefault="00030576" w:rsidP="0033479E">
      <w:pPr>
        <w:pStyle w:val="EUNormal"/>
        <w:rPr>
          <w:bCs/>
          <w:szCs w:val="22"/>
        </w:rPr>
      </w:pPr>
    </w:p>
    <w:p w14:paraId="1655314A" w14:textId="20E64B7E" w:rsidR="0033479E" w:rsidRPr="0033479E" w:rsidRDefault="0033479E" w:rsidP="0033479E">
      <w:pPr>
        <w:pStyle w:val="EUNormal"/>
        <w:rPr>
          <w:bCs/>
          <w:szCs w:val="22"/>
          <w:u w:val="single"/>
        </w:rPr>
      </w:pPr>
      <w:r w:rsidRPr="0033479E">
        <w:rPr>
          <w:bCs/>
          <w:szCs w:val="22"/>
          <w:u w:val="single"/>
        </w:rPr>
        <w:t>Mechanizmus účinku</w:t>
      </w:r>
    </w:p>
    <w:p w14:paraId="5D5096C2" w14:textId="77777777" w:rsidR="00030576" w:rsidRPr="00672977" w:rsidRDefault="0033479E" w:rsidP="001317AB">
      <w:pPr>
        <w:pStyle w:val="EUNormal"/>
        <w:rPr>
          <w:bCs/>
          <w:szCs w:val="22"/>
        </w:rPr>
      </w:pPr>
      <w:proofErr w:type="spellStart"/>
      <w:r>
        <w:rPr>
          <w:bCs/>
          <w:szCs w:val="22"/>
        </w:rPr>
        <w:t>Cetylpyridíniumchlorid</w:t>
      </w:r>
      <w:proofErr w:type="spellEnd"/>
      <w:r w:rsidR="00030576" w:rsidRPr="00672977">
        <w:rPr>
          <w:bCs/>
          <w:szCs w:val="22"/>
        </w:rPr>
        <w:t xml:space="preserve">, kvartérna amóniová zlúčenina, má antiseptické účinky. Predpokladá sa, že jeho účinok súvisí so schopnosťou zvýšiť </w:t>
      </w:r>
      <w:proofErr w:type="spellStart"/>
      <w:r w:rsidR="00030576" w:rsidRPr="00672977">
        <w:rPr>
          <w:bCs/>
          <w:szCs w:val="22"/>
        </w:rPr>
        <w:t>permeabilitu</w:t>
      </w:r>
      <w:proofErr w:type="spellEnd"/>
      <w:r w:rsidR="00030576" w:rsidRPr="00672977">
        <w:rPr>
          <w:bCs/>
          <w:szCs w:val="22"/>
        </w:rPr>
        <w:t xml:space="preserve"> bakteriálnej bunkovej steny umožňujúcej únik enzýmov, </w:t>
      </w:r>
      <w:proofErr w:type="spellStart"/>
      <w:r w:rsidR="00030576" w:rsidRPr="00672977">
        <w:rPr>
          <w:bCs/>
          <w:szCs w:val="22"/>
        </w:rPr>
        <w:t>koenzýmov</w:t>
      </w:r>
      <w:proofErr w:type="spellEnd"/>
      <w:r w:rsidR="00030576" w:rsidRPr="00672977">
        <w:rPr>
          <w:bCs/>
          <w:szCs w:val="22"/>
        </w:rPr>
        <w:t xml:space="preserve"> a metabolických medziproduktov. Používa sa ako súčasť antiseptických ústnych vôd a pastiliek na liečbu miestnych infekcií ústnej dutiny a hrdla.</w:t>
      </w:r>
    </w:p>
    <w:p w14:paraId="77B47720" w14:textId="77777777" w:rsidR="00030576" w:rsidRPr="00672977" w:rsidRDefault="00030576" w:rsidP="0033479E">
      <w:pPr>
        <w:pStyle w:val="EUNormal"/>
        <w:rPr>
          <w:bCs/>
          <w:szCs w:val="22"/>
        </w:rPr>
      </w:pPr>
    </w:p>
    <w:p w14:paraId="614B00FB" w14:textId="77777777" w:rsidR="00030576" w:rsidRPr="00672977" w:rsidRDefault="00030576" w:rsidP="001317AB">
      <w:pPr>
        <w:pStyle w:val="EUNormal"/>
        <w:rPr>
          <w:bCs/>
          <w:szCs w:val="22"/>
        </w:rPr>
      </w:pPr>
      <w:proofErr w:type="spellStart"/>
      <w:r w:rsidRPr="00672977">
        <w:rPr>
          <w:bCs/>
          <w:szCs w:val="22"/>
        </w:rPr>
        <w:t>Lidokaín</w:t>
      </w:r>
      <w:proofErr w:type="spellEnd"/>
      <w:r w:rsidRPr="00672977">
        <w:rPr>
          <w:bCs/>
          <w:szCs w:val="22"/>
        </w:rPr>
        <w:t xml:space="preserve"> je lokálne anestetikum </w:t>
      </w:r>
      <w:proofErr w:type="spellStart"/>
      <w:r w:rsidRPr="00672977">
        <w:rPr>
          <w:bCs/>
          <w:szCs w:val="22"/>
        </w:rPr>
        <w:t>amidového</w:t>
      </w:r>
      <w:proofErr w:type="spellEnd"/>
      <w:r w:rsidRPr="00672977">
        <w:rPr>
          <w:bCs/>
          <w:szCs w:val="22"/>
        </w:rPr>
        <w:t xml:space="preserve"> typu a pôsobí reverzibilnou prevenciou tvorby a prenosu impulzov nervovými vláknami a na nervových zakončeniach znížením </w:t>
      </w:r>
      <w:proofErr w:type="spellStart"/>
      <w:r w:rsidRPr="00672977">
        <w:rPr>
          <w:bCs/>
          <w:szCs w:val="22"/>
        </w:rPr>
        <w:t>permeability</w:t>
      </w:r>
      <w:proofErr w:type="spellEnd"/>
      <w:r w:rsidRPr="00672977">
        <w:rPr>
          <w:bCs/>
          <w:szCs w:val="22"/>
        </w:rPr>
        <w:t xml:space="preserve"> membrány neurónu </w:t>
      </w:r>
      <w:r w:rsidRPr="00672977">
        <w:rPr>
          <w:bCs/>
          <w:szCs w:val="22"/>
        </w:rPr>
        <w:lastRenderedPageBreak/>
        <w:t xml:space="preserve">k sodným iónom. </w:t>
      </w:r>
      <w:proofErr w:type="spellStart"/>
      <w:r w:rsidRPr="00672977">
        <w:rPr>
          <w:bCs/>
          <w:szCs w:val="22"/>
        </w:rPr>
        <w:t>Lidokaín</w:t>
      </w:r>
      <w:proofErr w:type="spellEnd"/>
      <w:r w:rsidRPr="00672977">
        <w:rPr>
          <w:bCs/>
          <w:szCs w:val="22"/>
        </w:rPr>
        <w:t xml:space="preserve"> zaisťuje rýchlu </w:t>
      </w:r>
      <w:proofErr w:type="spellStart"/>
      <w:r w:rsidRPr="00672977">
        <w:rPr>
          <w:bCs/>
          <w:szCs w:val="22"/>
        </w:rPr>
        <w:t>analgéziu</w:t>
      </w:r>
      <w:proofErr w:type="spellEnd"/>
      <w:r w:rsidRPr="00672977">
        <w:rPr>
          <w:bCs/>
          <w:szCs w:val="22"/>
        </w:rPr>
        <w:t xml:space="preserve"> s nástupom účinku približne 15 minút po aplikácii, účinok môže pretrvávať od jednej do troch hodín.</w:t>
      </w:r>
    </w:p>
    <w:p w14:paraId="15718EDA" w14:textId="77777777" w:rsidR="00030576" w:rsidRPr="001252AA" w:rsidRDefault="00030576" w:rsidP="001317AB">
      <w:pPr>
        <w:pStyle w:val="EUNormal"/>
        <w:rPr>
          <w:szCs w:val="22"/>
        </w:rPr>
      </w:pPr>
    </w:p>
    <w:p w14:paraId="408209BA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5.2</w:t>
      </w:r>
      <w:r w:rsidRPr="001252AA">
        <w:rPr>
          <w:szCs w:val="22"/>
        </w:rPr>
        <w:tab/>
      </w:r>
      <w:proofErr w:type="spellStart"/>
      <w:r w:rsidRPr="001252AA">
        <w:rPr>
          <w:szCs w:val="22"/>
        </w:rPr>
        <w:t>Farmakokinetické</w:t>
      </w:r>
      <w:proofErr w:type="spellEnd"/>
      <w:r w:rsidRPr="001252AA">
        <w:rPr>
          <w:szCs w:val="22"/>
        </w:rPr>
        <w:t xml:space="preserve"> vlastnosti</w:t>
      </w:r>
    </w:p>
    <w:p w14:paraId="57BBF7D1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611EDF32" w14:textId="77777777" w:rsidR="00030576" w:rsidRPr="00672977" w:rsidRDefault="00030576" w:rsidP="001317AB">
      <w:pPr>
        <w:pStyle w:val="EUNormal"/>
        <w:rPr>
          <w:szCs w:val="22"/>
        </w:rPr>
      </w:pPr>
      <w:proofErr w:type="spellStart"/>
      <w:r w:rsidRPr="00672977">
        <w:rPr>
          <w:szCs w:val="22"/>
        </w:rPr>
        <w:t>Farmakokinetické</w:t>
      </w:r>
      <w:proofErr w:type="spellEnd"/>
      <w:r w:rsidRPr="00672977">
        <w:rPr>
          <w:szCs w:val="22"/>
        </w:rPr>
        <w:t xml:space="preserve"> štúdie s týmto liekom neboli vykonané, a preto nebola experimentálne stanovená biologická dostupnosť po aplikácii tejto kombinácie liečiv.</w:t>
      </w:r>
    </w:p>
    <w:p w14:paraId="78656BEF" w14:textId="77777777" w:rsidR="00030576" w:rsidRPr="00672977" w:rsidRDefault="00030576" w:rsidP="0033479E">
      <w:pPr>
        <w:pStyle w:val="EUNormal"/>
        <w:rPr>
          <w:szCs w:val="22"/>
        </w:rPr>
      </w:pPr>
    </w:p>
    <w:p w14:paraId="65EAA9CE" w14:textId="77777777" w:rsidR="00030576" w:rsidRPr="00CF3044" w:rsidRDefault="00086057" w:rsidP="0033479E">
      <w:pPr>
        <w:pStyle w:val="EUNormal"/>
        <w:rPr>
          <w:szCs w:val="22"/>
          <w:u w:val="single"/>
        </w:rPr>
      </w:pPr>
      <w:proofErr w:type="spellStart"/>
      <w:r>
        <w:rPr>
          <w:szCs w:val="22"/>
          <w:u w:val="single"/>
        </w:rPr>
        <w:t>Cetylpyridíniumchlorid</w:t>
      </w:r>
      <w:proofErr w:type="spellEnd"/>
    </w:p>
    <w:p w14:paraId="768138F2" w14:textId="77777777" w:rsidR="00030576" w:rsidRPr="00672977" w:rsidRDefault="00030576" w:rsidP="001317AB">
      <w:pPr>
        <w:pStyle w:val="EUNormal"/>
        <w:rPr>
          <w:szCs w:val="22"/>
        </w:rPr>
      </w:pPr>
      <w:r w:rsidRPr="00672977">
        <w:rPr>
          <w:szCs w:val="22"/>
        </w:rPr>
        <w:t xml:space="preserve">Z verejných domén neboli identifikované žiadne relevantné </w:t>
      </w:r>
      <w:proofErr w:type="spellStart"/>
      <w:r w:rsidRPr="00672977">
        <w:rPr>
          <w:szCs w:val="22"/>
        </w:rPr>
        <w:t>farmakokinetické</w:t>
      </w:r>
      <w:proofErr w:type="spellEnd"/>
      <w:r w:rsidRPr="00672977">
        <w:rPr>
          <w:szCs w:val="22"/>
        </w:rPr>
        <w:t xml:space="preserve"> štúdie.</w:t>
      </w:r>
    </w:p>
    <w:p w14:paraId="56729872" w14:textId="77777777" w:rsidR="00030576" w:rsidRPr="00672977" w:rsidRDefault="00030576" w:rsidP="0033479E">
      <w:pPr>
        <w:pStyle w:val="EUNormal"/>
        <w:rPr>
          <w:szCs w:val="22"/>
        </w:rPr>
      </w:pPr>
    </w:p>
    <w:p w14:paraId="054F2310" w14:textId="77777777" w:rsidR="00030576" w:rsidRPr="00CF3044" w:rsidRDefault="00086057" w:rsidP="0033479E">
      <w:pPr>
        <w:pStyle w:val="EUNormal"/>
        <w:rPr>
          <w:szCs w:val="22"/>
          <w:u w:val="single"/>
        </w:rPr>
      </w:pPr>
      <w:proofErr w:type="spellStart"/>
      <w:r>
        <w:rPr>
          <w:szCs w:val="22"/>
          <w:u w:val="single"/>
        </w:rPr>
        <w:t>Lidokaíniiumchlorid</w:t>
      </w:r>
      <w:proofErr w:type="spellEnd"/>
    </w:p>
    <w:p w14:paraId="4800C187" w14:textId="77777777" w:rsidR="00030576" w:rsidRPr="00672977" w:rsidRDefault="00030576" w:rsidP="001317AB">
      <w:pPr>
        <w:pStyle w:val="EUNormal"/>
        <w:rPr>
          <w:szCs w:val="22"/>
        </w:rPr>
      </w:pPr>
      <w:proofErr w:type="spellStart"/>
      <w:r w:rsidRPr="00672977">
        <w:rPr>
          <w:szCs w:val="22"/>
        </w:rPr>
        <w:t>Lidokaín</w:t>
      </w:r>
      <w:proofErr w:type="spellEnd"/>
      <w:r w:rsidRPr="00672977">
        <w:rPr>
          <w:szCs w:val="22"/>
        </w:rPr>
        <w:t xml:space="preserve"> sa rýchlo absorbuje z povrchov slizníc s rýchlym nástupom účinku do 2 minút po lokálnej aplikácii 4 % vodného roztoku </w:t>
      </w:r>
      <w:proofErr w:type="spellStart"/>
      <w:r w:rsidRPr="00672977">
        <w:rPr>
          <w:szCs w:val="22"/>
        </w:rPr>
        <w:t>lidokaínu</w:t>
      </w:r>
      <w:proofErr w:type="spellEnd"/>
      <w:r w:rsidRPr="00672977">
        <w:rPr>
          <w:szCs w:val="22"/>
        </w:rPr>
        <w:t xml:space="preserve"> na sliznicu špičky jazyka.</w:t>
      </w:r>
    </w:p>
    <w:p w14:paraId="600D3208" w14:textId="77777777" w:rsidR="00086057" w:rsidRDefault="00086057" w:rsidP="0033479E">
      <w:pPr>
        <w:pStyle w:val="EUNormal"/>
        <w:rPr>
          <w:szCs w:val="22"/>
        </w:rPr>
      </w:pPr>
    </w:p>
    <w:p w14:paraId="75453C83" w14:textId="77777777" w:rsidR="00030576" w:rsidRPr="00672977" w:rsidRDefault="00030576" w:rsidP="001317AB">
      <w:pPr>
        <w:pStyle w:val="EUNormal"/>
        <w:rPr>
          <w:szCs w:val="22"/>
        </w:rPr>
      </w:pPr>
      <w:r w:rsidRPr="00672977">
        <w:rPr>
          <w:szCs w:val="22"/>
        </w:rPr>
        <w:t xml:space="preserve">Šesťdesiatšesť percent </w:t>
      </w:r>
      <w:proofErr w:type="spellStart"/>
      <w:r w:rsidRPr="00672977">
        <w:rPr>
          <w:szCs w:val="22"/>
        </w:rPr>
        <w:t>lidokaínu</w:t>
      </w:r>
      <w:proofErr w:type="spellEnd"/>
      <w:r w:rsidRPr="00672977">
        <w:rPr>
          <w:szCs w:val="22"/>
        </w:rPr>
        <w:t xml:space="preserve"> sa viaže na bielkoviny plazmy, 90 % </w:t>
      </w:r>
      <w:proofErr w:type="spellStart"/>
      <w:r w:rsidRPr="00672977">
        <w:rPr>
          <w:szCs w:val="22"/>
        </w:rPr>
        <w:t>lidokaín</w:t>
      </w:r>
      <w:proofErr w:type="spellEnd"/>
      <w:r w:rsidRPr="00672977">
        <w:rPr>
          <w:szCs w:val="22"/>
        </w:rPr>
        <w:t xml:space="preserve"> sa metabolizuje v pečeni, a menej ako 10 % sa vylučuje v nezmenenej forme. Biologický polčas </w:t>
      </w:r>
      <w:proofErr w:type="spellStart"/>
      <w:r w:rsidRPr="00672977">
        <w:rPr>
          <w:szCs w:val="22"/>
        </w:rPr>
        <w:t>lidokaínu</w:t>
      </w:r>
      <w:proofErr w:type="spellEnd"/>
      <w:r w:rsidRPr="00672977">
        <w:rPr>
          <w:szCs w:val="22"/>
        </w:rPr>
        <w:t xml:space="preserve"> je 1,6 hodiny. Celkový telesný </w:t>
      </w:r>
      <w:proofErr w:type="spellStart"/>
      <w:r w:rsidRPr="00672977">
        <w:rPr>
          <w:szCs w:val="22"/>
        </w:rPr>
        <w:t>klírens</w:t>
      </w:r>
      <w:proofErr w:type="spellEnd"/>
      <w:r w:rsidRPr="00672977">
        <w:rPr>
          <w:szCs w:val="22"/>
        </w:rPr>
        <w:t xml:space="preserve"> je vysoký, s pečeňovou exkréciou 65 až 70 %. </w:t>
      </w:r>
      <w:proofErr w:type="spellStart"/>
      <w:r w:rsidRPr="00672977">
        <w:rPr>
          <w:szCs w:val="22"/>
        </w:rPr>
        <w:t>Lidokaín</w:t>
      </w:r>
      <w:proofErr w:type="spellEnd"/>
      <w:r w:rsidRPr="00672977">
        <w:rPr>
          <w:szCs w:val="22"/>
        </w:rPr>
        <w:t xml:space="preserve"> nie je detegovaný v žlči a nepodlieha </w:t>
      </w:r>
      <w:proofErr w:type="spellStart"/>
      <w:r w:rsidRPr="00672977">
        <w:rPr>
          <w:szCs w:val="22"/>
        </w:rPr>
        <w:t>enterohepatálnej</w:t>
      </w:r>
      <w:proofErr w:type="spellEnd"/>
      <w:r w:rsidRPr="00672977">
        <w:rPr>
          <w:szCs w:val="22"/>
        </w:rPr>
        <w:t xml:space="preserve"> cirkulácii.</w:t>
      </w:r>
    </w:p>
    <w:p w14:paraId="7C2F6519" w14:textId="77777777" w:rsidR="00030576" w:rsidRPr="001252AA" w:rsidRDefault="00030576" w:rsidP="001317AB">
      <w:pPr>
        <w:pStyle w:val="EUNormal"/>
        <w:rPr>
          <w:szCs w:val="22"/>
        </w:rPr>
      </w:pPr>
    </w:p>
    <w:p w14:paraId="4146657F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5.3</w:t>
      </w:r>
      <w:r w:rsidRPr="001252AA">
        <w:rPr>
          <w:szCs w:val="22"/>
        </w:rPr>
        <w:tab/>
        <w:t>Predklinické údaje o bezpečnosti</w:t>
      </w:r>
    </w:p>
    <w:p w14:paraId="44B084E4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42E6EACE" w14:textId="77777777" w:rsidR="00030576" w:rsidRPr="00672977" w:rsidRDefault="00030576" w:rsidP="001317AB">
      <w:pPr>
        <w:pStyle w:val="EUNormal"/>
        <w:rPr>
          <w:szCs w:val="22"/>
        </w:rPr>
      </w:pPr>
      <w:r w:rsidRPr="00672977">
        <w:rPr>
          <w:szCs w:val="22"/>
        </w:rPr>
        <w:t>Predklinické údaje získané na základe konvenčných farmakologických štúdií bezpečnosti, toxicity po opakovanom pod</w:t>
      </w:r>
      <w:r>
        <w:rPr>
          <w:szCs w:val="22"/>
        </w:rPr>
        <w:t>áv</w:t>
      </w:r>
      <w:r w:rsidRPr="00672977">
        <w:rPr>
          <w:szCs w:val="22"/>
        </w:rPr>
        <w:t>aní, genotoxicity, hodnotenia ka</w:t>
      </w:r>
      <w:r>
        <w:rPr>
          <w:szCs w:val="22"/>
        </w:rPr>
        <w:t>rcino</w:t>
      </w:r>
      <w:r w:rsidRPr="00672977">
        <w:rPr>
          <w:szCs w:val="22"/>
        </w:rPr>
        <w:t>génneho potenciálu</w:t>
      </w:r>
      <w:r>
        <w:rPr>
          <w:szCs w:val="22"/>
        </w:rPr>
        <w:t xml:space="preserve">, </w:t>
      </w:r>
      <w:r w:rsidRPr="00672977">
        <w:rPr>
          <w:szCs w:val="22"/>
        </w:rPr>
        <w:t xml:space="preserve">reprodukčnej </w:t>
      </w:r>
      <w:r>
        <w:rPr>
          <w:szCs w:val="22"/>
        </w:rPr>
        <w:t xml:space="preserve">toxicity </w:t>
      </w:r>
      <w:r w:rsidRPr="00672977">
        <w:rPr>
          <w:szCs w:val="22"/>
        </w:rPr>
        <w:t>a výv</w:t>
      </w:r>
      <w:r>
        <w:rPr>
          <w:szCs w:val="22"/>
        </w:rPr>
        <w:t>inu</w:t>
      </w:r>
      <w:r w:rsidRPr="00672977">
        <w:rPr>
          <w:szCs w:val="22"/>
        </w:rPr>
        <w:t xml:space="preserve"> neodhalili žiadne </w:t>
      </w:r>
      <w:r>
        <w:rPr>
          <w:szCs w:val="22"/>
        </w:rPr>
        <w:t>osobitné</w:t>
      </w:r>
      <w:r w:rsidRPr="00672977">
        <w:rPr>
          <w:szCs w:val="22"/>
        </w:rPr>
        <w:t xml:space="preserve"> riziko pre </w:t>
      </w:r>
      <w:r>
        <w:rPr>
          <w:szCs w:val="22"/>
        </w:rPr>
        <w:t>ľudí</w:t>
      </w:r>
      <w:r w:rsidRPr="00672977">
        <w:rPr>
          <w:szCs w:val="22"/>
        </w:rPr>
        <w:t>.</w:t>
      </w:r>
    </w:p>
    <w:p w14:paraId="2FCAC1B8" w14:textId="77777777" w:rsidR="00030576" w:rsidRDefault="00030576" w:rsidP="001317AB">
      <w:pPr>
        <w:pStyle w:val="EUNormal"/>
        <w:rPr>
          <w:szCs w:val="22"/>
        </w:rPr>
      </w:pPr>
    </w:p>
    <w:p w14:paraId="1076845E" w14:textId="77777777" w:rsidR="00030576" w:rsidRPr="001252AA" w:rsidRDefault="00030576" w:rsidP="001317AB">
      <w:pPr>
        <w:pStyle w:val="EUNormal"/>
        <w:rPr>
          <w:szCs w:val="22"/>
        </w:rPr>
      </w:pPr>
    </w:p>
    <w:p w14:paraId="2DC0B96E" w14:textId="77777777" w:rsidR="00030576" w:rsidRPr="001252AA" w:rsidRDefault="00030576" w:rsidP="001317AB">
      <w:pPr>
        <w:pStyle w:val="EUHeading1"/>
        <w:rPr>
          <w:szCs w:val="22"/>
        </w:rPr>
      </w:pPr>
      <w:r w:rsidRPr="001252AA">
        <w:rPr>
          <w:szCs w:val="22"/>
        </w:rPr>
        <w:t>6.</w:t>
      </w:r>
      <w:r w:rsidRPr="001252AA">
        <w:rPr>
          <w:szCs w:val="22"/>
        </w:rPr>
        <w:tab/>
        <w:t>Farmaceutické informácie</w:t>
      </w:r>
    </w:p>
    <w:p w14:paraId="55967C0A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092165A0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6.1</w:t>
      </w:r>
      <w:r w:rsidRPr="001252AA">
        <w:rPr>
          <w:szCs w:val="22"/>
        </w:rPr>
        <w:tab/>
        <w:t>Zoznam pomocných látok</w:t>
      </w:r>
    </w:p>
    <w:p w14:paraId="6144645E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17CB61A9" w14:textId="77777777" w:rsidR="00030576" w:rsidRPr="001252AA" w:rsidRDefault="00030576" w:rsidP="001317AB">
      <w:pPr>
        <w:pStyle w:val="EUNormal"/>
        <w:rPr>
          <w:szCs w:val="22"/>
        </w:rPr>
      </w:pPr>
      <w:r>
        <w:rPr>
          <w:szCs w:val="22"/>
        </w:rPr>
        <w:t>kryštalizujúci</w:t>
      </w:r>
      <w:r w:rsidRPr="001252AA">
        <w:rPr>
          <w:szCs w:val="22"/>
        </w:rPr>
        <w:t xml:space="preserve"> </w:t>
      </w:r>
      <w:proofErr w:type="spellStart"/>
      <w:r w:rsidRPr="001252AA">
        <w:rPr>
          <w:szCs w:val="22"/>
        </w:rPr>
        <w:t>sorbitol</w:t>
      </w:r>
      <w:proofErr w:type="spellEnd"/>
      <w:r w:rsidRPr="001252AA">
        <w:rPr>
          <w:szCs w:val="22"/>
        </w:rPr>
        <w:t xml:space="preserve"> 70 %</w:t>
      </w:r>
    </w:p>
    <w:p w14:paraId="706E5F5E" w14:textId="77777777" w:rsidR="00030576" w:rsidRPr="001252AA" w:rsidRDefault="00030576" w:rsidP="001317AB">
      <w:pPr>
        <w:pStyle w:val="EUNormal"/>
        <w:rPr>
          <w:szCs w:val="22"/>
        </w:rPr>
      </w:pPr>
      <w:proofErr w:type="spellStart"/>
      <w:r w:rsidRPr="001252AA">
        <w:rPr>
          <w:szCs w:val="22"/>
        </w:rPr>
        <w:t>xylitol</w:t>
      </w:r>
      <w:proofErr w:type="spellEnd"/>
    </w:p>
    <w:p w14:paraId="554D8438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etanol 96 %</w:t>
      </w:r>
      <w:r w:rsidR="00086057">
        <w:rPr>
          <w:szCs w:val="22"/>
        </w:rPr>
        <w:t xml:space="preserve"> (V/V)</w:t>
      </w:r>
    </w:p>
    <w:p w14:paraId="19D647EA" w14:textId="77777777" w:rsidR="00030576" w:rsidRPr="001252AA" w:rsidRDefault="00030576" w:rsidP="001317AB">
      <w:pPr>
        <w:pStyle w:val="EUNormal"/>
        <w:rPr>
          <w:szCs w:val="22"/>
        </w:rPr>
      </w:pPr>
      <w:proofErr w:type="spellStart"/>
      <w:r w:rsidRPr="001252AA">
        <w:rPr>
          <w:szCs w:val="22"/>
        </w:rPr>
        <w:t>glycerol</w:t>
      </w:r>
      <w:proofErr w:type="spellEnd"/>
    </w:p>
    <w:p w14:paraId="4C91A13E" w14:textId="77777777" w:rsidR="00030576" w:rsidRPr="001252AA" w:rsidRDefault="00030576" w:rsidP="001317AB">
      <w:pPr>
        <w:pStyle w:val="EUNormal"/>
        <w:rPr>
          <w:szCs w:val="22"/>
        </w:rPr>
      </w:pPr>
      <w:proofErr w:type="spellStart"/>
      <w:r w:rsidRPr="001252AA">
        <w:rPr>
          <w:szCs w:val="22"/>
        </w:rPr>
        <w:t>hyetelóza</w:t>
      </w:r>
      <w:proofErr w:type="spellEnd"/>
    </w:p>
    <w:p w14:paraId="09E39B12" w14:textId="77777777" w:rsidR="00030576" w:rsidRPr="001252AA" w:rsidRDefault="00030576" w:rsidP="001317AB">
      <w:pPr>
        <w:pStyle w:val="EUNormal"/>
        <w:rPr>
          <w:szCs w:val="22"/>
        </w:rPr>
      </w:pPr>
      <w:proofErr w:type="spellStart"/>
      <w:r w:rsidRPr="001252AA">
        <w:rPr>
          <w:szCs w:val="22"/>
        </w:rPr>
        <w:t>hydrogénricínomakrogol</w:t>
      </w:r>
      <w:proofErr w:type="spellEnd"/>
      <w:r w:rsidRPr="001252AA">
        <w:rPr>
          <w:szCs w:val="22"/>
        </w:rPr>
        <w:t xml:space="preserve"> 2000</w:t>
      </w:r>
    </w:p>
    <w:p w14:paraId="7BC0C951" w14:textId="77777777" w:rsidR="00030576" w:rsidRPr="001252AA" w:rsidRDefault="00030576" w:rsidP="001317AB">
      <w:pPr>
        <w:pStyle w:val="EUNormal"/>
        <w:rPr>
          <w:szCs w:val="22"/>
        </w:rPr>
      </w:pPr>
      <w:proofErr w:type="spellStart"/>
      <w:r w:rsidRPr="001252AA">
        <w:rPr>
          <w:szCs w:val="22"/>
        </w:rPr>
        <w:t>lauromakrogol</w:t>
      </w:r>
      <w:proofErr w:type="spellEnd"/>
      <w:r w:rsidRPr="001252AA">
        <w:rPr>
          <w:szCs w:val="22"/>
        </w:rPr>
        <w:t xml:space="preserve"> 450</w:t>
      </w:r>
    </w:p>
    <w:p w14:paraId="2DF82914" w14:textId="77777777" w:rsidR="00030576" w:rsidRPr="001252AA" w:rsidRDefault="00030576" w:rsidP="001317AB">
      <w:pPr>
        <w:pStyle w:val="EUNormal"/>
        <w:rPr>
          <w:szCs w:val="22"/>
        </w:rPr>
      </w:pPr>
      <w:proofErr w:type="spellStart"/>
      <w:r w:rsidRPr="001252AA">
        <w:rPr>
          <w:szCs w:val="22"/>
        </w:rPr>
        <w:t>makrogol</w:t>
      </w:r>
      <w:proofErr w:type="spellEnd"/>
      <w:r w:rsidRPr="001252AA">
        <w:rPr>
          <w:szCs w:val="22"/>
        </w:rPr>
        <w:t xml:space="preserve"> 300</w:t>
      </w:r>
    </w:p>
    <w:p w14:paraId="244CB976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sodná soľ sacharínu</w:t>
      </w:r>
    </w:p>
    <w:p w14:paraId="2E73AB80" w14:textId="77777777" w:rsidR="00030576" w:rsidRPr="001252AA" w:rsidRDefault="00030576" w:rsidP="001317AB">
      <w:pPr>
        <w:pStyle w:val="EUNormal"/>
        <w:rPr>
          <w:szCs w:val="22"/>
        </w:rPr>
      </w:pPr>
      <w:proofErr w:type="spellStart"/>
      <w:r w:rsidRPr="001252AA">
        <w:rPr>
          <w:szCs w:val="22"/>
        </w:rPr>
        <w:t>levomentol</w:t>
      </w:r>
      <w:proofErr w:type="spellEnd"/>
    </w:p>
    <w:p w14:paraId="268719DB" w14:textId="4DE3F1ED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 xml:space="preserve">bylinková </w:t>
      </w:r>
      <w:r w:rsidR="00086057">
        <w:rPr>
          <w:szCs w:val="22"/>
        </w:rPr>
        <w:t>príchuť</w:t>
      </w:r>
    </w:p>
    <w:p w14:paraId="27F79D8F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karamel</w:t>
      </w:r>
    </w:p>
    <w:p w14:paraId="616436DD" w14:textId="77777777" w:rsidR="00030576" w:rsidRDefault="00030576" w:rsidP="001317AB">
      <w:pPr>
        <w:pStyle w:val="EUNormal"/>
        <w:rPr>
          <w:szCs w:val="22"/>
        </w:rPr>
      </w:pPr>
      <w:proofErr w:type="spellStart"/>
      <w:r w:rsidRPr="001252AA">
        <w:rPr>
          <w:szCs w:val="22"/>
        </w:rPr>
        <w:t>monohydrát</w:t>
      </w:r>
      <w:proofErr w:type="spellEnd"/>
      <w:r w:rsidRPr="001252AA">
        <w:rPr>
          <w:szCs w:val="22"/>
        </w:rPr>
        <w:t xml:space="preserve"> kyseliny citrónovej</w:t>
      </w:r>
    </w:p>
    <w:p w14:paraId="5C9993CD" w14:textId="77777777" w:rsidR="00030576" w:rsidRPr="001252AA" w:rsidRDefault="00030576" w:rsidP="001317AB">
      <w:pPr>
        <w:pStyle w:val="EUNormal"/>
        <w:rPr>
          <w:szCs w:val="22"/>
        </w:rPr>
      </w:pPr>
      <w:proofErr w:type="spellStart"/>
      <w:r>
        <w:rPr>
          <w:szCs w:val="22"/>
        </w:rPr>
        <w:t>dihydrát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citrónanu</w:t>
      </w:r>
      <w:proofErr w:type="spellEnd"/>
      <w:r>
        <w:rPr>
          <w:szCs w:val="22"/>
        </w:rPr>
        <w:t xml:space="preserve"> sodného</w:t>
      </w:r>
    </w:p>
    <w:p w14:paraId="0AC7FF4F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čistená voda</w:t>
      </w:r>
    </w:p>
    <w:p w14:paraId="359A3964" w14:textId="77777777" w:rsidR="00030576" w:rsidRPr="001252AA" w:rsidRDefault="00030576" w:rsidP="001317AB">
      <w:pPr>
        <w:pStyle w:val="EUNormal"/>
        <w:rPr>
          <w:szCs w:val="22"/>
        </w:rPr>
      </w:pPr>
    </w:p>
    <w:p w14:paraId="789873F0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6.2</w:t>
      </w:r>
      <w:r w:rsidRPr="001252AA">
        <w:rPr>
          <w:szCs w:val="22"/>
        </w:rPr>
        <w:tab/>
        <w:t>Inkompatibility</w:t>
      </w:r>
    </w:p>
    <w:p w14:paraId="0BA4AA63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47295688" w14:textId="77777777" w:rsidR="00030576" w:rsidRPr="001252AA" w:rsidRDefault="00030576" w:rsidP="001317AB">
      <w:pPr>
        <w:pStyle w:val="EUNormal"/>
        <w:rPr>
          <w:szCs w:val="22"/>
        </w:rPr>
      </w:pPr>
      <w:r>
        <w:rPr>
          <w:szCs w:val="22"/>
        </w:rPr>
        <w:t>Neaplikovateľné</w:t>
      </w:r>
      <w:r w:rsidRPr="001252AA">
        <w:rPr>
          <w:szCs w:val="22"/>
        </w:rPr>
        <w:t>.</w:t>
      </w:r>
    </w:p>
    <w:p w14:paraId="17E96C96" w14:textId="77777777" w:rsidR="00030576" w:rsidRPr="001252AA" w:rsidRDefault="00030576" w:rsidP="001317AB">
      <w:pPr>
        <w:pStyle w:val="EUNormal"/>
        <w:rPr>
          <w:szCs w:val="22"/>
        </w:rPr>
      </w:pPr>
    </w:p>
    <w:p w14:paraId="70F76D69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lastRenderedPageBreak/>
        <w:t>6.3</w:t>
      </w:r>
      <w:r w:rsidRPr="001252AA">
        <w:rPr>
          <w:szCs w:val="22"/>
        </w:rPr>
        <w:tab/>
        <w:t>Čas použiteľnosti</w:t>
      </w:r>
    </w:p>
    <w:p w14:paraId="5F2D5AD1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6A01DF90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3 roky</w:t>
      </w:r>
    </w:p>
    <w:p w14:paraId="64EA76C5" w14:textId="77777777" w:rsidR="00030576" w:rsidRPr="001252AA" w:rsidRDefault="00030576" w:rsidP="001317AB">
      <w:pPr>
        <w:pStyle w:val="EUNormal"/>
        <w:rPr>
          <w:szCs w:val="22"/>
        </w:rPr>
      </w:pPr>
    </w:p>
    <w:p w14:paraId="11DB4D25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6.4</w:t>
      </w:r>
      <w:r w:rsidRPr="001252AA">
        <w:rPr>
          <w:szCs w:val="22"/>
        </w:rPr>
        <w:tab/>
        <w:t>Špeciálne upozornenia na uchovávanie</w:t>
      </w:r>
    </w:p>
    <w:p w14:paraId="252B354C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05A86893" w14:textId="3531F609" w:rsidR="00030576" w:rsidRPr="001252AA" w:rsidRDefault="00A87287" w:rsidP="001317AB">
      <w:pPr>
        <w:pStyle w:val="EUNormal"/>
        <w:rPr>
          <w:szCs w:val="22"/>
        </w:rPr>
      </w:pPr>
      <w:r>
        <w:rPr>
          <w:szCs w:val="22"/>
        </w:rPr>
        <w:t>U</w:t>
      </w:r>
      <w:r w:rsidR="00030576" w:rsidRPr="001252AA">
        <w:rPr>
          <w:szCs w:val="22"/>
        </w:rPr>
        <w:t xml:space="preserve">chovávajte pri teplote do </w:t>
      </w:r>
      <w:smartTag w:uri="urn:schemas-microsoft-com:office:smarttags" w:element="metricconverter">
        <w:smartTagPr>
          <w:attr w:name="ProductID" w:val="25 ﾰC"/>
        </w:smartTagPr>
        <w:r w:rsidR="00030576" w:rsidRPr="001252AA">
          <w:rPr>
            <w:szCs w:val="22"/>
          </w:rPr>
          <w:t>25 °C</w:t>
        </w:r>
      </w:smartTag>
      <w:r w:rsidR="00030576" w:rsidRPr="001252AA">
        <w:rPr>
          <w:szCs w:val="22"/>
        </w:rPr>
        <w:t xml:space="preserve">. </w:t>
      </w:r>
    </w:p>
    <w:p w14:paraId="28C07937" w14:textId="77777777" w:rsidR="00030576" w:rsidRPr="001252AA" w:rsidRDefault="00030576" w:rsidP="001317AB">
      <w:pPr>
        <w:pStyle w:val="EUNormal"/>
        <w:rPr>
          <w:szCs w:val="22"/>
        </w:rPr>
      </w:pPr>
    </w:p>
    <w:p w14:paraId="7AF6F417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6.5</w:t>
      </w:r>
      <w:r w:rsidRPr="001252AA">
        <w:rPr>
          <w:szCs w:val="22"/>
        </w:rPr>
        <w:tab/>
        <w:t>Druh obalu a obsah balenia</w:t>
      </w:r>
    </w:p>
    <w:p w14:paraId="6EFF10A3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4A2E27D6" w14:textId="69C6473C" w:rsidR="00030576" w:rsidRPr="001252AA" w:rsidRDefault="00086057" w:rsidP="001317AB">
      <w:pPr>
        <w:pStyle w:val="EUNormal"/>
        <w:rPr>
          <w:szCs w:val="22"/>
        </w:rPr>
      </w:pPr>
      <w:r>
        <w:rPr>
          <w:szCs w:val="22"/>
        </w:rPr>
        <w:t>Lakovaná hliníková tuba s uzáverom so závitom z</w:t>
      </w:r>
      <w:r w:rsidR="00030576" w:rsidRPr="001252AA">
        <w:rPr>
          <w:szCs w:val="22"/>
        </w:rPr>
        <w:t> plast</w:t>
      </w:r>
      <w:r>
        <w:rPr>
          <w:szCs w:val="22"/>
        </w:rPr>
        <w:t>u</w:t>
      </w:r>
      <w:r w:rsidR="00030576" w:rsidRPr="001252AA">
        <w:rPr>
          <w:szCs w:val="22"/>
        </w:rPr>
        <w:t>.</w:t>
      </w:r>
    </w:p>
    <w:p w14:paraId="67BB28DD" w14:textId="77777777" w:rsidR="00030576" w:rsidRPr="001252AA" w:rsidRDefault="00030576" w:rsidP="001317AB">
      <w:pPr>
        <w:pStyle w:val="EUNormal"/>
        <w:rPr>
          <w:szCs w:val="22"/>
        </w:rPr>
      </w:pPr>
    </w:p>
    <w:p w14:paraId="121B8440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 xml:space="preserve">Veľkosť balenia: </w:t>
      </w:r>
      <w:smartTag w:uri="urn:schemas-microsoft-com:office:smarttags" w:element="metricconverter">
        <w:smartTagPr>
          <w:attr w:name="ProductID" w:val="10 g"/>
        </w:smartTagPr>
        <w:r w:rsidRPr="001252AA">
          <w:rPr>
            <w:szCs w:val="22"/>
          </w:rPr>
          <w:t>10 g</w:t>
        </w:r>
      </w:smartTag>
      <w:r w:rsidRPr="001252AA">
        <w:rPr>
          <w:szCs w:val="22"/>
        </w:rPr>
        <w:t>.</w:t>
      </w:r>
    </w:p>
    <w:p w14:paraId="44AD362F" w14:textId="77777777" w:rsidR="00030576" w:rsidRPr="001252AA" w:rsidRDefault="00030576" w:rsidP="001317AB">
      <w:pPr>
        <w:pStyle w:val="EUNormal"/>
        <w:rPr>
          <w:szCs w:val="22"/>
        </w:rPr>
      </w:pPr>
    </w:p>
    <w:p w14:paraId="440485FC" w14:textId="77777777" w:rsidR="00030576" w:rsidRPr="001252AA" w:rsidRDefault="00030576" w:rsidP="001317AB">
      <w:pPr>
        <w:pStyle w:val="EUHeading2"/>
        <w:rPr>
          <w:szCs w:val="22"/>
        </w:rPr>
      </w:pPr>
      <w:r w:rsidRPr="001252AA">
        <w:rPr>
          <w:szCs w:val="22"/>
        </w:rPr>
        <w:t>6.6</w:t>
      </w:r>
      <w:r w:rsidRPr="001252AA">
        <w:rPr>
          <w:szCs w:val="22"/>
        </w:rPr>
        <w:tab/>
      </w:r>
      <w:r>
        <w:rPr>
          <w:szCs w:val="22"/>
        </w:rPr>
        <w:t xml:space="preserve">Špeciálne opatrenia </w:t>
      </w:r>
      <w:r w:rsidRPr="001252AA">
        <w:rPr>
          <w:szCs w:val="22"/>
        </w:rPr>
        <w:t xml:space="preserve">na likvidáciu a iné zaobchádzanie s liekom </w:t>
      </w:r>
    </w:p>
    <w:p w14:paraId="7C94F760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79E30E1D" w14:textId="1DBA17F8" w:rsidR="00086057" w:rsidRPr="001317AB" w:rsidRDefault="00086057" w:rsidP="001317AB">
      <w:pPr>
        <w:ind w:right="-432"/>
        <w:rPr>
          <w:sz w:val="22"/>
          <w:lang w:val="sk-SK"/>
        </w:rPr>
      </w:pPr>
      <w:r w:rsidRPr="00086057">
        <w:rPr>
          <w:sz w:val="22"/>
          <w:szCs w:val="22"/>
          <w:lang w:val="sk-SK"/>
        </w:rPr>
        <w:t>Všetok nepoužitý</w:t>
      </w:r>
      <w:r w:rsidRPr="001317AB">
        <w:rPr>
          <w:sz w:val="22"/>
          <w:lang w:val="sk-SK"/>
        </w:rPr>
        <w:t xml:space="preserve"> liek alebo odpad vzniknutý z lieku </w:t>
      </w:r>
      <w:r w:rsidRPr="00086057">
        <w:rPr>
          <w:sz w:val="22"/>
          <w:szCs w:val="22"/>
          <w:lang w:val="sk-SK"/>
        </w:rPr>
        <w:t>sa má zlikvidovať v súlade s národnými požiadavkami.</w:t>
      </w:r>
    </w:p>
    <w:p w14:paraId="16A172A3" w14:textId="77777777" w:rsidR="00030576" w:rsidRPr="00672977" w:rsidRDefault="00030576" w:rsidP="001317AB">
      <w:pPr>
        <w:pStyle w:val="EUNormal"/>
        <w:rPr>
          <w:szCs w:val="22"/>
        </w:rPr>
      </w:pPr>
    </w:p>
    <w:p w14:paraId="4AB793AF" w14:textId="77777777" w:rsidR="00030576" w:rsidRPr="00672977" w:rsidRDefault="00030576" w:rsidP="001317AB">
      <w:pPr>
        <w:pStyle w:val="EUNormal"/>
        <w:rPr>
          <w:szCs w:val="22"/>
        </w:rPr>
      </w:pPr>
    </w:p>
    <w:p w14:paraId="7FA96A73" w14:textId="77777777" w:rsidR="00030576" w:rsidRPr="00672977" w:rsidRDefault="00030576" w:rsidP="001317AB">
      <w:pPr>
        <w:pStyle w:val="EUHeading1"/>
        <w:rPr>
          <w:szCs w:val="22"/>
        </w:rPr>
      </w:pPr>
      <w:r w:rsidRPr="00672977">
        <w:rPr>
          <w:szCs w:val="22"/>
        </w:rPr>
        <w:t>7.</w:t>
      </w:r>
      <w:r w:rsidRPr="00672977">
        <w:rPr>
          <w:szCs w:val="22"/>
        </w:rPr>
        <w:tab/>
        <w:t>Držiteľ rozhodnutia o registrácii</w:t>
      </w:r>
    </w:p>
    <w:p w14:paraId="2165C1BA" w14:textId="77777777" w:rsidR="00030576" w:rsidRPr="00672977" w:rsidRDefault="00030576" w:rsidP="001317AB">
      <w:pPr>
        <w:pStyle w:val="EUNormalafterheader"/>
        <w:rPr>
          <w:szCs w:val="22"/>
        </w:rPr>
      </w:pPr>
    </w:p>
    <w:p w14:paraId="7D97486F" w14:textId="77777777" w:rsidR="003B2D3E" w:rsidRPr="00556C24" w:rsidRDefault="003B2D3E" w:rsidP="003B2D3E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McNeil </w:t>
      </w:r>
      <w:r>
        <w:rPr>
          <w:sz w:val="22"/>
          <w:szCs w:val="22"/>
        </w:rPr>
        <w:t xml:space="preserve">Healthcare (Ireland) </w:t>
      </w:r>
      <w:r w:rsidRPr="00556C24">
        <w:rPr>
          <w:sz w:val="22"/>
          <w:szCs w:val="22"/>
        </w:rPr>
        <w:t>Limited</w:t>
      </w:r>
    </w:p>
    <w:p w14:paraId="2FC2B805" w14:textId="77777777" w:rsidR="003B2D3E" w:rsidRDefault="003B2D3E" w:rsidP="003B2D3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Airton</w:t>
      </w:r>
      <w:proofErr w:type="spellEnd"/>
      <w:r>
        <w:rPr>
          <w:sz w:val="22"/>
          <w:szCs w:val="22"/>
        </w:rPr>
        <w:t xml:space="preserve"> Road, </w:t>
      </w:r>
      <w:proofErr w:type="spellStart"/>
      <w:r>
        <w:rPr>
          <w:sz w:val="22"/>
          <w:szCs w:val="22"/>
        </w:rPr>
        <w:t>Tallaght</w:t>
      </w:r>
      <w:proofErr w:type="spellEnd"/>
    </w:p>
    <w:p w14:paraId="5C1A6EA8" w14:textId="77777777" w:rsidR="003B2D3E" w:rsidRDefault="003B2D3E" w:rsidP="003B2D3E">
      <w:pPr>
        <w:jc w:val="both"/>
        <w:rPr>
          <w:sz w:val="22"/>
          <w:szCs w:val="22"/>
        </w:rPr>
      </w:pPr>
      <w:r>
        <w:rPr>
          <w:sz w:val="22"/>
          <w:szCs w:val="22"/>
        </w:rPr>
        <w:t>Dublin 24</w:t>
      </w:r>
    </w:p>
    <w:p w14:paraId="7D1410DF" w14:textId="77777777" w:rsidR="003B2D3E" w:rsidRDefault="003B2D3E" w:rsidP="003B2D3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Írsko</w:t>
      </w:r>
      <w:proofErr w:type="spellEnd"/>
    </w:p>
    <w:p w14:paraId="22F95064" w14:textId="77777777" w:rsidR="00030576" w:rsidRPr="001252AA" w:rsidRDefault="00030576" w:rsidP="001317AB">
      <w:pPr>
        <w:pStyle w:val="EUNormal"/>
        <w:rPr>
          <w:szCs w:val="22"/>
        </w:rPr>
      </w:pPr>
    </w:p>
    <w:p w14:paraId="518DBE4E" w14:textId="77777777" w:rsidR="00030576" w:rsidRPr="001252AA" w:rsidRDefault="00030576" w:rsidP="001317AB">
      <w:pPr>
        <w:pStyle w:val="EUNormal"/>
        <w:rPr>
          <w:szCs w:val="22"/>
        </w:rPr>
      </w:pPr>
    </w:p>
    <w:p w14:paraId="45CA9618" w14:textId="77777777" w:rsidR="00030576" w:rsidRPr="001252AA" w:rsidRDefault="00030576" w:rsidP="001317AB">
      <w:pPr>
        <w:pStyle w:val="EUHeading1"/>
        <w:rPr>
          <w:szCs w:val="22"/>
        </w:rPr>
      </w:pPr>
      <w:r w:rsidRPr="001252AA">
        <w:rPr>
          <w:szCs w:val="22"/>
        </w:rPr>
        <w:t>8.</w:t>
      </w:r>
      <w:r w:rsidRPr="001252AA">
        <w:rPr>
          <w:szCs w:val="22"/>
        </w:rPr>
        <w:tab/>
        <w:t>registračné Číslo</w:t>
      </w:r>
    </w:p>
    <w:p w14:paraId="07ECF5CE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289EA692" w14:textId="77777777" w:rsidR="00030576" w:rsidRPr="001252AA" w:rsidRDefault="00030576" w:rsidP="001317AB">
      <w:pPr>
        <w:pStyle w:val="EUNormal"/>
        <w:rPr>
          <w:szCs w:val="22"/>
        </w:rPr>
      </w:pPr>
      <w:r w:rsidRPr="001252AA">
        <w:rPr>
          <w:szCs w:val="22"/>
        </w:rPr>
        <w:t>95/0346/00-S</w:t>
      </w:r>
    </w:p>
    <w:p w14:paraId="6968F47F" w14:textId="77777777" w:rsidR="00030576" w:rsidRPr="001252AA" w:rsidRDefault="00030576" w:rsidP="001317AB">
      <w:pPr>
        <w:pStyle w:val="EUNormal"/>
        <w:rPr>
          <w:szCs w:val="22"/>
        </w:rPr>
      </w:pPr>
    </w:p>
    <w:p w14:paraId="7A789495" w14:textId="77777777" w:rsidR="00030576" w:rsidRPr="001252AA" w:rsidRDefault="00030576" w:rsidP="001317AB">
      <w:pPr>
        <w:pStyle w:val="EUNormal"/>
        <w:rPr>
          <w:szCs w:val="22"/>
        </w:rPr>
      </w:pPr>
    </w:p>
    <w:p w14:paraId="7EE92045" w14:textId="77777777" w:rsidR="00030576" w:rsidRPr="001252AA" w:rsidRDefault="00030576" w:rsidP="001317AB">
      <w:pPr>
        <w:pStyle w:val="EUHeading1"/>
        <w:rPr>
          <w:szCs w:val="22"/>
        </w:rPr>
      </w:pPr>
      <w:r w:rsidRPr="001252AA">
        <w:rPr>
          <w:szCs w:val="22"/>
        </w:rPr>
        <w:t>9.</w:t>
      </w:r>
      <w:r w:rsidRPr="001252AA">
        <w:rPr>
          <w:szCs w:val="22"/>
        </w:rPr>
        <w:tab/>
        <w:t>Dátum PRVEJ registrácie/ PREDĹŽENIA REGISTRÁCIE</w:t>
      </w:r>
    </w:p>
    <w:p w14:paraId="5087F8EB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0B6520F9" w14:textId="58B8942E" w:rsidR="00030576" w:rsidRDefault="00030576" w:rsidP="001317AB">
      <w:pPr>
        <w:pStyle w:val="EUNormal"/>
        <w:rPr>
          <w:szCs w:val="22"/>
        </w:rPr>
      </w:pPr>
      <w:r>
        <w:rPr>
          <w:szCs w:val="22"/>
        </w:rPr>
        <w:t xml:space="preserve">Dátum prvej registrácie: </w:t>
      </w:r>
      <w:proofErr w:type="spellStart"/>
      <w:r w:rsidRPr="001252AA">
        <w:rPr>
          <w:szCs w:val="22"/>
        </w:rPr>
        <w:t>31.</w:t>
      </w:r>
      <w:r>
        <w:rPr>
          <w:szCs w:val="22"/>
        </w:rPr>
        <w:t>októb</w:t>
      </w:r>
      <w:r w:rsidR="00C469D8">
        <w:rPr>
          <w:szCs w:val="22"/>
        </w:rPr>
        <w:t>ra</w:t>
      </w:r>
      <w:proofErr w:type="spellEnd"/>
      <w:r w:rsidR="00C469D8">
        <w:rPr>
          <w:szCs w:val="22"/>
        </w:rPr>
        <w:t xml:space="preserve"> </w:t>
      </w:r>
      <w:r w:rsidRPr="001252AA">
        <w:rPr>
          <w:szCs w:val="22"/>
        </w:rPr>
        <w:t>2000</w:t>
      </w:r>
    </w:p>
    <w:p w14:paraId="41AE9C84" w14:textId="6C4BBAD1" w:rsidR="00030576" w:rsidRPr="001252AA" w:rsidRDefault="00030576" w:rsidP="001317AB">
      <w:pPr>
        <w:pStyle w:val="EUNormal"/>
        <w:rPr>
          <w:szCs w:val="22"/>
        </w:rPr>
      </w:pPr>
      <w:r>
        <w:rPr>
          <w:szCs w:val="22"/>
        </w:rPr>
        <w:t>Dátum posledného predlženia registrácie: 4. máj</w:t>
      </w:r>
      <w:r w:rsidR="00C469D8">
        <w:rPr>
          <w:szCs w:val="22"/>
        </w:rPr>
        <w:t>a</w:t>
      </w:r>
      <w:r>
        <w:rPr>
          <w:szCs w:val="22"/>
        </w:rPr>
        <w:t xml:space="preserve"> 2006</w:t>
      </w:r>
    </w:p>
    <w:p w14:paraId="62B7464C" w14:textId="77777777" w:rsidR="00030576" w:rsidRPr="001252AA" w:rsidRDefault="00030576" w:rsidP="001317AB">
      <w:pPr>
        <w:pStyle w:val="EUNormal"/>
        <w:rPr>
          <w:szCs w:val="22"/>
        </w:rPr>
      </w:pPr>
    </w:p>
    <w:p w14:paraId="2C10C35A" w14:textId="77777777" w:rsidR="00030576" w:rsidRPr="001252AA" w:rsidRDefault="00030576" w:rsidP="001317AB">
      <w:pPr>
        <w:pStyle w:val="EUNormal"/>
        <w:rPr>
          <w:szCs w:val="22"/>
        </w:rPr>
      </w:pPr>
    </w:p>
    <w:p w14:paraId="1A232332" w14:textId="77777777" w:rsidR="00030576" w:rsidRPr="001252AA" w:rsidRDefault="00030576" w:rsidP="001317AB">
      <w:pPr>
        <w:pStyle w:val="EUHeading1"/>
        <w:rPr>
          <w:szCs w:val="22"/>
        </w:rPr>
      </w:pPr>
      <w:r w:rsidRPr="001252AA">
        <w:rPr>
          <w:szCs w:val="22"/>
        </w:rPr>
        <w:t>10.</w:t>
      </w:r>
      <w:r w:rsidRPr="001252AA">
        <w:rPr>
          <w:szCs w:val="22"/>
        </w:rPr>
        <w:tab/>
        <w:t>Dátum revízie textu</w:t>
      </w:r>
    </w:p>
    <w:p w14:paraId="510A044A" w14:textId="77777777" w:rsidR="00030576" w:rsidRPr="001252AA" w:rsidRDefault="00030576" w:rsidP="001317AB">
      <w:pPr>
        <w:pStyle w:val="EUNormalafterheader"/>
        <w:rPr>
          <w:szCs w:val="22"/>
        </w:rPr>
      </w:pPr>
    </w:p>
    <w:p w14:paraId="08535D88" w14:textId="3C198B8B" w:rsidR="00030576" w:rsidRPr="001252AA" w:rsidRDefault="003B2D3E" w:rsidP="001317AB">
      <w:pPr>
        <w:rPr>
          <w:sz w:val="22"/>
          <w:szCs w:val="22"/>
          <w:lang w:val="sk-SK"/>
        </w:rPr>
      </w:pPr>
      <w:bookmarkStart w:id="0" w:name="_GoBack"/>
      <w:bookmarkEnd w:id="0"/>
      <w:r>
        <w:rPr>
          <w:sz w:val="22"/>
          <w:szCs w:val="22"/>
          <w:lang w:val="sk-SK"/>
        </w:rPr>
        <w:t>12/</w:t>
      </w:r>
      <w:r w:rsidR="00B11DC6">
        <w:rPr>
          <w:sz w:val="22"/>
          <w:szCs w:val="22"/>
          <w:lang w:val="sk-SK"/>
        </w:rPr>
        <w:t>2018</w:t>
      </w:r>
    </w:p>
    <w:sectPr w:rsidR="00030576" w:rsidRPr="001252AA" w:rsidSect="00A87287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C1731" w14:textId="77777777" w:rsidR="00E74628" w:rsidRDefault="00E74628">
      <w:r>
        <w:separator/>
      </w:r>
    </w:p>
  </w:endnote>
  <w:endnote w:type="continuationSeparator" w:id="0">
    <w:p w14:paraId="4FC78CE3" w14:textId="77777777" w:rsidR="00E74628" w:rsidRDefault="00E74628">
      <w:r>
        <w:continuationSeparator/>
      </w:r>
    </w:p>
  </w:endnote>
  <w:endnote w:type="continuationNotice" w:id="1">
    <w:p w14:paraId="5DE1E88E" w14:textId="77777777" w:rsidR="00E74628" w:rsidRDefault="00E74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5511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928E127" w14:textId="55FDAB73" w:rsidR="00C469D8" w:rsidRPr="00A87287" w:rsidRDefault="00C469D8">
        <w:pPr>
          <w:pStyle w:val="Pta"/>
          <w:jc w:val="center"/>
          <w:rPr>
            <w:sz w:val="18"/>
            <w:szCs w:val="18"/>
          </w:rPr>
        </w:pPr>
        <w:r w:rsidRPr="00A87287">
          <w:rPr>
            <w:sz w:val="18"/>
            <w:szCs w:val="18"/>
          </w:rPr>
          <w:fldChar w:fldCharType="begin"/>
        </w:r>
        <w:r w:rsidRPr="00A87287">
          <w:rPr>
            <w:sz w:val="18"/>
            <w:szCs w:val="18"/>
          </w:rPr>
          <w:instrText>PAGE   \* MERGEFORMAT</w:instrText>
        </w:r>
        <w:r w:rsidRPr="00A87287">
          <w:rPr>
            <w:sz w:val="18"/>
            <w:szCs w:val="18"/>
          </w:rPr>
          <w:fldChar w:fldCharType="separate"/>
        </w:r>
        <w:r w:rsidR="00A87287" w:rsidRPr="00A87287">
          <w:rPr>
            <w:noProof/>
            <w:sz w:val="18"/>
            <w:szCs w:val="18"/>
            <w:lang w:val="sk-SK"/>
          </w:rPr>
          <w:t>1</w:t>
        </w:r>
        <w:r w:rsidRPr="00A87287">
          <w:rPr>
            <w:sz w:val="18"/>
            <w:szCs w:val="18"/>
          </w:rPr>
          <w:fldChar w:fldCharType="end"/>
        </w:r>
      </w:p>
    </w:sdtContent>
  </w:sdt>
  <w:p w14:paraId="550545E8" w14:textId="77777777" w:rsidR="00C469D8" w:rsidRDefault="00C469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EDF03" w14:textId="77777777" w:rsidR="00E74628" w:rsidRDefault="00E74628">
      <w:r>
        <w:separator/>
      </w:r>
    </w:p>
  </w:footnote>
  <w:footnote w:type="continuationSeparator" w:id="0">
    <w:p w14:paraId="6F49DD49" w14:textId="77777777" w:rsidR="00E74628" w:rsidRDefault="00E74628">
      <w:r>
        <w:continuationSeparator/>
      </w:r>
    </w:p>
  </w:footnote>
  <w:footnote w:type="continuationNotice" w:id="1">
    <w:p w14:paraId="47D3F74E" w14:textId="77777777" w:rsidR="00E74628" w:rsidRDefault="00E746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71EAE" w14:textId="1B30C8A3" w:rsidR="00EC0907" w:rsidRDefault="00EC0907" w:rsidP="00EC0907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 rozhodnutiu o zmene, ev. č.: 2017/</w:t>
    </w:r>
    <w:proofErr w:type="spellStart"/>
    <w:r>
      <w:rPr>
        <w:sz w:val="18"/>
        <w:szCs w:val="18"/>
        <w:lang w:val="sk-SK"/>
      </w:rPr>
      <w:t>03640-ZME</w:t>
    </w:r>
    <w:proofErr w:type="spellEnd"/>
  </w:p>
  <w:p w14:paraId="30AE6600" w14:textId="1FD01140" w:rsidR="003B2D3E" w:rsidRPr="00B35BE9" w:rsidRDefault="003B2D3E" w:rsidP="00EC0907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 rozhodnutiu o prevode,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.. 2018/</w:t>
    </w:r>
    <w:proofErr w:type="spellStart"/>
    <w:r>
      <w:rPr>
        <w:sz w:val="18"/>
        <w:szCs w:val="18"/>
        <w:lang w:val="sk-SK"/>
      </w:rPr>
      <w:t>07622-TR</w:t>
    </w:r>
    <w:proofErr w:type="spellEnd"/>
  </w:p>
  <w:p w14:paraId="06DDE8ED" w14:textId="77777777" w:rsidR="001317AB" w:rsidRDefault="001317AB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Klembala">
    <w15:presenceInfo w15:providerId="None" w15:userId="Peter Klemb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9A"/>
    <w:rsid w:val="00025936"/>
    <w:rsid w:val="00030576"/>
    <w:rsid w:val="0008237E"/>
    <w:rsid w:val="00086057"/>
    <w:rsid w:val="00092012"/>
    <w:rsid w:val="000B383C"/>
    <w:rsid w:val="000B5B32"/>
    <w:rsid w:val="000E3D4F"/>
    <w:rsid w:val="001008D1"/>
    <w:rsid w:val="00115F1C"/>
    <w:rsid w:val="001252AA"/>
    <w:rsid w:val="001317AB"/>
    <w:rsid w:val="001C031F"/>
    <w:rsid w:val="001C2C72"/>
    <w:rsid w:val="001D6B91"/>
    <w:rsid w:val="00223B40"/>
    <w:rsid w:val="00250D63"/>
    <w:rsid w:val="002B4A44"/>
    <w:rsid w:val="0033479E"/>
    <w:rsid w:val="003373EA"/>
    <w:rsid w:val="003B2D3E"/>
    <w:rsid w:val="00412D1F"/>
    <w:rsid w:val="004200A3"/>
    <w:rsid w:val="00506048"/>
    <w:rsid w:val="00536B0C"/>
    <w:rsid w:val="006109A4"/>
    <w:rsid w:val="00672977"/>
    <w:rsid w:val="00697C6C"/>
    <w:rsid w:val="006B11A5"/>
    <w:rsid w:val="006D6CF8"/>
    <w:rsid w:val="006E5DDB"/>
    <w:rsid w:val="007573DD"/>
    <w:rsid w:val="007835E6"/>
    <w:rsid w:val="00784408"/>
    <w:rsid w:val="007A12E1"/>
    <w:rsid w:val="007E4101"/>
    <w:rsid w:val="00807802"/>
    <w:rsid w:val="0081446C"/>
    <w:rsid w:val="008753A9"/>
    <w:rsid w:val="00875EFF"/>
    <w:rsid w:val="008A7088"/>
    <w:rsid w:val="008D5762"/>
    <w:rsid w:val="00981016"/>
    <w:rsid w:val="00A02DA0"/>
    <w:rsid w:val="00A15205"/>
    <w:rsid w:val="00A318FB"/>
    <w:rsid w:val="00A43E37"/>
    <w:rsid w:val="00A87287"/>
    <w:rsid w:val="00A924B7"/>
    <w:rsid w:val="00AC07D7"/>
    <w:rsid w:val="00AD27B5"/>
    <w:rsid w:val="00B11DC6"/>
    <w:rsid w:val="00B20F37"/>
    <w:rsid w:val="00B35BE9"/>
    <w:rsid w:val="00C040EC"/>
    <w:rsid w:val="00C2711B"/>
    <w:rsid w:val="00C469D8"/>
    <w:rsid w:val="00CA2682"/>
    <w:rsid w:val="00CB5B8C"/>
    <w:rsid w:val="00CC20D0"/>
    <w:rsid w:val="00CE45A3"/>
    <w:rsid w:val="00CF3044"/>
    <w:rsid w:val="00DD0F0A"/>
    <w:rsid w:val="00DF207B"/>
    <w:rsid w:val="00E1408D"/>
    <w:rsid w:val="00E16879"/>
    <w:rsid w:val="00E25C9A"/>
    <w:rsid w:val="00E478BC"/>
    <w:rsid w:val="00E74628"/>
    <w:rsid w:val="00E915F6"/>
    <w:rsid w:val="00EC0907"/>
    <w:rsid w:val="00EE638D"/>
    <w:rsid w:val="00EF566E"/>
    <w:rsid w:val="00F01D16"/>
    <w:rsid w:val="00F20CA4"/>
    <w:rsid w:val="00F427E7"/>
    <w:rsid w:val="00F5396E"/>
    <w:rsid w:val="00F5442A"/>
    <w:rsid w:val="00F7357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0EA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2682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A26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A2682"/>
    <w:pPr>
      <w:keepNext/>
      <w:jc w:val="both"/>
      <w:outlineLvl w:val="1"/>
    </w:pPr>
    <w:rPr>
      <w:rFonts w:ascii="Monotype Sorts" w:hAnsi="Monotype Sorts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A26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66D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66D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66D9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EUNormalafterheader">
    <w:name w:val="EU Normal after header"/>
    <w:basedOn w:val="EUNormal"/>
    <w:next w:val="EUNormal"/>
    <w:uiPriority w:val="99"/>
    <w:rsid w:val="00CA2682"/>
    <w:pPr>
      <w:keepNext/>
    </w:pPr>
  </w:style>
  <w:style w:type="paragraph" w:customStyle="1" w:styleId="EUNormal">
    <w:name w:val="EU Normal"/>
    <w:basedOn w:val="Normlny"/>
    <w:uiPriority w:val="99"/>
    <w:rsid w:val="00CA2682"/>
    <w:pPr>
      <w:tabs>
        <w:tab w:val="left" w:pos="567"/>
      </w:tabs>
    </w:pPr>
    <w:rPr>
      <w:sz w:val="22"/>
      <w:lang w:val="sk-SK"/>
    </w:rPr>
  </w:style>
  <w:style w:type="paragraph" w:customStyle="1" w:styleId="EUHeading1">
    <w:name w:val="EU Heading 1"/>
    <w:basedOn w:val="Nadpis1"/>
    <w:next w:val="EUNormalafterheader"/>
    <w:uiPriority w:val="99"/>
    <w:rsid w:val="00CA2682"/>
    <w:pPr>
      <w:tabs>
        <w:tab w:val="left" w:pos="567"/>
      </w:tabs>
      <w:spacing w:before="0" w:after="0"/>
    </w:pPr>
    <w:rPr>
      <w:rFonts w:ascii="Times New Roman" w:hAnsi="Times New Roman" w:cs="Times New Roman"/>
      <w:caps/>
      <w:kern w:val="0"/>
      <w:sz w:val="22"/>
      <w:szCs w:val="24"/>
      <w:lang w:val="sk-SK" w:eastAsia="cs-CZ"/>
    </w:rPr>
  </w:style>
  <w:style w:type="paragraph" w:customStyle="1" w:styleId="EUHeading2">
    <w:name w:val="EU Heading 2"/>
    <w:basedOn w:val="EUHeading1"/>
    <w:next w:val="EUNormalafterheader"/>
    <w:uiPriority w:val="99"/>
    <w:rsid w:val="00CA2682"/>
    <w:rPr>
      <w:caps w:val="0"/>
    </w:rPr>
  </w:style>
  <w:style w:type="paragraph" w:customStyle="1" w:styleId="EUAppendices">
    <w:name w:val="EU Appendices"/>
    <w:basedOn w:val="EUHeading1"/>
    <w:next w:val="EUNormal"/>
    <w:uiPriority w:val="99"/>
    <w:rsid w:val="00CA2682"/>
    <w:pPr>
      <w:keepNext w:val="0"/>
      <w:widowControl w:val="0"/>
      <w:jc w:val="center"/>
    </w:pPr>
  </w:style>
  <w:style w:type="character" w:styleId="Hypertextovprepojenie">
    <w:name w:val="Hyperlink"/>
    <w:basedOn w:val="Predvolenpsmoodseku"/>
    <w:uiPriority w:val="99"/>
    <w:rsid w:val="00CA2682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CA2682"/>
    <w:rPr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766D9"/>
    <w:rPr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CA2682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766D9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rsid w:val="00CA2682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5766D9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412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6D9"/>
    <w:rPr>
      <w:sz w:val="0"/>
      <w:szCs w:val="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8D57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766D9"/>
    <w:rPr>
      <w:sz w:val="0"/>
      <w:szCs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2682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A26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A2682"/>
    <w:pPr>
      <w:keepNext/>
      <w:jc w:val="both"/>
      <w:outlineLvl w:val="1"/>
    </w:pPr>
    <w:rPr>
      <w:rFonts w:ascii="Monotype Sorts" w:hAnsi="Monotype Sorts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A26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66D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66D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66D9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EUNormalafterheader">
    <w:name w:val="EU Normal after header"/>
    <w:basedOn w:val="EUNormal"/>
    <w:next w:val="EUNormal"/>
    <w:uiPriority w:val="99"/>
    <w:rsid w:val="00CA2682"/>
    <w:pPr>
      <w:keepNext/>
    </w:pPr>
  </w:style>
  <w:style w:type="paragraph" w:customStyle="1" w:styleId="EUNormal">
    <w:name w:val="EU Normal"/>
    <w:basedOn w:val="Normlny"/>
    <w:uiPriority w:val="99"/>
    <w:rsid w:val="00CA2682"/>
    <w:pPr>
      <w:tabs>
        <w:tab w:val="left" w:pos="567"/>
      </w:tabs>
    </w:pPr>
    <w:rPr>
      <w:sz w:val="22"/>
      <w:lang w:val="sk-SK"/>
    </w:rPr>
  </w:style>
  <w:style w:type="paragraph" w:customStyle="1" w:styleId="EUHeading1">
    <w:name w:val="EU Heading 1"/>
    <w:basedOn w:val="Nadpis1"/>
    <w:next w:val="EUNormalafterheader"/>
    <w:uiPriority w:val="99"/>
    <w:rsid w:val="00CA2682"/>
    <w:pPr>
      <w:tabs>
        <w:tab w:val="left" w:pos="567"/>
      </w:tabs>
      <w:spacing w:before="0" w:after="0"/>
    </w:pPr>
    <w:rPr>
      <w:rFonts w:ascii="Times New Roman" w:hAnsi="Times New Roman" w:cs="Times New Roman"/>
      <w:caps/>
      <w:kern w:val="0"/>
      <w:sz w:val="22"/>
      <w:szCs w:val="24"/>
      <w:lang w:val="sk-SK" w:eastAsia="cs-CZ"/>
    </w:rPr>
  </w:style>
  <w:style w:type="paragraph" w:customStyle="1" w:styleId="EUHeading2">
    <w:name w:val="EU Heading 2"/>
    <w:basedOn w:val="EUHeading1"/>
    <w:next w:val="EUNormalafterheader"/>
    <w:uiPriority w:val="99"/>
    <w:rsid w:val="00CA2682"/>
    <w:rPr>
      <w:caps w:val="0"/>
    </w:rPr>
  </w:style>
  <w:style w:type="paragraph" w:customStyle="1" w:styleId="EUAppendices">
    <w:name w:val="EU Appendices"/>
    <w:basedOn w:val="EUHeading1"/>
    <w:next w:val="EUNormal"/>
    <w:uiPriority w:val="99"/>
    <w:rsid w:val="00CA2682"/>
    <w:pPr>
      <w:keepNext w:val="0"/>
      <w:widowControl w:val="0"/>
      <w:jc w:val="center"/>
    </w:pPr>
  </w:style>
  <w:style w:type="character" w:styleId="Hypertextovprepojenie">
    <w:name w:val="Hyperlink"/>
    <w:basedOn w:val="Predvolenpsmoodseku"/>
    <w:uiPriority w:val="99"/>
    <w:rsid w:val="00CA2682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CA2682"/>
    <w:rPr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766D9"/>
    <w:rPr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CA2682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766D9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rsid w:val="00CA2682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5766D9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412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6D9"/>
    <w:rPr>
      <w:sz w:val="0"/>
      <w:szCs w:val="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8D57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766D9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3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7144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I</vt:lpstr>
      <vt:lpstr>PRÍLOHA I</vt:lpstr>
    </vt:vector>
  </TitlesOfParts>
  <Company>Johnson &amp; Johnson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I</dc:title>
  <dc:creator>ZOrszagh</dc:creator>
  <cp:lastModifiedBy>Natalia </cp:lastModifiedBy>
  <cp:revision>2</cp:revision>
  <cp:lastPrinted>2009-07-08T08:35:00Z</cp:lastPrinted>
  <dcterms:created xsi:type="dcterms:W3CDTF">2018-12-19T14:20:00Z</dcterms:created>
  <dcterms:modified xsi:type="dcterms:W3CDTF">2018-12-19T14:20:00Z</dcterms:modified>
</cp:coreProperties>
</file>