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DFFE9" w14:textId="77777777" w:rsidR="00582C7A" w:rsidRPr="00A344BB" w:rsidRDefault="00582C7A" w:rsidP="00C810D9">
      <w:pPr>
        <w:autoSpaceDE w:val="0"/>
        <w:autoSpaceDN w:val="0"/>
        <w:adjustRightInd w:val="0"/>
        <w:spacing w:line="240" w:lineRule="auto"/>
        <w:jc w:val="center"/>
        <w:rPr>
          <w:b/>
          <w:szCs w:val="22"/>
        </w:rPr>
      </w:pPr>
    </w:p>
    <w:p w14:paraId="6E8F3C66" w14:textId="77777777" w:rsidR="00582C7A" w:rsidRPr="00A344BB" w:rsidRDefault="00582C7A" w:rsidP="00C810D9">
      <w:pPr>
        <w:autoSpaceDE w:val="0"/>
        <w:autoSpaceDN w:val="0"/>
        <w:adjustRightInd w:val="0"/>
        <w:spacing w:line="240" w:lineRule="auto"/>
        <w:jc w:val="center"/>
        <w:rPr>
          <w:b/>
          <w:szCs w:val="22"/>
        </w:rPr>
      </w:pPr>
    </w:p>
    <w:p w14:paraId="080CFC16" w14:textId="77777777" w:rsidR="002F07D4" w:rsidRPr="00A344BB" w:rsidRDefault="002F07D4" w:rsidP="00C810D9">
      <w:pPr>
        <w:autoSpaceDE w:val="0"/>
        <w:autoSpaceDN w:val="0"/>
        <w:adjustRightInd w:val="0"/>
        <w:spacing w:line="240" w:lineRule="auto"/>
        <w:jc w:val="center"/>
        <w:rPr>
          <w:b/>
          <w:bCs/>
          <w:szCs w:val="22"/>
        </w:rPr>
      </w:pPr>
      <w:r w:rsidRPr="00A344BB">
        <w:rPr>
          <w:b/>
          <w:szCs w:val="22"/>
        </w:rPr>
        <w:t>SÚHRN CHARAKTERISTICKÝCH VLASTNOSTÍ LIEKU</w:t>
      </w:r>
    </w:p>
    <w:p w14:paraId="752F822D" w14:textId="77777777" w:rsidR="002F07D4" w:rsidRPr="00A344BB" w:rsidRDefault="002F07D4" w:rsidP="00C810D9">
      <w:pPr>
        <w:autoSpaceDE w:val="0"/>
        <w:autoSpaceDN w:val="0"/>
        <w:adjustRightInd w:val="0"/>
        <w:spacing w:line="240" w:lineRule="auto"/>
        <w:rPr>
          <w:b/>
          <w:bCs/>
          <w:szCs w:val="22"/>
        </w:rPr>
      </w:pPr>
    </w:p>
    <w:p w14:paraId="3AA1DC4D" w14:textId="77777777" w:rsidR="00B54061" w:rsidRPr="00A344BB" w:rsidRDefault="00B54061" w:rsidP="00C810D9">
      <w:pPr>
        <w:autoSpaceDE w:val="0"/>
        <w:autoSpaceDN w:val="0"/>
        <w:adjustRightInd w:val="0"/>
        <w:spacing w:line="240" w:lineRule="auto"/>
        <w:rPr>
          <w:b/>
          <w:bCs/>
          <w:szCs w:val="22"/>
        </w:rPr>
      </w:pPr>
    </w:p>
    <w:p w14:paraId="6E8D5BCC" w14:textId="77777777" w:rsidR="002F07D4" w:rsidRPr="00A344BB" w:rsidRDefault="002F07D4" w:rsidP="00C810D9">
      <w:pPr>
        <w:pStyle w:val="Odsekzoznamu"/>
        <w:numPr>
          <w:ilvl w:val="0"/>
          <w:numId w:val="1"/>
        </w:numPr>
        <w:autoSpaceDE w:val="0"/>
        <w:autoSpaceDN w:val="0"/>
        <w:adjustRightInd w:val="0"/>
        <w:spacing w:after="0" w:line="240" w:lineRule="auto"/>
        <w:ind w:left="284" w:hanging="284"/>
        <w:rPr>
          <w:rFonts w:ascii="Times New Roman" w:hAnsi="Times New Roman" w:cs="Times New Roman"/>
          <w:b/>
          <w:bCs/>
          <w:color w:val="auto"/>
          <w:sz w:val="22"/>
          <w:szCs w:val="22"/>
        </w:rPr>
      </w:pPr>
      <w:r w:rsidRPr="00A344BB">
        <w:rPr>
          <w:rFonts w:ascii="Times New Roman" w:hAnsi="Times New Roman" w:cs="Times New Roman"/>
          <w:b/>
          <w:color w:val="auto"/>
          <w:sz w:val="22"/>
          <w:szCs w:val="22"/>
        </w:rPr>
        <w:tab/>
        <w:t>NÁZOV LIEKU</w:t>
      </w:r>
    </w:p>
    <w:p w14:paraId="40079B8B" w14:textId="77777777" w:rsidR="004748A0" w:rsidRPr="00A344BB" w:rsidRDefault="004748A0" w:rsidP="00C810D9">
      <w:pPr>
        <w:spacing w:line="240" w:lineRule="auto"/>
        <w:outlineLvl w:val="0"/>
        <w:rPr>
          <w:noProof/>
          <w:szCs w:val="22"/>
          <w:lang w:val="en-US"/>
        </w:rPr>
      </w:pPr>
    </w:p>
    <w:p w14:paraId="7EE6F5D7" w14:textId="77777777" w:rsidR="00765D72" w:rsidRPr="00A344BB" w:rsidRDefault="00765D72" w:rsidP="00C810D9">
      <w:pPr>
        <w:spacing w:line="240" w:lineRule="auto"/>
        <w:outlineLvl w:val="0"/>
        <w:rPr>
          <w:noProof/>
          <w:szCs w:val="22"/>
          <w:lang w:val="en-US"/>
        </w:rPr>
      </w:pPr>
      <w:r w:rsidRPr="00A344BB">
        <w:rPr>
          <w:noProof/>
          <w:szCs w:val="22"/>
          <w:lang w:val="en-US"/>
        </w:rPr>
        <w:t>PTEROCYN 250 mg</w:t>
      </w:r>
    </w:p>
    <w:p w14:paraId="7D722AD8" w14:textId="77777777" w:rsidR="00765D72" w:rsidRPr="00A344BB" w:rsidRDefault="00765D72" w:rsidP="00C810D9">
      <w:pPr>
        <w:spacing w:line="240" w:lineRule="auto"/>
        <w:outlineLvl w:val="0"/>
        <w:rPr>
          <w:noProof/>
          <w:szCs w:val="22"/>
          <w:lang w:val="en-US"/>
        </w:rPr>
      </w:pPr>
      <w:r w:rsidRPr="00A344BB">
        <w:rPr>
          <w:noProof/>
          <w:szCs w:val="22"/>
          <w:lang w:val="en-US"/>
        </w:rPr>
        <w:t>PTEROCYN 500 mg</w:t>
      </w:r>
    </w:p>
    <w:p w14:paraId="1FE2967C" w14:textId="77777777" w:rsidR="00FA6C17" w:rsidRPr="00A344BB" w:rsidRDefault="00765D72" w:rsidP="00C810D9">
      <w:pPr>
        <w:spacing w:line="240" w:lineRule="auto"/>
        <w:outlineLvl w:val="0"/>
        <w:rPr>
          <w:noProof/>
          <w:szCs w:val="22"/>
          <w:lang w:val="en-US"/>
        </w:rPr>
      </w:pPr>
      <w:r w:rsidRPr="00A344BB">
        <w:rPr>
          <w:noProof/>
          <w:szCs w:val="22"/>
          <w:lang w:val="en-US"/>
        </w:rPr>
        <w:t>PTEROCYN 1000 mg</w:t>
      </w:r>
    </w:p>
    <w:p w14:paraId="52B3C9D2" w14:textId="77777777" w:rsidR="00FA6C17" w:rsidRPr="00A344BB" w:rsidRDefault="00FA6C17" w:rsidP="00C810D9">
      <w:pPr>
        <w:spacing w:line="240" w:lineRule="auto"/>
        <w:outlineLvl w:val="0"/>
        <w:rPr>
          <w:noProof/>
          <w:szCs w:val="22"/>
          <w:lang w:val="en-US"/>
        </w:rPr>
      </w:pPr>
    </w:p>
    <w:p w14:paraId="56524EA9" w14:textId="77777777" w:rsidR="00765D72" w:rsidRPr="00A344BB" w:rsidRDefault="00FA6C17" w:rsidP="00C810D9">
      <w:pPr>
        <w:spacing w:line="240" w:lineRule="auto"/>
        <w:outlineLvl w:val="0"/>
        <w:rPr>
          <w:noProof/>
          <w:szCs w:val="22"/>
          <w:lang w:val="en-US"/>
        </w:rPr>
      </w:pPr>
      <w:r w:rsidRPr="00A344BB">
        <w:rPr>
          <w:noProof/>
          <w:szCs w:val="22"/>
          <w:lang w:val="en-US"/>
        </w:rPr>
        <w:t>Filmom obalené tablety</w:t>
      </w:r>
    </w:p>
    <w:p w14:paraId="2EA08D46" w14:textId="77777777" w:rsidR="002F07D4" w:rsidRPr="00A344BB" w:rsidRDefault="002F07D4" w:rsidP="00C810D9">
      <w:pPr>
        <w:autoSpaceDE w:val="0"/>
        <w:autoSpaceDN w:val="0"/>
        <w:adjustRightInd w:val="0"/>
        <w:spacing w:line="240" w:lineRule="auto"/>
        <w:rPr>
          <w:szCs w:val="22"/>
        </w:rPr>
      </w:pPr>
    </w:p>
    <w:p w14:paraId="60589523" w14:textId="77777777" w:rsidR="002F07D4" w:rsidRPr="00A344BB" w:rsidRDefault="002F07D4" w:rsidP="00C810D9">
      <w:pPr>
        <w:autoSpaceDE w:val="0"/>
        <w:autoSpaceDN w:val="0"/>
        <w:adjustRightInd w:val="0"/>
        <w:spacing w:line="240" w:lineRule="auto"/>
        <w:rPr>
          <w:szCs w:val="22"/>
        </w:rPr>
      </w:pPr>
    </w:p>
    <w:p w14:paraId="415E5055" w14:textId="77777777" w:rsidR="002F07D4" w:rsidRPr="00A344BB" w:rsidRDefault="002F07D4" w:rsidP="00C810D9">
      <w:pPr>
        <w:numPr>
          <w:ilvl w:val="0"/>
          <w:numId w:val="1"/>
        </w:numPr>
        <w:autoSpaceDE w:val="0"/>
        <w:autoSpaceDN w:val="0"/>
        <w:adjustRightInd w:val="0"/>
        <w:spacing w:line="240" w:lineRule="auto"/>
        <w:rPr>
          <w:b/>
          <w:bCs/>
          <w:szCs w:val="22"/>
        </w:rPr>
      </w:pPr>
      <w:r w:rsidRPr="00A344BB">
        <w:rPr>
          <w:b/>
          <w:szCs w:val="22"/>
        </w:rPr>
        <w:t>KVALITATÍVNE A KVANTITATÍVNE ZLOŽENIE</w:t>
      </w:r>
    </w:p>
    <w:p w14:paraId="5A3CA6F1" w14:textId="77777777" w:rsidR="004748A0" w:rsidRPr="00A344BB" w:rsidRDefault="004748A0" w:rsidP="00C810D9">
      <w:pPr>
        <w:tabs>
          <w:tab w:val="left" w:pos="142"/>
          <w:tab w:val="left" w:pos="284"/>
        </w:tabs>
        <w:autoSpaceDE w:val="0"/>
        <w:autoSpaceDN w:val="0"/>
        <w:adjustRightInd w:val="0"/>
        <w:spacing w:line="240" w:lineRule="auto"/>
        <w:rPr>
          <w:smallCaps/>
          <w:szCs w:val="22"/>
        </w:rPr>
      </w:pPr>
    </w:p>
    <w:p w14:paraId="63DD5220" w14:textId="77777777" w:rsidR="002F07D4" w:rsidRPr="00A344BB" w:rsidRDefault="002F07D4" w:rsidP="00C810D9">
      <w:pPr>
        <w:tabs>
          <w:tab w:val="left" w:pos="142"/>
          <w:tab w:val="left" w:pos="284"/>
        </w:tabs>
        <w:autoSpaceDE w:val="0"/>
        <w:autoSpaceDN w:val="0"/>
        <w:adjustRightInd w:val="0"/>
        <w:spacing w:line="240" w:lineRule="auto"/>
        <w:rPr>
          <w:smallCaps/>
          <w:szCs w:val="22"/>
        </w:rPr>
      </w:pPr>
      <w:r w:rsidRPr="00A344BB">
        <w:rPr>
          <w:smallCaps/>
          <w:szCs w:val="22"/>
        </w:rPr>
        <w:t>K</w:t>
      </w:r>
      <w:r w:rsidRPr="00A344BB">
        <w:rPr>
          <w:szCs w:val="22"/>
        </w:rPr>
        <w:t xml:space="preserve">aždá filmom obalená tableta obsahuje </w:t>
      </w:r>
      <w:r w:rsidR="00765D72" w:rsidRPr="00A344BB">
        <w:rPr>
          <w:szCs w:val="22"/>
        </w:rPr>
        <w:t>250</w:t>
      </w:r>
      <w:r w:rsidRPr="00A344BB">
        <w:rPr>
          <w:szCs w:val="22"/>
        </w:rPr>
        <w:t xml:space="preserve"> mg </w:t>
      </w:r>
      <w:proofErr w:type="spellStart"/>
      <w:r w:rsidR="00765D72" w:rsidRPr="00A344BB">
        <w:rPr>
          <w:szCs w:val="22"/>
        </w:rPr>
        <w:t>levetiracetamu</w:t>
      </w:r>
      <w:proofErr w:type="spellEnd"/>
      <w:r w:rsidRPr="00A344BB">
        <w:rPr>
          <w:smallCaps/>
          <w:szCs w:val="22"/>
        </w:rPr>
        <w:t>.</w:t>
      </w:r>
    </w:p>
    <w:p w14:paraId="3CA48904" w14:textId="77777777" w:rsidR="00765D72" w:rsidRPr="00A344BB" w:rsidRDefault="00765D72" w:rsidP="00C810D9">
      <w:pPr>
        <w:tabs>
          <w:tab w:val="left" w:pos="142"/>
          <w:tab w:val="left" w:pos="284"/>
        </w:tabs>
        <w:autoSpaceDE w:val="0"/>
        <w:autoSpaceDN w:val="0"/>
        <w:adjustRightInd w:val="0"/>
        <w:spacing w:line="240" w:lineRule="auto"/>
        <w:rPr>
          <w:smallCaps/>
          <w:szCs w:val="22"/>
        </w:rPr>
      </w:pPr>
      <w:r w:rsidRPr="00A344BB">
        <w:rPr>
          <w:smallCaps/>
          <w:szCs w:val="22"/>
        </w:rPr>
        <w:t>K</w:t>
      </w:r>
      <w:r w:rsidRPr="00A344BB">
        <w:rPr>
          <w:szCs w:val="22"/>
        </w:rPr>
        <w:t xml:space="preserve">aždá filmom obalená tableta obsahuje </w:t>
      </w:r>
      <w:r w:rsidR="00CB43B8" w:rsidRPr="00A344BB">
        <w:rPr>
          <w:szCs w:val="22"/>
        </w:rPr>
        <w:t xml:space="preserve">500 </w:t>
      </w:r>
      <w:r w:rsidRPr="00A344BB">
        <w:rPr>
          <w:szCs w:val="22"/>
        </w:rPr>
        <w:t xml:space="preserve">mg </w:t>
      </w:r>
      <w:proofErr w:type="spellStart"/>
      <w:r w:rsidRPr="00A344BB">
        <w:rPr>
          <w:szCs w:val="22"/>
        </w:rPr>
        <w:t>levetiracetamu</w:t>
      </w:r>
      <w:proofErr w:type="spellEnd"/>
      <w:r w:rsidRPr="00A344BB">
        <w:rPr>
          <w:smallCaps/>
          <w:szCs w:val="22"/>
        </w:rPr>
        <w:t>.</w:t>
      </w:r>
    </w:p>
    <w:p w14:paraId="0F292DCE" w14:textId="77777777" w:rsidR="00765D72" w:rsidRPr="00A344BB" w:rsidRDefault="00765D72" w:rsidP="00C810D9">
      <w:pPr>
        <w:tabs>
          <w:tab w:val="left" w:pos="142"/>
          <w:tab w:val="left" w:pos="284"/>
        </w:tabs>
        <w:autoSpaceDE w:val="0"/>
        <w:autoSpaceDN w:val="0"/>
        <w:adjustRightInd w:val="0"/>
        <w:spacing w:line="240" w:lineRule="auto"/>
        <w:rPr>
          <w:smallCaps/>
          <w:szCs w:val="22"/>
        </w:rPr>
      </w:pPr>
      <w:r w:rsidRPr="00A344BB">
        <w:rPr>
          <w:smallCaps/>
          <w:szCs w:val="22"/>
        </w:rPr>
        <w:t>K</w:t>
      </w:r>
      <w:r w:rsidRPr="00A344BB">
        <w:rPr>
          <w:szCs w:val="22"/>
        </w:rPr>
        <w:t xml:space="preserve">aždá filmom obalená tableta obsahuje </w:t>
      </w:r>
      <w:r w:rsidR="00CB43B8" w:rsidRPr="00A344BB">
        <w:rPr>
          <w:szCs w:val="22"/>
        </w:rPr>
        <w:t xml:space="preserve">1000 </w:t>
      </w:r>
      <w:r w:rsidRPr="00A344BB">
        <w:rPr>
          <w:szCs w:val="22"/>
        </w:rPr>
        <w:t xml:space="preserve">mg </w:t>
      </w:r>
      <w:proofErr w:type="spellStart"/>
      <w:r w:rsidRPr="00A344BB">
        <w:rPr>
          <w:szCs w:val="22"/>
        </w:rPr>
        <w:t>levetiracetamu</w:t>
      </w:r>
      <w:proofErr w:type="spellEnd"/>
      <w:r w:rsidRPr="00A344BB">
        <w:rPr>
          <w:smallCaps/>
          <w:szCs w:val="22"/>
        </w:rPr>
        <w:t>.</w:t>
      </w:r>
    </w:p>
    <w:p w14:paraId="39CEF906" w14:textId="77777777" w:rsidR="004748A0" w:rsidRPr="00A344BB" w:rsidRDefault="004748A0" w:rsidP="00C810D9">
      <w:pPr>
        <w:autoSpaceDE w:val="0"/>
        <w:autoSpaceDN w:val="0"/>
        <w:adjustRightInd w:val="0"/>
        <w:spacing w:line="240" w:lineRule="auto"/>
        <w:rPr>
          <w:szCs w:val="22"/>
        </w:rPr>
      </w:pPr>
    </w:p>
    <w:p w14:paraId="54343611" w14:textId="77777777" w:rsidR="002F07D4" w:rsidRPr="00A344BB" w:rsidRDefault="002F07D4" w:rsidP="00C810D9">
      <w:pPr>
        <w:autoSpaceDE w:val="0"/>
        <w:autoSpaceDN w:val="0"/>
        <w:adjustRightInd w:val="0"/>
        <w:spacing w:line="240" w:lineRule="auto"/>
        <w:rPr>
          <w:szCs w:val="22"/>
        </w:rPr>
      </w:pPr>
      <w:r w:rsidRPr="00A344BB">
        <w:rPr>
          <w:szCs w:val="22"/>
        </w:rPr>
        <w:t>Úplný zoznam pomocných látok, pozri časť 6.1</w:t>
      </w:r>
    </w:p>
    <w:p w14:paraId="720B10AD" w14:textId="77777777" w:rsidR="002F07D4" w:rsidRPr="00A344BB" w:rsidRDefault="002F07D4" w:rsidP="00C810D9">
      <w:pPr>
        <w:autoSpaceDE w:val="0"/>
        <w:autoSpaceDN w:val="0"/>
        <w:adjustRightInd w:val="0"/>
        <w:spacing w:line="240" w:lineRule="auto"/>
        <w:rPr>
          <w:szCs w:val="22"/>
        </w:rPr>
      </w:pPr>
    </w:p>
    <w:p w14:paraId="2D8BA945" w14:textId="77777777" w:rsidR="002F07D4" w:rsidRPr="00A344BB" w:rsidRDefault="002F07D4" w:rsidP="00C810D9">
      <w:pPr>
        <w:autoSpaceDE w:val="0"/>
        <w:autoSpaceDN w:val="0"/>
        <w:adjustRightInd w:val="0"/>
        <w:spacing w:line="240" w:lineRule="auto"/>
        <w:rPr>
          <w:szCs w:val="22"/>
        </w:rPr>
      </w:pPr>
    </w:p>
    <w:p w14:paraId="61E98F9C" w14:textId="77777777" w:rsidR="002F07D4" w:rsidRPr="00A344BB" w:rsidRDefault="002F07D4" w:rsidP="00822381">
      <w:pPr>
        <w:numPr>
          <w:ilvl w:val="0"/>
          <w:numId w:val="1"/>
        </w:numPr>
        <w:autoSpaceDE w:val="0"/>
        <w:autoSpaceDN w:val="0"/>
        <w:adjustRightInd w:val="0"/>
        <w:spacing w:line="240" w:lineRule="auto"/>
        <w:rPr>
          <w:b/>
          <w:bCs/>
          <w:szCs w:val="22"/>
        </w:rPr>
      </w:pPr>
      <w:r w:rsidRPr="00A344BB">
        <w:rPr>
          <w:b/>
          <w:szCs w:val="22"/>
        </w:rPr>
        <w:t>LIEKOVÁ FORMA</w:t>
      </w:r>
    </w:p>
    <w:p w14:paraId="583741D1" w14:textId="77777777" w:rsidR="004748A0" w:rsidRPr="00A344BB" w:rsidRDefault="004748A0" w:rsidP="00822381">
      <w:pPr>
        <w:autoSpaceDE w:val="0"/>
        <w:autoSpaceDN w:val="0"/>
        <w:adjustRightInd w:val="0"/>
        <w:spacing w:line="240" w:lineRule="auto"/>
        <w:rPr>
          <w:szCs w:val="22"/>
        </w:rPr>
      </w:pPr>
    </w:p>
    <w:p w14:paraId="5AE4C937" w14:textId="44711781" w:rsidR="002F07D4" w:rsidRPr="00A344BB" w:rsidRDefault="002F07D4" w:rsidP="00822381">
      <w:pPr>
        <w:autoSpaceDE w:val="0"/>
        <w:autoSpaceDN w:val="0"/>
        <w:adjustRightInd w:val="0"/>
        <w:spacing w:line="240" w:lineRule="auto"/>
        <w:rPr>
          <w:szCs w:val="22"/>
        </w:rPr>
      </w:pPr>
      <w:r w:rsidRPr="00A344BB">
        <w:rPr>
          <w:szCs w:val="22"/>
        </w:rPr>
        <w:t>Filmom obalen</w:t>
      </w:r>
      <w:r w:rsidR="00DE4DDA" w:rsidRPr="00A344BB">
        <w:rPr>
          <w:szCs w:val="22"/>
        </w:rPr>
        <w:t>á</w:t>
      </w:r>
      <w:r w:rsidRPr="00A344BB">
        <w:rPr>
          <w:szCs w:val="22"/>
        </w:rPr>
        <w:t xml:space="preserve"> tablet</w:t>
      </w:r>
      <w:r w:rsidR="00DE4DDA" w:rsidRPr="00A344BB">
        <w:rPr>
          <w:szCs w:val="22"/>
        </w:rPr>
        <w:t>a</w:t>
      </w:r>
      <w:r w:rsidRPr="00A344BB">
        <w:rPr>
          <w:szCs w:val="22"/>
        </w:rPr>
        <w:t>.</w:t>
      </w:r>
    </w:p>
    <w:p w14:paraId="1608181A" w14:textId="27D870AD" w:rsidR="00DA5BC0" w:rsidRPr="00A344BB" w:rsidRDefault="00DA5BC0" w:rsidP="00822381">
      <w:pPr>
        <w:pStyle w:val="Default"/>
        <w:jc w:val="both"/>
        <w:rPr>
          <w:color w:val="auto"/>
          <w:sz w:val="22"/>
          <w:szCs w:val="22"/>
          <w:lang w:val="sk-SK"/>
        </w:rPr>
      </w:pPr>
      <w:proofErr w:type="spellStart"/>
      <w:r w:rsidRPr="00A344BB">
        <w:rPr>
          <w:color w:val="auto"/>
          <w:sz w:val="22"/>
          <w:szCs w:val="22"/>
          <w:u w:val="single"/>
          <w:lang w:val="sk-SK"/>
        </w:rPr>
        <w:t>PTEROCYN</w:t>
      </w:r>
      <w:proofErr w:type="spellEnd"/>
      <w:r w:rsidRPr="00A344BB">
        <w:rPr>
          <w:color w:val="auto"/>
          <w:sz w:val="22"/>
          <w:szCs w:val="22"/>
          <w:u w:val="single"/>
          <w:lang w:val="sk-SK"/>
        </w:rPr>
        <w:t xml:space="preserve"> 250 mg</w:t>
      </w:r>
      <w:r w:rsidRPr="00A344BB">
        <w:rPr>
          <w:color w:val="auto"/>
          <w:sz w:val="22"/>
          <w:szCs w:val="22"/>
          <w:lang w:val="sk-SK"/>
        </w:rPr>
        <w:t xml:space="preserve"> sú modré, oválne </w:t>
      </w:r>
      <w:r w:rsidRPr="00A344BB">
        <w:rPr>
          <w:noProof/>
          <w:color w:val="auto"/>
          <w:sz w:val="22"/>
          <w:szCs w:val="22"/>
          <w:lang w:val="sk-SK"/>
        </w:rPr>
        <w:t xml:space="preserve">filmom obalené </w:t>
      </w:r>
      <w:r w:rsidRPr="00A344BB">
        <w:rPr>
          <w:color w:val="auto"/>
          <w:sz w:val="22"/>
          <w:szCs w:val="22"/>
          <w:lang w:val="sk-SK"/>
        </w:rPr>
        <w:t xml:space="preserve">tablety s deliacou ryhou na jednej strane, </w:t>
      </w:r>
      <w:r w:rsidR="00DE4DDA" w:rsidRPr="00A344BB">
        <w:rPr>
          <w:color w:val="auto"/>
          <w:sz w:val="22"/>
          <w:szCs w:val="22"/>
          <w:lang w:val="sk-SK"/>
        </w:rPr>
        <w:t>s </w:t>
      </w:r>
      <w:r w:rsidRPr="00A344BB">
        <w:rPr>
          <w:color w:val="auto"/>
          <w:sz w:val="22"/>
          <w:szCs w:val="22"/>
          <w:lang w:val="sk-SK"/>
        </w:rPr>
        <w:t>rozmer</w:t>
      </w:r>
      <w:r w:rsidR="00DE4DDA" w:rsidRPr="00A344BB">
        <w:rPr>
          <w:color w:val="auto"/>
          <w:sz w:val="22"/>
          <w:szCs w:val="22"/>
          <w:lang w:val="sk-SK"/>
        </w:rPr>
        <w:t>mi</w:t>
      </w:r>
      <w:r w:rsidRPr="00A344BB">
        <w:rPr>
          <w:color w:val="auto"/>
          <w:sz w:val="22"/>
          <w:szCs w:val="22"/>
          <w:lang w:val="sk-SK"/>
        </w:rPr>
        <w:t xml:space="preserve"> 12,</w:t>
      </w:r>
      <w:r w:rsidR="00DE4DDA" w:rsidRPr="00A344BB">
        <w:rPr>
          <w:color w:val="auto"/>
          <w:sz w:val="22"/>
          <w:szCs w:val="22"/>
          <w:lang w:val="sk-SK"/>
        </w:rPr>
        <w:t>0</w:t>
      </w:r>
      <w:r w:rsidRPr="00A344BB">
        <w:rPr>
          <w:color w:val="auto"/>
          <w:sz w:val="22"/>
          <w:szCs w:val="22"/>
          <w:lang w:val="sk-SK"/>
        </w:rPr>
        <w:t xml:space="preserve"> x 6,</w:t>
      </w:r>
      <w:r w:rsidR="00DE4DDA" w:rsidRPr="00A344BB">
        <w:rPr>
          <w:color w:val="auto"/>
          <w:sz w:val="22"/>
          <w:szCs w:val="22"/>
          <w:lang w:val="sk-SK"/>
        </w:rPr>
        <w:t>0</w:t>
      </w:r>
      <w:r w:rsidRPr="00A344BB">
        <w:rPr>
          <w:color w:val="auto"/>
          <w:sz w:val="22"/>
          <w:szCs w:val="22"/>
          <w:lang w:val="sk-SK"/>
        </w:rPr>
        <w:t xml:space="preserve"> mm. Tableta </w:t>
      </w:r>
      <w:r w:rsidR="00CB43B8" w:rsidRPr="00A344BB">
        <w:rPr>
          <w:color w:val="auto"/>
          <w:sz w:val="22"/>
          <w:szCs w:val="22"/>
          <w:lang w:val="sk-SK"/>
        </w:rPr>
        <w:t xml:space="preserve">sa </w:t>
      </w:r>
      <w:r w:rsidRPr="00A344BB">
        <w:rPr>
          <w:color w:val="auto"/>
          <w:sz w:val="22"/>
          <w:szCs w:val="22"/>
          <w:lang w:val="sk-SK"/>
        </w:rPr>
        <w:t>môže rozdel</w:t>
      </w:r>
      <w:r w:rsidR="00CB43B8" w:rsidRPr="00A344BB">
        <w:rPr>
          <w:color w:val="auto"/>
          <w:sz w:val="22"/>
          <w:szCs w:val="22"/>
          <w:lang w:val="sk-SK"/>
        </w:rPr>
        <w:t>iť</w:t>
      </w:r>
      <w:r w:rsidRPr="00A344BB">
        <w:rPr>
          <w:color w:val="auto"/>
          <w:sz w:val="22"/>
          <w:szCs w:val="22"/>
          <w:lang w:val="sk-SK"/>
        </w:rPr>
        <w:t xml:space="preserve"> na rovnaké </w:t>
      </w:r>
      <w:r w:rsidR="00CB43B8" w:rsidRPr="00A344BB">
        <w:rPr>
          <w:color w:val="auto"/>
          <w:sz w:val="22"/>
          <w:szCs w:val="22"/>
          <w:lang w:val="sk-SK"/>
        </w:rPr>
        <w:t>dávky</w:t>
      </w:r>
      <w:r w:rsidRPr="00A344BB">
        <w:rPr>
          <w:color w:val="auto"/>
          <w:sz w:val="22"/>
          <w:szCs w:val="22"/>
          <w:lang w:val="sk-SK"/>
        </w:rPr>
        <w:t xml:space="preserve">. </w:t>
      </w:r>
    </w:p>
    <w:p w14:paraId="4F915E1C" w14:textId="3CB22889" w:rsidR="00DA5BC0" w:rsidRPr="00A344BB" w:rsidRDefault="00DA5BC0" w:rsidP="00822381">
      <w:pPr>
        <w:pStyle w:val="Default"/>
        <w:jc w:val="both"/>
        <w:rPr>
          <w:color w:val="auto"/>
          <w:sz w:val="22"/>
          <w:szCs w:val="22"/>
          <w:lang w:val="sk-SK"/>
        </w:rPr>
      </w:pPr>
      <w:proofErr w:type="spellStart"/>
      <w:r w:rsidRPr="00A344BB">
        <w:rPr>
          <w:color w:val="auto"/>
          <w:sz w:val="22"/>
          <w:szCs w:val="22"/>
          <w:u w:val="single"/>
          <w:lang w:val="sk-SK"/>
        </w:rPr>
        <w:t>PTEROCYN</w:t>
      </w:r>
      <w:proofErr w:type="spellEnd"/>
      <w:r w:rsidRPr="00A344BB">
        <w:rPr>
          <w:color w:val="auto"/>
          <w:sz w:val="22"/>
          <w:szCs w:val="22"/>
          <w:u w:val="single"/>
          <w:lang w:val="sk-SK"/>
        </w:rPr>
        <w:t xml:space="preserve"> 500 mg </w:t>
      </w:r>
      <w:r w:rsidRPr="00A344BB">
        <w:rPr>
          <w:color w:val="auto"/>
          <w:sz w:val="22"/>
          <w:szCs w:val="22"/>
          <w:lang w:val="sk-SK"/>
        </w:rPr>
        <w:t xml:space="preserve">sú žlté, oválne </w:t>
      </w:r>
      <w:r w:rsidRPr="00A344BB">
        <w:rPr>
          <w:noProof/>
          <w:color w:val="auto"/>
          <w:sz w:val="22"/>
          <w:szCs w:val="22"/>
          <w:lang w:val="sk-SK"/>
        </w:rPr>
        <w:t xml:space="preserve">filmom obalené </w:t>
      </w:r>
      <w:r w:rsidRPr="00A344BB">
        <w:rPr>
          <w:color w:val="auto"/>
          <w:sz w:val="22"/>
          <w:szCs w:val="22"/>
          <w:lang w:val="sk-SK"/>
        </w:rPr>
        <w:t xml:space="preserve">tablety s deliacou ryhou na jednej strane, </w:t>
      </w:r>
      <w:r w:rsidR="00DE4DDA" w:rsidRPr="00A344BB">
        <w:rPr>
          <w:color w:val="auto"/>
          <w:sz w:val="22"/>
          <w:szCs w:val="22"/>
          <w:lang w:val="sk-SK"/>
        </w:rPr>
        <w:t>s </w:t>
      </w:r>
      <w:r w:rsidRPr="00A344BB">
        <w:rPr>
          <w:color w:val="auto"/>
          <w:sz w:val="22"/>
          <w:szCs w:val="22"/>
          <w:lang w:val="sk-SK"/>
        </w:rPr>
        <w:t>rozmer</w:t>
      </w:r>
      <w:r w:rsidR="00DE4DDA" w:rsidRPr="00A344BB">
        <w:rPr>
          <w:color w:val="auto"/>
          <w:sz w:val="22"/>
          <w:szCs w:val="22"/>
          <w:lang w:val="sk-SK"/>
        </w:rPr>
        <w:t>mi</w:t>
      </w:r>
      <w:r w:rsidRPr="00A344BB">
        <w:rPr>
          <w:color w:val="auto"/>
          <w:sz w:val="22"/>
          <w:szCs w:val="22"/>
          <w:lang w:val="sk-SK"/>
        </w:rPr>
        <w:t xml:space="preserve"> 16,</w:t>
      </w:r>
      <w:r w:rsidR="00DE4DDA" w:rsidRPr="00A344BB">
        <w:rPr>
          <w:color w:val="auto"/>
          <w:sz w:val="22"/>
          <w:szCs w:val="22"/>
          <w:lang w:val="sk-SK"/>
        </w:rPr>
        <w:t>0</w:t>
      </w:r>
      <w:r w:rsidRPr="00A344BB">
        <w:rPr>
          <w:color w:val="auto"/>
          <w:sz w:val="22"/>
          <w:szCs w:val="22"/>
          <w:lang w:val="sk-SK"/>
        </w:rPr>
        <w:t xml:space="preserve"> x </w:t>
      </w:r>
      <w:r w:rsidR="00DE4DDA" w:rsidRPr="00A344BB">
        <w:rPr>
          <w:color w:val="auto"/>
          <w:sz w:val="22"/>
          <w:szCs w:val="22"/>
          <w:lang w:val="sk-SK"/>
        </w:rPr>
        <w:t>8,0</w:t>
      </w:r>
      <w:r w:rsidRPr="00A344BB">
        <w:rPr>
          <w:color w:val="auto"/>
          <w:sz w:val="22"/>
          <w:szCs w:val="22"/>
          <w:lang w:val="sk-SK"/>
        </w:rPr>
        <w:t xml:space="preserve"> mm. Tableta </w:t>
      </w:r>
      <w:r w:rsidR="00CB43B8" w:rsidRPr="00A344BB">
        <w:rPr>
          <w:color w:val="auto"/>
          <w:sz w:val="22"/>
          <w:szCs w:val="22"/>
          <w:lang w:val="sk-SK"/>
        </w:rPr>
        <w:t xml:space="preserve">sa </w:t>
      </w:r>
      <w:r w:rsidRPr="00A344BB">
        <w:rPr>
          <w:color w:val="auto"/>
          <w:sz w:val="22"/>
          <w:szCs w:val="22"/>
          <w:lang w:val="sk-SK"/>
        </w:rPr>
        <w:t>môže rozdel</w:t>
      </w:r>
      <w:r w:rsidR="00CB43B8" w:rsidRPr="00A344BB">
        <w:rPr>
          <w:color w:val="auto"/>
          <w:sz w:val="22"/>
          <w:szCs w:val="22"/>
          <w:lang w:val="sk-SK"/>
        </w:rPr>
        <w:t>iť</w:t>
      </w:r>
      <w:r w:rsidRPr="00A344BB">
        <w:rPr>
          <w:color w:val="auto"/>
          <w:sz w:val="22"/>
          <w:szCs w:val="22"/>
          <w:lang w:val="sk-SK"/>
        </w:rPr>
        <w:t xml:space="preserve"> na rovnaké </w:t>
      </w:r>
      <w:r w:rsidR="00CB43B8" w:rsidRPr="00A344BB">
        <w:rPr>
          <w:color w:val="auto"/>
          <w:sz w:val="22"/>
          <w:szCs w:val="22"/>
          <w:lang w:val="sk-SK"/>
        </w:rPr>
        <w:t>dávky</w:t>
      </w:r>
      <w:r w:rsidRPr="00A344BB">
        <w:rPr>
          <w:color w:val="auto"/>
          <w:sz w:val="22"/>
          <w:szCs w:val="22"/>
          <w:lang w:val="sk-SK"/>
        </w:rPr>
        <w:t xml:space="preserve">. </w:t>
      </w:r>
    </w:p>
    <w:p w14:paraId="16D428A6" w14:textId="5CF18544" w:rsidR="00DA5BC0" w:rsidRPr="00A344BB" w:rsidRDefault="00DA5BC0" w:rsidP="00822381">
      <w:pPr>
        <w:rPr>
          <w:noProof/>
          <w:szCs w:val="22"/>
        </w:rPr>
      </w:pPr>
      <w:proofErr w:type="spellStart"/>
      <w:r w:rsidRPr="00A344BB">
        <w:rPr>
          <w:szCs w:val="22"/>
          <w:u w:val="single"/>
        </w:rPr>
        <w:t>PTEROCYN</w:t>
      </w:r>
      <w:proofErr w:type="spellEnd"/>
      <w:r w:rsidRPr="00A344BB">
        <w:rPr>
          <w:szCs w:val="22"/>
          <w:u w:val="single"/>
        </w:rPr>
        <w:t xml:space="preserve"> 1000 mg </w:t>
      </w:r>
      <w:r w:rsidRPr="00A344BB">
        <w:rPr>
          <w:szCs w:val="22"/>
        </w:rPr>
        <w:t xml:space="preserve">sú biele, oválne </w:t>
      </w:r>
      <w:r w:rsidRPr="00A344BB">
        <w:rPr>
          <w:noProof/>
          <w:szCs w:val="22"/>
        </w:rPr>
        <w:t xml:space="preserve">filmom obalené </w:t>
      </w:r>
      <w:r w:rsidRPr="00A344BB">
        <w:rPr>
          <w:szCs w:val="22"/>
        </w:rPr>
        <w:t xml:space="preserve">tablety s deliacou ryhou na jednej strane, </w:t>
      </w:r>
      <w:r w:rsidR="00DE4DDA" w:rsidRPr="00A344BB">
        <w:rPr>
          <w:szCs w:val="22"/>
        </w:rPr>
        <w:t>s </w:t>
      </w:r>
      <w:r w:rsidRPr="00A344BB">
        <w:rPr>
          <w:szCs w:val="22"/>
        </w:rPr>
        <w:t>rozmer</w:t>
      </w:r>
      <w:r w:rsidR="00DE4DDA" w:rsidRPr="00A344BB">
        <w:rPr>
          <w:szCs w:val="22"/>
        </w:rPr>
        <w:t>mi</w:t>
      </w:r>
      <w:r w:rsidRPr="00A344BB">
        <w:rPr>
          <w:szCs w:val="22"/>
        </w:rPr>
        <w:t xml:space="preserve"> 1</w:t>
      </w:r>
      <w:r w:rsidR="00DE4DDA" w:rsidRPr="00A344BB">
        <w:rPr>
          <w:szCs w:val="22"/>
        </w:rPr>
        <w:t>8,0</w:t>
      </w:r>
      <w:r w:rsidRPr="00A344BB">
        <w:rPr>
          <w:szCs w:val="22"/>
        </w:rPr>
        <w:t xml:space="preserve"> x </w:t>
      </w:r>
      <w:r w:rsidR="00DE4DDA" w:rsidRPr="00A344BB">
        <w:rPr>
          <w:szCs w:val="22"/>
        </w:rPr>
        <w:t>9,0</w:t>
      </w:r>
      <w:r w:rsidRPr="00A344BB">
        <w:rPr>
          <w:szCs w:val="22"/>
        </w:rPr>
        <w:t xml:space="preserve"> mm. Tableta </w:t>
      </w:r>
      <w:r w:rsidR="00CB43B8" w:rsidRPr="00A344BB">
        <w:rPr>
          <w:szCs w:val="22"/>
        </w:rPr>
        <w:t xml:space="preserve">sa </w:t>
      </w:r>
      <w:r w:rsidRPr="00A344BB">
        <w:rPr>
          <w:szCs w:val="22"/>
        </w:rPr>
        <w:t>môže rozdel</w:t>
      </w:r>
      <w:r w:rsidR="00CB43B8" w:rsidRPr="00A344BB">
        <w:rPr>
          <w:szCs w:val="22"/>
        </w:rPr>
        <w:t>iť</w:t>
      </w:r>
      <w:r w:rsidRPr="00A344BB">
        <w:rPr>
          <w:szCs w:val="22"/>
        </w:rPr>
        <w:t xml:space="preserve"> na rovnaké </w:t>
      </w:r>
      <w:r w:rsidR="00CB43B8" w:rsidRPr="00A344BB">
        <w:rPr>
          <w:szCs w:val="22"/>
        </w:rPr>
        <w:t>dávky</w:t>
      </w:r>
      <w:r w:rsidR="00822381" w:rsidRPr="00A344BB">
        <w:rPr>
          <w:szCs w:val="22"/>
        </w:rPr>
        <w:t>.</w:t>
      </w:r>
    </w:p>
    <w:p w14:paraId="64281EED" w14:textId="77777777" w:rsidR="002F07D4" w:rsidRPr="00A344BB" w:rsidRDefault="002F07D4" w:rsidP="00822381">
      <w:pPr>
        <w:autoSpaceDE w:val="0"/>
        <w:autoSpaceDN w:val="0"/>
        <w:adjustRightInd w:val="0"/>
        <w:spacing w:line="240" w:lineRule="auto"/>
        <w:rPr>
          <w:szCs w:val="22"/>
        </w:rPr>
      </w:pPr>
    </w:p>
    <w:p w14:paraId="723753E5" w14:textId="77777777" w:rsidR="002F07D4" w:rsidRPr="00A344BB" w:rsidRDefault="002F07D4" w:rsidP="00822381">
      <w:pPr>
        <w:autoSpaceDE w:val="0"/>
        <w:autoSpaceDN w:val="0"/>
        <w:adjustRightInd w:val="0"/>
        <w:spacing w:line="240" w:lineRule="auto"/>
        <w:rPr>
          <w:szCs w:val="22"/>
        </w:rPr>
      </w:pPr>
    </w:p>
    <w:p w14:paraId="4F9A6450" w14:textId="77777777" w:rsidR="002F07D4" w:rsidRPr="00A344BB" w:rsidRDefault="002F07D4" w:rsidP="00822381">
      <w:pPr>
        <w:autoSpaceDE w:val="0"/>
        <w:autoSpaceDN w:val="0"/>
        <w:adjustRightInd w:val="0"/>
        <w:spacing w:line="240" w:lineRule="auto"/>
        <w:rPr>
          <w:b/>
          <w:bCs/>
          <w:szCs w:val="22"/>
        </w:rPr>
      </w:pPr>
      <w:r w:rsidRPr="00A344BB">
        <w:rPr>
          <w:b/>
          <w:szCs w:val="22"/>
        </w:rPr>
        <w:t xml:space="preserve">4. </w:t>
      </w:r>
      <w:r w:rsidRPr="00A344BB">
        <w:rPr>
          <w:b/>
          <w:szCs w:val="22"/>
        </w:rPr>
        <w:tab/>
        <w:t>KLINICKÉ ÚDAJE</w:t>
      </w:r>
    </w:p>
    <w:p w14:paraId="71072F18" w14:textId="77777777" w:rsidR="00822381" w:rsidRPr="00A344BB" w:rsidRDefault="00822381" w:rsidP="00822381">
      <w:pPr>
        <w:autoSpaceDE w:val="0"/>
        <w:autoSpaceDN w:val="0"/>
        <w:adjustRightInd w:val="0"/>
        <w:spacing w:line="240" w:lineRule="auto"/>
        <w:rPr>
          <w:b/>
          <w:szCs w:val="22"/>
        </w:rPr>
      </w:pPr>
    </w:p>
    <w:p w14:paraId="3BA6AA59" w14:textId="77777777" w:rsidR="002F07D4" w:rsidRPr="00A344BB" w:rsidRDefault="002F07D4" w:rsidP="00822381">
      <w:pPr>
        <w:autoSpaceDE w:val="0"/>
        <w:autoSpaceDN w:val="0"/>
        <w:adjustRightInd w:val="0"/>
        <w:spacing w:line="240" w:lineRule="auto"/>
        <w:rPr>
          <w:b/>
          <w:bCs/>
          <w:szCs w:val="22"/>
        </w:rPr>
      </w:pPr>
      <w:r w:rsidRPr="00A344BB">
        <w:rPr>
          <w:b/>
          <w:szCs w:val="22"/>
        </w:rPr>
        <w:t xml:space="preserve">4.1 </w:t>
      </w:r>
      <w:r w:rsidRPr="00A344BB">
        <w:rPr>
          <w:b/>
          <w:szCs w:val="22"/>
        </w:rPr>
        <w:tab/>
        <w:t>Terapeutické indikácie</w:t>
      </w:r>
    </w:p>
    <w:p w14:paraId="03E1F147" w14:textId="77777777" w:rsidR="00822381" w:rsidRPr="00A344BB" w:rsidRDefault="00822381" w:rsidP="00822381">
      <w:pPr>
        <w:tabs>
          <w:tab w:val="clear" w:pos="567"/>
        </w:tabs>
        <w:autoSpaceDE w:val="0"/>
        <w:autoSpaceDN w:val="0"/>
        <w:adjustRightInd w:val="0"/>
        <w:spacing w:line="240" w:lineRule="auto"/>
        <w:rPr>
          <w:szCs w:val="22"/>
          <w:lang w:eastAsia="cs-CZ"/>
        </w:rPr>
      </w:pPr>
    </w:p>
    <w:p w14:paraId="0DF1D536" w14:textId="77777777" w:rsidR="00A01FE3" w:rsidRPr="00A344BB" w:rsidRDefault="00DA5BC0" w:rsidP="00822381">
      <w:pPr>
        <w:tabs>
          <w:tab w:val="clear" w:pos="567"/>
        </w:tabs>
        <w:autoSpaceDE w:val="0"/>
        <w:autoSpaceDN w:val="0"/>
        <w:adjustRightInd w:val="0"/>
        <w:spacing w:line="240" w:lineRule="auto"/>
        <w:rPr>
          <w:szCs w:val="22"/>
          <w:lang w:eastAsia="cs-CZ"/>
        </w:rPr>
      </w:pPr>
      <w:proofErr w:type="spellStart"/>
      <w:r w:rsidRPr="00A344BB">
        <w:rPr>
          <w:szCs w:val="22"/>
          <w:lang w:eastAsia="cs-CZ"/>
        </w:rPr>
        <w:t>PTEROCYN</w:t>
      </w:r>
      <w:proofErr w:type="spellEnd"/>
      <w:r w:rsidR="00A01FE3" w:rsidRPr="00A344BB">
        <w:rPr>
          <w:szCs w:val="22"/>
          <w:lang w:eastAsia="cs-CZ"/>
        </w:rPr>
        <w:t xml:space="preserve"> je indikovan</w:t>
      </w:r>
      <w:r w:rsidRPr="00A344BB">
        <w:rPr>
          <w:szCs w:val="22"/>
          <w:lang w:eastAsia="cs-CZ"/>
        </w:rPr>
        <w:t>ý</w:t>
      </w:r>
      <w:r w:rsidR="00A01FE3" w:rsidRPr="00A344BB">
        <w:rPr>
          <w:szCs w:val="22"/>
          <w:lang w:eastAsia="cs-CZ"/>
        </w:rPr>
        <w:t xml:space="preserve"> ako monoterapia pri liečbe parciálnych záchvatov so sekundárnou</w:t>
      </w:r>
      <w:r w:rsidRPr="00A344BB">
        <w:rPr>
          <w:szCs w:val="22"/>
          <w:lang w:eastAsia="cs-CZ"/>
        </w:rPr>
        <w:t xml:space="preserve"> </w:t>
      </w:r>
      <w:r w:rsidR="00A01FE3" w:rsidRPr="00A344BB">
        <w:rPr>
          <w:szCs w:val="22"/>
          <w:lang w:eastAsia="cs-CZ"/>
        </w:rPr>
        <w:t xml:space="preserve">generalizáciou alebo bez nej u </w:t>
      </w:r>
      <w:r w:rsidR="00702BCA" w:rsidRPr="00A344BB">
        <w:rPr>
          <w:szCs w:val="22"/>
          <w:lang w:eastAsia="cs-CZ"/>
        </w:rPr>
        <w:t>dospelých a dospievajúcich</w:t>
      </w:r>
      <w:r w:rsidR="00702BCA" w:rsidRPr="00A344BB" w:rsidDel="00702BCA">
        <w:rPr>
          <w:szCs w:val="22"/>
          <w:lang w:eastAsia="cs-CZ"/>
        </w:rPr>
        <w:t xml:space="preserve"> </w:t>
      </w:r>
      <w:r w:rsidR="00A01FE3" w:rsidRPr="00A344BB">
        <w:rPr>
          <w:szCs w:val="22"/>
          <w:lang w:eastAsia="cs-CZ"/>
        </w:rPr>
        <w:t>vo veku od 16 rokov s práve diagnostikovanou epilepsiou.</w:t>
      </w:r>
    </w:p>
    <w:p w14:paraId="118D36BC" w14:textId="77777777" w:rsidR="00702BCA" w:rsidRPr="00A344BB" w:rsidRDefault="00702BCA" w:rsidP="00822381">
      <w:pPr>
        <w:tabs>
          <w:tab w:val="clear" w:pos="567"/>
        </w:tabs>
        <w:autoSpaceDE w:val="0"/>
        <w:autoSpaceDN w:val="0"/>
        <w:adjustRightInd w:val="0"/>
        <w:spacing w:line="240" w:lineRule="auto"/>
        <w:rPr>
          <w:szCs w:val="22"/>
          <w:lang w:eastAsia="cs-CZ"/>
        </w:rPr>
      </w:pPr>
    </w:p>
    <w:p w14:paraId="71799406" w14:textId="77777777" w:rsidR="00A01FE3" w:rsidRPr="00A344BB" w:rsidRDefault="00DA5BC0" w:rsidP="00822381">
      <w:pPr>
        <w:tabs>
          <w:tab w:val="clear" w:pos="567"/>
        </w:tabs>
        <w:autoSpaceDE w:val="0"/>
        <w:autoSpaceDN w:val="0"/>
        <w:adjustRightInd w:val="0"/>
        <w:spacing w:line="240" w:lineRule="auto"/>
        <w:rPr>
          <w:szCs w:val="22"/>
          <w:lang w:eastAsia="cs-CZ"/>
        </w:rPr>
      </w:pPr>
      <w:proofErr w:type="spellStart"/>
      <w:r w:rsidRPr="00A344BB">
        <w:rPr>
          <w:szCs w:val="22"/>
          <w:lang w:eastAsia="cs-CZ"/>
        </w:rPr>
        <w:t>PTEROCYN</w:t>
      </w:r>
      <w:proofErr w:type="spellEnd"/>
      <w:r w:rsidRPr="00A344BB">
        <w:rPr>
          <w:szCs w:val="22"/>
          <w:lang w:eastAsia="cs-CZ"/>
        </w:rPr>
        <w:t xml:space="preserve"> </w:t>
      </w:r>
      <w:r w:rsidR="00A01FE3" w:rsidRPr="00A344BB">
        <w:rPr>
          <w:szCs w:val="22"/>
          <w:lang w:eastAsia="cs-CZ"/>
        </w:rPr>
        <w:t>je indikovan</w:t>
      </w:r>
      <w:r w:rsidRPr="00A344BB">
        <w:rPr>
          <w:szCs w:val="22"/>
          <w:lang w:eastAsia="cs-CZ"/>
        </w:rPr>
        <w:t>ý</w:t>
      </w:r>
      <w:r w:rsidR="00A01FE3" w:rsidRPr="00A344BB">
        <w:rPr>
          <w:szCs w:val="22"/>
          <w:lang w:eastAsia="cs-CZ"/>
        </w:rPr>
        <w:t xml:space="preserve"> ako prídavná terapia</w:t>
      </w:r>
    </w:p>
    <w:p w14:paraId="6030A031" w14:textId="77777777" w:rsidR="00A01FE3" w:rsidRPr="00A344BB" w:rsidRDefault="00A01FE3" w:rsidP="00EB5620">
      <w:pPr>
        <w:numPr>
          <w:ilvl w:val="0"/>
          <w:numId w:val="5"/>
        </w:numPr>
        <w:tabs>
          <w:tab w:val="clear" w:pos="567"/>
        </w:tabs>
        <w:autoSpaceDE w:val="0"/>
        <w:autoSpaceDN w:val="0"/>
        <w:adjustRightInd w:val="0"/>
        <w:spacing w:line="240" w:lineRule="auto"/>
        <w:rPr>
          <w:szCs w:val="22"/>
          <w:lang w:eastAsia="cs-CZ"/>
        </w:rPr>
      </w:pPr>
      <w:r w:rsidRPr="00A344BB">
        <w:rPr>
          <w:szCs w:val="22"/>
          <w:lang w:eastAsia="cs-CZ"/>
        </w:rPr>
        <w:t>pri liečbe parciálnych záchvatov so sekundárnou generalizáciou alebo bez nej u dospelých, detí a dojčiat vo veku od 1 mesiaca s epilepsiou.</w:t>
      </w:r>
    </w:p>
    <w:p w14:paraId="447E54F0" w14:textId="77777777" w:rsidR="00A01FE3" w:rsidRPr="00A344BB" w:rsidRDefault="00A01FE3" w:rsidP="00EB5620">
      <w:pPr>
        <w:numPr>
          <w:ilvl w:val="0"/>
          <w:numId w:val="5"/>
        </w:numPr>
        <w:tabs>
          <w:tab w:val="clear" w:pos="567"/>
        </w:tabs>
        <w:autoSpaceDE w:val="0"/>
        <w:autoSpaceDN w:val="0"/>
        <w:adjustRightInd w:val="0"/>
        <w:spacing w:line="240" w:lineRule="auto"/>
        <w:rPr>
          <w:szCs w:val="22"/>
          <w:lang w:eastAsia="cs-CZ"/>
        </w:rPr>
      </w:pPr>
      <w:r w:rsidRPr="00A344BB">
        <w:rPr>
          <w:szCs w:val="22"/>
          <w:lang w:eastAsia="cs-CZ"/>
        </w:rPr>
        <w:t xml:space="preserve">pri liečbe </w:t>
      </w:r>
      <w:proofErr w:type="spellStart"/>
      <w:r w:rsidRPr="00A344BB">
        <w:rPr>
          <w:szCs w:val="22"/>
          <w:lang w:eastAsia="cs-CZ"/>
        </w:rPr>
        <w:t>myoklonických</w:t>
      </w:r>
      <w:proofErr w:type="spellEnd"/>
      <w:r w:rsidRPr="00A344BB">
        <w:rPr>
          <w:szCs w:val="22"/>
          <w:lang w:eastAsia="cs-CZ"/>
        </w:rPr>
        <w:t xml:space="preserve"> záchvatov u dospelých a dospievajúcich vo veku od 12 rokov s juvenilnou </w:t>
      </w:r>
      <w:proofErr w:type="spellStart"/>
      <w:r w:rsidRPr="00A344BB">
        <w:rPr>
          <w:szCs w:val="22"/>
          <w:lang w:eastAsia="cs-CZ"/>
        </w:rPr>
        <w:t>myoklonickou</w:t>
      </w:r>
      <w:proofErr w:type="spellEnd"/>
      <w:r w:rsidRPr="00A344BB">
        <w:rPr>
          <w:szCs w:val="22"/>
          <w:lang w:eastAsia="cs-CZ"/>
        </w:rPr>
        <w:t xml:space="preserve"> epilepsiou.</w:t>
      </w:r>
    </w:p>
    <w:p w14:paraId="3D8D4C8F" w14:textId="77777777" w:rsidR="002F07D4" w:rsidRPr="00A344BB" w:rsidRDefault="00A01FE3" w:rsidP="00EB5620">
      <w:pPr>
        <w:numPr>
          <w:ilvl w:val="0"/>
          <w:numId w:val="5"/>
        </w:numPr>
        <w:tabs>
          <w:tab w:val="clear" w:pos="567"/>
        </w:tabs>
        <w:autoSpaceDE w:val="0"/>
        <w:autoSpaceDN w:val="0"/>
        <w:adjustRightInd w:val="0"/>
        <w:spacing w:line="240" w:lineRule="auto"/>
        <w:rPr>
          <w:szCs w:val="22"/>
          <w:lang w:eastAsia="cs-CZ"/>
        </w:rPr>
      </w:pPr>
      <w:r w:rsidRPr="00A344BB">
        <w:rPr>
          <w:szCs w:val="22"/>
          <w:lang w:eastAsia="cs-CZ"/>
        </w:rPr>
        <w:t xml:space="preserve">pri liečbe primárnych generalizovaných </w:t>
      </w:r>
      <w:proofErr w:type="spellStart"/>
      <w:r w:rsidRPr="00A344BB">
        <w:rPr>
          <w:szCs w:val="22"/>
          <w:lang w:eastAsia="cs-CZ"/>
        </w:rPr>
        <w:t>tonicko-klonických</w:t>
      </w:r>
      <w:proofErr w:type="spellEnd"/>
      <w:r w:rsidRPr="00A344BB">
        <w:rPr>
          <w:szCs w:val="22"/>
          <w:lang w:eastAsia="cs-CZ"/>
        </w:rPr>
        <w:t xml:space="preserve"> záchvatov u dospelých a dospievajúcich vo veku od 12 rokov s </w:t>
      </w:r>
      <w:proofErr w:type="spellStart"/>
      <w:r w:rsidRPr="00A344BB">
        <w:rPr>
          <w:szCs w:val="22"/>
          <w:lang w:eastAsia="cs-CZ"/>
        </w:rPr>
        <w:t>idiopatickou</w:t>
      </w:r>
      <w:proofErr w:type="spellEnd"/>
      <w:r w:rsidRPr="00A344BB">
        <w:rPr>
          <w:szCs w:val="22"/>
          <w:lang w:eastAsia="cs-CZ"/>
        </w:rPr>
        <w:t xml:space="preserve"> generalizovanou epilepsiou.</w:t>
      </w:r>
    </w:p>
    <w:p w14:paraId="70BEEDD3" w14:textId="77777777" w:rsidR="00A01FE3" w:rsidRPr="00A344BB" w:rsidRDefault="00A01FE3" w:rsidP="00EB5620">
      <w:pPr>
        <w:tabs>
          <w:tab w:val="clear" w:pos="567"/>
        </w:tabs>
        <w:autoSpaceDE w:val="0"/>
        <w:autoSpaceDN w:val="0"/>
        <w:adjustRightInd w:val="0"/>
        <w:spacing w:line="240" w:lineRule="auto"/>
        <w:rPr>
          <w:szCs w:val="22"/>
        </w:rPr>
      </w:pPr>
    </w:p>
    <w:p w14:paraId="67B6BCB9" w14:textId="77777777" w:rsidR="002F07D4" w:rsidRPr="00A344BB" w:rsidRDefault="002F07D4" w:rsidP="0096391B">
      <w:pPr>
        <w:keepNext/>
        <w:autoSpaceDE w:val="0"/>
        <w:autoSpaceDN w:val="0"/>
        <w:adjustRightInd w:val="0"/>
        <w:spacing w:line="240" w:lineRule="auto"/>
        <w:rPr>
          <w:b/>
          <w:bCs/>
          <w:szCs w:val="22"/>
        </w:rPr>
      </w:pPr>
      <w:r w:rsidRPr="00A344BB">
        <w:rPr>
          <w:b/>
          <w:szCs w:val="22"/>
        </w:rPr>
        <w:lastRenderedPageBreak/>
        <w:t xml:space="preserve">4.2 </w:t>
      </w:r>
      <w:r w:rsidRPr="00A344BB">
        <w:rPr>
          <w:b/>
          <w:szCs w:val="22"/>
        </w:rPr>
        <w:tab/>
        <w:t>Dávkovanie a spôsob podávania</w:t>
      </w:r>
    </w:p>
    <w:p w14:paraId="6872F5D2" w14:textId="77777777" w:rsidR="00EB5620" w:rsidRPr="00A344BB" w:rsidRDefault="00EB5620" w:rsidP="0096391B">
      <w:pPr>
        <w:keepNext/>
        <w:tabs>
          <w:tab w:val="clear" w:pos="567"/>
        </w:tabs>
        <w:autoSpaceDE w:val="0"/>
        <w:autoSpaceDN w:val="0"/>
        <w:adjustRightInd w:val="0"/>
        <w:spacing w:line="240" w:lineRule="auto"/>
        <w:rPr>
          <w:szCs w:val="22"/>
          <w:u w:val="single"/>
          <w:lang w:eastAsia="cs-CZ"/>
        </w:rPr>
      </w:pPr>
    </w:p>
    <w:p w14:paraId="1D4D79B8" w14:textId="77777777" w:rsidR="00A01FE3" w:rsidRPr="00A344BB" w:rsidRDefault="00A01FE3"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Dávkovanie</w:t>
      </w:r>
    </w:p>
    <w:p w14:paraId="4043480F" w14:textId="77777777" w:rsidR="00EB5620" w:rsidRPr="00A344BB" w:rsidRDefault="00EB5620" w:rsidP="0096391B">
      <w:pPr>
        <w:keepNext/>
        <w:tabs>
          <w:tab w:val="clear" w:pos="567"/>
        </w:tabs>
        <w:autoSpaceDE w:val="0"/>
        <w:autoSpaceDN w:val="0"/>
        <w:adjustRightInd w:val="0"/>
        <w:spacing w:line="240" w:lineRule="auto"/>
        <w:rPr>
          <w:i/>
          <w:iCs/>
          <w:szCs w:val="22"/>
          <w:lang w:eastAsia="cs-CZ"/>
        </w:rPr>
      </w:pPr>
    </w:p>
    <w:p w14:paraId="70303479" w14:textId="77777777" w:rsidR="00A01FE3" w:rsidRPr="00A344BB" w:rsidRDefault="00A01FE3" w:rsidP="0096391B">
      <w:pPr>
        <w:keepNext/>
        <w:tabs>
          <w:tab w:val="clear" w:pos="567"/>
        </w:tabs>
        <w:autoSpaceDE w:val="0"/>
        <w:autoSpaceDN w:val="0"/>
        <w:adjustRightInd w:val="0"/>
        <w:spacing w:line="240" w:lineRule="auto"/>
        <w:rPr>
          <w:i/>
          <w:iCs/>
          <w:szCs w:val="22"/>
          <w:lang w:eastAsia="cs-CZ"/>
        </w:rPr>
      </w:pPr>
      <w:r w:rsidRPr="00A344BB">
        <w:rPr>
          <w:i/>
          <w:iCs/>
          <w:szCs w:val="22"/>
          <w:lang w:eastAsia="cs-CZ"/>
        </w:rPr>
        <w:t>Monoterapia u dospelých a dospievajúcich vo veku od 16 rokov</w:t>
      </w:r>
    </w:p>
    <w:p w14:paraId="0459FBAC" w14:textId="77777777" w:rsidR="00EB5620" w:rsidRPr="00A344BB" w:rsidRDefault="00EB5620" w:rsidP="0096391B">
      <w:pPr>
        <w:keepNext/>
        <w:tabs>
          <w:tab w:val="clear" w:pos="567"/>
        </w:tabs>
        <w:autoSpaceDE w:val="0"/>
        <w:autoSpaceDN w:val="0"/>
        <w:adjustRightInd w:val="0"/>
        <w:spacing w:line="240" w:lineRule="auto"/>
        <w:rPr>
          <w:szCs w:val="22"/>
          <w:lang w:eastAsia="cs-CZ"/>
        </w:rPr>
      </w:pPr>
    </w:p>
    <w:p w14:paraId="0B18B6C0"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Odporúčaná úvodná dávka je 250 mg dvakrát denne, ktorú je možné po 2 týždňoch zvýšiť na začiatočnú terapeutickú dávku 500 mg dvakrát denne. Dávku je možné ďalej zvyšovať o 250 mg dvakrát denne každé dva týždne v závislosti na klinickej odpovedi. Maximálna dávka je 1500 mg dvakrát denne.</w:t>
      </w:r>
    </w:p>
    <w:p w14:paraId="4E279F3E" w14:textId="77777777" w:rsidR="00EB5620" w:rsidRPr="00A344BB" w:rsidRDefault="00EB5620" w:rsidP="00EB5620">
      <w:pPr>
        <w:tabs>
          <w:tab w:val="clear" w:pos="567"/>
        </w:tabs>
        <w:autoSpaceDE w:val="0"/>
        <w:autoSpaceDN w:val="0"/>
        <w:adjustRightInd w:val="0"/>
        <w:spacing w:line="240" w:lineRule="auto"/>
        <w:rPr>
          <w:i/>
          <w:iCs/>
          <w:szCs w:val="22"/>
          <w:lang w:eastAsia="cs-CZ"/>
        </w:rPr>
      </w:pPr>
    </w:p>
    <w:p w14:paraId="6114EFE7" w14:textId="77777777" w:rsidR="00A01FE3" w:rsidRPr="00A344BB" w:rsidRDefault="00A01FE3" w:rsidP="00EB5620">
      <w:pPr>
        <w:tabs>
          <w:tab w:val="clear" w:pos="567"/>
        </w:tabs>
        <w:autoSpaceDE w:val="0"/>
        <w:autoSpaceDN w:val="0"/>
        <w:adjustRightInd w:val="0"/>
        <w:spacing w:line="240" w:lineRule="auto"/>
        <w:rPr>
          <w:i/>
          <w:iCs/>
          <w:szCs w:val="22"/>
          <w:lang w:eastAsia="cs-CZ"/>
        </w:rPr>
      </w:pPr>
      <w:r w:rsidRPr="00A344BB">
        <w:rPr>
          <w:i/>
          <w:iCs/>
          <w:szCs w:val="22"/>
          <w:lang w:eastAsia="cs-CZ"/>
        </w:rPr>
        <w:t xml:space="preserve">Prídavná liečba u dospelých (≥ 18 rokov) a dospievajúcich (12 až 17 rokov) s hmotnosťou </w:t>
      </w:r>
      <w:smartTag w:uri="urn:schemas-microsoft-com:office:smarttags" w:element="metricconverter">
        <w:smartTagPr>
          <w:attr w:name="ProductID" w:val="50 kg"/>
        </w:smartTagPr>
        <w:r w:rsidRPr="00A344BB">
          <w:rPr>
            <w:i/>
            <w:iCs/>
            <w:szCs w:val="22"/>
            <w:lang w:eastAsia="cs-CZ"/>
          </w:rPr>
          <w:t>50 kg</w:t>
        </w:r>
      </w:smartTag>
      <w:r w:rsidRPr="00A344BB">
        <w:rPr>
          <w:i/>
          <w:iCs/>
          <w:szCs w:val="22"/>
          <w:lang w:eastAsia="cs-CZ"/>
        </w:rPr>
        <w:t xml:space="preserve"> alebo vyššou</w:t>
      </w:r>
    </w:p>
    <w:p w14:paraId="7B445DB6" w14:textId="77777777" w:rsidR="00EB5620" w:rsidRPr="00A344BB" w:rsidRDefault="00EB5620" w:rsidP="00EB5620">
      <w:pPr>
        <w:tabs>
          <w:tab w:val="clear" w:pos="567"/>
        </w:tabs>
        <w:autoSpaceDE w:val="0"/>
        <w:autoSpaceDN w:val="0"/>
        <w:adjustRightInd w:val="0"/>
        <w:spacing w:line="240" w:lineRule="auto"/>
        <w:rPr>
          <w:szCs w:val="22"/>
          <w:lang w:eastAsia="cs-CZ"/>
        </w:rPr>
      </w:pPr>
    </w:p>
    <w:p w14:paraId="08CC056F"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Začiatočná terapeutická dávka je 500 mg dvakrát denne. S touto dávkou možno začať v prvý deň liečby.</w:t>
      </w:r>
      <w:r w:rsidR="00DA5BC0" w:rsidRPr="00A344BB">
        <w:rPr>
          <w:szCs w:val="22"/>
          <w:lang w:eastAsia="cs-CZ"/>
        </w:rPr>
        <w:t xml:space="preserve"> </w:t>
      </w:r>
      <w:r w:rsidRPr="00A344BB">
        <w:rPr>
          <w:szCs w:val="22"/>
          <w:lang w:eastAsia="cs-CZ"/>
        </w:rPr>
        <w:t>V závislosti od klinickej odpovede a znášanlivosti možno dennú dávku zvýšiť až na 1500 mg  dvakrát denne. Dávku je možné zvyšovať alebo znižovať o 500 mg dvakrát denne každé dva až štyri týždne.</w:t>
      </w:r>
    </w:p>
    <w:p w14:paraId="15F91F9C" w14:textId="77777777" w:rsidR="00EB5620" w:rsidRPr="00A344BB" w:rsidRDefault="00EB5620" w:rsidP="00EB5620">
      <w:pPr>
        <w:tabs>
          <w:tab w:val="clear" w:pos="567"/>
        </w:tabs>
        <w:autoSpaceDE w:val="0"/>
        <w:autoSpaceDN w:val="0"/>
        <w:adjustRightInd w:val="0"/>
        <w:spacing w:line="240" w:lineRule="auto"/>
        <w:rPr>
          <w:szCs w:val="22"/>
          <w:u w:val="single"/>
          <w:lang w:eastAsia="cs-CZ"/>
        </w:rPr>
      </w:pPr>
    </w:p>
    <w:p w14:paraId="113E6490" w14:textId="77777777" w:rsidR="00702BCA" w:rsidRPr="00A344BB" w:rsidRDefault="00702BCA" w:rsidP="00702BCA">
      <w:pPr>
        <w:tabs>
          <w:tab w:val="clear" w:pos="567"/>
        </w:tabs>
        <w:autoSpaceDE w:val="0"/>
        <w:autoSpaceDN w:val="0"/>
        <w:adjustRightInd w:val="0"/>
        <w:spacing w:line="240" w:lineRule="auto"/>
        <w:rPr>
          <w:szCs w:val="22"/>
          <w:u w:val="single"/>
          <w:lang w:eastAsia="cs-CZ"/>
        </w:rPr>
      </w:pPr>
      <w:r w:rsidRPr="00A344BB">
        <w:rPr>
          <w:szCs w:val="22"/>
          <w:u w:val="single"/>
          <w:lang w:eastAsia="cs-CZ"/>
        </w:rPr>
        <w:t>Ukončenie liečby</w:t>
      </w:r>
    </w:p>
    <w:p w14:paraId="21A4A754" w14:textId="77777777" w:rsidR="00702BCA" w:rsidRPr="00A344BB" w:rsidRDefault="00702BCA" w:rsidP="00702BCA">
      <w:pPr>
        <w:tabs>
          <w:tab w:val="clear" w:pos="567"/>
        </w:tabs>
        <w:autoSpaceDE w:val="0"/>
        <w:autoSpaceDN w:val="0"/>
        <w:adjustRightInd w:val="0"/>
        <w:spacing w:line="240" w:lineRule="auto"/>
        <w:rPr>
          <w:szCs w:val="22"/>
          <w:lang w:eastAsia="cs-CZ"/>
        </w:rPr>
      </w:pPr>
      <w:r w:rsidRPr="00A344BB">
        <w:rPr>
          <w:szCs w:val="22"/>
          <w:lang w:eastAsia="cs-CZ"/>
        </w:rPr>
        <w:t xml:space="preserve">Ak je potrebné liečbu </w:t>
      </w:r>
      <w:proofErr w:type="spellStart"/>
      <w:r w:rsidRPr="00A344BB">
        <w:rPr>
          <w:szCs w:val="22"/>
          <w:lang w:eastAsia="cs-CZ"/>
        </w:rPr>
        <w:t>levetiracetamom</w:t>
      </w:r>
      <w:proofErr w:type="spellEnd"/>
      <w:r w:rsidRPr="00A344BB">
        <w:rPr>
          <w:szCs w:val="22"/>
          <w:lang w:eastAsia="cs-CZ"/>
        </w:rPr>
        <w:t xml:space="preserve"> ukončiť, odporúča sa </w:t>
      </w:r>
      <w:r w:rsidR="00A36E96" w:rsidRPr="00A344BB">
        <w:rPr>
          <w:szCs w:val="22"/>
          <w:lang w:eastAsia="cs-CZ"/>
        </w:rPr>
        <w:t>ukončovať</w:t>
      </w:r>
      <w:r w:rsidRPr="00A344BB">
        <w:rPr>
          <w:szCs w:val="22"/>
          <w:lang w:eastAsia="cs-CZ"/>
        </w:rPr>
        <w:t xml:space="preserve"> ju postupne (napr. u dospelých a dospievajúcich s hmotnosťou vyššou ako 50 kg: znižovanie o 500 mg dvakrát denne, každé dva až štyri týždne, u dojčiat starších ako 6 mesiacov, detí a dospievajúcich s hmotnosťou nižšou ako 50 kg: dávka sa má znižovať maximálne o 10 mg/kg dvakrát denne každé dva týždne; u dojčiat (pod 6 mesiacov): zníženie dávky nemá presiahnuť 7 mg/kg dvakrát denne, každé 2 týždne).</w:t>
      </w:r>
    </w:p>
    <w:p w14:paraId="44B41223" w14:textId="77777777" w:rsidR="00702BCA" w:rsidRPr="00A344BB" w:rsidRDefault="00702BCA" w:rsidP="00EB5620">
      <w:pPr>
        <w:tabs>
          <w:tab w:val="clear" w:pos="567"/>
        </w:tabs>
        <w:autoSpaceDE w:val="0"/>
        <w:autoSpaceDN w:val="0"/>
        <w:adjustRightInd w:val="0"/>
        <w:spacing w:line="240" w:lineRule="auto"/>
        <w:rPr>
          <w:szCs w:val="22"/>
          <w:u w:val="single"/>
          <w:lang w:eastAsia="cs-CZ"/>
        </w:rPr>
      </w:pPr>
    </w:p>
    <w:p w14:paraId="4B28B3A3" w14:textId="77777777" w:rsidR="00A01FE3" w:rsidRPr="00A344BB" w:rsidRDefault="00A01FE3"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Osobitné skupiny pacientov</w:t>
      </w:r>
    </w:p>
    <w:p w14:paraId="738055C5" w14:textId="77777777" w:rsidR="00EB5620" w:rsidRPr="00A344BB" w:rsidRDefault="00EB5620" w:rsidP="00EB5620">
      <w:pPr>
        <w:tabs>
          <w:tab w:val="clear" w:pos="567"/>
        </w:tabs>
        <w:autoSpaceDE w:val="0"/>
        <w:autoSpaceDN w:val="0"/>
        <w:adjustRightInd w:val="0"/>
        <w:spacing w:line="240" w:lineRule="auto"/>
        <w:rPr>
          <w:i/>
          <w:iCs/>
          <w:szCs w:val="22"/>
          <w:lang w:eastAsia="cs-CZ"/>
        </w:rPr>
      </w:pPr>
    </w:p>
    <w:p w14:paraId="1D675371" w14:textId="77777777" w:rsidR="00A01FE3" w:rsidRPr="00A344BB" w:rsidRDefault="00A01FE3" w:rsidP="00EB5620">
      <w:pPr>
        <w:tabs>
          <w:tab w:val="clear" w:pos="567"/>
        </w:tabs>
        <w:autoSpaceDE w:val="0"/>
        <w:autoSpaceDN w:val="0"/>
        <w:adjustRightInd w:val="0"/>
        <w:spacing w:line="240" w:lineRule="auto"/>
        <w:rPr>
          <w:i/>
          <w:iCs/>
          <w:szCs w:val="22"/>
          <w:lang w:eastAsia="cs-CZ"/>
        </w:rPr>
      </w:pPr>
      <w:r w:rsidRPr="00A344BB">
        <w:rPr>
          <w:i/>
          <w:iCs/>
          <w:szCs w:val="22"/>
          <w:lang w:eastAsia="cs-CZ"/>
        </w:rPr>
        <w:t>Starší pacienti (65 rokov a starší)</w:t>
      </w:r>
    </w:p>
    <w:p w14:paraId="1FF8C6AE" w14:textId="77777777" w:rsidR="00EB5620" w:rsidRPr="00A344BB" w:rsidRDefault="00EB5620" w:rsidP="00EB5620">
      <w:pPr>
        <w:tabs>
          <w:tab w:val="clear" w:pos="567"/>
        </w:tabs>
        <w:autoSpaceDE w:val="0"/>
        <w:autoSpaceDN w:val="0"/>
        <w:adjustRightInd w:val="0"/>
        <w:spacing w:line="240" w:lineRule="auto"/>
        <w:rPr>
          <w:szCs w:val="22"/>
          <w:lang w:eastAsia="cs-CZ"/>
        </w:rPr>
      </w:pPr>
    </w:p>
    <w:p w14:paraId="25EAD6A2"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 xml:space="preserve">U starších pacientov so zhoršenou funkciou obličiek sa odporúča úprava dávky (pozri </w:t>
      </w:r>
      <w:r w:rsidR="00EB5620" w:rsidRPr="00A344BB">
        <w:rPr>
          <w:szCs w:val="22"/>
          <w:lang w:eastAsia="cs-CZ"/>
        </w:rPr>
        <w:t xml:space="preserve">nižšie </w:t>
      </w:r>
      <w:r w:rsidRPr="00A344BB">
        <w:rPr>
          <w:szCs w:val="22"/>
          <w:lang w:eastAsia="cs-CZ"/>
        </w:rPr>
        <w:t>„Porucha funkcie obličiek“).</w:t>
      </w:r>
    </w:p>
    <w:p w14:paraId="3D38BB06" w14:textId="77777777" w:rsidR="00EB5620" w:rsidRPr="00A344BB" w:rsidRDefault="00EB5620" w:rsidP="00EB5620">
      <w:pPr>
        <w:tabs>
          <w:tab w:val="clear" w:pos="567"/>
        </w:tabs>
        <w:autoSpaceDE w:val="0"/>
        <w:autoSpaceDN w:val="0"/>
        <w:adjustRightInd w:val="0"/>
        <w:spacing w:line="240" w:lineRule="auto"/>
        <w:rPr>
          <w:i/>
          <w:iCs/>
          <w:szCs w:val="22"/>
          <w:lang w:eastAsia="cs-CZ"/>
        </w:rPr>
      </w:pPr>
    </w:p>
    <w:p w14:paraId="446BBB88" w14:textId="77777777" w:rsidR="00A01FE3" w:rsidRPr="00A344BB" w:rsidRDefault="00A01FE3" w:rsidP="00EB5620">
      <w:pPr>
        <w:tabs>
          <w:tab w:val="clear" w:pos="567"/>
        </w:tabs>
        <w:autoSpaceDE w:val="0"/>
        <w:autoSpaceDN w:val="0"/>
        <w:adjustRightInd w:val="0"/>
        <w:spacing w:line="240" w:lineRule="auto"/>
        <w:rPr>
          <w:i/>
          <w:iCs/>
          <w:szCs w:val="22"/>
          <w:lang w:eastAsia="cs-CZ"/>
        </w:rPr>
      </w:pPr>
      <w:r w:rsidRPr="00A344BB">
        <w:rPr>
          <w:i/>
          <w:iCs/>
          <w:szCs w:val="22"/>
          <w:lang w:eastAsia="cs-CZ"/>
        </w:rPr>
        <w:t>Porucha funkcie obličiek</w:t>
      </w:r>
    </w:p>
    <w:p w14:paraId="74062EE3" w14:textId="77777777" w:rsidR="00EB5620" w:rsidRPr="00A344BB" w:rsidRDefault="00EB5620" w:rsidP="00EB5620">
      <w:pPr>
        <w:tabs>
          <w:tab w:val="clear" w:pos="567"/>
        </w:tabs>
        <w:autoSpaceDE w:val="0"/>
        <w:autoSpaceDN w:val="0"/>
        <w:adjustRightInd w:val="0"/>
        <w:spacing w:line="240" w:lineRule="auto"/>
        <w:rPr>
          <w:szCs w:val="22"/>
          <w:lang w:eastAsia="cs-CZ"/>
        </w:rPr>
      </w:pPr>
    </w:p>
    <w:p w14:paraId="2C41BC8B"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Denná dávka sa musí upraviť individuálne podľa funkcie obličiek.</w:t>
      </w:r>
    </w:p>
    <w:p w14:paraId="70EAE08F" w14:textId="77777777" w:rsidR="00DA5BC0"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 xml:space="preserve">Pre dospelých pacientov použite nasledovnú tabuľku a dávku upravte zodpovedajúcim spôsobom. Pri použití tejto tabuľky pre dávkovanie je potrebné stanoviť </w:t>
      </w:r>
      <w:proofErr w:type="spellStart"/>
      <w:r w:rsidRPr="00A344BB">
        <w:rPr>
          <w:szCs w:val="22"/>
          <w:lang w:eastAsia="cs-CZ"/>
        </w:rPr>
        <w:t>klírens</w:t>
      </w:r>
      <w:proofErr w:type="spellEnd"/>
      <w:r w:rsidRPr="00A344BB">
        <w:rPr>
          <w:szCs w:val="22"/>
          <w:lang w:eastAsia="cs-CZ"/>
        </w:rPr>
        <w:t xml:space="preserve"> </w:t>
      </w:r>
      <w:proofErr w:type="spellStart"/>
      <w:r w:rsidRPr="00A344BB">
        <w:rPr>
          <w:szCs w:val="22"/>
          <w:lang w:eastAsia="cs-CZ"/>
        </w:rPr>
        <w:t>kreatinínu</w:t>
      </w:r>
      <w:proofErr w:type="spellEnd"/>
      <w:r w:rsidRPr="00A344BB">
        <w:rPr>
          <w:szCs w:val="22"/>
          <w:lang w:eastAsia="cs-CZ"/>
        </w:rPr>
        <w:t xml:space="preserve"> (</w:t>
      </w:r>
      <w:proofErr w:type="spellStart"/>
      <w:r w:rsidRPr="00A344BB">
        <w:rPr>
          <w:szCs w:val="22"/>
          <w:lang w:eastAsia="cs-CZ"/>
        </w:rPr>
        <w:t>CLcr</w:t>
      </w:r>
      <w:proofErr w:type="spellEnd"/>
      <w:r w:rsidRPr="00A344BB">
        <w:rPr>
          <w:szCs w:val="22"/>
          <w:lang w:eastAsia="cs-CZ"/>
        </w:rPr>
        <w:t xml:space="preserve">) pacienta v ml/min. U dospelých a dospievajúcich s hmotnosťou </w:t>
      </w:r>
      <w:smartTag w:uri="urn:schemas-microsoft-com:office:smarttags" w:element="metricconverter">
        <w:smartTagPr>
          <w:attr w:name="ProductID" w:val="50 kg"/>
        </w:smartTagPr>
        <w:r w:rsidRPr="00A344BB">
          <w:rPr>
            <w:szCs w:val="22"/>
            <w:lang w:eastAsia="cs-CZ"/>
          </w:rPr>
          <w:t>50 kg</w:t>
        </w:r>
      </w:smartTag>
      <w:r w:rsidRPr="00A344BB">
        <w:rPr>
          <w:szCs w:val="22"/>
          <w:lang w:eastAsia="cs-CZ"/>
        </w:rPr>
        <w:t xml:space="preserve"> alebo vyššou je možné </w:t>
      </w:r>
      <w:proofErr w:type="spellStart"/>
      <w:r w:rsidRPr="00A344BB">
        <w:rPr>
          <w:szCs w:val="22"/>
          <w:lang w:eastAsia="cs-CZ"/>
        </w:rPr>
        <w:t>CLcr</w:t>
      </w:r>
      <w:proofErr w:type="spellEnd"/>
      <w:r w:rsidRPr="00A344BB">
        <w:rPr>
          <w:szCs w:val="22"/>
          <w:lang w:eastAsia="cs-CZ"/>
        </w:rPr>
        <w:t xml:space="preserve"> v ml/min stanoviť z merania </w:t>
      </w:r>
      <w:proofErr w:type="spellStart"/>
      <w:r w:rsidRPr="00A344BB">
        <w:rPr>
          <w:szCs w:val="22"/>
          <w:lang w:eastAsia="cs-CZ"/>
        </w:rPr>
        <w:t>kreatinínu</w:t>
      </w:r>
      <w:proofErr w:type="spellEnd"/>
      <w:r w:rsidRPr="00A344BB">
        <w:rPr>
          <w:szCs w:val="22"/>
          <w:lang w:eastAsia="cs-CZ"/>
        </w:rPr>
        <w:t xml:space="preserve"> v sére (mg/dl) pomocou nasledovnej rovnice.</w:t>
      </w:r>
      <w:r w:rsidR="00DA5BC0" w:rsidRPr="00A344BB">
        <w:rPr>
          <w:szCs w:val="22"/>
          <w:lang w:eastAsia="cs-CZ"/>
        </w:rPr>
        <w:br/>
      </w:r>
    </w:p>
    <w:p w14:paraId="7DB5B366"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ab/>
      </w:r>
      <w:r w:rsidRPr="00A344BB">
        <w:rPr>
          <w:szCs w:val="22"/>
          <w:lang w:eastAsia="cs-CZ"/>
        </w:rPr>
        <w:tab/>
      </w:r>
      <w:r w:rsidRPr="00A344BB">
        <w:rPr>
          <w:szCs w:val="22"/>
          <w:lang w:eastAsia="cs-CZ"/>
        </w:rPr>
        <w:tab/>
        <w:t>[</w:t>
      </w:r>
      <w:proofErr w:type="spellStart"/>
      <w:r w:rsidRPr="00A344BB">
        <w:rPr>
          <w:szCs w:val="22"/>
          <w:lang w:eastAsia="cs-CZ"/>
        </w:rPr>
        <w:t>140-vek</w:t>
      </w:r>
      <w:proofErr w:type="spellEnd"/>
      <w:r w:rsidRPr="00A344BB">
        <w:rPr>
          <w:szCs w:val="22"/>
          <w:lang w:eastAsia="cs-CZ"/>
        </w:rPr>
        <w:t xml:space="preserve"> (roky)] x hmotnosť (kg)</w:t>
      </w:r>
    </w:p>
    <w:p w14:paraId="3EB04E29" w14:textId="77777777" w:rsidR="00A01FE3" w:rsidRPr="00A344BB" w:rsidRDefault="00A01FE3"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CLcr</w:t>
      </w:r>
      <w:proofErr w:type="spellEnd"/>
      <w:r w:rsidRPr="00A344BB">
        <w:rPr>
          <w:szCs w:val="22"/>
          <w:lang w:eastAsia="cs-CZ"/>
        </w:rPr>
        <w:t xml:space="preserve"> (ml/min) =        -------------------------------------------- (x 0,85 u žien)</w:t>
      </w:r>
    </w:p>
    <w:p w14:paraId="0CB34959"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ab/>
      </w:r>
      <w:r w:rsidRPr="00A344BB">
        <w:rPr>
          <w:szCs w:val="22"/>
          <w:lang w:eastAsia="cs-CZ"/>
        </w:rPr>
        <w:tab/>
      </w:r>
      <w:r w:rsidRPr="00A344BB">
        <w:rPr>
          <w:szCs w:val="22"/>
          <w:lang w:eastAsia="cs-CZ"/>
        </w:rPr>
        <w:tab/>
        <w:t xml:space="preserve">72 x </w:t>
      </w:r>
      <w:proofErr w:type="spellStart"/>
      <w:r w:rsidRPr="00A344BB">
        <w:rPr>
          <w:szCs w:val="22"/>
          <w:lang w:eastAsia="cs-CZ"/>
        </w:rPr>
        <w:t>kreatinín</w:t>
      </w:r>
      <w:proofErr w:type="spellEnd"/>
      <w:r w:rsidRPr="00A344BB">
        <w:rPr>
          <w:szCs w:val="22"/>
          <w:lang w:eastAsia="cs-CZ"/>
        </w:rPr>
        <w:t xml:space="preserve"> v sére (mg/dl)</w:t>
      </w:r>
    </w:p>
    <w:p w14:paraId="551195A0" w14:textId="77777777" w:rsidR="003A0B11" w:rsidRPr="00A344BB" w:rsidRDefault="003A0B11" w:rsidP="00EB5620">
      <w:pPr>
        <w:tabs>
          <w:tab w:val="clear" w:pos="567"/>
        </w:tabs>
        <w:autoSpaceDE w:val="0"/>
        <w:autoSpaceDN w:val="0"/>
        <w:adjustRightInd w:val="0"/>
        <w:spacing w:line="240" w:lineRule="auto"/>
        <w:rPr>
          <w:szCs w:val="22"/>
          <w:lang w:eastAsia="cs-CZ"/>
        </w:rPr>
      </w:pPr>
    </w:p>
    <w:p w14:paraId="1EA6011B" w14:textId="77777777" w:rsidR="00A01FE3" w:rsidRPr="00A344BB" w:rsidRDefault="00A01FE3"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CLcr</w:t>
      </w:r>
      <w:proofErr w:type="spellEnd"/>
      <w:r w:rsidRPr="00A344BB">
        <w:rPr>
          <w:szCs w:val="22"/>
          <w:lang w:eastAsia="cs-CZ"/>
        </w:rPr>
        <w:t xml:space="preserve"> sa potom prepočíta podľa nasledujúceho vzorca na plochu povrchu tela (body </w:t>
      </w:r>
      <w:proofErr w:type="spellStart"/>
      <w:r w:rsidRPr="00A344BB">
        <w:rPr>
          <w:szCs w:val="22"/>
          <w:lang w:eastAsia="cs-CZ"/>
        </w:rPr>
        <w:t>surface</w:t>
      </w:r>
      <w:proofErr w:type="spellEnd"/>
      <w:r w:rsidRPr="00A344BB">
        <w:rPr>
          <w:szCs w:val="22"/>
          <w:lang w:eastAsia="cs-CZ"/>
        </w:rPr>
        <w:t xml:space="preserve"> </w:t>
      </w:r>
      <w:proofErr w:type="spellStart"/>
      <w:r w:rsidRPr="00A344BB">
        <w:rPr>
          <w:szCs w:val="22"/>
          <w:lang w:eastAsia="cs-CZ"/>
        </w:rPr>
        <w:t>area</w:t>
      </w:r>
      <w:proofErr w:type="spellEnd"/>
      <w:r w:rsidRPr="00A344BB">
        <w:rPr>
          <w:szCs w:val="22"/>
          <w:lang w:eastAsia="cs-CZ"/>
        </w:rPr>
        <w:t xml:space="preserve">, </w:t>
      </w:r>
      <w:proofErr w:type="spellStart"/>
      <w:r w:rsidRPr="00A344BB">
        <w:rPr>
          <w:szCs w:val="22"/>
          <w:lang w:eastAsia="cs-CZ"/>
        </w:rPr>
        <w:t>BSA</w:t>
      </w:r>
      <w:proofErr w:type="spellEnd"/>
      <w:r w:rsidRPr="00A344BB">
        <w:rPr>
          <w:szCs w:val="22"/>
          <w:lang w:eastAsia="cs-CZ"/>
        </w:rPr>
        <w:t>):</w:t>
      </w:r>
    </w:p>
    <w:p w14:paraId="61852473"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ab/>
      </w:r>
      <w:r w:rsidRPr="00A344BB">
        <w:rPr>
          <w:szCs w:val="22"/>
          <w:lang w:eastAsia="cs-CZ"/>
        </w:rPr>
        <w:tab/>
      </w:r>
      <w:r w:rsidRPr="00A344BB">
        <w:rPr>
          <w:szCs w:val="22"/>
          <w:lang w:eastAsia="cs-CZ"/>
        </w:rPr>
        <w:tab/>
      </w:r>
      <w:r w:rsidRPr="00A344BB">
        <w:rPr>
          <w:szCs w:val="22"/>
          <w:lang w:eastAsia="cs-CZ"/>
        </w:rPr>
        <w:tab/>
      </w:r>
      <w:proofErr w:type="spellStart"/>
      <w:r w:rsidRPr="00A344BB">
        <w:rPr>
          <w:szCs w:val="22"/>
          <w:lang w:eastAsia="cs-CZ"/>
        </w:rPr>
        <w:t>Clcr</w:t>
      </w:r>
      <w:proofErr w:type="spellEnd"/>
      <w:r w:rsidRPr="00A344BB">
        <w:rPr>
          <w:szCs w:val="22"/>
          <w:lang w:eastAsia="cs-CZ"/>
        </w:rPr>
        <w:t xml:space="preserve"> (ml/min)</w:t>
      </w:r>
    </w:p>
    <w:p w14:paraId="4BD44018" w14:textId="77777777" w:rsidR="00A01FE3" w:rsidRPr="00A344BB" w:rsidRDefault="00A01FE3"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CLcr</w:t>
      </w:r>
      <w:proofErr w:type="spellEnd"/>
      <w:r w:rsidRPr="00A344BB">
        <w:rPr>
          <w:szCs w:val="22"/>
          <w:lang w:eastAsia="cs-CZ"/>
        </w:rPr>
        <w:t xml:space="preserve"> (ml/min/1,73 m²) =          ------------------------ x 1,73</w:t>
      </w:r>
    </w:p>
    <w:p w14:paraId="28ABBD46"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ab/>
      </w:r>
      <w:r w:rsidRPr="00A344BB">
        <w:rPr>
          <w:szCs w:val="22"/>
          <w:lang w:eastAsia="cs-CZ"/>
        </w:rPr>
        <w:tab/>
      </w:r>
      <w:r w:rsidRPr="00A344BB">
        <w:rPr>
          <w:szCs w:val="22"/>
          <w:lang w:eastAsia="cs-CZ"/>
        </w:rPr>
        <w:tab/>
      </w:r>
      <w:r w:rsidRPr="00A344BB">
        <w:rPr>
          <w:szCs w:val="22"/>
          <w:lang w:eastAsia="cs-CZ"/>
        </w:rPr>
        <w:tab/>
      </w:r>
      <w:proofErr w:type="spellStart"/>
      <w:r w:rsidRPr="00A344BB">
        <w:rPr>
          <w:szCs w:val="22"/>
          <w:lang w:eastAsia="cs-CZ"/>
        </w:rPr>
        <w:t>BSA</w:t>
      </w:r>
      <w:proofErr w:type="spellEnd"/>
      <w:r w:rsidRPr="00A344BB">
        <w:rPr>
          <w:szCs w:val="22"/>
          <w:lang w:eastAsia="cs-CZ"/>
        </w:rPr>
        <w:t xml:space="preserve"> pacienta (m²)</w:t>
      </w:r>
    </w:p>
    <w:p w14:paraId="5F88F720"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lastRenderedPageBreak/>
        <w:t xml:space="preserve">Úprava dávky u dospelých a dospievajúcich pacientov s telesnou hmotnosťou viac ako </w:t>
      </w:r>
      <w:smartTag w:uri="urn:schemas-microsoft-com:office:smarttags" w:element="metricconverter">
        <w:smartTagPr>
          <w:attr w:name="ProductID" w:val="50 kg"/>
        </w:smartTagPr>
        <w:r w:rsidRPr="00A344BB">
          <w:rPr>
            <w:szCs w:val="22"/>
            <w:lang w:eastAsia="cs-CZ"/>
          </w:rPr>
          <w:t>50 kg</w:t>
        </w:r>
      </w:smartTag>
      <w:r w:rsidRPr="00A344BB">
        <w:rPr>
          <w:szCs w:val="22"/>
          <w:lang w:eastAsia="cs-CZ"/>
        </w:rPr>
        <w:t xml:space="preserve"> s poruchou funkcie obličiek: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6"/>
        <w:gridCol w:w="2927"/>
        <w:gridCol w:w="2927"/>
      </w:tblGrid>
      <w:tr w:rsidR="00A344BB" w:rsidRPr="00A344BB" w14:paraId="38C2A72A" w14:textId="77777777" w:rsidTr="00F8327B">
        <w:tc>
          <w:tcPr>
            <w:tcW w:w="2926" w:type="dxa"/>
          </w:tcPr>
          <w:p w14:paraId="247D7885"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Skupina</w:t>
            </w:r>
          </w:p>
        </w:tc>
        <w:tc>
          <w:tcPr>
            <w:tcW w:w="2927" w:type="dxa"/>
          </w:tcPr>
          <w:p w14:paraId="7C853D63" w14:textId="77777777" w:rsidR="00A01FE3" w:rsidRPr="00A344BB" w:rsidRDefault="00A01FE3" w:rsidP="0096391B">
            <w:pPr>
              <w:keepNext/>
              <w:tabs>
                <w:tab w:val="clear" w:pos="567"/>
              </w:tabs>
              <w:autoSpaceDE w:val="0"/>
              <w:autoSpaceDN w:val="0"/>
              <w:adjustRightInd w:val="0"/>
              <w:spacing w:line="240" w:lineRule="auto"/>
              <w:rPr>
                <w:szCs w:val="22"/>
                <w:lang w:eastAsia="cs-CZ"/>
              </w:rPr>
            </w:pPr>
            <w:proofErr w:type="spellStart"/>
            <w:r w:rsidRPr="00A344BB">
              <w:rPr>
                <w:szCs w:val="22"/>
                <w:lang w:eastAsia="cs-CZ"/>
              </w:rPr>
              <w:t>Klírens</w:t>
            </w:r>
            <w:proofErr w:type="spellEnd"/>
            <w:r w:rsidRPr="00A344BB">
              <w:rPr>
                <w:szCs w:val="22"/>
                <w:lang w:eastAsia="cs-CZ"/>
              </w:rPr>
              <w:t xml:space="preserve"> </w:t>
            </w:r>
            <w:proofErr w:type="spellStart"/>
            <w:r w:rsidRPr="00A344BB">
              <w:rPr>
                <w:szCs w:val="22"/>
                <w:lang w:eastAsia="cs-CZ"/>
              </w:rPr>
              <w:t>kreatinínu</w:t>
            </w:r>
            <w:proofErr w:type="spellEnd"/>
            <w:r w:rsidRPr="00A344BB">
              <w:rPr>
                <w:szCs w:val="22"/>
                <w:lang w:eastAsia="cs-CZ"/>
              </w:rPr>
              <w:t xml:space="preserve"> (ml/min/1,73 m</w:t>
            </w:r>
            <w:r w:rsidRPr="00A344BB">
              <w:rPr>
                <w:szCs w:val="22"/>
                <w:vertAlign w:val="superscript"/>
                <w:lang w:eastAsia="cs-CZ"/>
              </w:rPr>
              <w:t>2</w:t>
            </w:r>
            <w:r w:rsidRPr="00A344BB">
              <w:rPr>
                <w:szCs w:val="22"/>
                <w:lang w:eastAsia="cs-CZ"/>
              </w:rPr>
              <w:t>)</w:t>
            </w:r>
          </w:p>
        </w:tc>
        <w:tc>
          <w:tcPr>
            <w:tcW w:w="2927" w:type="dxa"/>
          </w:tcPr>
          <w:p w14:paraId="1E90EC36"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Dávka a frekvencia</w:t>
            </w:r>
          </w:p>
        </w:tc>
      </w:tr>
      <w:tr w:rsidR="00A344BB" w:rsidRPr="00A344BB" w14:paraId="7F675338" w14:textId="77777777" w:rsidTr="00F8327B">
        <w:tc>
          <w:tcPr>
            <w:tcW w:w="2926" w:type="dxa"/>
          </w:tcPr>
          <w:p w14:paraId="1E93BE0B"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Normálna</w:t>
            </w:r>
          </w:p>
        </w:tc>
        <w:tc>
          <w:tcPr>
            <w:tcW w:w="2927" w:type="dxa"/>
          </w:tcPr>
          <w:p w14:paraId="24EE5FEC"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&gt; 80</w:t>
            </w:r>
          </w:p>
        </w:tc>
        <w:tc>
          <w:tcPr>
            <w:tcW w:w="2927" w:type="dxa"/>
          </w:tcPr>
          <w:p w14:paraId="67E2B5DA"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500 až 1500 mg dvakrát denne</w:t>
            </w:r>
          </w:p>
        </w:tc>
      </w:tr>
      <w:tr w:rsidR="00A344BB" w:rsidRPr="00A344BB" w14:paraId="3992FFC5" w14:textId="77777777" w:rsidTr="00F8327B">
        <w:tc>
          <w:tcPr>
            <w:tcW w:w="2926" w:type="dxa"/>
          </w:tcPr>
          <w:p w14:paraId="39F0822E"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Mierna</w:t>
            </w:r>
          </w:p>
        </w:tc>
        <w:tc>
          <w:tcPr>
            <w:tcW w:w="2927" w:type="dxa"/>
          </w:tcPr>
          <w:p w14:paraId="5ABEFBD8"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50 – 79</w:t>
            </w:r>
          </w:p>
        </w:tc>
        <w:tc>
          <w:tcPr>
            <w:tcW w:w="2927" w:type="dxa"/>
          </w:tcPr>
          <w:p w14:paraId="6BD08534"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500 až 1000 mg dvakrát denne</w:t>
            </w:r>
          </w:p>
        </w:tc>
      </w:tr>
      <w:tr w:rsidR="00A344BB" w:rsidRPr="00A344BB" w14:paraId="5A8A3503" w14:textId="77777777" w:rsidTr="00F8327B">
        <w:tc>
          <w:tcPr>
            <w:tcW w:w="2926" w:type="dxa"/>
          </w:tcPr>
          <w:p w14:paraId="576B0759"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Stredne závažná</w:t>
            </w:r>
          </w:p>
        </w:tc>
        <w:tc>
          <w:tcPr>
            <w:tcW w:w="2927" w:type="dxa"/>
          </w:tcPr>
          <w:p w14:paraId="4005D8EB"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30 – 49</w:t>
            </w:r>
          </w:p>
        </w:tc>
        <w:tc>
          <w:tcPr>
            <w:tcW w:w="2927" w:type="dxa"/>
          </w:tcPr>
          <w:p w14:paraId="3B5F8551"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250 až 750 mg dvakrát denne</w:t>
            </w:r>
          </w:p>
        </w:tc>
      </w:tr>
      <w:tr w:rsidR="00A344BB" w:rsidRPr="00A344BB" w14:paraId="418023DD" w14:textId="77777777" w:rsidTr="00F8327B">
        <w:tc>
          <w:tcPr>
            <w:tcW w:w="2926" w:type="dxa"/>
          </w:tcPr>
          <w:p w14:paraId="0320A3F6"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Závažná</w:t>
            </w:r>
          </w:p>
        </w:tc>
        <w:tc>
          <w:tcPr>
            <w:tcW w:w="2927" w:type="dxa"/>
          </w:tcPr>
          <w:p w14:paraId="163ECF1D"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&lt; 30</w:t>
            </w:r>
          </w:p>
        </w:tc>
        <w:tc>
          <w:tcPr>
            <w:tcW w:w="2927" w:type="dxa"/>
          </w:tcPr>
          <w:p w14:paraId="029C4E9A"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250 až 500 mg dvakrát denne</w:t>
            </w:r>
          </w:p>
        </w:tc>
      </w:tr>
      <w:tr w:rsidR="00A344BB" w:rsidRPr="00A344BB" w14:paraId="2568DDD9" w14:textId="77777777" w:rsidTr="00F8327B">
        <w:tc>
          <w:tcPr>
            <w:tcW w:w="2926" w:type="dxa"/>
          </w:tcPr>
          <w:p w14:paraId="6BECBEC9"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Dialyzovaní pacienti v terminálnom štádiu zlyhania obličiek </w:t>
            </w:r>
            <w:r w:rsidRPr="00A344BB">
              <w:rPr>
                <w:szCs w:val="22"/>
                <w:vertAlign w:val="superscript"/>
                <w:lang w:eastAsia="cs-CZ"/>
              </w:rPr>
              <w:t>(1)</w:t>
            </w:r>
          </w:p>
        </w:tc>
        <w:tc>
          <w:tcPr>
            <w:tcW w:w="2927" w:type="dxa"/>
          </w:tcPr>
          <w:p w14:paraId="74600C45"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w:t>
            </w:r>
          </w:p>
          <w:p w14:paraId="23C39899" w14:textId="77777777" w:rsidR="00A01FE3" w:rsidRPr="00A344BB" w:rsidRDefault="00A01FE3" w:rsidP="0096391B">
            <w:pPr>
              <w:keepNext/>
              <w:tabs>
                <w:tab w:val="clear" w:pos="567"/>
              </w:tabs>
              <w:autoSpaceDE w:val="0"/>
              <w:autoSpaceDN w:val="0"/>
              <w:adjustRightInd w:val="0"/>
              <w:spacing w:line="240" w:lineRule="auto"/>
              <w:rPr>
                <w:szCs w:val="22"/>
                <w:lang w:eastAsia="cs-CZ"/>
              </w:rPr>
            </w:pPr>
          </w:p>
        </w:tc>
        <w:tc>
          <w:tcPr>
            <w:tcW w:w="2927" w:type="dxa"/>
          </w:tcPr>
          <w:p w14:paraId="21C1DDDB"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500 až 1000 mg jedenkrát denne </w:t>
            </w:r>
            <w:r w:rsidRPr="00A344BB">
              <w:rPr>
                <w:szCs w:val="22"/>
                <w:vertAlign w:val="superscript"/>
                <w:lang w:eastAsia="cs-CZ"/>
              </w:rPr>
              <w:t>(2)</w:t>
            </w:r>
          </w:p>
        </w:tc>
      </w:tr>
    </w:tbl>
    <w:p w14:paraId="431385A7"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vertAlign w:val="superscript"/>
          <w:lang w:eastAsia="cs-CZ"/>
        </w:rPr>
        <w:t>(1)</w:t>
      </w:r>
      <w:r w:rsidRPr="00A344BB">
        <w:rPr>
          <w:szCs w:val="22"/>
          <w:lang w:eastAsia="cs-CZ"/>
        </w:rPr>
        <w:t xml:space="preserve"> V prvý deň liečby </w:t>
      </w:r>
      <w:proofErr w:type="spellStart"/>
      <w:r w:rsidRPr="00A344BB">
        <w:rPr>
          <w:szCs w:val="22"/>
          <w:lang w:eastAsia="cs-CZ"/>
        </w:rPr>
        <w:t>levetiracetamom</w:t>
      </w:r>
      <w:proofErr w:type="spellEnd"/>
      <w:r w:rsidRPr="00A344BB">
        <w:rPr>
          <w:szCs w:val="22"/>
          <w:lang w:eastAsia="cs-CZ"/>
        </w:rPr>
        <w:t xml:space="preserve"> sa odporúča podať úvodnú dávku 750 mg.</w:t>
      </w:r>
    </w:p>
    <w:p w14:paraId="5EFB3DDE" w14:textId="77777777" w:rsidR="00A01FE3" w:rsidRPr="00A344BB" w:rsidRDefault="00A01FE3" w:rsidP="0096391B">
      <w:pPr>
        <w:keepNext/>
        <w:tabs>
          <w:tab w:val="clear" w:pos="567"/>
        </w:tabs>
        <w:autoSpaceDE w:val="0"/>
        <w:autoSpaceDN w:val="0"/>
        <w:adjustRightInd w:val="0"/>
        <w:spacing w:line="240" w:lineRule="auto"/>
        <w:rPr>
          <w:szCs w:val="22"/>
          <w:lang w:eastAsia="cs-CZ"/>
        </w:rPr>
      </w:pPr>
      <w:r w:rsidRPr="00A344BB">
        <w:rPr>
          <w:szCs w:val="22"/>
          <w:vertAlign w:val="superscript"/>
          <w:lang w:eastAsia="cs-CZ"/>
        </w:rPr>
        <w:t>(2)</w:t>
      </w:r>
      <w:r w:rsidRPr="00A344BB">
        <w:rPr>
          <w:szCs w:val="22"/>
          <w:lang w:eastAsia="cs-CZ"/>
        </w:rPr>
        <w:t xml:space="preserve"> Po dialýze sa odporúča dodatočná dávka 250 až 500 mg.</w:t>
      </w:r>
    </w:p>
    <w:p w14:paraId="6781648F" w14:textId="77777777" w:rsidR="003A0B11" w:rsidRPr="00A344BB" w:rsidRDefault="003A0B11" w:rsidP="00EB5620">
      <w:pPr>
        <w:tabs>
          <w:tab w:val="clear" w:pos="567"/>
        </w:tabs>
        <w:autoSpaceDE w:val="0"/>
        <w:autoSpaceDN w:val="0"/>
        <w:adjustRightInd w:val="0"/>
        <w:spacing w:line="240" w:lineRule="auto"/>
        <w:rPr>
          <w:szCs w:val="22"/>
          <w:lang w:eastAsia="cs-CZ"/>
        </w:rPr>
      </w:pPr>
    </w:p>
    <w:p w14:paraId="69FBA5E7"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 xml:space="preserve">U detí s poruchou funkcie obličiek je potrebné upraviť dávku </w:t>
      </w:r>
      <w:proofErr w:type="spellStart"/>
      <w:r w:rsidRPr="00A344BB">
        <w:rPr>
          <w:szCs w:val="22"/>
          <w:lang w:eastAsia="cs-CZ"/>
        </w:rPr>
        <w:t>levetiracetamu</w:t>
      </w:r>
      <w:proofErr w:type="spellEnd"/>
      <w:r w:rsidRPr="00A344BB">
        <w:rPr>
          <w:szCs w:val="22"/>
          <w:lang w:eastAsia="cs-CZ"/>
        </w:rPr>
        <w:t xml:space="preserve"> podľa funkcie obličiek, pretože </w:t>
      </w:r>
      <w:proofErr w:type="spellStart"/>
      <w:r w:rsidRPr="00A344BB">
        <w:rPr>
          <w:szCs w:val="22"/>
          <w:lang w:eastAsia="cs-CZ"/>
        </w:rPr>
        <w:t>klírens</w:t>
      </w:r>
      <w:proofErr w:type="spellEnd"/>
      <w:r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závisí od funkcie obličiek. Toto odporúčanie je založené na štúdii s dospelými pacientmi s poruchou funkcie obličiek.</w:t>
      </w:r>
    </w:p>
    <w:p w14:paraId="76187498" w14:textId="77777777" w:rsidR="003A0B11" w:rsidRPr="00A344BB" w:rsidRDefault="003A0B11" w:rsidP="00EB5620">
      <w:pPr>
        <w:tabs>
          <w:tab w:val="clear" w:pos="567"/>
        </w:tabs>
        <w:autoSpaceDE w:val="0"/>
        <w:autoSpaceDN w:val="0"/>
        <w:adjustRightInd w:val="0"/>
        <w:spacing w:line="240" w:lineRule="auto"/>
        <w:rPr>
          <w:szCs w:val="22"/>
          <w:lang w:eastAsia="cs-CZ"/>
        </w:rPr>
      </w:pPr>
    </w:p>
    <w:p w14:paraId="233DD7B8" w14:textId="77777777" w:rsidR="00A01FE3" w:rsidRPr="00A344BB" w:rsidRDefault="00A01FE3"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CLcr</w:t>
      </w:r>
      <w:proofErr w:type="spellEnd"/>
      <w:r w:rsidRPr="00A344BB">
        <w:rPr>
          <w:szCs w:val="22"/>
          <w:lang w:eastAsia="cs-CZ"/>
        </w:rPr>
        <w:t xml:space="preserve"> v ml/min/1,73 m² je možné odhadnúť zo stanoveného sérového </w:t>
      </w:r>
      <w:proofErr w:type="spellStart"/>
      <w:r w:rsidRPr="00A344BB">
        <w:rPr>
          <w:szCs w:val="22"/>
          <w:lang w:eastAsia="cs-CZ"/>
        </w:rPr>
        <w:t>kreatinínu</w:t>
      </w:r>
      <w:proofErr w:type="spellEnd"/>
      <w:r w:rsidRPr="00A344BB">
        <w:rPr>
          <w:szCs w:val="22"/>
          <w:lang w:eastAsia="cs-CZ"/>
        </w:rPr>
        <w:t xml:space="preserve"> (mg/dl) pre mladých dospievajúcich, deti a dojčatá s použitím nasledujúceho vzorca (</w:t>
      </w:r>
      <w:proofErr w:type="spellStart"/>
      <w:r w:rsidRPr="00A344BB">
        <w:rPr>
          <w:szCs w:val="22"/>
          <w:lang w:eastAsia="cs-CZ"/>
        </w:rPr>
        <w:t>Schwartzov</w:t>
      </w:r>
      <w:proofErr w:type="spellEnd"/>
      <w:r w:rsidRPr="00A344BB">
        <w:rPr>
          <w:szCs w:val="22"/>
          <w:lang w:eastAsia="cs-CZ"/>
        </w:rPr>
        <w:t xml:space="preserve"> vzorec):</w:t>
      </w:r>
    </w:p>
    <w:p w14:paraId="168961EC" w14:textId="77777777" w:rsidR="003A0B11" w:rsidRPr="00A344BB" w:rsidRDefault="003A0B11" w:rsidP="00EB5620">
      <w:pPr>
        <w:tabs>
          <w:tab w:val="clear" w:pos="567"/>
        </w:tabs>
        <w:autoSpaceDE w:val="0"/>
        <w:autoSpaceDN w:val="0"/>
        <w:adjustRightInd w:val="0"/>
        <w:spacing w:line="240" w:lineRule="auto"/>
        <w:rPr>
          <w:szCs w:val="22"/>
          <w:lang w:eastAsia="cs-CZ"/>
        </w:rPr>
      </w:pPr>
    </w:p>
    <w:p w14:paraId="2F7E576D"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ab/>
      </w:r>
      <w:r w:rsidRPr="00A344BB">
        <w:rPr>
          <w:szCs w:val="22"/>
          <w:lang w:eastAsia="cs-CZ"/>
        </w:rPr>
        <w:tab/>
      </w:r>
      <w:r w:rsidRPr="00A344BB">
        <w:rPr>
          <w:szCs w:val="22"/>
          <w:lang w:eastAsia="cs-CZ"/>
        </w:rPr>
        <w:tab/>
      </w:r>
      <w:r w:rsidRPr="00A344BB">
        <w:rPr>
          <w:szCs w:val="22"/>
          <w:lang w:eastAsia="cs-CZ"/>
        </w:rPr>
        <w:tab/>
        <w:t>Výška (cm) x ks</w:t>
      </w:r>
    </w:p>
    <w:p w14:paraId="1CECCF62" w14:textId="77777777" w:rsidR="00A01FE3" w:rsidRPr="00A344BB" w:rsidRDefault="00A01FE3"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CLcr</w:t>
      </w:r>
      <w:proofErr w:type="spellEnd"/>
      <w:r w:rsidRPr="00A344BB">
        <w:rPr>
          <w:szCs w:val="22"/>
          <w:lang w:eastAsia="cs-CZ"/>
        </w:rPr>
        <w:t xml:space="preserve"> (ml/min/1,73 m2) =    --------------------------------------</w:t>
      </w:r>
    </w:p>
    <w:p w14:paraId="43DCB3D3"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ab/>
      </w:r>
      <w:r w:rsidRPr="00A344BB">
        <w:rPr>
          <w:szCs w:val="22"/>
          <w:lang w:eastAsia="cs-CZ"/>
        </w:rPr>
        <w:tab/>
      </w:r>
      <w:r w:rsidRPr="00A344BB">
        <w:rPr>
          <w:szCs w:val="22"/>
          <w:lang w:eastAsia="cs-CZ"/>
        </w:rPr>
        <w:tab/>
      </w:r>
      <w:r w:rsidRPr="00A344BB">
        <w:rPr>
          <w:szCs w:val="22"/>
          <w:lang w:eastAsia="cs-CZ"/>
        </w:rPr>
        <w:tab/>
        <w:t xml:space="preserve">Sérový </w:t>
      </w:r>
      <w:proofErr w:type="spellStart"/>
      <w:r w:rsidRPr="00A344BB">
        <w:rPr>
          <w:szCs w:val="22"/>
          <w:lang w:eastAsia="cs-CZ"/>
        </w:rPr>
        <w:t>kreatinín</w:t>
      </w:r>
      <w:proofErr w:type="spellEnd"/>
      <w:r w:rsidRPr="00A344BB">
        <w:rPr>
          <w:szCs w:val="22"/>
          <w:lang w:eastAsia="cs-CZ"/>
        </w:rPr>
        <w:t xml:space="preserve"> (mg/dl)</w:t>
      </w:r>
    </w:p>
    <w:p w14:paraId="04EB7B99" w14:textId="77777777" w:rsidR="003A0B11" w:rsidRPr="00A344BB" w:rsidRDefault="003A0B11" w:rsidP="00EB5620">
      <w:pPr>
        <w:tabs>
          <w:tab w:val="clear" w:pos="567"/>
        </w:tabs>
        <w:autoSpaceDE w:val="0"/>
        <w:autoSpaceDN w:val="0"/>
        <w:adjustRightInd w:val="0"/>
        <w:spacing w:line="240" w:lineRule="auto"/>
        <w:rPr>
          <w:szCs w:val="22"/>
          <w:lang w:eastAsia="cs-CZ"/>
        </w:rPr>
      </w:pPr>
    </w:p>
    <w:p w14:paraId="58F15D2B"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ks = 0,45 pre donosené dojčatá vo veku do 1 roka; ks = 0,55 pre deti mladšie ako 13 rokov a dospievajúce dievčatá; ks = 0,7 pre dospievajúcich chlapcov</w:t>
      </w:r>
    </w:p>
    <w:p w14:paraId="3E902A7D" w14:textId="77777777" w:rsidR="00A01FE3" w:rsidRPr="00A344BB" w:rsidRDefault="00A01FE3" w:rsidP="00EB5620">
      <w:pPr>
        <w:tabs>
          <w:tab w:val="clear" w:pos="567"/>
        </w:tabs>
        <w:autoSpaceDE w:val="0"/>
        <w:autoSpaceDN w:val="0"/>
        <w:adjustRightInd w:val="0"/>
        <w:spacing w:line="240" w:lineRule="auto"/>
        <w:rPr>
          <w:szCs w:val="22"/>
          <w:lang w:eastAsia="cs-CZ"/>
        </w:rPr>
      </w:pPr>
    </w:p>
    <w:p w14:paraId="3BBADE85" w14:textId="77777777" w:rsidR="00913CD7"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 xml:space="preserve">Úprava dávkovania pre dojčatá, deti a dospievajúcich pacientov s telesnou hmotnosťou menej ako </w:t>
      </w:r>
      <w:smartTag w:uri="urn:schemas-microsoft-com:office:smarttags" w:element="metricconverter">
        <w:smartTagPr>
          <w:attr w:name="ProductID" w:val="50 kg"/>
        </w:smartTagPr>
        <w:r w:rsidRPr="00A344BB">
          <w:rPr>
            <w:szCs w:val="22"/>
            <w:lang w:eastAsia="cs-CZ"/>
          </w:rPr>
          <w:t>50 kg</w:t>
        </w:r>
      </w:smartTag>
      <w:r w:rsidRPr="00A344BB">
        <w:rPr>
          <w:szCs w:val="22"/>
          <w:lang w:eastAsia="cs-CZ"/>
        </w:rPr>
        <w:t xml:space="preserve"> s poruchou funkcie obličiek:</w:t>
      </w:r>
    </w:p>
    <w:p w14:paraId="0AF75761" w14:textId="77777777" w:rsidR="00C904C6" w:rsidRPr="00A344BB" w:rsidRDefault="00C904C6" w:rsidP="00EB5620">
      <w:pPr>
        <w:tabs>
          <w:tab w:val="clear" w:pos="567"/>
        </w:tabs>
        <w:autoSpaceDE w:val="0"/>
        <w:autoSpaceDN w:val="0"/>
        <w:adjustRightInd w:val="0"/>
        <w:spacing w:line="240" w:lineRule="auto"/>
        <w:rPr>
          <w:szCs w:val="22"/>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2195"/>
        <w:gridCol w:w="2097"/>
        <w:gridCol w:w="2293"/>
      </w:tblGrid>
      <w:tr w:rsidR="00A344BB" w:rsidRPr="00A344BB" w14:paraId="5BA7952E" w14:textId="77777777" w:rsidTr="00F8327B">
        <w:tc>
          <w:tcPr>
            <w:tcW w:w="2195" w:type="dxa"/>
            <w:vMerge w:val="restart"/>
          </w:tcPr>
          <w:p w14:paraId="4DDFED85"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Skupina</w:t>
            </w:r>
          </w:p>
        </w:tc>
        <w:tc>
          <w:tcPr>
            <w:tcW w:w="2195" w:type="dxa"/>
            <w:vMerge w:val="restart"/>
          </w:tcPr>
          <w:p w14:paraId="22A7D385" w14:textId="77777777" w:rsidR="00A01FE3" w:rsidRPr="00A344BB" w:rsidRDefault="00A01FE3"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Klírens</w:t>
            </w:r>
            <w:proofErr w:type="spellEnd"/>
            <w:r w:rsidRPr="00A344BB">
              <w:rPr>
                <w:szCs w:val="22"/>
                <w:lang w:eastAsia="cs-CZ"/>
              </w:rPr>
              <w:t xml:space="preserve"> </w:t>
            </w:r>
            <w:proofErr w:type="spellStart"/>
            <w:r w:rsidRPr="00A344BB">
              <w:rPr>
                <w:szCs w:val="22"/>
                <w:lang w:eastAsia="cs-CZ"/>
              </w:rPr>
              <w:t>kreatinínu</w:t>
            </w:r>
            <w:proofErr w:type="spellEnd"/>
            <w:r w:rsidRPr="00A344BB">
              <w:rPr>
                <w:szCs w:val="22"/>
                <w:lang w:eastAsia="cs-CZ"/>
              </w:rPr>
              <w:t xml:space="preserve"> (ml/min/1,73 m</w:t>
            </w:r>
            <w:r w:rsidRPr="00A344BB">
              <w:rPr>
                <w:szCs w:val="22"/>
                <w:vertAlign w:val="superscript"/>
                <w:lang w:eastAsia="cs-CZ"/>
              </w:rPr>
              <w:t>2</w:t>
            </w:r>
            <w:r w:rsidRPr="00A344BB">
              <w:rPr>
                <w:szCs w:val="22"/>
                <w:lang w:eastAsia="cs-CZ"/>
              </w:rPr>
              <w:t>)</w:t>
            </w:r>
          </w:p>
        </w:tc>
        <w:tc>
          <w:tcPr>
            <w:tcW w:w="4390" w:type="dxa"/>
            <w:gridSpan w:val="2"/>
          </w:tcPr>
          <w:p w14:paraId="1B6A64BE" w14:textId="77777777" w:rsidR="00A01FE3" w:rsidRPr="00A344BB" w:rsidRDefault="00A01FE3" w:rsidP="00EB5620">
            <w:pPr>
              <w:tabs>
                <w:tab w:val="clear" w:pos="567"/>
              </w:tabs>
              <w:autoSpaceDE w:val="0"/>
              <w:autoSpaceDN w:val="0"/>
              <w:adjustRightInd w:val="0"/>
              <w:spacing w:line="240" w:lineRule="auto"/>
              <w:jc w:val="center"/>
              <w:rPr>
                <w:szCs w:val="22"/>
                <w:lang w:eastAsia="cs-CZ"/>
              </w:rPr>
            </w:pPr>
            <w:r w:rsidRPr="00A344BB">
              <w:rPr>
                <w:szCs w:val="22"/>
                <w:lang w:eastAsia="cs-CZ"/>
              </w:rPr>
              <w:t xml:space="preserve">Dávka a frekvencia </w:t>
            </w:r>
            <w:r w:rsidRPr="00A344BB">
              <w:rPr>
                <w:szCs w:val="22"/>
                <w:vertAlign w:val="superscript"/>
                <w:lang w:eastAsia="cs-CZ"/>
              </w:rPr>
              <w:t>(1)</w:t>
            </w:r>
          </w:p>
        </w:tc>
      </w:tr>
      <w:tr w:rsidR="00A344BB" w:rsidRPr="00A344BB" w14:paraId="1F0C0DC2" w14:textId="77777777" w:rsidTr="00F8327B">
        <w:tc>
          <w:tcPr>
            <w:tcW w:w="2195" w:type="dxa"/>
            <w:vMerge/>
          </w:tcPr>
          <w:p w14:paraId="4712DC7A" w14:textId="77777777" w:rsidR="00A01FE3" w:rsidRPr="00A344BB" w:rsidRDefault="00A01FE3" w:rsidP="00EB5620">
            <w:pPr>
              <w:tabs>
                <w:tab w:val="clear" w:pos="567"/>
              </w:tabs>
              <w:autoSpaceDE w:val="0"/>
              <w:autoSpaceDN w:val="0"/>
              <w:adjustRightInd w:val="0"/>
              <w:spacing w:line="240" w:lineRule="auto"/>
              <w:rPr>
                <w:szCs w:val="22"/>
                <w:lang w:eastAsia="cs-CZ"/>
              </w:rPr>
            </w:pPr>
          </w:p>
        </w:tc>
        <w:tc>
          <w:tcPr>
            <w:tcW w:w="2195" w:type="dxa"/>
            <w:vMerge/>
          </w:tcPr>
          <w:p w14:paraId="39A11B33" w14:textId="77777777" w:rsidR="00A01FE3" w:rsidRPr="00A344BB" w:rsidRDefault="00A01FE3" w:rsidP="00EB5620">
            <w:pPr>
              <w:tabs>
                <w:tab w:val="clear" w:pos="567"/>
              </w:tabs>
              <w:autoSpaceDE w:val="0"/>
              <w:autoSpaceDN w:val="0"/>
              <w:adjustRightInd w:val="0"/>
              <w:spacing w:line="240" w:lineRule="auto"/>
              <w:rPr>
                <w:szCs w:val="22"/>
                <w:lang w:eastAsia="cs-CZ"/>
              </w:rPr>
            </w:pPr>
          </w:p>
        </w:tc>
        <w:tc>
          <w:tcPr>
            <w:tcW w:w="2097" w:type="dxa"/>
          </w:tcPr>
          <w:p w14:paraId="749D3610"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Dojčatá od 1 do 6 mesiacov</w:t>
            </w:r>
          </w:p>
        </w:tc>
        <w:tc>
          <w:tcPr>
            <w:tcW w:w="2293" w:type="dxa"/>
          </w:tcPr>
          <w:p w14:paraId="4E2FE90A"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 xml:space="preserve">Dojčatá od 6 do 23 mesiacov, deti a dospievajúci s hmotnosťou do </w:t>
            </w:r>
            <w:smartTag w:uri="urn:schemas-microsoft-com:office:smarttags" w:element="metricconverter">
              <w:smartTagPr>
                <w:attr w:name="ProductID" w:val="50 kg"/>
              </w:smartTagPr>
              <w:r w:rsidRPr="00A344BB">
                <w:rPr>
                  <w:szCs w:val="22"/>
                  <w:lang w:eastAsia="cs-CZ"/>
                </w:rPr>
                <w:t>50 kg</w:t>
              </w:r>
            </w:smartTag>
          </w:p>
        </w:tc>
      </w:tr>
      <w:tr w:rsidR="00A344BB" w:rsidRPr="00A344BB" w14:paraId="4B12B7F0" w14:textId="77777777" w:rsidTr="00F8327B">
        <w:tc>
          <w:tcPr>
            <w:tcW w:w="2195" w:type="dxa"/>
          </w:tcPr>
          <w:p w14:paraId="2C789F3F"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Normálna</w:t>
            </w:r>
          </w:p>
        </w:tc>
        <w:tc>
          <w:tcPr>
            <w:tcW w:w="2195" w:type="dxa"/>
          </w:tcPr>
          <w:p w14:paraId="2A821093"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&gt; 80</w:t>
            </w:r>
          </w:p>
        </w:tc>
        <w:tc>
          <w:tcPr>
            <w:tcW w:w="2097" w:type="dxa"/>
          </w:tcPr>
          <w:p w14:paraId="5AC2A554"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7 až 21 mg/kg (0,07 až 0,21 ml/kg) dvakrát denne</w:t>
            </w:r>
          </w:p>
        </w:tc>
        <w:tc>
          <w:tcPr>
            <w:tcW w:w="2293" w:type="dxa"/>
          </w:tcPr>
          <w:p w14:paraId="784D5DC1"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10 až 30 mg/kg (0,1 až 0,3 ml/kg) dvakrát denne</w:t>
            </w:r>
          </w:p>
        </w:tc>
      </w:tr>
      <w:tr w:rsidR="00A344BB" w:rsidRPr="00A344BB" w14:paraId="5C202174" w14:textId="77777777" w:rsidTr="00F8327B">
        <w:tc>
          <w:tcPr>
            <w:tcW w:w="2195" w:type="dxa"/>
          </w:tcPr>
          <w:p w14:paraId="282751B9"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Mierna</w:t>
            </w:r>
          </w:p>
        </w:tc>
        <w:tc>
          <w:tcPr>
            <w:tcW w:w="2195" w:type="dxa"/>
          </w:tcPr>
          <w:p w14:paraId="0776F064"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50 – 79</w:t>
            </w:r>
          </w:p>
        </w:tc>
        <w:tc>
          <w:tcPr>
            <w:tcW w:w="2097" w:type="dxa"/>
          </w:tcPr>
          <w:p w14:paraId="78F0D90F"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7 až 14 mg/kg (0,07 až 0,14 ml/kg) dvakrát denne</w:t>
            </w:r>
          </w:p>
        </w:tc>
        <w:tc>
          <w:tcPr>
            <w:tcW w:w="2293" w:type="dxa"/>
          </w:tcPr>
          <w:p w14:paraId="4AC3FF26"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10 až 20 mg/kg (0,1 až 0,2 ml/kg) dvakrát denne</w:t>
            </w:r>
          </w:p>
        </w:tc>
      </w:tr>
      <w:tr w:rsidR="00A344BB" w:rsidRPr="00A344BB" w14:paraId="1C40503A" w14:textId="77777777" w:rsidTr="00F8327B">
        <w:tc>
          <w:tcPr>
            <w:tcW w:w="2195" w:type="dxa"/>
          </w:tcPr>
          <w:p w14:paraId="57B05860"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Stredne závažná</w:t>
            </w:r>
          </w:p>
        </w:tc>
        <w:tc>
          <w:tcPr>
            <w:tcW w:w="2195" w:type="dxa"/>
          </w:tcPr>
          <w:p w14:paraId="233B30AC"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30 – 49</w:t>
            </w:r>
          </w:p>
        </w:tc>
        <w:tc>
          <w:tcPr>
            <w:tcW w:w="2097" w:type="dxa"/>
          </w:tcPr>
          <w:p w14:paraId="30C6E923"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3,5 až 10,5 mg/kg (0,035 až 0,105 ml/kg) dvakrát denne</w:t>
            </w:r>
          </w:p>
        </w:tc>
        <w:tc>
          <w:tcPr>
            <w:tcW w:w="2293" w:type="dxa"/>
          </w:tcPr>
          <w:p w14:paraId="59EAB576"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5 až 15 mg/kg (0,05 až 0,15 ml/kg) dvakrát denne</w:t>
            </w:r>
          </w:p>
        </w:tc>
      </w:tr>
      <w:tr w:rsidR="00A344BB" w:rsidRPr="00A344BB" w14:paraId="63CABA60" w14:textId="77777777" w:rsidTr="00F8327B">
        <w:tc>
          <w:tcPr>
            <w:tcW w:w="2195" w:type="dxa"/>
          </w:tcPr>
          <w:p w14:paraId="6A528B2C"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Závažná</w:t>
            </w:r>
          </w:p>
        </w:tc>
        <w:tc>
          <w:tcPr>
            <w:tcW w:w="2195" w:type="dxa"/>
          </w:tcPr>
          <w:p w14:paraId="7BB20979"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&lt; 30</w:t>
            </w:r>
          </w:p>
        </w:tc>
        <w:tc>
          <w:tcPr>
            <w:tcW w:w="2097" w:type="dxa"/>
          </w:tcPr>
          <w:p w14:paraId="782255C6"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 xml:space="preserve">3,5 až 7 mg/kg (0,035 </w:t>
            </w:r>
            <w:proofErr w:type="spellStart"/>
            <w:r w:rsidRPr="00A344BB">
              <w:rPr>
                <w:szCs w:val="22"/>
                <w:lang w:eastAsia="cs-CZ"/>
              </w:rPr>
              <w:t>až0,07</w:t>
            </w:r>
            <w:proofErr w:type="spellEnd"/>
            <w:r w:rsidRPr="00A344BB">
              <w:rPr>
                <w:szCs w:val="22"/>
                <w:lang w:eastAsia="cs-CZ"/>
              </w:rPr>
              <w:t xml:space="preserve"> ml/kg) dvakrát denne</w:t>
            </w:r>
          </w:p>
        </w:tc>
        <w:tc>
          <w:tcPr>
            <w:tcW w:w="2293" w:type="dxa"/>
          </w:tcPr>
          <w:p w14:paraId="58417FA5"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5 až 10 mg/kg (0,05 až 0,1 ml/kg) dvakrát denne</w:t>
            </w:r>
          </w:p>
        </w:tc>
      </w:tr>
      <w:tr w:rsidR="00A344BB" w:rsidRPr="00A344BB" w14:paraId="23A50190" w14:textId="77777777" w:rsidTr="00F8327B">
        <w:tc>
          <w:tcPr>
            <w:tcW w:w="2195" w:type="dxa"/>
          </w:tcPr>
          <w:p w14:paraId="735CE21E"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 xml:space="preserve">Dialyzovaní pacienti </w:t>
            </w:r>
            <w:r w:rsidRPr="00A344BB">
              <w:rPr>
                <w:szCs w:val="22"/>
                <w:lang w:eastAsia="cs-CZ"/>
              </w:rPr>
              <w:lastRenderedPageBreak/>
              <w:t>v terminálnom štádiu zlyhania obličiek</w:t>
            </w:r>
          </w:p>
        </w:tc>
        <w:tc>
          <w:tcPr>
            <w:tcW w:w="2195" w:type="dxa"/>
          </w:tcPr>
          <w:p w14:paraId="4D5B92A8"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lastRenderedPageBreak/>
              <w:t>--</w:t>
            </w:r>
          </w:p>
        </w:tc>
        <w:tc>
          <w:tcPr>
            <w:tcW w:w="2097" w:type="dxa"/>
          </w:tcPr>
          <w:p w14:paraId="4D161750"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 xml:space="preserve">7 až 14 mg/kg (0,07 </w:t>
            </w:r>
            <w:r w:rsidRPr="00A344BB">
              <w:rPr>
                <w:szCs w:val="22"/>
                <w:lang w:eastAsia="cs-CZ"/>
              </w:rPr>
              <w:lastRenderedPageBreak/>
              <w:t xml:space="preserve">až 0,14 ml/kg) jedenkrát denne </w:t>
            </w:r>
            <w:r w:rsidRPr="00A344BB">
              <w:rPr>
                <w:szCs w:val="22"/>
                <w:vertAlign w:val="superscript"/>
                <w:lang w:eastAsia="cs-CZ"/>
              </w:rPr>
              <w:t>(2) (4)</w:t>
            </w:r>
          </w:p>
        </w:tc>
        <w:tc>
          <w:tcPr>
            <w:tcW w:w="2293" w:type="dxa"/>
          </w:tcPr>
          <w:p w14:paraId="6389418F" w14:textId="77777777" w:rsidR="00A01FE3"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lastRenderedPageBreak/>
              <w:t xml:space="preserve">10 až 20 mg/kg (0,1 až </w:t>
            </w:r>
            <w:r w:rsidRPr="00A344BB">
              <w:rPr>
                <w:szCs w:val="22"/>
                <w:lang w:eastAsia="cs-CZ"/>
              </w:rPr>
              <w:lastRenderedPageBreak/>
              <w:t xml:space="preserve">0,2 ml/kg) jedenkrát denne </w:t>
            </w:r>
            <w:r w:rsidRPr="00A344BB">
              <w:rPr>
                <w:szCs w:val="22"/>
                <w:vertAlign w:val="superscript"/>
                <w:lang w:eastAsia="cs-CZ"/>
              </w:rPr>
              <w:t>(3) (5)</w:t>
            </w:r>
          </w:p>
        </w:tc>
      </w:tr>
    </w:tbl>
    <w:p w14:paraId="0C39B966"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vertAlign w:val="superscript"/>
          <w:lang w:eastAsia="cs-CZ"/>
        </w:rPr>
        <w:t>(1)</w:t>
      </w:r>
      <w:r w:rsidRPr="00A344BB">
        <w:rPr>
          <w:szCs w:val="22"/>
          <w:lang w:eastAsia="cs-CZ"/>
        </w:rPr>
        <w:t xml:space="preserve"> </w:t>
      </w:r>
      <w:proofErr w:type="spellStart"/>
      <w:r w:rsidR="00DA5BC0" w:rsidRPr="00A344BB">
        <w:rPr>
          <w:szCs w:val="22"/>
          <w:lang w:eastAsia="cs-CZ"/>
        </w:rPr>
        <w:t>Levetiracetam</w:t>
      </w:r>
      <w:proofErr w:type="spellEnd"/>
      <w:r w:rsidRPr="00A344BB">
        <w:rPr>
          <w:szCs w:val="22"/>
          <w:lang w:eastAsia="cs-CZ"/>
        </w:rPr>
        <w:t xml:space="preserve"> perorálny roztok sa má používať pre dávky nižšie ako 250 mg a pre pacientov, ktorí nie sú</w:t>
      </w:r>
      <w:r w:rsidR="00791370" w:rsidRPr="00A344BB">
        <w:rPr>
          <w:szCs w:val="22"/>
          <w:lang w:eastAsia="cs-CZ"/>
        </w:rPr>
        <w:t xml:space="preserve"> </w:t>
      </w:r>
      <w:r w:rsidRPr="00A344BB">
        <w:rPr>
          <w:szCs w:val="22"/>
          <w:lang w:eastAsia="cs-CZ"/>
        </w:rPr>
        <w:t>schopní prehĺtať tablety.</w:t>
      </w:r>
    </w:p>
    <w:p w14:paraId="1D8A277E"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vertAlign w:val="superscript"/>
          <w:lang w:eastAsia="cs-CZ"/>
        </w:rPr>
        <w:t>(2)</w:t>
      </w:r>
      <w:r w:rsidRPr="00A344BB">
        <w:rPr>
          <w:szCs w:val="22"/>
          <w:lang w:eastAsia="cs-CZ"/>
        </w:rPr>
        <w:t xml:space="preserve"> V prvý deň liečby </w:t>
      </w:r>
      <w:proofErr w:type="spellStart"/>
      <w:r w:rsidRPr="00A344BB">
        <w:rPr>
          <w:szCs w:val="22"/>
          <w:lang w:eastAsia="cs-CZ"/>
        </w:rPr>
        <w:t>levetiracetamom</w:t>
      </w:r>
      <w:proofErr w:type="spellEnd"/>
      <w:r w:rsidRPr="00A344BB">
        <w:rPr>
          <w:szCs w:val="22"/>
          <w:lang w:eastAsia="cs-CZ"/>
        </w:rPr>
        <w:t xml:space="preserve"> sa odporúča úvodná dávka 10,5 mg/kg (0,105 ml/kg).</w:t>
      </w:r>
    </w:p>
    <w:p w14:paraId="5819D168"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vertAlign w:val="superscript"/>
          <w:lang w:eastAsia="cs-CZ"/>
        </w:rPr>
        <w:t>(3)</w:t>
      </w:r>
      <w:r w:rsidRPr="00A344BB">
        <w:rPr>
          <w:szCs w:val="22"/>
          <w:lang w:eastAsia="cs-CZ"/>
        </w:rPr>
        <w:t xml:space="preserve"> V prvý deň liečby </w:t>
      </w:r>
      <w:proofErr w:type="spellStart"/>
      <w:r w:rsidRPr="00A344BB">
        <w:rPr>
          <w:szCs w:val="22"/>
          <w:lang w:eastAsia="cs-CZ"/>
        </w:rPr>
        <w:t>levetiracetamom</w:t>
      </w:r>
      <w:proofErr w:type="spellEnd"/>
      <w:r w:rsidRPr="00A344BB">
        <w:rPr>
          <w:szCs w:val="22"/>
          <w:lang w:eastAsia="cs-CZ"/>
        </w:rPr>
        <w:t xml:space="preserve"> sa odporúča úvodná dávka 15 mg/kg (0,15 ml/kg).</w:t>
      </w:r>
    </w:p>
    <w:p w14:paraId="71836B4E"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vertAlign w:val="superscript"/>
          <w:lang w:eastAsia="cs-CZ"/>
        </w:rPr>
        <w:t>(4)</w:t>
      </w:r>
      <w:r w:rsidRPr="00A344BB">
        <w:rPr>
          <w:szCs w:val="22"/>
          <w:lang w:eastAsia="cs-CZ"/>
        </w:rPr>
        <w:t xml:space="preserve"> Po dialýze sa odporúča dodatočná dávka 3,5 až 7 mg/kg (0,035 až 0,07 ml/kg).</w:t>
      </w:r>
    </w:p>
    <w:p w14:paraId="59B87816"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vertAlign w:val="superscript"/>
          <w:lang w:eastAsia="cs-CZ"/>
        </w:rPr>
        <w:t>(5)</w:t>
      </w:r>
      <w:r w:rsidRPr="00A344BB">
        <w:rPr>
          <w:szCs w:val="22"/>
          <w:lang w:eastAsia="cs-CZ"/>
        </w:rPr>
        <w:t xml:space="preserve"> Po dialýze sa odporúča dodatočná dávka 5 až 10 mg/kg (0,05 až 0,1 ml/kg).</w:t>
      </w:r>
    </w:p>
    <w:p w14:paraId="14E3BB70" w14:textId="77777777" w:rsidR="00791370" w:rsidRPr="00A344BB" w:rsidRDefault="00791370" w:rsidP="00EB5620">
      <w:pPr>
        <w:tabs>
          <w:tab w:val="clear" w:pos="567"/>
        </w:tabs>
        <w:autoSpaceDE w:val="0"/>
        <w:autoSpaceDN w:val="0"/>
        <w:adjustRightInd w:val="0"/>
        <w:spacing w:line="240" w:lineRule="auto"/>
        <w:rPr>
          <w:i/>
          <w:iCs/>
          <w:szCs w:val="22"/>
          <w:lang w:eastAsia="cs-CZ"/>
        </w:rPr>
      </w:pPr>
    </w:p>
    <w:p w14:paraId="7F9A6A30" w14:textId="77777777" w:rsidR="00A01FE3" w:rsidRPr="00A344BB" w:rsidRDefault="00A01FE3" w:rsidP="00EB5620">
      <w:pPr>
        <w:tabs>
          <w:tab w:val="clear" w:pos="567"/>
        </w:tabs>
        <w:autoSpaceDE w:val="0"/>
        <w:autoSpaceDN w:val="0"/>
        <w:adjustRightInd w:val="0"/>
        <w:spacing w:line="240" w:lineRule="auto"/>
        <w:rPr>
          <w:i/>
          <w:iCs/>
          <w:szCs w:val="22"/>
          <w:lang w:eastAsia="cs-CZ"/>
        </w:rPr>
      </w:pPr>
      <w:r w:rsidRPr="00A344BB">
        <w:rPr>
          <w:i/>
          <w:iCs/>
          <w:szCs w:val="22"/>
          <w:lang w:eastAsia="cs-CZ"/>
        </w:rPr>
        <w:t>Porucha funkcie pečene</w:t>
      </w:r>
    </w:p>
    <w:p w14:paraId="61E89D9C"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U pacientov s miernou až stredne závažnou poruchou funkcie pečene nie je potrebná žiadna úprava</w:t>
      </w:r>
      <w:r w:rsidR="00791370" w:rsidRPr="00A344BB">
        <w:rPr>
          <w:szCs w:val="22"/>
          <w:lang w:eastAsia="cs-CZ"/>
        </w:rPr>
        <w:t xml:space="preserve"> </w:t>
      </w:r>
      <w:r w:rsidRPr="00A344BB">
        <w:rPr>
          <w:szCs w:val="22"/>
          <w:lang w:eastAsia="cs-CZ"/>
        </w:rPr>
        <w:t xml:space="preserve">dávky. U pacientov so závažnou poruchou funkcie pečene môže </w:t>
      </w:r>
      <w:proofErr w:type="spellStart"/>
      <w:r w:rsidRPr="00A344BB">
        <w:rPr>
          <w:szCs w:val="22"/>
          <w:lang w:eastAsia="cs-CZ"/>
        </w:rPr>
        <w:t>klírens</w:t>
      </w:r>
      <w:proofErr w:type="spellEnd"/>
      <w:r w:rsidRPr="00A344BB">
        <w:rPr>
          <w:szCs w:val="22"/>
          <w:lang w:eastAsia="cs-CZ"/>
        </w:rPr>
        <w:t xml:space="preserve"> </w:t>
      </w:r>
      <w:proofErr w:type="spellStart"/>
      <w:r w:rsidRPr="00A344BB">
        <w:rPr>
          <w:szCs w:val="22"/>
          <w:lang w:eastAsia="cs-CZ"/>
        </w:rPr>
        <w:t>kreatinínu</w:t>
      </w:r>
      <w:proofErr w:type="spellEnd"/>
      <w:r w:rsidRPr="00A344BB">
        <w:rPr>
          <w:szCs w:val="22"/>
          <w:lang w:eastAsia="cs-CZ"/>
        </w:rPr>
        <w:t xml:space="preserve"> podhodnocovať</w:t>
      </w:r>
      <w:r w:rsidR="00DA5BC0" w:rsidRPr="00A344BB">
        <w:rPr>
          <w:szCs w:val="22"/>
          <w:lang w:eastAsia="cs-CZ"/>
        </w:rPr>
        <w:t xml:space="preserve"> </w:t>
      </w:r>
      <w:proofErr w:type="spellStart"/>
      <w:r w:rsidRPr="00A344BB">
        <w:rPr>
          <w:szCs w:val="22"/>
          <w:lang w:eastAsia="cs-CZ"/>
        </w:rPr>
        <w:t>insuficienciu</w:t>
      </w:r>
      <w:proofErr w:type="spellEnd"/>
      <w:r w:rsidRPr="00A344BB">
        <w:rPr>
          <w:szCs w:val="22"/>
          <w:lang w:eastAsia="cs-CZ"/>
        </w:rPr>
        <w:t xml:space="preserve"> obličiek. Preto sa pri </w:t>
      </w:r>
      <w:proofErr w:type="spellStart"/>
      <w:r w:rsidRPr="00A344BB">
        <w:rPr>
          <w:szCs w:val="22"/>
          <w:lang w:eastAsia="cs-CZ"/>
        </w:rPr>
        <w:t>klírense</w:t>
      </w:r>
      <w:proofErr w:type="spellEnd"/>
      <w:r w:rsidRPr="00A344BB">
        <w:rPr>
          <w:szCs w:val="22"/>
          <w:lang w:eastAsia="cs-CZ"/>
        </w:rPr>
        <w:t xml:space="preserve"> </w:t>
      </w:r>
      <w:proofErr w:type="spellStart"/>
      <w:r w:rsidRPr="00A344BB">
        <w:rPr>
          <w:szCs w:val="22"/>
          <w:lang w:eastAsia="cs-CZ"/>
        </w:rPr>
        <w:t>kreatinínu</w:t>
      </w:r>
      <w:proofErr w:type="spellEnd"/>
      <w:r w:rsidRPr="00A344BB">
        <w:rPr>
          <w:szCs w:val="22"/>
          <w:lang w:eastAsia="cs-CZ"/>
        </w:rPr>
        <w:t xml:space="preserve"> &lt; 60 ml/min/1,73 m</w:t>
      </w:r>
      <w:r w:rsidR="00C904C6" w:rsidRPr="00A344BB">
        <w:rPr>
          <w:szCs w:val="22"/>
          <w:lang w:eastAsia="cs-CZ"/>
        </w:rPr>
        <w:t>²</w:t>
      </w:r>
      <w:r w:rsidRPr="00A344BB">
        <w:rPr>
          <w:szCs w:val="22"/>
          <w:lang w:eastAsia="cs-CZ"/>
        </w:rPr>
        <w:t xml:space="preserve"> odporúča znížiť dennú</w:t>
      </w:r>
      <w:r w:rsidR="00791370" w:rsidRPr="00A344BB">
        <w:rPr>
          <w:szCs w:val="22"/>
          <w:lang w:eastAsia="cs-CZ"/>
        </w:rPr>
        <w:t xml:space="preserve"> </w:t>
      </w:r>
      <w:r w:rsidRPr="00A344BB">
        <w:rPr>
          <w:szCs w:val="22"/>
          <w:lang w:eastAsia="cs-CZ"/>
        </w:rPr>
        <w:t>udržiavaciu dávku o 50 %.</w:t>
      </w:r>
    </w:p>
    <w:p w14:paraId="33F35259" w14:textId="77777777" w:rsidR="00791370" w:rsidRPr="00A344BB" w:rsidRDefault="00791370" w:rsidP="00EB5620">
      <w:pPr>
        <w:tabs>
          <w:tab w:val="clear" w:pos="567"/>
        </w:tabs>
        <w:autoSpaceDE w:val="0"/>
        <w:autoSpaceDN w:val="0"/>
        <w:adjustRightInd w:val="0"/>
        <w:spacing w:line="240" w:lineRule="auto"/>
        <w:rPr>
          <w:szCs w:val="22"/>
          <w:lang w:eastAsia="cs-CZ"/>
        </w:rPr>
      </w:pPr>
    </w:p>
    <w:p w14:paraId="18AAF0A8" w14:textId="77777777" w:rsidR="00A01FE3" w:rsidRPr="00A344BB" w:rsidRDefault="00CB43B8"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Pediatrická populácia</w:t>
      </w:r>
    </w:p>
    <w:p w14:paraId="70DF2C14" w14:textId="77777777" w:rsidR="00C904C6" w:rsidRPr="00A344BB" w:rsidRDefault="00C904C6" w:rsidP="00EB5620">
      <w:pPr>
        <w:tabs>
          <w:tab w:val="clear" w:pos="567"/>
        </w:tabs>
        <w:autoSpaceDE w:val="0"/>
        <w:autoSpaceDN w:val="0"/>
        <w:adjustRightInd w:val="0"/>
        <w:spacing w:line="240" w:lineRule="auto"/>
        <w:rPr>
          <w:szCs w:val="22"/>
          <w:lang w:eastAsia="cs-CZ"/>
        </w:rPr>
      </w:pPr>
    </w:p>
    <w:p w14:paraId="3CAAED4F"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Lekár má predpísať najvhodnejšiu liekovú formu, balenie a silu podľa veku, hmotnosti a dávky.</w:t>
      </w:r>
    </w:p>
    <w:p w14:paraId="045EB4DD" w14:textId="77777777" w:rsidR="00C904C6" w:rsidRPr="00A344BB" w:rsidRDefault="00C904C6" w:rsidP="00EB5620">
      <w:pPr>
        <w:tabs>
          <w:tab w:val="clear" w:pos="567"/>
        </w:tabs>
        <w:autoSpaceDE w:val="0"/>
        <w:autoSpaceDN w:val="0"/>
        <w:adjustRightInd w:val="0"/>
        <w:spacing w:line="240" w:lineRule="auto"/>
        <w:rPr>
          <w:szCs w:val="22"/>
          <w:lang w:eastAsia="cs-CZ"/>
        </w:rPr>
      </w:pPr>
    </w:p>
    <w:p w14:paraId="404D2880"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 xml:space="preserve">Lieková forma tablety nie je prispôsobená pre používanie u dojčiat a detí vo veku do 6 rokov. </w:t>
      </w:r>
      <w:proofErr w:type="spellStart"/>
      <w:r w:rsidR="00DA5BC0" w:rsidRPr="00A344BB">
        <w:rPr>
          <w:szCs w:val="22"/>
          <w:lang w:eastAsia="cs-CZ"/>
        </w:rPr>
        <w:t>Levetircetam</w:t>
      </w:r>
      <w:proofErr w:type="spellEnd"/>
      <w:r w:rsidR="00791370" w:rsidRPr="00A344BB">
        <w:rPr>
          <w:szCs w:val="22"/>
          <w:lang w:eastAsia="cs-CZ"/>
        </w:rPr>
        <w:t xml:space="preserve"> </w:t>
      </w:r>
      <w:r w:rsidRPr="00A344BB">
        <w:rPr>
          <w:szCs w:val="22"/>
          <w:lang w:eastAsia="cs-CZ"/>
        </w:rPr>
        <w:t>perorálny roztok je uprednostňovaná lieková forma pre používanie u tejto populácie. Okrem toho</w:t>
      </w:r>
      <w:r w:rsidR="00791370" w:rsidRPr="00A344BB">
        <w:rPr>
          <w:szCs w:val="22"/>
          <w:lang w:eastAsia="cs-CZ"/>
        </w:rPr>
        <w:t xml:space="preserve"> </w:t>
      </w:r>
      <w:r w:rsidRPr="00A344BB">
        <w:rPr>
          <w:szCs w:val="22"/>
          <w:lang w:eastAsia="cs-CZ"/>
        </w:rPr>
        <w:t xml:space="preserve">dostupné sily tabliet nie sú vhodné pre začiatok liečby u detí s telesnou hmotnosťou menej ako </w:t>
      </w:r>
      <w:smartTag w:uri="urn:schemas-microsoft-com:office:smarttags" w:element="metricconverter">
        <w:smartTagPr>
          <w:attr w:name="ProductID" w:val="25 kg"/>
        </w:smartTagPr>
        <w:r w:rsidRPr="00A344BB">
          <w:rPr>
            <w:szCs w:val="22"/>
            <w:lang w:eastAsia="cs-CZ"/>
          </w:rPr>
          <w:t>25 kg</w:t>
        </w:r>
      </w:smartTag>
      <w:r w:rsidRPr="00A344BB">
        <w:rPr>
          <w:szCs w:val="22"/>
          <w:lang w:eastAsia="cs-CZ"/>
        </w:rPr>
        <w:t>,</w:t>
      </w:r>
      <w:r w:rsidR="00791370" w:rsidRPr="00A344BB">
        <w:rPr>
          <w:szCs w:val="22"/>
          <w:lang w:eastAsia="cs-CZ"/>
        </w:rPr>
        <w:t xml:space="preserve"> </w:t>
      </w:r>
      <w:r w:rsidRPr="00A344BB">
        <w:rPr>
          <w:szCs w:val="22"/>
          <w:lang w:eastAsia="cs-CZ"/>
        </w:rPr>
        <w:t>pre pacientov, ktorí nie sú schopní prehĺtať tablety alebo pre podávanie dávok nižších ako 250 mg. Vo</w:t>
      </w:r>
      <w:r w:rsidR="00791370" w:rsidRPr="00A344BB">
        <w:rPr>
          <w:szCs w:val="22"/>
          <w:lang w:eastAsia="cs-CZ"/>
        </w:rPr>
        <w:t xml:space="preserve"> </w:t>
      </w:r>
      <w:r w:rsidRPr="00A344BB">
        <w:rPr>
          <w:szCs w:val="22"/>
          <w:lang w:eastAsia="cs-CZ"/>
        </w:rPr>
        <w:t xml:space="preserve">všetkých vyššie uvedených prípadoch sa má použiť </w:t>
      </w:r>
      <w:proofErr w:type="spellStart"/>
      <w:r w:rsidR="00DA5BC0" w:rsidRPr="00A344BB">
        <w:rPr>
          <w:szCs w:val="22"/>
          <w:lang w:eastAsia="cs-CZ"/>
        </w:rPr>
        <w:t>levetiracetam</w:t>
      </w:r>
      <w:proofErr w:type="spellEnd"/>
      <w:r w:rsidRPr="00A344BB">
        <w:rPr>
          <w:szCs w:val="22"/>
          <w:lang w:eastAsia="cs-CZ"/>
        </w:rPr>
        <w:t xml:space="preserve"> perorálny roztok.</w:t>
      </w:r>
    </w:p>
    <w:p w14:paraId="6B178266" w14:textId="77777777" w:rsidR="00DA5BC0" w:rsidRPr="00A344BB" w:rsidRDefault="00DA5BC0" w:rsidP="00EB5620">
      <w:pPr>
        <w:tabs>
          <w:tab w:val="clear" w:pos="567"/>
        </w:tabs>
        <w:autoSpaceDE w:val="0"/>
        <w:autoSpaceDN w:val="0"/>
        <w:adjustRightInd w:val="0"/>
        <w:spacing w:line="240" w:lineRule="auto"/>
        <w:rPr>
          <w:szCs w:val="22"/>
          <w:lang w:eastAsia="cs-CZ"/>
        </w:rPr>
      </w:pPr>
    </w:p>
    <w:p w14:paraId="7FF28354" w14:textId="77777777" w:rsidR="00A01FE3" w:rsidRPr="00A344BB" w:rsidRDefault="00A01FE3" w:rsidP="00EB5620">
      <w:pPr>
        <w:tabs>
          <w:tab w:val="clear" w:pos="567"/>
        </w:tabs>
        <w:autoSpaceDE w:val="0"/>
        <w:autoSpaceDN w:val="0"/>
        <w:adjustRightInd w:val="0"/>
        <w:spacing w:line="240" w:lineRule="auto"/>
        <w:rPr>
          <w:i/>
          <w:iCs/>
          <w:szCs w:val="22"/>
          <w:lang w:eastAsia="cs-CZ"/>
        </w:rPr>
      </w:pPr>
      <w:r w:rsidRPr="00A344BB">
        <w:rPr>
          <w:i/>
          <w:iCs/>
          <w:szCs w:val="22"/>
          <w:lang w:eastAsia="cs-CZ"/>
        </w:rPr>
        <w:t>Monoterapia</w:t>
      </w:r>
    </w:p>
    <w:p w14:paraId="15A52C86" w14:textId="77777777" w:rsidR="00652C6D" w:rsidRPr="00A344BB" w:rsidRDefault="00652C6D" w:rsidP="00EB5620">
      <w:pPr>
        <w:tabs>
          <w:tab w:val="clear" w:pos="567"/>
        </w:tabs>
        <w:autoSpaceDE w:val="0"/>
        <w:autoSpaceDN w:val="0"/>
        <w:adjustRightInd w:val="0"/>
        <w:spacing w:line="240" w:lineRule="auto"/>
        <w:rPr>
          <w:szCs w:val="22"/>
          <w:lang w:eastAsia="cs-CZ"/>
        </w:rPr>
      </w:pPr>
    </w:p>
    <w:p w14:paraId="7CA9BFA8"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 xml:space="preserve">Bezpečnosť a účinnosť </w:t>
      </w:r>
      <w:proofErr w:type="spellStart"/>
      <w:r w:rsidR="00DA5BC0" w:rsidRPr="00A344BB">
        <w:rPr>
          <w:szCs w:val="22"/>
          <w:lang w:eastAsia="cs-CZ"/>
        </w:rPr>
        <w:t>levetiracetamu</w:t>
      </w:r>
      <w:proofErr w:type="spellEnd"/>
      <w:r w:rsidRPr="00A344BB">
        <w:rPr>
          <w:szCs w:val="22"/>
          <w:lang w:eastAsia="cs-CZ"/>
        </w:rPr>
        <w:t xml:space="preserve"> u detí a dospievajúcich vo veku do 16 rokov ako </w:t>
      </w:r>
      <w:proofErr w:type="spellStart"/>
      <w:r w:rsidRPr="00A344BB">
        <w:rPr>
          <w:szCs w:val="22"/>
          <w:lang w:eastAsia="cs-CZ"/>
        </w:rPr>
        <w:t>monoterapie</w:t>
      </w:r>
      <w:proofErr w:type="spellEnd"/>
      <w:r w:rsidRPr="00A344BB">
        <w:rPr>
          <w:szCs w:val="22"/>
          <w:lang w:eastAsia="cs-CZ"/>
        </w:rPr>
        <w:t xml:space="preserve"> neboli</w:t>
      </w:r>
      <w:r w:rsidR="00791370" w:rsidRPr="00A344BB">
        <w:rPr>
          <w:szCs w:val="22"/>
          <w:lang w:eastAsia="cs-CZ"/>
        </w:rPr>
        <w:t xml:space="preserve"> </w:t>
      </w:r>
      <w:r w:rsidRPr="00A344BB">
        <w:rPr>
          <w:szCs w:val="22"/>
          <w:lang w:eastAsia="cs-CZ"/>
        </w:rPr>
        <w:t>stanovené.</w:t>
      </w:r>
      <w:r w:rsidR="00DA5BC0" w:rsidRPr="00A344BB">
        <w:rPr>
          <w:szCs w:val="22"/>
          <w:lang w:eastAsia="cs-CZ"/>
        </w:rPr>
        <w:t xml:space="preserve"> </w:t>
      </w:r>
      <w:r w:rsidRPr="00A344BB">
        <w:rPr>
          <w:szCs w:val="22"/>
          <w:lang w:eastAsia="cs-CZ"/>
        </w:rPr>
        <w:t>K dispozícii nie sú žiadne údaje.</w:t>
      </w:r>
    </w:p>
    <w:p w14:paraId="172A8BF7" w14:textId="77777777" w:rsidR="00652C6D" w:rsidRPr="00A344BB" w:rsidRDefault="00652C6D" w:rsidP="00EB5620">
      <w:pPr>
        <w:tabs>
          <w:tab w:val="clear" w:pos="567"/>
        </w:tabs>
        <w:autoSpaceDE w:val="0"/>
        <w:autoSpaceDN w:val="0"/>
        <w:adjustRightInd w:val="0"/>
        <w:spacing w:line="240" w:lineRule="auto"/>
        <w:rPr>
          <w:i/>
          <w:iCs/>
          <w:szCs w:val="22"/>
          <w:lang w:eastAsia="cs-CZ"/>
        </w:rPr>
      </w:pPr>
    </w:p>
    <w:p w14:paraId="564846FD" w14:textId="77777777" w:rsidR="00A01FE3" w:rsidRPr="00A344BB" w:rsidRDefault="00A01FE3" w:rsidP="00EB5620">
      <w:pPr>
        <w:tabs>
          <w:tab w:val="clear" w:pos="567"/>
        </w:tabs>
        <w:autoSpaceDE w:val="0"/>
        <w:autoSpaceDN w:val="0"/>
        <w:adjustRightInd w:val="0"/>
        <w:spacing w:line="240" w:lineRule="auto"/>
        <w:rPr>
          <w:i/>
          <w:iCs/>
          <w:szCs w:val="22"/>
          <w:lang w:eastAsia="cs-CZ"/>
        </w:rPr>
      </w:pPr>
      <w:r w:rsidRPr="00A344BB">
        <w:rPr>
          <w:i/>
          <w:iCs/>
          <w:szCs w:val="22"/>
          <w:lang w:eastAsia="cs-CZ"/>
        </w:rPr>
        <w:t>Prídavná liečba pre dojčatá vo veku 6 až 23 mesiacov, deti (2 až 11 rokov) a dospievajúcich (12 až 17</w:t>
      </w:r>
      <w:r w:rsidR="00791370" w:rsidRPr="00A344BB">
        <w:rPr>
          <w:i/>
          <w:iCs/>
          <w:szCs w:val="22"/>
          <w:lang w:eastAsia="cs-CZ"/>
        </w:rPr>
        <w:t xml:space="preserve"> </w:t>
      </w:r>
      <w:r w:rsidRPr="00A344BB">
        <w:rPr>
          <w:i/>
          <w:iCs/>
          <w:szCs w:val="22"/>
          <w:lang w:eastAsia="cs-CZ"/>
        </w:rPr>
        <w:t xml:space="preserve">rokov) s hmotnosťou nižšou ako </w:t>
      </w:r>
      <w:smartTag w:uri="urn:schemas-microsoft-com:office:smarttags" w:element="metricconverter">
        <w:smartTagPr>
          <w:attr w:name="ProductID" w:val="50 kg"/>
        </w:smartTagPr>
        <w:r w:rsidRPr="00A344BB">
          <w:rPr>
            <w:i/>
            <w:iCs/>
            <w:szCs w:val="22"/>
            <w:lang w:eastAsia="cs-CZ"/>
          </w:rPr>
          <w:t>50 kg</w:t>
        </w:r>
      </w:smartTag>
    </w:p>
    <w:p w14:paraId="2DD843F5" w14:textId="77777777" w:rsidR="00652C6D" w:rsidRPr="00A344BB" w:rsidRDefault="00652C6D" w:rsidP="00EB5620">
      <w:pPr>
        <w:tabs>
          <w:tab w:val="clear" w:pos="567"/>
        </w:tabs>
        <w:autoSpaceDE w:val="0"/>
        <w:autoSpaceDN w:val="0"/>
        <w:adjustRightInd w:val="0"/>
        <w:spacing w:line="240" w:lineRule="auto"/>
        <w:rPr>
          <w:szCs w:val="22"/>
          <w:lang w:eastAsia="cs-CZ"/>
        </w:rPr>
      </w:pPr>
    </w:p>
    <w:p w14:paraId="5CB3E4FF" w14:textId="77777777" w:rsidR="00A01FE3" w:rsidRPr="00A344BB" w:rsidRDefault="00DA5BC0"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Levetircetam</w:t>
      </w:r>
      <w:proofErr w:type="spellEnd"/>
      <w:r w:rsidRPr="00A344BB">
        <w:rPr>
          <w:szCs w:val="22"/>
          <w:lang w:eastAsia="cs-CZ"/>
        </w:rPr>
        <w:t xml:space="preserve"> </w:t>
      </w:r>
      <w:r w:rsidR="00A01FE3" w:rsidRPr="00A344BB">
        <w:rPr>
          <w:szCs w:val="22"/>
          <w:lang w:eastAsia="cs-CZ"/>
        </w:rPr>
        <w:t>perorálny roztok je uprednostňovaná lieková forma pre používanie u dojčiat a detí vo veku do</w:t>
      </w:r>
      <w:r w:rsidR="00791370" w:rsidRPr="00A344BB">
        <w:rPr>
          <w:szCs w:val="22"/>
          <w:lang w:eastAsia="cs-CZ"/>
        </w:rPr>
        <w:t xml:space="preserve"> </w:t>
      </w:r>
      <w:r w:rsidR="00A01FE3" w:rsidRPr="00A344BB">
        <w:rPr>
          <w:szCs w:val="22"/>
          <w:lang w:eastAsia="cs-CZ"/>
        </w:rPr>
        <w:t>6 rokov.</w:t>
      </w:r>
    </w:p>
    <w:p w14:paraId="7C64E00D" w14:textId="77777777" w:rsidR="00652C6D" w:rsidRPr="00A344BB" w:rsidRDefault="00652C6D" w:rsidP="00EB5620">
      <w:pPr>
        <w:tabs>
          <w:tab w:val="clear" w:pos="567"/>
        </w:tabs>
        <w:autoSpaceDE w:val="0"/>
        <w:autoSpaceDN w:val="0"/>
        <w:adjustRightInd w:val="0"/>
        <w:spacing w:line="240" w:lineRule="auto"/>
        <w:rPr>
          <w:szCs w:val="22"/>
          <w:lang w:eastAsia="cs-CZ"/>
        </w:rPr>
      </w:pPr>
    </w:p>
    <w:p w14:paraId="44F4559F" w14:textId="77777777" w:rsidR="00702BCA" w:rsidRPr="00A344BB" w:rsidRDefault="00702BCA" w:rsidP="00702BCA">
      <w:pPr>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perorálny roztok sa má u detí vo veku od 6 rokov použiť pre dávky nižšie ako 250 mg, pre dávky, ktoré nie sú násobkom 250 mg, kedy odporúčané dávkovanie nie je možné dosiahnuť podaním viacerých tabliet a u pacientov, ktorí nie sú schopní prehĺtať tablety.</w:t>
      </w:r>
    </w:p>
    <w:p w14:paraId="6C859B30" w14:textId="77777777" w:rsidR="00702BCA" w:rsidRPr="00A344BB" w:rsidRDefault="00702BCA" w:rsidP="00702BCA">
      <w:pPr>
        <w:tabs>
          <w:tab w:val="clear" w:pos="567"/>
        </w:tabs>
        <w:autoSpaceDE w:val="0"/>
        <w:autoSpaceDN w:val="0"/>
        <w:adjustRightInd w:val="0"/>
        <w:spacing w:line="240" w:lineRule="auto"/>
        <w:rPr>
          <w:szCs w:val="22"/>
          <w:lang w:eastAsia="cs-CZ"/>
        </w:rPr>
      </w:pPr>
    </w:p>
    <w:p w14:paraId="5C9F65E4" w14:textId="77777777" w:rsidR="00702BCA" w:rsidRPr="00A344BB" w:rsidRDefault="00702BCA" w:rsidP="00702BCA">
      <w:pPr>
        <w:tabs>
          <w:tab w:val="clear" w:pos="567"/>
        </w:tabs>
        <w:autoSpaceDE w:val="0"/>
        <w:autoSpaceDN w:val="0"/>
        <w:adjustRightInd w:val="0"/>
        <w:spacing w:line="240" w:lineRule="auto"/>
        <w:rPr>
          <w:szCs w:val="22"/>
          <w:lang w:eastAsia="cs-CZ"/>
        </w:rPr>
      </w:pPr>
      <w:r w:rsidRPr="00A344BB">
        <w:rPr>
          <w:szCs w:val="22"/>
          <w:lang w:eastAsia="cs-CZ"/>
        </w:rPr>
        <w:t xml:space="preserve">Má sa použiť najnižšia účinná dávka. </w:t>
      </w:r>
      <w:r w:rsidR="00A22071" w:rsidRPr="00A344BB">
        <w:rPr>
          <w:szCs w:val="22"/>
          <w:lang w:eastAsia="cs-CZ"/>
        </w:rPr>
        <w:t>Za</w:t>
      </w:r>
      <w:r w:rsidRPr="00A344BB">
        <w:rPr>
          <w:szCs w:val="22"/>
          <w:lang w:eastAsia="cs-CZ"/>
        </w:rPr>
        <w:t>čiatočná terapeutická dávka u detí alebo dospievajúcich s hmotnosťou do 25 kg je 250 mg 2 krát denne, s maximálnou dávkou 750 mg 2 krát denne.</w:t>
      </w:r>
    </w:p>
    <w:p w14:paraId="6A14B391" w14:textId="77777777" w:rsidR="00791370" w:rsidRPr="00A344BB" w:rsidRDefault="00702BCA" w:rsidP="00EB5620">
      <w:pPr>
        <w:tabs>
          <w:tab w:val="clear" w:pos="567"/>
        </w:tabs>
        <w:autoSpaceDE w:val="0"/>
        <w:autoSpaceDN w:val="0"/>
        <w:adjustRightInd w:val="0"/>
        <w:spacing w:line="240" w:lineRule="auto"/>
        <w:rPr>
          <w:i/>
          <w:iCs/>
          <w:szCs w:val="22"/>
          <w:lang w:eastAsia="cs-CZ"/>
        </w:rPr>
      </w:pPr>
      <w:r w:rsidRPr="00A344BB">
        <w:rPr>
          <w:szCs w:val="22"/>
          <w:lang w:eastAsia="cs-CZ"/>
        </w:rPr>
        <w:t>Dávka u detí s hmotnosťou 50 kg alebo vyššou je rovnaká ako u dospelých.</w:t>
      </w:r>
      <w:r w:rsidRPr="00A344BB" w:rsidDel="00702BCA">
        <w:rPr>
          <w:szCs w:val="22"/>
          <w:lang w:eastAsia="cs-CZ"/>
        </w:rPr>
        <w:t xml:space="preserve"> </w:t>
      </w:r>
    </w:p>
    <w:p w14:paraId="3739B66A" w14:textId="77777777" w:rsidR="00A01FE3" w:rsidRPr="00A344BB" w:rsidRDefault="00A01FE3" w:rsidP="00EB5620">
      <w:pPr>
        <w:tabs>
          <w:tab w:val="clear" w:pos="567"/>
        </w:tabs>
        <w:autoSpaceDE w:val="0"/>
        <w:autoSpaceDN w:val="0"/>
        <w:adjustRightInd w:val="0"/>
        <w:spacing w:line="240" w:lineRule="auto"/>
        <w:rPr>
          <w:i/>
          <w:iCs/>
          <w:szCs w:val="22"/>
          <w:lang w:eastAsia="cs-CZ"/>
        </w:rPr>
      </w:pPr>
      <w:r w:rsidRPr="00A344BB">
        <w:rPr>
          <w:i/>
          <w:iCs/>
          <w:szCs w:val="22"/>
          <w:lang w:eastAsia="cs-CZ"/>
        </w:rPr>
        <w:t>Prídavná liečba pre dojčatá vo veku 1 až 6 mesiacov</w:t>
      </w:r>
    </w:p>
    <w:p w14:paraId="3C17DA33" w14:textId="77777777" w:rsidR="00652C6D" w:rsidRPr="00A344BB" w:rsidRDefault="00652C6D" w:rsidP="00EB5620">
      <w:pPr>
        <w:tabs>
          <w:tab w:val="clear" w:pos="567"/>
        </w:tabs>
        <w:autoSpaceDE w:val="0"/>
        <w:autoSpaceDN w:val="0"/>
        <w:adjustRightInd w:val="0"/>
        <w:spacing w:line="240" w:lineRule="auto"/>
        <w:rPr>
          <w:szCs w:val="22"/>
          <w:lang w:eastAsia="cs-CZ"/>
        </w:rPr>
      </w:pPr>
    </w:p>
    <w:p w14:paraId="7A1A9A42" w14:textId="77777777" w:rsidR="00A01FE3"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Pre používanie u dojčiat je určená lieková forma perorálny roztok.</w:t>
      </w:r>
    </w:p>
    <w:p w14:paraId="699CDDF8" w14:textId="77777777" w:rsidR="00791370" w:rsidRPr="00A344BB" w:rsidRDefault="00791370" w:rsidP="00EB5620">
      <w:pPr>
        <w:tabs>
          <w:tab w:val="clear" w:pos="567"/>
        </w:tabs>
        <w:autoSpaceDE w:val="0"/>
        <w:autoSpaceDN w:val="0"/>
        <w:adjustRightInd w:val="0"/>
        <w:spacing w:line="240" w:lineRule="auto"/>
        <w:rPr>
          <w:szCs w:val="22"/>
          <w:lang w:eastAsia="cs-CZ"/>
        </w:rPr>
      </w:pPr>
    </w:p>
    <w:p w14:paraId="41FC6702" w14:textId="77777777" w:rsidR="00A01FE3" w:rsidRPr="00A344BB" w:rsidRDefault="00A01FE3"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Spôsob pod</w:t>
      </w:r>
      <w:r w:rsidR="00702BCA" w:rsidRPr="00A344BB">
        <w:rPr>
          <w:szCs w:val="22"/>
          <w:u w:val="single"/>
          <w:lang w:eastAsia="cs-CZ"/>
        </w:rPr>
        <w:t>áv</w:t>
      </w:r>
      <w:r w:rsidRPr="00A344BB">
        <w:rPr>
          <w:szCs w:val="22"/>
          <w:u w:val="single"/>
          <w:lang w:eastAsia="cs-CZ"/>
        </w:rPr>
        <w:t>ania</w:t>
      </w:r>
    </w:p>
    <w:p w14:paraId="0B08917F" w14:textId="77777777" w:rsidR="002F07D4" w:rsidRPr="00A344BB" w:rsidRDefault="00A01FE3" w:rsidP="00EB5620">
      <w:pPr>
        <w:tabs>
          <w:tab w:val="clear" w:pos="567"/>
        </w:tabs>
        <w:autoSpaceDE w:val="0"/>
        <w:autoSpaceDN w:val="0"/>
        <w:adjustRightInd w:val="0"/>
        <w:spacing w:line="240" w:lineRule="auto"/>
        <w:rPr>
          <w:szCs w:val="22"/>
          <w:lang w:eastAsia="cs-CZ"/>
        </w:rPr>
      </w:pPr>
      <w:r w:rsidRPr="00A344BB">
        <w:rPr>
          <w:szCs w:val="22"/>
          <w:lang w:eastAsia="cs-CZ"/>
        </w:rPr>
        <w:t>Filmom obalené tablety sa musia užívať perorálne, prehĺtať s dostatočným množstvom tekutiny a</w:t>
      </w:r>
      <w:r w:rsidR="00791370" w:rsidRPr="00A344BB">
        <w:rPr>
          <w:szCs w:val="22"/>
          <w:lang w:eastAsia="cs-CZ"/>
        </w:rPr>
        <w:t xml:space="preserve"> </w:t>
      </w:r>
      <w:r w:rsidRPr="00A344BB">
        <w:rPr>
          <w:szCs w:val="22"/>
          <w:lang w:eastAsia="cs-CZ"/>
        </w:rPr>
        <w:t>možno ich užívať s jedlom alebo bez jedla. Denná dávka sa podáva v dvoch rovnakých čiastkových</w:t>
      </w:r>
      <w:r w:rsidR="00791370" w:rsidRPr="00A344BB">
        <w:rPr>
          <w:szCs w:val="22"/>
          <w:lang w:eastAsia="cs-CZ"/>
        </w:rPr>
        <w:t xml:space="preserve"> </w:t>
      </w:r>
      <w:r w:rsidRPr="00A344BB">
        <w:rPr>
          <w:szCs w:val="22"/>
          <w:lang w:eastAsia="cs-CZ"/>
        </w:rPr>
        <w:t>dávkach.</w:t>
      </w:r>
    </w:p>
    <w:p w14:paraId="62C2597A" w14:textId="77777777" w:rsidR="00DA5BC0" w:rsidRPr="00A344BB" w:rsidRDefault="00DA5BC0" w:rsidP="00EB5620">
      <w:pPr>
        <w:tabs>
          <w:tab w:val="clear" w:pos="567"/>
        </w:tabs>
        <w:autoSpaceDE w:val="0"/>
        <w:autoSpaceDN w:val="0"/>
        <w:adjustRightInd w:val="0"/>
        <w:spacing w:line="240" w:lineRule="auto"/>
        <w:rPr>
          <w:b/>
          <w:bCs/>
          <w:szCs w:val="22"/>
        </w:rPr>
      </w:pPr>
    </w:p>
    <w:p w14:paraId="54EF7AD4" w14:textId="77777777" w:rsidR="002F07D4" w:rsidRPr="00A344BB" w:rsidRDefault="002F07D4" w:rsidP="0096391B">
      <w:pPr>
        <w:keepNext/>
        <w:autoSpaceDE w:val="0"/>
        <w:autoSpaceDN w:val="0"/>
        <w:adjustRightInd w:val="0"/>
        <w:spacing w:line="240" w:lineRule="auto"/>
        <w:rPr>
          <w:b/>
          <w:bCs/>
          <w:szCs w:val="22"/>
        </w:rPr>
      </w:pPr>
      <w:r w:rsidRPr="00A344BB">
        <w:rPr>
          <w:b/>
          <w:szCs w:val="22"/>
        </w:rPr>
        <w:lastRenderedPageBreak/>
        <w:t xml:space="preserve">4.3 </w:t>
      </w:r>
      <w:r w:rsidRPr="00A344BB">
        <w:rPr>
          <w:b/>
          <w:szCs w:val="22"/>
        </w:rPr>
        <w:tab/>
        <w:t xml:space="preserve">Kontraindikácie </w:t>
      </w:r>
    </w:p>
    <w:p w14:paraId="02480B3C" w14:textId="77777777" w:rsidR="002F07D4" w:rsidRPr="00A344BB" w:rsidRDefault="002F07D4" w:rsidP="0096391B">
      <w:pPr>
        <w:keepNext/>
        <w:autoSpaceDE w:val="0"/>
        <w:autoSpaceDN w:val="0"/>
        <w:adjustRightInd w:val="0"/>
        <w:spacing w:line="240" w:lineRule="auto"/>
        <w:rPr>
          <w:bCs/>
          <w:szCs w:val="22"/>
        </w:rPr>
      </w:pPr>
    </w:p>
    <w:p w14:paraId="20E3A5B6" w14:textId="77777777" w:rsidR="002F07D4" w:rsidRPr="00A344BB" w:rsidRDefault="00791370" w:rsidP="0096391B">
      <w:pPr>
        <w:keepNext/>
        <w:autoSpaceDE w:val="0"/>
        <w:autoSpaceDN w:val="0"/>
        <w:adjustRightInd w:val="0"/>
        <w:spacing w:line="240" w:lineRule="auto"/>
        <w:rPr>
          <w:szCs w:val="22"/>
        </w:rPr>
      </w:pPr>
      <w:r w:rsidRPr="00A344BB">
        <w:rPr>
          <w:szCs w:val="22"/>
          <w:lang w:eastAsia="cs-CZ"/>
        </w:rPr>
        <w:t xml:space="preserve">Precitlivenosť na liečivo alebo na iné deriváty </w:t>
      </w:r>
      <w:proofErr w:type="spellStart"/>
      <w:r w:rsidRPr="00A344BB">
        <w:rPr>
          <w:szCs w:val="22"/>
          <w:lang w:eastAsia="cs-CZ"/>
        </w:rPr>
        <w:t>pyrolidónu</w:t>
      </w:r>
      <w:proofErr w:type="spellEnd"/>
      <w:r w:rsidRPr="00A344BB">
        <w:rPr>
          <w:szCs w:val="22"/>
          <w:lang w:eastAsia="cs-CZ"/>
        </w:rPr>
        <w:t xml:space="preserve"> alebo na ktorúkoľvek z pomocných látok</w:t>
      </w:r>
      <w:r w:rsidR="00CB43B8" w:rsidRPr="00A344BB">
        <w:rPr>
          <w:szCs w:val="22"/>
          <w:lang w:eastAsia="cs-CZ"/>
        </w:rPr>
        <w:t xml:space="preserve"> uvedených v časti 6.1</w:t>
      </w:r>
      <w:r w:rsidR="002F07D4" w:rsidRPr="00A344BB">
        <w:rPr>
          <w:szCs w:val="22"/>
        </w:rPr>
        <w:t>.</w:t>
      </w:r>
    </w:p>
    <w:p w14:paraId="5858F156" w14:textId="77777777" w:rsidR="002F07D4" w:rsidRPr="00A344BB" w:rsidRDefault="002F07D4" w:rsidP="00EB5620">
      <w:pPr>
        <w:autoSpaceDE w:val="0"/>
        <w:autoSpaceDN w:val="0"/>
        <w:adjustRightInd w:val="0"/>
        <w:spacing w:line="240" w:lineRule="auto"/>
        <w:rPr>
          <w:szCs w:val="22"/>
        </w:rPr>
      </w:pPr>
    </w:p>
    <w:p w14:paraId="672F6641" w14:textId="77777777" w:rsidR="002F07D4" w:rsidRPr="00A344BB" w:rsidRDefault="002F07D4" w:rsidP="0096391B">
      <w:pPr>
        <w:keepNext/>
        <w:autoSpaceDE w:val="0"/>
        <w:autoSpaceDN w:val="0"/>
        <w:adjustRightInd w:val="0"/>
        <w:spacing w:line="240" w:lineRule="auto"/>
        <w:rPr>
          <w:b/>
          <w:bCs/>
          <w:szCs w:val="22"/>
        </w:rPr>
      </w:pPr>
      <w:r w:rsidRPr="00A344BB">
        <w:rPr>
          <w:b/>
          <w:szCs w:val="22"/>
        </w:rPr>
        <w:t xml:space="preserve">4.4 </w:t>
      </w:r>
      <w:r w:rsidRPr="00A344BB">
        <w:rPr>
          <w:b/>
          <w:szCs w:val="22"/>
        </w:rPr>
        <w:tab/>
        <w:t>Osobitné upozornenia a opatrenia pri používaní</w:t>
      </w:r>
    </w:p>
    <w:p w14:paraId="2072A8AD" w14:textId="77777777" w:rsidR="00652C6D" w:rsidRPr="00A344BB" w:rsidRDefault="00652C6D" w:rsidP="0096391B">
      <w:pPr>
        <w:keepNext/>
        <w:tabs>
          <w:tab w:val="clear" w:pos="567"/>
        </w:tabs>
        <w:autoSpaceDE w:val="0"/>
        <w:autoSpaceDN w:val="0"/>
        <w:adjustRightInd w:val="0"/>
        <w:spacing w:line="240" w:lineRule="auto"/>
        <w:rPr>
          <w:szCs w:val="22"/>
          <w:u w:val="single"/>
          <w:lang w:eastAsia="cs-CZ"/>
        </w:rPr>
      </w:pPr>
    </w:p>
    <w:p w14:paraId="69BDBF40" w14:textId="77777777" w:rsidR="00791370" w:rsidRPr="00A344BB" w:rsidRDefault="00702BCA"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Porucha funkcie obličiek</w:t>
      </w:r>
    </w:p>
    <w:p w14:paraId="2F5EE240" w14:textId="77777777" w:rsidR="00791370" w:rsidRPr="00A344BB" w:rsidRDefault="00791370"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Podávanie </w:t>
      </w:r>
      <w:proofErr w:type="spellStart"/>
      <w:r w:rsidR="00321C21" w:rsidRPr="00A344BB">
        <w:rPr>
          <w:szCs w:val="22"/>
          <w:lang w:eastAsia="cs-CZ"/>
        </w:rPr>
        <w:t>levetiracetamu</w:t>
      </w:r>
      <w:proofErr w:type="spellEnd"/>
      <w:r w:rsidRPr="00A344BB">
        <w:rPr>
          <w:szCs w:val="22"/>
          <w:lang w:eastAsia="cs-CZ"/>
        </w:rPr>
        <w:t xml:space="preserve"> pacientom s poruchou funkcie obličiek si môže vyžadovať úpravu dávky. U pacientov so závažnou poruchou funkcie pečene sa pred stanovením dávky odporúča posúdiť funkciu obličiek (pozri časť 4.2).</w:t>
      </w:r>
    </w:p>
    <w:p w14:paraId="661A8F95" w14:textId="77777777" w:rsidR="00D575AF" w:rsidRPr="00A344BB" w:rsidRDefault="00D575AF" w:rsidP="00D575AF">
      <w:pPr>
        <w:tabs>
          <w:tab w:val="clear" w:pos="567"/>
        </w:tabs>
        <w:autoSpaceDE w:val="0"/>
        <w:autoSpaceDN w:val="0"/>
        <w:adjustRightInd w:val="0"/>
        <w:spacing w:line="240" w:lineRule="auto"/>
        <w:rPr>
          <w:szCs w:val="22"/>
          <w:u w:val="single"/>
          <w:lang w:eastAsia="cs-CZ"/>
        </w:rPr>
      </w:pPr>
    </w:p>
    <w:p w14:paraId="24033B45" w14:textId="77777777" w:rsidR="00D575AF" w:rsidRPr="00A344BB" w:rsidRDefault="00D575AF" w:rsidP="00D575AF">
      <w:pPr>
        <w:tabs>
          <w:tab w:val="clear" w:pos="567"/>
        </w:tabs>
        <w:autoSpaceDE w:val="0"/>
        <w:autoSpaceDN w:val="0"/>
        <w:adjustRightInd w:val="0"/>
        <w:spacing w:line="240" w:lineRule="auto"/>
        <w:rPr>
          <w:szCs w:val="22"/>
          <w:u w:val="single"/>
          <w:lang w:eastAsia="cs-CZ"/>
        </w:rPr>
      </w:pPr>
      <w:r w:rsidRPr="00A344BB">
        <w:rPr>
          <w:szCs w:val="22"/>
          <w:u w:val="single"/>
          <w:lang w:eastAsia="cs-CZ"/>
        </w:rPr>
        <w:t>Akútne poškodenie obličiek</w:t>
      </w:r>
    </w:p>
    <w:p w14:paraId="2B058E60"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 xml:space="preserve">Podávanie </w:t>
      </w:r>
      <w:proofErr w:type="spellStart"/>
      <w:r w:rsidRPr="00A344BB">
        <w:rPr>
          <w:szCs w:val="22"/>
          <w:lang w:eastAsia="cs-CZ"/>
        </w:rPr>
        <w:t>levetiracetamu</w:t>
      </w:r>
      <w:proofErr w:type="spellEnd"/>
      <w:r w:rsidRPr="00A344BB">
        <w:rPr>
          <w:szCs w:val="22"/>
          <w:lang w:eastAsia="cs-CZ"/>
        </w:rPr>
        <w:t xml:space="preserve"> bolo veľmi zriedkavo spojené s akútnym poškodením obličiek, ku ktorému </w:t>
      </w:r>
    </w:p>
    <w:p w14:paraId="0F33B738"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došlo v časovom rozmedzí od niekoľkých dní až po niekoľko mesiacov.</w:t>
      </w:r>
    </w:p>
    <w:p w14:paraId="4E08979D" w14:textId="77777777" w:rsidR="00D575AF" w:rsidRPr="00A344BB" w:rsidRDefault="00D575AF" w:rsidP="00D575AF">
      <w:pPr>
        <w:tabs>
          <w:tab w:val="clear" w:pos="567"/>
        </w:tabs>
        <w:autoSpaceDE w:val="0"/>
        <w:autoSpaceDN w:val="0"/>
        <w:adjustRightInd w:val="0"/>
        <w:spacing w:line="240" w:lineRule="auto"/>
        <w:rPr>
          <w:szCs w:val="22"/>
          <w:lang w:eastAsia="cs-CZ"/>
        </w:rPr>
      </w:pPr>
    </w:p>
    <w:p w14:paraId="3AAD4BAF" w14:textId="77777777" w:rsidR="00D575AF" w:rsidRPr="00A344BB" w:rsidRDefault="00D575AF" w:rsidP="00D575AF">
      <w:pPr>
        <w:tabs>
          <w:tab w:val="clear" w:pos="567"/>
        </w:tabs>
        <w:autoSpaceDE w:val="0"/>
        <w:autoSpaceDN w:val="0"/>
        <w:adjustRightInd w:val="0"/>
        <w:spacing w:line="240" w:lineRule="auto"/>
        <w:rPr>
          <w:szCs w:val="22"/>
          <w:u w:val="single"/>
          <w:lang w:eastAsia="cs-CZ"/>
        </w:rPr>
      </w:pPr>
      <w:r w:rsidRPr="00A344BB">
        <w:rPr>
          <w:szCs w:val="22"/>
          <w:u w:val="single"/>
          <w:lang w:eastAsia="cs-CZ"/>
        </w:rPr>
        <w:t xml:space="preserve">Krvný obraz </w:t>
      </w:r>
    </w:p>
    <w:p w14:paraId="253D56C3"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 xml:space="preserve">V súvislosti s podávaním </w:t>
      </w:r>
      <w:proofErr w:type="spellStart"/>
      <w:r w:rsidRPr="00A344BB">
        <w:rPr>
          <w:szCs w:val="22"/>
          <w:lang w:eastAsia="cs-CZ"/>
        </w:rPr>
        <w:t>levetiracetamu</w:t>
      </w:r>
      <w:proofErr w:type="spellEnd"/>
      <w:r w:rsidRPr="00A344BB">
        <w:rPr>
          <w:szCs w:val="22"/>
          <w:lang w:eastAsia="cs-CZ"/>
        </w:rPr>
        <w:t xml:space="preserve"> boli popísané zriedkavé prípady zníženia hodnôt krvného </w:t>
      </w:r>
    </w:p>
    <w:p w14:paraId="3D3636AE"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obrazu (</w:t>
      </w:r>
      <w:proofErr w:type="spellStart"/>
      <w:r w:rsidRPr="00A344BB">
        <w:rPr>
          <w:szCs w:val="22"/>
          <w:lang w:eastAsia="cs-CZ"/>
        </w:rPr>
        <w:t>neutropénia</w:t>
      </w:r>
      <w:proofErr w:type="spellEnd"/>
      <w:r w:rsidRPr="00A344BB">
        <w:rPr>
          <w:szCs w:val="22"/>
          <w:lang w:eastAsia="cs-CZ"/>
        </w:rPr>
        <w:t xml:space="preserve">, </w:t>
      </w:r>
      <w:proofErr w:type="spellStart"/>
      <w:r w:rsidRPr="00A344BB">
        <w:rPr>
          <w:szCs w:val="22"/>
          <w:lang w:eastAsia="cs-CZ"/>
        </w:rPr>
        <w:t>agranulocytóza</w:t>
      </w:r>
      <w:proofErr w:type="spellEnd"/>
      <w:r w:rsidRPr="00A344BB">
        <w:rPr>
          <w:szCs w:val="22"/>
          <w:lang w:eastAsia="cs-CZ"/>
        </w:rPr>
        <w:t xml:space="preserve">, </w:t>
      </w:r>
      <w:proofErr w:type="spellStart"/>
      <w:r w:rsidRPr="00A344BB">
        <w:rPr>
          <w:szCs w:val="22"/>
          <w:lang w:eastAsia="cs-CZ"/>
        </w:rPr>
        <w:t>leukopénia</w:t>
      </w:r>
      <w:proofErr w:type="spellEnd"/>
      <w:r w:rsidRPr="00A344BB">
        <w:rPr>
          <w:szCs w:val="22"/>
          <w:lang w:eastAsia="cs-CZ"/>
        </w:rPr>
        <w:t xml:space="preserve">, </w:t>
      </w:r>
      <w:proofErr w:type="spellStart"/>
      <w:r w:rsidRPr="00A344BB">
        <w:rPr>
          <w:szCs w:val="22"/>
          <w:lang w:eastAsia="cs-CZ"/>
        </w:rPr>
        <w:t>trombocytopénia</w:t>
      </w:r>
      <w:proofErr w:type="spellEnd"/>
      <w:r w:rsidRPr="00A344BB">
        <w:rPr>
          <w:szCs w:val="22"/>
          <w:lang w:eastAsia="cs-CZ"/>
        </w:rPr>
        <w:t xml:space="preserve"> a </w:t>
      </w:r>
      <w:proofErr w:type="spellStart"/>
      <w:r w:rsidRPr="00A344BB">
        <w:rPr>
          <w:szCs w:val="22"/>
          <w:lang w:eastAsia="cs-CZ"/>
        </w:rPr>
        <w:t>pancytopénia</w:t>
      </w:r>
      <w:proofErr w:type="spellEnd"/>
      <w:r w:rsidRPr="00A344BB">
        <w:rPr>
          <w:szCs w:val="22"/>
          <w:lang w:eastAsia="cs-CZ"/>
        </w:rPr>
        <w:t xml:space="preserve">), zvyčajne </w:t>
      </w:r>
    </w:p>
    <w:p w14:paraId="63DC81C2"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 xml:space="preserve">na začiatku liečby. U pacientov s významnou slabosťou, horúčkou, </w:t>
      </w:r>
      <w:proofErr w:type="spellStart"/>
      <w:r w:rsidRPr="00A344BB">
        <w:rPr>
          <w:szCs w:val="22"/>
          <w:lang w:eastAsia="cs-CZ"/>
        </w:rPr>
        <w:t>rekurentnými</w:t>
      </w:r>
      <w:proofErr w:type="spellEnd"/>
      <w:r w:rsidRPr="00A344BB">
        <w:rPr>
          <w:szCs w:val="22"/>
          <w:lang w:eastAsia="cs-CZ"/>
        </w:rPr>
        <w:t xml:space="preserve"> infekciami alebo </w:t>
      </w:r>
    </w:p>
    <w:p w14:paraId="1D6AD36F"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s poruchou zrážanlivosti krvi je vhodné skontrolovať celkový krvný obraz (pozri časť 4.8).</w:t>
      </w:r>
    </w:p>
    <w:p w14:paraId="263E08A4" w14:textId="77777777" w:rsidR="00031524" w:rsidRPr="00A344BB" w:rsidRDefault="00031524" w:rsidP="00EB5620">
      <w:pPr>
        <w:tabs>
          <w:tab w:val="clear" w:pos="567"/>
        </w:tabs>
        <w:autoSpaceDE w:val="0"/>
        <w:autoSpaceDN w:val="0"/>
        <w:adjustRightInd w:val="0"/>
        <w:spacing w:line="240" w:lineRule="auto"/>
        <w:rPr>
          <w:szCs w:val="22"/>
          <w:u w:val="single"/>
          <w:lang w:eastAsia="cs-CZ"/>
        </w:rPr>
      </w:pPr>
    </w:p>
    <w:p w14:paraId="34DE41B6" w14:textId="77777777" w:rsidR="00791370" w:rsidRPr="00A344BB" w:rsidRDefault="00791370"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Samovražda</w:t>
      </w:r>
    </w:p>
    <w:p w14:paraId="4D8BBD8E" w14:textId="77777777" w:rsidR="00791370"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 xml:space="preserve">U pacientov liečených </w:t>
      </w:r>
      <w:proofErr w:type="spellStart"/>
      <w:r w:rsidRPr="00A344BB">
        <w:rPr>
          <w:szCs w:val="22"/>
          <w:lang w:eastAsia="cs-CZ"/>
        </w:rPr>
        <w:t>antiepileptikami</w:t>
      </w:r>
      <w:proofErr w:type="spellEnd"/>
      <w:r w:rsidRPr="00A344BB">
        <w:rPr>
          <w:szCs w:val="22"/>
          <w:lang w:eastAsia="cs-CZ"/>
        </w:rPr>
        <w:t xml:space="preserve"> (vrátane </w:t>
      </w:r>
      <w:proofErr w:type="spellStart"/>
      <w:r w:rsidRPr="00A344BB">
        <w:rPr>
          <w:szCs w:val="22"/>
          <w:lang w:eastAsia="cs-CZ"/>
        </w:rPr>
        <w:t>levetiracetamu</w:t>
      </w:r>
      <w:proofErr w:type="spellEnd"/>
      <w:r w:rsidRPr="00A344BB">
        <w:rPr>
          <w:szCs w:val="22"/>
          <w:lang w:eastAsia="cs-CZ"/>
        </w:rPr>
        <w:t xml:space="preserve">) boli hlásené prípady samovraždy, pokusov o samovraždu, samovražedných myšlienok a správania. </w:t>
      </w:r>
      <w:proofErr w:type="spellStart"/>
      <w:r w:rsidRPr="00A344BB">
        <w:rPr>
          <w:szCs w:val="22"/>
          <w:lang w:eastAsia="cs-CZ"/>
        </w:rPr>
        <w:t>Meta-analýza</w:t>
      </w:r>
      <w:proofErr w:type="spellEnd"/>
      <w:r w:rsidRPr="00A344BB">
        <w:rPr>
          <w:szCs w:val="22"/>
          <w:lang w:eastAsia="cs-CZ"/>
        </w:rPr>
        <w:t xml:space="preserve"> randomizovaných, placebom kontrolovaných skúšaní s </w:t>
      </w:r>
      <w:proofErr w:type="spellStart"/>
      <w:r w:rsidRPr="00A344BB">
        <w:rPr>
          <w:szCs w:val="22"/>
          <w:lang w:eastAsia="cs-CZ"/>
        </w:rPr>
        <w:t>antiepileptikami</w:t>
      </w:r>
      <w:proofErr w:type="spellEnd"/>
      <w:r w:rsidRPr="00A344BB">
        <w:rPr>
          <w:szCs w:val="22"/>
          <w:lang w:eastAsia="cs-CZ"/>
        </w:rPr>
        <w:t xml:space="preserve"> preukázala malé zvýšenie rizika samovražedných myšlienok a správania. Mechanizmus vzniku tohto rizika nie je známy.</w:t>
      </w:r>
    </w:p>
    <w:p w14:paraId="04F3D3A5" w14:textId="77777777" w:rsidR="00791370"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Z tohto dôvodu sa majú u pacientov sledovať príznaky depresie a/alebo samovražedných myšlienok</w:t>
      </w:r>
      <w:r w:rsidR="006477C6" w:rsidRPr="00A344BB">
        <w:rPr>
          <w:szCs w:val="22"/>
          <w:lang w:eastAsia="cs-CZ"/>
        </w:rPr>
        <w:t xml:space="preserve"> </w:t>
      </w:r>
      <w:r w:rsidRPr="00A344BB">
        <w:rPr>
          <w:szCs w:val="22"/>
          <w:lang w:eastAsia="cs-CZ"/>
        </w:rPr>
        <w:t>a správania a má sa zvážiť vhodná liečba. Pacientom (a ich opatrovateľom) sa má odporučiť, aby</w:t>
      </w:r>
      <w:r w:rsidR="006477C6" w:rsidRPr="00A344BB">
        <w:rPr>
          <w:szCs w:val="22"/>
          <w:lang w:eastAsia="cs-CZ"/>
        </w:rPr>
        <w:t xml:space="preserve"> </w:t>
      </w:r>
      <w:r w:rsidRPr="00A344BB">
        <w:rPr>
          <w:szCs w:val="22"/>
          <w:lang w:eastAsia="cs-CZ"/>
        </w:rPr>
        <w:t>v prípade výskytu príznakov depresie a/alebo samovražedných myšlienok alebo správania, okamžite</w:t>
      </w:r>
      <w:r w:rsidR="006477C6" w:rsidRPr="00A344BB">
        <w:rPr>
          <w:szCs w:val="22"/>
          <w:lang w:eastAsia="cs-CZ"/>
        </w:rPr>
        <w:t xml:space="preserve"> </w:t>
      </w:r>
      <w:r w:rsidRPr="00A344BB">
        <w:rPr>
          <w:szCs w:val="22"/>
          <w:lang w:eastAsia="cs-CZ"/>
        </w:rPr>
        <w:t>vyhľadali lekársku pomoc.</w:t>
      </w:r>
    </w:p>
    <w:p w14:paraId="190B195D" w14:textId="77777777" w:rsidR="00CB43B8" w:rsidRPr="00A344BB" w:rsidRDefault="00CB43B8" w:rsidP="00EB5620">
      <w:pPr>
        <w:tabs>
          <w:tab w:val="clear" w:pos="567"/>
        </w:tabs>
        <w:autoSpaceDE w:val="0"/>
        <w:autoSpaceDN w:val="0"/>
        <w:adjustRightInd w:val="0"/>
        <w:spacing w:line="240" w:lineRule="auto"/>
        <w:rPr>
          <w:szCs w:val="22"/>
          <w:lang w:eastAsia="cs-CZ"/>
        </w:rPr>
      </w:pPr>
    </w:p>
    <w:p w14:paraId="59D8D602" w14:textId="77777777" w:rsidR="00791370" w:rsidRPr="00A344BB" w:rsidRDefault="00CB43B8"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Pediatrická populácia</w:t>
      </w:r>
    </w:p>
    <w:p w14:paraId="6E96E0AB" w14:textId="77777777" w:rsidR="00791370"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Lieková forma tablety nie je prispôsobená na používanie u dojčiat a detí vo veku do 6 rokov.</w:t>
      </w:r>
    </w:p>
    <w:p w14:paraId="2D35E713" w14:textId="77777777" w:rsidR="00791370" w:rsidRPr="00A344BB" w:rsidRDefault="00791370" w:rsidP="00EB5620">
      <w:pPr>
        <w:tabs>
          <w:tab w:val="clear" w:pos="567"/>
        </w:tabs>
        <w:autoSpaceDE w:val="0"/>
        <w:autoSpaceDN w:val="0"/>
        <w:adjustRightInd w:val="0"/>
        <w:spacing w:line="240" w:lineRule="auto"/>
        <w:rPr>
          <w:szCs w:val="22"/>
          <w:lang w:eastAsia="cs-CZ"/>
        </w:rPr>
      </w:pPr>
      <w:r w:rsidRPr="00A344BB">
        <w:rPr>
          <w:szCs w:val="22"/>
          <w:lang w:eastAsia="cs-CZ"/>
        </w:rPr>
        <w:t>Dostupné údaje u detí nenaznačili vplyv na rast a pubertu. Avšak dlhodobé účinky u detí na schopnosť</w:t>
      </w:r>
      <w:r w:rsidR="006477C6" w:rsidRPr="00A344BB">
        <w:rPr>
          <w:szCs w:val="22"/>
          <w:lang w:eastAsia="cs-CZ"/>
        </w:rPr>
        <w:t xml:space="preserve"> </w:t>
      </w:r>
      <w:r w:rsidRPr="00A344BB">
        <w:rPr>
          <w:szCs w:val="22"/>
          <w:lang w:eastAsia="cs-CZ"/>
        </w:rPr>
        <w:t>učiť sa, inteligenciu, rast, endokrinnú funkciu, pubertu a plodnosť sú naďalej neznáme.</w:t>
      </w:r>
    </w:p>
    <w:p w14:paraId="07EE8D90" w14:textId="77777777" w:rsidR="000D1B39" w:rsidRPr="00A344BB" w:rsidRDefault="000D1B39" w:rsidP="00EB5620">
      <w:pPr>
        <w:tabs>
          <w:tab w:val="clear" w:pos="567"/>
        </w:tabs>
        <w:autoSpaceDE w:val="0"/>
        <w:autoSpaceDN w:val="0"/>
        <w:adjustRightInd w:val="0"/>
        <w:spacing w:line="240" w:lineRule="auto"/>
        <w:rPr>
          <w:szCs w:val="22"/>
        </w:rPr>
      </w:pPr>
    </w:p>
    <w:p w14:paraId="65B96FA1" w14:textId="77777777" w:rsidR="002F07D4" w:rsidRPr="00A344BB" w:rsidRDefault="002F07D4" w:rsidP="00EB5620">
      <w:pPr>
        <w:tabs>
          <w:tab w:val="clear" w:pos="567"/>
        </w:tabs>
        <w:autoSpaceDE w:val="0"/>
        <w:autoSpaceDN w:val="0"/>
        <w:adjustRightInd w:val="0"/>
        <w:spacing w:line="240" w:lineRule="auto"/>
        <w:rPr>
          <w:b/>
          <w:bCs/>
          <w:szCs w:val="22"/>
        </w:rPr>
      </w:pPr>
      <w:r w:rsidRPr="00A344BB">
        <w:rPr>
          <w:b/>
          <w:szCs w:val="22"/>
        </w:rPr>
        <w:t xml:space="preserve">4.5 </w:t>
      </w:r>
      <w:r w:rsidRPr="00A344BB">
        <w:rPr>
          <w:b/>
          <w:szCs w:val="22"/>
        </w:rPr>
        <w:tab/>
        <w:t>Liekové a iné interakcie</w:t>
      </w:r>
    </w:p>
    <w:p w14:paraId="15FC54AC" w14:textId="77777777" w:rsidR="00031524" w:rsidRPr="00A344BB" w:rsidRDefault="00031524" w:rsidP="00EB5620">
      <w:pPr>
        <w:tabs>
          <w:tab w:val="clear" w:pos="567"/>
        </w:tabs>
        <w:autoSpaceDE w:val="0"/>
        <w:autoSpaceDN w:val="0"/>
        <w:adjustRightInd w:val="0"/>
        <w:spacing w:line="240" w:lineRule="auto"/>
        <w:rPr>
          <w:szCs w:val="22"/>
          <w:u w:val="single"/>
          <w:lang w:eastAsia="cs-CZ"/>
        </w:rPr>
      </w:pPr>
    </w:p>
    <w:p w14:paraId="0C491484" w14:textId="77777777" w:rsidR="006477C6" w:rsidRPr="00A344BB" w:rsidRDefault="006477C6" w:rsidP="00EB5620">
      <w:pPr>
        <w:tabs>
          <w:tab w:val="clear" w:pos="567"/>
        </w:tabs>
        <w:autoSpaceDE w:val="0"/>
        <w:autoSpaceDN w:val="0"/>
        <w:adjustRightInd w:val="0"/>
        <w:spacing w:line="240" w:lineRule="auto"/>
        <w:rPr>
          <w:szCs w:val="22"/>
          <w:u w:val="single"/>
          <w:lang w:eastAsia="cs-CZ"/>
        </w:rPr>
      </w:pPr>
      <w:proofErr w:type="spellStart"/>
      <w:r w:rsidRPr="00A344BB">
        <w:rPr>
          <w:szCs w:val="22"/>
          <w:u w:val="single"/>
          <w:lang w:eastAsia="cs-CZ"/>
        </w:rPr>
        <w:t>Antiepileptiká</w:t>
      </w:r>
      <w:proofErr w:type="spellEnd"/>
    </w:p>
    <w:p w14:paraId="6AA4D11C" w14:textId="77777777" w:rsidR="006477C6" w:rsidRPr="00A344BB" w:rsidRDefault="006477C6"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Predmarketingové</w:t>
      </w:r>
      <w:proofErr w:type="spellEnd"/>
      <w:r w:rsidRPr="00A344BB">
        <w:rPr>
          <w:szCs w:val="22"/>
          <w:lang w:eastAsia="cs-CZ"/>
        </w:rPr>
        <w:t xml:space="preserve"> údaje z klinických štúdií vykonaných na dospelých ukazujú, že </w:t>
      </w:r>
      <w:proofErr w:type="spellStart"/>
      <w:r w:rsidR="000D1B39" w:rsidRPr="00A344BB">
        <w:rPr>
          <w:szCs w:val="22"/>
          <w:lang w:eastAsia="cs-CZ"/>
        </w:rPr>
        <w:t>levetiracetam</w:t>
      </w:r>
      <w:proofErr w:type="spellEnd"/>
      <w:r w:rsidR="000D1B39" w:rsidRPr="00A344BB">
        <w:rPr>
          <w:szCs w:val="22"/>
          <w:lang w:eastAsia="cs-CZ"/>
        </w:rPr>
        <w:t xml:space="preserve"> nemal</w:t>
      </w:r>
      <w:r w:rsidRPr="00A344BB">
        <w:rPr>
          <w:szCs w:val="22"/>
          <w:lang w:eastAsia="cs-CZ"/>
        </w:rPr>
        <w:t xml:space="preserve"> vplyv na sérové koncentrácie už podávaných </w:t>
      </w:r>
      <w:proofErr w:type="spellStart"/>
      <w:r w:rsidRPr="00A344BB">
        <w:rPr>
          <w:szCs w:val="22"/>
          <w:lang w:eastAsia="cs-CZ"/>
        </w:rPr>
        <w:t>antiepileptík</w:t>
      </w:r>
      <w:proofErr w:type="spellEnd"/>
      <w:r w:rsidRPr="00A344BB">
        <w:rPr>
          <w:szCs w:val="22"/>
          <w:lang w:eastAsia="cs-CZ"/>
        </w:rPr>
        <w:t xml:space="preserve"> (</w:t>
      </w:r>
      <w:proofErr w:type="spellStart"/>
      <w:r w:rsidRPr="00A344BB">
        <w:rPr>
          <w:szCs w:val="22"/>
          <w:lang w:eastAsia="cs-CZ"/>
        </w:rPr>
        <w:t>fenytoín</w:t>
      </w:r>
      <w:proofErr w:type="spellEnd"/>
      <w:r w:rsidRPr="00A344BB">
        <w:rPr>
          <w:szCs w:val="22"/>
          <w:lang w:eastAsia="cs-CZ"/>
        </w:rPr>
        <w:t xml:space="preserve">, </w:t>
      </w:r>
      <w:proofErr w:type="spellStart"/>
      <w:r w:rsidRPr="00A344BB">
        <w:rPr>
          <w:szCs w:val="22"/>
          <w:lang w:eastAsia="cs-CZ"/>
        </w:rPr>
        <w:t>karbamazepín</w:t>
      </w:r>
      <w:proofErr w:type="spellEnd"/>
      <w:r w:rsidRPr="00A344BB">
        <w:rPr>
          <w:szCs w:val="22"/>
          <w:lang w:eastAsia="cs-CZ"/>
        </w:rPr>
        <w:t xml:space="preserve">, kyselina </w:t>
      </w:r>
      <w:proofErr w:type="spellStart"/>
      <w:r w:rsidRPr="00A344BB">
        <w:rPr>
          <w:szCs w:val="22"/>
          <w:lang w:eastAsia="cs-CZ"/>
        </w:rPr>
        <w:t>valproová</w:t>
      </w:r>
      <w:proofErr w:type="spellEnd"/>
      <w:r w:rsidRPr="00A344BB">
        <w:rPr>
          <w:szCs w:val="22"/>
          <w:lang w:eastAsia="cs-CZ"/>
        </w:rPr>
        <w:t xml:space="preserve">, </w:t>
      </w:r>
      <w:proofErr w:type="spellStart"/>
      <w:r w:rsidRPr="00A344BB">
        <w:rPr>
          <w:szCs w:val="22"/>
          <w:lang w:eastAsia="cs-CZ"/>
        </w:rPr>
        <w:t>fenobarbital</w:t>
      </w:r>
      <w:proofErr w:type="spellEnd"/>
      <w:r w:rsidRPr="00A344BB">
        <w:rPr>
          <w:szCs w:val="22"/>
          <w:lang w:eastAsia="cs-CZ"/>
        </w:rPr>
        <w:t xml:space="preserve">, </w:t>
      </w:r>
      <w:proofErr w:type="spellStart"/>
      <w:r w:rsidRPr="00A344BB">
        <w:rPr>
          <w:szCs w:val="22"/>
          <w:lang w:eastAsia="cs-CZ"/>
        </w:rPr>
        <w:t>lamotrigín</w:t>
      </w:r>
      <w:proofErr w:type="spellEnd"/>
      <w:r w:rsidRPr="00A344BB">
        <w:rPr>
          <w:szCs w:val="22"/>
          <w:lang w:eastAsia="cs-CZ"/>
        </w:rPr>
        <w:t xml:space="preserve">, </w:t>
      </w:r>
      <w:proofErr w:type="spellStart"/>
      <w:r w:rsidRPr="00A344BB">
        <w:rPr>
          <w:szCs w:val="22"/>
          <w:lang w:eastAsia="cs-CZ"/>
        </w:rPr>
        <w:t>gabapentín</w:t>
      </w:r>
      <w:proofErr w:type="spellEnd"/>
      <w:r w:rsidRPr="00A344BB">
        <w:rPr>
          <w:szCs w:val="22"/>
          <w:lang w:eastAsia="cs-CZ"/>
        </w:rPr>
        <w:t xml:space="preserve"> a </w:t>
      </w:r>
      <w:proofErr w:type="spellStart"/>
      <w:r w:rsidRPr="00A344BB">
        <w:rPr>
          <w:szCs w:val="22"/>
          <w:lang w:eastAsia="cs-CZ"/>
        </w:rPr>
        <w:t>primid</w:t>
      </w:r>
      <w:r w:rsidR="00031524" w:rsidRPr="00A344BB">
        <w:rPr>
          <w:szCs w:val="22"/>
          <w:lang w:eastAsia="cs-CZ"/>
        </w:rPr>
        <w:t>ó</w:t>
      </w:r>
      <w:r w:rsidRPr="00A344BB">
        <w:rPr>
          <w:szCs w:val="22"/>
          <w:lang w:eastAsia="cs-CZ"/>
        </w:rPr>
        <w:t>n</w:t>
      </w:r>
      <w:proofErr w:type="spellEnd"/>
      <w:r w:rsidRPr="00A344BB">
        <w:rPr>
          <w:szCs w:val="22"/>
          <w:lang w:eastAsia="cs-CZ"/>
        </w:rPr>
        <w:t xml:space="preserve">) a že tieto </w:t>
      </w:r>
      <w:proofErr w:type="spellStart"/>
      <w:r w:rsidRPr="00A344BB">
        <w:rPr>
          <w:szCs w:val="22"/>
          <w:lang w:eastAsia="cs-CZ"/>
        </w:rPr>
        <w:t>antiepileptiká</w:t>
      </w:r>
      <w:proofErr w:type="spellEnd"/>
      <w:r w:rsidRPr="00A344BB">
        <w:rPr>
          <w:szCs w:val="22"/>
          <w:lang w:eastAsia="cs-CZ"/>
        </w:rPr>
        <w:t xml:space="preserve"> neovplyvnili </w:t>
      </w:r>
      <w:proofErr w:type="spellStart"/>
      <w:r w:rsidRPr="00A344BB">
        <w:rPr>
          <w:szCs w:val="22"/>
          <w:lang w:eastAsia="cs-CZ"/>
        </w:rPr>
        <w:t>farmakokinetiku</w:t>
      </w:r>
      <w:proofErr w:type="spellEnd"/>
      <w:r w:rsidRPr="00A344BB">
        <w:rPr>
          <w:szCs w:val="22"/>
          <w:lang w:eastAsia="cs-CZ"/>
        </w:rPr>
        <w:t xml:space="preserve"> </w:t>
      </w:r>
      <w:proofErr w:type="spellStart"/>
      <w:r w:rsidR="000D1B39" w:rsidRPr="00A344BB">
        <w:rPr>
          <w:szCs w:val="22"/>
          <w:lang w:eastAsia="cs-CZ"/>
        </w:rPr>
        <w:t>levetiracetamu</w:t>
      </w:r>
      <w:proofErr w:type="spellEnd"/>
      <w:r w:rsidRPr="00A344BB">
        <w:rPr>
          <w:szCs w:val="22"/>
          <w:lang w:eastAsia="cs-CZ"/>
        </w:rPr>
        <w:t xml:space="preserve">. </w:t>
      </w:r>
    </w:p>
    <w:p w14:paraId="4FF7121C" w14:textId="77777777" w:rsidR="00031524" w:rsidRPr="00A344BB" w:rsidRDefault="00031524" w:rsidP="00EB5620">
      <w:pPr>
        <w:tabs>
          <w:tab w:val="clear" w:pos="567"/>
        </w:tabs>
        <w:autoSpaceDE w:val="0"/>
        <w:autoSpaceDN w:val="0"/>
        <w:adjustRightInd w:val="0"/>
        <w:spacing w:line="240" w:lineRule="auto"/>
        <w:rPr>
          <w:szCs w:val="22"/>
          <w:lang w:eastAsia="cs-CZ"/>
        </w:rPr>
      </w:pPr>
    </w:p>
    <w:p w14:paraId="547EAE70" w14:textId="77777777" w:rsidR="00031524"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 xml:space="preserve">Rovnako ako u dospelých, ani u detských a dospievajúcich pacientov užívajúcich až do 60 mg/kg/deň </w:t>
      </w:r>
      <w:proofErr w:type="spellStart"/>
      <w:r w:rsidRPr="00A344BB">
        <w:rPr>
          <w:szCs w:val="22"/>
          <w:lang w:eastAsia="cs-CZ"/>
        </w:rPr>
        <w:t>levetiracetamu</w:t>
      </w:r>
      <w:proofErr w:type="spellEnd"/>
      <w:r w:rsidRPr="00A344BB">
        <w:rPr>
          <w:szCs w:val="22"/>
          <w:lang w:eastAsia="cs-CZ"/>
        </w:rPr>
        <w:t xml:space="preserve"> nie je žiadny dôkaz klinicky významných liekových interakcií. </w:t>
      </w:r>
    </w:p>
    <w:p w14:paraId="1AF6D89B" w14:textId="77777777" w:rsidR="00031524" w:rsidRPr="00A344BB" w:rsidRDefault="00031524" w:rsidP="00EB5620">
      <w:pPr>
        <w:tabs>
          <w:tab w:val="clear" w:pos="567"/>
        </w:tabs>
        <w:autoSpaceDE w:val="0"/>
        <w:autoSpaceDN w:val="0"/>
        <w:adjustRightInd w:val="0"/>
        <w:spacing w:line="240" w:lineRule="auto"/>
        <w:rPr>
          <w:szCs w:val="22"/>
          <w:lang w:eastAsia="cs-CZ"/>
        </w:rPr>
      </w:pPr>
    </w:p>
    <w:p w14:paraId="0AE06497"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 xml:space="preserve">Retrospektívne hodnotenie </w:t>
      </w:r>
      <w:proofErr w:type="spellStart"/>
      <w:r w:rsidRPr="00A344BB">
        <w:rPr>
          <w:szCs w:val="22"/>
          <w:lang w:eastAsia="cs-CZ"/>
        </w:rPr>
        <w:t>farmakokinetických</w:t>
      </w:r>
      <w:proofErr w:type="spellEnd"/>
      <w:r w:rsidRPr="00A344BB">
        <w:rPr>
          <w:szCs w:val="22"/>
          <w:lang w:eastAsia="cs-CZ"/>
        </w:rPr>
        <w:t xml:space="preserve"> interakcií u detí a dospievajúcich s epilepsiou (4 až 17 rokov) potvrdilo, že prídavná liečba s perorálne podávaným </w:t>
      </w:r>
      <w:proofErr w:type="spellStart"/>
      <w:r w:rsidRPr="00A344BB">
        <w:rPr>
          <w:szCs w:val="22"/>
          <w:lang w:eastAsia="cs-CZ"/>
        </w:rPr>
        <w:t>levetiracetamom</w:t>
      </w:r>
      <w:proofErr w:type="spellEnd"/>
      <w:r w:rsidRPr="00A344BB">
        <w:rPr>
          <w:szCs w:val="22"/>
          <w:lang w:eastAsia="cs-CZ"/>
        </w:rPr>
        <w:t xml:space="preserve"> neovplyvnila sérové koncentrácie v rovnovážnom stave súbežne podávaného </w:t>
      </w:r>
      <w:proofErr w:type="spellStart"/>
      <w:r w:rsidRPr="00A344BB">
        <w:rPr>
          <w:szCs w:val="22"/>
          <w:lang w:eastAsia="cs-CZ"/>
        </w:rPr>
        <w:t>karbamazepínu</w:t>
      </w:r>
      <w:proofErr w:type="spellEnd"/>
      <w:r w:rsidRPr="00A344BB">
        <w:rPr>
          <w:szCs w:val="22"/>
          <w:lang w:eastAsia="cs-CZ"/>
        </w:rPr>
        <w:t xml:space="preserve"> a </w:t>
      </w:r>
      <w:proofErr w:type="spellStart"/>
      <w:r w:rsidRPr="00A344BB">
        <w:rPr>
          <w:szCs w:val="22"/>
          <w:lang w:eastAsia="cs-CZ"/>
        </w:rPr>
        <w:t>valproátu</w:t>
      </w:r>
      <w:proofErr w:type="spellEnd"/>
      <w:r w:rsidRPr="00A344BB">
        <w:rPr>
          <w:szCs w:val="22"/>
          <w:lang w:eastAsia="cs-CZ"/>
        </w:rPr>
        <w:t xml:space="preserve">. Avšak údaje </w:t>
      </w:r>
      <w:r w:rsidRPr="00A344BB">
        <w:rPr>
          <w:szCs w:val="22"/>
          <w:lang w:eastAsia="cs-CZ"/>
        </w:rPr>
        <w:lastRenderedPageBreak/>
        <w:t xml:space="preserve">naznačujú o 20 % vyšší </w:t>
      </w:r>
      <w:proofErr w:type="spellStart"/>
      <w:r w:rsidRPr="00A344BB">
        <w:rPr>
          <w:szCs w:val="22"/>
          <w:lang w:eastAsia="cs-CZ"/>
        </w:rPr>
        <w:t>klírens</w:t>
      </w:r>
      <w:proofErr w:type="spellEnd"/>
      <w:r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u detí užívajúcich enzýmy indukujúce </w:t>
      </w:r>
      <w:proofErr w:type="spellStart"/>
      <w:r w:rsidRPr="00A344BB">
        <w:rPr>
          <w:szCs w:val="22"/>
          <w:lang w:eastAsia="cs-CZ"/>
        </w:rPr>
        <w:t>antiepileptiká</w:t>
      </w:r>
      <w:proofErr w:type="spellEnd"/>
      <w:r w:rsidRPr="00A344BB">
        <w:rPr>
          <w:szCs w:val="22"/>
          <w:lang w:eastAsia="cs-CZ"/>
        </w:rPr>
        <w:t>.</w:t>
      </w:r>
      <w:r w:rsidR="000D1B39" w:rsidRPr="00A344BB">
        <w:rPr>
          <w:szCs w:val="22"/>
          <w:lang w:eastAsia="cs-CZ"/>
        </w:rPr>
        <w:t xml:space="preserve"> </w:t>
      </w:r>
      <w:r w:rsidRPr="00A344BB">
        <w:rPr>
          <w:szCs w:val="22"/>
          <w:lang w:eastAsia="cs-CZ"/>
        </w:rPr>
        <w:t>Úprava dávky sa nevyžaduje.</w:t>
      </w:r>
    </w:p>
    <w:p w14:paraId="5D7FA3C2" w14:textId="77777777" w:rsidR="00031524" w:rsidRPr="00A344BB" w:rsidRDefault="00031524" w:rsidP="00EB5620">
      <w:pPr>
        <w:tabs>
          <w:tab w:val="clear" w:pos="567"/>
        </w:tabs>
        <w:autoSpaceDE w:val="0"/>
        <w:autoSpaceDN w:val="0"/>
        <w:adjustRightInd w:val="0"/>
        <w:spacing w:line="240" w:lineRule="auto"/>
        <w:rPr>
          <w:szCs w:val="22"/>
          <w:u w:val="single"/>
          <w:lang w:eastAsia="cs-CZ"/>
        </w:rPr>
      </w:pPr>
    </w:p>
    <w:p w14:paraId="04BA3E72" w14:textId="77777777" w:rsidR="006477C6" w:rsidRPr="00A344BB" w:rsidRDefault="006477C6" w:rsidP="0096391B">
      <w:pPr>
        <w:keepNext/>
        <w:tabs>
          <w:tab w:val="clear" w:pos="567"/>
        </w:tabs>
        <w:autoSpaceDE w:val="0"/>
        <w:autoSpaceDN w:val="0"/>
        <w:adjustRightInd w:val="0"/>
        <w:spacing w:line="240" w:lineRule="auto"/>
        <w:rPr>
          <w:szCs w:val="22"/>
          <w:u w:val="single"/>
          <w:lang w:eastAsia="cs-CZ"/>
        </w:rPr>
      </w:pPr>
      <w:proofErr w:type="spellStart"/>
      <w:r w:rsidRPr="00A344BB">
        <w:rPr>
          <w:szCs w:val="22"/>
          <w:u w:val="single"/>
          <w:lang w:eastAsia="cs-CZ"/>
        </w:rPr>
        <w:t>Probenecid</w:t>
      </w:r>
      <w:proofErr w:type="spellEnd"/>
    </w:p>
    <w:p w14:paraId="77FA3D47" w14:textId="77777777" w:rsidR="006477C6" w:rsidRPr="00A344BB" w:rsidRDefault="006477C6"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Zistilo sa, že </w:t>
      </w:r>
      <w:proofErr w:type="spellStart"/>
      <w:r w:rsidRPr="00A344BB">
        <w:rPr>
          <w:szCs w:val="22"/>
          <w:lang w:eastAsia="cs-CZ"/>
        </w:rPr>
        <w:t>probenecid</w:t>
      </w:r>
      <w:proofErr w:type="spellEnd"/>
      <w:r w:rsidRPr="00A344BB">
        <w:rPr>
          <w:szCs w:val="22"/>
          <w:lang w:eastAsia="cs-CZ"/>
        </w:rPr>
        <w:t xml:space="preserve"> (500 mg štyrikrát denne), </w:t>
      </w:r>
      <w:proofErr w:type="spellStart"/>
      <w:r w:rsidRPr="00A344BB">
        <w:rPr>
          <w:szCs w:val="22"/>
          <w:lang w:eastAsia="cs-CZ"/>
        </w:rPr>
        <w:t>blokátor</w:t>
      </w:r>
      <w:proofErr w:type="spellEnd"/>
      <w:r w:rsidRPr="00A344BB">
        <w:rPr>
          <w:szCs w:val="22"/>
          <w:lang w:eastAsia="cs-CZ"/>
        </w:rPr>
        <w:t xml:space="preserve"> </w:t>
      </w:r>
      <w:proofErr w:type="spellStart"/>
      <w:r w:rsidRPr="00A344BB">
        <w:rPr>
          <w:szCs w:val="22"/>
          <w:lang w:eastAsia="cs-CZ"/>
        </w:rPr>
        <w:t>renálnej</w:t>
      </w:r>
      <w:proofErr w:type="spellEnd"/>
      <w:r w:rsidRPr="00A344BB">
        <w:rPr>
          <w:szCs w:val="22"/>
          <w:lang w:eastAsia="cs-CZ"/>
        </w:rPr>
        <w:t xml:space="preserve"> </w:t>
      </w:r>
      <w:proofErr w:type="spellStart"/>
      <w:r w:rsidRPr="00A344BB">
        <w:rPr>
          <w:szCs w:val="22"/>
          <w:lang w:eastAsia="cs-CZ"/>
        </w:rPr>
        <w:t>tubulárnej</w:t>
      </w:r>
      <w:proofErr w:type="spellEnd"/>
      <w:r w:rsidRPr="00A344BB">
        <w:rPr>
          <w:szCs w:val="22"/>
          <w:lang w:eastAsia="cs-CZ"/>
        </w:rPr>
        <w:t xml:space="preserve"> sekrécie, </w:t>
      </w:r>
      <w:proofErr w:type="spellStart"/>
      <w:r w:rsidRPr="00A344BB">
        <w:rPr>
          <w:szCs w:val="22"/>
          <w:lang w:eastAsia="cs-CZ"/>
        </w:rPr>
        <w:t>inhibuje</w:t>
      </w:r>
      <w:proofErr w:type="spellEnd"/>
      <w:r w:rsidRPr="00A344BB">
        <w:rPr>
          <w:szCs w:val="22"/>
          <w:lang w:eastAsia="cs-CZ"/>
        </w:rPr>
        <w:t xml:space="preserve"> </w:t>
      </w:r>
      <w:proofErr w:type="spellStart"/>
      <w:r w:rsidRPr="00A344BB">
        <w:rPr>
          <w:szCs w:val="22"/>
          <w:lang w:eastAsia="cs-CZ"/>
        </w:rPr>
        <w:t>renálny</w:t>
      </w:r>
      <w:proofErr w:type="spellEnd"/>
      <w:r w:rsidRPr="00A344BB">
        <w:rPr>
          <w:szCs w:val="22"/>
          <w:lang w:eastAsia="cs-CZ"/>
        </w:rPr>
        <w:t xml:space="preserve"> </w:t>
      </w:r>
      <w:proofErr w:type="spellStart"/>
      <w:r w:rsidRPr="00A344BB">
        <w:rPr>
          <w:szCs w:val="22"/>
          <w:lang w:eastAsia="cs-CZ"/>
        </w:rPr>
        <w:t>klírens</w:t>
      </w:r>
      <w:proofErr w:type="spellEnd"/>
      <w:r w:rsidRPr="00A344BB">
        <w:rPr>
          <w:szCs w:val="22"/>
          <w:lang w:eastAsia="cs-CZ"/>
        </w:rPr>
        <w:t xml:space="preserve"> primárneho </w:t>
      </w:r>
      <w:proofErr w:type="spellStart"/>
      <w:r w:rsidRPr="00A344BB">
        <w:rPr>
          <w:szCs w:val="22"/>
          <w:lang w:eastAsia="cs-CZ"/>
        </w:rPr>
        <w:t>metabolitu</w:t>
      </w:r>
      <w:proofErr w:type="spellEnd"/>
      <w:r w:rsidRPr="00A344BB">
        <w:rPr>
          <w:szCs w:val="22"/>
          <w:lang w:eastAsia="cs-CZ"/>
        </w:rPr>
        <w:t xml:space="preserve">, nie však </w:t>
      </w:r>
      <w:proofErr w:type="spellStart"/>
      <w:r w:rsidRPr="00A344BB">
        <w:rPr>
          <w:szCs w:val="22"/>
          <w:lang w:eastAsia="cs-CZ"/>
        </w:rPr>
        <w:t>levetiracetamu</w:t>
      </w:r>
      <w:proofErr w:type="spellEnd"/>
      <w:r w:rsidRPr="00A344BB">
        <w:rPr>
          <w:szCs w:val="22"/>
          <w:lang w:eastAsia="cs-CZ"/>
        </w:rPr>
        <w:t xml:space="preserve">. Koncentrácia uvedeného </w:t>
      </w:r>
      <w:proofErr w:type="spellStart"/>
      <w:r w:rsidRPr="00A344BB">
        <w:rPr>
          <w:szCs w:val="22"/>
          <w:lang w:eastAsia="cs-CZ"/>
        </w:rPr>
        <w:t>metabolitu</w:t>
      </w:r>
      <w:proofErr w:type="spellEnd"/>
      <w:r w:rsidRPr="00A344BB">
        <w:rPr>
          <w:szCs w:val="22"/>
          <w:lang w:eastAsia="cs-CZ"/>
        </w:rPr>
        <w:t xml:space="preserve"> však zostáva nízka.</w:t>
      </w:r>
    </w:p>
    <w:p w14:paraId="560DD0E4" w14:textId="77777777" w:rsidR="00FE0B5A" w:rsidRPr="00A344BB" w:rsidRDefault="00FE0B5A" w:rsidP="00EB5620">
      <w:pPr>
        <w:tabs>
          <w:tab w:val="clear" w:pos="567"/>
        </w:tabs>
        <w:autoSpaceDE w:val="0"/>
        <w:autoSpaceDN w:val="0"/>
        <w:adjustRightInd w:val="0"/>
        <w:spacing w:line="240" w:lineRule="auto"/>
        <w:rPr>
          <w:szCs w:val="22"/>
          <w:lang w:eastAsia="cs-CZ"/>
        </w:rPr>
      </w:pPr>
    </w:p>
    <w:p w14:paraId="6B139DA8" w14:textId="77777777" w:rsidR="00FE0B5A" w:rsidRPr="00A344BB" w:rsidRDefault="00FE0B5A" w:rsidP="00FE0B5A">
      <w:pPr>
        <w:tabs>
          <w:tab w:val="clear" w:pos="567"/>
        </w:tabs>
        <w:autoSpaceDE w:val="0"/>
        <w:autoSpaceDN w:val="0"/>
        <w:adjustRightInd w:val="0"/>
        <w:spacing w:line="240" w:lineRule="auto"/>
        <w:rPr>
          <w:szCs w:val="22"/>
          <w:u w:val="single"/>
          <w:lang w:eastAsia="cs-CZ"/>
        </w:rPr>
      </w:pPr>
      <w:proofErr w:type="spellStart"/>
      <w:r w:rsidRPr="00A344BB">
        <w:rPr>
          <w:szCs w:val="22"/>
          <w:u w:val="single"/>
          <w:lang w:eastAsia="cs-CZ"/>
        </w:rPr>
        <w:t>Metotrexát</w:t>
      </w:r>
      <w:proofErr w:type="spellEnd"/>
    </w:p>
    <w:p w14:paraId="6A942646" w14:textId="77777777" w:rsidR="00FE0B5A" w:rsidRPr="00A344BB" w:rsidRDefault="00FE0B5A" w:rsidP="00FE0B5A">
      <w:pPr>
        <w:tabs>
          <w:tab w:val="clear" w:pos="567"/>
        </w:tabs>
        <w:autoSpaceDE w:val="0"/>
        <w:autoSpaceDN w:val="0"/>
        <w:adjustRightInd w:val="0"/>
        <w:spacing w:line="240" w:lineRule="auto"/>
        <w:rPr>
          <w:szCs w:val="22"/>
          <w:lang w:eastAsia="cs-CZ"/>
        </w:rPr>
      </w:pPr>
      <w:r w:rsidRPr="00A344BB">
        <w:rPr>
          <w:szCs w:val="22"/>
          <w:lang w:eastAsia="cs-CZ"/>
        </w:rPr>
        <w:t xml:space="preserve">Pri súčasnom podávaní </w:t>
      </w:r>
      <w:proofErr w:type="spellStart"/>
      <w:r w:rsidRPr="00A344BB">
        <w:rPr>
          <w:szCs w:val="22"/>
          <w:lang w:eastAsia="cs-CZ"/>
        </w:rPr>
        <w:t>levetiracetamu</w:t>
      </w:r>
      <w:proofErr w:type="spellEnd"/>
      <w:r w:rsidRPr="00A344BB">
        <w:rPr>
          <w:szCs w:val="22"/>
          <w:lang w:eastAsia="cs-CZ"/>
        </w:rPr>
        <w:t xml:space="preserve"> a </w:t>
      </w:r>
      <w:proofErr w:type="spellStart"/>
      <w:r w:rsidRPr="00A344BB">
        <w:rPr>
          <w:szCs w:val="22"/>
          <w:lang w:eastAsia="cs-CZ"/>
        </w:rPr>
        <w:t>metotrexátu</w:t>
      </w:r>
      <w:proofErr w:type="spellEnd"/>
      <w:r w:rsidRPr="00A344BB">
        <w:rPr>
          <w:szCs w:val="22"/>
          <w:lang w:eastAsia="cs-CZ"/>
        </w:rPr>
        <w:t xml:space="preserve"> bolo hlásené zníženie </w:t>
      </w:r>
      <w:proofErr w:type="spellStart"/>
      <w:r w:rsidRPr="00A344BB">
        <w:rPr>
          <w:szCs w:val="22"/>
          <w:lang w:eastAsia="cs-CZ"/>
        </w:rPr>
        <w:t>klírensu</w:t>
      </w:r>
      <w:proofErr w:type="spellEnd"/>
      <w:r w:rsidRPr="00A344BB">
        <w:rPr>
          <w:szCs w:val="22"/>
          <w:lang w:eastAsia="cs-CZ"/>
        </w:rPr>
        <w:t xml:space="preserve"> </w:t>
      </w:r>
      <w:proofErr w:type="spellStart"/>
      <w:r w:rsidRPr="00A344BB">
        <w:rPr>
          <w:szCs w:val="22"/>
          <w:lang w:eastAsia="cs-CZ"/>
        </w:rPr>
        <w:t>metotrexátu</w:t>
      </w:r>
      <w:proofErr w:type="spellEnd"/>
      <w:r w:rsidRPr="00A344BB">
        <w:rPr>
          <w:szCs w:val="22"/>
          <w:lang w:eastAsia="cs-CZ"/>
        </w:rPr>
        <w:t xml:space="preserve">, čo vedie k zvýšeniu (predĺženiu) doby koncentrácie </w:t>
      </w:r>
      <w:proofErr w:type="spellStart"/>
      <w:r w:rsidRPr="00A344BB">
        <w:rPr>
          <w:szCs w:val="22"/>
          <w:lang w:eastAsia="cs-CZ"/>
        </w:rPr>
        <w:t>metotrexátu</w:t>
      </w:r>
      <w:proofErr w:type="spellEnd"/>
      <w:r w:rsidRPr="00A344BB">
        <w:rPr>
          <w:szCs w:val="22"/>
          <w:lang w:eastAsia="cs-CZ"/>
        </w:rPr>
        <w:t xml:space="preserve"> v krvi na potenciálne toxické hladiny. Hladiny </w:t>
      </w:r>
      <w:proofErr w:type="spellStart"/>
      <w:r w:rsidRPr="00A344BB">
        <w:rPr>
          <w:szCs w:val="22"/>
          <w:lang w:eastAsia="cs-CZ"/>
        </w:rPr>
        <w:t>metotrexátu</w:t>
      </w:r>
      <w:proofErr w:type="spellEnd"/>
      <w:r w:rsidRPr="00A344BB">
        <w:rPr>
          <w:szCs w:val="22"/>
          <w:lang w:eastAsia="cs-CZ"/>
        </w:rPr>
        <w:t xml:space="preserve"> a </w:t>
      </w:r>
      <w:proofErr w:type="spellStart"/>
      <w:r w:rsidRPr="00A344BB">
        <w:rPr>
          <w:szCs w:val="22"/>
          <w:lang w:eastAsia="cs-CZ"/>
        </w:rPr>
        <w:t>levetiracetamu</w:t>
      </w:r>
      <w:proofErr w:type="spellEnd"/>
      <w:r w:rsidRPr="00A344BB">
        <w:rPr>
          <w:szCs w:val="22"/>
          <w:lang w:eastAsia="cs-CZ"/>
        </w:rPr>
        <w:t xml:space="preserve"> v krvi by mali byť starostlivo monitorované u pacientov, ktorí užívajú súčasne oba lieky.</w:t>
      </w:r>
    </w:p>
    <w:p w14:paraId="508D292A" w14:textId="77777777" w:rsidR="00031524" w:rsidRPr="00A344BB" w:rsidRDefault="00031524" w:rsidP="00EB5620">
      <w:pPr>
        <w:tabs>
          <w:tab w:val="clear" w:pos="567"/>
        </w:tabs>
        <w:autoSpaceDE w:val="0"/>
        <w:autoSpaceDN w:val="0"/>
        <w:adjustRightInd w:val="0"/>
        <w:spacing w:line="240" w:lineRule="auto"/>
        <w:rPr>
          <w:szCs w:val="22"/>
          <w:u w:val="single"/>
          <w:lang w:eastAsia="cs-CZ"/>
        </w:rPr>
      </w:pPr>
    </w:p>
    <w:p w14:paraId="52711303" w14:textId="77777777" w:rsidR="006477C6" w:rsidRPr="00A344BB" w:rsidRDefault="006477C6"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 xml:space="preserve">Perorálne </w:t>
      </w:r>
      <w:proofErr w:type="spellStart"/>
      <w:r w:rsidRPr="00A344BB">
        <w:rPr>
          <w:szCs w:val="22"/>
          <w:u w:val="single"/>
          <w:lang w:eastAsia="cs-CZ"/>
        </w:rPr>
        <w:t>kontraceptíva</w:t>
      </w:r>
      <w:proofErr w:type="spellEnd"/>
      <w:r w:rsidRPr="00A344BB">
        <w:rPr>
          <w:szCs w:val="22"/>
          <w:u w:val="single"/>
          <w:lang w:eastAsia="cs-CZ"/>
        </w:rPr>
        <w:t xml:space="preserve"> a iné </w:t>
      </w:r>
      <w:proofErr w:type="spellStart"/>
      <w:r w:rsidRPr="00A344BB">
        <w:rPr>
          <w:szCs w:val="22"/>
          <w:u w:val="single"/>
          <w:lang w:eastAsia="cs-CZ"/>
        </w:rPr>
        <w:t>farmakokinetické</w:t>
      </w:r>
      <w:proofErr w:type="spellEnd"/>
      <w:r w:rsidRPr="00A344BB">
        <w:rPr>
          <w:szCs w:val="22"/>
          <w:u w:val="single"/>
          <w:lang w:eastAsia="cs-CZ"/>
        </w:rPr>
        <w:t xml:space="preserve"> interakcie</w:t>
      </w:r>
    </w:p>
    <w:p w14:paraId="56F3435D" w14:textId="77777777" w:rsidR="006477C6" w:rsidRPr="00A344BB" w:rsidRDefault="006477C6"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v dávke 1000 mg denne nemal vplyv na </w:t>
      </w:r>
      <w:proofErr w:type="spellStart"/>
      <w:r w:rsidRPr="00A344BB">
        <w:rPr>
          <w:szCs w:val="22"/>
          <w:lang w:eastAsia="cs-CZ"/>
        </w:rPr>
        <w:t>farmakokinetiku</w:t>
      </w:r>
      <w:proofErr w:type="spellEnd"/>
      <w:r w:rsidRPr="00A344BB">
        <w:rPr>
          <w:szCs w:val="22"/>
          <w:lang w:eastAsia="cs-CZ"/>
        </w:rPr>
        <w:t xml:space="preserve"> perorálnych </w:t>
      </w:r>
      <w:proofErr w:type="spellStart"/>
      <w:r w:rsidRPr="00A344BB">
        <w:rPr>
          <w:szCs w:val="22"/>
          <w:lang w:eastAsia="cs-CZ"/>
        </w:rPr>
        <w:t>kontraceptív</w:t>
      </w:r>
      <w:proofErr w:type="spellEnd"/>
      <w:r w:rsidRPr="00A344BB">
        <w:rPr>
          <w:szCs w:val="22"/>
          <w:lang w:eastAsia="cs-CZ"/>
        </w:rPr>
        <w:t xml:space="preserve"> (</w:t>
      </w:r>
      <w:proofErr w:type="spellStart"/>
      <w:r w:rsidRPr="00A344BB">
        <w:rPr>
          <w:szCs w:val="22"/>
          <w:lang w:eastAsia="cs-CZ"/>
        </w:rPr>
        <w:t>etinylestradiol</w:t>
      </w:r>
      <w:proofErr w:type="spellEnd"/>
      <w:r w:rsidRPr="00A344BB">
        <w:rPr>
          <w:szCs w:val="22"/>
          <w:lang w:eastAsia="cs-CZ"/>
        </w:rPr>
        <w:t xml:space="preserve"> a </w:t>
      </w:r>
      <w:proofErr w:type="spellStart"/>
      <w:r w:rsidRPr="00A344BB">
        <w:rPr>
          <w:szCs w:val="22"/>
          <w:lang w:eastAsia="cs-CZ"/>
        </w:rPr>
        <w:t>levonorgestrel</w:t>
      </w:r>
      <w:proofErr w:type="spellEnd"/>
      <w:r w:rsidRPr="00A344BB">
        <w:rPr>
          <w:szCs w:val="22"/>
          <w:lang w:eastAsia="cs-CZ"/>
        </w:rPr>
        <w:t>); endokrinné parametre (</w:t>
      </w:r>
      <w:proofErr w:type="spellStart"/>
      <w:r w:rsidRPr="00A344BB">
        <w:rPr>
          <w:szCs w:val="22"/>
          <w:lang w:eastAsia="cs-CZ"/>
        </w:rPr>
        <w:t>luteinizačný</w:t>
      </w:r>
      <w:proofErr w:type="spellEnd"/>
      <w:r w:rsidRPr="00A344BB">
        <w:rPr>
          <w:szCs w:val="22"/>
          <w:lang w:eastAsia="cs-CZ"/>
        </w:rPr>
        <w:t xml:space="preserve"> hormón a </w:t>
      </w:r>
      <w:proofErr w:type="spellStart"/>
      <w:r w:rsidRPr="00A344BB">
        <w:rPr>
          <w:szCs w:val="22"/>
          <w:lang w:eastAsia="cs-CZ"/>
        </w:rPr>
        <w:t>progesterón</w:t>
      </w:r>
      <w:proofErr w:type="spellEnd"/>
      <w:r w:rsidRPr="00A344BB">
        <w:rPr>
          <w:szCs w:val="22"/>
          <w:lang w:eastAsia="cs-CZ"/>
        </w:rPr>
        <w:t xml:space="preserve">) sa nezmenili. </w:t>
      </w:r>
      <w:proofErr w:type="spellStart"/>
      <w:r w:rsidRPr="00A344BB">
        <w:rPr>
          <w:szCs w:val="22"/>
          <w:lang w:eastAsia="cs-CZ"/>
        </w:rPr>
        <w:t>Levetiracetam</w:t>
      </w:r>
      <w:proofErr w:type="spellEnd"/>
      <w:r w:rsidRPr="00A344BB">
        <w:rPr>
          <w:szCs w:val="22"/>
          <w:lang w:eastAsia="cs-CZ"/>
        </w:rPr>
        <w:t xml:space="preserve"> v dávke 2000 mg denne nemal vplyv na </w:t>
      </w:r>
      <w:proofErr w:type="spellStart"/>
      <w:r w:rsidRPr="00A344BB">
        <w:rPr>
          <w:szCs w:val="22"/>
          <w:lang w:eastAsia="cs-CZ"/>
        </w:rPr>
        <w:t>farmakokinetiku</w:t>
      </w:r>
      <w:proofErr w:type="spellEnd"/>
      <w:r w:rsidRPr="00A344BB">
        <w:rPr>
          <w:szCs w:val="22"/>
          <w:lang w:eastAsia="cs-CZ"/>
        </w:rPr>
        <w:t xml:space="preserve"> </w:t>
      </w:r>
      <w:proofErr w:type="spellStart"/>
      <w:r w:rsidRPr="00A344BB">
        <w:rPr>
          <w:szCs w:val="22"/>
          <w:lang w:eastAsia="cs-CZ"/>
        </w:rPr>
        <w:t>digoxínu</w:t>
      </w:r>
      <w:proofErr w:type="spellEnd"/>
      <w:r w:rsidRPr="00A344BB">
        <w:rPr>
          <w:szCs w:val="22"/>
          <w:lang w:eastAsia="cs-CZ"/>
        </w:rPr>
        <w:t xml:space="preserve"> a </w:t>
      </w:r>
      <w:proofErr w:type="spellStart"/>
      <w:r w:rsidRPr="00A344BB">
        <w:rPr>
          <w:szCs w:val="22"/>
          <w:lang w:eastAsia="cs-CZ"/>
        </w:rPr>
        <w:t>warfarínu</w:t>
      </w:r>
      <w:proofErr w:type="spellEnd"/>
      <w:r w:rsidRPr="00A344BB">
        <w:rPr>
          <w:szCs w:val="22"/>
          <w:lang w:eastAsia="cs-CZ"/>
        </w:rPr>
        <w:t xml:space="preserve">; </w:t>
      </w:r>
      <w:proofErr w:type="spellStart"/>
      <w:r w:rsidRPr="00A344BB">
        <w:rPr>
          <w:szCs w:val="22"/>
          <w:lang w:eastAsia="cs-CZ"/>
        </w:rPr>
        <w:t>protrombínové</w:t>
      </w:r>
      <w:proofErr w:type="spellEnd"/>
      <w:r w:rsidRPr="00A344BB">
        <w:rPr>
          <w:szCs w:val="22"/>
          <w:lang w:eastAsia="cs-CZ"/>
        </w:rPr>
        <w:t xml:space="preserve"> časy sa nezmenili. Súbežné podávanie s </w:t>
      </w:r>
      <w:proofErr w:type="spellStart"/>
      <w:r w:rsidRPr="00A344BB">
        <w:rPr>
          <w:szCs w:val="22"/>
          <w:lang w:eastAsia="cs-CZ"/>
        </w:rPr>
        <w:t>digoxínom</w:t>
      </w:r>
      <w:proofErr w:type="spellEnd"/>
      <w:r w:rsidRPr="00A344BB">
        <w:rPr>
          <w:szCs w:val="22"/>
          <w:lang w:eastAsia="cs-CZ"/>
        </w:rPr>
        <w:t xml:space="preserve">, perorálnymi </w:t>
      </w:r>
      <w:proofErr w:type="spellStart"/>
      <w:r w:rsidRPr="00A344BB">
        <w:rPr>
          <w:szCs w:val="22"/>
          <w:lang w:eastAsia="cs-CZ"/>
        </w:rPr>
        <w:t>kontraceptívami</w:t>
      </w:r>
      <w:proofErr w:type="spellEnd"/>
      <w:r w:rsidRPr="00A344BB">
        <w:rPr>
          <w:szCs w:val="22"/>
          <w:lang w:eastAsia="cs-CZ"/>
        </w:rPr>
        <w:t xml:space="preserve"> a </w:t>
      </w:r>
      <w:proofErr w:type="spellStart"/>
      <w:r w:rsidRPr="00A344BB">
        <w:rPr>
          <w:szCs w:val="22"/>
          <w:lang w:eastAsia="cs-CZ"/>
        </w:rPr>
        <w:t>warfarínom</w:t>
      </w:r>
      <w:proofErr w:type="spellEnd"/>
      <w:r w:rsidRPr="00A344BB">
        <w:rPr>
          <w:szCs w:val="22"/>
          <w:lang w:eastAsia="cs-CZ"/>
        </w:rPr>
        <w:t xml:space="preserve"> neovplyvnilo </w:t>
      </w:r>
      <w:proofErr w:type="spellStart"/>
      <w:r w:rsidRPr="00A344BB">
        <w:rPr>
          <w:szCs w:val="22"/>
          <w:lang w:eastAsia="cs-CZ"/>
        </w:rPr>
        <w:t>farmakokinetiku</w:t>
      </w:r>
      <w:proofErr w:type="spellEnd"/>
      <w:r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w:t>
      </w:r>
    </w:p>
    <w:p w14:paraId="4D6C287E" w14:textId="77777777" w:rsidR="00B03545" w:rsidRPr="00A344BB" w:rsidRDefault="00B03545" w:rsidP="00EB5620">
      <w:pPr>
        <w:tabs>
          <w:tab w:val="clear" w:pos="567"/>
        </w:tabs>
        <w:autoSpaceDE w:val="0"/>
        <w:autoSpaceDN w:val="0"/>
        <w:adjustRightInd w:val="0"/>
        <w:spacing w:line="240" w:lineRule="auto"/>
        <w:rPr>
          <w:szCs w:val="22"/>
          <w:u w:val="single"/>
          <w:lang w:eastAsia="cs-CZ"/>
        </w:rPr>
      </w:pPr>
    </w:p>
    <w:p w14:paraId="495A3E38" w14:textId="77777777" w:rsidR="00FE0B5A" w:rsidRPr="00A344BB" w:rsidRDefault="00FE0B5A" w:rsidP="00B03A35">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Laxatíva</w:t>
      </w:r>
    </w:p>
    <w:p w14:paraId="2611B905" w14:textId="77777777" w:rsidR="006477C6" w:rsidRPr="00A344BB" w:rsidRDefault="00FE0B5A" w:rsidP="00B03A35">
      <w:pPr>
        <w:keepNext/>
        <w:tabs>
          <w:tab w:val="clear" w:pos="567"/>
        </w:tabs>
        <w:autoSpaceDE w:val="0"/>
        <w:autoSpaceDN w:val="0"/>
        <w:adjustRightInd w:val="0"/>
        <w:spacing w:line="240" w:lineRule="auto"/>
        <w:rPr>
          <w:szCs w:val="22"/>
          <w:lang w:eastAsia="cs-CZ"/>
        </w:rPr>
      </w:pPr>
      <w:r w:rsidRPr="00A344BB">
        <w:rPr>
          <w:szCs w:val="22"/>
          <w:u w:val="single"/>
          <w:lang w:eastAsia="cs-CZ"/>
        </w:rPr>
        <w:t xml:space="preserve">Zaznamenali sa izolované prípady zníženej účinnosti </w:t>
      </w:r>
      <w:proofErr w:type="spellStart"/>
      <w:r w:rsidRPr="00A344BB">
        <w:rPr>
          <w:szCs w:val="22"/>
          <w:u w:val="single"/>
          <w:lang w:eastAsia="cs-CZ"/>
        </w:rPr>
        <w:t>levetiracetamu</w:t>
      </w:r>
      <w:proofErr w:type="spellEnd"/>
      <w:r w:rsidRPr="00A344BB">
        <w:rPr>
          <w:szCs w:val="22"/>
          <w:u w:val="single"/>
          <w:lang w:eastAsia="cs-CZ"/>
        </w:rPr>
        <w:t xml:space="preserve"> pri podávaní </w:t>
      </w:r>
      <w:proofErr w:type="spellStart"/>
      <w:r w:rsidRPr="00A344BB">
        <w:rPr>
          <w:szCs w:val="22"/>
          <w:u w:val="single"/>
          <w:lang w:eastAsia="cs-CZ"/>
        </w:rPr>
        <w:t>osmotického</w:t>
      </w:r>
      <w:proofErr w:type="spellEnd"/>
      <w:r w:rsidRPr="00A344BB">
        <w:rPr>
          <w:szCs w:val="22"/>
          <w:u w:val="single"/>
          <w:lang w:eastAsia="cs-CZ"/>
        </w:rPr>
        <w:t xml:space="preserve"> laxatíva </w:t>
      </w:r>
      <w:proofErr w:type="spellStart"/>
      <w:r w:rsidRPr="00A344BB">
        <w:rPr>
          <w:szCs w:val="22"/>
          <w:u w:val="single"/>
          <w:lang w:eastAsia="cs-CZ"/>
        </w:rPr>
        <w:t>makrogolu</w:t>
      </w:r>
      <w:proofErr w:type="spellEnd"/>
      <w:r w:rsidRPr="00A344BB">
        <w:rPr>
          <w:szCs w:val="22"/>
          <w:u w:val="single"/>
          <w:lang w:eastAsia="cs-CZ"/>
        </w:rPr>
        <w:t xml:space="preserve"> súbežne s perorálnym </w:t>
      </w:r>
      <w:proofErr w:type="spellStart"/>
      <w:r w:rsidRPr="00A344BB">
        <w:rPr>
          <w:szCs w:val="22"/>
          <w:u w:val="single"/>
          <w:lang w:eastAsia="cs-CZ"/>
        </w:rPr>
        <w:t>levetiracetamom</w:t>
      </w:r>
      <w:proofErr w:type="spellEnd"/>
      <w:r w:rsidRPr="00A344BB">
        <w:rPr>
          <w:szCs w:val="22"/>
          <w:u w:val="single"/>
          <w:lang w:eastAsia="cs-CZ"/>
        </w:rPr>
        <w:t xml:space="preserve">. Preto sa </w:t>
      </w:r>
      <w:proofErr w:type="spellStart"/>
      <w:r w:rsidRPr="00A344BB">
        <w:rPr>
          <w:szCs w:val="22"/>
          <w:u w:val="single"/>
          <w:lang w:eastAsia="cs-CZ"/>
        </w:rPr>
        <w:t>makrogol</w:t>
      </w:r>
      <w:proofErr w:type="spellEnd"/>
      <w:r w:rsidRPr="00A344BB">
        <w:rPr>
          <w:szCs w:val="22"/>
          <w:u w:val="single"/>
          <w:lang w:eastAsia="cs-CZ"/>
        </w:rPr>
        <w:t xml:space="preserve"> nemá užívať perorálne počas jednej hodiny pred užitím </w:t>
      </w:r>
      <w:proofErr w:type="spellStart"/>
      <w:r w:rsidRPr="00A344BB">
        <w:rPr>
          <w:szCs w:val="22"/>
          <w:u w:val="single"/>
          <w:lang w:eastAsia="cs-CZ"/>
        </w:rPr>
        <w:t>levetiracetamu</w:t>
      </w:r>
      <w:proofErr w:type="spellEnd"/>
      <w:r w:rsidRPr="00A344BB">
        <w:rPr>
          <w:szCs w:val="22"/>
          <w:u w:val="single"/>
          <w:lang w:eastAsia="cs-CZ"/>
        </w:rPr>
        <w:t xml:space="preserve"> a počas jednej hodiny po jeho užití</w:t>
      </w:r>
      <w:r w:rsidR="006477C6" w:rsidRPr="00A344BB">
        <w:rPr>
          <w:szCs w:val="22"/>
          <w:lang w:eastAsia="cs-CZ"/>
        </w:rPr>
        <w:t>.</w:t>
      </w:r>
    </w:p>
    <w:p w14:paraId="10F3C405" w14:textId="77777777" w:rsidR="00B03545" w:rsidRPr="00A344BB" w:rsidRDefault="00B03545" w:rsidP="00EB5620">
      <w:pPr>
        <w:tabs>
          <w:tab w:val="clear" w:pos="567"/>
        </w:tabs>
        <w:autoSpaceDE w:val="0"/>
        <w:autoSpaceDN w:val="0"/>
        <w:adjustRightInd w:val="0"/>
        <w:spacing w:line="240" w:lineRule="auto"/>
        <w:rPr>
          <w:szCs w:val="22"/>
          <w:u w:val="single"/>
          <w:lang w:eastAsia="cs-CZ"/>
        </w:rPr>
      </w:pPr>
    </w:p>
    <w:p w14:paraId="72B3A711" w14:textId="77777777" w:rsidR="006477C6" w:rsidRPr="00A344BB" w:rsidRDefault="006477C6"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Jedlo a alkohol</w:t>
      </w:r>
    </w:p>
    <w:p w14:paraId="711D1A4E"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 xml:space="preserve">Jedlo neovplyvnilo rozsah vstrebávania </w:t>
      </w:r>
      <w:proofErr w:type="spellStart"/>
      <w:r w:rsidRPr="00A344BB">
        <w:rPr>
          <w:szCs w:val="22"/>
          <w:lang w:eastAsia="cs-CZ"/>
        </w:rPr>
        <w:t>levetiracetamu</w:t>
      </w:r>
      <w:proofErr w:type="spellEnd"/>
      <w:r w:rsidRPr="00A344BB">
        <w:rPr>
          <w:szCs w:val="22"/>
          <w:lang w:eastAsia="cs-CZ"/>
        </w:rPr>
        <w:t>, ale rýchlosť vstrebávania sa mierne znížila.</w:t>
      </w:r>
    </w:p>
    <w:p w14:paraId="0487082B" w14:textId="77777777" w:rsidR="002F07D4" w:rsidRPr="00A344BB" w:rsidRDefault="006477C6" w:rsidP="00EB5620">
      <w:pPr>
        <w:autoSpaceDE w:val="0"/>
        <w:autoSpaceDN w:val="0"/>
        <w:adjustRightInd w:val="0"/>
        <w:spacing w:line="240" w:lineRule="auto"/>
        <w:rPr>
          <w:szCs w:val="22"/>
        </w:rPr>
      </w:pPr>
      <w:r w:rsidRPr="00A344BB">
        <w:rPr>
          <w:szCs w:val="22"/>
          <w:lang w:eastAsia="cs-CZ"/>
        </w:rPr>
        <w:t xml:space="preserve">Nie sú k dispozícií žiadne údaje o interakcii </w:t>
      </w:r>
      <w:proofErr w:type="spellStart"/>
      <w:r w:rsidRPr="00A344BB">
        <w:rPr>
          <w:szCs w:val="22"/>
          <w:lang w:eastAsia="cs-CZ"/>
        </w:rPr>
        <w:t>levetiracetamu</w:t>
      </w:r>
      <w:proofErr w:type="spellEnd"/>
      <w:r w:rsidRPr="00A344BB">
        <w:rPr>
          <w:szCs w:val="22"/>
          <w:lang w:eastAsia="cs-CZ"/>
        </w:rPr>
        <w:t xml:space="preserve"> s alkoholom.</w:t>
      </w:r>
    </w:p>
    <w:p w14:paraId="4B510767" w14:textId="77777777" w:rsidR="006477C6" w:rsidRPr="00A344BB" w:rsidRDefault="006477C6" w:rsidP="00EB5620">
      <w:pPr>
        <w:autoSpaceDE w:val="0"/>
        <w:autoSpaceDN w:val="0"/>
        <w:adjustRightInd w:val="0"/>
        <w:spacing w:line="240" w:lineRule="auto"/>
        <w:rPr>
          <w:b/>
          <w:szCs w:val="22"/>
        </w:rPr>
      </w:pPr>
    </w:p>
    <w:p w14:paraId="7E95D394"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4.6 </w:t>
      </w:r>
      <w:r w:rsidRPr="00A344BB">
        <w:rPr>
          <w:b/>
          <w:szCs w:val="22"/>
        </w:rPr>
        <w:tab/>
        <w:t>Fertilita, gravidita a laktácia</w:t>
      </w:r>
    </w:p>
    <w:p w14:paraId="54E2DAD0" w14:textId="77777777" w:rsidR="00B03545" w:rsidRPr="00A344BB" w:rsidRDefault="00B03545" w:rsidP="00EB5620">
      <w:pPr>
        <w:tabs>
          <w:tab w:val="clear" w:pos="567"/>
        </w:tabs>
        <w:autoSpaceDE w:val="0"/>
        <w:autoSpaceDN w:val="0"/>
        <w:adjustRightInd w:val="0"/>
        <w:spacing w:line="240" w:lineRule="auto"/>
        <w:rPr>
          <w:szCs w:val="22"/>
          <w:u w:val="single"/>
          <w:lang w:eastAsia="cs-CZ"/>
        </w:rPr>
      </w:pPr>
    </w:p>
    <w:p w14:paraId="1DF135C1" w14:textId="77777777" w:rsidR="006477C6" w:rsidRPr="00A344BB" w:rsidRDefault="006477C6"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Gravidita</w:t>
      </w:r>
    </w:p>
    <w:p w14:paraId="49A7FEEF" w14:textId="77777777" w:rsidR="00FE0B5A" w:rsidRPr="00A344BB" w:rsidRDefault="00FE0B5A"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Postmarketingové</w:t>
      </w:r>
      <w:proofErr w:type="spellEnd"/>
      <w:r w:rsidRPr="00A344BB">
        <w:rPr>
          <w:szCs w:val="22"/>
          <w:lang w:eastAsia="cs-CZ"/>
        </w:rPr>
        <w:t xml:space="preserve"> údaje z niekoľkých </w:t>
      </w:r>
      <w:proofErr w:type="spellStart"/>
      <w:r w:rsidRPr="00A344BB">
        <w:rPr>
          <w:szCs w:val="22"/>
          <w:lang w:eastAsia="cs-CZ"/>
        </w:rPr>
        <w:t>prospektívnych</w:t>
      </w:r>
      <w:proofErr w:type="spellEnd"/>
      <w:r w:rsidRPr="00A344BB">
        <w:rPr>
          <w:szCs w:val="22"/>
          <w:lang w:eastAsia="cs-CZ"/>
        </w:rPr>
        <w:t xml:space="preserve"> registrov gravidít zdokumentovali výsledky u viac ako 1 000 žien liečených </w:t>
      </w:r>
      <w:proofErr w:type="spellStart"/>
      <w:r w:rsidRPr="00A344BB">
        <w:rPr>
          <w:szCs w:val="22"/>
          <w:lang w:eastAsia="cs-CZ"/>
        </w:rPr>
        <w:t>levetiracetamom</w:t>
      </w:r>
      <w:proofErr w:type="spellEnd"/>
      <w:r w:rsidRPr="00A344BB">
        <w:rPr>
          <w:szCs w:val="22"/>
          <w:lang w:eastAsia="cs-CZ"/>
        </w:rPr>
        <w:t xml:space="preserve"> v </w:t>
      </w:r>
      <w:proofErr w:type="spellStart"/>
      <w:r w:rsidRPr="00A344BB">
        <w:rPr>
          <w:szCs w:val="22"/>
          <w:lang w:eastAsia="cs-CZ"/>
        </w:rPr>
        <w:t>monoterapii</w:t>
      </w:r>
      <w:proofErr w:type="spellEnd"/>
      <w:r w:rsidRPr="00A344BB">
        <w:rPr>
          <w:szCs w:val="22"/>
          <w:lang w:eastAsia="cs-CZ"/>
        </w:rPr>
        <w:t xml:space="preserve"> počas prvého </w:t>
      </w:r>
      <w:proofErr w:type="spellStart"/>
      <w:r w:rsidRPr="00A344BB">
        <w:rPr>
          <w:szCs w:val="22"/>
          <w:lang w:eastAsia="cs-CZ"/>
        </w:rPr>
        <w:t>trimestra</w:t>
      </w:r>
      <w:proofErr w:type="spellEnd"/>
      <w:r w:rsidRPr="00A344BB">
        <w:rPr>
          <w:szCs w:val="22"/>
          <w:lang w:eastAsia="cs-CZ"/>
        </w:rPr>
        <w:t xml:space="preserve"> gravidity. Celkovo tieto údaje nenaznačujú podstatné zvýšenie rizika väčších </w:t>
      </w:r>
      <w:proofErr w:type="spellStart"/>
      <w:r w:rsidRPr="00A344BB">
        <w:rPr>
          <w:szCs w:val="22"/>
          <w:lang w:eastAsia="cs-CZ"/>
        </w:rPr>
        <w:t>kongenitálnych</w:t>
      </w:r>
      <w:proofErr w:type="spellEnd"/>
      <w:r w:rsidRPr="00A344BB">
        <w:rPr>
          <w:szCs w:val="22"/>
          <w:lang w:eastAsia="cs-CZ"/>
        </w:rPr>
        <w:t xml:space="preserve"> </w:t>
      </w:r>
      <w:proofErr w:type="spellStart"/>
      <w:r w:rsidRPr="00A344BB">
        <w:rPr>
          <w:szCs w:val="22"/>
          <w:lang w:eastAsia="cs-CZ"/>
        </w:rPr>
        <w:t>malformácií</w:t>
      </w:r>
      <w:proofErr w:type="spellEnd"/>
      <w:r w:rsidRPr="00A344BB">
        <w:rPr>
          <w:szCs w:val="22"/>
          <w:lang w:eastAsia="cs-CZ"/>
        </w:rPr>
        <w:t xml:space="preserve">, hoci </w:t>
      </w:r>
      <w:proofErr w:type="spellStart"/>
      <w:r w:rsidRPr="00A344BB">
        <w:rPr>
          <w:szCs w:val="22"/>
          <w:lang w:eastAsia="cs-CZ"/>
        </w:rPr>
        <w:t>teratogénne</w:t>
      </w:r>
      <w:proofErr w:type="spellEnd"/>
      <w:r w:rsidRPr="00A344BB">
        <w:rPr>
          <w:szCs w:val="22"/>
          <w:lang w:eastAsia="cs-CZ"/>
        </w:rPr>
        <w:t xml:space="preserve"> riziko nie je možné úplne vylúčiť. Liečba viacerými </w:t>
      </w:r>
      <w:proofErr w:type="spellStart"/>
      <w:r w:rsidRPr="00A344BB">
        <w:rPr>
          <w:szCs w:val="22"/>
          <w:lang w:eastAsia="cs-CZ"/>
        </w:rPr>
        <w:t>antiepileptikami</w:t>
      </w:r>
      <w:proofErr w:type="spellEnd"/>
      <w:r w:rsidRPr="00A344BB">
        <w:rPr>
          <w:szCs w:val="22"/>
          <w:lang w:eastAsia="cs-CZ"/>
        </w:rPr>
        <w:t xml:space="preserve"> je spojená s vyšším rizikom </w:t>
      </w:r>
      <w:proofErr w:type="spellStart"/>
      <w:r w:rsidRPr="00A344BB">
        <w:rPr>
          <w:szCs w:val="22"/>
          <w:lang w:eastAsia="cs-CZ"/>
        </w:rPr>
        <w:t>kongenitálnych</w:t>
      </w:r>
      <w:proofErr w:type="spellEnd"/>
      <w:r w:rsidRPr="00A344BB">
        <w:rPr>
          <w:szCs w:val="22"/>
          <w:lang w:eastAsia="cs-CZ"/>
        </w:rPr>
        <w:t xml:space="preserve"> </w:t>
      </w:r>
      <w:proofErr w:type="spellStart"/>
      <w:r w:rsidRPr="00A344BB">
        <w:rPr>
          <w:szCs w:val="22"/>
          <w:lang w:eastAsia="cs-CZ"/>
        </w:rPr>
        <w:t>malformácií</w:t>
      </w:r>
      <w:proofErr w:type="spellEnd"/>
      <w:r w:rsidRPr="00A344BB">
        <w:rPr>
          <w:szCs w:val="22"/>
          <w:lang w:eastAsia="cs-CZ"/>
        </w:rPr>
        <w:t xml:space="preserve"> ako monoterapia a preto je potrebné zvážiť </w:t>
      </w:r>
      <w:proofErr w:type="spellStart"/>
      <w:r w:rsidRPr="00A344BB">
        <w:rPr>
          <w:szCs w:val="22"/>
          <w:lang w:eastAsia="cs-CZ"/>
        </w:rPr>
        <w:t>monoterapiu</w:t>
      </w:r>
      <w:proofErr w:type="spellEnd"/>
      <w:r w:rsidRPr="00A344BB">
        <w:rPr>
          <w:szCs w:val="22"/>
          <w:lang w:eastAsia="cs-CZ"/>
        </w:rPr>
        <w:t>. Štúdie na zvieratách preukázali reprodukčnú toxicitu (pozri časť 5.3).</w:t>
      </w:r>
      <w:r w:rsidRPr="00A344BB" w:rsidDel="00FE0B5A">
        <w:rPr>
          <w:szCs w:val="22"/>
          <w:lang w:eastAsia="cs-CZ"/>
        </w:rPr>
        <w:t xml:space="preserve"> </w:t>
      </w:r>
    </w:p>
    <w:p w14:paraId="4CEBFE26" w14:textId="77777777" w:rsidR="006477C6" w:rsidRPr="00A344BB" w:rsidRDefault="000D1B39"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PTEROCYN</w:t>
      </w:r>
      <w:proofErr w:type="spellEnd"/>
      <w:r w:rsidR="006477C6" w:rsidRPr="00A344BB">
        <w:rPr>
          <w:szCs w:val="22"/>
          <w:lang w:eastAsia="cs-CZ"/>
        </w:rPr>
        <w:t xml:space="preserve"> sa neodporúča užívať počas gravidity a u žien vo fertilnom veku, ktoré nepoužívajú antikoncepciu, pokiaľ to nie jednoznačne nevyhnutné.</w:t>
      </w:r>
    </w:p>
    <w:p w14:paraId="1481E427" w14:textId="77777777" w:rsidR="006477C6" w:rsidRPr="00A344BB" w:rsidRDefault="00FE0B5A" w:rsidP="00EB5620">
      <w:pPr>
        <w:tabs>
          <w:tab w:val="clear" w:pos="567"/>
        </w:tabs>
        <w:autoSpaceDE w:val="0"/>
        <w:autoSpaceDN w:val="0"/>
        <w:adjustRightInd w:val="0"/>
        <w:spacing w:line="240" w:lineRule="auto"/>
        <w:rPr>
          <w:szCs w:val="22"/>
          <w:lang w:eastAsia="cs-CZ"/>
        </w:rPr>
      </w:pPr>
      <w:r w:rsidRPr="00A344BB">
        <w:rPr>
          <w:szCs w:val="22"/>
          <w:lang w:eastAsia="cs-CZ"/>
        </w:rPr>
        <w:t>F</w:t>
      </w:r>
      <w:r w:rsidR="006477C6" w:rsidRPr="00A344BB">
        <w:rPr>
          <w:szCs w:val="22"/>
          <w:lang w:eastAsia="cs-CZ"/>
        </w:rPr>
        <w:t xml:space="preserve">yziologické zmeny počas gravidity môžu ovplyvniť koncentráciu </w:t>
      </w:r>
      <w:proofErr w:type="spellStart"/>
      <w:r w:rsidR="006477C6" w:rsidRPr="00A344BB">
        <w:rPr>
          <w:szCs w:val="22"/>
          <w:lang w:eastAsia="cs-CZ"/>
        </w:rPr>
        <w:t>levetiracetamu</w:t>
      </w:r>
      <w:proofErr w:type="spellEnd"/>
      <w:r w:rsidR="006477C6" w:rsidRPr="00A344BB">
        <w:rPr>
          <w:szCs w:val="22"/>
          <w:lang w:eastAsia="cs-CZ"/>
        </w:rPr>
        <w:t xml:space="preserve">. Počas gravidity bol pozorovaný pokles plazmatickej koncentrácie </w:t>
      </w:r>
      <w:proofErr w:type="spellStart"/>
      <w:r w:rsidR="006477C6" w:rsidRPr="00A344BB">
        <w:rPr>
          <w:szCs w:val="22"/>
          <w:lang w:eastAsia="cs-CZ"/>
        </w:rPr>
        <w:t>levetiracetamu</w:t>
      </w:r>
      <w:proofErr w:type="spellEnd"/>
      <w:r w:rsidR="006477C6" w:rsidRPr="00A344BB">
        <w:rPr>
          <w:szCs w:val="22"/>
          <w:lang w:eastAsia="cs-CZ"/>
        </w:rPr>
        <w:t xml:space="preserve">. Tento pokles je výraznejší počas tretieho </w:t>
      </w:r>
      <w:proofErr w:type="spellStart"/>
      <w:r w:rsidR="006477C6" w:rsidRPr="00A344BB">
        <w:rPr>
          <w:szCs w:val="22"/>
          <w:lang w:eastAsia="cs-CZ"/>
        </w:rPr>
        <w:t>trimestra</w:t>
      </w:r>
      <w:proofErr w:type="spellEnd"/>
      <w:r w:rsidR="006477C6" w:rsidRPr="00A344BB">
        <w:rPr>
          <w:szCs w:val="22"/>
          <w:lang w:eastAsia="cs-CZ"/>
        </w:rPr>
        <w:t xml:space="preserve"> (do 60 % východiskovej hodnoty koncentrácie pred graviditou). Pre gravidnú ženu liečenú </w:t>
      </w:r>
      <w:proofErr w:type="spellStart"/>
      <w:r w:rsidR="006477C6" w:rsidRPr="00A344BB">
        <w:rPr>
          <w:szCs w:val="22"/>
          <w:lang w:eastAsia="cs-CZ"/>
        </w:rPr>
        <w:t>levetiracetamom</w:t>
      </w:r>
      <w:proofErr w:type="spellEnd"/>
      <w:r w:rsidR="006477C6" w:rsidRPr="00A344BB">
        <w:rPr>
          <w:szCs w:val="22"/>
          <w:lang w:eastAsia="cs-CZ"/>
        </w:rPr>
        <w:t xml:space="preserve"> sa má zabezpečiť adekvátny klinický manažment. Vysadenie </w:t>
      </w:r>
      <w:proofErr w:type="spellStart"/>
      <w:r w:rsidR="006477C6" w:rsidRPr="00A344BB">
        <w:rPr>
          <w:szCs w:val="22"/>
          <w:lang w:eastAsia="cs-CZ"/>
        </w:rPr>
        <w:t>antiepileptickej</w:t>
      </w:r>
      <w:proofErr w:type="spellEnd"/>
      <w:r w:rsidR="006477C6" w:rsidRPr="00A344BB">
        <w:rPr>
          <w:szCs w:val="22"/>
          <w:lang w:eastAsia="cs-CZ"/>
        </w:rPr>
        <w:t xml:space="preserve"> liečby môže viesť k </w:t>
      </w:r>
      <w:proofErr w:type="spellStart"/>
      <w:r w:rsidR="006477C6" w:rsidRPr="00A344BB">
        <w:rPr>
          <w:szCs w:val="22"/>
          <w:lang w:eastAsia="cs-CZ"/>
        </w:rPr>
        <w:t>exacerbácii</w:t>
      </w:r>
      <w:proofErr w:type="spellEnd"/>
      <w:r w:rsidR="006477C6" w:rsidRPr="00A344BB">
        <w:rPr>
          <w:szCs w:val="22"/>
          <w:lang w:eastAsia="cs-CZ"/>
        </w:rPr>
        <w:t xml:space="preserve"> ochorenia, ktoré môže poškodiť matku a plod.</w:t>
      </w:r>
    </w:p>
    <w:p w14:paraId="561A78AB" w14:textId="77777777" w:rsidR="00B03545" w:rsidRPr="00A344BB" w:rsidRDefault="00B03545" w:rsidP="00EB5620">
      <w:pPr>
        <w:tabs>
          <w:tab w:val="clear" w:pos="567"/>
        </w:tabs>
        <w:autoSpaceDE w:val="0"/>
        <w:autoSpaceDN w:val="0"/>
        <w:adjustRightInd w:val="0"/>
        <w:spacing w:line="240" w:lineRule="auto"/>
        <w:rPr>
          <w:szCs w:val="22"/>
          <w:u w:val="single"/>
          <w:lang w:eastAsia="cs-CZ"/>
        </w:rPr>
      </w:pPr>
    </w:p>
    <w:p w14:paraId="5094236B" w14:textId="77777777" w:rsidR="006477C6" w:rsidRPr="00A344BB" w:rsidRDefault="00CB43B8"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Dojčenie</w:t>
      </w:r>
    </w:p>
    <w:p w14:paraId="5E1F9DE8" w14:textId="77777777" w:rsidR="006477C6" w:rsidRPr="00A344BB" w:rsidRDefault="006477C6"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sa vylučuje do materského mlieka. Dojčenie sa preto neodporúča. Avšak, v prípade, že je liečba </w:t>
      </w:r>
      <w:proofErr w:type="spellStart"/>
      <w:r w:rsidRPr="00A344BB">
        <w:rPr>
          <w:szCs w:val="22"/>
          <w:lang w:eastAsia="cs-CZ"/>
        </w:rPr>
        <w:t>levetiracetamom</w:t>
      </w:r>
      <w:proofErr w:type="spellEnd"/>
      <w:r w:rsidRPr="00A344BB">
        <w:rPr>
          <w:szCs w:val="22"/>
          <w:lang w:eastAsia="cs-CZ"/>
        </w:rPr>
        <w:t xml:space="preserve"> potrebná počas dojčenia, pomer prínosu/rizika liečby sa má zvážiť vzhľadom k významu dojčenia.</w:t>
      </w:r>
    </w:p>
    <w:p w14:paraId="7DF9A58B" w14:textId="77777777" w:rsidR="00B03545" w:rsidRPr="00A344BB" w:rsidRDefault="00B03545" w:rsidP="00EB5620">
      <w:pPr>
        <w:tabs>
          <w:tab w:val="clear" w:pos="567"/>
        </w:tabs>
        <w:autoSpaceDE w:val="0"/>
        <w:autoSpaceDN w:val="0"/>
        <w:adjustRightInd w:val="0"/>
        <w:spacing w:line="240" w:lineRule="auto"/>
        <w:rPr>
          <w:szCs w:val="22"/>
          <w:u w:val="single"/>
          <w:lang w:eastAsia="cs-CZ"/>
        </w:rPr>
      </w:pPr>
    </w:p>
    <w:p w14:paraId="6D50C4A6" w14:textId="77777777" w:rsidR="006477C6" w:rsidRPr="00A344BB" w:rsidRDefault="006477C6"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Fertilita</w:t>
      </w:r>
    </w:p>
    <w:p w14:paraId="4E94F796" w14:textId="77777777" w:rsidR="002F07D4"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 xml:space="preserve">V štúdiách u zvierat sa nezistil žiadny vplyv na </w:t>
      </w:r>
      <w:proofErr w:type="spellStart"/>
      <w:r w:rsidRPr="00A344BB">
        <w:rPr>
          <w:szCs w:val="22"/>
          <w:lang w:eastAsia="cs-CZ"/>
        </w:rPr>
        <w:t>fertilitu</w:t>
      </w:r>
      <w:proofErr w:type="spellEnd"/>
      <w:r w:rsidRPr="00A344BB">
        <w:rPr>
          <w:szCs w:val="22"/>
          <w:lang w:eastAsia="cs-CZ"/>
        </w:rPr>
        <w:t xml:space="preserve"> (pozri časť 5.3). Nie sú k dispozícii žiadne klinické údaje, nie je známe potenciálne riziko u ľudí.</w:t>
      </w:r>
    </w:p>
    <w:p w14:paraId="43EB02E5" w14:textId="77777777" w:rsidR="006477C6" w:rsidRPr="00A344BB" w:rsidRDefault="006477C6" w:rsidP="00EB5620">
      <w:pPr>
        <w:tabs>
          <w:tab w:val="clear" w:pos="567"/>
        </w:tabs>
        <w:autoSpaceDE w:val="0"/>
        <w:autoSpaceDN w:val="0"/>
        <w:adjustRightInd w:val="0"/>
        <w:spacing w:line="240" w:lineRule="auto"/>
        <w:rPr>
          <w:szCs w:val="22"/>
        </w:rPr>
      </w:pPr>
    </w:p>
    <w:p w14:paraId="29DAD705" w14:textId="77777777" w:rsidR="002F07D4" w:rsidRPr="00A344BB" w:rsidRDefault="002F07D4" w:rsidP="0096391B">
      <w:pPr>
        <w:keepNext/>
        <w:autoSpaceDE w:val="0"/>
        <w:autoSpaceDN w:val="0"/>
        <w:adjustRightInd w:val="0"/>
        <w:spacing w:line="240" w:lineRule="auto"/>
        <w:rPr>
          <w:b/>
          <w:bCs/>
          <w:szCs w:val="22"/>
        </w:rPr>
      </w:pPr>
      <w:r w:rsidRPr="00A344BB">
        <w:rPr>
          <w:b/>
          <w:szCs w:val="22"/>
        </w:rPr>
        <w:t xml:space="preserve">4.7 </w:t>
      </w:r>
      <w:r w:rsidRPr="00A344BB">
        <w:rPr>
          <w:b/>
          <w:szCs w:val="22"/>
        </w:rPr>
        <w:tab/>
        <w:t>Ovplyvnenie schopnosti viesť vozidlá a obsluhovať stroje</w:t>
      </w:r>
    </w:p>
    <w:p w14:paraId="4B77ADC3" w14:textId="77777777" w:rsidR="00B03545" w:rsidRPr="00A344BB" w:rsidRDefault="00B03545" w:rsidP="0096391B">
      <w:pPr>
        <w:keepNext/>
        <w:tabs>
          <w:tab w:val="clear" w:pos="567"/>
        </w:tabs>
        <w:autoSpaceDE w:val="0"/>
        <w:autoSpaceDN w:val="0"/>
        <w:adjustRightInd w:val="0"/>
        <w:spacing w:line="240" w:lineRule="auto"/>
        <w:rPr>
          <w:szCs w:val="22"/>
          <w:lang w:eastAsia="cs-CZ"/>
        </w:rPr>
      </w:pPr>
    </w:p>
    <w:p w14:paraId="4951EE9A" w14:textId="77777777" w:rsidR="00B03545" w:rsidRPr="00A344BB" w:rsidRDefault="00FE0B5A" w:rsidP="0096391B">
      <w:pPr>
        <w:keepNext/>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má zanedbateľný alebo mierny vplyv na schopnosť viesť vozidlá a obsluhovať stroje.</w:t>
      </w:r>
      <w:r w:rsidRPr="00A344BB" w:rsidDel="00FE0B5A">
        <w:rPr>
          <w:szCs w:val="22"/>
          <w:lang w:eastAsia="cs-CZ"/>
        </w:rPr>
        <w:t xml:space="preserve"> </w:t>
      </w:r>
    </w:p>
    <w:p w14:paraId="673B5ED6" w14:textId="77777777" w:rsidR="002F07D4"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Vzhľadom na možnú rozdielnu individuálnu citlivosť niektorí pacienti môžu najmä na začiatku liečby alebo po zvýšení dávky pociťovať ospalosť alebo iné symptómy v súvislosti s centrálnym nervovým systémom. Preto sa u týchto pacientov odporúča opatrnosť pri vykonávaní náročných aktivít, napr. pri vedení vozidiel alebo pri obsluhe strojov. Pacientom sa neodporúča viesť vozidlá ani obsluhovať stroje, kým sa nestanoví, že ich schopnosť vykonávať takéto činnosti nie je ovplyvnená.</w:t>
      </w:r>
    </w:p>
    <w:p w14:paraId="6BB23039" w14:textId="77777777" w:rsidR="00CB43B8" w:rsidRPr="00A344BB" w:rsidRDefault="00CB43B8" w:rsidP="00EB5620">
      <w:pPr>
        <w:tabs>
          <w:tab w:val="clear" w:pos="567"/>
        </w:tabs>
        <w:autoSpaceDE w:val="0"/>
        <w:autoSpaceDN w:val="0"/>
        <w:adjustRightInd w:val="0"/>
        <w:spacing w:line="240" w:lineRule="auto"/>
        <w:rPr>
          <w:szCs w:val="22"/>
        </w:rPr>
      </w:pPr>
    </w:p>
    <w:p w14:paraId="2DF0FDE8" w14:textId="77777777" w:rsidR="002F07D4" w:rsidRPr="00A344BB" w:rsidRDefault="002F07D4" w:rsidP="0096391B">
      <w:pPr>
        <w:keepNext/>
        <w:autoSpaceDE w:val="0"/>
        <w:autoSpaceDN w:val="0"/>
        <w:adjustRightInd w:val="0"/>
        <w:spacing w:line="240" w:lineRule="auto"/>
        <w:rPr>
          <w:b/>
          <w:bCs/>
          <w:szCs w:val="22"/>
        </w:rPr>
      </w:pPr>
      <w:r w:rsidRPr="00A344BB">
        <w:rPr>
          <w:b/>
          <w:szCs w:val="22"/>
        </w:rPr>
        <w:t xml:space="preserve">4.8 </w:t>
      </w:r>
      <w:r w:rsidRPr="00A344BB">
        <w:rPr>
          <w:b/>
          <w:szCs w:val="22"/>
        </w:rPr>
        <w:tab/>
        <w:t>Nežiaduce účinky</w:t>
      </w:r>
    </w:p>
    <w:p w14:paraId="11498939" w14:textId="77777777" w:rsidR="00B03545" w:rsidRPr="00A344BB" w:rsidRDefault="00B03545" w:rsidP="0096391B">
      <w:pPr>
        <w:keepNext/>
        <w:tabs>
          <w:tab w:val="clear" w:pos="567"/>
        </w:tabs>
        <w:autoSpaceDE w:val="0"/>
        <w:autoSpaceDN w:val="0"/>
        <w:adjustRightInd w:val="0"/>
        <w:spacing w:line="240" w:lineRule="auto"/>
        <w:rPr>
          <w:szCs w:val="22"/>
          <w:u w:val="single"/>
          <w:lang w:eastAsia="cs-CZ"/>
        </w:rPr>
      </w:pPr>
    </w:p>
    <w:p w14:paraId="4D21FE50" w14:textId="77777777" w:rsidR="006477C6" w:rsidRPr="00A344BB" w:rsidRDefault="006477C6"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Súhrn bezpečnostného profilu</w:t>
      </w:r>
    </w:p>
    <w:p w14:paraId="2C261C27" w14:textId="77777777" w:rsidR="006477C6" w:rsidRPr="00A344BB" w:rsidRDefault="00FE0B5A"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Najčastejšie hlásené nežiaduce reakcie boli </w:t>
      </w:r>
      <w:proofErr w:type="spellStart"/>
      <w:r w:rsidRPr="00A344BB">
        <w:rPr>
          <w:szCs w:val="22"/>
          <w:lang w:eastAsia="cs-CZ"/>
        </w:rPr>
        <w:t>nazofaryngitída</w:t>
      </w:r>
      <w:proofErr w:type="spellEnd"/>
      <w:r w:rsidRPr="00A344BB">
        <w:rPr>
          <w:szCs w:val="22"/>
          <w:lang w:eastAsia="cs-CZ"/>
        </w:rPr>
        <w:t xml:space="preserve">, </w:t>
      </w:r>
      <w:proofErr w:type="spellStart"/>
      <w:r w:rsidRPr="00A344BB">
        <w:rPr>
          <w:szCs w:val="22"/>
          <w:lang w:eastAsia="cs-CZ"/>
        </w:rPr>
        <w:t>somnolencia</w:t>
      </w:r>
      <w:proofErr w:type="spellEnd"/>
      <w:r w:rsidRPr="00A344BB">
        <w:rPr>
          <w:szCs w:val="22"/>
          <w:lang w:eastAsia="cs-CZ"/>
        </w:rPr>
        <w:t xml:space="preserve">, bolesť hlavy, únava a závrat. </w:t>
      </w:r>
      <w:r w:rsidR="006477C6" w:rsidRPr="00A344BB">
        <w:rPr>
          <w:szCs w:val="22"/>
          <w:lang w:eastAsia="cs-CZ"/>
        </w:rPr>
        <w:t xml:space="preserve">Profil nežiaducich udalostí uvedený nižšie vychádza z analýzy združených placebom kontrolovaných klinických skúšaní so všetkými skúmanými indikáciami s celkovým počtom 3 416 pacientov liečených </w:t>
      </w:r>
      <w:proofErr w:type="spellStart"/>
      <w:r w:rsidR="006477C6" w:rsidRPr="00A344BB">
        <w:rPr>
          <w:szCs w:val="22"/>
          <w:lang w:eastAsia="cs-CZ"/>
        </w:rPr>
        <w:t>levetiracetamom</w:t>
      </w:r>
      <w:proofErr w:type="spellEnd"/>
      <w:r w:rsidR="006477C6" w:rsidRPr="00A344BB">
        <w:rPr>
          <w:szCs w:val="22"/>
          <w:lang w:eastAsia="cs-CZ"/>
        </w:rPr>
        <w:t xml:space="preserve">. Tieto údaje sú doplnené o používanie </w:t>
      </w:r>
      <w:proofErr w:type="spellStart"/>
      <w:r w:rsidR="006477C6" w:rsidRPr="00A344BB">
        <w:rPr>
          <w:szCs w:val="22"/>
          <w:lang w:eastAsia="cs-CZ"/>
        </w:rPr>
        <w:t>levetiracetamu</w:t>
      </w:r>
      <w:proofErr w:type="spellEnd"/>
      <w:r w:rsidR="006477C6" w:rsidRPr="00A344BB">
        <w:rPr>
          <w:szCs w:val="22"/>
          <w:lang w:eastAsia="cs-CZ"/>
        </w:rPr>
        <w:t xml:space="preserve"> v zodpovedajúcom nezaslepenom predĺžení štúdií rovnako ako zo sledovania po uvedení lieku na trh. Najčastejšie hlásené nežiaduce reakcie boli </w:t>
      </w:r>
      <w:proofErr w:type="spellStart"/>
      <w:r w:rsidR="006477C6" w:rsidRPr="00A344BB">
        <w:rPr>
          <w:szCs w:val="22"/>
          <w:lang w:eastAsia="cs-CZ"/>
        </w:rPr>
        <w:t>nazofaryngitída</w:t>
      </w:r>
      <w:proofErr w:type="spellEnd"/>
      <w:r w:rsidR="006477C6" w:rsidRPr="00A344BB">
        <w:rPr>
          <w:szCs w:val="22"/>
          <w:lang w:eastAsia="cs-CZ"/>
        </w:rPr>
        <w:t xml:space="preserve">, </w:t>
      </w:r>
      <w:proofErr w:type="spellStart"/>
      <w:r w:rsidR="006477C6" w:rsidRPr="00A344BB">
        <w:rPr>
          <w:szCs w:val="22"/>
          <w:lang w:eastAsia="cs-CZ"/>
        </w:rPr>
        <w:t>somnolencia</w:t>
      </w:r>
      <w:proofErr w:type="spellEnd"/>
      <w:r w:rsidR="006477C6" w:rsidRPr="00A344BB">
        <w:rPr>
          <w:szCs w:val="22"/>
          <w:lang w:eastAsia="cs-CZ"/>
        </w:rPr>
        <w:t xml:space="preserve">, bolesť hlavy, únava a závrat. Profil bezpečnosti </w:t>
      </w:r>
      <w:proofErr w:type="spellStart"/>
      <w:r w:rsidR="006477C6" w:rsidRPr="00A344BB">
        <w:rPr>
          <w:szCs w:val="22"/>
          <w:lang w:eastAsia="cs-CZ"/>
        </w:rPr>
        <w:t>levetiracetamu</w:t>
      </w:r>
      <w:proofErr w:type="spellEnd"/>
      <w:r w:rsidR="006477C6" w:rsidRPr="00A344BB">
        <w:rPr>
          <w:szCs w:val="22"/>
          <w:lang w:eastAsia="cs-CZ"/>
        </w:rPr>
        <w:t xml:space="preserve"> je celkovo podobný vo všetkých vekových skupinách (dospelí, detskí a dospievajúci pacienti) a vo všetkých schválených epileptických indikáciách.</w:t>
      </w:r>
    </w:p>
    <w:p w14:paraId="4D12DCE2" w14:textId="77777777" w:rsidR="006477C6" w:rsidRPr="00A344BB" w:rsidRDefault="006477C6" w:rsidP="00EB5620">
      <w:pPr>
        <w:tabs>
          <w:tab w:val="clear" w:pos="567"/>
        </w:tabs>
        <w:autoSpaceDE w:val="0"/>
        <w:autoSpaceDN w:val="0"/>
        <w:adjustRightInd w:val="0"/>
        <w:spacing w:line="240" w:lineRule="auto"/>
        <w:rPr>
          <w:szCs w:val="22"/>
          <w:lang w:eastAsia="cs-CZ"/>
        </w:rPr>
      </w:pPr>
    </w:p>
    <w:p w14:paraId="67B0A656" w14:textId="77777777" w:rsidR="006477C6" w:rsidRPr="00A344BB" w:rsidRDefault="006477C6"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Zoznam nežiaducich reakcií zoradených do tabuľky</w:t>
      </w:r>
    </w:p>
    <w:p w14:paraId="7EEA2215" w14:textId="77777777" w:rsidR="00B03545" w:rsidRPr="00A344BB" w:rsidRDefault="006477C6" w:rsidP="00FE0B5A">
      <w:pPr>
        <w:tabs>
          <w:tab w:val="clear" w:pos="567"/>
        </w:tabs>
        <w:autoSpaceDE w:val="0"/>
        <w:autoSpaceDN w:val="0"/>
        <w:adjustRightInd w:val="0"/>
        <w:spacing w:line="240" w:lineRule="auto"/>
        <w:rPr>
          <w:szCs w:val="22"/>
          <w:lang w:eastAsia="cs-CZ"/>
        </w:rPr>
      </w:pPr>
      <w:r w:rsidRPr="00A344BB">
        <w:rPr>
          <w:szCs w:val="22"/>
          <w:lang w:eastAsia="cs-CZ"/>
        </w:rPr>
        <w:t xml:space="preserve">Nežiaduce reakcie hlásené v klinických štúdiách (u dospelých, dospievajúcich, detí a dojčiat &gt; 1 mesiac) a z </w:t>
      </w:r>
      <w:proofErr w:type="spellStart"/>
      <w:r w:rsidRPr="00A344BB">
        <w:rPr>
          <w:szCs w:val="22"/>
          <w:lang w:eastAsia="cs-CZ"/>
        </w:rPr>
        <w:t>postmarketingových</w:t>
      </w:r>
      <w:proofErr w:type="spellEnd"/>
      <w:r w:rsidRPr="00A344BB">
        <w:rPr>
          <w:szCs w:val="22"/>
          <w:lang w:eastAsia="cs-CZ"/>
        </w:rPr>
        <w:t xml:space="preserve"> skúseností sú uvedené v nasledujúcej tabuľke podľa tried orgánových systémov a podľa frekvencie. </w:t>
      </w:r>
      <w:r w:rsidR="00FE0B5A" w:rsidRPr="00A344BB">
        <w:rPr>
          <w:szCs w:val="22"/>
          <w:lang w:eastAsia="cs-CZ"/>
        </w:rPr>
        <w:t xml:space="preserve">Nežiaduce reakcie sú zoradené podľa klesajúcej závažnosti a ich frekvencia </w:t>
      </w:r>
      <w:r w:rsidRPr="00A344BB">
        <w:rPr>
          <w:szCs w:val="22"/>
          <w:lang w:eastAsia="cs-CZ"/>
        </w:rPr>
        <w:t>je definovaná nasledovne: veľmi časté (≥ 1/10); časté (≥ 1/100 až &lt; 1/10); menej časté (≥ 1/1000 až &lt; 1/100); zriedkavé (</w:t>
      </w:r>
      <w:r w:rsidRPr="00A344BB">
        <w:rPr>
          <w:rFonts w:eastAsia="SymbolMT"/>
          <w:szCs w:val="22"/>
          <w:lang w:eastAsia="cs-CZ"/>
        </w:rPr>
        <w:t xml:space="preserve">≥ </w:t>
      </w:r>
      <w:r w:rsidRPr="00A344BB">
        <w:rPr>
          <w:szCs w:val="22"/>
          <w:lang w:eastAsia="cs-CZ"/>
        </w:rPr>
        <w:t>1/10 000 až &lt; 1/1000) a veľmi zriedkavé (&lt; 1/10 000)</w:t>
      </w:r>
    </w:p>
    <w:p w14:paraId="772A6E98"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w:t>
      </w: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8"/>
        <w:gridCol w:w="1597"/>
        <w:gridCol w:w="2302"/>
        <w:gridCol w:w="1896"/>
        <w:gridCol w:w="1866"/>
      </w:tblGrid>
      <w:tr w:rsidR="00A344BB" w:rsidRPr="00A344BB" w14:paraId="2E285DE3" w14:textId="77777777" w:rsidTr="0096391B">
        <w:tc>
          <w:tcPr>
            <w:tcW w:w="1988" w:type="dxa"/>
            <w:vMerge w:val="restart"/>
          </w:tcPr>
          <w:p w14:paraId="31E1BDDF" w14:textId="77777777" w:rsidR="006477C6" w:rsidRPr="00A344BB" w:rsidRDefault="006477C6"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TOS</w:t>
            </w:r>
            <w:proofErr w:type="spellEnd"/>
            <w:r w:rsidRPr="00A344BB">
              <w:rPr>
                <w:szCs w:val="22"/>
                <w:lang w:eastAsia="cs-CZ"/>
              </w:rPr>
              <w:t xml:space="preserve"> </w:t>
            </w:r>
            <w:proofErr w:type="spellStart"/>
            <w:r w:rsidRPr="00A344BB">
              <w:rPr>
                <w:szCs w:val="22"/>
                <w:lang w:eastAsia="cs-CZ"/>
              </w:rPr>
              <w:t>MedDRA</w:t>
            </w:r>
            <w:proofErr w:type="spellEnd"/>
          </w:p>
        </w:tc>
        <w:tc>
          <w:tcPr>
            <w:tcW w:w="7661" w:type="dxa"/>
            <w:gridSpan w:val="4"/>
          </w:tcPr>
          <w:p w14:paraId="3C3DE935" w14:textId="77777777" w:rsidR="006477C6" w:rsidRPr="00A344BB" w:rsidRDefault="006477C6" w:rsidP="00EB5620">
            <w:pPr>
              <w:tabs>
                <w:tab w:val="clear" w:pos="567"/>
              </w:tabs>
              <w:autoSpaceDE w:val="0"/>
              <w:autoSpaceDN w:val="0"/>
              <w:adjustRightInd w:val="0"/>
              <w:spacing w:line="240" w:lineRule="auto"/>
              <w:jc w:val="center"/>
              <w:rPr>
                <w:szCs w:val="22"/>
                <w:lang w:eastAsia="cs-CZ"/>
              </w:rPr>
            </w:pPr>
            <w:r w:rsidRPr="00A344BB">
              <w:rPr>
                <w:szCs w:val="22"/>
                <w:lang w:eastAsia="cs-CZ"/>
              </w:rPr>
              <w:t>Kategória frekvencie</w:t>
            </w:r>
          </w:p>
        </w:tc>
      </w:tr>
      <w:tr w:rsidR="00A344BB" w:rsidRPr="00A344BB" w14:paraId="109F150F" w14:textId="77777777" w:rsidTr="0096391B">
        <w:tc>
          <w:tcPr>
            <w:tcW w:w="1988" w:type="dxa"/>
            <w:vMerge/>
          </w:tcPr>
          <w:p w14:paraId="5DA699D1" w14:textId="77777777" w:rsidR="006477C6" w:rsidRPr="00A344BB" w:rsidRDefault="006477C6" w:rsidP="00EB5620">
            <w:pPr>
              <w:tabs>
                <w:tab w:val="clear" w:pos="567"/>
              </w:tabs>
              <w:autoSpaceDE w:val="0"/>
              <w:autoSpaceDN w:val="0"/>
              <w:adjustRightInd w:val="0"/>
              <w:spacing w:line="240" w:lineRule="auto"/>
              <w:rPr>
                <w:szCs w:val="22"/>
                <w:lang w:eastAsia="cs-CZ"/>
              </w:rPr>
            </w:pPr>
          </w:p>
        </w:tc>
        <w:tc>
          <w:tcPr>
            <w:tcW w:w="1597" w:type="dxa"/>
          </w:tcPr>
          <w:p w14:paraId="5B67C449"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Veľmi časté</w:t>
            </w:r>
          </w:p>
        </w:tc>
        <w:tc>
          <w:tcPr>
            <w:tcW w:w="2302" w:type="dxa"/>
          </w:tcPr>
          <w:p w14:paraId="36E20ACC"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Časté</w:t>
            </w:r>
          </w:p>
        </w:tc>
        <w:tc>
          <w:tcPr>
            <w:tcW w:w="1896" w:type="dxa"/>
          </w:tcPr>
          <w:p w14:paraId="18C50BA1"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Menej časté</w:t>
            </w:r>
          </w:p>
        </w:tc>
        <w:tc>
          <w:tcPr>
            <w:tcW w:w="1866" w:type="dxa"/>
          </w:tcPr>
          <w:p w14:paraId="5A5BD8F5"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Zriedkavé</w:t>
            </w:r>
          </w:p>
        </w:tc>
      </w:tr>
      <w:tr w:rsidR="00A344BB" w:rsidRPr="00A344BB" w14:paraId="18FE7E43" w14:textId="77777777" w:rsidTr="0096391B">
        <w:tc>
          <w:tcPr>
            <w:tcW w:w="1988" w:type="dxa"/>
          </w:tcPr>
          <w:p w14:paraId="41F7A310"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Infekcie a nákazy</w:t>
            </w:r>
          </w:p>
        </w:tc>
        <w:tc>
          <w:tcPr>
            <w:tcW w:w="1597" w:type="dxa"/>
          </w:tcPr>
          <w:p w14:paraId="543762A5" w14:textId="77777777" w:rsidR="006477C6" w:rsidRPr="00A344BB" w:rsidRDefault="00AB0C1C"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n</w:t>
            </w:r>
            <w:r w:rsidR="006477C6" w:rsidRPr="00A344BB">
              <w:rPr>
                <w:szCs w:val="22"/>
                <w:lang w:eastAsia="cs-CZ"/>
              </w:rPr>
              <w:t>azofaryngitída</w:t>
            </w:r>
            <w:proofErr w:type="spellEnd"/>
          </w:p>
        </w:tc>
        <w:tc>
          <w:tcPr>
            <w:tcW w:w="2302" w:type="dxa"/>
          </w:tcPr>
          <w:p w14:paraId="6BD038DE" w14:textId="77777777" w:rsidR="006477C6" w:rsidRPr="00A344BB" w:rsidRDefault="006477C6" w:rsidP="00EB5620">
            <w:pPr>
              <w:tabs>
                <w:tab w:val="clear" w:pos="567"/>
              </w:tabs>
              <w:autoSpaceDE w:val="0"/>
              <w:autoSpaceDN w:val="0"/>
              <w:adjustRightInd w:val="0"/>
              <w:spacing w:line="240" w:lineRule="auto"/>
              <w:rPr>
                <w:szCs w:val="22"/>
                <w:lang w:eastAsia="cs-CZ"/>
              </w:rPr>
            </w:pPr>
          </w:p>
        </w:tc>
        <w:tc>
          <w:tcPr>
            <w:tcW w:w="1896" w:type="dxa"/>
          </w:tcPr>
          <w:p w14:paraId="2E229030" w14:textId="77777777" w:rsidR="006477C6" w:rsidRPr="00A344BB" w:rsidRDefault="006477C6" w:rsidP="00EB5620">
            <w:pPr>
              <w:tabs>
                <w:tab w:val="clear" w:pos="567"/>
              </w:tabs>
              <w:autoSpaceDE w:val="0"/>
              <w:autoSpaceDN w:val="0"/>
              <w:adjustRightInd w:val="0"/>
              <w:spacing w:line="240" w:lineRule="auto"/>
              <w:rPr>
                <w:szCs w:val="22"/>
                <w:lang w:eastAsia="cs-CZ"/>
              </w:rPr>
            </w:pPr>
          </w:p>
        </w:tc>
        <w:tc>
          <w:tcPr>
            <w:tcW w:w="1866" w:type="dxa"/>
          </w:tcPr>
          <w:p w14:paraId="7F025EDF" w14:textId="77777777" w:rsidR="006477C6"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i</w:t>
            </w:r>
            <w:r w:rsidR="006477C6" w:rsidRPr="00A344BB">
              <w:rPr>
                <w:szCs w:val="22"/>
                <w:lang w:eastAsia="cs-CZ"/>
              </w:rPr>
              <w:t>nfekcia</w:t>
            </w:r>
          </w:p>
        </w:tc>
      </w:tr>
      <w:tr w:rsidR="00A344BB" w:rsidRPr="00A344BB" w14:paraId="2C2225C2" w14:textId="77777777" w:rsidTr="0096391B">
        <w:tc>
          <w:tcPr>
            <w:tcW w:w="1988" w:type="dxa"/>
          </w:tcPr>
          <w:p w14:paraId="763E7D85"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Poruchy krvi a lymfatického systému</w:t>
            </w:r>
          </w:p>
        </w:tc>
        <w:tc>
          <w:tcPr>
            <w:tcW w:w="1597" w:type="dxa"/>
          </w:tcPr>
          <w:p w14:paraId="56624576" w14:textId="77777777" w:rsidR="006477C6" w:rsidRPr="00A344BB" w:rsidRDefault="006477C6" w:rsidP="00EB5620">
            <w:pPr>
              <w:tabs>
                <w:tab w:val="clear" w:pos="567"/>
              </w:tabs>
              <w:autoSpaceDE w:val="0"/>
              <w:autoSpaceDN w:val="0"/>
              <w:adjustRightInd w:val="0"/>
              <w:spacing w:line="240" w:lineRule="auto"/>
              <w:rPr>
                <w:szCs w:val="22"/>
                <w:lang w:eastAsia="cs-CZ"/>
              </w:rPr>
            </w:pPr>
          </w:p>
        </w:tc>
        <w:tc>
          <w:tcPr>
            <w:tcW w:w="2302" w:type="dxa"/>
          </w:tcPr>
          <w:p w14:paraId="130F9A4F" w14:textId="77777777" w:rsidR="006477C6" w:rsidRPr="00A344BB" w:rsidRDefault="006477C6" w:rsidP="00EB5620">
            <w:pPr>
              <w:tabs>
                <w:tab w:val="clear" w:pos="567"/>
              </w:tabs>
              <w:autoSpaceDE w:val="0"/>
              <w:autoSpaceDN w:val="0"/>
              <w:adjustRightInd w:val="0"/>
              <w:spacing w:line="240" w:lineRule="auto"/>
              <w:rPr>
                <w:szCs w:val="22"/>
                <w:lang w:eastAsia="cs-CZ"/>
              </w:rPr>
            </w:pPr>
          </w:p>
        </w:tc>
        <w:tc>
          <w:tcPr>
            <w:tcW w:w="1896" w:type="dxa"/>
          </w:tcPr>
          <w:p w14:paraId="589F8564" w14:textId="77777777" w:rsidR="006477C6" w:rsidRPr="00A344BB" w:rsidRDefault="00AB0C1C"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t</w:t>
            </w:r>
            <w:r w:rsidR="006477C6" w:rsidRPr="00A344BB">
              <w:rPr>
                <w:szCs w:val="22"/>
                <w:lang w:eastAsia="cs-CZ"/>
              </w:rPr>
              <w:t>rombocytopénia</w:t>
            </w:r>
            <w:proofErr w:type="spellEnd"/>
            <w:r w:rsidR="006477C6" w:rsidRPr="00A344BB">
              <w:rPr>
                <w:szCs w:val="22"/>
                <w:lang w:eastAsia="cs-CZ"/>
              </w:rPr>
              <w:t xml:space="preserve">, </w:t>
            </w:r>
            <w:proofErr w:type="spellStart"/>
            <w:r w:rsidR="006477C6" w:rsidRPr="00A344BB">
              <w:rPr>
                <w:szCs w:val="22"/>
                <w:lang w:eastAsia="cs-CZ"/>
              </w:rPr>
              <w:t>leukopénia</w:t>
            </w:r>
            <w:proofErr w:type="spellEnd"/>
          </w:p>
        </w:tc>
        <w:tc>
          <w:tcPr>
            <w:tcW w:w="1866" w:type="dxa"/>
          </w:tcPr>
          <w:p w14:paraId="7ACD2C1C" w14:textId="77777777" w:rsidR="006477C6" w:rsidRPr="00A344BB" w:rsidRDefault="00AB0C1C"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p</w:t>
            </w:r>
            <w:r w:rsidR="006477C6" w:rsidRPr="00A344BB">
              <w:rPr>
                <w:szCs w:val="22"/>
                <w:lang w:eastAsia="cs-CZ"/>
              </w:rPr>
              <w:t>ancytopénia</w:t>
            </w:r>
            <w:proofErr w:type="spellEnd"/>
            <w:r w:rsidR="006477C6" w:rsidRPr="00A344BB">
              <w:rPr>
                <w:szCs w:val="22"/>
                <w:lang w:eastAsia="cs-CZ"/>
              </w:rPr>
              <w:t xml:space="preserve"> </w:t>
            </w:r>
            <w:proofErr w:type="spellStart"/>
            <w:r w:rsidR="006477C6" w:rsidRPr="00A344BB">
              <w:rPr>
                <w:szCs w:val="22"/>
                <w:lang w:eastAsia="cs-CZ"/>
              </w:rPr>
              <w:t>neutropénia</w:t>
            </w:r>
            <w:proofErr w:type="spellEnd"/>
            <w:r w:rsidR="006477C6" w:rsidRPr="00A344BB">
              <w:rPr>
                <w:szCs w:val="22"/>
                <w:lang w:eastAsia="cs-CZ"/>
              </w:rPr>
              <w:t xml:space="preserve"> </w:t>
            </w:r>
          </w:p>
        </w:tc>
      </w:tr>
      <w:tr w:rsidR="00A344BB" w:rsidRPr="00A344BB" w14:paraId="1432664A" w14:textId="77777777" w:rsidTr="0096391B">
        <w:tc>
          <w:tcPr>
            <w:tcW w:w="1988" w:type="dxa"/>
          </w:tcPr>
          <w:p w14:paraId="350F596C" w14:textId="77777777" w:rsidR="00FE0B5A" w:rsidRPr="00A344BB" w:rsidRDefault="00FE0B5A" w:rsidP="00FE0B5A">
            <w:pPr>
              <w:tabs>
                <w:tab w:val="clear" w:pos="567"/>
              </w:tabs>
              <w:autoSpaceDE w:val="0"/>
              <w:autoSpaceDN w:val="0"/>
              <w:adjustRightInd w:val="0"/>
              <w:spacing w:line="240" w:lineRule="auto"/>
              <w:rPr>
                <w:szCs w:val="22"/>
                <w:lang w:eastAsia="cs-CZ"/>
              </w:rPr>
            </w:pPr>
            <w:r w:rsidRPr="00A344BB">
              <w:rPr>
                <w:szCs w:val="22"/>
                <w:lang w:eastAsia="cs-CZ"/>
              </w:rPr>
              <w:t>Poruchy imunitného systému</w:t>
            </w:r>
          </w:p>
        </w:tc>
        <w:tc>
          <w:tcPr>
            <w:tcW w:w="1597" w:type="dxa"/>
          </w:tcPr>
          <w:p w14:paraId="28E644D3" w14:textId="77777777" w:rsidR="00FE0B5A" w:rsidRPr="00A344BB" w:rsidRDefault="00FE0B5A" w:rsidP="00EB5620">
            <w:pPr>
              <w:tabs>
                <w:tab w:val="clear" w:pos="567"/>
              </w:tabs>
              <w:autoSpaceDE w:val="0"/>
              <w:autoSpaceDN w:val="0"/>
              <w:adjustRightInd w:val="0"/>
              <w:spacing w:line="240" w:lineRule="auto"/>
              <w:rPr>
                <w:szCs w:val="22"/>
                <w:lang w:eastAsia="cs-CZ"/>
              </w:rPr>
            </w:pPr>
          </w:p>
        </w:tc>
        <w:tc>
          <w:tcPr>
            <w:tcW w:w="2302" w:type="dxa"/>
          </w:tcPr>
          <w:p w14:paraId="24EB1C29" w14:textId="77777777" w:rsidR="00FE0B5A" w:rsidRPr="00A344BB" w:rsidRDefault="00FE0B5A" w:rsidP="00EB5620">
            <w:pPr>
              <w:tabs>
                <w:tab w:val="clear" w:pos="567"/>
              </w:tabs>
              <w:autoSpaceDE w:val="0"/>
              <w:autoSpaceDN w:val="0"/>
              <w:adjustRightInd w:val="0"/>
              <w:spacing w:line="240" w:lineRule="auto"/>
              <w:rPr>
                <w:szCs w:val="22"/>
                <w:lang w:eastAsia="cs-CZ"/>
              </w:rPr>
            </w:pPr>
          </w:p>
        </w:tc>
        <w:tc>
          <w:tcPr>
            <w:tcW w:w="1896" w:type="dxa"/>
          </w:tcPr>
          <w:p w14:paraId="6AA40BA3" w14:textId="77777777" w:rsidR="00FE0B5A" w:rsidRPr="00A344BB" w:rsidRDefault="00FE0B5A" w:rsidP="00EB5620">
            <w:pPr>
              <w:tabs>
                <w:tab w:val="clear" w:pos="567"/>
              </w:tabs>
              <w:autoSpaceDE w:val="0"/>
              <w:autoSpaceDN w:val="0"/>
              <w:adjustRightInd w:val="0"/>
              <w:spacing w:line="240" w:lineRule="auto"/>
              <w:rPr>
                <w:szCs w:val="22"/>
                <w:lang w:eastAsia="cs-CZ"/>
              </w:rPr>
            </w:pPr>
          </w:p>
        </w:tc>
        <w:tc>
          <w:tcPr>
            <w:tcW w:w="1866" w:type="dxa"/>
          </w:tcPr>
          <w:p w14:paraId="325F55A4" w14:textId="77777777" w:rsidR="00FE0B5A" w:rsidRPr="00A344BB" w:rsidRDefault="00FE0B5A" w:rsidP="00FE0B5A">
            <w:pPr>
              <w:tabs>
                <w:tab w:val="clear" w:pos="567"/>
              </w:tabs>
              <w:autoSpaceDE w:val="0"/>
              <w:autoSpaceDN w:val="0"/>
              <w:adjustRightInd w:val="0"/>
              <w:spacing w:line="240" w:lineRule="auto"/>
              <w:rPr>
                <w:szCs w:val="22"/>
                <w:lang w:eastAsia="cs-CZ"/>
              </w:rPr>
            </w:pPr>
            <w:r w:rsidRPr="00A344BB">
              <w:rPr>
                <w:szCs w:val="22"/>
                <w:lang w:eastAsia="cs-CZ"/>
              </w:rPr>
              <w:t>Lieková reakcia</w:t>
            </w:r>
          </w:p>
          <w:p w14:paraId="0E653DDD" w14:textId="77777777" w:rsidR="00FE0B5A" w:rsidRPr="00A344BB" w:rsidRDefault="00FE0B5A" w:rsidP="00FE0B5A">
            <w:pPr>
              <w:tabs>
                <w:tab w:val="clear" w:pos="567"/>
              </w:tabs>
              <w:autoSpaceDE w:val="0"/>
              <w:autoSpaceDN w:val="0"/>
              <w:adjustRightInd w:val="0"/>
              <w:spacing w:line="240" w:lineRule="auto"/>
              <w:rPr>
                <w:szCs w:val="22"/>
                <w:lang w:eastAsia="cs-CZ"/>
              </w:rPr>
            </w:pPr>
            <w:r w:rsidRPr="00A344BB">
              <w:rPr>
                <w:szCs w:val="22"/>
                <w:lang w:eastAsia="cs-CZ"/>
              </w:rPr>
              <w:t xml:space="preserve">s </w:t>
            </w:r>
            <w:proofErr w:type="spellStart"/>
            <w:r w:rsidRPr="00A344BB">
              <w:rPr>
                <w:szCs w:val="22"/>
                <w:lang w:eastAsia="cs-CZ"/>
              </w:rPr>
              <w:t>eozinofíliou</w:t>
            </w:r>
            <w:proofErr w:type="spellEnd"/>
          </w:p>
          <w:p w14:paraId="5D02ED1F" w14:textId="77777777" w:rsidR="00FE0B5A" w:rsidRPr="00A344BB" w:rsidRDefault="00FE0B5A" w:rsidP="00FE0B5A">
            <w:pPr>
              <w:tabs>
                <w:tab w:val="clear" w:pos="567"/>
              </w:tabs>
              <w:autoSpaceDE w:val="0"/>
              <w:autoSpaceDN w:val="0"/>
              <w:adjustRightInd w:val="0"/>
              <w:spacing w:line="240" w:lineRule="auto"/>
              <w:rPr>
                <w:szCs w:val="22"/>
                <w:lang w:eastAsia="cs-CZ"/>
              </w:rPr>
            </w:pPr>
            <w:r w:rsidRPr="00A344BB">
              <w:rPr>
                <w:szCs w:val="22"/>
                <w:lang w:eastAsia="cs-CZ"/>
              </w:rPr>
              <w:t>a systémovými</w:t>
            </w:r>
          </w:p>
          <w:p w14:paraId="544FB40C" w14:textId="77777777" w:rsidR="00FE0B5A" w:rsidRPr="00A344BB" w:rsidRDefault="00FE0B5A" w:rsidP="00FE0B5A">
            <w:pPr>
              <w:tabs>
                <w:tab w:val="clear" w:pos="567"/>
              </w:tabs>
              <w:autoSpaceDE w:val="0"/>
              <w:autoSpaceDN w:val="0"/>
              <w:adjustRightInd w:val="0"/>
              <w:spacing w:line="240" w:lineRule="auto"/>
              <w:rPr>
                <w:szCs w:val="22"/>
                <w:lang w:eastAsia="cs-CZ"/>
              </w:rPr>
            </w:pPr>
            <w:r w:rsidRPr="00A344BB">
              <w:rPr>
                <w:szCs w:val="22"/>
                <w:lang w:eastAsia="cs-CZ"/>
              </w:rPr>
              <w:t>symptómami</w:t>
            </w:r>
          </w:p>
          <w:p w14:paraId="10BB1EE2" w14:textId="77777777" w:rsidR="00FE0B5A" w:rsidRPr="00A344BB" w:rsidRDefault="00FE0B5A" w:rsidP="00FE0B5A">
            <w:pPr>
              <w:tabs>
                <w:tab w:val="clear" w:pos="567"/>
              </w:tabs>
              <w:autoSpaceDE w:val="0"/>
              <w:autoSpaceDN w:val="0"/>
              <w:adjustRightInd w:val="0"/>
              <w:spacing w:line="240" w:lineRule="auto"/>
              <w:rPr>
                <w:szCs w:val="22"/>
                <w:lang w:eastAsia="cs-CZ"/>
              </w:rPr>
            </w:pPr>
            <w:r w:rsidRPr="00A344BB">
              <w:rPr>
                <w:szCs w:val="22"/>
                <w:lang w:eastAsia="cs-CZ"/>
              </w:rPr>
              <w:t>(</w:t>
            </w:r>
            <w:proofErr w:type="spellStart"/>
            <w:r w:rsidRPr="00A344BB">
              <w:rPr>
                <w:szCs w:val="22"/>
                <w:lang w:eastAsia="cs-CZ"/>
              </w:rPr>
              <w:t>DRESS</w:t>
            </w:r>
            <w:proofErr w:type="spellEnd"/>
            <w:r w:rsidRPr="00A344BB">
              <w:rPr>
                <w:szCs w:val="22"/>
                <w:lang w:eastAsia="cs-CZ"/>
              </w:rPr>
              <w:t>)</w:t>
            </w:r>
          </w:p>
          <w:p w14:paraId="759C7481" w14:textId="77777777" w:rsidR="00FE0B5A" w:rsidRPr="00A344BB" w:rsidRDefault="00FE0B5A" w:rsidP="00FE0B5A">
            <w:pPr>
              <w:tabs>
                <w:tab w:val="clear" w:pos="567"/>
              </w:tabs>
              <w:autoSpaceDE w:val="0"/>
              <w:autoSpaceDN w:val="0"/>
              <w:adjustRightInd w:val="0"/>
              <w:spacing w:line="240" w:lineRule="auto"/>
              <w:rPr>
                <w:szCs w:val="22"/>
                <w:lang w:eastAsia="cs-CZ"/>
              </w:rPr>
            </w:pPr>
            <w:proofErr w:type="spellStart"/>
            <w:r w:rsidRPr="00A344BB">
              <w:rPr>
                <w:szCs w:val="22"/>
                <w:lang w:eastAsia="cs-CZ"/>
              </w:rPr>
              <w:t>hypersenzitivita</w:t>
            </w:r>
            <w:proofErr w:type="spellEnd"/>
          </w:p>
          <w:p w14:paraId="0E2E5FBE" w14:textId="77777777" w:rsidR="00FE0B5A" w:rsidRPr="00A344BB" w:rsidRDefault="00FE0B5A" w:rsidP="00FE0B5A">
            <w:pPr>
              <w:tabs>
                <w:tab w:val="clear" w:pos="567"/>
              </w:tabs>
              <w:autoSpaceDE w:val="0"/>
              <w:autoSpaceDN w:val="0"/>
              <w:adjustRightInd w:val="0"/>
              <w:spacing w:line="240" w:lineRule="auto"/>
              <w:rPr>
                <w:szCs w:val="22"/>
                <w:lang w:eastAsia="cs-CZ"/>
              </w:rPr>
            </w:pPr>
            <w:r w:rsidRPr="00A344BB">
              <w:rPr>
                <w:szCs w:val="22"/>
                <w:lang w:eastAsia="cs-CZ"/>
              </w:rPr>
              <w:t>(vrátane</w:t>
            </w:r>
          </w:p>
          <w:p w14:paraId="241BBEA3" w14:textId="77777777" w:rsidR="00FE0B5A" w:rsidRPr="00A344BB" w:rsidRDefault="00FE0B5A" w:rsidP="00FE0B5A">
            <w:pPr>
              <w:tabs>
                <w:tab w:val="clear" w:pos="567"/>
              </w:tabs>
              <w:autoSpaceDE w:val="0"/>
              <w:autoSpaceDN w:val="0"/>
              <w:adjustRightInd w:val="0"/>
              <w:spacing w:line="240" w:lineRule="auto"/>
              <w:rPr>
                <w:szCs w:val="22"/>
                <w:lang w:eastAsia="cs-CZ"/>
              </w:rPr>
            </w:pPr>
            <w:proofErr w:type="spellStart"/>
            <w:r w:rsidRPr="00A344BB">
              <w:rPr>
                <w:szCs w:val="22"/>
                <w:lang w:eastAsia="cs-CZ"/>
              </w:rPr>
              <w:t>angioedému</w:t>
            </w:r>
            <w:proofErr w:type="spellEnd"/>
            <w:r w:rsidRPr="00A344BB">
              <w:rPr>
                <w:szCs w:val="22"/>
                <w:lang w:eastAsia="cs-CZ"/>
              </w:rPr>
              <w:t xml:space="preserve"> a</w:t>
            </w:r>
          </w:p>
          <w:p w14:paraId="576D390C" w14:textId="77777777" w:rsidR="00FE0B5A" w:rsidRPr="00A344BB" w:rsidRDefault="00FE0B5A" w:rsidP="00FE0B5A">
            <w:pPr>
              <w:tabs>
                <w:tab w:val="clear" w:pos="567"/>
              </w:tabs>
              <w:autoSpaceDE w:val="0"/>
              <w:autoSpaceDN w:val="0"/>
              <w:adjustRightInd w:val="0"/>
              <w:spacing w:line="240" w:lineRule="auto"/>
              <w:rPr>
                <w:szCs w:val="22"/>
                <w:lang w:eastAsia="cs-CZ"/>
              </w:rPr>
            </w:pPr>
            <w:proofErr w:type="spellStart"/>
            <w:r w:rsidRPr="00A344BB">
              <w:rPr>
                <w:szCs w:val="22"/>
                <w:lang w:eastAsia="cs-CZ"/>
              </w:rPr>
              <w:t>anafylaxie</w:t>
            </w:r>
            <w:proofErr w:type="spellEnd"/>
            <w:r w:rsidRPr="00A344BB">
              <w:rPr>
                <w:szCs w:val="22"/>
                <w:lang w:eastAsia="cs-CZ"/>
              </w:rPr>
              <w:t>)</w:t>
            </w:r>
          </w:p>
        </w:tc>
      </w:tr>
      <w:tr w:rsidR="00A344BB" w:rsidRPr="00A344BB" w14:paraId="3C6A1573" w14:textId="77777777" w:rsidTr="0096391B">
        <w:tc>
          <w:tcPr>
            <w:tcW w:w="1988" w:type="dxa"/>
          </w:tcPr>
          <w:p w14:paraId="6C8AF20E" w14:textId="77777777" w:rsidR="006477C6"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Poruchy metabolizmu a výživy</w:t>
            </w:r>
          </w:p>
        </w:tc>
        <w:tc>
          <w:tcPr>
            <w:tcW w:w="1597" w:type="dxa"/>
          </w:tcPr>
          <w:p w14:paraId="297506BD" w14:textId="77777777" w:rsidR="006477C6" w:rsidRPr="00A344BB" w:rsidRDefault="006477C6" w:rsidP="00EB5620">
            <w:pPr>
              <w:tabs>
                <w:tab w:val="clear" w:pos="567"/>
              </w:tabs>
              <w:autoSpaceDE w:val="0"/>
              <w:autoSpaceDN w:val="0"/>
              <w:adjustRightInd w:val="0"/>
              <w:spacing w:line="240" w:lineRule="auto"/>
              <w:rPr>
                <w:szCs w:val="22"/>
                <w:lang w:eastAsia="cs-CZ"/>
              </w:rPr>
            </w:pPr>
          </w:p>
        </w:tc>
        <w:tc>
          <w:tcPr>
            <w:tcW w:w="2302" w:type="dxa"/>
          </w:tcPr>
          <w:p w14:paraId="099039AF" w14:textId="77777777" w:rsidR="006477C6" w:rsidRPr="00A344BB" w:rsidRDefault="00AB0C1C"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a</w:t>
            </w:r>
            <w:r w:rsidR="00DA0F2E" w:rsidRPr="00A344BB">
              <w:rPr>
                <w:szCs w:val="22"/>
                <w:lang w:eastAsia="cs-CZ"/>
              </w:rPr>
              <w:t>norexia</w:t>
            </w:r>
            <w:proofErr w:type="spellEnd"/>
          </w:p>
        </w:tc>
        <w:tc>
          <w:tcPr>
            <w:tcW w:w="1896" w:type="dxa"/>
          </w:tcPr>
          <w:p w14:paraId="7D01AAD0"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z</w:t>
            </w:r>
            <w:r w:rsidR="00DA0F2E" w:rsidRPr="00A344BB">
              <w:rPr>
                <w:szCs w:val="22"/>
                <w:lang w:eastAsia="cs-CZ"/>
              </w:rPr>
              <w:t xml:space="preserve">níženie hmotnosti </w:t>
            </w:r>
          </w:p>
          <w:p w14:paraId="4402EF43" w14:textId="77777777" w:rsidR="006477C6"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zvýšenie hmotnosti</w:t>
            </w:r>
          </w:p>
        </w:tc>
        <w:tc>
          <w:tcPr>
            <w:tcW w:w="1866" w:type="dxa"/>
          </w:tcPr>
          <w:p w14:paraId="3FA1C75D" w14:textId="77777777" w:rsidR="006477C6" w:rsidRPr="00A344BB" w:rsidRDefault="00FE0B5A"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hyponatriémia</w:t>
            </w:r>
            <w:proofErr w:type="spellEnd"/>
          </w:p>
        </w:tc>
      </w:tr>
      <w:tr w:rsidR="00A344BB" w:rsidRPr="00A344BB" w14:paraId="2F7B3008" w14:textId="77777777" w:rsidTr="0096391B">
        <w:tc>
          <w:tcPr>
            <w:tcW w:w="1988" w:type="dxa"/>
          </w:tcPr>
          <w:p w14:paraId="4CC5AE60"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Psychické poruchy</w:t>
            </w:r>
          </w:p>
        </w:tc>
        <w:tc>
          <w:tcPr>
            <w:tcW w:w="1597" w:type="dxa"/>
          </w:tcPr>
          <w:p w14:paraId="56BF6B4C"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088414F6"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d</w:t>
            </w:r>
            <w:r w:rsidR="00DA0F2E" w:rsidRPr="00A344BB">
              <w:rPr>
                <w:szCs w:val="22"/>
                <w:lang w:eastAsia="cs-CZ"/>
              </w:rPr>
              <w:t xml:space="preserve">epresia, </w:t>
            </w:r>
            <w:proofErr w:type="spellStart"/>
            <w:r w:rsidR="00DA0F2E" w:rsidRPr="00A344BB">
              <w:rPr>
                <w:szCs w:val="22"/>
                <w:lang w:eastAsia="cs-CZ"/>
              </w:rPr>
              <w:t>hostilita</w:t>
            </w:r>
            <w:proofErr w:type="spellEnd"/>
            <w:r w:rsidR="00DA0F2E" w:rsidRPr="00A344BB">
              <w:rPr>
                <w:szCs w:val="22"/>
                <w:lang w:eastAsia="cs-CZ"/>
              </w:rPr>
              <w:t xml:space="preserve">/ agresivita, </w:t>
            </w:r>
            <w:proofErr w:type="spellStart"/>
            <w:r w:rsidR="00DA0F2E" w:rsidRPr="00A344BB">
              <w:rPr>
                <w:szCs w:val="22"/>
                <w:lang w:eastAsia="cs-CZ"/>
              </w:rPr>
              <w:t>anxieta</w:t>
            </w:r>
            <w:proofErr w:type="spellEnd"/>
            <w:r w:rsidR="00DA0F2E" w:rsidRPr="00A344BB">
              <w:rPr>
                <w:szCs w:val="22"/>
                <w:lang w:eastAsia="cs-CZ"/>
              </w:rPr>
              <w:t xml:space="preserve"> </w:t>
            </w:r>
            <w:proofErr w:type="spellStart"/>
            <w:r w:rsidR="00DA0F2E" w:rsidRPr="00A344BB">
              <w:rPr>
                <w:szCs w:val="22"/>
                <w:lang w:eastAsia="cs-CZ"/>
              </w:rPr>
              <w:t>insomnia</w:t>
            </w:r>
            <w:proofErr w:type="spellEnd"/>
            <w:r w:rsidR="00DA0F2E" w:rsidRPr="00A344BB">
              <w:rPr>
                <w:szCs w:val="22"/>
                <w:lang w:eastAsia="cs-CZ"/>
              </w:rPr>
              <w:t>, nervozita/podráždenosť</w:t>
            </w:r>
          </w:p>
        </w:tc>
        <w:tc>
          <w:tcPr>
            <w:tcW w:w="1896" w:type="dxa"/>
          </w:tcPr>
          <w:p w14:paraId="4E24C662" w14:textId="77777777" w:rsidR="00FE0B5A"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p</w:t>
            </w:r>
            <w:r w:rsidR="00DA0F2E" w:rsidRPr="00A344BB">
              <w:rPr>
                <w:szCs w:val="22"/>
                <w:lang w:eastAsia="cs-CZ"/>
              </w:rPr>
              <w:t xml:space="preserve">okus o samovraždu myšlienky na samovraždu psychotická porucha abnormálne správanie halucinácia </w:t>
            </w:r>
          </w:p>
          <w:p w14:paraId="73DB6D19" w14:textId="77777777" w:rsidR="00FE0B5A"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 xml:space="preserve">hnev, stav zmätenosti </w:t>
            </w:r>
          </w:p>
          <w:p w14:paraId="43F54D92"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citová labilita/kolísanie nálady, agitácia</w:t>
            </w:r>
          </w:p>
        </w:tc>
        <w:tc>
          <w:tcPr>
            <w:tcW w:w="1866" w:type="dxa"/>
          </w:tcPr>
          <w:p w14:paraId="34ADACB0"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d</w:t>
            </w:r>
            <w:r w:rsidR="00DA0F2E" w:rsidRPr="00A344BB">
              <w:rPr>
                <w:szCs w:val="22"/>
                <w:lang w:eastAsia="cs-CZ"/>
              </w:rPr>
              <w:t>okonaná samovražda porucha osobnosti, nezvyčajné myslenie</w:t>
            </w:r>
          </w:p>
          <w:p w14:paraId="05C69CD4" w14:textId="77777777" w:rsidR="00DA0F2E" w:rsidRPr="00A344BB" w:rsidRDefault="00DA0F2E" w:rsidP="00EB5620">
            <w:pPr>
              <w:tabs>
                <w:tab w:val="clear" w:pos="567"/>
              </w:tabs>
              <w:autoSpaceDE w:val="0"/>
              <w:autoSpaceDN w:val="0"/>
              <w:adjustRightInd w:val="0"/>
              <w:spacing w:line="240" w:lineRule="auto"/>
              <w:rPr>
                <w:szCs w:val="22"/>
                <w:lang w:eastAsia="cs-CZ"/>
              </w:rPr>
            </w:pPr>
          </w:p>
        </w:tc>
      </w:tr>
      <w:tr w:rsidR="00A344BB" w:rsidRPr="00A344BB" w14:paraId="44747035" w14:textId="77777777" w:rsidTr="0096391B">
        <w:tc>
          <w:tcPr>
            <w:tcW w:w="1988" w:type="dxa"/>
          </w:tcPr>
          <w:p w14:paraId="23EE7388"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Poruchy nervového systému</w:t>
            </w:r>
          </w:p>
        </w:tc>
        <w:tc>
          <w:tcPr>
            <w:tcW w:w="1597" w:type="dxa"/>
          </w:tcPr>
          <w:p w14:paraId="0DD2ECF8" w14:textId="77777777" w:rsidR="00DA0F2E" w:rsidRPr="00A344BB" w:rsidRDefault="00AB0C1C"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s</w:t>
            </w:r>
            <w:r w:rsidR="00DA0F2E" w:rsidRPr="00A344BB">
              <w:rPr>
                <w:szCs w:val="22"/>
                <w:lang w:eastAsia="cs-CZ"/>
              </w:rPr>
              <w:t>omnolencia</w:t>
            </w:r>
            <w:proofErr w:type="spellEnd"/>
            <w:r w:rsidR="00DA0F2E" w:rsidRPr="00A344BB">
              <w:rPr>
                <w:szCs w:val="22"/>
                <w:lang w:eastAsia="cs-CZ"/>
              </w:rPr>
              <w:t>, bolesť hlavy</w:t>
            </w:r>
          </w:p>
        </w:tc>
        <w:tc>
          <w:tcPr>
            <w:tcW w:w="2302" w:type="dxa"/>
          </w:tcPr>
          <w:p w14:paraId="6FD9A149"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z</w:t>
            </w:r>
            <w:r w:rsidR="00DA0F2E" w:rsidRPr="00A344BB">
              <w:rPr>
                <w:szCs w:val="22"/>
                <w:lang w:eastAsia="cs-CZ"/>
              </w:rPr>
              <w:t xml:space="preserve">áchvat, porucha rovnováhy, závrat, letargia, </w:t>
            </w:r>
            <w:proofErr w:type="spellStart"/>
            <w:r w:rsidR="00DA0F2E" w:rsidRPr="00A344BB">
              <w:rPr>
                <w:szCs w:val="22"/>
                <w:lang w:eastAsia="cs-CZ"/>
              </w:rPr>
              <w:t>tremor</w:t>
            </w:r>
            <w:proofErr w:type="spellEnd"/>
          </w:p>
        </w:tc>
        <w:tc>
          <w:tcPr>
            <w:tcW w:w="1896" w:type="dxa"/>
          </w:tcPr>
          <w:p w14:paraId="0B0D5A65"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a</w:t>
            </w:r>
            <w:r w:rsidR="00DA0F2E" w:rsidRPr="00A344BB">
              <w:rPr>
                <w:szCs w:val="22"/>
                <w:lang w:eastAsia="cs-CZ"/>
              </w:rPr>
              <w:t>mnézia, porucha pamäti, nezvyčajná koordinácia/</w:t>
            </w:r>
            <w:proofErr w:type="spellStart"/>
            <w:r w:rsidR="00DA0F2E" w:rsidRPr="00A344BB">
              <w:rPr>
                <w:szCs w:val="22"/>
                <w:lang w:eastAsia="cs-CZ"/>
              </w:rPr>
              <w:t>ataxia</w:t>
            </w:r>
            <w:proofErr w:type="spellEnd"/>
            <w:r w:rsidR="00DA0F2E" w:rsidRPr="00A344BB">
              <w:rPr>
                <w:szCs w:val="22"/>
                <w:lang w:eastAsia="cs-CZ"/>
              </w:rPr>
              <w:t xml:space="preserve">, </w:t>
            </w:r>
            <w:proofErr w:type="spellStart"/>
            <w:r w:rsidR="00DA0F2E" w:rsidRPr="00A344BB">
              <w:rPr>
                <w:szCs w:val="22"/>
                <w:lang w:eastAsia="cs-CZ"/>
              </w:rPr>
              <w:t>parestézia</w:t>
            </w:r>
            <w:proofErr w:type="spellEnd"/>
            <w:r w:rsidR="00DA0F2E" w:rsidRPr="00A344BB">
              <w:rPr>
                <w:szCs w:val="22"/>
                <w:lang w:eastAsia="cs-CZ"/>
              </w:rPr>
              <w:t xml:space="preserve">  porucha pozornosti</w:t>
            </w:r>
          </w:p>
        </w:tc>
        <w:tc>
          <w:tcPr>
            <w:tcW w:w="1866" w:type="dxa"/>
          </w:tcPr>
          <w:p w14:paraId="1A518553" w14:textId="77777777" w:rsidR="00DA0F2E" w:rsidRPr="00A344BB" w:rsidRDefault="00AB0C1C" w:rsidP="00FE0B5A">
            <w:pPr>
              <w:tabs>
                <w:tab w:val="clear" w:pos="567"/>
              </w:tabs>
              <w:autoSpaceDE w:val="0"/>
              <w:autoSpaceDN w:val="0"/>
              <w:adjustRightInd w:val="0"/>
              <w:spacing w:line="240" w:lineRule="auto"/>
              <w:rPr>
                <w:szCs w:val="22"/>
                <w:lang w:eastAsia="cs-CZ"/>
              </w:rPr>
            </w:pPr>
            <w:proofErr w:type="spellStart"/>
            <w:r w:rsidRPr="00A344BB">
              <w:rPr>
                <w:szCs w:val="22"/>
                <w:lang w:eastAsia="cs-CZ"/>
              </w:rPr>
              <w:t>c</w:t>
            </w:r>
            <w:r w:rsidR="00DA0F2E" w:rsidRPr="00A344BB">
              <w:rPr>
                <w:szCs w:val="22"/>
                <w:lang w:eastAsia="cs-CZ"/>
              </w:rPr>
              <w:t>horeoatetóza</w:t>
            </w:r>
            <w:proofErr w:type="spellEnd"/>
            <w:r w:rsidR="00DA0F2E" w:rsidRPr="00A344BB">
              <w:rPr>
                <w:szCs w:val="22"/>
                <w:lang w:eastAsia="cs-CZ"/>
              </w:rPr>
              <w:t xml:space="preserve">  </w:t>
            </w:r>
            <w:proofErr w:type="spellStart"/>
            <w:r w:rsidR="00DA0F2E" w:rsidRPr="00A344BB">
              <w:rPr>
                <w:szCs w:val="22"/>
                <w:lang w:eastAsia="cs-CZ"/>
              </w:rPr>
              <w:t>dyskinéza</w:t>
            </w:r>
            <w:proofErr w:type="spellEnd"/>
            <w:r w:rsidR="00DA0F2E" w:rsidRPr="00A344BB">
              <w:rPr>
                <w:szCs w:val="22"/>
                <w:lang w:eastAsia="cs-CZ"/>
              </w:rPr>
              <w:t xml:space="preserve"> </w:t>
            </w:r>
            <w:proofErr w:type="spellStart"/>
            <w:r w:rsidR="00DA0F2E" w:rsidRPr="00A344BB">
              <w:rPr>
                <w:szCs w:val="22"/>
                <w:lang w:eastAsia="cs-CZ"/>
              </w:rPr>
              <w:t>hyperkinéza</w:t>
            </w:r>
            <w:proofErr w:type="spellEnd"/>
          </w:p>
        </w:tc>
      </w:tr>
      <w:tr w:rsidR="00A344BB" w:rsidRPr="00A344BB" w14:paraId="7FD1F2DA" w14:textId="77777777" w:rsidTr="0096391B">
        <w:tc>
          <w:tcPr>
            <w:tcW w:w="1988" w:type="dxa"/>
          </w:tcPr>
          <w:p w14:paraId="42017DCA"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Poruchy oka</w:t>
            </w:r>
          </w:p>
        </w:tc>
        <w:tc>
          <w:tcPr>
            <w:tcW w:w="1597" w:type="dxa"/>
          </w:tcPr>
          <w:p w14:paraId="4E4394BC"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11ADCEC9"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1896" w:type="dxa"/>
          </w:tcPr>
          <w:p w14:paraId="53E2AA5E" w14:textId="77777777" w:rsidR="00DA0F2E" w:rsidRPr="00A344BB" w:rsidRDefault="00AB0C1C"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d</w:t>
            </w:r>
            <w:r w:rsidR="00DA0F2E" w:rsidRPr="00A344BB">
              <w:rPr>
                <w:szCs w:val="22"/>
                <w:lang w:eastAsia="cs-CZ"/>
              </w:rPr>
              <w:t>iplopia</w:t>
            </w:r>
            <w:proofErr w:type="spellEnd"/>
            <w:r w:rsidR="00DA0F2E" w:rsidRPr="00A344BB">
              <w:rPr>
                <w:szCs w:val="22"/>
                <w:lang w:eastAsia="cs-CZ"/>
              </w:rPr>
              <w:t>, rozmazané videnie</w:t>
            </w:r>
          </w:p>
        </w:tc>
        <w:tc>
          <w:tcPr>
            <w:tcW w:w="1866" w:type="dxa"/>
          </w:tcPr>
          <w:p w14:paraId="39AEBE93" w14:textId="77777777" w:rsidR="00DA0F2E" w:rsidRPr="00A344BB" w:rsidRDefault="00DA0F2E" w:rsidP="00EB5620">
            <w:pPr>
              <w:tabs>
                <w:tab w:val="clear" w:pos="567"/>
              </w:tabs>
              <w:autoSpaceDE w:val="0"/>
              <w:autoSpaceDN w:val="0"/>
              <w:adjustRightInd w:val="0"/>
              <w:spacing w:line="240" w:lineRule="auto"/>
              <w:rPr>
                <w:szCs w:val="22"/>
                <w:lang w:eastAsia="cs-CZ"/>
              </w:rPr>
            </w:pPr>
          </w:p>
        </w:tc>
      </w:tr>
      <w:tr w:rsidR="00A344BB" w:rsidRPr="00A344BB" w14:paraId="4A9C2C9C" w14:textId="77777777" w:rsidTr="0096391B">
        <w:tc>
          <w:tcPr>
            <w:tcW w:w="1988" w:type="dxa"/>
          </w:tcPr>
          <w:p w14:paraId="345E9327"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Poruchy ucha a labyrintu</w:t>
            </w:r>
          </w:p>
        </w:tc>
        <w:tc>
          <w:tcPr>
            <w:tcW w:w="1597" w:type="dxa"/>
          </w:tcPr>
          <w:p w14:paraId="2B3FFFAF"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51409F1C" w14:textId="77777777" w:rsidR="00DA0F2E" w:rsidRPr="00A344BB" w:rsidRDefault="00AB0C1C"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v</w:t>
            </w:r>
            <w:r w:rsidR="00DA0F2E" w:rsidRPr="00A344BB">
              <w:rPr>
                <w:szCs w:val="22"/>
                <w:lang w:eastAsia="cs-CZ"/>
              </w:rPr>
              <w:t>ertigo</w:t>
            </w:r>
            <w:proofErr w:type="spellEnd"/>
          </w:p>
        </w:tc>
        <w:tc>
          <w:tcPr>
            <w:tcW w:w="1896" w:type="dxa"/>
          </w:tcPr>
          <w:p w14:paraId="3724DA67"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1866" w:type="dxa"/>
          </w:tcPr>
          <w:p w14:paraId="1BDB641B" w14:textId="77777777" w:rsidR="00DA0F2E" w:rsidRPr="00A344BB" w:rsidRDefault="00DA0F2E" w:rsidP="00EB5620">
            <w:pPr>
              <w:tabs>
                <w:tab w:val="clear" w:pos="567"/>
              </w:tabs>
              <w:autoSpaceDE w:val="0"/>
              <w:autoSpaceDN w:val="0"/>
              <w:adjustRightInd w:val="0"/>
              <w:spacing w:line="240" w:lineRule="auto"/>
              <w:rPr>
                <w:szCs w:val="22"/>
                <w:lang w:eastAsia="cs-CZ"/>
              </w:rPr>
            </w:pPr>
          </w:p>
        </w:tc>
      </w:tr>
      <w:tr w:rsidR="00A344BB" w:rsidRPr="00A344BB" w14:paraId="12E39968" w14:textId="77777777" w:rsidTr="0096391B">
        <w:tc>
          <w:tcPr>
            <w:tcW w:w="1988" w:type="dxa"/>
          </w:tcPr>
          <w:p w14:paraId="64683D7A"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Poruchy dýchacej</w:t>
            </w:r>
          </w:p>
          <w:p w14:paraId="0E0B653D"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 xml:space="preserve">sústavy, hrudníka a </w:t>
            </w:r>
            <w:proofErr w:type="spellStart"/>
            <w:r w:rsidRPr="00A344BB">
              <w:rPr>
                <w:szCs w:val="22"/>
                <w:lang w:eastAsia="cs-CZ"/>
              </w:rPr>
              <w:t>mediastína</w:t>
            </w:r>
            <w:proofErr w:type="spellEnd"/>
          </w:p>
        </w:tc>
        <w:tc>
          <w:tcPr>
            <w:tcW w:w="1597" w:type="dxa"/>
          </w:tcPr>
          <w:p w14:paraId="6637888F"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7B7EC703"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k</w:t>
            </w:r>
            <w:r w:rsidR="00DA0F2E" w:rsidRPr="00A344BB">
              <w:rPr>
                <w:szCs w:val="22"/>
                <w:lang w:eastAsia="cs-CZ"/>
              </w:rPr>
              <w:t>ašeľ</w:t>
            </w:r>
          </w:p>
        </w:tc>
        <w:tc>
          <w:tcPr>
            <w:tcW w:w="1896" w:type="dxa"/>
          </w:tcPr>
          <w:p w14:paraId="49A5C1F7"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1866" w:type="dxa"/>
          </w:tcPr>
          <w:p w14:paraId="770EEE94" w14:textId="77777777" w:rsidR="00DA0F2E" w:rsidRPr="00A344BB" w:rsidRDefault="00DA0F2E" w:rsidP="00EB5620">
            <w:pPr>
              <w:tabs>
                <w:tab w:val="clear" w:pos="567"/>
              </w:tabs>
              <w:autoSpaceDE w:val="0"/>
              <w:autoSpaceDN w:val="0"/>
              <w:adjustRightInd w:val="0"/>
              <w:spacing w:line="240" w:lineRule="auto"/>
              <w:rPr>
                <w:szCs w:val="22"/>
                <w:lang w:eastAsia="cs-CZ"/>
              </w:rPr>
            </w:pPr>
          </w:p>
        </w:tc>
      </w:tr>
      <w:tr w:rsidR="00A344BB" w:rsidRPr="00A344BB" w14:paraId="0F7E3B81" w14:textId="77777777" w:rsidTr="0096391B">
        <w:tc>
          <w:tcPr>
            <w:tcW w:w="1988" w:type="dxa"/>
          </w:tcPr>
          <w:p w14:paraId="4080E527"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 xml:space="preserve">Poruchy </w:t>
            </w:r>
            <w:proofErr w:type="spellStart"/>
            <w:r w:rsidRPr="00A344BB">
              <w:rPr>
                <w:szCs w:val="22"/>
                <w:lang w:eastAsia="cs-CZ"/>
              </w:rPr>
              <w:t>gastrointestinálneho</w:t>
            </w:r>
            <w:proofErr w:type="spellEnd"/>
            <w:r w:rsidRPr="00A344BB">
              <w:rPr>
                <w:szCs w:val="22"/>
                <w:lang w:eastAsia="cs-CZ"/>
              </w:rPr>
              <w:t xml:space="preserve"> traktu</w:t>
            </w:r>
          </w:p>
        </w:tc>
        <w:tc>
          <w:tcPr>
            <w:tcW w:w="1597" w:type="dxa"/>
          </w:tcPr>
          <w:p w14:paraId="2BE3CFC1"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5DA5D6A2"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b</w:t>
            </w:r>
            <w:r w:rsidR="00DA0F2E" w:rsidRPr="00A344BB">
              <w:rPr>
                <w:szCs w:val="22"/>
                <w:lang w:eastAsia="cs-CZ"/>
              </w:rPr>
              <w:t xml:space="preserve">olesť brucha, hnačka, </w:t>
            </w:r>
            <w:proofErr w:type="spellStart"/>
            <w:r w:rsidR="00DA0F2E" w:rsidRPr="00A344BB">
              <w:rPr>
                <w:szCs w:val="22"/>
                <w:lang w:eastAsia="cs-CZ"/>
              </w:rPr>
              <w:t>dyspepsia</w:t>
            </w:r>
            <w:proofErr w:type="spellEnd"/>
            <w:r w:rsidR="00DA0F2E" w:rsidRPr="00A344BB">
              <w:rPr>
                <w:szCs w:val="22"/>
                <w:lang w:eastAsia="cs-CZ"/>
              </w:rPr>
              <w:t xml:space="preserve">, vracanie,  </w:t>
            </w:r>
            <w:proofErr w:type="spellStart"/>
            <w:r w:rsidR="00DA0F2E" w:rsidRPr="00A344BB">
              <w:rPr>
                <w:szCs w:val="22"/>
                <w:lang w:eastAsia="cs-CZ"/>
              </w:rPr>
              <w:t>nauzea</w:t>
            </w:r>
            <w:proofErr w:type="spellEnd"/>
          </w:p>
        </w:tc>
        <w:tc>
          <w:tcPr>
            <w:tcW w:w="1896" w:type="dxa"/>
          </w:tcPr>
          <w:p w14:paraId="3E27F58B"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1866" w:type="dxa"/>
          </w:tcPr>
          <w:p w14:paraId="1E03B688" w14:textId="77777777" w:rsidR="00DA0F2E" w:rsidRPr="00A344BB" w:rsidRDefault="00AB0C1C"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p</w:t>
            </w:r>
            <w:r w:rsidR="00DA0F2E" w:rsidRPr="00A344BB">
              <w:rPr>
                <w:szCs w:val="22"/>
                <w:lang w:eastAsia="cs-CZ"/>
              </w:rPr>
              <w:t>ankreatitída</w:t>
            </w:r>
            <w:proofErr w:type="spellEnd"/>
          </w:p>
        </w:tc>
      </w:tr>
      <w:tr w:rsidR="00A344BB" w:rsidRPr="00A344BB" w14:paraId="0A39F215" w14:textId="77777777" w:rsidTr="0096391B">
        <w:tc>
          <w:tcPr>
            <w:tcW w:w="1988" w:type="dxa"/>
          </w:tcPr>
          <w:p w14:paraId="78BD6AE6"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Poruchy pečene a žlčových ciest</w:t>
            </w:r>
          </w:p>
        </w:tc>
        <w:tc>
          <w:tcPr>
            <w:tcW w:w="1597" w:type="dxa"/>
          </w:tcPr>
          <w:p w14:paraId="15BAEBC0"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3EF2D155"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1896" w:type="dxa"/>
          </w:tcPr>
          <w:p w14:paraId="045586A5"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a</w:t>
            </w:r>
            <w:r w:rsidR="00DA0F2E" w:rsidRPr="00A344BB">
              <w:rPr>
                <w:szCs w:val="22"/>
                <w:lang w:eastAsia="cs-CZ"/>
              </w:rPr>
              <w:t>bnormálne testy pečeňovej funkcie</w:t>
            </w:r>
          </w:p>
        </w:tc>
        <w:tc>
          <w:tcPr>
            <w:tcW w:w="1866" w:type="dxa"/>
          </w:tcPr>
          <w:p w14:paraId="601B1678"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z</w:t>
            </w:r>
            <w:r w:rsidR="00DA0F2E" w:rsidRPr="00A344BB">
              <w:rPr>
                <w:szCs w:val="22"/>
                <w:lang w:eastAsia="cs-CZ"/>
              </w:rPr>
              <w:t>lyhanie pečene hepatitída</w:t>
            </w:r>
          </w:p>
        </w:tc>
      </w:tr>
      <w:tr w:rsidR="00A344BB" w:rsidRPr="00A344BB" w14:paraId="1D35AEC4" w14:textId="77777777" w:rsidTr="00D575AF">
        <w:tc>
          <w:tcPr>
            <w:tcW w:w="1988" w:type="dxa"/>
          </w:tcPr>
          <w:p w14:paraId="6C08C619"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 xml:space="preserve">Poruchy obličiek </w:t>
            </w:r>
          </w:p>
          <w:p w14:paraId="27A4AF4F"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a močových ciest</w:t>
            </w:r>
          </w:p>
        </w:tc>
        <w:tc>
          <w:tcPr>
            <w:tcW w:w="1597" w:type="dxa"/>
          </w:tcPr>
          <w:p w14:paraId="73E637D9" w14:textId="77777777" w:rsidR="00D575AF" w:rsidRPr="00A344BB" w:rsidRDefault="00D575AF" w:rsidP="00D575AF">
            <w:pPr>
              <w:tabs>
                <w:tab w:val="clear" w:pos="567"/>
              </w:tabs>
              <w:autoSpaceDE w:val="0"/>
              <w:autoSpaceDN w:val="0"/>
              <w:adjustRightInd w:val="0"/>
              <w:spacing w:line="240" w:lineRule="auto"/>
              <w:rPr>
                <w:szCs w:val="22"/>
                <w:lang w:eastAsia="cs-CZ"/>
              </w:rPr>
            </w:pPr>
          </w:p>
        </w:tc>
        <w:tc>
          <w:tcPr>
            <w:tcW w:w="2302" w:type="dxa"/>
          </w:tcPr>
          <w:p w14:paraId="61F96AFA" w14:textId="77777777" w:rsidR="00D575AF" w:rsidRPr="00A344BB" w:rsidRDefault="00D575AF" w:rsidP="00D575AF">
            <w:pPr>
              <w:tabs>
                <w:tab w:val="clear" w:pos="567"/>
              </w:tabs>
              <w:autoSpaceDE w:val="0"/>
              <w:autoSpaceDN w:val="0"/>
              <w:adjustRightInd w:val="0"/>
              <w:spacing w:line="240" w:lineRule="auto"/>
              <w:rPr>
                <w:szCs w:val="22"/>
                <w:lang w:eastAsia="cs-CZ"/>
              </w:rPr>
            </w:pPr>
          </w:p>
        </w:tc>
        <w:tc>
          <w:tcPr>
            <w:tcW w:w="1896" w:type="dxa"/>
          </w:tcPr>
          <w:p w14:paraId="3889EF6F" w14:textId="77777777" w:rsidR="00D575AF" w:rsidRPr="00A344BB" w:rsidRDefault="00D575AF" w:rsidP="00D575AF">
            <w:pPr>
              <w:tabs>
                <w:tab w:val="clear" w:pos="567"/>
              </w:tabs>
              <w:autoSpaceDE w:val="0"/>
              <w:autoSpaceDN w:val="0"/>
              <w:adjustRightInd w:val="0"/>
              <w:spacing w:line="240" w:lineRule="auto"/>
              <w:rPr>
                <w:szCs w:val="22"/>
                <w:lang w:eastAsia="cs-CZ"/>
              </w:rPr>
            </w:pPr>
          </w:p>
        </w:tc>
        <w:tc>
          <w:tcPr>
            <w:tcW w:w="1866" w:type="dxa"/>
          </w:tcPr>
          <w:p w14:paraId="1EB33D68"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 xml:space="preserve">akútne zlyhanie </w:t>
            </w:r>
          </w:p>
          <w:p w14:paraId="5D478E94"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obličiek</w:t>
            </w:r>
          </w:p>
        </w:tc>
      </w:tr>
      <w:tr w:rsidR="00A344BB" w:rsidRPr="00A344BB" w14:paraId="15343FC2" w14:textId="77777777" w:rsidTr="0096391B">
        <w:tc>
          <w:tcPr>
            <w:tcW w:w="1988" w:type="dxa"/>
          </w:tcPr>
          <w:p w14:paraId="2F7E575E" w14:textId="77777777" w:rsidR="00DA0F2E" w:rsidRPr="00A344BB" w:rsidRDefault="00DA0F2E" w:rsidP="00EB5620">
            <w:pPr>
              <w:tabs>
                <w:tab w:val="clear" w:pos="567"/>
              </w:tabs>
              <w:autoSpaceDE w:val="0"/>
              <w:autoSpaceDN w:val="0"/>
              <w:adjustRightInd w:val="0"/>
              <w:spacing w:line="240" w:lineRule="auto"/>
              <w:rPr>
                <w:szCs w:val="22"/>
                <w:lang w:eastAsia="cs-CZ"/>
              </w:rPr>
            </w:pPr>
            <w:r w:rsidRPr="00A344BB">
              <w:rPr>
                <w:szCs w:val="22"/>
                <w:lang w:eastAsia="cs-CZ"/>
              </w:rPr>
              <w:t>Poruchy kože a podkožného tkaniva</w:t>
            </w:r>
          </w:p>
        </w:tc>
        <w:tc>
          <w:tcPr>
            <w:tcW w:w="1597" w:type="dxa"/>
          </w:tcPr>
          <w:p w14:paraId="1CEA738A"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695F260F"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v</w:t>
            </w:r>
            <w:r w:rsidR="00DA0F2E" w:rsidRPr="00A344BB">
              <w:rPr>
                <w:szCs w:val="22"/>
                <w:lang w:eastAsia="cs-CZ"/>
              </w:rPr>
              <w:t>yrážka</w:t>
            </w:r>
          </w:p>
        </w:tc>
        <w:tc>
          <w:tcPr>
            <w:tcW w:w="1896" w:type="dxa"/>
          </w:tcPr>
          <w:p w14:paraId="0243FEBF" w14:textId="77777777" w:rsidR="00DA0F2E" w:rsidRPr="00A344BB" w:rsidRDefault="00FE0B5A"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alopécia</w:t>
            </w:r>
            <w:proofErr w:type="spellEnd"/>
            <w:r w:rsidRPr="00A344BB">
              <w:rPr>
                <w:szCs w:val="22"/>
                <w:lang w:eastAsia="cs-CZ"/>
              </w:rPr>
              <w:t xml:space="preserve">, </w:t>
            </w:r>
            <w:r w:rsidR="00DA0F2E" w:rsidRPr="00A344BB">
              <w:rPr>
                <w:szCs w:val="22"/>
                <w:lang w:eastAsia="cs-CZ"/>
              </w:rPr>
              <w:t xml:space="preserve">ekzém, </w:t>
            </w:r>
            <w:proofErr w:type="spellStart"/>
            <w:r w:rsidR="00DA0F2E" w:rsidRPr="00A344BB">
              <w:rPr>
                <w:szCs w:val="22"/>
                <w:lang w:eastAsia="cs-CZ"/>
              </w:rPr>
              <w:t>pruritus</w:t>
            </w:r>
            <w:proofErr w:type="spellEnd"/>
          </w:p>
        </w:tc>
        <w:tc>
          <w:tcPr>
            <w:tcW w:w="1866" w:type="dxa"/>
          </w:tcPr>
          <w:p w14:paraId="05908B14"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t</w:t>
            </w:r>
            <w:r w:rsidR="00DA0F2E" w:rsidRPr="00A344BB">
              <w:rPr>
                <w:szCs w:val="22"/>
                <w:lang w:eastAsia="cs-CZ"/>
              </w:rPr>
              <w:t xml:space="preserve">oxická </w:t>
            </w:r>
            <w:proofErr w:type="spellStart"/>
            <w:r w:rsidR="00DA0F2E" w:rsidRPr="00A344BB">
              <w:rPr>
                <w:szCs w:val="22"/>
                <w:lang w:eastAsia="cs-CZ"/>
              </w:rPr>
              <w:t>epidermálna</w:t>
            </w:r>
            <w:proofErr w:type="spellEnd"/>
            <w:r w:rsidR="00DA0F2E" w:rsidRPr="00A344BB">
              <w:rPr>
                <w:szCs w:val="22"/>
                <w:lang w:eastAsia="cs-CZ"/>
              </w:rPr>
              <w:t xml:space="preserve"> </w:t>
            </w:r>
            <w:proofErr w:type="spellStart"/>
            <w:r w:rsidR="00DA0F2E" w:rsidRPr="00A344BB">
              <w:rPr>
                <w:szCs w:val="22"/>
                <w:lang w:eastAsia="cs-CZ"/>
              </w:rPr>
              <w:t>nekrolýza</w:t>
            </w:r>
            <w:proofErr w:type="spellEnd"/>
            <w:r w:rsidR="00DA0F2E" w:rsidRPr="00A344BB">
              <w:rPr>
                <w:szCs w:val="22"/>
                <w:lang w:eastAsia="cs-CZ"/>
              </w:rPr>
              <w:t xml:space="preserve">  Stevensov- </w:t>
            </w:r>
            <w:proofErr w:type="spellStart"/>
            <w:r w:rsidR="00DA0F2E" w:rsidRPr="00A344BB">
              <w:rPr>
                <w:szCs w:val="22"/>
                <w:lang w:eastAsia="cs-CZ"/>
              </w:rPr>
              <w:t>Johnsonov</w:t>
            </w:r>
            <w:proofErr w:type="spellEnd"/>
            <w:r w:rsidR="00DA0F2E" w:rsidRPr="00A344BB">
              <w:rPr>
                <w:szCs w:val="22"/>
                <w:lang w:eastAsia="cs-CZ"/>
              </w:rPr>
              <w:t xml:space="preserve"> syndróm </w:t>
            </w:r>
            <w:proofErr w:type="spellStart"/>
            <w:r w:rsidR="00DA0F2E" w:rsidRPr="00A344BB">
              <w:rPr>
                <w:szCs w:val="22"/>
                <w:lang w:eastAsia="cs-CZ"/>
              </w:rPr>
              <w:t>multiformný</w:t>
            </w:r>
            <w:proofErr w:type="spellEnd"/>
            <w:r w:rsidR="00DA0F2E" w:rsidRPr="00A344BB">
              <w:rPr>
                <w:szCs w:val="22"/>
                <w:lang w:eastAsia="cs-CZ"/>
              </w:rPr>
              <w:t xml:space="preserve"> </w:t>
            </w:r>
            <w:proofErr w:type="spellStart"/>
            <w:r w:rsidR="00DA0F2E" w:rsidRPr="00A344BB">
              <w:rPr>
                <w:szCs w:val="22"/>
                <w:lang w:eastAsia="cs-CZ"/>
              </w:rPr>
              <w:t>erytém</w:t>
            </w:r>
            <w:proofErr w:type="spellEnd"/>
            <w:r w:rsidR="00DA0F2E" w:rsidRPr="00A344BB">
              <w:rPr>
                <w:szCs w:val="22"/>
                <w:lang w:eastAsia="cs-CZ"/>
              </w:rPr>
              <w:t xml:space="preserve"> </w:t>
            </w:r>
          </w:p>
        </w:tc>
      </w:tr>
      <w:tr w:rsidR="00A344BB" w:rsidRPr="00A344BB" w14:paraId="294CD9A1" w14:textId="77777777" w:rsidTr="0096391B">
        <w:tc>
          <w:tcPr>
            <w:tcW w:w="1988" w:type="dxa"/>
          </w:tcPr>
          <w:p w14:paraId="107EB682"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Poruchy kostrovej a svalovej sústavy a spojivového tkaniva</w:t>
            </w:r>
          </w:p>
        </w:tc>
        <w:tc>
          <w:tcPr>
            <w:tcW w:w="1597" w:type="dxa"/>
          </w:tcPr>
          <w:p w14:paraId="682C56EE" w14:textId="77777777" w:rsidR="00D575AF" w:rsidRPr="00A344BB" w:rsidRDefault="00D575AF" w:rsidP="00D575AF">
            <w:pPr>
              <w:tabs>
                <w:tab w:val="clear" w:pos="567"/>
              </w:tabs>
              <w:autoSpaceDE w:val="0"/>
              <w:autoSpaceDN w:val="0"/>
              <w:adjustRightInd w:val="0"/>
              <w:spacing w:line="240" w:lineRule="auto"/>
              <w:rPr>
                <w:szCs w:val="22"/>
                <w:lang w:eastAsia="cs-CZ"/>
              </w:rPr>
            </w:pPr>
          </w:p>
        </w:tc>
        <w:tc>
          <w:tcPr>
            <w:tcW w:w="2302" w:type="dxa"/>
          </w:tcPr>
          <w:p w14:paraId="080FC56A" w14:textId="77777777" w:rsidR="00D575AF" w:rsidRPr="00A344BB" w:rsidRDefault="00D575AF" w:rsidP="00D575AF">
            <w:pPr>
              <w:tabs>
                <w:tab w:val="clear" w:pos="567"/>
              </w:tabs>
              <w:autoSpaceDE w:val="0"/>
              <w:autoSpaceDN w:val="0"/>
              <w:adjustRightInd w:val="0"/>
              <w:spacing w:line="240" w:lineRule="auto"/>
              <w:rPr>
                <w:szCs w:val="22"/>
                <w:lang w:eastAsia="cs-CZ"/>
              </w:rPr>
            </w:pPr>
          </w:p>
        </w:tc>
        <w:tc>
          <w:tcPr>
            <w:tcW w:w="1896" w:type="dxa"/>
          </w:tcPr>
          <w:p w14:paraId="60152050"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 xml:space="preserve">svalová slabosť, </w:t>
            </w:r>
            <w:proofErr w:type="spellStart"/>
            <w:r w:rsidRPr="00A344BB">
              <w:rPr>
                <w:szCs w:val="22"/>
                <w:lang w:eastAsia="cs-CZ"/>
              </w:rPr>
              <w:t>myalgia</w:t>
            </w:r>
            <w:proofErr w:type="spellEnd"/>
          </w:p>
        </w:tc>
        <w:tc>
          <w:tcPr>
            <w:tcW w:w="1866" w:type="dxa"/>
          </w:tcPr>
          <w:p w14:paraId="25858EBB" w14:textId="77777777" w:rsidR="00D575AF" w:rsidRPr="00A344BB" w:rsidRDefault="00D575AF" w:rsidP="00D575AF">
            <w:pPr>
              <w:tabs>
                <w:tab w:val="clear" w:pos="567"/>
              </w:tabs>
              <w:autoSpaceDE w:val="0"/>
              <w:autoSpaceDN w:val="0"/>
              <w:adjustRightInd w:val="0"/>
              <w:spacing w:line="240" w:lineRule="auto"/>
              <w:rPr>
                <w:szCs w:val="22"/>
                <w:lang w:eastAsia="cs-CZ"/>
              </w:rPr>
            </w:pPr>
            <w:proofErr w:type="spellStart"/>
            <w:r w:rsidRPr="00A344BB">
              <w:rPr>
                <w:szCs w:val="22"/>
                <w:lang w:eastAsia="cs-CZ"/>
              </w:rPr>
              <w:t>rabdomyolýza</w:t>
            </w:r>
            <w:proofErr w:type="spellEnd"/>
            <w:r w:rsidRPr="00A344BB">
              <w:rPr>
                <w:szCs w:val="22"/>
                <w:lang w:eastAsia="cs-CZ"/>
              </w:rPr>
              <w:t xml:space="preserve"> </w:t>
            </w:r>
          </w:p>
          <w:p w14:paraId="0FC16478"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a zvýšenie hladiny</w:t>
            </w:r>
          </w:p>
          <w:p w14:paraId="0937FC7B" w14:textId="77777777" w:rsidR="00D575AF" w:rsidRPr="00A344BB" w:rsidRDefault="00D575AF" w:rsidP="00D575AF">
            <w:pPr>
              <w:tabs>
                <w:tab w:val="clear" w:pos="567"/>
              </w:tabs>
              <w:autoSpaceDE w:val="0"/>
              <w:autoSpaceDN w:val="0"/>
              <w:adjustRightInd w:val="0"/>
              <w:spacing w:line="240" w:lineRule="auto"/>
              <w:rPr>
                <w:szCs w:val="22"/>
                <w:lang w:eastAsia="cs-CZ"/>
              </w:rPr>
            </w:pPr>
            <w:proofErr w:type="spellStart"/>
            <w:r w:rsidRPr="00A344BB">
              <w:rPr>
                <w:szCs w:val="22"/>
                <w:lang w:eastAsia="cs-CZ"/>
              </w:rPr>
              <w:t>kreatínfosfokinázy</w:t>
            </w:r>
            <w:proofErr w:type="spellEnd"/>
            <w:r w:rsidRPr="00A344BB">
              <w:rPr>
                <w:szCs w:val="22"/>
                <w:lang w:eastAsia="cs-CZ"/>
              </w:rPr>
              <w:t xml:space="preserve"> </w:t>
            </w:r>
          </w:p>
          <w:p w14:paraId="43DDA697"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v krvi*</w:t>
            </w:r>
          </w:p>
        </w:tc>
      </w:tr>
      <w:tr w:rsidR="00A344BB" w:rsidRPr="00A344BB" w14:paraId="5C2EE489" w14:textId="77777777" w:rsidTr="0096391B">
        <w:tc>
          <w:tcPr>
            <w:tcW w:w="1988" w:type="dxa"/>
          </w:tcPr>
          <w:p w14:paraId="0445C91D" w14:textId="77777777" w:rsidR="00DA0F2E"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Celkové poruchy a reakcie v mieste podania</w:t>
            </w:r>
          </w:p>
        </w:tc>
        <w:tc>
          <w:tcPr>
            <w:tcW w:w="1597" w:type="dxa"/>
          </w:tcPr>
          <w:p w14:paraId="044105ED"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4D8D04E7"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a</w:t>
            </w:r>
            <w:r w:rsidR="008A778F" w:rsidRPr="00A344BB">
              <w:rPr>
                <w:szCs w:val="22"/>
                <w:lang w:eastAsia="cs-CZ"/>
              </w:rPr>
              <w:t>sténia/únava</w:t>
            </w:r>
          </w:p>
        </w:tc>
        <w:tc>
          <w:tcPr>
            <w:tcW w:w="1896" w:type="dxa"/>
          </w:tcPr>
          <w:p w14:paraId="3601E769"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1866" w:type="dxa"/>
          </w:tcPr>
          <w:p w14:paraId="02178AA7" w14:textId="77777777" w:rsidR="00DA0F2E" w:rsidRPr="00A344BB" w:rsidRDefault="00DA0F2E" w:rsidP="00EB5620">
            <w:pPr>
              <w:tabs>
                <w:tab w:val="clear" w:pos="567"/>
              </w:tabs>
              <w:autoSpaceDE w:val="0"/>
              <w:autoSpaceDN w:val="0"/>
              <w:adjustRightInd w:val="0"/>
              <w:spacing w:line="240" w:lineRule="auto"/>
              <w:rPr>
                <w:szCs w:val="22"/>
                <w:lang w:eastAsia="cs-CZ"/>
              </w:rPr>
            </w:pPr>
          </w:p>
        </w:tc>
      </w:tr>
      <w:tr w:rsidR="00A344BB" w:rsidRPr="00A344BB" w14:paraId="6673EF83" w14:textId="77777777" w:rsidTr="0096391B">
        <w:tc>
          <w:tcPr>
            <w:tcW w:w="1988" w:type="dxa"/>
          </w:tcPr>
          <w:p w14:paraId="0E023AA2" w14:textId="77777777" w:rsidR="00DA0F2E"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Úrazy, otravy a komplikácie liečebného postupu</w:t>
            </w:r>
          </w:p>
        </w:tc>
        <w:tc>
          <w:tcPr>
            <w:tcW w:w="1597" w:type="dxa"/>
          </w:tcPr>
          <w:p w14:paraId="069021B0"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2302" w:type="dxa"/>
          </w:tcPr>
          <w:p w14:paraId="6268FF54" w14:textId="77777777" w:rsidR="00DA0F2E" w:rsidRPr="00A344BB" w:rsidRDefault="00DA0F2E" w:rsidP="00EB5620">
            <w:pPr>
              <w:tabs>
                <w:tab w:val="clear" w:pos="567"/>
              </w:tabs>
              <w:autoSpaceDE w:val="0"/>
              <w:autoSpaceDN w:val="0"/>
              <w:adjustRightInd w:val="0"/>
              <w:spacing w:line="240" w:lineRule="auto"/>
              <w:rPr>
                <w:szCs w:val="22"/>
                <w:lang w:eastAsia="cs-CZ"/>
              </w:rPr>
            </w:pPr>
          </w:p>
        </w:tc>
        <w:tc>
          <w:tcPr>
            <w:tcW w:w="1896" w:type="dxa"/>
          </w:tcPr>
          <w:p w14:paraId="711821AA" w14:textId="77777777" w:rsidR="00DA0F2E" w:rsidRPr="00A344BB" w:rsidRDefault="00AB0C1C" w:rsidP="00EB5620">
            <w:pPr>
              <w:tabs>
                <w:tab w:val="clear" w:pos="567"/>
              </w:tabs>
              <w:autoSpaceDE w:val="0"/>
              <w:autoSpaceDN w:val="0"/>
              <w:adjustRightInd w:val="0"/>
              <w:spacing w:line="240" w:lineRule="auto"/>
              <w:rPr>
                <w:szCs w:val="22"/>
                <w:lang w:eastAsia="cs-CZ"/>
              </w:rPr>
            </w:pPr>
            <w:r w:rsidRPr="00A344BB">
              <w:rPr>
                <w:szCs w:val="22"/>
                <w:lang w:eastAsia="cs-CZ"/>
              </w:rPr>
              <w:t>ú</w:t>
            </w:r>
            <w:r w:rsidR="008A778F" w:rsidRPr="00A344BB">
              <w:rPr>
                <w:szCs w:val="22"/>
                <w:lang w:eastAsia="cs-CZ"/>
              </w:rPr>
              <w:t>raz</w:t>
            </w:r>
          </w:p>
        </w:tc>
        <w:tc>
          <w:tcPr>
            <w:tcW w:w="1866" w:type="dxa"/>
          </w:tcPr>
          <w:p w14:paraId="45D06307" w14:textId="77777777" w:rsidR="00DA0F2E" w:rsidRPr="00A344BB" w:rsidRDefault="00DA0F2E" w:rsidP="00EB5620">
            <w:pPr>
              <w:tabs>
                <w:tab w:val="clear" w:pos="567"/>
              </w:tabs>
              <w:autoSpaceDE w:val="0"/>
              <w:autoSpaceDN w:val="0"/>
              <w:adjustRightInd w:val="0"/>
              <w:spacing w:line="240" w:lineRule="auto"/>
              <w:rPr>
                <w:szCs w:val="22"/>
                <w:lang w:eastAsia="cs-CZ"/>
              </w:rPr>
            </w:pPr>
          </w:p>
        </w:tc>
      </w:tr>
    </w:tbl>
    <w:p w14:paraId="08B86AFB"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w:t>
      </w:r>
      <w:proofErr w:type="spellStart"/>
      <w:r w:rsidRPr="00A344BB">
        <w:rPr>
          <w:szCs w:val="22"/>
          <w:lang w:eastAsia="cs-CZ"/>
        </w:rPr>
        <w:t>Prevalencia</w:t>
      </w:r>
      <w:proofErr w:type="spellEnd"/>
      <w:r w:rsidRPr="00A344BB">
        <w:rPr>
          <w:szCs w:val="22"/>
          <w:lang w:eastAsia="cs-CZ"/>
        </w:rPr>
        <w:t xml:space="preserve"> je významne vyššia u japonských pacientov v porovnaní s pacientmi z iných krajín.</w:t>
      </w:r>
    </w:p>
    <w:p w14:paraId="25ECD25D" w14:textId="77777777" w:rsidR="00D575AF" w:rsidRPr="00A344BB" w:rsidRDefault="00D575AF" w:rsidP="00D575AF">
      <w:pPr>
        <w:tabs>
          <w:tab w:val="clear" w:pos="567"/>
        </w:tabs>
        <w:autoSpaceDE w:val="0"/>
        <w:autoSpaceDN w:val="0"/>
        <w:adjustRightInd w:val="0"/>
        <w:spacing w:line="240" w:lineRule="auto"/>
        <w:rPr>
          <w:szCs w:val="22"/>
          <w:lang w:eastAsia="cs-CZ"/>
        </w:rPr>
      </w:pPr>
    </w:p>
    <w:p w14:paraId="094EEF96"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 xml:space="preserve">Po podaní </w:t>
      </w:r>
      <w:proofErr w:type="spellStart"/>
      <w:r w:rsidRPr="00A344BB">
        <w:rPr>
          <w:szCs w:val="22"/>
          <w:lang w:eastAsia="cs-CZ"/>
        </w:rPr>
        <w:t>levetiracetamu</w:t>
      </w:r>
      <w:proofErr w:type="spellEnd"/>
      <w:r w:rsidRPr="00A344BB">
        <w:rPr>
          <w:szCs w:val="22"/>
          <w:lang w:eastAsia="cs-CZ"/>
        </w:rPr>
        <w:t xml:space="preserve"> boli zriedkavo pozorované prípady </w:t>
      </w:r>
      <w:proofErr w:type="spellStart"/>
      <w:r w:rsidRPr="00A344BB">
        <w:rPr>
          <w:szCs w:val="22"/>
          <w:lang w:eastAsia="cs-CZ"/>
        </w:rPr>
        <w:t>encefalopatie</w:t>
      </w:r>
      <w:proofErr w:type="spellEnd"/>
      <w:r w:rsidRPr="00A344BB">
        <w:rPr>
          <w:szCs w:val="22"/>
          <w:lang w:eastAsia="cs-CZ"/>
        </w:rPr>
        <w:t xml:space="preserve">. Tieto nežiaduce účinky </w:t>
      </w:r>
    </w:p>
    <w:p w14:paraId="344A1101"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sa zvyčajne prejavili na začiatku liečby (po niekoľkých dňoch až niekoľkých mesiacoch) a po</w:t>
      </w:r>
    </w:p>
    <w:p w14:paraId="187B2018" w14:textId="77777777" w:rsidR="00D575AF" w:rsidRPr="00A344BB" w:rsidRDefault="00D575AF" w:rsidP="00D575AF">
      <w:pPr>
        <w:tabs>
          <w:tab w:val="clear" w:pos="567"/>
        </w:tabs>
        <w:autoSpaceDE w:val="0"/>
        <w:autoSpaceDN w:val="0"/>
        <w:adjustRightInd w:val="0"/>
        <w:spacing w:line="240" w:lineRule="auto"/>
        <w:rPr>
          <w:szCs w:val="22"/>
          <w:lang w:eastAsia="cs-CZ"/>
        </w:rPr>
      </w:pPr>
      <w:r w:rsidRPr="00A344BB">
        <w:rPr>
          <w:szCs w:val="22"/>
          <w:lang w:eastAsia="cs-CZ"/>
        </w:rPr>
        <w:t>prerušení liečby boli reverzibilné.</w:t>
      </w:r>
    </w:p>
    <w:p w14:paraId="468AEC32" w14:textId="77777777" w:rsidR="00D575AF" w:rsidRPr="00A344BB" w:rsidRDefault="00D575AF" w:rsidP="00EB5620">
      <w:pPr>
        <w:tabs>
          <w:tab w:val="clear" w:pos="567"/>
        </w:tabs>
        <w:autoSpaceDE w:val="0"/>
        <w:autoSpaceDN w:val="0"/>
        <w:adjustRightInd w:val="0"/>
        <w:spacing w:line="240" w:lineRule="auto"/>
        <w:rPr>
          <w:szCs w:val="22"/>
          <w:lang w:eastAsia="cs-CZ"/>
        </w:rPr>
      </w:pPr>
    </w:p>
    <w:p w14:paraId="5A940BD6" w14:textId="77777777" w:rsidR="006477C6" w:rsidRPr="00A344BB" w:rsidRDefault="006477C6"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Popis vybraných nežiaducich reakcií</w:t>
      </w:r>
    </w:p>
    <w:p w14:paraId="7C96EA21" w14:textId="77777777" w:rsidR="00AB0C1C" w:rsidRPr="00A344BB" w:rsidRDefault="00AB0C1C" w:rsidP="0096391B">
      <w:pPr>
        <w:keepNext/>
        <w:tabs>
          <w:tab w:val="clear" w:pos="567"/>
        </w:tabs>
        <w:autoSpaceDE w:val="0"/>
        <w:autoSpaceDN w:val="0"/>
        <w:adjustRightInd w:val="0"/>
        <w:spacing w:line="240" w:lineRule="auto"/>
        <w:rPr>
          <w:szCs w:val="22"/>
          <w:lang w:eastAsia="cs-CZ"/>
        </w:rPr>
      </w:pPr>
    </w:p>
    <w:p w14:paraId="44A0E894" w14:textId="77777777" w:rsidR="000D1B39" w:rsidRPr="00A344BB" w:rsidRDefault="006477C6"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Riziko </w:t>
      </w:r>
      <w:proofErr w:type="spellStart"/>
      <w:r w:rsidRPr="00A344BB">
        <w:rPr>
          <w:szCs w:val="22"/>
          <w:lang w:eastAsia="cs-CZ"/>
        </w:rPr>
        <w:t>anorexie</w:t>
      </w:r>
      <w:proofErr w:type="spellEnd"/>
      <w:r w:rsidRPr="00A344BB">
        <w:rPr>
          <w:szCs w:val="22"/>
          <w:lang w:eastAsia="cs-CZ"/>
        </w:rPr>
        <w:t xml:space="preserve"> je vyššie, keď sa </w:t>
      </w:r>
      <w:proofErr w:type="spellStart"/>
      <w:r w:rsidR="00FE0B5A" w:rsidRPr="00A344BB">
        <w:rPr>
          <w:szCs w:val="22"/>
          <w:lang w:eastAsia="cs-CZ"/>
        </w:rPr>
        <w:t>levetiracetam</w:t>
      </w:r>
      <w:proofErr w:type="spellEnd"/>
      <w:r w:rsidR="00FE0B5A" w:rsidRPr="00A344BB">
        <w:rPr>
          <w:szCs w:val="22"/>
          <w:lang w:eastAsia="cs-CZ"/>
        </w:rPr>
        <w:t xml:space="preserve"> </w:t>
      </w:r>
      <w:r w:rsidRPr="00A344BB">
        <w:rPr>
          <w:szCs w:val="22"/>
          <w:lang w:eastAsia="cs-CZ"/>
        </w:rPr>
        <w:t>podáva súbežne s</w:t>
      </w:r>
      <w:r w:rsidR="00FE0B5A" w:rsidRPr="00A344BB">
        <w:rPr>
          <w:szCs w:val="22"/>
          <w:lang w:eastAsia="cs-CZ"/>
        </w:rPr>
        <w:t xml:space="preserve"> </w:t>
      </w:r>
      <w:proofErr w:type="spellStart"/>
      <w:r w:rsidR="00FE0B5A" w:rsidRPr="00A344BB">
        <w:rPr>
          <w:szCs w:val="22"/>
          <w:lang w:eastAsia="cs-CZ"/>
        </w:rPr>
        <w:t>topiramátom</w:t>
      </w:r>
      <w:proofErr w:type="spellEnd"/>
      <w:r w:rsidRPr="00A344BB">
        <w:rPr>
          <w:szCs w:val="22"/>
          <w:lang w:eastAsia="cs-CZ"/>
        </w:rPr>
        <w:t>.</w:t>
      </w:r>
      <w:r w:rsidR="008A778F" w:rsidRPr="00A344BB">
        <w:rPr>
          <w:szCs w:val="22"/>
          <w:lang w:eastAsia="cs-CZ"/>
        </w:rPr>
        <w:t xml:space="preserve"> </w:t>
      </w:r>
    </w:p>
    <w:p w14:paraId="6C074184"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 xml:space="preserve">V niekoľkých prípadoch </w:t>
      </w:r>
      <w:proofErr w:type="spellStart"/>
      <w:r w:rsidRPr="00A344BB">
        <w:rPr>
          <w:szCs w:val="22"/>
          <w:lang w:eastAsia="cs-CZ"/>
        </w:rPr>
        <w:t>alopécie</w:t>
      </w:r>
      <w:proofErr w:type="spellEnd"/>
      <w:r w:rsidRPr="00A344BB">
        <w:rPr>
          <w:szCs w:val="22"/>
          <w:lang w:eastAsia="cs-CZ"/>
        </w:rPr>
        <w:t xml:space="preserve"> sa po vysadení </w:t>
      </w:r>
      <w:proofErr w:type="spellStart"/>
      <w:r w:rsidRPr="00A344BB">
        <w:rPr>
          <w:szCs w:val="22"/>
          <w:lang w:eastAsia="cs-CZ"/>
        </w:rPr>
        <w:t>levetiracetamu</w:t>
      </w:r>
      <w:proofErr w:type="spellEnd"/>
      <w:r w:rsidRPr="00A344BB">
        <w:rPr>
          <w:szCs w:val="22"/>
          <w:lang w:eastAsia="cs-CZ"/>
        </w:rPr>
        <w:t xml:space="preserve"> pozorovala úprava stavu.</w:t>
      </w:r>
    </w:p>
    <w:p w14:paraId="6D69574B" w14:textId="77777777" w:rsidR="00FE0B5A" w:rsidRPr="00A344BB" w:rsidRDefault="00FE0B5A" w:rsidP="00EB5620">
      <w:pPr>
        <w:tabs>
          <w:tab w:val="clear" w:pos="567"/>
        </w:tabs>
        <w:autoSpaceDE w:val="0"/>
        <w:autoSpaceDN w:val="0"/>
        <w:adjustRightInd w:val="0"/>
        <w:spacing w:line="240" w:lineRule="auto"/>
        <w:rPr>
          <w:szCs w:val="22"/>
          <w:lang w:eastAsia="cs-CZ"/>
        </w:rPr>
      </w:pPr>
      <w:r w:rsidRPr="00A344BB">
        <w:rPr>
          <w:szCs w:val="22"/>
          <w:lang w:eastAsia="cs-CZ"/>
        </w:rPr>
        <w:t xml:space="preserve">V niektorých prípadoch </w:t>
      </w:r>
      <w:proofErr w:type="spellStart"/>
      <w:r w:rsidRPr="00A344BB">
        <w:rPr>
          <w:szCs w:val="22"/>
          <w:lang w:eastAsia="cs-CZ"/>
        </w:rPr>
        <w:t>pancytopénie</w:t>
      </w:r>
      <w:proofErr w:type="spellEnd"/>
      <w:r w:rsidRPr="00A344BB">
        <w:rPr>
          <w:szCs w:val="22"/>
          <w:lang w:eastAsia="cs-CZ"/>
        </w:rPr>
        <w:t xml:space="preserve"> bola identifikovaná </w:t>
      </w:r>
      <w:proofErr w:type="spellStart"/>
      <w:r w:rsidRPr="00A344BB">
        <w:rPr>
          <w:szCs w:val="22"/>
          <w:lang w:eastAsia="cs-CZ"/>
        </w:rPr>
        <w:t>supresia</w:t>
      </w:r>
      <w:proofErr w:type="spellEnd"/>
      <w:r w:rsidRPr="00A344BB">
        <w:rPr>
          <w:szCs w:val="22"/>
          <w:lang w:eastAsia="cs-CZ"/>
        </w:rPr>
        <w:t xml:space="preserve"> kostnej drene.</w:t>
      </w:r>
    </w:p>
    <w:p w14:paraId="7D46B946" w14:textId="77777777" w:rsidR="008A778F" w:rsidRPr="00A344BB" w:rsidRDefault="008A778F" w:rsidP="00EB5620">
      <w:pPr>
        <w:tabs>
          <w:tab w:val="clear" w:pos="567"/>
        </w:tabs>
        <w:autoSpaceDE w:val="0"/>
        <w:autoSpaceDN w:val="0"/>
        <w:adjustRightInd w:val="0"/>
        <w:spacing w:line="240" w:lineRule="auto"/>
        <w:rPr>
          <w:szCs w:val="22"/>
          <w:lang w:eastAsia="cs-CZ"/>
        </w:rPr>
      </w:pPr>
    </w:p>
    <w:p w14:paraId="1D3EBB53" w14:textId="77777777" w:rsidR="006477C6" w:rsidRPr="00A344BB" w:rsidRDefault="00CB43B8"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Pediatrická populácia</w:t>
      </w:r>
    </w:p>
    <w:p w14:paraId="0AA5339A"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7EB94341"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U pacientov vo veku 1 mesiac až menej ako 4 roky bolo celkovo 190 pacientov liečených</w:t>
      </w:r>
      <w:r w:rsidR="008A778F" w:rsidRPr="00A344BB">
        <w:rPr>
          <w:szCs w:val="22"/>
          <w:lang w:eastAsia="cs-CZ"/>
        </w:rPr>
        <w:t xml:space="preserve"> </w:t>
      </w:r>
      <w:proofErr w:type="spellStart"/>
      <w:r w:rsidRPr="00A344BB">
        <w:rPr>
          <w:szCs w:val="22"/>
          <w:lang w:eastAsia="cs-CZ"/>
        </w:rPr>
        <w:t>levetiracetamom</w:t>
      </w:r>
      <w:proofErr w:type="spellEnd"/>
      <w:r w:rsidRPr="00A344BB">
        <w:rPr>
          <w:szCs w:val="22"/>
          <w:lang w:eastAsia="cs-CZ"/>
        </w:rPr>
        <w:t xml:space="preserve"> v placebom kontrolovaných a nezaslepených predĺženiach štúdií, z ktorých šesťdesiat</w:t>
      </w:r>
      <w:r w:rsidR="008A778F" w:rsidRPr="00A344BB">
        <w:rPr>
          <w:szCs w:val="22"/>
          <w:lang w:eastAsia="cs-CZ"/>
        </w:rPr>
        <w:t xml:space="preserve"> </w:t>
      </w:r>
      <w:r w:rsidRPr="00A344BB">
        <w:rPr>
          <w:szCs w:val="22"/>
          <w:lang w:eastAsia="cs-CZ"/>
        </w:rPr>
        <w:t xml:space="preserve">(60) pacientov bolo liečených </w:t>
      </w:r>
      <w:proofErr w:type="spellStart"/>
      <w:r w:rsidRPr="00A344BB">
        <w:rPr>
          <w:szCs w:val="22"/>
          <w:lang w:eastAsia="cs-CZ"/>
        </w:rPr>
        <w:t>levetiracetamom</w:t>
      </w:r>
      <w:proofErr w:type="spellEnd"/>
      <w:r w:rsidRPr="00A344BB">
        <w:rPr>
          <w:szCs w:val="22"/>
          <w:lang w:eastAsia="cs-CZ"/>
        </w:rPr>
        <w:t xml:space="preserve"> v placebom kontrolovaných štúdiách. U pacientov vo</w:t>
      </w:r>
      <w:r w:rsidR="008A778F" w:rsidRPr="00A344BB">
        <w:rPr>
          <w:szCs w:val="22"/>
          <w:lang w:eastAsia="cs-CZ"/>
        </w:rPr>
        <w:t xml:space="preserve"> </w:t>
      </w:r>
      <w:r w:rsidRPr="00A344BB">
        <w:rPr>
          <w:szCs w:val="22"/>
          <w:lang w:eastAsia="cs-CZ"/>
        </w:rPr>
        <w:t xml:space="preserve">veku 4-16 rokov bolo celkovo 645 pacientov liečených </w:t>
      </w:r>
      <w:proofErr w:type="spellStart"/>
      <w:r w:rsidRPr="00A344BB">
        <w:rPr>
          <w:szCs w:val="22"/>
          <w:lang w:eastAsia="cs-CZ"/>
        </w:rPr>
        <w:t>levetiracetamom</w:t>
      </w:r>
      <w:proofErr w:type="spellEnd"/>
      <w:r w:rsidRPr="00A344BB">
        <w:rPr>
          <w:szCs w:val="22"/>
          <w:lang w:eastAsia="cs-CZ"/>
        </w:rPr>
        <w:t xml:space="preserve"> v placebom kontrolovaných</w:t>
      </w:r>
      <w:r w:rsidR="008A778F" w:rsidRPr="00A344BB">
        <w:rPr>
          <w:szCs w:val="22"/>
          <w:lang w:eastAsia="cs-CZ"/>
        </w:rPr>
        <w:t xml:space="preserve"> </w:t>
      </w:r>
      <w:r w:rsidRPr="00A344BB">
        <w:rPr>
          <w:szCs w:val="22"/>
          <w:lang w:eastAsia="cs-CZ"/>
        </w:rPr>
        <w:t xml:space="preserve">štúdiách a nezaslepenom predĺžení štúdií, z ktorých 233 pacientov bolo liečených </w:t>
      </w:r>
      <w:proofErr w:type="spellStart"/>
      <w:r w:rsidRPr="00A344BB">
        <w:rPr>
          <w:szCs w:val="22"/>
          <w:lang w:eastAsia="cs-CZ"/>
        </w:rPr>
        <w:t>levetiracetamom</w:t>
      </w:r>
      <w:proofErr w:type="spellEnd"/>
      <w:r w:rsidRPr="00A344BB">
        <w:rPr>
          <w:szCs w:val="22"/>
          <w:lang w:eastAsia="cs-CZ"/>
        </w:rPr>
        <w:t xml:space="preserve"> v</w:t>
      </w:r>
      <w:r w:rsidR="008A778F" w:rsidRPr="00A344BB">
        <w:rPr>
          <w:szCs w:val="22"/>
          <w:lang w:eastAsia="cs-CZ"/>
        </w:rPr>
        <w:t xml:space="preserve"> </w:t>
      </w:r>
      <w:r w:rsidRPr="00A344BB">
        <w:rPr>
          <w:szCs w:val="22"/>
          <w:lang w:eastAsia="cs-CZ"/>
        </w:rPr>
        <w:t>placebom kontrolovaných štúdiách. U oboch týchto pediatrických vekových rozmedzí boli tieto údaje</w:t>
      </w:r>
      <w:r w:rsidR="008A778F" w:rsidRPr="00A344BB">
        <w:rPr>
          <w:szCs w:val="22"/>
          <w:lang w:eastAsia="cs-CZ"/>
        </w:rPr>
        <w:t xml:space="preserve"> </w:t>
      </w:r>
      <w:r w:rsidRPr="00A344BB">
        <w:rPr>
          <w:szCs w:val="22"/>
          <w:lang w:eastAsia="cs-CZ"/>
        </w:rPr>
        <w:t xml:space="preserve">doplnené o skúsenosti s používaním </w:t>
      </w:r>
      <w:proofErr w:type="spellStart"/>
      <w:r w:rsidRPr="00A344BB">
        <w:rPr>
          <w:szCs w:val="22"/>
          <w:lang w:eastAsia="cs-CZ"/>
        </w:rPr>
        <w:t>levetiracetamu</w:t>
      </w:r>
      <w:proofErr w:type="spellEnd"/>
      <w:r w:rsidRPr="00A344BB">
        <w:rPr>
          <w:szCs w:val="22"/>
          <w:lang w:eastAsia="cs-CZ"/>
        </w:rPr>
        <w:t xml:space="preserve"> po uvedení lieku na trh.</w:t>
      </w:r>
    </w:p>
    <w:p w14:paraId="24560A2E" w14:textId="77777777" w:rsidR="00EE0356" w:rsidRPr="00A344BB" w:rsidRDefault="00EE0356" w:rsidP="00EB5620">
      <w:pPr>
        <w:tabs>
          <w:tab w:val="clear" w:pos="567"/>
        </w:tabs>
        <w:autoSpaceDE w:val="0"/>
        <w:autoSpaceDN w:val="0"/>
        <w:adjustRightInd w:val="0"/>
        <w:spacing w:line="240" w:lineRule="auto"/>
        <w:rPr>
          <w:szCs w:val="22"/>
          <w:lang w:eastAsia="cs-CZ"/>
        </w:rPr>
      </w:pPr>
    </w:p>
    <w:p w14:paraId="13D13A0A" w14:textId="77777777" w:rsidR="00EE0356" w:rsidRPr="00A344BB" w:rsidRDefault="00EE0356" w:rsidP="00EE0356">
      <w:pPr>
        <w:tabs>
          <w:tab w:val="clear" w:pos="567"/>
        </w:tabs>
        <w:autoSpaceDE w:val="0"/>
        <w:autoSpaceDN w:val="0"/>
        <w:adjustRightInd w:val="0"/>
        <w:spacing w:line="240" w:lineRule="auto"/>
        <w:rPr>
          <w:szCs w:val="22"/>
          <w:lang w:eastAsia="cs-CZ"/>
        </w:rPr>
      </w:pPr>
      <w:r w:rsidRPr="00A344BB">
        <w:rPr>
          <w:szCs w:val="22"/>
          <w:lang w:eastAsia="cs-CZ"/>
        </w:rPr>
        <w:t xml:space="preserve">Navyše 101 dojčiat vo veku do 12 mesiacov bolo liečených v </w:t>
      </w:r>
      <w:proofErr w:type="spellStart"/>
      <w:r w:rsidRPr="00A344BB">
        <w:rPr>
          <w:szCs w:val="22"/>
          <w:lang w:eastAsia="cs-CZ"/>
        </w:rPr>
        <w:t>postregistračnej</w:t>
      </w:r>
      <w:proofErr w:type="spellEnd"/>
      <w:r w:rsidRPr="00A344BB">
        <w:rPr>
          <w:szCs w:val="22"/>
          <w:lang w:eastAsia="cs-CZ"/>
        </w:rPr>
        <w:t xml:space="preserve"> štúdii bezpečnosti. Neboli identifikované žiadne nové bezpečnostné otázky pre dojčatá s epilepsiou mladšie ako 12 mesiacov.</w:t>
      </w:r>
    </w:p>
    <w:p w14:paraId="5CAC555E"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5A53D8C7" w14:textId="77777777" w:rsidR="006477C6"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 xml:space="preserve">Profil nežiaducich udalostí </w:t>
      </w:r>
      <w:proofErr w:type="spellStart"/>
      <w:r w:rsidRPr="00A344BB">
        <w:rPr>
          <w:szCs w:val="22"/>
          <w:lang w:eastAsia="cs-CZ"/>
        </w:rPr>
        <w:t>levetiracetamu</w:t>
      </w:r>
      <w:proofErr w:type="spellEnd"/>
      <w:r w:rsidRPr="00A344BB">
        <w:rPr>
          <w:szCs w:val="22"/>
          <w:lang w:eastAsia="cs-CZ"/>
        </w:rPr>
        <w:t xml:space="preserve"> je celkovo podobný vo vekových skupinách</w:t>
      </w:r>
      <w:r w:rsidR="008A778F" w:rsidRPr="00A344BB">
        <w:rPr>
          <w:szCs w:val="22"/>
          <w:lang w:eastAsia="cs-CZ"/>
        </w:rPr>
        <w:t xml:space="preserve"> </w:t>
      </w:r>
      <w:r w:rsidRPr="00A344BB">
        <w:rPr>
          <w:szCs w:val="22"/>
          <w:lang w:eastAsia="cs-CZ"/>
        </w:rPr>
        <w:t>a v schválených epileptických indikáciách. Výsledky bezpečnosti u detských a</w:t>
      </w:r>
      <w:r w:rsidR="008A778F" w:rsidRPr="00A344BB">
        <w:rPr>
          <w:szCs w:val="22"/>
          <w:lang w:eastAsia="cs-CZ"/>
        </w:rPr>
        <w:t> </w:t>
      </w:r>
      <w:r w:rsidRPr="00A344BB">
        <w:rPr>
          <w:szCs w:val="22"/>
          <w:lang w:eastAsia="cs-CZ"/>
        </w:rPr>
        <w:t>dospievajúcich</w:t>
      </w:r>
      <w:r w:rsidR="008A778F" w:rsidRPr="00A344BB">
        <w:rPr>
          <w:szCs w:val="22"/>
          <w:lang w:eastAsia="cs-CZ"/>
        </w:rPr>
        <w:t xml:space="preserve"> </w:t>
      </w:r>
      <w:r w:rsidRPr="00A344BB">
        <w:rPr>
          <w:szCs w:val="22"/>
          <w:lang w:eastAsia="cs-CZ"/>
        </w:rPr>
        <w:t>pacientov v placebom kontrolovaných klinických štúdiách sa zhodovali s profilom bezpečnosti</w:t>
      </w:r>
      <w:r w:rsidR="000D1B39"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u dospelých s výnimkou </w:t>
      </w:r>
      <w:proofErr w:type="spellStart"/>
      <w:r w:rsidRPr="00A344BB">
        <w:rPr>
          <w:szCs w:val="22"/>
          <w:lang w:eastAsia="cs-CZ"/>
        </w:rPr>
        <w:t>behaviorálnych</w:t>
      </w:r>
      <w:proofErr w:type="spellEnd"/>
      <w:r w:rsidRPr="00A344BB">
        <w:rPr>
          <w:szCs w:val="22"/>
          <w:lang w:eastAsia="cs-CZ"/>
        </w:rPr>
        <w:t xml:space="preserve"> a psychiatrických nežiaducich reakcií, ktoré</w:t>
      </w:r>
      <w:r w:rsidR="008A778F" w:rsidRPr="00A344BB">
        <w:rPr>
          <w:szCs w:val="22"/>
          <w:lang w:eastAsia="cs-CZ"/>
        </w:rPr>
        <w:t xml:space="preserve"> </w:t>
      </w:r>
      <w:r w:rsidRPr="00A344BB">
        <w:rPr>
          <w:szCs w:val="22"/>
          <w:lang w:eastAsia="cs-CZ"/>
        </w:rPr>
        <w:t>boli častejšie u detí ako u dospelých. U detí a dospievajúcich vo veku 4 až 16 rokov bolo vracanie</w:t>
      </w:r>
      <w:r w:rsidR="008A778F" w:rsidRPr="00A344BB">
        <w:rPr>
          <w:szCs w:val="22"/>
          <w:lang w:eastAsia="cs-CZ"/>
        </w:rPr>
        <w:t xml:space="preserve"> </w:t>
      </w:r>
      <w:r w:rsidRPr="00A344BB">
        <w:rPr>
          <w:szCs w:val="22"/>
          <w:lang w:eastAsia="cs-CZ"/>
        </w:rPr>
        <w:t>(veľmi časté, 11,2 %), agitácia (časté, 3,4 %), kolísanie nálady (časté, 2,1 %), afektová labilita (časté,</w:t>
      </w:r>
      <w:r w:rsidR="008A778F" w:rsidRPr="00A344BB">
        <w:rPr>
          <w:szCs w:val="22"/>
          <w:lang w:eastAsia="cs-CZ"/>
        </w:rPr>
        <w:t xml:space="preserve"> </w:t>
      </w:r>
      <w:r w:rsidRPr="00A344BB">
        <w:rPr>
          <w:szCs w:val="22"/>
          <w:lang w:eastAsia="cs-CZ"/>
        </w:rPr>
        <w:t>1,7 %), agresivita (časté, 8,2 %), abnormálne správanie (časté, 5,6 %) a letargia (časté, 3,9 %) hlásené</w:t>
      </w:r>
      <w:r w:rsidR="008A778F" w:rsidRPr="00A344BB">
        <w:rPr>
          <w:szCs w:val="22"/>
          <w:lang w:eastAsia="cs-CZ"/>
        </w:rPr>
        <w:t xml:space="preserve"> </w:t>
      </w:r>
      <w:r w:rsidRPr="00A344BB">
        <w:rPr>
          <w:szCs w:val="22"/>
          <w:lang w:eastAsia="cs-CZ"/>
        </w:rPr>
        <w:t>častejšie ako u iných vekových rozmedzí alebo v celkovom profile bezpečnosti.</w:t>
      </w:r>
    </w:p>
    <w:p w14:paraId="5DB03E21"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4D4C7126" w14:textId="77777777" w:rsidR="002F07D4" w:rsidRPr="00A344BB" w:rsidRDefault="006477C6" w:rsidP="00EB5620">
      <w:pPr>
        <w:tabs>
          <w:tab w:val="clear" w:pos="567"/>
        </w:tabs>
        <w:autoSpaceDE w:val="0"/>
        <w:autoSpaceDN w:val="0"/>
        <w:adjustRightInd w:val="0"/>
        <w:spacing w:line="240" w:lineRule="auto"/>
        <w:rPr>
          <w:szCs w:val="22"/>
          <w:lang w:eastAsia="cs-CZ"/>
        </w:rPr>
      </w:pPr>
      <w:r w:rsidRPr="00A344BB">
        <w:rPr>
          <w:szCs w:val="22"/>
          <w:lang w:eastAsia="cs-CZ"/>
        </w:rPr>
        <w:t xml:space="preserve">Dvojito zaslepená, placebom kontrolovaná pediatrická štúdia bezpečnosti s </w:t>
      </w:r>
      <w:proofErr w:type="spellStart"/>
      <w:r w:rsidRPr="00A344BB">
        <w:rPr>
          <w:szCs w:val="22"/>
          <w:lang w:eastAsia="cs-CZ"/>
        </w:rPr>
        <w:t>non-inferiórnym</w:t>
      </w:r>
      <w:proofErr w:type="spellEnd"/>
      <w:r w:rsidRPr="00A344BB">
        <w:rPr>
          <w:szCs w:val="22"/>
          <w:lang w:eastAsia="cs-CZ"/>
        </w:rPr>
        <w:t xml:space="preserve"> dizajnom</w:t>
      </w:r>
      <w:r w:rsidR="008A778F" w:rsidRPr="00A344BB">
        <w:rPr>
          <w:szCs w:val="22"/>
          <w:lang w:eastAsia="cs-CZ"/>
        </w:rPr>
        <w:t xml:space="preserve"> </w:t>
      </w:r>
      <w:r w:rsidRPr="00A344BB">
        <w:rPr>
          <w:szCs w:val="22"/>
          <w:lang w:eastAsia="cs-CZ"/>
        </w:rPr>
        <w:t xml:space="preserve">hodnotila kognitívne a </w:t>
      </w:r>
      <w:proofErr w:type="spellStart"/>
      <w:r w:rsidRPr="00A344BB">
        <w:rPr>
          <w:szCs w:val="22"/>
          <w:lang w:eastAsia="cs-CZ"/>
        </w:rPr>
        <w:t>neuropsychologické</w:t>
      </w:r>
      <w:proofErr w:type="spellEnd"/>
      <w:r w:rsidRPr="00A344BB">
        <w:rPr>
          <w:szCs w:val="22"/>
          <w:lang w:eastAsia="cs-CZ"/>
        </w:rPr>
        <w:t xml:space="preserve"> účinky </w:t>
      </w:r>
      <w:proofErr w:type="spellStart"/>
      <w:r w:rsidR="000D1B39" w:rsidRPr="00A344BB">
        <w:rPr>
          <w:szCs w:val="22"/>
          <w:lang w:eastAsia="cs-CZ"/>
        </w:rPr>
        <w:t>levetiracetamu</w:t>
      </w:r>
      <w:proofErr w:type="spellEnd"/>
      <w:r w:rsidR="000D1B39" w:rsidRPr="00A344BB">
        <w:rPr>
          <w:szCs w:val="22"/>
          <w:lang w:eastAsia="cs-CZ"/>
        </w:rPr>
        <w:t xml:space="preserve"> </w:t>
      </w:r>
      <w:r w:rsidRPr="00A344BB">
        <w:rPr>
          <w:szCs w:val="22"/>
          <w:lang w:eastAsia="cs-CZ"/>
        </w:rPr>
        <w:t>u detí vo veku 4 až 16 rokov s</w:t>
      </w:r>
      <w:r w:rsidR="008A778F" w:rsidRPr="00A344BB">
        <w:rPr>
          <w:szCs w:val="22"/>
          <w:lang w:eastAsia="cs-CZ"/>
        </w:rPr>
        <w:t> </w:t>
      </w:r>
      <w:r w:rsidRPr="00A344BB">
        <w:rPr>
          <w:szCs w:val="22"/>
          <w:lang w:eastAsia="cs-CZ"/>
        </w:rPr>
        <w:t>parciálnymi</w:t>
      </w:r>
      <w:r w:rsidR="008A778F" w:rsidRPr="00A344BB">
        <w:rPr>
          <w:szCs w:val="22"/>
          <w:lang w:eastAsia="cs-CZ"/>
        </w:rPr>
        <w:t xml:space="preserve"> </w:t>
      </w:r>
      <w:r w:rsidRPr="00A344BB">
        <w:rPr>
          <w:szCs w:val="22"/>
          <w:lang w:eastAsia="cs-CZ"/>
        </w:rPr>
        <w:t xml:space="preserve">záchvatmi. Bolo konštatované, že </w:t>
      </w:r>
      <w:proofErr w:type="spellStart"/>
      <w:r w:rsidR="000D1B39" w:rsidRPr="00A344BB">
        <w:rPr>
          <w:szCs w:val="22"/>
          <w:lang w:eastAsia="cs-CZ"/>
        </w:rPr>
        <w:t>levetiracetam</w:t>
      </w:r>
      <w:proofErr w:type="spellEnd"/>
      <w:r w:rsidR="000D1B39" w:rsidRPr="00A344BB">
        <w:rPr>
          <w:szCs w:val="22"/>
          <w:lang w:eastAsia="cs-CZ"/>
        </w:rPr>
        <w:t xml:space="preserve"> </w:t>
      </w:r>
      <w:r w:rsidRPr="00A344BB">
        <w:rPr>
          <w:szCs w:val="22"/>
          <w:lang w:eastAsia="cs-CZ"/>
        </w:rPr>
        <w:t xml:space="preserve">sa neodlišovala (nebola inferiórna) od </w:t>
      </w:r>
      <w:proofErr w:type="spellStart"/>
      <w:r w:rsidRPr="00A344BB">
        <w:rPr>
          <w:szCs w:val="22"/>
          <w:lang w:eastAsia="cs-CZ"/>
        </w:rPr>
        <w:t>placeba</w:t>
      </w:r>
      <w:proofErr w:type="spellEnd"/>
      <w:r w:rsidRPr="00A344BB">
        <w:rPr>
          <w:szCs w:val="22"/>
          <w:lang w:eastAsia="cs-CZ"/>
        </w:rPr>
        <w:t>, pokiaľ ide</w:t>
      </w:r>
      <w:r w:rsidR="008A778F" w:rsidRPr="00A344BB">
        <w:rPr>
          <w:szCs w:val="22"/>
          <w:lang w:eastAsia="cs-CZ"/>
        </w:rPr>
        <w:t xml:space="preserve"> </w:t>
      </w:r>
      <w:r w:rsidRPr="00A344BB">
        <w:rPr>
          <w:szCs w:val="22"/>
          <w:lang w:eastAsia="cs-CZ"/>
        </w:rPr>
        <w:t xml:space="preserve">o zmenu od východiskového stavu v skóre </w:t>
      </w:r>
      <w:proofErr w:type="spellStart"/>
      <w:r w:rsidRPr="00A344BB">
        <w:rPr>
          <w:szCs w:val="22"/>
          <w:lang w:eastAsia="cs-CZ"/>
        </w:rPr>
        <w:t>Leiter-R</w:t>
      </w:r>
      <w:proofErr w:type="spellEnd"/>
      <w:r w:rsidRPr="00A344BB">
        <w:rPr>
          <w:szCs w:val="22"/>
          <w:lang w:eastAsia="cs-CZ"/>
        </w:rPr>
        <w:t xml:space="preserve"> na pozornosť a pamäť, zloženom skóre k</w:t>
      </w:r>
      <w:r w:rsidR="008A778F" w:rsidRPr="00A344BB">
        <w:rPr>
          <w:szCs w:val="22"/>
          <w:lang w:eastAsia="cs-CZ"/>
        </w:rPr>
        <w:t xml:space="preserve"> </w:t>
      </w:r>
      <w:r w:rsidRPr="00A344BB">
        <w:rPr>
          <w:szCs w:val="22"/>
          <w:lang w:eastAsia="cs-CZ"/>
        </w:rPr>
        <w:t>hodnoteniu pamäti (</w:t>
      </w:r>
      <w:proofErr w:type="spellStart"/>
      <w:r w:rsidRPr="00A344BB">
        <w:rPr>
          <w:szCs w:val="22"/>
          <w:lang w:eastAsia="cs-CZ"/>
        </w:rPr>
        <w:t>Leiter-R</w:t>
      </w:r>
      <w:proofErr w:type="spellEnd"/>
      <w:r w:rsidRPr="00A344BB">
        <w:rPr>
          <w:szCs w:val="22"/>
          <w:lang w:eastAsia="cs-CZ"/>
        </w:rPr>
        <w:t xml:space="preserve"> </w:t>
      </w:r>
      <w:proofErr w:type="spellStart"/>
      <w:r w:rsidRPr="00A344BB">
        <w:rPr>
          <w:szCs w:val="22"/>
          <w:lang w:eastAsia="cs-CZ"/>
        </w:rPr>
        <w:t>Attention</w:t>
      </w:r>
      <w:proofErr w:type="spellEnd"/>
      <w:r w:rsidRPr="00A344BB">
        <w:rPr>
          <w:szCs w:val="22"/>
          <w:lang w:eastAsia="cs-CZ"/>
        </w:rPr>
        <w:t xml:space="preserve"> and </w:t>
      </w:r>
      <w:proofErr w:type="spellStart"/>
      <w:r w:rsidRPr="00A344BB">
        <w:rPr>
          <w:szCs w:val="22"/>
          <w:lang w:eastAsia="cs-CZ"/>
        </w:rPr>
        <w:t>Memory</w:t>
      </w:r>
      <w:proofErr w:type="spellEnd"/>
      <w:r w:rsidRPr="00A344BB">
        <w:rPr>
          <w:szCs w:val="22"/>
          <w:lang w:eastAsia="cs-CZ"/>
        </w:rPr>
        <w:t xml:space="preserve">, </w:t>
      </w:r>
      <w:proofErr w:type="spellStart"/>
      <w:r w:rsidRPr="00A344BB">
        <w:rPr>
          <w:szCs w:val="22"/>
          <w:lang w:eastAsia="cs-CZ"/>
        </w:rPr>
        <w:t>Memory</w:t>
      </w:r>
      <w:proofErr w:type="spellEnd"/>
      <w:r w:rsidRPr="00A344BB">
        <w:rPr>
          <w:szCs w:val="22"/>
          <w:lang w:eastAsia="cs-CZ"/>
        </w:rPr>
        <w:t xml:space="preserve"> </w:t>
      </w:r>
      <w:proofErr w:type="spellStart"/>
      <w:r w:rsidRPr="00A344BB">
        <w:rPr>
          <w:szCs w:val="22"/>
          <w:lang w:eastAsia="cs-CZ"/>
        </w:rPr>
        <w:t>Screen</w:t>
      </w:r>
      <w:proofErr w:type="spellEnd"/>
      <w:r w:rsidRPr="00A344BB">
        <w:rPr>
          <w:szCs w:val="22"/>
          <w:lang w:eastAsia="cs-CZ"/>
        </w:rPr>
        <w:t xml:space="preserve"> </w:t>
      </w:r>
      <w:proofErr w:type="spellStart"/>
      <w:r w:rsidRPr="00A344BB">
        <w:rPr>
          <w:szCs w:val="22"/>
          <w:lang w:eastAsia="cs-CZ"/>
        </w:rPr>
        <w:t>Composite</w:t>
      </w:r>
      <w:proofErr w:type="spellEnd"/>
      <w:r w:rsidRPr="00A344BB">
        <w:rPr>
          <w:szCs w:val="22"/>
          <w:lang w:eastAsia="cs-CZ"/>
        </w:rPr>
        <w:t xml:space="preserve"> </w:t>
      </w:r>
      <w:proofErr w:type="spellStart"/>
      <w:r w:rsidRPr="00A344BB">
        <w:rPr>
          <w:szCs w:val="22"/>
          <w:lang w:eastAsia="cs-CZ"/>
        </w:rPr>
        <w:t>score</w:t>
      </w:r>
      <w:proofErr w:type="spellEnd"/>
      <w:r w:rsidRPr="00A344BB">
        <w:rPr>
          <w:szCs w:val="22"/>
          <w:lang w:eastAsia="cs-CZ"/>
        </w:rPr>
        <w:t>) u</w:t>
      </w:r>
      <w:r w:rsidR="008A778F" w:rsidRPr="00A344BB">
        <w:rPr>
          <w:szCs w:val="22"/>
          <w:lang w:eastAsia="cs-CZ"/>
        </w:rPr>
        <w:t> </w:t>
      </w:r>
      <w:r w:rsidRPr="00A344BB">
        <w:rPr>
          <w:szCs w:val="22"/>
          <w:lang w:eastAsia="cs-CZ"/>
        </w:rPr>
        <w:t>populácie</w:t>
      </w:r>
      <w:r w:rsidR="008A778F" w:rsidRPr="00A344BB">
        <w:rPr>
          <w:szCs w:val="22"/>
          <w:lang w:eastAsia="cs-CZ"/>
        </w:rPr>
        <w:t xml:space="preserve"> </w:t>
      </w:r>
      <w:r w:rsidRPr="00A344BB">
        <w:rPr>
          <w:szCs w:val="22"/>
          <w:lang w:eastAsia="cs-CZ"/>
        </w:rPr>
        <w:t xml:space="preserve">splňujúcej protokol štúdie. Výsledky týkajúce sa </w:t>
      </w:r>
      <w:proofErr w:type="spellStart"/>
      <w:r w:rsidRPr="00A344BB">
        <w:rPr>
          <w:szCs w:val="22"/>
          <w:lang w:eastAsia="cs-CZ"/>
        </w:rPr>
        <w:t>behaviorálneho</w:t>
      </w:r>
      <w:proofErr w:type="spellEnd"/>
      <w:r w:rsidRPr="00A344BB">
        <w:rPr>
          <w:szCs w:val="22"/>
          <w:lang w:eastAsia="cs-CZ"/>
        </w:rPr>
        <w:t xml:space="preserve"> a emočného fungovania naznačovali</w:t>
      </w:r>
      <w:r w:rsidR="008A778F" w:rsidRPr="00A344BB">
        <w:rPr>
          <w:szCs w:val="22"/>
          <w:lang w:eastAsia="cs-CZ"/>
        </w:rPr>
        <w:t xml:space="preserve"> </w:t>
      </w:r>
      <w:r w:rsidRPr="00A344BB">
        <w:rPr>
          <w:szCs w:val="22"/>
          <w:lang w:eastAsia="cs-CZ"/>
        </w:rPr>
        <w:t xml:space="preserve">u pacientov liečených </w:t>
      </w:r>
      <w:proofErr w:type="spellStart"/>
      <w:r w:rsidR="00EE0356" w:rsidRPr="00A344BB">
        <w:rPr>
          <w:szCs w:val="22"/>
          <w:lang w:eastAsia="cs-CZ"/>
        </w:rPr>
        <w:t>levetiracetamom</w:t>
      </w:r>
      <w:proofErr w:type="spellEnd"/>
      <w:r w:rsidR="00EE0356" w:rsidRPr="00A344BB">
        <w:rPr>
          <w:szCs w:val="22"/>
          <w:lang w:eastAsia="cs-CZ"/>
        </w:rPr>
        <w:t xml:space="preserve"> </w:t>
      </w:r>
      <w:r w:rsidRPr="00A344BB">
        <w:rPr>
          <w:szCs w:val="22"/>
          <w:lang w:eastAsia="cs-CZ"/>
        </w:rPr>
        <w:t>zhoršenie, pokiaľ ide o agresívne správanie, čo bolo merané</w:t>
      </w:r>
      <w:r w:rsidR="008A778F" w:rsidRPr="00A344BB">
        <w:rPr>
          <w:szCs w:val="22"/>
          <w:lang w:eastAsia="cs-CZ"/>
        </w:rPr>
        <w:t xml:space="preserve"> </w:t>
      </w:r>
      <w:r w:rsidRPr="00A344BB">
        <w:rPr>
          <w:szCs w:val="22"/>
          <w:lang w:eastAsia="cs-CZ"/>
        </w:rPr>
        <w:t>štandardizovaným a systematickým spôsobom s použitím overeného nástroja (</w:t>
      </w:r>
      <w:proofErr w:type="spellStart"/>
      <w:r w:rsidRPr="00A344BB">
        <w:rPr>
          <w:szCs w:val="22"/>
          <w:lang w:eastAsia="cs-CZ"/>
        </w:rPr>
        <w:t>CBCL</w:t>
      </w:r>
      <w:proofErr w:type="spellEnd"/>
      <w:r w:rsidRPr="00A344BB">
        <w:rPr>
          <w:szCs w:val="22"/>
          <w:lang w:eastAsia="cs-CZ"/>
        </w:rPr>
        <w:t xml:space="preserve"> </w:t>
      </w:r>
      <w:r w:rsidR="008A778F" w:rsidRPr="00A344BB">
        <w:rPr>
          <w:szCs w:val="22"/>
          <w:lang w:eastAsia="cs-CZ"/>
        </w:rPr>
        <w:t>–</w:t>
      </w:r>
      <w:proofErr w:type="spellStart"/>
      <w:r w:rsidRPr="00A344BB">
        <w:rPr>
          <w:szCs w:val="22"/>
          <w:lang w:eastAsia="cs-CZ"/>
        </w:rPr>
        <w:t>Achenbach</w:t>
      </w:r>
      <w:proofErr w:type="spellEnd"/>
      <w:r w:rsidR="008A778F" w:rsidRPr="00A344BB">
        <w:rPr>
          <w:szCs w:val="22"/>
          <w:lang w:eastAsia="cs-CZ"/>
        </w:rPr>
        <w:t xml:space="preserve"> </w:t>
      </w:r>
      <w:proofErr w:type="spellStart"/>
      <w:r w:rsidRPr="00A344BB">
        <w:rPr>
          <w:szCs w:val="22"/>
          <w:lang w:eastAsia="cs-CZ"/>
        </w:rPr>
        <w:t>Child</w:t>
      </w:r>
      <w:proofErr w:type="spellEnd"/>
      <w:r w:rsidRPr="00A344BB">
        <w:rPr>
          <w:szCs w:val="22"/>
          <w:lang w:eastAsia="cs-CZ"/>
        </w:rPr>
        <w:t xml:space="preserve"> </w:t>
      </w:r>
      <w:proofErr w:type="spellStart"/>
      <w:r w:rsidRPr="00A344BB">
        <w:rPr>
          <w:szCs w:val="22"/>
          <w:lang w:eastAsia="cs-CZ"/>
        </w:rPr>
        <w:t>Behavior</w:t>
      </w:r>
      <w:proofErr w:type="spellEnd"/>
      <w:r w:rsidRPr="00A344BB">
        <w:rPr>
          <w:szCs w:val="22"/>
          <w:lang w:eastAsia="cs-CZ"/>
        </w:rPr>
        <w:t xml:space="preserve"> </w:t>
      </w:r>
      <w:proofErr w:type="spellStart"/>
      <w:r w:rsidRPr="00A344BB">
        <w:rPr>
          <w:szCs w:val="22"/>
          <w:lang w:eastAsia="cs-CZ"/>
        </w:rPr>
        <w:t>Checklist</w:t>
      </w:r>
      <w:proofErr w:type="spellEnd"/>
      <w:r w:rsidRPr="00A344BB">
        <w:rPr>
          <w:szCs w:val="22"/>
          <w:lang w:eastAsia="cs-CZ"/>
        </w:rPr>
        <w:t xml:space="preserve">; </w:t>
      </w:r>
      <w:proofErr w:type="spellStart"/>
      <w:r w:rsidRPr="00A344BB">
        <w:rPr>
          <w:szCs w:val="22"/>
          <w:lang w:eastAsia="cs-CZ"/>
        </w:rPr>
        <w:t>Achenbachov</w:t>
      </w:r>
      <w:proofErr w:type="spellEnd"/>
      <w:r w:rsidRPr="00A344BB">
        <w:rPr>
          <w:szCs w:val="22"/>
          <w:lang w:eastAsia="cs-CZ"/>
        </w:rPr>
        <w:t xml:space="preserve"> kontrolný zoznam správania detí). Avšak, u jedincov, ktorí</w:t>
      </w:r>
      <w:r w:rsidR="008A778F" w:rsidRPr="00A344BB">
        <w:rPr>
          <w:szCs w:val="22"/>
          <w:lang w:eastAsia="cs-CZ"/>
        </w:rPr>
        <w:t xml:space="preserve"> </w:t>
      </w:r>
      <w:r w:rsidRPr="00A344BB">
        <w:rPr>
          <w:szCs w:val="22"/>
          <w:lang w:eastAsia="cs-CZ"/>
        </w:rPr>
        <w:t xml:space="preserve">užívali </w:t>
      </w:r>
      <w:proofErr w:type="spellStart"/>
      <w:r w:rsidR="000D1B39" w:rsidRPr="00A344BB">
        <w:rPr>
          <w:szCs w:val="22"/>
          <w:lang w:eastAsia="cs-CZ"/>
        </w:rPr>
        <w:t>levetiracetam</w:t>
      </w:r>
      <w:proofErr w:type="spellEnd"/>
      <w:r w:rsidR="000D1B39" w:rsidRPr="00A344BB">
        <w:rPr>
          <w:szCs w:val="22"/>
          <w:lang w:eastAsia="cs-CZ"/>
        </w:rPr>
        <w:t xml:space="preserve"> </w:t>
      </w:r>
      <w:r w:rsidRPr="00A344BB">
        <w:rPr>
          <w:szCs w:val="22"/>
          <w:lang w:eastAsia="cs-CZ"/>
        </w:rPr>
        <w:t>v dlhodobej nezaslepenej následnej štúdii, nedošlo v priemere k</w:t>
      </w:r>
      <w:r w:rsidR="008A778F" w:rsidRPr="00A344BB">
        <w:rPr>
          <w:szCs w:val="22"/>
          <w:lang w:eastAsia="cs-CZ"/>
        </w:rPr>
        <w:t> </w:t>
      </w:r>
      <w:r w:rsidRPr="00A344BB">
        <w:rPr>
          <w:szCs w:val="22"/>
          <w:lang w:eastAsia="cs-CZ"/>
        </w:rPr>
        <w:t>zhoršeniu</w:t>
      </w:r>
      <w:r w:rsidR="008A778F" w:rsidRPr="00A344BB">
        <w:rPr>
          <w:szCs w:val="22"/>
          <w:lang w:eastAsia="cs-CZ"/>
        </w:rPr>
        <w:t xml:space="preserve"> </w:t>
      </w:r>
      <w:proofErr w:type="spellStart"/>
      <w:r w:rsidRPr="00A344BB">
        <w:rPr>
          <w:szCs w:val="22"/>
          <w:lang w:eastAsia="cs-CZ"/>
        </w:rPr>
        <w:t>behaviorálneho</w:t>
      </w:r>
      <w:proofErr w:type="spellEnd"/>
      <w:r w:rsidRPr="00A344BB">
        <w:rPr>
          <w:szCs w:val="22"/>
          <w:lang w:eastAsia="cs-CZ"/>
        </w:rPr>
        <w:t xml:space="preserve"> a emočného fungovania; obzvlášť miery agresívneho správania neboli horšie oproti</w:t>
      </w:r>
      <w:r w:rsidR="008A778F" w:rsidRPr="00A344BB">
        <w:rPr>
          <w:szCs w:val="22"/>
          <w:lang w:eastAsia="cs-CZ"/>
        </w:rPr>
        <w:t xml:space="preserve"> </w:t>
      </w:r>
      <w:r w:rsidRPr="00A344BB">
        <w:rPr>
          <w:szCs w:val="22"/>
          <w:lang w:eastAsia="cs-CZ"/>
        </w:rPr>
        <w:t>východiskovému stavu.</w:t>
      </w:r>
    </w:p>
    <w:p w14:paraId="089D8DA2" w14:textId="77777777" w:rsidR="00CB43B8" w:rsidRPr="00A344BB" w:rsidRDefault="00CB43B8" w:rsidP="00CB43B8">
      <w:pPr>
        <w:suppressLineNumbers/>
        <w:tabs>
          <w:tab w:val="clear" w:pos="567"/>
        </w:tabs>
        <w:autoSpaceDE w:val="0"/>
        <w:autoSpaceDN w:val="0"/>
        <w:adjustRightInd w:val="0"/>
        <w:spacing w:line="240" w:lineRule="auto"/>
        <w:ind w:left="567" w:hanging="567"/>
        <w:rPr>
          <w:noProof/>
          <w:szCs w:val="22"/>
          <w:u w:val="single"/>
        </w:rPr>
      </w:pPr>
    </w:p>
    <w:p w14:paraId="1F4F36A0" w14:textId="77777777" w:rsidR="00CB43B8" w:rsidRPr="00A344BB" w:rsidRDefault="00CB43B8" w:rsidP="0096391B">
      <w:pPr>
        <w:keepNext/>
        <w:suppressLineNumbers/>
        <w:tabs>
          <w:tab w:val="clear" w:pos="567"/>
        </w:tabs>
        <w:autoSpaceDE w:val="0"/>
        <w:autoSpaceDN w:val="0"/>
        <w:adjustRightInd w:val="0"/>
        <w:spacing w:line="240" w:lineRule="auto"/>
        <w:ind w:left="567" w:hanging="567"/>
        <w:rPr>
          <w:szCs w:val="22"/>
          <w:u w:val="single"/>
        </w:rPr>
      </w:pPr>
      <w:r w:rsidRPr="00A344BB">
        <w:rPr>
          <w:noProof/>
          <w:szCs w:val="22"/>
          <w:u w:val="single"/>
        </w:rPr>
        <w:lastRenderedPageBreak/>
        <w:t>Hlásenie podozrení na nežiaduce reakcie</w:t>
      </w:r>
    </w:p>
    <w:p w14:paraId="3CEF697F" w14:textId="1A8B0174" w:rsidR="00CB43B8" w:rsidRPr="00A344BB" w:rsidRDefault="00CB43B8" w:rsidP="0096391B">
      <w:pPr>
        <w:keepNext/>
        <w:suppressLineNumbers/>
        <w:tabs>
          <w:tab w:val="clear" w:pos="567"/>
        </w:tabs>
        <w:autoSpaceDE w:val="0"/>
        <w:autoSpaceDN w:val="0"/>
        <w:adjustRightInd w:val="0"/>
        <w:spacing w:line="240" w:lineRule="auto"/>
        <w:rPr>
          <w:noProof/>
          <w:szCs w:val="22"/>
        </w:rPr>
      </w:pPr>
      <w:r w:rsidRPr="00A344BB">
        <w:rPr>
          <w:noProof/>
          <w:szCs w:val="22"/>
        </w:rPr>
        <w:t>Hlásenie podozrení na nežiaduce reakcie po registrácii lieku je dôležité.</w:t>
      </w:r>
      <w:r w:rsidRPr="00A344BB">
        <w:rPr>
          <w:szCs w:val="22"/>
        </w:rPr>
        <w:t xml:space="preserve"> </w:t>
      </w:r>
      <w:r w:rsidRPr="00A344BB">
        <w:rPr>
          <w:noProof/>
          <w:szCs w:val="22"/>
        </w:rPr>
        <w:t>Umožňuje priebežné monitorovanie pomeru prínosu a rizika lieku.</w:t>
      </w:r>
      <w:r w:rsidRPr="00A344BB">
        <w:rPr>
          <w:szCs w:val="22"/>
        </w:rPr>
        <w:t xml:space="preserve"> Od </w:t>
      </w:r>
      <w:r w:rsidRPr="00A344BB">
        <w:rPr>
          <w:noProof/>
          <w:szCs w:val="22"/>
        </w:rPr>
        <w:t xml:space="preserve">zdravotníckych pracovníkov sa vyžaduje, aby hlásili akékoľvek podozrenia na nežiaduce reakcie </w:t>
      </w:r>
      <w:r w:rsidR="00AB18D2" w:rsidRPr="00A344BB">
        <w:rPr>
          <w:noProof/>
          <w:szCs w:val="22"/>
        </w:rPr>
        <w:t xml:space="preserve">na </w:t>
      </w:r>
      <w:r w:rsidRPr="00A344BB">
        <w:rPr>
          <w:noProof/>
          <w:szCs w:val="22"/>
          <w:highlight w:val="lightGray"/>
        </w:rPr>
        <w:t>národné</w:t>
      </w:r>
      <w:r w:rsidR="00AB18D2" w:rsidRPr="00A344BB">
        <w:rPr>
          <w:noProof/>
          <w:szCs w:val="22"/>
          <w:highlight w:val="lightGray"/>
        </w:rPr>
        <w:t xml:space="preserve"> centrum </w:t>
      </w:r>
      <w:r w:rsidRPr="00A344BB">
        <w:rPr>
          <w:noProof/>
          <w:szCs w:val="22"/>
          <w:highlight w:val="lightGray"/>
        </w:rPr>
        <w:t xml:space="preserve"> hlásenia uvedené v</w:t>
      </w:r>
      <w:r w:rsidR="00AB18D2" w:rsidRPr="00A344BB">
        <w:rPr>
          <w:noProof/>
          <w:szCs w:val="22"/>
          <w:highlight w:val="lightGray"/>
        </w:rPr>
        <w:t> </w:t>
      </w:r>
      <w:hyperlink r:id="rId9" w:history="1">
        <w:r w:rsidRPr="00A344BB">
          <w:rPr>
            <w:noProof/>
            <w:szCs w:val="22"/>
            <w:highlight w:val="lightGray"/>
            <w:u w:val="single"/>
          </w:rPr>
          <w:t>Prílohe</w:t>
        </w:r>
        <w:r w:rsidR="00AB18D2" w:rsidRPr="00A344BB">
          <w:rPr>
            <w:noProof/>
            <w:szCs w:val="22"/>
            <w:highlight w:val="lightGray"/>
            <w:u w:val="single"/>
          </w:rPr>
          <w:t> </w:t>
        </w:r>
        <w:r w:rsidRPr="00A344BB">
          <w:rPr>
            <w:noProof/>
            <w:szCs w:val="22"/>
            <w:highlight w:val="lightGray"/>
            <w:u w:val="single"/>
          </w:rPr>
          <w:t>V</w:t>
        </w:r>
      </w:hyperlink>
      <w:r w:rsidRPr="00A344BB">
        <w:rPr>
          <w:noProof/>
          <w:szCs w:val="22"/>
        </w:rPr>
        <w:t>.</w:t>
      </w:r>
    </w:p>
    <w:p w14:paraId="47AF1104" w14:textId="77777777" w:rsidR="008A778F" w:rsidRPr="00A344BB" w:rsidRDefault="008A778F" w:rsidP="00EB5620">
      <w:pPr>
        <w:tabs>
          <w:tab w:val="clear" w:pos="567"/>
        </w:tabs>
        <w:autoSpaceDE w:val="0"/>
        <w:autoSpaceDN w:val="0"/>
        <w:adjustRightInd w:val="0"/>
        <w:spacing w:line="240" w:lineRule="auto"/>
        <w:rPr>
          <w:b/>
          <w:bCs/>
          <w:szCs w:val="22"/>
        </w:rPr>
      </w:pPr>
    </w:p>
    <w:p w14:paraId="222CA52A" w14:textId="77777777" w:rsidR="002F07D4" w:rsidRPr="00A344BB" w:rsidRDefault="002F07D4" w:rsidP="0096391B">
      <w:pPr>
        <w:pStyle w:val="Normlnywebov"/>
        <w:keepNext/>
        <w:spacing w:before="0" w:beforeAutospacing="0" w:after="0"/>
        <w:rPr>
          <w:b/>
          <w:bCs/>
          <w:color w:val="auto"/>
          <w:sz w:val="22"/>
          <w:szCs w:val="22"/>
        </w:rPr>
      </w:pPr>
      <w:r w:rsidRPr="00A344BB">
        <w:rPr>
          <w:b/>
          <w:color w:val="auto"/>
          <w:sz w:val="22"/>
          <w:szCs w:val="22"/>
        </w:rPr>
        <w:t xml:space="preserve">4.9 </w:t>
      </w:r>
      <w:r w:rsidRPr="00A344BB">
        <w:rPr>
          <w:b/>
          <w:color w:val="auto"/>
          <w:sz w:val="22"/>
          <w:szCs w:val="22"/>
        </w:rPr>
        <w:tab/>
        <w:t>Predávkovanie</w:t>
      </w:r>
    </w:p>
    <w:p w14:paraId="25C90684" w14:textId="77777777" w:rsidR="00AB0C1C" w:rsidRPr="00A344BB" w:rsidRDefault="00AB0C1C" w:rsidP="0096391B">
      <w:pPr>
        <w:keepNext/>
        <w:tabs>
          <w:tab w:val="clear" w:pos="567"/>
        </w:tabs>
        <w:autoSpaceDE w:val="0"/>
        <w:autoSpaceDN w:val="0"/>
        <w:adjustRightInd w:val="0"/>
        <w:spacing w:line="240" w:lineRule="auto"/>
        <w:rPr>
          <w:szCs w:val="22"/>
          <w:u w:val="single"/>
          <w:lang w:eastAsia="cs-CZ"/>
        </w:rPr>
      </w:pPr>
    </w:p>
    <w:p w14:paraId="2C0BA9A8" w14:textId="77777777" w:rsidR="008A778F" w:rsidRPr="00A344BB" w:rsidRDefault="008A778F"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Symptómy</w:t>
      </w:r>
    </w:p>
    <w:p w14:paraId="5678523E" w14:textId="77777777" w:rsidR="00AB0C1C" w:rsidRPr="00A344BB" w:rsidRDefault="00AB0C1C" w:rsidP="0096391B">
      <w:pPr>
        <w:keepNext/>
        <w:tabs>
          <w:tab w:val="clear" w:pos="567"/>
        </w:tabs>
        <w:autoSpaceDE w:val="0"/>
        <w:autoSpaceDN w:val="0"/>
        <w:adjustRightInd w:val="0"/>
        <w:spacing w:line="240" w:lineRule="auto"/>
        <w:rPr>
          <w:szCs w:val="22"/>
          <w:lang w:eastAsia="cs-CZ"/>
        </w:rPr>
      </w:pPr>
    </w:p>
    <w:p w14:paraId="60F807E9" w14:textId="77777777" w:rsidR="008A778F" w:rsidRPr="00A344BB" w:rsidRDefault="008A778F"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Po predávkovaniach </w:t>
      </w:r>
      <w:proofErr w:type="spellStart"/>
      <w:r w:rsidR="000D1B39" w:rsidRPr="00A344BB">
        <w:rPr>
          <w:szCs w:val="22"/>
          <w:lang w:eastAsia="cs-CZ"/>
        </w:rPr>
        <w:t>levetiracetamom</w:t>
      </w:r>
      <w:proofErr w:type="spellEnd"/>
      <w:r w:rsidR="000D1B39" w:rsidRPr="00A344BB">
        <w:rPr>
          <w:szCs w:val="22"/>
          <w:lang w:eastAsia="cs-CZ"/>
        </w:rPr>
        <w:t xml:space="preserve"> </w:t>
      </w:r>
      <w:r w:rsidRPr="00A344BB">
        <w:rPr>
          <w:szCs w:val="22"/>
          <w:lang w:eastAsia="cs-CZ"/>
        </w:rPr>
        <w:t xml:space="preserve">sa pozorovala </w:t>
      </w:r>
      <w:proofErr w:type="spellStart"/>
      <w:r w:rsidRPr="00A344BB">
        <w:rPr>
          <w:szCs w:val="22"/>
          <w:lang w:eastAsia="cs-CZ"/>
        </w:rPr>
        <w:t>somnolencia</w:t>
      </w:r>
      <w:proofErr w:type="spellEnd"/>
      <w:r w:rsidRPr="00A344BB">
        <w:rPr>
          <w:szCs w:val="22"/>
          <w:lang w:eastAsia="cs-CZ"/>
        </w:rPr>
        <w:t>, nepokoj, agresia, znížený stupeň vedomia, depresia dýchania a kóma.</w:t>
      </w:r>
    </w:p>
    <w:p w14:paraId="26546B5C"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0FA7699D" w14:textId="77777777" w:rsidR="008A778F" w:rsidRPr="00A344BB" w:rsidRDefault="008A778F"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Liečba predávkovania</w:t>
      </w:r>
    </w:p>
    <w:p w14:paraId="248B6090" w14:textId="77777777" w:rsidR="00AB0C1C" w:rsidRPr="00A344BB" w:rsidRDefault="00AB0C1C" w:rsidP="0096391B">
      <w:pPr>
        <w:keepNext/>
        <w:tabs>
          <w:tab w:val="clear" w:pos="567"/>
        </w:tabs>
        <w:autoSpaceDE w:val="0"/>
        <w:autoSpaceDN w:val="0"/>
        <w:adjustRightInd w:val="0"/>
        <w:spacing w:line="240" w:lineRule="auto"/>
        <w:rPr>
          <w:szCs w:val="22"/>
          <w:lang w:eastAsia="cs-CZ"/>
        </w:rPr>
      </w:pPr>
    </w:p>
    <w:p w14:paraId="12043474" w14:textId="77777777" w:rsidR="002F07D4" w:rsidRPr="00A344BB" w:rsidRDefault="008A778F"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Po akútnom predávkovaní možno vyprázdniť žalúdok výplachom žalúdka alebo vyvolaním vracania. Neexistuje žiadne špecifické </w:t>
      </w:r>
      <w:proofErr w:type="spellStart"/>
      <w:r w:rsidRPr="00A344BB">
        <w:rPr>
          <w:szCs w:val="22"/>
          <w:lang w:eastAsia="cs-CZ"/>
        </w:rPr>
        <w:t>antidotum</w:t>
      </w:r>
      <w:proofErr w:type="spellEnd"/>
      <w:r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Liečba predávkovania má byť symptomatická a môže zahŕňať hemodialýzu. Účinnosť vylučovania </w:t>
      </w:r>
      <w:proofErr w:type="spellStart"/>
      <w:r w:rsidRPr="00A344BB">
        <w:rPr>
          <w:szCs w:val="22"/>
          <w:lang w:eastAsia="cs-CZ"/>
        </w:rPr>
        <w:t>levetiracetamu</w:t>
      </w:r>
      <w:proofErr w:type="spellEnd"/>
      <w:r w:rsidRPr="00A344BB">
        <w:rPr>
          <w:szCs w:val="22"/>
          <w:lang w:eastAsia="cs-CZ"/>
        </w:rPr>
        <w:t xml:space="preserve"> dialýzou je 60 % a primárneho </w:t>
      </w:r>
      <w:proofErr w:type="spellStart"/>
      <w:r w:rsidRPr="00A344BB">
        <w:rPr>
          <w:szCs w:val="22"/>
          <w:lang w:eastAsia="cs-CZ"/>
        </w:rPr>
        <w:t>metabolitu</w:t>
      </w:r>
      <w:proofErr w:type="spellEnd"/>
      <w:r w:rsidRPr="00A344BB">
        <w:rPr>
          <w:szCs w:val="22"/>
          <w:lang w:eastAsia="cs-CZ"/>
        </w:rPr>
        <w:t xml:space="preserve"> 74 %.</w:t>
      </w:r>
    </w:p>
    <w:p w14:paraId="465D0C33" w14:textId="77777777" w:rsidR="008A778F" w:rsidRPr="00A344BB" w:rsidRDefault="008A778F" w:rsidP="00EB5620">
      <w:pPr>
        <w:tabs>
          <w:tab w:val="clear" w:pos="567"/>
        </w:tabs>
        <w:autoSpaceDE w:val="0"/>
        <w:autoSpaceDN w:val="0"/>
        <w:adjustRightInd w:val="0"/>
        <w:spacing w:line="240" w:lineRule="auto"/>
        <w:rPr>
          <w:szCs w:val="22"/>
          <w:lang w:eastAsia="cs-CZ"/>
        </w:rPr>
      </w:pPr>
    </w:p>
    <w:p w14:paraId="7AA9D3FF" w14:textId="77777777" w:rsidR="008A778F" w:rsidRPr="00A344BB" w:rsidRDefault="008A778F" w:rsidP="00EB5620">
      <w:pPr>
        <w:tabs>
          <w:tab w:val="clear" w:pos="567"/>
        </w:tabs>
        <w:autoSpaceDE w:val="0"/>
        <w:autoSpaceDN w:val="0"/>
        <w:adjustRightInd w:val="0"/>
        <w:spacing w:line="240" w:lineRule="auto"/>
        <w:rPr>
          <w:szCs w:val="22"/>
        </w:rPr>
      </w:pPr>
    </w:p>
    <w:p w14:paraId="6036C4D0" w14:textId="77777777" w:rsidR="002F07D4" w:rsidRPr="00A344BB" w:rsidRDefault="002F07D4" w:rsidP="00EB5620">
      <w:pPr>
        <w:pStyle w:val="Normlnywebov"/>
        <w:spacing w:before="0" w:beforeAutospacing="0" w:after="0"/>
        <w:rPr>
          <w:b/>
          <w:bCs/>
          <w:color w:val="auto"/>
          <w:sz w:val="22"/>
          <w:szCs w:val="22"/>
        </w:rPr>
      </w:pPr>
      <w:r w:rsidRPr="00A344BB">
        <w:rPr>
          <w:b/>
          <w:color w:val="auto"/>
          <w:sz w:val="22"/>
          <w:szCs w:val="22"/>
        </w:rPr>
        <w:t xml:space="preserve">5. </w:t>
      </w:r>
      <w:r w:rsidRPr="00A344BB">
        <w:rPr>
          <w:b/>
          <w:color w:val="auto"/>
          <w:sz w:val="22"/>
          <w:szCs w:val="22"/>
        </w:rPr>
        <w:tab/>
        <w:t>FARMAKOLOGICKÉ VLASTNOSTI</w:t>
      </w:r>
    </w:p>
    <w:p w14:paraId="30293E0C" w14:textId="77777777" w:rsidR="008A778F" w:rsidRPr="00A344BB" w:rsidRDefault="008A778F" w:rsidP="00EB5620">
      <w:pPr>
        <w:autoSpaceDE w:val="0"/>
        <w:autoSpaceDN w:val="0"/>
        <w:adjustRightInd w:val="0"/>
        <w:spacing w:line="240" w:lineRule="auto"/>
        <w:rPr>
          <w:szCs w:val="22"/>
        </w:rPr>
      </w:pPr>
    </w:p>
    <w:p w14:paraId="393E2E13"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5.1 </w:t>
      </w:r>
      <w:r w:rsidRPr="00A344BB">
        <w:rPr>
          <w:b/>
          <w:szCs w:val="22"/>
        </w:rPr>
        <w:tab/>
      </w:r>
      <w:r w:rsidRPr="00A344BB">
        <w:rPr>
          <w:b/>
          <w:szCs w:val="22"/>
        </w:rPr>
        <w:tab/>
      </w:r>
      <w:proofErr w:type="spellStart"/>
      <w:r w:rsidRPr="00A344BB">
        <w:rPr>
          <w:b/>
          <w:szCs w:val="22"/>
        </w:rPr>
        <w:t>Farmakodynamické</w:t>
      </w:r>
      <w:proofErr w:type="spellEnd"/>
      <w:r w:rsidRPr="00A344BB">
        <w:rPr>
          <w:b/>
          <w:szCs w:val="22"/>
        </w:rPr>
        <w:t xml:space="preserve"> vlastnosti</w:t>
      </w:r>
    </w:p>
    <w:p w14:paraId="217A4EF8"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6C343F2E" w14:textId="77777777" w:rsidR="008A778F" w:rsidRPr="00A344BB" w:rsidRDefault="008A778F" w:rsidP="00EB5620">
      <w:pPr>
        <w:tabs>
          <w:tab w:val="clear" w:pos="567"/>
        </w:tabs>
        <w:autoSpaceDE w:val="0"/>
        <w:autoSpaceDN w:val="0"/>
        <w:adjustRightInd w:val="0"/>
        <w:spacing w:line="240" w:lineRule="auto"/>
        <w:rPr>
          <w:szCs w:val="22"/>
          <w:lang w:eastAsia="cs-CZ"/>
        </w:rPr>
      </w:pPr>
      <w:proofErr w:type="spellStart"/>
      <w:r w:rsidRPr="00A344BB">
        <w:rPr>
          <w:szCs w:val="22"/>
          <w:u w:val="single"/>
          <w:lang w:eastAsia="cs-CZ"/>
        </w:rPr>
        <w:t>Farmakoterapeutická</w:t>
      </w:r>
      <w:proofErr w:type="spellEnd"/>
      <w:r w:rsidRPr="00A344BB">
        <w:rPr>
          <w:szCs w:val="22"/>
          <w:u w:val="single"/>
          <w:lang w:eastAsia="cs-CZ"/>
        </w:rPr>
        <w:t xml:space="preserve"> skupina</w:t>
      </w:r>
      <w:r w:rsidRPr="00A344BB">
        <w:rPr>
          <w:szCs w:val="22"/>
          <w:lang w:eastAsia="cs-CZ"/>
        </w:rPr>
        <w:t xml:space="preserve">: </w:t>
      </w:r>
      <w:proofErr w:type="spellStart"/>
      <w:r w:rsidRPr="00A344BB">
        <w:rPr>
          <w:szCs w:val="22"/>
          <w:lang w:eastAsia="cs-CZ"/>
        </w:rPr>
        <w:t>antiepileptiká</w:t>
      </w:r>
      <w:proofErr w:type="spellEnd"/>
      <w:r w:rsidRPr="00A344BB">
        <w:rPr>
          <w:szCs w:val="22"/>
          <w:lang w:eastAsia="cs-CZ"/>
        </w:rPr>
        <w:t xml:space="preserve">, iné </w:t>
      </w:r>
      <w:proofErr w:type="spellStart"/>
      <w:r w:rsidRPr="00A344BB">
        <w:rPr>
          <w:szCs w:val="22"/>
          <w:lang w:eastAsia="cs-CZ"/>
        </w:rPr>
        <w:t>antiepileptiká</w:t>
      </w:r>
      <w:proofErr w:type="spellEnd"/>
      <w:r w:rsidRPr="00A344BB">
        <w:rPr>
          <w:szCs w:val="22"/>
          <w:lang w:eastAsia="cs-CZ"/>
        </w:rPr>
        <w:t xml:space="preserve">, </w:t>
      </w:r>
      <w:proofErr w:type="spellStart"/>
      <w:r w:rsidRPr="00A344BB">
        <w:rPr>
          <w:szCs w:val="22"/>
          <w:lang w:eastAsia="cs-CZ"/>
        </w:rPr>
        <w:t>ATC</w:t>
      </w:r>
      <w:proofErr w:type="spellEnd"/>
      <w:r w:rsidRPr="00A344BB">
        <w:rPr>
          <w:szCs w:val="22"/>
          <w:lang w:eastAsia="cs-CZ"/>
        </w:rPr>
        <w:t xml:space="preserve"> kód: </w:t>
      </w:r>
      <w:proofErr w:type="spellStart"/>
      <w:r w:rsidRPr="00A344BB">
        <w:rPr>
          <w:szCs w:val="22"/>
          <w:lang w:eastAsia="cs-CZ"/>
        </w:rPr>
        <w:t>N03AX14</w:t>
      </w:r>
      <w:proofErr w:type="spellEnd"/>
      <w:r w:rsidRPr="00A344BB">
        <w:rPr>
          <w:szCs w:val="22"/>
          <w:lang w:eastAsia="cs-CZ"/>
        </w:rPr>
        <w:t>.</w:t>
      </w:r>
    </w:p>
    <w:p w14:paraId="2B68C5AB"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Liečivo </w:t>
      </w:r>
      <w:proofErr w:type="spellStart"/>
      <w:r w:rsidRPr="00A344BB">
        <w:rPr>
          <w:szCs w:val="22"/>
          <w:lang w:eastAsia="cs-CZ"/>
        </w:rPr>
        <w:t>levetiracetam</w:t>
      </w:r>
      <w:proofErr w:type="spellEnd"/>
      <w:r w:rsidRPr="00A344BB">
        <w:rPr>
          <w:szCs w:val="22"/>
          <w:lang w:eastAsia="cs-CZ"/>
        </w:rPr>
        <w:t xml:space="preserve"> je </w:t>
      </w:r>
      <w:proofErr w:type="spellStart"/>
      <w:r w:rsidRPr="00A344BB">
        <w:rPr>
          <w:szCs w:val="22"/>
          <w:lang w:eastAsia="cs-CZ"/>
        </w:rPr>
        <w:t>pyrolidónový</w:t>
      </w:r>
      <w:proofErr w:type="spellEnd"/>
      <w:r w:rsidRPr="00A344BB">
        <w:rPr>
          <w:szCs w:val="22"/>
          <w:lang w:eastAsia="cs-CZ"/>
        </w:rPr>
        <w:t xml:space="preserve"> derivát (</w:t>
      </w:r>
      <w:proofErr w:type="spellStart"/>
      <w:r w:rsidRPr="00A344BB">
        <w:rPr>
          <w:szCs w:val="22"/>
          <w:lang w:eastAsia="cs-CZ"/>
        </w:rPr>
        <w:t>S-enantiomér</w:t>
      </w:r>
      <w:proofErr w:type="spellEnd"/>
      <w:r w:rsidRPr="00A344BB">
        <w:rPr>
          <w:szCs w:val="22"/>
          <w:lang w:eastAsia="cs-CZ"/>
        </w:rPr>
        <w:t xml:space="preserve"> </w:t>
      </w:r>
      <w:proofErr w:type="spellStart"/>
      <w:r w:rsidRPr="00A344BB">
        <w:rPr>
          <w:szCs w:val="22"/>
          <w:lang w:eastAsia="cs-CZ"/>
        </w:rPr>
        <w:t>alfa-etyl-2-oxo-1-pyrolidín</w:t>
      </w:r>
      <w:proofErr w:type="spellEnd"/>
      <w:r w:rsidRPr="00A344BB">
        <w:rPr>
          <w:szCs w:val="22"/>
          <w:lang w:eastAsia="cs-CZ"/>
        </w:rPr>
        <w:t xml:space="preserve"> </w:t>
      </w:r>
      <w:proofErr w:type="spellStart"/>
      <w:r w:rsidRPr="00A344BB">
        <w:rPr>
          <w:szCs w:val="22"/>
          <w:lang w:eastAsia="cs-CZ"/>
        </w:rPr>
        <w:t>acetamidu</w:t>
      </w:r>
      <w:proofErr w:type="spellEnd"/>
      <w:r w:rsidRPr="00A344BB">
        <w:rPr>
          <w:szCs w:val="22"/>
          <w:lang w:eastAsia="cs-CZ"/>
        </w:rPr>
        <w:t xml:space="preserve">), chemicky nesúvisiaci s liečivami v súčasných </w:t>
      </w:r>
      <w:proofErr w:type="spellStart"/>
      <w:r w:rsidRPr="00A344BB">
        <w:rPr>
          <w:szCs w:val="22"/>
          <w:lang w:eastAsia="cs-CZ"/>
        </w:rPr>
        <w:t>antiepileptikách</w:t>
      </w:r>
      <w:proofErr w:type="spellEnd"/>
      <w:r w:rsidRPr="00A344BB">
        <w:rPr>
          <w:szCs w:val="22"/>
          <w:lang w:eastAsia="cs-CZ"/>
        </w:rPr>
        <w:t>.</w:t>
      </w:r>
    </w:p>
    <w:p w14:paraId="6D73F1A2"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1409BCC1" w14:textId="77777777" w:rsidR="008A778F" w:rsidRPr="00A344BB" w:rsidRDefault="00CB43B8"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 xml:space="preserve">Mechanizmus </w:t>
      </w:r>
      <w:r w:rsidR="008A778F" w:rsidRPr="00A344BB">
        <w:rPr>
          <w:szCs w:val="22"/>
          <w:u w:val="single"/>
          <w:lang w:eastAsia="cs-CZ"/>
        </w:rPr>
        <w:t>účinku</w:t>
      </w:r>
    </w:p>
    <w:p w14:paraId="549AF6FA"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5801BDDE"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Mechanizmus účinku </w:t>
      </w:r>
      <w:proofErr w:type="spellStart"/>
      <w:r w:rsidRPr="00A344BB">
        <w:rPr>
          <w:szCs w:val="22"/>
          <w:lang w:eastAsia="cs-CZ"/>
        </w:rPr>
        <w:t>levetiracetamu</w:t>
      </w:r>
      <w:proofErr w:type="spellEnd"/>
      <w:r w:rsidRPr="00A344BB">
        <w:rPr>
          <w:szCs w:val="22"/>
          <w:lang w:eastAsia="cs-CZ"/>
        </w:rPr>
        <w:t xml:space="preserve"> nebol doposiaľ celkom objasnený, zdá sa však, že je odlišný od účinkov ostatných v súčasnosti používaných </w:t>
      </w:r>
      <w:proofErr w:type="spellStart"/>
      <w:r w:rsidRPr="00A344BB">
        <w:rPr>
          <w:szCs w:val="22"/>
          <w:lang w:eastAsia="cs-CZ"/>
        </w:rPr>
        <w:t>antiepileptík</w:t>
      </w:r>
      <w:proofErr w:type="spellEnd"/>
      <w:r w:rsidRPr="00A344BB">
        <w:rPr>
          <w:szCs w:val="22"/>
          <w:lang w:eastAsia="cs-CZ"/>
        </w:rPr>
        <w:t xml:space="preserve">. Pokusy </w:t>
      </w:r>
      <w:r w:rsidRPr="00A344BB">
        <w:rPr>
          <w:i/>
          <w:iCs/>
          <w:szCs w:val="22"/>
          <w:lang w:eastAsia="cs-CZ"/>
        </w:rPr>
        <w:t xml:space="preserve">in </w:t>
      </w:r>
      <w:proofErr w:type="spellStart"/>
      <w:r w:rsidRPr="00A344BB">
        <w:rPr>
          <w:i/>
          <w:iCs/>
          <w:szCs w:val="22"/>
          <w:lang w:eastAsia="cs-CZ"/>
        </w:rPr>
        <w:t>vitro</w:t>
      </w:r>
      <w:proofErr w:type="spellEnd"/>
      <w:r w:rsidRPr="00A344BB">
        <w:rPr>
          <w:i/>
          <w:iCs/>
          <w:szCs w:val="22"/>
          <w:lang w:eastAsia="cs-CZ"/>
        </w:rPr>
        <w:t xml:space="preserve"> </w:t>
      </w:r>
      <w:r w:rsidRPr="00A344BB">
        <w:rPr>
          <w:szCs w:val="22"/>
          <w:lang w:eastAsia="cs-CZ"/>
        </w:rPr>
        <w:t xml:space="preserve">a </w:t>
      </w:r>
      <w:r w:rsidRPr="00A344BB">
        <w:rPr>
          <w:i/>
          <w:iCs/>
          <w:szCs w:val="22"/>
          <w:lang w:eastAsia="cs-CZ"/>
        </w:rPr>
        <w:t xml:space="preserve">in </w:t>
      </w:r>
      <w:proofErr w:type="spellStart"/>
      <w:r w:rsidRPr="00A344BB">
        <w:rPr>
          <w:i/>
          <w:iCs/>
          <w:szCs w:val="22"/>
          <w:lang w:eastAsia="cs-CZ"/>
        </w:rPr>
        <w:t>vivo</w:t>
      </w:r>
      <w:proofErr w:type="spellEnd"/>
      <w:r w:rsidRPr="00A344BB">
        <w:rPr>
          <w:i/>
          <w:iCs/>
          <w:szCs w:val="22"/>
          <w:lang w:eastAsia="cs-CZ"/>
        </w:rPr>
        <w:t xml:space="preserve"> </w:t>
      </w:r>
      <w:r w:rsidRPr="00A344BB">
        <w:rPr>
          <w:szCs w:val="22"/>
          <w:lang w:eastAsia="cs-CZ"/>
        </w:rPr>
        <w:t xml:space="preserve">napovedajú, že </w:t>
      </w:r>
      <w:proofErr w:type="spellStart"/>
      <w:r w:rsidRPr="00A344BB">
        <w:rPr>
          <w:szCs w:val="22"/>
          <w:lang w:eastAsia="cs-CZ"/>
        </w:rPr>
        <w:t>levetiracetam</w:t>
      </w:r>
      <w:proofErr w:type="spellEnd"/>
      <w:r w:rsidRPr="00A344BB">
        <w:rPr>
          <w:szCs w:val="22"/>
          <w:lang w:eastAsia="cs-CZ"/>
        </w:rPr>
        <w:t xml:space="preserve"> neovplyvňuje ani základné charakteristiky buniek ani normálny prenos nervových vzruchov.</w:t>
      </w:r>
      <w:r w:rsidR="000D1B39" w:rsidRPr="00A344BB">
        <w:rPr>
          <w:szCs w:val="22"/>
          <w:lang w:eastAsia="cs-CZ"/>
        </w:rPr>
        <w:t xml:space="preserve"> </w:t>
      </w:r>
      <w:r w:rsidRPr="00A344BB">
        <w:rPr>
          <w:i/>
          <w:iCs/>
          <w:szCs w:val="22"/>
          <w:lang w:eastAsia="cs-CZ"/>
        </w:rPr>
        <w:t xml:space="preserve">In </w:t>
      </w:r>
      <w:proofErr w:type="spellStart"/>
      <w:r w:rsidRPr="00A344BB">
        <w:rPr>
          <w:i/>
          <w:iCs/>
          <w:szCs w:val="22"/>
          <w:lang w:eastAsia="cs-CZ"/>
        </w:rPr>
        <w:t>vitro</w:t>
      </w:r>
      <w:proofErr w:type="spellEnd"/>
      <w:r w:rsidRPr="00A344BB">
        <w:rPr>
          <w:i/>
          <w:iCs/>
          <w:szCs w:val="22"/>
          <w:lang w:eastAsia="cs-CZ"/>
        </w:rPr>
        <w:t xml:space="preserve"> </w:t>
      </w:r>
      <w:r w:rsidRPr="00A344BB">
        <w:rPr>
          <w:szCs w:val="22"/>
          <w:lang w:eastAsia="cs-CZ"/>
        </w:rPr>
        <w:t xml:space="preserve">štúdie ukazujú, že </w:t>
      </w:r>
      <w:proofErr w:type="spellStart"/>
      <w:r w:rsidRPr="00A344BB">
        <w:rPr>
          <w:szCs w:val="22"/>
          <w:lang w:eastAsia="cs-CZ"/>
        </w:rPr>
        <w:t>levetiracetam</w:t>
      </w:r>
      <w:proofErr w:type="spellEnd"/>
      <w:r w:rsidRPr="00A344BB">
        <w:rPr>
          <w:szCs w:val="22"/>
          <w:lang w:eastAsia="cs-CZ"/>
        </w:rPr>
        <w:t xml:space="preserve"> ovplyvňuje hladinu </w:t>
      </w:r>
      <w:proofErr w:type="spellStart"/>
      <w:r w:rsidRPr="00A344BB">
        <w:rPr>
          <w:szCs w:val="22"/>
          <w:lang w:eastAsia="cs-CZ"/>
        </w:rPr>
        <w:t>Ca</w:t>
      </w:r>
      <w:proofErr w:type="spellEnd"/>
      <w:r w:rsidRPr="00A344BB">
        <w:rPr>
          <w:szCs w:val="22"/>
          <w:lang w:eastAsia="cs-CZ"/>
        </w:rPr>
        <w:t xml:space="preserve"> </w:t>
      </w:r>
      <w:r w:rsidRPr="00A344BB">
        <w:rPr>
          <w:szCs w:val="22"/>
          <w:vertAlign w:val="superscript"/>
          <w:lang w:eastAsia="cs-CZ"/>
        </w:rPr>
        <w:t>2+</w:t>
      </w:r>
      <w:r w:rsidRPr="00A344BB">
        <w:rPr>
          <w:szCs w:val="22"/>
          <w:lang w:eastAsia="cs-CZ"/>
        </w:rPr>
        <w:t xml:space="preserve"> v neurónoch čiastočnou inhibíciou kalciových kanálov typu N a znížením uvoľňovania </w:t>
      </w:r>
      <w:proofErr w:type="spellStart"/>
      <w:r w:rsidRPr="00A344BB">
        <w:rPr>
          <w:szCs w:val="22"/>
          <w:lang w:eastAsia="cs-CZ"/>
        </w:rPr>
        <w:t>Ca</w:t>
      </w:r>
      <w:proofErr w:type="spellEnd"/>
      <w:r w:rsidRPr="00A344BB">
        <w:rPr>
          <w:szCs w:val="22"/>
          <w:lang w:eastAsia="cs-CZ"/>
        </w:rPr>
        <w:t xml:space="preserve"> </w:t>
      </w:r>
      <w:r w:rsidRPr="00A344BB">
        <w:rPr>
          <w:szCs w:val="22"/>
          <w:vertAlign w:val="superscript"/>
          <w:lang w:eastAsia="cs-CZ"/>
        </w:rPr>
        <w:t>2+</w:t>
      </w:r>
      <w:r w:rsidRPr="00A344BB">
        <w:rPr>
          <w:szCs w:val="22"/>
          <w:lang w:eastAsia="cs-CZ"/>
        </w:rPr>
        <w:t xml:space="preserve"> z intracelulárnych zásob v neurónoch. </w:t>
      </w:r>
      <w:proofErr w:type="spellStart"/>
      <w:r w:rsidRPr="00A344BB">
        <w:rPr>
          <w:szCs w:val="22"/>
          <w:lang w:eastAsia="cs-CZ"/>
        </w:rPr>
        <w:t>Levetiracetam</w:t>
      </w:r>
      <w:proofErr w:type="spellEnd"/>
      <w:r w:rsidRPr="00A344BB">
        <w:rPr>
          <w:szCs w:val="22"/>
          <w:lang w:eastAsia="cs-CZ"/>
        </w:rPr>
        <w:t xml:space="preserve"> </w:t>
      </w:r>
      <w:proofErr w:type="spellStart"/>
      <w:r w:rsidRPr="00A344BB">
        <w:rPr>
          <w:szCs w:val="22"/>
          <w:lang w:eastAsia="cs-CZ"/>
        </w:rPr>
        <w:t>naviac</w:t>
      </w:r>
      <w:proofErr w:type="spellEnd"/>
      <w:r w:rsidRPr="00A344BB">
        <w:rPr>
          <w:szCs w:val="22"/>
          <w:lang w:eastAsia="cs-CZ"/>
        </w:rPr>
        <w:t xml:space="preserve"> čiastočne </w:t>
      </w:r>
      <w:proofErr w:type="spellStart"/>
      <w:r w:rsidRPr="00A344BB">
        <w:rPr>
          <w:szCs w:val="22"/>
          <w:lang w:eastAsia="cs-CZ"/>
        </w:rPr>
        <w:t>antagonizuje</w:t>
      </w:r>
      <w:proofErr w:type="spellEnd"/>
      <w:r w:rsidRPr="00A344BB">
        <w:rPr>
          <w:szCs w:val="22"/>
          <w:lang w:eastAsia="cs-CZ"/>
        </w:rPr>
        <w:t xml:space="preserve"> zníženie aktivity GABA- a </w:t>
      </w:r>
      <w:proofErr w:type="spellStart"/>
      <w:r w:rsidRPr="00A344BB">
        <w:rPr>
          <w:szCs w:val="22"/>
          <w:lang w:eastAsia="cs-CZ"/>
        </w:rPr>
        <w:t>glycínových</w:t>
      </w:r>
      <w:proofErr w:type="spellEnd"/>
      <w:r w:rsidRPr="00A344BB">
        <w:rPr>
          <w:szCs w:val="22"/>
          <w:lang w:eastAsia="cs-CZ"/>
        </w:rPr>
        <w:t xml:space="preserve"> kanálov spôsobené zinkom a </w:t>
      </w:r>
      <w:proofErr w:type="spellStart"/>
      <w:r w:rsidRPr="00A344BB">
        <w:rPr>
          <w:szCs w:val="22"/>
          <w:lang w:eastAsia="cs-CZ"/>
        </w:rPr>
        <w:t>ß-karbolínmi</w:t>
      </w:r>
      <w:proofErr w:type="spellEnd"/>
      <w:r w:rsidRPr="00A344BB">
        <w:rPr>
          <w:szCs w:val="22"/>
          <w:lang w:eastAsia="cs-CZ"/>
        </w:rPr>
        <w:t xml:space="preserve">. Okrem toho sa </w:t>
      </w:r>
      <w:proofErr w:type="spellStart"/>
      <w:r w:rsidRPr="00A344BB">
        <w:rPr>
          <w:szCs w:val="22"/>
          <w:lang w:eastAsia="cs-CZ"/>
        </w:rPr>
        <w:t>levetiracetam</w:t>
      </w:r>
      <w:proofErr w:type="spellEnd"/>
      <w:r w:rsidRPr="00A344BB">
        <w:rPr>
          <w:szCs w:val="22"/>
          <w:lang w:eastAsia="cs-CZ"/>
        </w:rPr>
        <w:t xml:space="preserve"> podľa </w:t>
      </w:r>
      <w:r w:rsidRPr="00A344BB">
        <w:rPr>
          <w:i/>
          <w:iCs/>
          <w:szCs w:val="22"/>
          <w:lang w:eastAsia="cs-CZ"/>
        </w:rPr>
        <w:t xml:space="preserve">in </w:t>
      </w:r>
      <w:proofErr w:type="spellStart"/>
      <w:r w:rsidRPr="00A344BB">
        <w:rPr>
          <w:i/>
          <w:iCs/>
          <w:szCs w:val="22"/>
          <w:lang w:eastAsia="cs-CZ"/>
        </w:rPr>
        <w:t>vitro</w:t>
      </w:r>
      <w:proofErr w:type="spellEnd"/>
      <w:r w:rsidRPr="00A344BB">
        <w:rPr>
          <w:i/>
          <w:iCs/>
          <w:szCs w:val="22"/>
          <w:lang w:eastAsia="cs-CZ"/>
        </w:rPr>
        <w:t xml:space="preserve"> </w:t>
      </w:r>
      <w:r w:rsidRPr="00A344BB">
        <w:rPr>
          <w:szCs w:val="22"/>
          <w:lang w:eastAsia="cs-CZ"/>
        </w:rPr>
        <w:t xml:space="preserve">štúdií viaže na špecifické väzbové miesto v mozgovom tkanive hlodavcov. Špecifickým väzbovým miestom je </w:t>
      </w:r>
      <w:proofErr w:type="spellStart"/>
      <w:r w:rsidRPr="00A344BB">
        <w:rPr>
          <w:szCs w:val="22"/>
          <w:lang w:eastAsia="cs-CZ"/>
        </w:rPr>
        <w:t>synaptický</w:t>
      </w:r>
      <w:proofErr w:type="spellEnd"/>
      <w:r w:rsidRPr="00A344BB">
        <w:rPr>
          <w:szCs w:val="22"/>
          <w:lang w:eastAsia="cs-CZ"/>
        </w:rPr>
        <w:t xml:space="preserve"> </w:t>
      </w:r>
      <w:proofErr w:type="spellStart"/>
      <w:r w:rsidRPr="00A344BB">
        <w:rPr>
          <w:szCs w:val="22"/>
          <w:lang w:eastAsia="cs-CZ"/>
        </w:rPr>
        <w:t>vezikulárny</w:t>
      </w:r>
      <w:proofErr w:type="spellEnd"/>
      <w:r w:rsidRPr="00A344BB">
        <w:rPr>
          <w:szCs w:val="22"/>
          <w:lang w:eastAsia="cs-CZ"/>
        </w:rPr>
        <w:t xml:space="preserve"> proteín 2A, ktorý je považovaný za súčasť procesov fúzie a </w:t>
      </w:r>
      <w:proofErr w:type="spellStart"/>
      <w:r w:rsidRPr="00A344BB">
        <w:rPr>
          <w:szCs w:val="22"/>
          <w:lang w:eastAsia="cs-CZ"/>
        </w:rPr>
        <w:t>exocytózy</w:t>
      </w:r>
      <w:proofErr w:type="spellEnd"/>
      <w:r w:rsidRPr="00A344BB">
        <w:rPr>
          <w:szCs w:val="22"/>
          <w:lang w:eastAsia="cs-CZ"/>
        </w:rPr>
        <w:t xml:space="preserve"> </w:t>
      </w:r>
      <w:proofErr w:type="spellStart"/>
      <w:r w:rsidRPr="00A344BB">
        <w:rPr>
          <w:szCs w:val="22"/>
          <w:lang w:eastAsia="cs-CZ"/>
        </w:rPr>
        <w:t>vezikúl</w:t>
      </w:r>
      <w:proofErr w:type="spellEnd"/>
      <w:r w:rsidRPr="00A344BB">
        <w:rPr>
          <w:szCs w:val="22"/>
          <w:lang w:eastAsia="cs-CZ"/>
        </w:rPr>
        <w:t xml:space="preserve"> s </w:t>
      </w:r>
      <w:proofErr w:type="spellStart"/>
      <w:r w:rsidRPr="00A344BB">
        <w:rPr>
          <w:szCs w:val="22"/>
          <w:lang w:eastAsia="cs-CZ"/>
        </w:rPr>
        <w:t>neurotransmitermi</w:t>
      </w:r>
      <w:proofErr w:type="spellEnd"/>
      <w:r w:rsidRPr="00A344BB">
        <w:rPr>
          <w:szCs w:val="22"/>
          <w:lang w:eastAsia="cs-CZ"/>
        </w:rPr>
        <w:t xml:space="preserve">. </w:t>
      </w:r>
      <w:proofErr w:type="spellStart"/>
      <w:r w:rsidRPr="00A344BB">
        <w:rPr>
          <w:szCs w:val="22"/>
          <w:lang w:eastAsia="cs-CZ"/>
        </w:rPr>
        <w:t>Levetiracetam</w:t>
      </w:r>
      <w:proofErr w:type="spellEnd"/>
      <w:r w:rsidRPr="00A344BB">
        <w:rPr>
          <w:szCs w:val="22"/>
          <w:lang w:eastAsia="cs-CZ"/>
        </w:rPr>
        <w:t xml:space="preserve"> a jeho </w:t>
      </w:r>
      <w:proofErr w:type="spellStart"/>
      <w:r w:rsidRPr="00A344BB">
        <w:rPr>
          <w:szCs w:val="22"/>
          <w:lang w:eastAsia="cs-CZ"/>
        </w:rPr>
        <w:t>analógy</w:t>
      </w:r>
      <w:proofErr w:type="spellEnd"/>
      <w:r w:rsidRPr="00A344BB">
        <w:rPr>
          <w:szCs w:val="22"/>
          <w:lang w:eastAsia="cs-CZ"/>
        </w:rPr>
        <w:t xml:space="preserve"> majú rôznu afinitu k väzbe na </w:t>
      </w:r>
      <w:proofErr w:type="spellStart"/>
      <w:r w:rsidRPr="00A344BB">
        <w:rPr>
          <w:szCs w:val="22"/>
          <w:lang w:eastAsia="cs-CZ"/>
        </w:rPr>
        <w:t>synaptický</w:t>
      </w:r>
      <w:proofErr w:type="spellEnd"/>
      <w:r w:rsidRPr="00A344BB">
        <w:rPr>
          <w:szCs w:val="22"/>
          <w:lang w:eastAsia="cs-CZ"/>
        </w:rPr>
        <w:t xml:space="preserve"> </w:t>
      </w:r>
      <w:proofErr w:type="spellStart"/>
      <w:r w:rsidRPr="00A344BB">
        <w:rPr>
          <w:szCs w:val="22"/>
          <w:lang w:eastAsia="cs-CZ"/>
        </w:rPr>
        <w:t>vezikulárny</w:t>
      </w:r>
      <w:proofErr w:type="spellEnd"/>
      <w:r w:rsidRPr="00A344BB">
        <w:rPr>
          <w:szCs w:val="22"/>
          <w:lang w:eastAsia="cs-CZ"/>
        </w:rPr>
        <w:t xml:space="preserve"> proteín 2A, ktorá </w:t>
      </w:r>
      <w:proofErr w:type="spellStart"/>
      <w:r w:rsidRPr="00A344BB">
        <w:rPr>
          <w:szCs w:val="22"/>
          <w:lang w:eastAsia="cs-CZ"/>
        </w:rPr>
        <w:t>koreluje</w:t>
      </w:r>
      <w:proofErr w:type="spellEnd"/>
      <w:r w:rsidRPr="00A344BB">
        <w:rPr>
          <w:szCs w:val="22"/>
          <w:lang w:eastAsia="cs-CZ"/>
        </w:rPr>
        <w:t xml:space="preserve"> s ich potenciálom k zábrane vzniku záchvatov v </w:t>
      </w:r>
      <w:proofErr w:type="spellStart"/>
      <w:r w:rsidRPr="00A344BB">
        <w:rPr>
          <w:szCs w:val="22"/>
          <w:lang w:eastAsia="cs-CZ"/>
        </w:rPr>
        <w:t>audiogénnych</w:t>
      </w:r>
      <w:proofErr w:type="spellEnd"/>
      <w:r w:rsidRPr="00A344BB">
        <w:rPr>
          <w:szCs w:val="22"/>
          <w:lang w:eastAsia="cs-CZ"/>
        </w:rPr>
        <w:t xml:space="preserve"> modeloch u myší. Uvedený nález napovedá tomu, že interakcia medzi </w:t>
      </w:r>
      <w:proofErr w:type="spellStart"/>
      <w:r w:rsidRPr="00A344BB">
        <w:rPr>
          <w:szCs w:val="22"/>
          <w:lang w:eastAsia="cs-CZ"/>
        </w:rPr>
        <w:t>levetiracetamom</w:t>
      </w:r>
      <w:proofErr w:type="spellEnd"/>
      <w:r w:rsidRPr="00A344BB">
        <w:rPr>
          <w:szCs w:val="22"/>
          <w:lang w:eastAsia="cs-CZ"/>
        </w:rPr>
        <w:t xml:space="preserve"> a </w:t>
      </w:r>
      <w:proofErr w:type="spellStart"/>
      <w:r w:rsidRPr="00A344BB">
        <w:rPr>
          <w:szCs w:val="22"/>
          <w:lang w:eastAsia="cs-CZ"/>
        </w:rPr>
        <w:t>synaptickým</w:t>
      </w:r>
      <w:proofErr w:type="spellEnd"/>
      <w:r w:rsidRPr="00A344BB">
        <w:rPr>
          <w:szCs w:val="22"/>
          <w:lang w:eastAsia="cs-CZ"/>
        </w:rPr>
        <w:t xml:space="preserve"> </w:t>
      </w:r>
      <w:proofErr w:type="spellStart"/>
      <w:r w:rsidRPr="00A344BB">
        <w:rPr>
          <w:szCs w:val="22"/>
          <w:lang w:eastAsia="cs-CZ"/>
        </w:rPr>
        <w:t>vezikulárnym</w:t>
      </w:r>
      <w:proofErr w:type="spellEnd"/>
      <w:r w:rsidRPr="00A344BB">
        <w:rPr>
          <w:szCs w:val="22"/>
          <w:lang w:eastAsia="cs-CZ"/>
        </w:rPr>
        <w:t xml:space="preserve"> proteínom 2A by mohla prispievať k </w:t>
      </w:r>
      <w:proofErr w:type="spellStart"/>
      <w:r w:rsidRPr="00A344BB">
        <w:rPr>
          <w:szCs w:val="22"/>
          <w:lang w:eastAsia="cs-CZ"/>
        </w:rPr>
        <w:t>antiepileptickému</w:t>
      </w:r>
      <w:proofErr w:type="spellEnd"/>
      <w:r w:rsidRPr="00A344BB">
        <w:rPr>
          <w:szCs w:val="22"/>
          <w:lang w:eastAsia="cs-CZ"/>
        </w:rPr>
        <w:t xml:space="preserve"> mechanizmu účinku lieku.</w:t>
      </w:r>
    </w:p>
    <w:p w14:paraId="55DDE0D0"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3C066C5F" w14:textId="77777777" w:rsidR="008A778F" w:rsidRPr="00A344BB" w:rsidRDefault="008A778F" w:rsidP="00EB5620">
      <w:pPr>
        <w:tabs>
          <w:tab w:val="clear" w:pos="567"/>
        </w:tabs>
        <w:autoSpaceDE w:val="0"/>
        <w:autoSpaceDN w:val="0"/>
        <w:adjustRightInd w:val="0"/>
        <w:spacing w:line="240" w:lineRule="auto"/>
        <w:rPr>
          <w:szCs w:val="22"/>
          <w:u w:val="single"/>
          <w:lang w:eastAsia="cs-CZ"/>
        </w:rPr>
      </w:pPr>
      <w:proofErr w:type="spellStart"/>
      <w:r w:rsidRPr="00A344BB">
        <w:rPr>
          <w:szCs w:val="22"/>
          <w:u w:val="single"/>
          <w:lang w:eastAsia="cs-CZ"/>
        </w:rPr>
        <w:t>Farmakodynamické</w:t>
      </w:r>
      <w:proofErr w:type="spellEnd"/>
      <w:r w:rsidRPr="00A344BB">
        <w:rPr>
          <w:szCs w:val="22"/>
          <w:u w:val="single"/>
          <w:lang w:eastAsia="cs-CZ"/>
        </w:rPr>
        <w:t xml:space="preserve"> účinky</w:t>
      </w:r>
    </w:p>
    <w:p w14:paraId="5D784610"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6A24AD93" w14:textId="77777777" w:rsidR="008A778F" w:rsidRPr="00A344BB" w:rsidRDefault="008A778F"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poskytuje ochranu pred záchvatmi vo veľkom počte zvieracích modelov parciálnych a primárne generalizovaných záchvatov bez toho, že by mal </w:t>
      </w:r>
      <w:proofErr w:type="spellStart"/>
      <w:r w:rsidRPr="00A344BB">
        <w:rPr>
          <w:szCs w:val="22"/>
          <w:lang w:eastAsia="cs-CZ"/>
        </w:rPr>
        <w:t>pro-konvulzívny</w:t>
      </w:r>
      <w:proofErr w:type="spellEnd"/>
      <w:r w:rsidRPr="00A344BB">
        <w:rPr>
          <w:szCs w:val="22"/>
          <w:lang w:eastAsia="cs-CZ"/>
        </w:rPr>
        <w:t xml:space="preserve"> účinok. Primárny </w:t>
      </w:r>
      <w:proofErr w:type="spellStart"/>
      <w:r w:rsidRPr="00A344BB">
        <w:rPr>
          <w:szCs w:val="22"/>
          <w:lang w:eastAsia="cs-CZ"/>
        </w:rPr>
        <w:t>metabolit</w:t>
      </w:r>
      <w:proofErr w:type="spellEnd"/>
      <w:r w:rsidRPr="00A344BB">
        <w:rPr>
          <w:szCs w:val="22"/>
          <w:lang w:eastAsia="cs-CZ"/>
        </w:rPr>
        <w:t xml:space="preserve"> je neaktívny.</w:t>
      </w:r>
      <w:r w:rsidR="000D1B39" w:rsidRPr="00A344BB">
        <w:rPr>
          <w:szCs w:val="22"/>
          <w:lang w:eastAsia="cs-CZ"/>
        </w:rPr>
        <w:t xml:space="preserve"> </w:t>
      </w:r>
      <w:r w:rsidRPr="00A344BB">
        <w:rPr>
          <w:szCs w:val="22"/>
          <w:lang w:eastAsia="cs-CZ"/>
        </w:rPr>
        <w:t>Účinok pri parciálnej i generalizovanej epilepsii (</w:t>
      </w:r>
      <w:proofErr w:type="spellStart"/>
      <w:r w:rsidRPr="00A344BB">
        <w:rPr>
          <w:szCs w:val="22"/>
          <w:lang w:eastAsia="cs-CZ"/>
        </w:rPr>
        <w:t>epileptiformný</w:t>
      </w:r>
      <w:proofErr w:type="spellEnd"/>
      <w:r w:rsidRPr="00A344BB">
        <w:rPr>
          <w:szCs w:val="22"/>
          <w:lang w:eastAsia="cs-CZ"/>
        </w:rPr>
        <w:t xml:space="preserve"> výboj /</w:t>
      </w:r>
      <w:proofErr w:type="spellStart"/>
      <w:r w:rsidRPr="00A344BB">
        <w:rPr>
          <w:szCs w:val="22"/>
          <w:lang w:eastAsia="cs-CZ"/>
        </w:rPr>
        <w:t>fotoparoxyzmálna</w:t>
      </w:r>
      <w:proofErr w:type="spellEnd"/>
      <w:r w:rsidRPr="00A344BB">
        <w:rPr>
          <w:szCs w:val="22"/>
          <w:lang w:eastAsia="cs-CZ"/>
        </w:rPr>
        <w:t xml:space="preserve"> odpoveď) u človeka potvrdil široké spektrum stanoveného farmakologického profilu </w:t>
      </w:r>
      <w:proofErr w:type="spellStart"/>
      <w:r w:rsidRPr="00A344BB">
        <w:rPr>
          <w:szCs w:val="22"/>
          <w:lang w:eastAsia="cs-CZ"/>
        </w:rPr>
        <w:t>levetiracetamu</w:t>
      </w:r>
      <w:proofErr w:type="spellEnd"/>
      <w:r w:rsidRPr="00A344BB">
        <w:rPr>
          <w:szCs w:val="22"/>
          <w:lang w:eastAsia="cs-CZ"/>
        </w:rPr>
        <w:t>.</w:t>
      </w:r>
    </w:p>
    <w:p w14:paraId="1C23D179" w14:textId="77777777" w:rsidR="000D1B39" w:rsidRPr="00A344BB" w:rsidRDefault="000D1B39" w:rsidP="00EB5620">
      <w:pPr>
        <w:tabs>
          <w:tab w:val="clear" w:pos="567"/>
        </w:tabs>
        <w:autoSpaceDE w:val="0"/>
        <w:autoSpaceDN w:val="0"/>
        <w:adjustRightInd w:val="0"/>
        <w:spacing w:line="240" w:lineRule="auto"/>
        <w:rPr>
          <w:szCs w:val="22"/>
          <w:lang w:eastAsia="cs-CZ"/>
        </w:rPr>
      </w:pPr>
    </w:p>
    <w:p w14:paraId="2527C61B" w14:textId="77777777" w:rsidR="008A778F" w:rsidRPr="00A344BB" w:rsidRDefault="008A778F"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lastRenderedPageBreak/>
        <w:t>Klinická účinnosť a bezpečnosť</w:t>
      </w:r>
    </w:p>
    <w:p w14:paraId="01E7C7AA" w14:textId="77777777" w:rsidR="00AB0C1C" w:rsidRPr="00A344BB" w:rsidRDefault="00AB0C1C" w:rsidP="00EB5620">
      <w:pPr>
        <w:tabs>
          <w:tab w:val="clear" w:pos="567"/>
        </w:tabs>
        <w:autoSpaceDE w:val="0"/>
        <w:autoSpaceDN w:val="0"/>
        <w:adjustRightInd w:val="0"/>
        <w:spacing w:line="240" w:lineRule="auto"/>
        <w:rPr>
          <w:i/>
          <w:iCs/>
          <w:szCs w:val="22"/>
          <w:lang w:eastAsia="cs-CZ"/>
        </w:rPr>
      </w:pPr>
    </w:p>
    <w:p w14:paraId="33E36DAB" w14:textId="77777777" w:rsidR="008A778F" w:rsidRPr="00A344BB" w:rsidRDefault="008A778F" w:rsidP="00EB5620">
      <w:pPr>
        <w:tabs>
          <w:tab w:val="clear" w:pos="567"/>
        </w:tabs>
        <w:autoSpaceDE w:val="0"/>
        <w:autoSpaceDN w:val="0"/>
        <w:adjustRightInd w:val="0"/>
        <w:spacing w:line="240" w:lineRule="auto"/>
        <w:rPr>
          <w:i/>
          <w:iCs/>
          <w:szCs w:val="22"/>
          <w:lang w:eastAsia="cs-CZ"/>
        </w:rPr>
      </w:pPr>
      <w:r w:rsidRPr="00A344BB">
        <w:rPr>
          <w:i/>
          <w:iCs/>
          <w:szCs w:val="22"/>
          <w:lang w:eastAsia="cs-CZ"/>
        </w:rPr>
        <w:t>Prídavná terapia na liečbu parciálnych záchvatov so sekundárnou generalizáciou alebo bez nej u dospelých, dospievajúcich, detí a dojčiat vo veku od 1 mesiaca s epilepsiou.</w:t>
      </w:r>
    </w:p>
    <w:p w14:paraId="36F319B5"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272E0468"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U dospelých sa účinnosť </w:t>
      </w:r>
      <w:proofErr w:type="spellStart"/>
      <w:r w:rsidRPr="00A344BB">
        <w:rPr>
          <w:szCs w:val="22"/>
          <w:lang w:eastAsia="cs-CZ"/>
        </w:rPr>
        <w:t>levetiracetamu</w:t>
      </w:r>
      <w:proofErr w:type="spellEnd"/>
      <w:r w:rsidRPr="00A344BB">
        <w:rPr>
          <w:szCs w:val="22"/>
          <w:lang w:eastAsia="cs-CZ"/>
        </w:rPr>
        <w:t xml:space="preserve"> dokázala v 3 dvojito zaslepených placebom  </w:t>
      </w:r>
      <w:r w:rsidR="00EE0356" w:rsidRPr="00A344BB">
        <w:rPr>
          <w:szCs w:val="22"/>
          <w:lang w:eastAsia="cs-CZ"/>
        </w:rPr>
        <w:t>k</w:t>
      </w:r>
      <w:r w:rsidRPr="00A344BB">
        <w:rPr>
          <w:szCs w:val="22"/>
          <w:lang w:eastAsia="cs-CZ"/>
        </w:rPr>
        <w:t xml:space="preserve">ontrolovaných štúdiách pri 1000 mg, 2000 mg alebo 3000 mg/deň podávaných v 2 rozdelených dávkach s dĺžkou liečby do 18 týždňov. V sumárnej analýze bolo percento pacientov, ktorí dosiahli 50 % alebo významnejšie zníženie frekvencie parciálnych záchvatov na týždeň v porovnaní s východiskovým stavom pri stabilnej dávke (12/14 týždňov), 27,7 %, 31,6 % a 41,3 % u pacientov s 1000, 2000 alebo 3000 mg </w:t>
      </w:r>
      <w:proofErr w:type="spellStart"/>
      <w:r w:rsidRPr="00A344BB">
        <w:rPr>
          <w:szCs w:val="22"/>
          <w:lang w:eastAsia="cs-CZ"/>
        </w:rPr>
        <w:t>levetiracetamu</w:t>
      </w:r>
      <w:proofErr w:type="spellEnd"/>
      <w:r w:rsidRPr="00A344BB">
        <w:rPr>
          <w:szCs w:val="22"/>
          <w:lang w:eastAsia="cs-CZ"/>
        </w:rPr>
        <w:t xml:space="preserve"> a 12,6 % u pacientov s placebom.</w:t>
      </w:r>
    </w:p>
    <w:p w14:paraId="2B6BC07B" w14:textId="77777777" w:rsidR="00AB0C1C" w:rsidRPr="00A344BB" w:rsidRDefault="00AB0C1C" w:rsidP="00EB5620">
      <w:pPr>
        <w:tabs>
          <w:tab w:val="clear" w:pos="567"/>
        </w:tabs>
        <w:autoSpaceDE w:val="0"/>
        <w:autoSpaceDN w:val="0"/>
        <w:adjustRightInd w:val="0"/>
        <w:spacing w:line="240" w:lineRule="auto"/>
        <w:rPr>
          <w:i/>
          <w:iCs/>
          <w:szCs w:val="22"/>
          <w:u w:val="single"/>
          <w:lang w:eastAsia="cs-CZ"/>
        </w:rPr>
      </w:pPr>
    </w:p>
    <w:p w14:paraId="5FC3F916" w14:textId="77777777" w:rsidR="008A778F" w:rsidRPr="00A344BB" w:rsidRDefault="00CB43B8" w:rsidP="0096391B">
      <w:pPr>
        <w:keepNext/>
        <w:tabs>
          <w:tab w:val="clear" w:pos="567"/>
        </w:tabs>
        <w:autoSpaceDE w:val="0"/>
        <w:autoSpaceDN w:val="0"/>
        <w:adjustRightInd w:val="0"/>
        <w:spacing w:line="240" w:lineRule="auto"/>
        <w:rPr>
          <w:iCs/>
          <w:szCs w:val="22"/>
          <w:u w:val="single"/>
          <w:lang w:eastAsia="cs-CZ"/>
        </w:rPr>
      </w:pPr>
      <w:r w:rsidRPr="00A344BB">
        <w:rPr>
          <w:iCs/>
          <w:szCs w:val="22"/>
          <w:u w:val="single"/>
          <w:lang w:eastAsia="cs-CZ"/>
        </w:rPr>
        <w:t>Pediatrická populácia</w:t>
      </w:r>
    </w:p>
    <w:p w14:paraId="7C37A8FD" w14:textId="77777777" w:rsidR="00AB0C1C" w:rsidRPr="00A344BB" w:rsidRDefault="00AB0C1C" w:rsidP="0096391B">
      <w:pPr>
        <w:keepNext/>
        <w:tabs>
          <w:tab w:val="clear" w:pos="567"/>
        </w:tabs>
        <w:autoSpaceDE w:val="0"/>
        <w:autoSpaceDN w:val="0"/>
        <w:adjustRightInd w:val="0"/>
        <w:spacing w:line="240" w:lineRule="auto"/>
        <w:rPr>
          <w:szCs w:val="22"/>
          <w:lang w:eastAsia="cs-CZ"/>
        </w:rPr>
      </w:pPr>
    </w:p>
    <w:p w14:paraId="7E5AF69B" w14:textId="77777777" w:rsidR="008A778F" w:rsidRPr="00A344BB" w:rsidRDefault="008A778F" w:rsidP="0096391B">
      <w:pPr>
        <w:keepNext/>
        <w:tabs>
          <w:tab w:val="clear" w:pos="567"/>
        </w:tabs>
        <w:autoSpaceDE w:val="0"/>
        <w:autoSpaceDN w:val="0"/>
        <w:adjustRightInd w:val="0"/>
        <w:spacing w:line="240" w:lineRule="auto"/>
        <w:rPr>
          <w:szCs w:val="22"/>
          <w:lang w:eastAsia="cs-CZ"/>
        </w:rPr>
      </w:pPr>
      <w:r w:rsidRPr="00A344BB">
        <w:rPr>
          <w:szCs w:val="22"/>
          <w:lang w:eastAsia="cs-CZ"/>
        </w:rPr>
        <w:t xml:space="preserve">U detských a dospievajúcich pacientov (vek 4 až 16 rokov) sa účinnosť </w:t>
      </w:r>
      <w:proofErr w:type="spellStart"/>
      <w:r w:rsidRPr="00A344BB">
        <w:rPr>
          <w:szCs w:val="22"/>
          <w:lang w:eastAsia="cs-CZ"/>
        </w:rPr>
        <w:t>levetiracetamu</w:t>
      </w:r>
      <w:proofErr w:type="spellEnd"/>
      <w:r w:rsidRPr="00A344BB">
        <w:rPr>
          <w:szCs w:val="22"/>
          <w:lang w:eastAsia="cs-CZ"/>
        </w:rPr>
        <w:t xml:space="preserve"> stanovila v dvojito-zaslepenej placebom kontrolovanej štúdii, do ktorej bolo zaradených 198 pacientov a malo dĺžku liečby 14 týždňov. V tejto štúdii pacienti užívali </w:t>
      </w:r>
      <w:proofErr w:type="spellStart"/>
      <w:r w:rsidRPr="00A344BB">
        <w:rPr>
          <w:szCs w:val="22"/>
          <w:lang w:eastAsia="cs-CZ"/>
        </w:rPr>
        <w:t>levetiracetam</w:t>
      </w:r>
      <w:proofErr w:type="spellEnd"/>
      <w:r w:rsidRPr="00A344BB">
        <w:rPr>
          <w:szCs w:val="22"/>
          <w:lang w:eastAsia="cs-CZ"/>
        </w:rPr>
        <w:t xml:space="preserve"> vo fixnej dávke 60 mg/kg/deň (s dávkovaním dvakrát denne). 44,6 % pacientov liečených </w:t>
      </w:r>
      <w:proofErr w:type="spellStart"/>
      <w:r w:rsidRPr="00A344BB">
        <w:rPr>
          <w:szCs w:val="22"/>
          <w:lang w:eastAsia="cs-CZ"/>
        </w:rPr>
        <w:t>levetiracetamom</w:t>
      </w:r>
      <w:proofErr w:type="spellEnd"/>
      <w:r w:rsidRPr="00A344BB">
        <w:rPr>
          <w:szCs w:val="22"/>
          <w:lang w:eastAsia="cs-CZ"/>
        </w:rPr>
        <w:t xml:space="preserve"> a 19,6 % pacientov s placebom malo 50 % alebo významnejšie zníženie frekvencie parciálnych záchvatov za týždeň v porovnaní s východiskovým stavom. Pri dlhodobom pokračovaní v liečbe 11,4 % pacientov nemalo záchvaty minimálne 6 mesiacov a 7,2 % nemalo záchvat minimálne 1 rok.</w:t>
      </w:r>
    </w:p>
    <w:p w14:paraId="02B38C87"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3D22C007" w14:textId="77777777" w:rsidR="00AA4E40"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U detí (vo veku 1 mesiac až 4 roky) bola stanovená účinnosť </w:t>
      </w:r>
      <w:proofErr w:type="spellStart"/>
      <w:r w:rsidRPr="00A344BB">
        <w:rPr>
          <w:szCs w:val="22"/>
          <w:lang w:eastAsia="cs-CZ"/>
        </w:rPr>
        <w:t>levetiracetamu</w:t>
      </w:r>
      <w:proofErr w:type="spellEnd"/>
      <w:r w:rsidRPr="00A344BB">
        <w:rPr>
          <w:szCs w:val="22"/>
          <w:lang w:eastAsia="cs-CZ"/>
        </w:rPr>
        <w:t xml:space="preserve"> v dvojito zaslepenej, placebom kontrolovanej štúdii, ktorá zahrňovala 116 pacientov a liečba trvala 5 dní. V tejto štúdii dostávali pacienti dennú dávku 20 mg/kg, 25 mg/kg, 40 mg/kg alebo 50 mg/kg perorálneho roztoku na základe titračného rozpisu podľa veku. V tejto štúdii bola použitá dávka 20 mg/kg/deň </w:t>
      </w:r>
      <w:proofErr w:type="spellStart"/>
      <w:r w:rsidRPr="00A344BB">
        <w:rPr>
          <w:szCs w:val="22"/>
          <w:lang w:eastAsia="cs-CZ"/>
        </w:rPr>
        <w:t>titrovaná</w:t>
      </w:r>
      <w:proofErr w:type="spellEnd"/>
      <w:r w:rsidRPr="00A344BB">
        <w:rPr>
          <w:szCs w:val="22"/>
          <w:lang w:eastAsia="cs-CZ"/>
        </w:rPr>
        <w:t xml:space="preserve"> na 40 mg/kg/deň pre dojčatá vo veku jeden mesiac až 6 mesiacov, a dávka 25 mg/kg/deň </w:t>
      </w:r>
      <w:proofErr w:type="spellStart"/>
      <w:r w:rsidRPr="00A344BB">
        <w:rPr>
          <w:szCs w:val="22"/>
          <w:lang w:eastAsia="cs-CZ"/>
        </w:rPr>
        <w:t>titrovaná</w:t>
      </w:r>
      <w:proofErr w:type="spellEnd"/>
      <w:r w:rsidRPr="00A344BB">
        <w:rPr>
          <w:szCs w:val="22"/>
          <w:lang w:eastAsia="cs-CZ"/>
        </w:rPr>
        <w:t xml:space="preserve"> na 50 mg/kg/deň pre deti vo veku 6 mesiacov až 4 roky. Celková denná dávka bola podávaná dvakrát denne.</w:t>
      </w:r>
      <w:r w:rsidR="000D1B39" w:rsidRPr="00A344BB">
        <w:rPr>
          <w:szCs w:val="22"/>
          <w:lang w:eastAsia="cs-CZ"/>
        </w:rPr>
        <w:t xml:space="preserve"> </w:t>
      </w:r>
    </w:p>
    <w:p w14:paraId="792DB418"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Primárnym ukazovateľom účinnosti bola miera odpovede na liečbu (percento pacientov s </w:t>
      </w:r>
      <w:r w:rsidRPr="00A344BB">
        <w:rPr>
          <w:rFonts w:eastAsia="SymbolMT"/>
          <w:szCs w:val="22"/>
          <w:lang w:eastAsia="cs-CZ"/>
        </w:rPr>
        <w:t xml:space="preserve">≥ </w:t>
      </w:r>
      <w:r w:rsidRPr="00A344BB">
        <w:rPr>
          <w:szCs w:val="22"/>
          <w:lang w:eastAsia="cs-CZ"/>
        </w:rPr>
        <w:t xml:space="preserve">50 % poklesom priemernej dennej frekvencie parciálnych záchvatov od východiskového stavu), ktorá bola hodnotená zaslepene centrálnym hodnotiteľom s použitím </w:t>
      </w:r>
      <w:proofErr w:type="spellStart"/>
      <w:r w:rsidRPr="00A344BB">
        <w:rPr>
          <w:szCs w:val="22"/>
          <w:lang w:eastAsia="cs-CZ"/>
        </w:rPr>
        <w:t>48-hodinového</w:t>
      </w:r>
      <w:proofErr w:type="spellEnd"/>
      <w:r w:rsidRPr="00A344BB">
        <w:rPr>
          <w:szCs w:val="22"/>
          <w:lang w:eastAsia="cs-CZ"/>
        </w:rPr>
        <w:t xml:space="preserve"> video </w:t>
      </w:r>
      <w:proofErr w:type="spellStart"/>
      <w:r w:rsidRPr="00A344BB">
        <w:rPr>
          <w:szCs w:val="22"/>
          <w:lang w:eastAsia="cs-CZ"/>
        </w:rPr>
        <w:t>EEG</w:t>
      </w:r>
      <w:proofErr w:type="spellEnd"/>
      <w:r w:rsidRPr="00A344BB">
        <w:rPr>
          <w:szCs w:val="22"/>
          <w:lang w:eastAsia="cs-CZ"/>
        </w:rPr>
        <w:t xml:space="preserve"> záznamu. Analýza účinnosti pozostávala zo 109 pacientov, ktorí mali najmenej 24 hodín video </w:t>
      </w:r>
      <w:proofErr w:type="spellStart"/>
      <w:r w:rsidRPr="00A344BB">
        <w:rPr>
          <w:szCs w:val="22"/>
          <w:lang w:eastAsia="cs-CZ"/>
        </w:rPr>
        <w:t>EEG</w:t>
      </w:r>
      <w:proofErr w:type="spellEnd"/>
      <w:r w:rsidRPr="00A344BB">
        <w:rPr>
          <w:szCs w:val="22"/>
          <w:lang w:eastAsia="cs-CZ"/>
        </w:rPr>
        <w:t xml:space="preserve"> záznamu v obidvoch obdobiach, východiskovom aj testovacom. 43,6 % pacientov liečených </w:t>
      </w:r>
      <w:proofErr w:type="spellStart"/>
      <w:r w:rsidRPr="00A344BB">
        <w:rPr>
          <w:szCs w:val="22"/>
          <w:lang w:eastAsia="cs-CZ"/>
        </w:rPr>
        <w:t>levetiracetamom</w:t>
      </w:r>
      <w:proofErr w:type="spellEnd"/>
      <w:r w:rsidRPr="00A344BB">
        <w:rPr>
          <w:szCs w:val="22"/>
          <w:lang w:eastAsia="cs-CZ"/>
        </w:rPr>
        <w:t xml:space="preserve"> a 19,6 % pacientov liečených placebom boli považovaní za respondentov.  Výsledky sa zhodujú naprieč vekovými skupinami. Pri dlhodobom pokračovaní v liečbe 8,6 % pacientov nemalo záchvaty minimálne 6 mesiacov a 7,8 % bolo bez záchvatov minimálne 1 rok.</w:t>
      </w:r>
    </w:p>
    <w:p w14:paraId="6962EE9C" w14:textId="77777777" w:rsidR="00EE0356" w:rsidRPr="00A344BB" w:rsidRDefault="00EE0356" w:rsidP="00EE0356">
      <w:pPr>
        <w:tabs>
          <w:tab w:val="clear" w:pos="567"/>
        </w:tabs>
        <w:autoSpaceDE w:val="0"/>
        <w:autoSpaceDN w:val="0"/>
        <w:adjustRightInd w:val="0"/>
        <w:spacing w:line="240" w:lineRule="auto"/>
        <w:rPr>
          <w:szCs w:val="22"/>
          <w:lang w:eastAsia="cs-CZ"/>
        </w:rPr>
      </w:pPr>
      <w:r w:rsidRPr="00A344BB">
        <w:rPr>
          <w:szCs w:val="22"/>
          <w:lang w:eastAsia="cs-CZ"/>
        </w:rPr>
        <w:t xml:space="preserve">35 dojčiat s parciálnymi záchvatmi vo veku menej ako 1 rok bolo liečených v placebom kontrolovaných </w:t>
      </w:r>
      <w:r w:rsidR="00031849" w:rsidRPr="00A344BB">
        <w:rPr>
          <w:szCs w:val="22"/>
          <w:lang w:eastAsia="cs-CZ"/>
        </w:rPr>
        <w:t xml:space="preserve">klinických </w:t>
      </w:r>
      <w:r w:rsidRPr="00A344BB">
        <w:rPr>
          <w:szCs w:val="22"/>
          <w:lang w:eastAsia="cs-CZ"/>
        </w:rPr>
        <w:t>štúdiách, kde len 13 pacientov bolo vo veku &lt;6 mesiacov.</w:t>
      </w:r>
    </w:p>
    <w:p w14:paraId="1368B41C" w14:textId="77777777" w:rsidR="00AB0C1C" w:rsidRPr="00A344BB" w:rsidRDefault="00AB0C1C" w:rsidP="00EB5620">
      <w:pPr>
        <w:tabs>
          <w:tab w:val="clear" w:pos="567"/>
        </w:tabs>
        <w:autoSpaceDE w:val="0"/>
        <w:autoSpaceDN w:val="0"/>
        <w:adjustRightInd w:val="0"/>
        <w:spacing w:line="240" w:lineRule="auto"/>
        <w:rPr>
          <w:i/>
          <w:iCs/>
          <w:szCs w:val="22"/>
          <w:lang w:eastAsia="cs-CZ"/>
        </w:rPr>
      </w:pPr>
    </w:p>
    <w:p w14:paraId="32D25D0E" w14:textId="77777777" w:rsidR="008A778F" w:rsidRPr="00A344BB" w:rsidRDefault="008A778F" w:rsidP="00EB5620">
      <w:pPr>
        <w:tabs>
          <w:tab w:val="clear" w:pos="567"/>
        </w:tabs>
        <w:autoSpaceDE w:val="0"/>
        <w:autoSpaceDN w:val="0"/>
        <w:adjustRightInd w:val="0"/>
        <w:spacing w:line="240" w:lineRule="auto"/>
        <w:rPr>
          <w:i/>
          <w:iCs/>
          <w:szCs w:val="22"/>
          <w:lang w:eastAsia="cs-CZ"/>
        </w:rPr>
      </w:pPr>
      <w:r w:rsidRPr="00A344BB">
        <w:rPr>
          <w:i/>
          <w:iCs/>
          <w:szCs w:val="22"/>
          <w:lang w:eastAsia="cs-CZ"/>
        </w:rPr>
        <w:t>Monoterapia na liečbu parciálnych záchvatov so sekundárnou generalizáciou alebo bez nej u pacientov vo veku od 16 rokov s novo diagnostikovanou epilepsiou.</w:t>
      </w:r>
    </w:p>
    <w:p w14:paraId="4B48B57B"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3F670FE4"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Účinnosť </w:t>
      </w:r>
      <w:proofErr w:type="spellStart"/>
      <w:r w:rsidRPr="00A344BB">
        <w:rPr>
          <w:szCs w:val="22"/>
          <w:lang w:eastAsia="cs-CZ"/>
        </w:rPr>
        <w:t>levetiracetamu</w:t>
      </w:r>
      <w:proofErr w:type="spellEnd"/>
      <w:r w:rsidRPr="00A344BB">
        <w:rPr>
          <w:szCs w:val="22"/>
          <w:lang w:eastAsia="cs-CZ"/>
        </w:rPr>
        <w:t xml:space="preserve"> v </w:t>
      </w:r>
      <w:proofErr w:type="spellStart"/>
      <w:r w:rsidRPr="00A344BB">
        <w:rPr>
          <w:szCs w:val="22"/>
          <w:lang w:eastAsia="cs-CZ"/>
        </w:rPr>
        <w:t>monoterapii</w:t>
      </w:r>
      <w:proofErr w:type="spellEnd"/>
      <w:r w:rsidRPr="00A344BB">
        <w:rPr>
          <w:szCs w:val="22"/>
          <w:lang w:eastAsia="cs-CZ"/>
        </w:rPr>
        <w:t xml:space="preserve"> bola preukázaná v dvojito zaslepenej paralelnej skupine „</w:t>
      </w:r>
      <w:proofErr w:type="spellStart"/>
      <w:r w:rsidRPr="00A344BB">
        <w:rPr>
          <w:szCs w:val="22"/>
          <w:lang w:eastAsia="cs-CZ"/>
        </w:rPr>
        <w:t>noninferiority</w:t>
      </w:r>
      <w:proofErr w:type="spellEnd"/>
      <w:r w:rsidRPr="00A344BB">
        <w:rPr>
          <w:szCs w:val="22"/>
          <w:lang w:eastAsia="cs-CZ"/>
        </w:rPr>
        <w:t xml:space="preserve">“ v porovnaní s </w:t>
      </w:r>
      <w:proofErr w:type="spellStart"/>
      <w:r w:rsidRPr="00A344BB">
        <w:rPr>
          <w:szCs w:val="22"/>
          <w:lang w:eastAsia="cs-CZ"/>
        </w:rPr>
        <w:t>karbamazepínom</w:t>
      </w:r>
      <w:proofErr w:type="spellEnd"/>
      <w:r w:rsidRPr="00A344BB">
        <w:rPr>
          <w:szCs w:val="22"/>
          <w:lang w:eastAsia="cs-CZ"/>
        </w:rPr>
        <w:t xml:space="preserve"> s riadeným uvoľňovaním (</w:t>
      </w:r>
      <w:proofErr w:type="spellStart"/>
      <w:r w:rsidRPr="00A344BB">
        <w:rPr>
          <w:szCs w:val="22"/>
          <w:lang w:eastAsia="cs-CZ"/>
        </w:rPr>
        <w:t>CR</w:t>
      </w:r>
      <w:proofErr w:type="spellEnd"/>
      <w:r w:rsidRPr="00A344BB">
        <w:rPr>
          <w:szCs w:val="22"/>
          <w:lang w:eastAsia="cs-CZ"/>
        </w:rPr>
        <w:t xml:space="preserve">) u 576 pacientov vo veku 16 rokov alebo starších s novo alebo nedávno diagnostikovanou epilepsiou. U pacientov sa mohli vyskytovať len nevyprovokované parciálne záchvaty alebo generalizované </w:t>
      </w:r>
      <w:proofErr w:type="spellStart"/>
      <w:r w:rsidRPr="00A344BB">
        <w:rPr>
          <w:szCs w:val="22"/>
          <w:lang w:eastAsia="cs-CZ"/>
        </w:rPr>
        <w:t>tonicko-klonické</w:t>
      </w:r>
      <w:proofErr w:type="spellEnd"/>
      <w:r w:rsidRPr="00A344BB">
        <w:rPr>
          <w:szCs w:val="22"/>
          <w:lang w:eastAsia="cs-CZ"/>
        </w:rPr>
        <w:t xml:space="preserve"> záchvaty. Pacienti boli </w:t>
      </w:r>
      <w:proofErr w:type="spellStart"/>
      <w:r w:rsidRPr="00A344BB">
        <w:rPr>
          <w:szCs w:val="22"/>
          <w:lang w:eastAsia="cs-CZ"/>
        </w:rPr>
        <w:t>randomizovaní</w:t>
      </w:r>
      <w:proofErr w:type="spellEnd"/>
      <w:r w:rsidRPr="00A344BB">
        <w:rPr>
          <w:szCs w:val="22"/>
          <w:lang w:eastAsia="cs-CZ"/>
        </w:rPr>
        <w:t xml:space="preserve"> na liečbu </w:t>
      </w:r>
      <w:proofErr w:type="spellStart"/>
      <w:r w:rsidRPr="00A344BB">
        <w:rPr>
          <w:szCs w:val="22"/>
          <w:lang w:eastAsia="cs-CZ"/>
        </w:rPr>
        <w:t>karbamazepínom</w:t>
      </w:r>
      <w:proofErr w:type="spellEnd"/>
      <w:r w:rsidRPr="00A344BB">
        <w:rPr>
          <w:szCs w:val="22"/>
          <w:lang w:eastAsia="cs-CZ"/>
        </w:rPr>
        <w:t xml:space="preserve"> </w:t>
      </w:r>
      <w:proofErr w:type="spellStart"/>
      <w:r w:rsidRPr="00A344BB">
        <w:rPr>
          <w:szCs w:val="22"/>
          <w:lang w:eastAsia="cs-CZ"/>
        </w:rPr>
        <w:t>CR</w:t>
      </w:r>
      <w:proofErr w:type="spellEnd"/>
      <w:r w:rsidRPr="00A344BB">
        <w:rPr>
          <w:szCs w:val="22"/>
          <w:lang w:eastAsia="cs-CZ"/>
        </w:rPr>
        <w:t xml:space="preserve"> 400 – 1200 mg/deň alebo </w:t>
      </w:r>
      <w:proofErr w:type="spellStart"/>
      <w:r w:rsidRPr="00A344BB">
        <w:rPr>
          <w:szCs w:val="22"/>
          <w:lang w:eastAsia="cs-CZ"/>
        </w:rPr>
        <w:t>levetiracetamom</w:t>
      </w:r>
      <w:proofErr w:type="spellEnd"/>
      <w:r w:rsidRPr="00A344BB">
        <w:rPr>
          <w:szCs w:val="22"/>
          <w:lang w:eastAsia="cs-CZ"/>
        </w:rPr>
        <w:t xml:space="preserve"> 1000 – 3000 mg/deň, dĺžka liečby bola do 121 týždňov v závislosti od reakcie.</w:t>
      </w:r>
    </w:p>
    <w:p w14:paraId="6FD9805B"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061E1DCC" w14:textId="77777777" w:rsidR="000D1B39"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Šesťmesačné obdobie bez výskytu záchvatov sa dosiahlo u 73,0 % pacientov liečených </w:t>
      </w:r>
      <w:proofErr w:type="spellStart"/>
      <w:r w:rsidRPr="00A344BB">
        <w:rPr>
          <w:szCs w:val="22"/>
          <w:lang w:eastAsia="cs-CZ"/>
        </w:rPr>
        <w:t>levetiracetamom</w:t>
      </w:r>
      <w:proofErr w:type="spellEnd"/>
      <w:r w:rsidRPr="00A344BB">
        <w:rPr>
          <w:szCs w:val="22"/>
          <w:lang w:eastAsia="cs-CZ"/>
        </w:rPr>
        <w:t xml:space="preserve"> a 72,8 % pacientov liečených </w:t>
      </w:r>
      <w:proofErr w:type="spellStart"/>
      <w:r w:rsidRPr="00A344BB">
        <w:rPr>
          <w:szCs w:val="22"/>
          <w:lang w:eastAsia="cs-CZ"/>
        </w:rPr>
        <w:t>karbamazepínom</w:t>
      </w:r>
      <w:proofErr w:type="spellEnd"/>
      <w:r w:rsidRPr="00A344BB">
        <w:rPr>
          <w:szCs w:val="22"/>
          <w:lang w:eastAsia="cs-CZ"/>
        </w:rPr>
        <w:t xml:space="preserve"> </w:t>
      </w:r>
      <w:proofErr w:type="spellStart"/>
      <w:r w:rsidRPr="00A344BB">
        <w:rPr>
          <w:szCs w:val="22"/>
          <w:lang w:eastAsia="cs-CZ"/>
        </w:rPr>
        <w:t>CR</w:t>
      </w:r>
      <w:proofErr w:type="spellEnd"/>
      <w:r w:rsidRPr="00A344BB">
        <w:rPr>
          <w:szCs w:val="22"/>
          <w:lang w:eastAsia="cs-CZ"/>
        </w:rPr>
        <w:t xml:space="preserve">; upravená absolútna diferencia medzi liečbami bola 0,2 </w:t>
      </w:r>
      <w:r w:rsidRPr="00A344BB">
        <w:rPr>
          <w:szCs w:val="22"/>
          <w:lang w:eastAsia="cs-CZ"/>
        </w:rPr>
        <w:lastRenderedPageBreak/>
        <w:t xml:space="preserve">% (95 % </w:t>
      </w:r>
      <w:proofErr w:type="spellStart"/>
      <w:r w:rsidRPr="00A344BB">
        <w:rPr>
          <w:szCs w:val="22"/>
          <w:lang w:eastAsia="cs-CZ"/>
        </w:rPr>
        <w:t>CI</w:t>
      </w:r>
      <w:proofErr w:type="spellEnd"/>
      <w:r w:rsidRPr="00A344BB">
        <w:rPr>
          <w:szCs w:val="22"/>
          <w:lang w:eastAsia="cs-CZ"/>
        </w:rPr>
        <w:t xml:space="preserve">: -7,8 8,2). Viac ako polovica jedincov nemala záchvaty 12 mesiacov (56,6 % jedincov s </w:t>
      </w:r>
      <w:proofErr w:type="spellStart"/>
      <w:r w:rsidRPr="00A344BB">
        <w:rPr>
          <w:szCs w:val="22"/>
          <w:lang w:eastAsia="cs-CZ"/>
        </w:rPr>
        <w:t>levetiracetamom</w:t>
      </w:r>
      <w:proofErr w:type="spellEnd"/>
      <w:r w:rsidRPr="00A344BB">
        <w:rPr>
          <w:szCs w:val="22"/>
          <w:lang w:eastAsia="cs-CZ"/>
        </w:rPr>
        <w:t xml:space="preserve"> a 58,5 % s </w:t>
      </w:r>
      <w:proofErr w:type="spellStart"/>
      <w:r w:rsidRPr="00A344BB">
        <w:rPr>
          <w:szCs w:val="22"/>
          <w:lang w:eastAsia="cs-CZ"/>
        </w:rPr>
        <w:t>karbamazepínom</w:t>
      </w:r>
      <w:proofErr w:type="spellEnd"/>
      <w:r w:rsidRPr="00A344BB">
        <w:rPr>
          <w:szCs w:val="22"/>
          <w:lang w:eastAsia="cs-CZ"/>
        </w:rPr>
        <w:t xml:space="preserve"> </w:t>
      </w:r>
      <w:proofErr w:type="spellStart"/>
      <w:r w:rsidRPr="00A344BB">
        <w:rPr>
          <w:szCs w:val="22"/>
          <w:lang w:eastAsia="cs-CZ"/>
        </w:rPr>
        <w:t>CR</w:t>
      </w:r>
      <w:proofErr w:type="spellEnd"/>
      <w:r w:rsidRPr="00A344BB">
        <w:rPr>
          <w:szCs w:val="22"/>
          <w:lang w:eastAsia="cs-CZ"/>
        </w:rPr>
        <w:t xml:space="preserve">). </w:t>
      </w:r>
    </w:p>
    <w:p w14:paraId="4C69BC9A"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0F754135"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V štúdii odrážajúcej klinickú prax bolo možné u obmedzeného počtu pacientov, ktorí reagovali na prídavnú liečbu </w:t>
      </w:r>
      <w:proofErr w:type="spellStart"/>
      <w:r w:rsidRPr="00A344BB">
        <w:rPr>
          <w:szCs w:val="22"/>
          <w:lang w:eastAsia="cs-CZ"/>
        </w:rPr>
        <w:t>levetiracetamom</w:t>
      </w:r>
      <w:proofErr w:type="spellEnd"/>
      <w:r w:rsidRPr="00A344BB">
        <w:rPr>
          <w:szCs w:val="22"/>
          <w:lang w:eastAsia="cs-CZ"/>
        </w:rPr>
        <w:t xml:space="preserve"> (36 dospelých pacientov zo 69), vysadiť súbežnú </w:t>
      </w:r>
      <w:proofErr w:type="spellStart"/>
      <w:r w:rsidRPr="00A344BB">
        <w:rPr>
          <w:szCs w:val="22"/>
          <w:lang w:eastAsia="cs-CZ"/>
        </w:rPr>
        <w:t>antiepileptickú</w:t>
      </w:r>
      <w:proofErr w:type="spellEnd"/>
      <w:r w:rsidRPr="00A344BB">
        <w:rPr>
          <w:szCs w:val="22"/>
          <w:lang w:eastAsia="cs-CZ"/>
        </w:rPr>
        <w:t xml:space="preserve"> liečbu.</w:t>
      </w:r>
    </w:p>
    <w:p w14:paraId="205338E4" w14:textId="77777777" w:rsidR="00AB0C1C" w:rsidRPr="00A344BB" w:rsidRDefault="00AB0C1C" w:rsidP="00EB5620">
      <w:pPr>
        <w:tabs>
          <w:tab w:val="clear" w:pos="567"/>
        </w:tabs>
        <w:autoSpaceDE w:val="0"/>
        <w:autoSpaceDN w:val="0"/>
        <w:adjustRightInd w:val="0"/>
        <w:spacing w:line="240" w:lineRule="auto"/>
        <w:rPr>
          <w:i/>
          <w:iCs/>
          <w:szCs w:val="22"/>
          <w:lang w:eastAsia="cs-CZ"/>
        </w:rPr>
      </w:pPr>
    </w:p>
    <w:p w14:paraId="33BA43DE" w14:textId="77777777" w:rsidR="008A778F" w:rsidRPr="00A344BB" w:rsidRDefault="008A778F" w:rsidP="00EB5620">
      <w:pPr>
        <w:tabs>
          <w:tab w:val="clear" w:pos="567"/>
        </w:tabs>
        <w:autoSpaceDE w:val="0"/>
        <w:autoSpaceDN w:val="0"/>
        <w:adjustRightInd w:val="0"/>
        <w:spacing w:line="240" w:lineRule="auto"/>
        <w:rPr>
          <w:i/>
          <w:iCs/>
          <w:szCs w:val="22"/>
          <w:lang w:eastAsia="cs-CZ"/>
        </w:rPr>
      </w:pPr>
      <w:r w:rsidRPr="00A344BB">
        <w:rPr>
          <w:i/>
          <w:iCs/>
          <w:szCs w:val="22"/>
          <w:lang w:eastAsia="cs-CZ"/>
        </w:rPr>
        <w:t xml:space="preserve">Prídavná terapia na liečbu </w:t>
      </w:r>
      <w:proofErr w:type="spellStart"/>
      <w:r w:rsidRPr="00A344BB">
        <w:rPr>
          <w:i/>
          <w:iCs/>
          <w:szCs w:val="22"/>
          <w:lang w:eastAsia="cs-CZ"/>
        </w:rPr>
        <w:t>myoklonických</w:t>
      </w:r>
      <w:proofErr w:type="spellEnd"/>
      <w:r w:rsidRPr="00A344BB">
        <w:rPr>
          <w:i/>
          <w:iCs/>
          <w:szCs w:val="22"/>
          <w:lang w:eastAsia="cs-CZ"/>
        </w:rPr>
        <w:t xml:space="preserve"> záchvatov u dospelých a dospievajúcich vo veku od 12 rokov s juvenilnou </w:t>
      </w:r>
      <w:proofErr w:type="spellStart"/>
      <w:r w:rsidRPr="00A344BB">
        <w:rPr>
          <w:i/>
          <w:iCs/>
          <w:szCs w:val="22"/>
          <w:lang w:eastAsia="cs-CZ"/>
        </w:rPr>
        <w:t>myoklonickou</w:t>
      </w:r>
      <w:proofErr w:type="spellEnd"/>
      <w:r w:rsidRPr="00A344BB">
        <w:rPr>
          <w:i/>
          <w:iCs/>
          <w:szCs w:val="22"/>
          <w:lang w:eastAsia="cs-CZ"/>
        </w:rPr>
        <w:t xml:space="preserve"> epilepsiou.</w:t>
      </w:r>
    </w:p>
    <w:p w14:paraId="0BCA689A"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6F1BA453" w14:textId="77777777" w:rsidR="000D1B39"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Účinnosť </w:t>
      </w:r>
      <w:proofErr w:type="spellStart"/>
      <w:r w:rsidRPr="00A344BB">
        <w:rPr>
          <w:szCs w:val="22"/>
          <w:lang w:eastAsia="cs-CZ"/>
        </w:rPr>
        <w:t>levetiracetamu</w:t>
      </w:r>
      <w:proofErr w:type="spellEnd"/>
      <w:r w:rsidRPr="00A344BB">
        <w:rPr>
          <w:szCs w:val="22"/>
          <w:lang w:eastAsia="cs-CZ"/>
        </w:rPr>
        <w:t xml:space="preserve"> bola preukázaná v dvojito zaslepenej placebom kontrolovanej štúdii s trvaním 16 týždňov u pacientov vo veku 12 rokov a starších, ktorí trpeli na </w:t>
      </w:r>
      <w:proofErr w:type="spellStart"/>
      <w:r w:rsidRPr="00A344BB">
        <w:rPr>
          <w:szCs w:val="22"/>
          <w:lang w:eastAsia="cs-CZ"/>
        </w:rPr>
        <w:t>idiopatickú</w:t>
      </w:r>
      <w:proofErr w:type="spellEnd"/>
      <w:r w:rsidRPr="00A344BB">
        <w:rPr>
          <w:szCs w:val="22"/>
          <w:lang w:eastAsia="cs-CZ"/>
        </w:rPr>
        <w:t xml:space="preserve"> generalizovanú epilepsiu s </w:t>
      </w:r>
      <w:proofErr w:type="spellStart"/>
      <w:r w:rsidRPr="00A344BB">
        <w:rPr>
          <w:szCs w:val="22"/>
          <w:lang w:eastAsia="cs-CZ"/>
        </w:rPr>
        <w:t>myoklonickými</w:t>
      </w:r>
      <w:proofErr w:type="spellEnd"/>
      <w:r w:rsidRPr="00A344BB">
        <w:rPr>
          <w:szCs w:val="22"/>
          <w:lang w:eastAsia="cs-CZ"/>
        </w:rPr>
        <w:t xml:space="preserve"> záchvatmi s rôznymi syndrómami. Väčšina pacientov mala výskyt juvenilnej </w:t>
      </w:r>
      <w:proofErr w:type="spellStart"/>
      <w:r w:rsidRPr="00A344BB">
        <w:rPr>
          <w:szCs w:val="22"/>
          <w:lang w:eastAsia="cs-CZ"/>
        </w:rPr>
        <w:t>myoklonickej</w:t>
      </w:r>
      <w:proofErr w:type="spellEnd"/>
      <w:r w:rsidRPr="00A344BB">
        <w:rPr>
          <w:szCs w:val="22"/>
          <w:lang w:eastAsia="cs-CZ"/>
        </w:rPr>
        <w:t xml:space="preserve"> epilepsie. </w:t>
      </w:r>
    </w:p>
    <w:p w14:paraId="127BEFD4"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37AC4C3E"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V tejto štúdii bola dávka </w:t>
      </w:r>
      <w:proofErr w:type="spellStart"/>
      <w:r w:rsidRPr="00A344BB">
        <w:rPr>
          <w:szCs w:val="22"/>
          <w:lang w:eastAsia="cs-CZ"/>
        </w:rPr>
        <w:t>levetiracetamu</w:t>
      </w:r>
      <w:proofErr w:type="spellEnd"/>
      <w:r w:rsidRPr="00A344BB">
        <w:rPr>
          <w:szCs w:val="22"/>
          <w:lang w:eastAsia="cs-CZ"/>
        </w:rPr>
        <w:t xml:space="preserve"> 3000 mg/deň podávaná v 2 rozdelených dávkach. 58,3 % pacientov liečených </w:t>
      </w:r>
      <w:proofErr w:type="spellStart"/>
      <w:r w:rsidRPr="00A344BB">
        <w:rPr>
          <w:szCs w:val="22"/>
          <w:lang w:eastAsia="cs-CZ"/>
        </w:rPr>
        <w:t>levetiracetamom</w:t>
      </w:r>
      <w:proofErr w:type="spellEnd"/>
      <w:r w:rsidRPr="00A344BB">
        <w:rPr>
          <w:szCs w:val="22"/>
          <w:lang w:eastAsia="cs-CZ"/>
        </w:rPr>
        <w:t xml:space="preserve"> a 23,3 % pacientov s placebom malo minimálne 50 % zníženie denných </w:t>
      </w:r>
      <w:proofErr w:type="spellStart"/>
      <w:r w:rsidRPr="00A344BB">
        <w:rPr>
          <w:szCs w:val="22"/>
          <w:lang w:eastAsia="cs-CZ"/>
        </w:rPr>
        <w:t>myoklonických</w:t>
      </w:r>
      <w:proofErr w:type="spellEnd"/>
      <w:r w:rsidRPr="00A344BB">
        <w:rPr>
          <w:szCs w:val="22"/>
          <w:lang w:eastAsia="cs-CZ"/>
        </w:rPr>
        <w:t xml:space="preserve"> záchvatov na týždeň. Pri dlhodobom pokračovaní v liečbe 28,6 % pacientov nemalo </w:t>
      </w:r>
      <w:proofErr w:type="spellStart"/>
      <w:r w:rsidRPr="00A344BB">
        <w:rPr>
          <w:szCs w:val="22"/>
          <w:lang w:eastAsia="cs-CZ"/>
        </w:rPr>
        <w:t>myoklonické</w:t>
      </w:r>
      <w:proofErr w:type="spellEnd"/>
      <w:r w:rsidRPr="00A344BB">
        <w:rPr>
          <w:szCs w:val="22"/>
          <w:lang w:eastAsia="cs-CZ"/>
        </w:rPr>
        <w:t xml:space="preserve"> záchvaty minimálne 6 mesiacov a 21,0 % nemalo </w:t>
      </w:r>
      <w:proofErr w:type="spellStart"/>
      <w:r w:rsidRPr="00A344BB">
        <w:rPr>
          <w:szCs w:val="22"/>
          <w:lang w:eastAsia="cs-CZ"/>
        </w:rPr>
        <w:t>myoklonické</w:t>
      </w:r>
      <w:proofErr w:type="spellEnd"/>
      <w:r w:rsidRPr="00A344BB">
        <w:rPr>
          <w:szCs w:val="22"/>
          <w:lang w:eastAsia="cs-CZ"/>
        </w:rPr>
        <w:t xml:space="preserve"> záchvaty minimálne 1 rok.</w:t>
      </w:r>
    </w:p>
    <w:p w14:paraId="67F5B126" w14:textId="77777777" w:rsidR="00AB0C1C" w:rsidRPr="00A344BB" w:rsidRDefault="00AB0C1C" w:rsidP="00EB5620">
      <w:pPr>
        <w:tabs>
          <w:tab w:val="clear" w:pos="567"/>
        </w:tabs>
        <w:autoSpaceDE w:val="0"/>
        <w:autoSpaceDN w:val="0"/>
        <w:adjustRightInd w:val="0"/>
        <w:spacing w:line="240" w:lineRule="auto"/>
        <w:rPr>
          <w:i/>
          <w:iCs/>
          <w:szCs w:val="22"/>
          <w:lang w:eastAsia="cs-CZ"/>
        </w:rPr>
      </w:pPr>
    </w:p>
    <w:p w14:paraId="5799FBB6" w14:textId="77777777" w:rsidR="008A778F" w:rsidRPr="00A344BB" w:rsidRDefault="008A778F" w:rsidP="00EB5620">
      <w:pPr>
        <w:tabs>
          <w:tab w:val="clear" w:pos="567"/>
        </w:tabs>
        <w:autoSpaceDE w:val="0"/>
        <w:autoSpaceDN w:val="0"/>
        <w:adjustRightInd w:val="0"/>
        <w:spacing w:line="240" w:lineRule="auto"/>
        <w:rPr>
          <w:i/>
          <w:iCs/>
          <w:szCs w:val="22"/>
          <w:lang w:eastAsia="cs-CZ"/>
        </w:rPr>
      </w:pPr>
      <w:r w:rsidRPr="00A344BB">
        <w:rPr>
          <w:i/>
          <w:iCs/>
          <w:szCs w:val="22"/>
          <w:lang w:eastAsia="cs-CZ"/>
        </w:rPr>
        <w:t xml:space="preserve">Prídavná terapia na liečbu primárnych generalizovaných </w:t>
      </w:r>
      <w:proofErr w:type="spellStart"/>
      <w:r w:rsidRPr="00A344BB">
        <w:rPr>
          <w:i/>
          <w:iCs/>
          <w:szCs w:val="22"/>
          <w:lang w:eastAsia="cs-CZ"/>
        </w:rPr>
        <w:t>tonicko-klonických</w:t>
      </w:r>
      <w:proofErr w:type="spellEnd"/>
      <w:r w:rsidRPr="00A344BB">
        <w:rPr>
          <w:i/>
          <w:iCs/>
          <w:szCs w:val="22"/>
          <w:lang w:eastAsia="cs-CZ"/>
        </w:rPr>
        <w:t xml:space="preserve"> záchvatov u dospelých a dospievajúcich vo veku od 12 rokov s </w:t>
      </w:r>
      <w:proofErr w:type="spellStart"/>
      <w:r w:rsidRPr="00A344BB">
        <w:rPr>
          <w:i/>
          <w:iCs/>
          <w:szCs w:val="22"/>
          <w:lang w:eastAsia="cs-CZ"/>
        </w:rPr>
        <w:t>idiopatickou</w:t>
      </w:r>
      <w:proofErr w:type="spellEnd"/>
      <w:r w:rsidRPr="00A344BB">
        <w:rPr>
          <w:i/>
          <w:iCs/>
          <w:szCs w:val="22"/>
          <w:lang w:eastAsia="cs-CZ"/>
        </w:rPr>
        <w:t xml:space="preserve"> generalizovanou epilepsiou.</w:t>
      </w:r>
    </w:p>
    <w:p w14:paraId="495A4717"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27660C42" w14:textId="77777777" w:rsidR="002F07D4"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Účinnosť </w:t>
      </w:r>
      <w:proofErr w:type="spellStart"/>
      <w:r w:rsidRPr="00A344BB">
        <w:rPr>
          <w:szCs w:val="22"/>
          <w:lang w:eastAsia="cs-CZ"/>
        </w:rPr>
        <w:t>levetiracetamu</w:t>
      </w:r>
      <w:proofErr w:type="spellEnd"/>
      <w:r w:rsidRPr="00A344BB">
        <w:rPr>
          <w:szCs w:val="22"/>
          <w:lang w:eastAsia="cs-CZ"/>
        </w:rPr>
        <w:t xml:space="preserve"> bola preukázaná v </w:t>
      </w:r>
      <w:proofErr w:type="spellStart"/>
      <w:r w:rsidRPr="00A344BB">
        <w:rPr>
          <w:szCs w:val="22"/>
          <w:lang w:eastAsia="cs-CZ"/>
        </w:rPr>
        <w:t>24-týždňovej</w:t>
      </w:r>
      <w:proofErr w:type="spellEnd"/>
      <w:r w:rsidRPr="00A344BB">
        <w:rPr>
          <w:szCs w:val="22"/>
          <w:lang w:eastAsia="cs-CZ"/>
        </w:rPr>
        <w:t xml:space="preserve"> dvojito zaslepenej placebom kontrolovanej štúdii, do ktorej boli zaradení dospelí, dospievajúci a obmedzený počet detí, ktorí trpeli na </w:t>
      </w:r>
      <w:proofErr w:type="spellStart"/>
      <w:r w:rsidRPr="00A344BB">
        <w:rPr>
          <w:szCs w:val="22"/>
          <w:lang w:eastAsia="cs-CZ"/>
        </w:rPr>
        <w:t>idiopatickú</w:t>
      </w:r>
      <w:proofErr w:type="spellEnd"/>
      <w:r w:rsidRPr="00A344BB">
        <w:rPr>
          <w:szCs w:val="22"/>
          <w:lang w:eastAsia="cs-CZ"/>
        </w:rPr>
        <w:t xml:space="preserve"> generalizovanú epilepsiu s primárnymi generalizovanými </w:t>
      </w:r>
      <w:proofErr w:type="spellStart"/>
      <w:r w:rsidRPr="00A344BB">
        <w:rPr>
          <w:szCs w:val="22"/>
          <w:lang w:eastAsia="cs-CZ"/>
        </w:rPr>
        <w:t>tonicko-klonickými</w:t>
      </w:r>
      <w:proofErr w:type="spellEnd"/>
      <w:r w:rsidRPr="00A344BB">
        <w:rPr>
          <w:szCs w:val="22"/>
          <w:lang w:eastAsia="cs-CZ"/>
        </w:rPr>
        <w:t xml:space="preserve"> (</w:t>
      </w:r>
      <w:proofErr w:type="spellStart"/>
      <w:r w:rsidRPr="00A344BB">
        <w:rPr>
          <w:szCs w:val="22"/>
          <w:lang w:eastAsia="cs-CZ"/>
        </w:rPr>
        <w:t>PGTC</w:t>
      </w:r>
      <w:proofErr w:type="spellEnd"/>
      <w:r w:rsidRPr="00A344BB">
        <w:rPr>
          <w:szCs w:val="22"/>
          <w:lang w:eastAsia="cs-CZ"/>
        </w:rPr>
        <w:t xml:space="preserve">) záchvatmi s rôznymi syndrómami (juvenilná </w:t>
      </w:r>
      <w:proofErr w:type="spellStart"/>
      <w:r w:rsidRPr="00A344BB">
        <w:rPr>
          <w:szCs w:val="22"/>
          <w:lang w:eastAsia="cs-CZ"/>
        </w:rPr>
        <w:t>myoklonická</w:t>
      </w:r>
      <w:proofErr w:type="spellEnd"/>
      <w:r w:rsidRPr="00A344BB">
        <w:rPr>
          <w:szCs w:val="22"/>
          <w:lang w:eastAsia="cs-CZ"/>
        </w:rPr>
        <w:t xml:space="preserve"> epilepsia, juvenilná absencia epilepsie, absencia epilepsie v detstve alebo epilepsia s Grand Mal záchvatmi pri prebudení). V tejto štúdii bola dávka </w:t>
      </w:r>
      <w:proofErr w:type="spellStart"/>
      <w:r w:rsidRPr="00A344BB">
        <w:rPr>
          <w:szCs w:val="22"/>
          <w:lang w:eastAsia="cs-CZ"/>
        </w:rPr>
        <w:t>levetiracetamu</w:t>
      </w:r>
      <w:proofErr w:type="spellEnd"/>
      <w:r w:rsidRPr="00A344BB">
        <w:rPr>
          <w:szCs w:val="22"/>
          <w:lang w:eastAsia="cs-CZ"/>
        </w:rPr>
        <w:t xml:space="preserve"> 3000 mg/deň pre dospelých a dospievajúcich alebo 60 mg/kg/deň pre deti podávaná v 2 rozdelených dávkach. 72,2 % pacientov liečených </w:t>
      </w:r>
      <w:proofErr w:type="spellStart"/>
      <w:r w:rsidRPr="00A344BB">
        <w:rPr>
          <w:szCs w:val="22"/>
          <w:lang w:eastAsia="cs-CZ"/>
        </w:rPr>
        <w:t>levetiracetamom</w:t>
      </w:r>
      <w:proofErr w:type="spellEnd"/>
      <w:r w:rsidRPr="00A344BB">
        <w:rPr>
          <w:szCs w:val="22"/>
          <w:lang w:eastAsia="cs-CZ"/>
        </w:rPr>
        <w:t xml:space="preserve"> a 45,2 % pacientov s placebom malo 50 % alebo významnejšie zníženie frekvencie </w:t>
      </w:r>
      <w:proofErr w:type="spellStart"/>
      <w:r w:rsidRPr="00A344BB">
        <w:rPr>
          <w:szCs w:val="22"/>
          <w:lang w:eastAsia="cs-CZ"/>
        </w:rPr>
        <w:t>PGTC</w:t>
      </w:r>
      <w:proofErr w:type="spellEnd"/>
      <w:r w:rsidRPr="00A344BB">
        <w:rPr>
          <w:szCs w:val="22"/>
          <w:lang w:eastAsia="cs-CZ"/>
        </w:rPr>
        <w:t xml:space="preserve"> záchvatov na týždeň. Pri dlhodobom pokračovaní v liečbe 47,4 % pacientov nemalo </w:t>
      </w:r>
      <w:proofErr w:type="spellStart"/>
      <w:r w:rsidRPr="00A344BB">
        <w:rPr>
          <w:szCs w:val="22"/>
          <w:lang w:eastAsia="cs-CZ"/>
        </w:rPr>
        <w:t>tonicko-klonické</w:t>
      </w:r>
      <w:proofErr w:type="spellEnd"/>
      <w:r w:rsidRPr="00A344BB">
        <w:rPr>
          <w:szCs w:val="22"/>
          <w:lang w:eastAsia="cs-CZ"/>
        </w:rPr>
        <w:t xml:space="preserve"> záchvaty minimálne 6 mesiacov a 31,5 % nemalo </w:t>
      </w:r>
      <w:proofErr w:type="spellStart"/>
      <w:r w:rsidRPr="00A344BB">
        <w:rPr>
          <w:szCs w:val="22"/>
          <w:lang w:eastAsia="cs-CZ"/>
        </w:rPr>
        <w:t>tonickoklonické</w:t>
      </w:r>
      <w:proofErr w:type="spellEnd"/>
      <w:r w:rsidRPr="00A344BB">
        <w:rPr>
          <w:szCs w:val="22"/>
          <w:lang w:eastAsia="cs-CZ"/>
        </w:rPr>
        <w:t xml:space="preserve"> záchvaty minimálne 1 rok.</w:t>
      </w:r>
    </w:p>
    <w:p w14:paraId="10F0FDB8" w14:textId="77777777" w:rsidR="008A778F" w:rsidRPr="00A344BB" w:rsidRDefault="008A778F" w:rsidP="00EB5620">
      <w:pPr>
        <w:tabs>
          <w:tab w:val="clear" w:pos="567"/>
        </w:tabs>
        <w:autoSpaceDE w:val="0"/>
        <w:autoSpaceDN w:val="0"/>
        <w:adjustRightInd w:val="0"/>
        <w:spacing w:line="240" w:lineRule="auto"/>
        <w:rPr>
          <w:szCs w:val="22"/>
        </w:rPr>
      </w:pPr>
    </w:p>
    <w:p w14:paraId="08424919" w14:textId="77777777" w:rsidR="002F07D4" w:rsidRPr="00A344BB" w:rsidRDefault="002F07D4" w:rsidP="00EB5620">
      <w:pPr>
        <w:pStyle w:val="Normlnywebov"/>
        <w:spacing w:before="0" w:beforeAutospacing="0" w:after="0"/>
        <w:rPr>
          <w:b/>
          <w:bCs/>
          <w:color w:val="auto"/>
          <w:sz w:val="22"/>
          <w:szCs w:val="22"/>
        </w:rPr>
      </w:pPr>
      <w:r w:rsidRPr="00A344BB">
        <w:rPr>
          <w:b/>
          <w:color w:val="auto"/>
          <w:sz w:val="22"/>
          <w:szCs w:val="22"/>
        </w:rPr>
        <w:t xml:space="preserve">5.2 </w:t>
      </w:r>
      <w:r w:rsidRPr="00A344BB">
        <w:rPr>
          <w:b/>
          <w:color w:val="auto"/>
          <w:sz w:val="22"/>
          <w:szCs w:val="22"/>
        </w:rPr>
        <w:tab/>
      </w:r>
      <w:proofErr w:type="spellStart"/>
      <w:r w:rsidRPr="00A344BB">
        <w:rPr>
          <w:b/>
          <w:color w:val="auto"/>
          <w:sz w:val="22"/>
          <w:szCs w:val="22"/>
        </w:rPr>
        <w:t>Farmakokinetické</w:t>
      </w:r>
      <w:proofErr w:type="spellEnd"/>
      <w:r w:rsidRPr="00A344BB">
        <w:rPr>
          <w:b/>
          <w:color w:val="auto"/>
          <w:sz w:val="22"/>
          <w:szCs w:val="22"/>
        </w:rPr>
        <w:t xml:space="preserve"> vlastnosti</w:t>
      </w:r>
    </w:p>
    <w:p w14:paraId="71FB01F8"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458788A5" w14:textId="77777777" w:rsidR="008A778F" w:rsidRPr="00A344BB" w:rsidRDefault="008A778F"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je vysoko rozpustná látka s vysokou schopnosťou prieniku. </w:t>
      </w:r>
      <w:proofErr w:type="spellStart"/>
      <w:r w:rsidRPr="00A344BB">
        <w:rPr>
          <w:szCs w:val="22"/>
          <w:lang w:eastAsia="cs-CZ"/>
        </w:rPr>
        <w:t>Farmakokinetický</w:t>
      </w:r>
      <w:proofErr w:type="spellEnd"/>
      <w:r w:rsidRPr="00A344BB">
        <w:rPr>
          <w:szCs w:val="22"/>
          <w:lang w:eastAsia="cs-CZ"/>
        </w:rPr>
        <w:t xml:space="preserve"> profil je lineárny pri nízkej </w:t>
      </w:r>
      <w:proofErr w:type="spellStart"/>
      <w:r w:rsidRPr="00A344BB">
        <w:rPr>
          <w:szCs w:val="22"/>
          <w:lang w:eastAsia="cs-CZ"/>
        </w:rPr>
        <w:t>intra</w:t>
      </w:r>
      <w:proofErr w:type="spellEnd"/>
      <w:r w:rsidRPr="00A344BB">
        <w:rPr>
          <w:szCs w:val="22"/>
          <w:lang w:eastAsia="cs-CZ"/>
        </w:rPr>
        <w:t xml:space="preserve">- i </w:t>
      </w:r>
      <w:proofErr w:type="spellStart"/>
      <w:r w:rsidRPr="00A344BB">
        <w:rPr>
          <w:szCs w:val="22"/>
          <w:lang w:eastAsia="cs-CZ"/>
        </w:rPr>
        <w:t>interindividuálnej</w:t>
      </w:r>
      <w:proofErr w:type="spellEnd"/>
      <w:r w:rsidRPr="00A344BB">
        <w:rPr>
          <w:szCs w:val="22"/>
          <w:lang w:eastAsia="cs-CZ"/>
        </w:rPr>
        <w:t xml:space="preserve"> variabilite. Pri opakovanom podávaní sa nemení </w:t>
      </w:r>
      <w:proofErr w:type="spellStart"/>
      <w:r w:rsidRPr="00A344BB">
        <w:rPr>
          <w:szCs w:val="22"/>
          <w:lang w:eastAsia="cs-CZ"/>
        </w:rPr>
        <w:t>klírens</w:t>
      </w:r>
      <w:proofErr w:type="spellEnd"/>
      <w:r w:rsidRPr="00A344BB">
        <w:rPr>
          <w:szCs w:val="22"/>
          <w:lang w:eastAsia="cs-CZ"/>
        </w:rPr>
        <w:t>.</w:t>
      </w:r>
      <w:r w:rsidR="00765D72" w:rsidRPr="00A344BB">
        <w:rPr>
          <w:szCs w:val="22"/>
          <w:lang w:eastAsia="cs-CZ"/>
        </w:rPr>
        <w:t xml:space="preserve"> </w:t>
      </w:r>
      <w:r w:rsidRPr="00A344BB">
        <w:rPr>
          <w:szCs w:val="22"/>
          <w:lang w:eastAsia="cs-CZ"/>
        </w:rPr>
        <w:t xml:space="preserve">Nie sú žiadne dôkazy o akejkoľvek príslušnej variabilite medzi pohlaviami, rasami alebo </w:t>
      </w:r>
      <w:proofErr w:type="spellStart"/>
      <w:r w:rsidRPr="00A344BB">
        <w:rPr>
          <w:szCs w:val="22"/>
          <w:lang w:eastAsia="cs-CZ"/>
        </w:rPr>
        <w:t>cirkadiálnej</w:t>
      </w:r>
      <w:proofErr w:type="spellEnd"/>
      <w:r w:rsidR="00765D72" w:rsidRPr="00A344BB">
        <w:rPr>
          <w:szCs w:val="22"/>
          <w:lang w:eastAsia="cs-CZ"/>
        </w:rPr>
        <w:t xml:space="preserve"> </w:t>
      </w:r>
      <w:r w:rsidRPr="00A344BB">
        <w:rPr>
          <w:szCs w:val="22"/>
          <w:lang w:eastAsia="cs-CZ"/>
        </w:rPr>
        <w:t xml:space="preserve">variabilite. </w:t>
      </w:r>
      <w:proofErr w:type="spellStart"/>
      <w:r w:rsidRPr="00A344BB">
        <w:rPr>
          <w:szCs w:val="22"/>
          <w:lang w:eastAsia="cs-CZ"/>
        </w:rPr>
        <w:t>Farmakokinetický</w:t>
      </w:r>
      <w:proofErr w:type="spellEnd"/>
      <w:r w:rsidRPr="00A344BB">
        <w:rPr>
          <w:szCs w:val="22"/>
          <w:lang w:eastAsia="cs-CZ"/>
        </w:rPr>
        <w:t xml:space="preserve"> profil zdravých dobrovoľníkov a pacientov s epilepsiou je porovnateľný.</w:t>
      </w:r>
    </w:p>
    <w:p w14:paraId="7B91FE06"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2ACB3573"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Vzhľadom na úplné a lineárne vstrebávanie možno predvídať plazmatické hladiny z perorálnej dávky</w:t>
      </w:r>
      <w:r w:rsidR="00765D72"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vyjadrenej v mg/kg telesnej hmotnosti. Plazmatické hladiny </w:t>
      </w:r>
      <w:proofErr w:type="spellStart"/>
      <w:r w:rsidRPr="00A344BB">
        <w:rPr>
          <w:szCs w:val="22"/>
          <w:lang w:eastAsia="cs-CZ"/>
        </w:rPr>
        <w:t>levetiracetamu</w:t>
      </w:r>
      <w:proofErr w:type="spellEnd"/>
      <w:r w:rsidRPr="00A344BB">
        <w:rPr>
          <w:szCs w:val="22"/>
          <w:lang w:eastAsia="cs-CZ"/>
        </w:rPr>
        <w:t xml:space="preserve"> teda nie je</w:t>
      </w:r>
      <w:r w:rsidR="00765D72" w:rsidRPr="00A344BB">
        <w:rPr>
          <w:szCs w:val="22"/>
          <w:lang w:eastAsia="cs-CZ"/>
        </w:rPr>
        <w:t xml:space="preserve"> </w:t>
      </w:r>
      <w:r w:rsidRPr="00A344BB">
        <w:rPr>
          <w:szCs w:val="22"/>
          <w:lang w:eastAsia="cs-CZ"/>
        </w:rPr>
        <w:t>potrebné monitorovať.</w:t>
      </w:r>
    </w:p>
    <w:p w14:paraId="50CE4DA0"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1584CC98"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Bola preukázaná významná korelácia medzi koncentráciami v slinách a v plazme u dospelých a</w:t>
      </w:r>
      <w:r w:rsidR="00765D72" w:rsidRPr="00A344BB">
        <w:rPr>
          <w:szCs w:val="22"/>
          <w:lang w:eastAsia="cs-CZ"/>
        </w:rPr>
        <w:t> </w:t>
      </w:r>
      <w:r w:rsidRPr="00A344BB">
        <w:rPr>
          <w:szCs w:val="22"/>
          <w:lang w:eastAsia="cs-CZ"/>
        </w:rPr>
        <w:t>detí</w:t>
      </w:r>
      <w:r w:rsidR="00765D72" w:rsidRPr="00A344BB">
        <w:rPr>
          <w:szCs w:val="22"/>
          <w:lang w:eastAsia="cs-CZ"/>
        </w:rPr>
        <w:t xml:space="preserve"> </w:t>
      </w:r>
      <w:r w:rsidRPr="00A344BB">
        <w:rPr>
          <w:szCs w:val="22"/>
          <w:lang w:eastAsia="cs-CZ"/>
        </w:rPr>
        <w:t>(pomer koncentrácií v slinách/v plazme sa pohybuje v rozmedzí od 1 do 1,7 pre perorálnu tabletu</w:t>
      </w:r>
      <w:r w:rsidR="00765D72" w:rsidRPr="00A344BB">
        <w:rPr>
          <w:szCs w:val="22"/>
          <w:lang w:eastAsia="cs-CZ"/>
        </w:rPr>
        <w:t xml:space="preserve"> </w:t>
      </w:r>
      <w:r w:rsidRPr="00A344BB">
        <w:rPr>
          <w:szCs w:val="22"/>
          <w:lang w:eastAsia="cs-CZ"/>
        </w:rPr>
        <w:t>a 4 hodiny po dávke pre perorálny roztok).</w:t>
      </w:r>
    </w:p>
    <w:p w14:paraId="22A9920D"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5E54C45A" w14:textId="77777777" w:rsidR="00EE0356" w:rsidRPr="00A344BB" w:rsidRDefault="00EE0356"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lastRenderedPageBreak/>
        <w:t>Dospelí a dospievajúci</w:t>
      </w:r>
      <w:r w:rsidRPr="00A344BB" w:rsidDel="00CB43B8">
        <w:rPr>
          <w:szCs w:val="22"/>
          <w:u w:val="single"/>
          <w:lang w:eastAsia="cs-CZ"/>
        </w:rPr>
        <w:t xml:space="preserve"> </w:t>
      </w:r>
    </w:p>
    <w:p w14:paraId="74FDA368" w14:textId="77777777" w:rsidR="00AB0C1C" w:rsidRPr="00A344BB" w:rsidRDefault="00AB0C1C" w:rsidP="0096391B">
      <w:pPr>
        <w:keepNext/>
        <w:tabs>
          <w:tab w:val="clear" w:pos="567"/>
        </w:tabs>
        <w:autoSpaceDE w:val="0"/>
        <w:autoSpaceDN w:val="0"/>
        <w:adjustRightInd w:val="0"/>
        <w:spacing w:line="240" w:lineRule="auto"/>
        <w:rPr>
          <w:szCs w:val="22"/>
          <w:u w:val="single"/>
          <w:lang w:eastAsia="cs-CZ"/>
        </w:rPr>
      </w:pPr>
    </w:p>
    <w:p w14:paraId="4172D081" w14:textId="77777777" w:rsidR="008A778F" w:rsidRPr="00A344BB" w:rsidRDefault="008A778F"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Absorpcia</w:t>
      </w:r>
    </w:p>
    <w:p w14:paraId="6CB5CB4A" w14:textId="77777777" w:rsidR="008A778F" w:rsidRPr="00A344BB" w:rsidRDefault="008A778F" w:rsidP="0096391B">
      <w:pPr>
        <w:keepNext/>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sa po perorálnom podaní rýchlo absorbuje. Absolútna biologická dostupnosť po</w:t>
      </w:r>
      <w:r w:rsidR="00765D72" w:rsidRPr="00A344BB">
        <w:rPr>
          <w:szCs w:val="22"/>
          <w:lang w:eastAsia="cs-CZ"/>
        </w:rPr>
        <w:t xml:space="preserve"> </w:t>
      </w:r>
      <w:r w:rsidRPr="00A344BB">
        <w:rPr>
          <w:szCs w:val="22"/>
          <w:lang w:eastAsia="cs-CZ"/>
        </w:rPr>
        <w:t>perorálnom užití sa blíži ku 100 %.</w:t>
      </w:r>
      <w:r w:rsidR="000D1B39" w:rsidRPr="00A344BB">
        <w:rPr>
          <w:szCs w:val="22"/>
          <w:lang w:eastAsia="cs-CZ"/>
        </w:rPr>
        <w:t xml:space="preserve"> </w:t>
      </w:r>
      <w:r w:rsidRPr="00A344BB">
        <w:rPr>
          <w:szCs w:val="22"/>
          <w:lang w:eastAsia="cs-CZ"/>
        </w:rPr>
        <w:t>Maximálne plazmatické koncentrácie (</w:t>
      </w:r>
      <w:proofErr w:type="spellStart"/>
      <w:r w:rsidRPr="00A344BB">
        <w:rPr>
          <w:szCs w:val="22"/>
          <w:lang w:eastAsia="cs-CZ"/>
        </w:rPr>
        <w:t>C</w:t>
      </w:r>
      <w:r w:rsidRPr="00A344BB">
        <w:rPr>
          <w:szCs w:val="22"/>
          <w:vertAlign w:val="subscript"/>
          <w:lang w:eastAsia="cs-CZ"/>
        </w:rPr>
        <w:t>max</w:t>
      </w:r>
      <w:proofErr w:type="spellEnd"/>
      <w:r w:rsidRPr="00A344BB">
        <w:rPr>
          <w:szCs w:val="22"/>
          <w:lang w:eastAsia="cs-CZ"/>
        </w:rPr>
        <w:t>) sa dosiahnu 1,3 hodiny po podaní dávky. Rovnovážny</w:t>
      </w:r>
      <w:r w:rsidR="00765D72" w:rsidRPr="00A344BB">
        <w:rPr>
          <w:szCs w:val="22"/>
          <w:lang w:eastAsia="cs-CZ"/>
        </w:rPr>
        <w:t xml:space="preserve"> </w:t>
      </w:r>
      <w:r w:rsidRPr="00A344BB">
        <w:rPr>
          <w:szCs w:val="22"/>
          <w:lang w:eastAsia="cs-CZ"/>
        </w:rPr>
        <w:t>stav sa dosiahne po dvoch dňoch pri dávkovacom režime dvakrát denne.</w:t>
      </w:r>
      <w:r w:rsidR="000D1B39" w:rsidRPr="00A344BB">
        <w:rPr>
          <w:szCs w:val="22"/>
          <w:lang w:eastAsia="cs-CZ"/>
        </w:rPr>
        <w:t xml:space="preserve"> </w:t>
      </w:r>
      <w:r w:rsidRPr="00A344BB">
        <w:rPr>
          <w:szCs w:val="22"/>
          <w:lang w:eastAsia="cs-CZ"/>
        </w:rPr>
        <w:t>Maximálne koncentrácie (</w:t>
      </w:r>
      <w:proofErr w:type="spellStart"/>
      <w:r w:rsidRPr="00A344BB">
        <w:rPr>
          <w:szCs w:val="22"/>
          <w:lang w:eastAsia="cs-CZ"/>
        </w:rPr>
        <w:t>C</w:t>
      </w:r>
      <w:r w:rsidRPr="00A344BB">
        <w:rPr>
          <w:szCs w:val="22"/>
          <w:vertAlign w:val="subscript"/>
          <w:lang w:eastAsia="cs-CZ"/>
        </w:rPr>
        <w:t>max</w:t>
      </w:r>
      <w:proofErr w:type="spellEnd"/>
      <w:r w:rsidRPr="00A344BB">
        <w:rPr>
          <w:szCs w:val="22"/>
          <w:lang w:eastAsia="cs-CZ"/>
        </w:rPr>
        <w:t xml:space="preserve">) sú zvyčajne 31 </w:t>
      </w:r>
      <w:proofErr w:type="spellStart"/>
      <w:r w:rsidRPr="00A344BB">
        <w:rPr>
          <w:szCs w:val="22"/>
          <w:lang w:eastAsia="cs-CZ"/>
        </w:rPr>
        <w:t>μg</w:t>
      </w:r>
      <w:proofErr w:type="spellEnd"/>
      <w:r w:rsidRPr="00A344BB">
        <w:rPr>
          <w:szCs w:val="22"/>
          <w:lang w:eastAsia="cs-CZ"/>
        </w:rPr>
        <w:t xml:space="preserve">/ml po jednorazovej dávke 1000 mg a 43 </w:t>
      </w:r>
      <w:proofErr w:type="spellStart"/>
      <w:r w:rsidRPr="00A344BB">
        <w:rPr>
          <w:szCs w:val="22"/>
          <w:lang w:eastAsia="cs-CZ"/>
        </w:rPr>
        <w:t>μg</w:t>
      </w:r>
      <w:proofErr w:type="spellEnd"/>
      <w:r w:rsidRPr="00A344BB">
        <w:rPr>
          <w:szCs w:val="22"/>
          <w:lang w:eastAsia="cs-CZ"/>
        </w:rPr>
        <w:t>/ml po</w:t>
      </w:r>
      <w:r w:rsidR="00765D72" w:rsidRPr="00A344BB">
        <w:rPr>
          <w:szCs w:val="22"/>
          <w:lang w:eastAsia="cs-CZ"/>
        </w:rPr>
        <w:t xml:space="preserve"> </w:t>
      </w:r>
      <w:r w:rsidRPr="00A344BB">
        <w:rPr>
          <w:szCs w:val="22"/>
          <w:lang w:eastAsia="cs-CZ"/>
        </w:rPr>
        <w:t>opakovanej dávke 1000 mg dvakrát denne.</w:t>
      </w:r>
    </w:p>
    <w:p w14:paraId="1544BB57"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Rozsah vstrebávania nezávisí od dávky a nie je ovplyvnený podaním jedla.</w:t>
      </w:r>
    </w:p>
    <w:p w14:paraId="08D3A9FD"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3B2CF6EC" w14:textId="77777777" w:rsidR="008A778F" w:rsidRPr="00A344BB" w:rsidRDefault="008A778F"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Distribúcia</w:t>
      </w:r>
    </w:p>
    <w:p w14:paraId="4709956C"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Nie sú dostupné žiadne údaje o distribúcii v tkanivách ľudí.</w:t>
      </w:r>
    </w:p>
    <w:p w14:paraId="55B63A55" w14:textId="77777777" w:rsidR="008A778F" w:rsidRPr="00A344BB" w:rsidRDefault="008A778F"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a ani jeho primárny </w:t>
      </w:r>
      <w:proofErr w:type="spellStart"/>
      <w:r w:rsidRPr="00A344BB">
        <w:rPr>
          <w:szCs w:val="22"/>
          <w:lang w:eastAsia="cs-CZ"/>
        </w:rPr>
        <w:t>metabolit</w:t>
      </w:r>
      <w:proofErr w:type="spellEnd"/>
      <w:r w:rsidRPr="00A344BB">
        <w:rPr>
          <w:szCs w:val="22"/>
          <w:lang w:eastAsia="cs-CZ"/>
        </w:rPr>
        <w:t xml:space="preserve"> sa vo významnej miere neviažu na bielkoviny v</w:t>
      </w:r>
      <w:r w:rsidR="00765D72" w:rsidRPr="00A344BB">
        <w:rPr>
          <w:szCs w:val="22"/>
          <w:lang w:eastAsia="cs-CZ"/>
        </w:rPr>
        <w:t> </w:t>
      </w:r>
      <w:r w:rsidRPr="00A344BB">
        <w:rPr>
          <w:szCs w:val="22"/>
          <w:lang w:eastAsia="cs-CZ"/>
        </w:rPr>
        <w:t>plazme</w:t>
      </w:r>
      <w:r w:rsidR="00765D72" w:rsidRPr="00A344BB">
        <w:rPr>
          <w:szCs w:val="22"/>
          <w:lang w:eastAsia="cs-CZ"/>
        </w:rPr>
        <w:t xml:space="preserve"> </w:t>
      </w:r>
      <w:r w:rsidRPr="00A344BB">
        <w:rPr>
          <w:szCs w:val="22"/>
          <w:lang w:eastAsia="cs-CZ"/>
        </w:rPr>
        <w:t>(&lt; 10 %).</w:t>
      </w:r>
      <w:r w:rsidR="000D1B39" w:rsidRPr="00A344BB">
        <w:rPr>
          <w:szCs w:val="22"/>
          <w:lang w:eastAsia="cs-CZ"/>
        </w:rPr>
        <w:t xml:space="preserve"> </w:t>
      </w:r>
      <w:r w:rsidRPr="00A344BB">
        <w:rPr>
          <w:szCs w:val="22"/>
          <w:lang w:eastAsia="cs-CZ"/>
        </w:rPr>
        <w:t xml:space="preserve">Distribučný objem </w:t>
      </w:r>
      <w:proofErr w:type="spellStart"/>
      <w:r w:rsidRPr="00A344BB">
        <w:rPr>
          <w:szCs w:val="22"/>
          <w:lang w:eastAsia="cs-CZ"/>
        </w:rPr>
        <w:t>levetiracetamu</w:t>
      </w:r>
      <w:proofErr w:type="spellEnd"/>
      <w:r w:rsidRPr="00A344BB">
        <w:rPr>
          <w:szCs w:val="22"/>
          <w:lang w:eastAsia="cs-CZ"/>
        </w:rPr>
        <w:t xml:space="preserve"> je približne 0,5 až 0,7 l/kg, čo je hodnota blízka celkovému objemu</w:t>
      </w:r>
      <w:r w:rsidR="00765D72" w:rsidRPr="00A344BB">
        <w:rPr>
          <w:szCs w:val="22"/>
          <w:lang w:eastAsia="cs-CZ"/>
        </w:rPr>
        <w:t xml:space="preserve"> </w:t>
      </w:r>
      <w:r w:rsidRPr="00A344BB">
        <w:rPr>
          <w:szCs w:val="22"/>
          <w:lang w:eastAsia="cs-CZ"/>
        </w:rPr>
        <w:t>vody v organizme.</w:t>
      </w:r>
    </w:p>
    <w:p w14:paraId="4AE8B083"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5BC85F10" w14:textId="77777777" w:rsidR="008A778F" w:rsidRPr="00A344BB" w:rsidRDefault="008A778F" w:rsidP="00EB5620">
      <w:pPr>
        <w:tabs>
          <w:tab w:val="clear" w:pos="567"/>
        </w:tabs>
        <w:autoSpaceDE w:val="0"/>
        <w:autoSpaceDN w:val="0"/>
        <w:adjustRightInd w:val="0"/>
        <w:spacing w:line="240" w:lineRule="auto"/>
        <w:rPr>
          <w:szCs w:val="22"/>
          <w:u w:val="single"/>
          <w:lang w:eastAsia="cs-CZ"/>
        </w:rPr>
      </w:pPr>
      <w:proofErr w:type="spellStart"/>
      <w:r w:rsidRPr="00A344BB">
        <w:rPr>
          <w:szCs w:val="22"/>
          <w:u w:val="single"/>
          <w:lang w:eastAsia="cs-CZ"/>
        </w:rPr>
        <w:t>Biotransformácia</w:t>
      </w:r>
      <w:proofErr w:type="spellEnd"/>
    </w:p>
    <w:p w14:paraId="30F3E1F9" w14:textId="77777777" w:rsidR="008A778F" w:rsidRPr="00A344BB" w:rsidRDefault="008A778F"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Levetiracetam</w:t>
      </w:r>
      <w:proofErr w:type="spellEnd"/>
      <w:r w:rsidRPr="00A344BB">
        <w:rPr>
          <w:szCs w:val="22"/>
          <w:lang w:eastAsia="cs-CZ"/>
        </w:rPr>
        <w:t xml:space="preserve"> sa u ľudí extenzívne nemetabolizuje. Hlavnou metabolickou cestou (24 % dávky) je</w:t>
      </w:r>
      <w:r w:rsidR="00765D72" w:rsidRPr="00A344BB">
        <w:rPr>
          <w:szCs w:val="22"/>
          <w:lang w:eastAsia="cs-CZ"/>
        </w:rPr>
        <w:t xml:space="preserve"> </w:t>
      </w:r>
      <w:r w:rsidRPr="00A344BB">
        <w:rPr>
          <w:szCs w:val="22"/>
          <w:lang w:eastAsia="cs-CZ"/>
        </w:rPr>
        <w:t xml:space="preserve">enzýmová hydrolýza </w:t>
      </w:r>
      <w:proofErr w:type="spellStart"/>
      <w:r w:rsidRPr="00A344BB">
        <w:rPr>
          <w:szCs w:val="22"/>
          <w:lang w:eastAsia="cs-CZ"/>
        </w:rPr>
        <w:t>acetamidovej</w:t>
      </w:r>
      <w:proofErr w:type="spellEnd"/>
      <w:r w:rsidRPr="00A344BB">
        <w:rPr>
          <w:szCs w:val="22"/>
          <w:lang w:eastAsia="cs-CZ"/>
        </w:rPr>
        <w:t xml:space="preserve"> skupiny. </w:t>
      </w:r>
      <w:proofErr w:type="spellStart"/>
      <w:r w:rsidRPr="00A344BB">
        <w:rPr>
          <w:szCs w:val="22"/>
          <w:lang w:eastAsia="cs-CZ"/>
        </w:rPr>
        <w:t>Izoenzýmy</w:t>
      </w:r>
      <w:proofErr w:type="spellEnd"/>
      <w:r w:rsidRPr="00A344BB">
        <w:rPr>
          <w:szCs w:val="22"/>
          <w:lang w:eastAsia="cs-CZ"/>
        </w:rPr>
        <w:t xml:space="preserve"> pečeňového </w:t>
      </w:r>
      <w:proofErr w:type="spellStart"/>
      <w:r w:rsidRPr="00A344BB">
        <w:rPr>
          <w:szCs w:val="22"/>
          <w:lang w:eastAsia="cs-CZ"/>
        </w:rPr>
        <w:t>cytochrómu</w:t>
      </w:r>
      <w:proofErr w:type="spellEnd"/>
      <w:r w:rsidRPr="00A344BB">
        <w:rPr>
          <w:szCs w:val="22"/>
          <w:lang w:eastAsia="cs-CZ"/>
        </w:rPr>
        <w:t xml:space="preserve"> P450 nepodporujú</w:t>
      </w:r>
      <w:r w:rsidR="00765D72" w:rsidRPr="00A344BB">
        <w:rPr>
          <w:szCs w:val="22"/>
          <w:lang w:eastAsia="cs-CZ"/>
        </w:rPr>
        <w:t xml:space="preserve"> </w:t>
      </w:r>
      <w:r w:rsidRPr="00A344BB">
        <w:rPr>
          <w:szCs w:val="22"/>
          <w:lang w:eastAsia="cs-CZ"/>
        </w:rPr>
        <w:t xml:space="preserve">vznik primárneho </w:t>
      </w:r>
      <w:proofErr w:type="spellStart"/>
      <w:r w:rsidRPr="00A344BB">
        <w:rPr>
          <w:szCs w:val="22"/>
          <w:lang w:eastAsia="cs-CZ"/>
        </w:rPr>
        <w:t>metabolitu</w:t>
      </w:r>
      <w:proofErr w:type="spellEnd"/>
      <w:r w:rsidRPr="00A344BB">
        <w:rPr>
          <w:szCs w:val="22"/>
          <w:lang w:eastAsia="cs-CZ"/>
        </w:rPr>
        <w:t xml:space="preserve"> </w:t>
      </w:r>
      <w:proofErr w:type="spellStart"/>
      <w:r w:rsidRPr="00A344BB">
        <w:rPr>
          <w:szCs w:val="22"/>
          <w:lang w:eastAsia="cs-CZ"/>
        </w:rPr>
        <w:t>ucb</w:t>
      </w:r>
      <w:proofErr w:type="spellEnd"/>
      <w:r w:rsidRPr="00A344BB">
        <w:rPr>
          <w:szCs w:val="22"/>
          <w:lang w:eastAsia="cs-CZ"/>
        </w:rPr>
        <w:t xml:space="preserve"> L057. Hydrolýza </w:t>
      </w:r>
      <w:proofErr w:type="spellStart"/>
      <w:r w:rsidRPr="00A344BB">
        <w:rPr>
          <w:szCs w:val="22"/>
          <w:lang w:eastAsia="cs-CZ"/>
        </w:rPr>
        <w:t>acetamidovej</w:t>
      </w:r>
      <w:proofErr w:type="spellEnd"/>
      <w:r w:rsidRPr="00A344BB">
        <w:rPr>
          <w:szCs w:val="22"/>
          <w:lang w:eastAsia="cs-CZ"/>
        </w:rPr>
        <w:t xml:space="preserve"> skupiny bola merateľná vo veľkom</w:t>
      </w:r>
      <w:r w:rsidR="00765D72" w:rsidRPr="00A344BB">
        <w:rPr>
          <w:szCs w:val="22"/>
          <w:lang w:eastAsia="cs-CZ"/>
        </w:rPr>
        <w:t xml:space="preserve"> </w:t>
      </w:r>
      <w:r w:rsidRPr="00A344BB">
        <w:rPr>
          <w:szCs w:val="22"/>
          <w:lang w:eastAsia="cs-CZ"/>
        </w:rPr>
        <w:t xml:space="preserve">počte tkanív vrátane krviniek. </w:t>
      </w:r>
      <w:proofErr w:type="spellStart"/>
      <w:r w:rsidRPr="00A344BB">
        <w:rPr>
          <w:szCs w:val="22"/>
          <w:lang w:eastAsia="cs-CZ"/>
        </w:rPr>
        <w:t>Metabolit</w:t>
      </w:r>
      <w:proofErr w:type="spellEnd"/>
      <w:r w:rsidRPr="00A344BB">
        <w:rPr>
          <w:szCs w:val="22"/>
          <w:lang w:eastAsia="cs-CZ"/>
        </w:rPr>
        <w:t xml:space="preserve"> </w:t>
      </w:r>
      <w:proofErr w:type="spellStart"/>
      <w:r w:rsidRPr="00A344BB">
        <w:rPr>
          <w:szCs w:val="22"/>
          <w:lang w:eastAsia="cs-CZ"/>
        </w:rPr>
        <w:t>ucb</w:t>
      </w:r>
      <w:proofErr w:type="spellEnd"/>
      <w:r w:rsidRPr="00A344BB">
        <w:rPr>
          <w:szCs w:val="22"/>
          <w:lang w:eastAsia="cs-CZ"/>
        </w:rPr>
        <w:t xml:space="preserve"> L057 je farmakologicky neúčinný.</w:t>
      </w:r>
    </w:p>
    <w:p w14:paraId="1730DC49"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487F934B" w14:textId="77777777" w:rsidR="000D1B39"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Stanovili sa tiež dva menej významné </w:t>
      </w:r>
      <w:proofErr w:type="spellStart"/>
      <w:r w:rsidRPr="00A344BB">
        <w:rPr>
          <w:szCs w:val="22"/>
          <w:lang w:eastAsia="cs-CZ"/>
        </w:rPr>
        <w:t>metabolity</w:t>
      </w:r>
      <w:proofErr w:type="spellEnd"/>
      <w:r w:rsidRPr="00A344BB">
        <w:rPr>
          <w:szCs w:val="22"/>
          <w:lang w:eastAsia="cs-CZ"/>
        </w:rPr>
        <w:t xml:space="preserve">. Jeden sa získal </w:t>
      </w:r>
      <w:proofErr w:type="spellStart"/>
      <w:r w:rsidRPr="00A344BB">
        <w:rPr>
          <w:szCs w:val="22"/>
          <w:lang w:eastAsia="cs-CZ"/>
        </w:rPr>
        <w:t>hydroxyláciou</w:t>
      </w:r>
      <w:proofErr w:type="spellEnd"/>
      <w:r w:rsidRPr="00A344BB">
        <w:rPr>
          <w:szCs w:val="22"/>
          <w:lang w:eastAsia="cs-CZ"/>
        </w:rPr>
        <w:t xml:space="preserve"> </w:t>
      </w:r>
      <w:proofErr w:type="spellStart"/>
      <w:r w:rsidRPr="00A344BB">
        <w:rPr>
          <w:szCs w:val="22"/>
          <w:lang w:eastAsia="cs-CZ"/>
        </w:rPr>
        <w:t>pyrolidónového</w:t>
      </w:r>
      <w:proofErr w:type="spellEnd"/>
      <w:r w:rsidR="00765D72" w:rsidRPr="00A344BB">
        <w:rPr>
          <w:szCs w:val="22"/>
          <w:lang w:eastAsia="cs-CZ"/>
        </w:rPr>
        <w:t xml:space="preserve"> </w:t>
      </w:r>
      <w:r w:rsidRPr="00A344BB">
        <w:rPr>
          <w:szCs w:val="22"/>
          <w:lang w:eastAsia="cs-CZ"/>
        </w:rPr>
        <w:t xml:space="preserve">kruhu (1,6 % dávky) a druhý otvorením </w:t>
      </w:r>
      <w:proofErr w:type="spellStart"/>
      <w:r w:rsidRPr="00A344BB">
        <w:rPr>
          <w:szCs w:val="22"/>
          <w:lang w:eastAsia="cs-CZ"/>
        </w:rPr>
        <w:t>pyrolidónového</w:t>
      </w:r>
      <w:proofErr w:type="spellEnd"/>
      <w:r w:rsidRPr="00A344BB">
        <w:rPr>
          <w:szCs w:val="22"/>
          <w:lang w:eastAsia="cs-CZ"/>
        </w:rPr>
        <w:t xml:space="preserve"> kruhu (0,9 % dávky). </w:t>
      </w:r>
    </w:p>
    <w:p w14:paraId="6142759E"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Ďalšie neidentifikované</w:t>
      </w:r>
      <w:r w:rsidR="00765D72" w:rsidRPr="00A344BB">
        <w:rPr>
          <w:szCs w:val="22"/>
          <w:lang w:eastAsia="cs-CZ"/>
        </w:rPr>
        <w:t xml:space="preserve"> </w:t>
      </w:r>
      <w:r w:rsidRPr="00A344BB">
        <w:rPr>
          <w:szCs w:val="22"/>
          <w:lang w:eastAsia="cs-CZ"/>
        </w:rPr>
        <w:t>zložky predstavovali iba 0,6 % dávky.</w:t>
      </w:r>
    </w:p>
    <w:p w14:paraId="4DA71247" w14:textId="77777777" w:rsidR="00AB0C1C" w:rsidRPr="00A344BB" w:rsidRDefault="00AB0C1C" w:rsidP="00EB5620">
      <w:pPr>
        <w:tabs>
          <w:tab w:val="clear" w:pos="567"/>
        </w:tabs>
        <w:autoSpaceDE w:val="0"/>
        <w:autoSpaceDN w:val="0"/>
        <w:adjustRightInd w:val="0"/>
        <w:spacing w:line="240" w:lineRule="auto"/>
        <w:rPr>
          <w:i/>
          <w:iCs/>
          <w:szCs w:val="22"/>
          <w:lang w:eastAsia="cs-CZ"/>
        </w:rPr>
      </w:pPr>
    </w:p>
    <w:p w14:paraId="1D750C81"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i/>
          <w:iCs/>
          <w:szCs w:val="22"/>
          <w:lang w:eastAsia="cs-CZ"/>
        </w:rPr>
        <w:t xml:space="preserve">In </w:t>
      </w:r>
      <w:proofErr w:type="spellStart"/>
      <w:r w:rsidRPr="00A344BB">
        <w:rPr>
          <w:i/>
          <w:iCs/>
          <w:szCs w:val="22"/>
          <w:lang w:eastAsia="cs-CZ"/>
        </w:rPr>
        <w:t>vivo</w:t>
      </w:r>
      <w:proofErr w:type="spellEnd"/>
      <w:r w:rsidRPr="00A344BB">
        <w:rPr>
          <w:i/>
          <w:iCs/>
          <w:szCs w:val="22"/>
          <w:lang w:eastAsia="cs-CZ"/>
        </w:rPr>
        <w:t xml:space="preserve"> </w:t>
      </w:r>
      <w:r w:rsidRPr="00A344BB">
        <w:rPr>
          <w:szCs w:val="22"/>
          <w:lang w:eastAsia="cs-CZ"/>
        </w:rPr>
        <w:t xml:space="preserve">sa nezistila žiadna </w:t>
      </w:r>
      <w:proofErr w:type="spellStart"/>
      <w:r w:rsidRPr="00A344BB">
        <w:rPr>
          <w:szCs w:val="22"/>
          <w:lang w:eastAsia="cs-CZ"/>
        </w:rPr>
        <w:t>enantiomerová</w:t>
      </w:r>
      <w:proofErr w:type="spellEnd"/>
      <w:r w:rsidRPr="00A344BB">
        <w:rPr>
          <w:szCs w:val="22"/>
          <w:lang w:eastAsia="cs-CZ"/>
        </w:rPr>
        <w:t xml:space="preserve"> </w:t>
      </w:r>
      <w:proofErr w:type="spellStart"/>
      <w:r w:rsidRPr="00A344BB">
        <w:rPr>
          <w:szCs w:val="22"/>
          <w:lang w:eastAsia="cs-CZ"/>
        </w:rPr>
        <w:t>interkonverzia</w:t>
      </w:r>
      <w:proofErr w:type="spellEnd"/>
      <w:r w:rsidRPr="00A344BB">
        <w:rPr>
          <w:szCs w:val="22"/>
          <w:lang w:eastAsia="cs-CZ"/>
        </w:rPr>
        <w:t xml:space="preserve"> pri </w:t>
      </w:r>
      <w:proofErr w:type="spellStart"/>
      <w:r w:rsidRPr="00A344BB">
        <w:rPr>
          <w:szCs w:val="22"/>
          <w:lang w:eastAsia="cs-CZ"/>
        </w:rPr>
        <w:t>levetiracetame</w:t>
      </w:r>
      <w:proofErr w:type="spellEnd"/>
      <w:r w:rsidRPr="00A344BB">
        <w:rPr>
          <w:szCs w:val="22"/>
          <w:lang w:eastAsia="cs-CZ"/>
        </w:rPr>
        <w:t xml:space="preserve"> ani pri jeho primárnom</w:t>
      </w:r>
      <w:r w:rsidR="00765D72" w:rsidRPr="00A344BB">
        <w:rPr>
          <w:szCs w:val="22"/>
          <w:lang w:eastAsia="cs-CZ"/>
        </w:rPr>
        <w:t xml:space="preserve"> </w:t>
      </w:r>
      <w:proofErr w:type="spellStart"/>
      <w:r w:rsidRPr="00A344BB">
        <w:rPr>
          <w:szCs w:val="22"/>
          <w:lang w:eastAsia="cs-CZ"/>
        </w:rPr>
        <w:t>metabolite</w:t>
      </w:r>
      <w:proofErr w:type="spellEnd"/>
      <w:r w:rsidRPr="00A344BB">
        <w:rPr>
          <w:szCs w:val="22"/>
          <w:lang w:eastAsia="cs-CZ"/>
        </w:rPr>
        <w:t>.</w:t>
      </w:r>
    </w:p>
    <w:p w14:paraId="2E6D7B1E" w14:textId="77777777" w:rsidR="00AB0C1C" w:rsidRPr="00A344BB" w:rsidRDefault="00AB0C1C" w:rsidP="00EB5620">
      <w:pPr>
        <w:tabs>
          <w:tab w:val="clear" w:pos="567"/>
        </w:tabs>
        <w:autoSpaceDE w:val="0"/>
        <w:autoSpaceDN w:val="0"/>
        <w:adjustRightInd w:val="0"/>
        <w:spacing w:line="240" w:lineRule="auto"/>
        <w:rPr>
          <w:i/>
          <w:iCs/>
          <w:szCs w:val="22"/>
          <w:lang w:eastAsia="cs-CZ"/>
        </w:rPr>
      </w:pPr>
    </w:p>
    <w:p w14:paraId="391907F7"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i/>
          <w:iCs/>
          <w:szCs w:val="22"/>
          <w:lang w:eastAsia="cs-CZ"/>
        </w:rPr>
        <w:t xml:space="preserve">In </w:t>
      </w:r>
      <w:proofErr w:type="spellStart"/>
      <w:r w:rsidRPr="00A344BB">
        <w:rPr>
          <w:i/>
          <w:iCs/>
          <w:szCs w:val="22"/>
          <w:lang w:eastAsia="cs-CZ"/>
        </w:rPr>
        <w:t>vitro</w:t>
      </w:r>
      <w:proofErr w:type="spellEnd"/>
      <w:r w:rsidRPr="00A344BB">
        <w:rPr>
          <w:i/>
          <w:iCs/>
          <w:szCs w:val="22"/>
          <w:lang w:eastAsia="cs-CZ"/>
        </w:rPr>
        <w:t xml:space="preserve"> </w:t>
      </w:r>
      <w:r w:rsidRPr="00A344BB">
        <w:rPr>
          <w:szCs w:val="22"/>
          <w:lang w:eastAsia="cs-CZ"/>
        </w:rPr>
        <w:t xml:space="preserve">sa zistilo, že </w:t>
      </w:r>
      <w:proofErr w:type="spellStart"/>
      <w:r w:rsidRPr="00A344BB">
        <w:rPr>
          <w:szCs w:val="22"/>
          <w:lang w:eastAsia="cs-CZ"/>
        </w:rPr>
        <w:t>levetiracetam</w:t>
      </w:r>
      <w:proofErr w:type="spellEnd"/>
      <w:r w:rsidRPr="00A344BB">
        <w:rPr>
          <w:szCs w:val="22"/>
          <w:lang w:eastAsia="cs-CZ"/>
        </w:rPr>
        <w:t xml:space="preserve"> a jeho primárny </w:t>
      </w:r>
      <w:proofErr w:type="spellStart"/>
      <w:r w:rsidRPr="00A344BB">
        <w:rPr>
          <w:szCs w:val="22"/>
          <w:lang w:eastAsia="cs-CZ"/>
        </w:rPr>
        <w:t>metabolit</w:t>
      </w:r>
      <w:proofErr w:type="spellEnd"/>
      <w:r w:rsidRPr="00A344BB">
        <w:rPr>
          <w:szCs w:val="22"/>
          <w:lang w:eastAsia="cs-CZ"/>
        </w:rPr>
        <w:t xml:space="preserve"> </w:t>
      </w:r>
      <w:proofErr w:type="spellStart"/>
      <w:r w:rsidRPr="00A344BB">
        <w:rPr>
          <w:szCs w:val="22"/>
          <w:lang w:eastAsia="cs-CZ"/>
        </w:rPr>
        <w:t>neinhibujú</w:t>
      </w:r>
      <w:proofErr w:type="spellEnd"/>
      <w:r w:rsidRPr="00A344BB">
        <w:rPr>
          <w:szCs w:val="22"/>
          <w:lang w:eastAsia="cs-CZ"/>
        </w:rPr>
        <w:t xml:space="preserve"> hlavné </w:t>
      </w:r>
      <w:proofErr w:type="spellStart"/>
      <w:r w:rsidRPr="00A344BB">
        <w:rPr>
          <w:szCs w:val="22"/>
          <w:lang w:eastAsia="cs-CZ"/>
        </w:rPr>
        <w:t>izoformy</w:t>
      </w:r>
      <w:proofErr w:type="spellEnd"/>
      <w:r w:rsidRPr="00A344BB">
        <w:rPr>
          <w:szCs w:val="22"/>
          <w:lang w:eastAsia="cs-CZ"/>
        </w:rPr>
        <w:t xml:space="preserve"> ľudského</w:t>
      </w:r>
      <w:r w:rsidR="00765D72" w:rsidRPr="00A344BB">
        <w:rPr>
          <w:szCs w:val="22"/>
          <w:lang w:eastAsia="cs-CZ"/>
        </w:rPr>
        <w:t xml:space="preserve"> </w:t>
      </w:r>
      <w:r w:rsidRPr="00A344BB">
        <w:rPr>
          <w:szCs w:val="22"/>
          <w:lang w:eastAsia="cs-CZ"/>
        </w:rPr>
        <w:t xml:space="preserve">pečeňového </w:t>
      </w:r>
      <w:proofErr w:type="spellStart"/>
      <w:r w:rsidRPr="00A344BB">
        <w:rPr>
          <w:szCs w:val="22"/>
          <w:lang w:eastAsia="cs-CZ"/>
        </w:rPr>
        <w:t>cytochrómu</w:t>
      </w:r>
      <w:proofErr w:type="spellEnd"/>
      <w:r w:rsidRPr="00A344BB">
        <w:rPr>
          <w:szCs w:val="22"/>
          <w:lang w:eastAsia="cs-CZ"/>
        </w:rPr>
        <w:t xml:space="preserve"> P450 (</w:t>
      </w:r>
      <w:proofErr w:type="spellStart"/>
      <w:r w:rsidRPr="00A344BB">
        <w:rPr>
          <w:szCs w:val="22"/>
          <w:lang w:eastAsia="cs-CZ"/>
        </w:rPr>
        <w:t>CYP3A4</w:t>
      </w:r>
      <w:proofErr w:type="spellEnd"/>
      <w:r w:rsidRPr="00A344BB">
        <w:rPr>
          <w:szCs w:val="22"/>
          <w:lang w:eastAsia="cs-CZ"/>
        </w:rPr>
        <w:t xml:space="preserve">, 2A6, 2C9, 2C19, 2D6, 2E1 a 1A2), aktivitu </w:t>
      </w:r>
      <w:proofErr w:type="spellStart"/>
      <w:r w:rsidRPr="00A344BB">
        <w:rPr>
          <w:szCs w:val="22"/>
          <w:lang w:eastAsia="cs-CZ"/>
        </w:rPr>
        <w:t>glukuronylových</w:t>
      </w:r>
      <w:proofErr w:type="spellEnd"/>
      <w:r w:rsidR="00765D72" w:rsidRPr="00A344BB">
        <w:rPr>
          <w:szCs w:val="22"/>
          <w:lang w:eastAsia="cs-CZ"/>
        </w:rPr>
        <w:t xml:space="preserve"> </w:t>
      </w:r>
      <w:proofErr w:type="spellStart"/>
      <w:r w:rsidRPr="00A344BB">
        <w:rPr>
          <w:szCs w:val="22"/>
          <w:lang w:eastAsia="cs-CZ"/>
        </w:rPr>
        <w:t>transferáz</w:t>
      </w:r>
      <w:proofErr w:type="spellEnd"/>
      <w:r w:rsidRPr="00A344BB">
        <w:rPr>
          <w:szCs w:val="22"/>
          <w:lang w:eastAsia="cs-CZ"/>
        </w:rPr>
        <w:t xml:space="preserve"> (</w:t>
      </w:r>
      <w:proofErr w:type="spellStart"/>
      <w:r w:rsidRPr="00A344BB">
        <w:rPr>
          <w:szCs w:val="22"/>
          <w:lang w:eastAsia="cs-CZ"/>
        </w:rPr>
        <w:t>UGT1A1</w:t>
      </w:r>
      <w:proofErr w:type="spellEnd"/>
      <w:r w:rsidRPr="00A344BB">
        <w:rPr>
          <w:szCs w:val="22"/>
          <w:lang w:eastAsia="cs-CZ"/>
        </w:rPr>
        <w:t xml:space="preserve"> a </w:t>
      </w:r>
      <w:proofErr w:type="spellStart"/>
      <w:r w:rsidRPr="00A344BB">
        <w:rPr>
          <w:szCs w:val="22"/>
          <w:lang w:eastAsia="cs-CZ"/>
        </w:rPr>
        <w:t>UGT1A6</w:t>
      </w:r>
      <w:proofErr w:type="spellEnd"/>
      <w:r w:rsidRPr="00A344BB">
        <w:rPr>
          <w:szCs w:val="22"/>
          <w:lang w:eastAsia="cs-CZ"/>
        </w:rPr>
        <w:t xml:space="preserve">) a epoxidovej </w:t>
      </w:r>
      <w:proofErr w:type="spellStart"/>
      <w:r w:rsidRPr="00A344BB">
        <w:rPr>
          <w:szCs w:val="22"/>
          <w:lang w:eastAsia="cs-CZ"/>
        </w:rPr>
        <w:t>hydroxylázy</w:t>
      </w:r>
      <w:proofErr w:type="spellEnd"/>
      <w:r w:rsidRPr="00A344BB">
        <w:rPr>
          <w:szCs w:val="22"/>
          <w:lang w:eastAsia="cs-CZ"/>
        </w:rPr>
        <w:t xml:space="preserve">. Okrem toho </w:t>
      </w:r>
      <w:proofErr w:type="spellStart"/>
      <w:r w:rsidRPr="00A344BB">
        <w:rPr>
          <w:szCs w:val="22"/>
          <w:lang w:eastAsia="cs-CZ"/>
        </w:rPr>
        <w:t>levetiracetam</w:t>
      </w:r>
      <w:proofErr w:type="spellEnd"/>
      <w:r w:rsidRPr="00A344BB">
        <w:rPr>
          <w:szCs w:val="22"/>
          <w:lang w:eastAsia="cs-CZ"/>
        </w:rPr>
        <w:t xml:space="preserve"> neovplyvňuje</w:t>
      </w:r>
      <w:r w:rsidR="00765D72" w:rsidRPr="00A344BB">
        <w:rPr>
          <w:szCs w:val="22"/>
          <w:lang w:eastAsia="cs-CZ"/>
        </w:rPr>
        <w:t xml:space="preserve"> </w:t>
      </w:r>
      <w:r w:rsidRPr="00A344BB">
        <w:rPr>
          <w:i/>
          <w:iCs/>
          <w:szCs w:val="22"/>
          <w:lang w:eastAsia="cs-CZ"/>
        </w:rPr>
        <w:t xml:space="preserve">in </w:t>
      </w:r>
      <w:proofErr w:type="spellStart"/>
      <w:r w:rsidRPr="00A344BB">
        <w:rPr>
          <w:i/>
          <w:iCs/>
          <w:szCs w:val="22"/>
          <w:lang w:eastAsia="cs-CZ"/>
        </w:rPr>
        <w:t>vitro</w:t>
      </w:r>
      <w:proofErr w:type="spellEnd"/>
      <w:r w:rsidRPr="00A344BB">
        <w:rPr>
          <w:i/>
          <w:iCs/>
          <w:szCs w:val="22"/>
          <w:lang w:eastAsia="cs-CZ"/>
        </w:rPr>
        <w:t xml:space="preserve"> </w:t>
      </w:r>
      <w:proofErr w:type="spellStart"/>
      <w:r w:rsidRPr="00A344BB">
        <w:rPr>
          <w:szCs w:val="22"/>
          <w:lang w:eastAsia="cs-CZ"/>
        </w:rPr>
        <w:t>glukuronidáciu</w:t>
      </w:r>
      <w:proofErr w:type="spellEnd"/>
      <w:r w:rsidRPr="00A344BB">
        <w:rPr>
          <w:szCs w:val="22"/>
          <w:lang w:eastAsia="cs-CZ"/>
        </w:rPr>
        <w:t xml:space="preserve"> kyseliny </w:t>
      </w:r>
      <w:proofErr w:type="spellStart"/>
      <w:r w:rsidRPr="00A344BB">
        <w:rPr>
          <w:szCs w:val="22"/>
          <w:lang w:eastAsia="cs-CZ"/>
        </w:rPr>
        <w:t>valproovej</w:t>
      </w:r>
      <w:proofErr w:type="spellEnd"/>
      <w:r w:rsidRPr="00A344BB">
        <w:rPr>
          <w:szCs w:val="22"/>
          <w:lang w:eastAsia="cs-CZ"/>
        </w:rPr>
        <w:t>.</w:t>
      </w:r>
      <w:r w:rsidR="000D1B39" w:rsidRPr="00A344BB">
        <w:rPr>
          <w:szCs w:val="22"/>
          <w:lang w:eastAsia="cs-CZ"/>
        </w:rPr>
        <w:t xml:space="preserve"> </w:t>
      </w:r>
      <w:r w:rsidRPr="00A344BB">
        <w:rPr>
          <w:szCs w:val="22"/>
          <w:lang w:eastAsia="cs-CZ"/>
        </w:rPr>
        <w:t xml:space="preserve">V kultúrach ľudských </w:t>
      </w:r>
      <w:proofErr w:type="spellStart"/>
      <w:r w:rsidRPr="00A344BB">
        <w:rPr>
          <w:szCs w:val="22"/>
          <w:lang w:eastAsia="cs-CZ"/>
        </w:rPr>
        <w:t>hepatocytov</w:t>
      </w:r>
      <w:proofErr w:type="spellEnd"/>
      <w:r w:rsidRPr="00A344BB">
        <w:rPr>
          <w:szCs w:val="22"/>
          <w:lang w:eastAsia="cs-CZ"/>
        </w:rPr>
        <w:t xml:space="preserve"> mal </w:t>
      </w:r>
      <w:proofErr w:type="spellStart"/>
      <w:r w:rsidRPr="00A344BB">
        <w:rPr>
          <w:szCs w:val="22"/>
          <w:lang w:eastAsia="cs-CZ"/>
        </w:rPr>
        <w:t>levetiracetam</w:t>
      </w:r>
      <w:proofErr w:type="spellEnd"/>
      <w:r w:rsidRPr="00A344BB">
        <w:rPr>
          <w:szCs w:val="22"/>
          <w:lang w:eastAsia="cs-CZ"/>
        </w:rPr>
        <w:t xml:space="preserve"> minimálny alebo žiadny účinok na </w:t>
      </w:r>
      <w:proofErr w:type="spellStart"/>
      <w:r w:rsidRPr="00A344BB">
        <w:rPr>
          <w:szCs w:val="22"/>
          <w:lang w:eastAsia="cs-CZ"/>
        </w:rPr>
        <w:t>CYP1A2</w:t>
      </w:r>
      <w:proofErr w:type="spellEnd"/>
      <w:r w:rsidRPr="00A344BB">
        <w:rPr>
          <w:szCs w:val="22"/>
          <w:lang w:eastAsia="cs-CZ"/>
        </w:rPr>
        <w:t>,</w:t>
      </w:r>
      <w:r w:rsidR="00765D72" w:rsidRPr="00A344BB">
        <w:rPr>
          <w:szCs w:val="22"/>
          <w:lang w:eastAsia="cs-CZ"/>
        </w:rPr>
        <w:t xml:space="preserve"> </w:t>
      </w:r>
      <w:proofErr w:type="spellStart"/>
      <w:r w:rsidRPr="00A344BB">
        <w:rPr>
          <w:szCs w:val="22"/>
          <w:lang w:eastAsia="cs-CZ"/>
        </w:rPr>
        <w:t>SULT1E1</w:t>
      </w:r>
      <w:proofErr w:type="spellEnd"/>
      <w:r w:rsidRPr="00A344BB">
        <w:rPr>
          <w:szCs w:val="22"/>
          <w:lang w:eastAsia="cs-CZ"/>
        </w:rPr>
        <w:t xml:space="preserve"> alebo </w:t>
      </w:r>
      <w:proofErr w:type="spellStart"/>
      <w:r w:rsidRPr="00A344BB">
        <w:rPr>
          <w:szCs w:val="22"/>
          <w:lang w:eastAsia="cs-CZ"/>
        </w:rPr>
        <w:t>UGT1A1</w:t>
      </w:r>
      <w:proofErr w:type="spellEnd"/>
      <w:r w:rsidRPr="00A344BB">
        <w:rPr>
          <w:szCs w:val="22"/>
          <w:lang w:eastAsia="cs-CZ"/>
        </w:rPr>
        <w:t xml:space="preserve">. </w:t>
      </w:r>
      <w:proofErr w:type="spellStart"/>
      <w:r w:rsidRPr="00A344BB">
        <w:rPr>
          <w:szCs w:val="22"/>
          <w:lang w:eastAsia="cs-CZ"/>
        </w:rPr>
        <w:t>Levetiracetam</w:t>
      </w:r>
      <w:proofErr w:type="spellEnd"/>
      <w:r w:rsidRPr="00A344BB">
        <w:rPr>
          <w:szCs w:val="22"/>
          <w:lang w:eastAsia="cs-CZ"/>
        </w:rPr>
        <w:t xml:space="preserve"> spôsoboval miernu indukciu </w:t>
      </w:r>
      <w:proofErr w:type="spellStart"/>
      <w:r w:rsidRPr="00A344BB">
        <w:rPr>
          <w:szCs w:val="22"/>
          <w:lang w:eastAsia="cs-CZ"/>
        </w:rPr>
        <w:t>CYP2B6</w:t>
      </w:r>
      <w:proofErr w:type="spellEnd"/>
      <w:r w:rsidRPr="00A344BB">
        <w:rPr>
          <w:szCs w:val="22"/>
          <w:lang w:eastAsia="cs-CZ"/>
        </w:rPr>
        <w:t xml:space="preserve"> a </w:t>
      </w:r>
      <w:proofErr w:type="spellStart"/>
      <w:r w:rsidRPr="00A344BB">
        <w:rPr>
          <w:szCs w:val="22"/>
          <w:lang w:eastAsia="cs-CZ"/>
        </w:rPr>
        <w:t>CYP3A4</w:t>
      </w:r>
      <w:proofErr w:type="spellEnd"/>
      <w:r w:rsidRPr="00A344BB">
        <w:rPr>
          <w:szCs w:val="22"/>
          <w:lang w:eastAsia="cs-CZ"/>
        </w:rPr>
        <w:t xml:space="preserve">. In </w:t>
      </w:r>
      <w:proofErr w:type="spellStart"/>
      <w:r w:rsidRPr="00A344BB">
        <w:rPr>
          <w:szCs w:val="22"/>
          <w:lang w:eastAsia="cs-CZ"/>
        </w:rPr>
        <w:t>vitro</w:t>
      </w:r>
      <w:proofErr w:type="spellEnd"/>
      <w:r w:rsidR="00765D72" w:rsidRPr="00A344BB">
        <w:rPr>
          <w:szCs w:val="22"/>
          <w:lang w:eastAsia="cs-CZ"/>
        </w:rPr>
        <w:t xml:space="preserve"> </w:t>
      </w:r>
      <w:r w:rsidRPr="00A344BB">
        <w:rPr>
          <w:szCs w:val="22"/>
          <w:lang w:eastAsia="cs-CZ"/>
        </w:rPr>
        <w:t xml:space="preserve">a in </w:t>
      </w:r>
      <w:proofErr w:type="spellStart"/>
      <w:r w:rsidRPr="00A344BB">
        <w:rPr>
          <w:szCs w:val="22"/>
          <w:lang w:eastAsia="cs-CZ"/>
        </w:rPr>
        <w:t>vivo</w:t>
      </w:r>
      <w:proofErr w:type="spellEnd"/>
      <w:r w:rsidRPr="00A344BB">
        <w:rPr>
          <w:szCs w:val="22"/>
          <w:lang w:eastAsia="cs-CZ"/>
        </w:rPr>
        <w:t xml:space="preserve"> údaje o interakcii s perorálnymi </w:t>
      </w:r>
      <w:proofErr w:type="spellStart"/>
      <w:r w:rsidRPr="00A344BB">
        <w:rPr>
          <w:szCs w:val="22"/>
          <w:lang w:eastAsia="cs-CZ"/>
        </w:rPr>
        <w:t>kontraceptívami</w:t>
      </w:r>
      <w:proofErr w:type="spellEnd"/>
      <w:r w:rsidRPr="00A344BB">
        <w:rPr>
          <w:szCs w:val="22"/>
          <w:lang w:eastAsia="cs-CZ"/>
        </w:rPr>
        <w:t xml:space="preserve">, </w:t>
      </w:r>
      <w:proofErr w:type="spellStart"/>
      <w:r w:rsidRPr="00A344BB">
        <w:rPr>
          <w:szCs w:val="22"/>
          <w:lang w:eastAsia="cs-CZ"/>
        </w:rPr>
        <w:t>digoxínom</w:t>
      </w:r>
      <w:proofErr w:type="spellEnd"/>
      <w:r w:rsidRPr="00A344BB">
        <w:rPr>
          <w:szCs w:val="22"/>
          <w:lang w:eastAsia="cs-CZ"/>
        </w:rPr>
        <w:t xml:space="preserve"> a </w:t>
      </w:r>
      <w:proofErr w:type="spellStart"/>
      <w:r w:rsidRPr="00A344BB">
        <w:rPr>
          <w:szCs w:val="22"/>
          <w:lang w:eastAsia="cs-CZ"/>
        </w:rPr>
        <w:t>warfarínom</w:t>
      </w:r>
      <w:proofErr w:type="spellEnd"/>
      <w:r w:rsidRPr="00A344BB">
        <w:rPr>
          <w:szCs w:val="22"/>
          <w:lang w:eastAsia="cs-CZ"/>
        </w:rPr>
        <w:t xml:space="preserve"> ukazujú, že in</w:t>
      </w:r>
      <w:r w:rsidR="00765D72" w:rsidRPr="00A344BB">
        <w:rPr>
          <w:szCs w:val="22"/>
          <w:lang w:eastAsia="cs-CZ"/>
        </w:rPr>
        <w:t xml:space="preserve"> </w:t>
      </w:r>
      <w:proofErr w:type="spellStart"/>
      <w:r w:rsidRPr="00A344BB">
        <w:rPr>
          <w:szCs w:val="22"/>
          <w:lang w:eastAsia="cs-CZ"/>
        </w:rPr>
        <w:t>vivo</w:t>
      </w:r>
      <w:proofErr w:type="spellEnd"/>
      <w:r w:rsidRPr="00A344BB">
        <w:rPr>
          <w:szCs w:val="22"/>
          <w:lang w:eastAsia="cs-CZ"/>
        </w:rPr>
        <w:t xml:space="preserve"> sa neočakáva žiadna významná indukcia enzýmov. Preto je interakcia </w:t>
      </w:r>
      <w:proofErr w:type="spellStart"/>
      <w:r w:rsidRPr="00A344BB">
        <w:rPr>
          <w:szCs w:val="22"/>
          <w:lang w:eastAsia="cs-CZ"/>
        </w:rPr>
        <w:t>Keppry</w:t>
      </w:r>
      <w:proofErr w:type="spellEnd"/>
      <w:r w:rsidRPr="00A344BB">
        <w:rPr>
          <w:szCs w:val="22"/>
          <w:lang w:eastAsia="cs-CZ"/>
        </w:rPr>
        <w:t xml:space="preserve"> s inými liečivami</w:t>
      </w:r>
      <w:r w:rsidR="00765D72" w:rsidRPr="00A344BB">
        <w:rPr>
          <w:szCs w:val="22"/>
          <w:lang w:eastAsia="cs-CZ"/>
        </w:rPr>
        <w:t xml:space="preserve"> </w:t>
      </w:r>
      <w:r w:rsidRPr="00A344BB">
        <w:rPr>
          <w:szCs w:val="22"/>
          <w:lang w:eastAsia="cs-CZ"/>
        </w:rPr>
        <w:t xml:space="preserve">alebo </w:t>
      </w:r>
      <w:r w:rsidRPr="00A344BB">
        <w:rPr>
          <w:i/>
          <w:iCs/>
          <w:szCs w:val="22"/>
          <w:lang w:eastAsia="cs-CZ"/>
        </w:rPr>
        <w:t xml:space="preserve">naopak </w:t>
      </w:r>
      <w:r w:rsidRPr="00A344BB">
        <w:rPr>
          <w:szCs w:val="22"/>
          <w:lang w:eastAsia="cs-CZ"/>
        </w:rPr>
        <w:t>nepravdepodobná.</w:t>
      </w:r>
    </w:p>
    <w:p w14:paraId="10534EF2"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670866F0" w14:textId="77777777" w:rsidR="008A778F" w:rsidRPr="00A344BB" w:rsidRDefault="00AB0C1C"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Eliminácia</w:t>
      </w:r>
    </w:p>
    <w:p w14:paraId="4861FAE6"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Plazmatický polčas u dospelých bol 7±1 hodina a nelíšil sa ani podľa dávky, spôsobu podania ani pri</w:t>
      </w:r>
      <w:r w:rsidR="00765D72" w:rsidRPr="00A344BB">
        <w:rPr>
          <w:szCs w:val="22"/>
          <w:lang w:eastAsia="cs-CZ"/>
        </w:rPr>
        <w:t xml:space="preserve"> </w:t>
      </w:r>
      <w:r w:rsidRPr="00A344BB">
        <w:rPr>
          <w:szCs w:val="22"/>
          <w:lang w:eastAsia="cs-CZ"/>
        </w:rPr>
        <w:t xml:space="preserve">opakovanom podávaní. Priemerný celkový systémový </w:t>
      </w:r>
      <w:proofErr w:type="spellStart"/>
      <w:r w:rsidRPr="00A344BB">
        <w:rPr>
          <w:szCs w:val="22"/>
          <w:lang w:eastAsia="cs-CZ"/>
        </w:rPr>
        <w:t>klírens</w:t>
      </w:r>
      <w:proofErr w:type="spellEnd"/>
      <w:r w:rsidRPr="00A344BB">
        <w:rPr>
          <w:szCs w:val="22"/>
          <w:lang w:eastAsia="cs-CZ"/>
        </w:rPr>
        <w:t xml:space="preserve"> bol 0,96 ml/min/kg.</w:t>
      </w:r>
    </w:p>
    <w:p w14:paraId="71E3311A"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33DFB3B3"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Hlavnou cestou vylučovania bol moč, ktorým sa vylučovalo priemerne 95 % dávky (približne 93 %</w:t>
      </w:r>
      <w:r w:rsidR="00765D72" w:rsidRPr="00A344BB">
        <w:rPr>
          <w:szCs w:val="22"/>
          <w:lang w:eastAsia="cs-CZ"/>
        </w:rPr>
        <w:t xml:space="preserve"> </w:t>
      </w:r>
      <w:r w:rsidRPr="00A344BB">
        <w:rPr>
          <w:szCs w:val="22"/>
          <w:lang w:eastAsia="cs-CZ"/>
        </w:rPr>
        <w:t xml:space="preserve">dávky sa vylúčilo do 48 hodín). Stolicou sa </w:t>
      </w:r>
      <w:r w:rsidRPr="00A344BB">
        <w:rPr>
          <w:i/>
          <w:iCs/>
          <w:szCs w:val="22"/>
          <w:lang w:eastAsia="cs-CZ"/>
        </w:rPr>
        <w:t xml:space="preserve">vylúčilo </w:t>
      </w:r>
      <w:r w:rsidRPr="00A344BB">
        <w:rPr>
          <w:szCs w:val="22"/>
          <w:lang w:eastAsia="cs-CZ"/>
        </w:rPr>
        <w:t>len 0,3 % dávky.</w:t>
      </w:r>
    </w:p>
    <w:p w14:paraId="27FD9A3E"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Kumulatívne vylučovanie </w:t>
      </w:r>
      <w:proofErr w:type="spellStart"/>
      <w:r w:rsidRPr="00A344BB">
        <w:rPr>
          <w:szCs w:val="22"/>
          <w:lang w:eastAsia="cs-CZ"/>
        </w:rPr>
        <w:t>levetiracetamu</w:t>
      </w:r>
      <w:proofErr w:type="spellEnd"/>
      <w:r w:rsidRPr="00A344BB">
        <w:rPr>
          <w:szCs w:val="22"/>
          <w:lang w:eastAsia="cs-CZ"/>
        </w:rPr>
        <w:t xml:space="preserve"> močom počas prvých 48 hodín dosiahlo 66 % dávky; v</w:t>
      </w:r>
      <w:r w:rsidR="00765D72" w:rsidRPr="00A344BB">
        <w:rPr>
          <w:szCs w:val="22"/>
          <w:lang w:eastAsia="cs-CZ"/>
        </w:rPr>
        <w:t xml:space="preserve"> </w:t>
      </w:r>
      <w:r w:rsidRPr="00A344BB">
        <w:rPr>
          <w:szCs w:val="22"/>
          <w:lang w:eastAsia="cs-CZ"/>
        </w:rPr>
        <w:t xml:space="preserve">prípade jeho primárneho </w:t>
      </w:r>
      <w:proofErr w:type="spellStart"/>
      <w:r w:rsidRPr="00A344BB">
        <w:rPr>
          <w:szCs w:val="22"/>
          <w:lang w:eastAsia="cs-CZ"/>
        </w:rPr>
        <w:t>metabolitu</w:t>
      </w:r>
      <w:proofErr w:type="spellEnd"/>
      <w:r w:rsidRPr="00A344BB">
        <w:rPr>
          <w:szCs w:val="22"/>
          <w:lang w:eastAsia="cs-CZ"/>
        </w:rPr>
        <w:t xml:space="preserve"> 24 % dávky.</w:t>
      </w:r>
    </w:p>
    <w:p w14:paraId="4713098D" w14:textId="77777777" w:rsidR="008A778F" w:rsidRPr="00A344BB" w:rsidRDefault="008A778F" w:rsidP="00EB5620">
      <w:pPr>
        <w:tabs>
          <w:tab w:val="clear" w:pos="567"/>
        </w:tabs>
        <w:autoSpaceDE w:val="0"/>
        <w:autoSpaceDN w:val="0"/>
        <w:adjustRightInd w:val="0"/>
        <w:spacing w:line="240" w:lineRule="auto"/>
        <w:rPr>
          <w:szCs w:val="22"/>
          <w:lang w:eastAsia="cs-CZ"/>
        </w:rPr>
      </w:pPr>
      <w:proofErr w:type="spellStart"/>
      <w:r w:rsidRPr="00A344BB">
        <w:rPr>
          <w:szCs w:val="22"/>
          <w:lang w:eastAsia="cs-CZ"/>
        </w:rPr>
        <w:t>Renálny</w:t>
      </w:r>
      <w:proofErr w:type="spellEnd"/>
      <w:r w:rsidRPr="00A344BB">
        <w:rPr>
          <w:szCs w:val="22"/>
          <w:lang w:eastAsia="cs-CZ"/>
        </w:rPr>
        <w:t xml:space="preserve"> </w:t>
      </w:r>
      <w:proofErr w:type="spellStart"/>
      <w:r w:rsidRPr="00A344BB">
        <w:rPr>
          <w:szCs w:val="22"/>
          <w:lang w:eastAsia="cs-CZ"/>
        </w:rPr>
        <w:t>klírens</w:t>
      </w:r>
      <w:proofErr w:type="spellEnd"/>
      <w:r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je 0,6 ml/min/kg a pre </w:t>
      </w:r>
      <w:proofErr w:type="spellStart"/>
      <w:r w:rsidRPr="00A344BB">
        <w:rPr>
          <w:szCs w:val="22"/>
          <w:lang w:eastAsia="cs-CZ"/>
        </w:rPr>
        <w:t>ucb</w:t>
      </w:r>
      <w:proofErr w:type="spellEnd"/>
      <w:r w:rsidRPr="00A344BB">
        <w:rPr>
          <w:szCs w:val="22"/>
          <w:lang w:eastAsia="cs-CZ"/>
        </w:rPr>
        <w:t xml:space="preserve"> L057 je 4,2 ml/min/kg, čo ukazuje, že</w:t>
      </w:r>
      <w:r w:rsidR="00765D72" w:rsidRPr="00A344BB">
        <w:rPr>
          <w:szCs w:val="22"/>
          <w:lang w:eastAsia="cs-CZ"/>
        </w:rPr>
        <w:t xml:space="preserve"> </w:t>
      </w:r>
      <w:proofErr w:type="spellStart"/>
      <w:r w:rsidRPr="00A344BB">
        <w:rPr>
          <w:szCs w:val="22"/>
          <w:lang w:eastAsia="cs-CZ"/>
        </w:rPr>
        <w:t>levetiracetam</w:t>
      </w:r>
      <w:proofErr w:type="spellEnd"/>
      <w:r w:rsidRPr="00A344BB">
        <w:rPr>
          <w:szCs w:val="22"/>
          <w:lang w:eastAsia="cs-CZ"/>
        </w:rPr>
        <w:t xml:space="preserve"> sa vylučuje </w:t>
      </w:r>
      <w:proofErr w:type="spellStart"/>
      <w:r w:rsidRPr="00A344BB">
        <w:rPr>
          <w:szCs w:val="22"/>
          <w:lang w:eastAsia="cs-CZ"/>
        </w:rPr>
        <w:t>glomerulárnou</w:t>
      </w:r>
      <w:proofErr w:type="spellEnd"/>
      <w:r w:rsidRPr="00A344BB">
        <w:rPr>
          <w:szCs w:val="22"/>
          <w:lang w:eastAsia="cs-CZ"/>
        </w:rPr>
        <w:t xml:space="preserve"> filtráciou s následnou </w:t>
      </w:r>
      <w:proofErr w:type="spellStart"/>
      <w:r w:rsidRPr="00A344BB">
        <w:rPr>
          <w:szCs w:val="22"/>
          <w:lang w:eastAsia="cs-CZ"/>
        </w:rPr>
        <w:t>tubulárnou</w:t>
      </w:r>
      <w:proofErr w:type="spellEnd"/>
      <w:r w:rsidRPr="00A344BB">
        <w:rPr>
          <w:szCs w:val="22"/>
          <w:lang w:eastAsia="cs-CZ"/>
        </w:rPr>
        <w:t xml:space="preserve"> </w:t>
      </w:r>
      <w:proofErr w:type="spellStart"/>
      <w:r w:rsidRPr="00A344BB">
        <w:rPr>
          <w:szCs w:val="22"/>
          <w:lang w:eastAsia="cs-CZ"/>
        </w:rPr>
        <w:t>reabsorpciou</w:t>
      </w:r>
      <w:proofErr w:type="spellEnd"/>
      <w:r w:rsidRPr="00A344BB">
        <w:rPr>
          <w:szCs w:val="22"/>
          <w:lang w:eastAsia="cs-CZ"/>
        </w:rPr>
        <w:t xml:space="preserve"> a že primárny</w:t>
      </w:r>
      <w:r w:rsidR="00765D72" w:rsidRPr="00A344BB">
        <w:rPr>
          <w:szCs w:val="22"/>
          <w:lang w:eastAsia="cs-CZ"/>
        </w:rPr>
        <w:t xml:space="preserve"> </w:t>
      </w:r>
      <w:proofErr w:type="spellStart"/>
      <w:r w:rsidRPr="00A344BB">
        <w:rPr>
          <w:szCs w:val="22"/>
          <w:lang w:eastAsia="cs-CZ"/>
        </w:rPr>
        <w:t>metabolit</w:t>
      </w:r>
      <w:proofErr w:type="spellEnd"/>
      <w:r w:rsidRPr="00A344BB">
        <w:rPr>
          <w:szCs w:val="22"/>
          <w:lang w:eastAsia="cs-CZ"/>
        </w:rPr>
        <w:t xml:space="preserve"> sa okrem </w:t>
      </w:r>
      <w:proofErr w:type="spellStart"/>
      <w:r w:rsidRPr="00A344BB">
        <w:rPr>
          <w:szCs w:val="22"/>
          <w:lang w:eastAsia="cs-CZ"/>
        </w:rPr>
        <w:t>glomerulárnej</w:t>
      </w:r>
      <w:proofErr w:type="spellEnd"/>
      <w:r w:rsidRPr="00A344BB">
        <w:rPr>
          <w:szCs w:val="22"/>
          <w:lang w:eastAsia="cs-CZ"/>
        </w:rPr>
        <w:t xml:space="preserve"> filtrácie vylučuje aj aktívnou </w:t>
      </w:r>
      <w:proofErr w:type="spellStart"/>
      <w:r w:rsidRPr="00A344BB">
        <w:rPr>
          <w:szCs w:val="22"/>
          <w:lang w:eastAsia="cs-CZ"/>
        </w:rPr>
        <w:t>tubulárnou</w:t>
      </w:r>
      <w:proofErr w:type="spellEnd"/>
      <w:r w:rsidRPr="00A344BB">
        <w:rPr>
          <w:szCs w:val="22"/>
          <w:lang w:eastAsia="cs-CZ"/>
        </w:rPr>
        <w:t xml:space="preserve"> sekréciou.</w:t>
      </w:r>
    </w:p>
    <w:p w14:paraId="40623592"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Vylučovanie </w:t>
      </w:r>
      <w:proofErr w:type="spellStart"/>
      <w:r w:rsidRPr="00A344BB">
        <w:rPr>
          <w:szCs w:val="22"/>
          <w:lang w:eastAsia="cs-CZ"/>
        </w:rPr>
        <w:t>levetiracetamu</w:t>
      </w:r>
      <w:proofErr w:type="spellEnd"/>
      <w:r w:rsidRPr="00A344BB">
        <w:rPr>
          <w:szCs w:val="22"/>
          <w:lang w:eastAsia="cs-CZ"/>
        </w:rPr>
        <w:t xml:space="preserve"> </w:t>
      </w:r>
      <w:proofErr w:type="spellStart"/>
      <w:r w:rsidRPr="00A344BB">
        <w:rPr>
          <w:szCs w:val="22"/>
          <w:lang w:eastAsia="cs-CZ"/>
        </w:rPr>
        <w:t>koreluje</w:t>
      </w:r>
      <w:proofErr w:type="spellEnd"/>
      <w:r w:rsidRPr="00A344BB">
        <w:rPr>
          <w:szCs w:val="22"/>
          <w:lang w:eastAsia="cs-CZ"/>
        </w:rPr>
        <w:t xml:space="preserve"> s </w:t>
      </w:r>
      <w:proofErr w:type="spellStart"/>
      <w:r w:rsidRPr="00A344BB">
        <w:rPr>
          <w:szCs w:val="22"/>
          <w:lang w:eastAsia="cs-CZ"/>
        </w:rPr>
        <w:t>klírensom</w:t>
      </w:r>
      <w:proofErr w:type="spellEnd"/>
      <w:r w:rsidRPr="00A344BB">
        <w:rPr>
          <w:szCs w:val="22"/>
          <w:lang w:eastAsia="cs-CZ"/>
        </w:rPr>
        <w:t xml:space="preserve"> </w:t>
      </w:r>
      <w:proofErr w:type="spellStart"/>
      <w:r w:rsidRPr="00A344BB">
        <w:rPr>
          <w:szCs w:val="22"/>
          <w:lang w:eastAsia="cs-CZ"/>
        </w:rPr>
        <w:t>kreatinínu</w:t>
      </w:r>
      <w:proofErr w:type="spellEnd"/>
      <w:r w:rsidRPr="00A344BB">
        <w:rPr>
          <w:szCs w:val="22"/>
          <w:lang w:eastAsia="cs-CZ"/>
        </w:rPr>
        <w:t>.</w:t>
      </w:r>
    </w:p>
    <w:p w14:paraId="12AE0998"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39B2C0BF" w14:textId="77777777" w:rsidR="008A778F" w:rsidRPr="00A344BB" w:rsidRDefault="008A778F"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lastRenderedPageBreak/>
        <w:t>Starší pacienti</w:t>
      </w:r>
    </w:p>
    <w:p w14:paraId="19991F87"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U starších pacientov je polčas predĺžený približne o 40 % (10 až 11 hodín). Súvisí to so znížením</w:t>
      </w:r>
      <w:r w:rsidR="00765D72" w:rsidRPr="00A344BB">
        <w:rPr>
          <w:szCs w:val="22"/>
          <w:lang w:eastAsia="cs-CZ"/>
        </w:rPr>
        <w:t xml:space="preserve"> </w:t>
      </w:r>
      <w:r w:rsidRPr="00A344BB">
        <w:rPr>
          <w:szCs w:val="22"/>
          <w:lang w:eastAsia="cs-CZ"/>
        </w:rPr>
        <w:t>funkcie obličiek u tejto populácie (pozri časť 4.2).</w:t>
      </w:r>
    </w:p>
    <w:p w14:paraId="225B441A"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22506CEB" w14:textId="77777777" w:rsidR="008A778F" w:rsidRPr="00A344BB" w:rsidRDefault="008A778F"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Porucha funkcie obličiek</w:t>
      </w:r>
    </w:p>
    <w:p w14:paraId="026F3430"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Zdanlivý systémový </w:t>
      </w:r>
      <w:proofErr w:type="spellStart"/>
      <w:r w:rsidRPr="00A344BB">
        <w:rPr>
          <w:szCs w:val="22"/>
          <w:lang w:eastAsia="cs-CZ"/>
        </w:rPr>
        <w:t>klírens</w:t>
      </w:r>
      <w:proofErr w:type="spellEnd"/>
      <w:r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a jeho primárneho </w:t>
      </w:r>
      <w:proofErr w:type="spellStart"/>
      <w:r w:rsidRPr="00A344BB">
        <w:rPr>
          <w:szCs w:val="22"/>
          <w:lang w:eastAsia="cs-CZ"/>
        </w:rPr>
        <w:t>metabolitu</w:t>
      </w:r>
      <w:proofErr w:type="spellEnd"/>
      <w:r w:rsidRPr="00A344BB">
        <w:rPr>
          <w:szCs w:val="22"/>
          <w:lang w:eastAsia="cs-CZ"/>
        </w:rPr>
        <w:t xml:space="preserve"> </w:t>
      </w:r>
      <w:proofErr w:type="spellStart"/>
      <w:r w:rsidRPr="00A344BB">
        <w:rPr>
          <w:szCs w:val="22"/>
          <w:lang w:eastAsia="cs-CZ"/>
        </w:rPr>
        <w:t>koreluje</w:t>
      </w:r>
      <w:proofErr w:type="spellEnd"/>
      <w:r w:rsidRPr="00A344BB">
        <w:rPr>
          <w:szCs w:val="22"/>
          <w:lang w:eastAsia="cs-CZ"/>
        </w:rPr>
        <w:t xml:space="preserve"> s</w:t>
      </w:r>
      <w:r w:rsidR="00765D72" w:rsidRPr="00A344BB">
        <w:rPr>
          <w:szCs w:val="22"/>
          <w:lang w:eastAsia="cs-CZ"/>
        </w:rPr>
        <w:t> </w:t>
      </w:r>
      <w:proofErr w:type="spellStart"/>
      <w:r w:rsidRPr="00A344BB">
        <w:rPr>
          <w:szCs w:val="22"/>
          <w:lang w:eastAsia="cs-CZ"/>
        </w:rPr>
        <w:t>klírensom</w:t>
      </w:r>
      <w:proofErr w:type="spellEnd"/>
      <w:r w:rsidR="00765D72" w:rsidRPr="00A344BB">
        <w:rPr>
          <w:szCs w:val="22"/>
          <w:lang w:eastAsia="cs-CZ"/>
        </w:rPr>
        <w:t xml:space="preserve"> </w:t>
      </w:r>
      <w:proofErr w:type="spellStart"/>
      <w:r w:rsidRPr="00A344BB">
        <w:rPr>
          <w:szCs w:val="22"/>
          <w:lang w:eastAsia="cs-CZ"/>
        </w:rPr>
        <w:t>kreatinínu</w:t>
      </w:r>
      <w:proofErr w:type="spellEnd"/>
      <w:r w:rsidRPr="00A344BB">
        <w:rPr>
          <w:szCs w:val="22"/>
          <w:lang w:eastAsia="cs-CZ"/>
        </w:rPr>
        <w:t xml:space="preserve">. Preto sa odporúča upraviť udržiavaciu dennú dávku </w:t>
      </w:r>
      <w:proofErr w:type="spellStart"/>
      <w:r w:rsidR="000D1B39" w:rsidRPr="00A344BB">
        <w:rPr>
          <w:szCs w:val="22"/>
          <w:lang w:eastAsia="cs-CZ"/>
        </w:rPr>
        <w:t>levetiracetamu</w:t>
      </w:r>
      <w:proofErr w:type="spellEnd"/>
      <w:r w:rsidR="000D1B39" w:rsidRPr="00A344BB">
        <w:rPr>
          <w:szCs w:val="22"/>
          <w:lang w:eastAsia="cs-CZ"/>
        </w:rPr>
        <w:t xml:space="preserve"> </w:t>
      </w:r>
      <w:r w:rsidRPr="00A344BB">
        <w:rPr>
          <w:szCs w:val="22"/>
          <w:lang w:eastAsia="cs-CZ"/>
        </w:rPr>
        <w:t xml:space="preserve">podľa </w:t>
      </w:r>
      <w:proofErr w:type="spellStart"/>
      <w:r w:rsidRPr="00A344BB">
        <w:rPr>
          <w:szCs w:val="22"/>
          <w:lang w:eastAsia="cs-CZ"/>
        </w:rPr>
        <w:t>klírensu</w:t>
      </w:r>
      <w:proofErr w:type="spellEnd"/>
      <w:r w:rsidRPr="00A344BB">
        <w:rPr>
          <w:szCs w:val="22"/>
          <w:lang w:eastAsia="cs-CZ"/>
        </w:rPr>
        <w:t xml:space="preserve"> </w:t>
      </w:r>
      <w:proofErr w:type="spellStart"/>
      <w:r w:rsidRPr="00A344BB">
        <w:rPr>
          <w:szCs w:val="22"/>
          <w:lang w:eastAsia="cs-CZ"/>
        </w:rPr>
        <w:t>kreatinínu</w:t>
      </w:r>
      <w:proofErr w:type="spellEnd"/>
      <w:r w:rsidRPr="00A344BB">
        <w:rPr>
          <w:szCs w:val="22"/>
          <w:lang w:eastAsia="cs-CZ"/>
        </w:rPr>
        <w:t xml:space="preserve"> u</w:t>
      </w:r>
      <w:r w:rsidR="00765D72" w:rsidRPr="00A344BB">
        <w:rPr>
          <w:szCs w:val="22"/>
          <w:lang w:eastAsia="cs-CZ"/>
        </w:rPr>
        <w:t xml:space="preserve"> </w:t>
      </w:r>
      <w:r w:rsidRPr="00A344BB">
        <w:rPr>
          <w:szCs w:val="22"/>
          <w:lang w:eastAsia="cs-CZ"/>
        </w:rPr>
        <w:t>pacientov so stredne závažnou a závažnou poruchou funkcie obličiek (pozri časť 4.2).</w:t>
      </w:r>
    </w:p>
    <w:p w14:paraId="7F31CD7B"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34A4E2CB"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U </w:t>
      </w:r>
      <w:proofErr w:type="spellStart"/>
      <w:r w:rsidRPr="00A344BB">
        <w:rPr>
          <w:szCs w:val="22"/>
          <w:lang w:eastAsia="cs-CZ"/>
        </w:rPr>
        <w:t>anurických</w:t>
      </w:r>
      <w:proofErr w:type="spellEnd"/>
      <w:r w:rsidRPr="00A344BB">
        <w:rPr>
          <w:szCs w:val="22"/>
          <w:lang w:eastAsia="cs-CZ"/>
        </w:rPr>
        <w:t xml:space="preserve"> dospelých jedincov s terminálnym štádiom zlyhania obličiek bol polčas medzi dialýzami</w:t>
      </w:r>
      <w:r w:rsidR="00765D72" w:rsidRPr="00A344BB">
        <w:rPr>
          <w:szCs w:val="22"/>
          <w:lang w:eastAsia="cs-CZ"/>
        </w:rPr>
        <w:t xml:space="preserve"> </w:t>
      </w:r>
      <w:r w:rsidRPr="00A344BB">
        <w:rPr>
          <w:szCs w:val="22"/>
          <w:lang w:eastAsia="cs-CZ"/>
        </w:rPr>
        <w:t>približne 25 hodín a počas dialýzy približne 3,1 hodiny.</w:t>
      </w:r>
    </w:p>
    <w:p w14:paraId="349D60EF"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Frakčné vylučovanie </w:t>
      </w:r>
      <w:proofErr w:type="spellStart"/>
      <w:r w:rsidRPr="00A344BB">
        <w:rPr>
          <w:szCs w:val="22"/>
          <w:lang w:eastAsia="cs-CZ"/>
        </w:rPr>
        <w:t>levetiracetamu</w:t>
      </w:r>
      <w:proofErr w:type="spellEnd"/>
      <w:r w:rsidRPr="00A344BB">
        <w:rPr>
          <w:szCs w:val="22"/>
          <w:lang w:eastAsia="cs-CZ"/>
        </w:rPr>
        <w:t xml:space="preserve"> počas typickej </w:t>
      </w:r>
      <w:proofErr w:type="spellStart"/>
      <w:r w:rsidRPr="00A344BB">
        <w:rPr>
          <w:szCs w:val="22"/>
          <w:lang w:eastAsia="cs-CZ"/>
        </w:rPr>
        <w:t>4-hodinovej</w:t>
      </w:r>
      <w:proofErr w:type="spellEnd"/>
      <w:r w:rsidRPr="00A344BB">
        <w:rPr>
          <w:szCs w:val="22"/>
          <w:lang w:eastAsia="cs-CZ"/>
        </w:rPr>
        <w:t xml:space="preserve"> dialýzy tvorilo 51 %.</w:t>
      </w:r>
    </w:p>
    <w:p w14:paraId="149C8CD7"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54D3C9AE" w14:textId="77777777" w:rsidR="008A778F" w:rsidRPr="00A344BB" w:rsidRDefault="008A778F"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Porucha funkcie pečene</w:t>
      </w:r>
    </w:p>
    <w:p w14:paraId="5BECED2E"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U osôb s miernou a stredne závažnou poruchou funkcie pečene nedochádzalo k žiadnej významnej</w:t>
      </w:r>
      <w:r w:rsidR="00765D72" w:rsidRPr="00A344BB">
        <w:rPr>
          <w:szCs w:val="22"/>
          <w:lang w:eastAsia="cs-CZ"/>
        </w:rPr>
        <w:t xml:space="preserve"> </w:t>
      </w:r>
      <w:r w:rsidRPr="00A344BB">
        <w:rPr>
          <w:szCs w:val="22"/>
          <w:lang w:eastAsia="cs-CZ"/>
        </w:rPr>
        <w:t xml:space="preserve">zmene </w:t>
      </w:r>
      <w:proofErr w:type="spellStart"/>
      <w:r w:rsidRPr="00A344BB">
        <w:rPr>
          <w:szCs w:val="22"/>
          <w:lang w:eastAsia="cs-CZ"/>
        </w:rPr>
        <w:t>klírensu</w:t>
      </w:r>
      <w:proofErr w:type="spellEnd"/>
      <w:r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U väčšiny osôb so závažnou poruchou funkcie pečene bol </w:t>
      </w:r>
      <w:proofErr w:type="spellStart"/>
      <w:r w:rsidRPr="00A344BB">
        <w:rPr>
          <w:szCs w:val="22"/>
          <w:lang w:eastAsia="cs-CZ"/>
        </w:rPr>
        <w:t>klírens</w:t>
      </w:r>
      <w:proofErr w:type="spellEnd"/>
      <w:r w:rsidR="00765D72"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znížený o vyše 50 % v dôsledku sprievodnej poruchy funkcie obličiek (pozri časť 4.2).</w:t>
      </w:r>
    </w:p>
    <w:p w14:paraId="2B53D6CD"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4A644F30" w14:textId="77777777" w:rsidR="008A778F" w:rsidRPr="00A344BB" w:rsidRDefault="00CB43B8"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Pediatrická populácia</w:t>
      </w:r>
    </w:p>
    <w:p w14:paraId="053EC0AE" w14:textId="77777777" w:rsidR="00AB0C1C" w:rsidRPr="00A344BB" w:rsidRDefault="00AB0C1C" w:rsidP="0096391B">
      <w:pPr>
        <w:keepNext/>
        <w:tabs>
          <w:tab w:val="clear" w:pos="567"/>
        </w:tabs>
        <w:autoSpaceDE w:val="0"/>
        <w:autoSpaceDN w:val="0"/>
        <w:adjustRightInd w:val="0"/>
        <w:spacing w:line="240" w:lineRule="auto"/>
        <w:rPr>
          <w:szCs w:val="22"/>
          <w:u w:val="single"/>
          <w:lang w:eastAsia="cs-CZ"/>
        </w:rPr>
      </w:pPr>
    </w:p>
    <w:p w14:paraId="53727753" w14:textId="77777777" w:rsidR="008A778F" w:rsidRPr="00A344BB" w:rsidRDefault="008A778F" w:rsidP="0096391B">
      <w:pPr>
        <w:keepNext/>
        <w:tabs>
          <w:tab w:val="clear" w:pos="567"/>
        </w:tabs>
        <w:autoSpaceDE w:val="0"/>
        <w:autoSpaceDN w:val="0"/>
        <w:adjustRightInd w:val="0"/>
        <w:spacing w:line="240" w:lineRule="auto"/>
        <w:rPr>
          <w:szCs w:val="22"/>
          <w:u w:val="single"/>
          <w:lang w:eastAsia="cs-CZ"/>
        </w:rPr>
      </w:pPr>
      <w:r w:rsidRPr="00A344BB">
        <w:rPr>
          <w:szCs w:val="22"/>
          <w:u w:val="single"/>
          <w:lang w:eastAsia="cs-CZ"/>
        </w:rPr>
        <w:t>Deti (4 až 12 rokov)</w:t>
      </w:r>
    </w:p>
    <w:p w14:paraId="69589A1E" w14:textId="77777777" w:rsidR="008A778F" w:rsidRPr="00A344BB" w:rsidRDefault="008A778F" w:rsidP="0096391B">
      <w:pPr>
        <w:keepNext/>
        <w:tabs>
          <w:tab w:val="clear" w:pos="567"/>
        </w:tabs>
        <w:autoSpaceDE w:val="0"/>
        <w:autoSpaceDN w:val="0"/>
        <w:adjustRightInd w:val="0"/>
        <w:spacing w:line="240" w:lineRule="auto"/>
        <w:rPr>
          <w:szCs w:val="22"/>
          <w:lang w:eastAsia="cs-CZ"/>
        </w:rPr>
      </w:pPr>
      <w:r w:rsidRPr="00A344BB">
        <w:rPr>
          <w:szCs w:val="22"/>
          <w:lang w:eastAsia="cs-CZ"/>
        </w:rPr>
        <w:t>Po podaní jednorazovej perorálnej dávky (20 mg/kg) deťom s epilepsiou (6-12 rokov) bol polčas</w:t>
      </w:r>
      <w:r w:rsidR="00765D72"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6 hodín. Zdanlivý systémový </w:t>
      </w:r>
      <w:proofErr w:type="spellStart"/>
      <w:r w:rsidRPr="00A344BB">
        <w:rPr>
          <w:szCs w:val="22"/>
          <w:lang w:eastAsia="cs-CZ"/>
        </w:rPr>
        <w:t>klírens</w:t>
      </w:r>
      <w:proofErr w:type="spellEnd"/>
      <w:r w:rsidRPr="00A344BB">
        <w:rPr>
          <w:szCs w:val="22"/>
          <w:lang w:eastAsia="cs-CZ"/>
        </w:rPr>
        <w:t xml:space="preserve"> bol približne o 30 % vyšší než u dospelých s</w:t>
      </w:r>
      <w:r w:rsidR="00765D72" w:rsidRPr="00A344BB">
        <w:rPr>
          <w:szCs w:val="22"/>
          <w:lang w:eastAsia="cs-CZ"/>
        </w:rPr>
        <w:t xml:space="preserve"> </w:t>
      </w:r>
      <w:r w:rsidRPr="00A344BB">
        <w:rPr>
          <w:szCs w:val="22"/>
          <w:lang w:eastAsia="cs-CZ"/>
        </w:rPr>
        <w:t>epilepsiou.</w:t>
      </w:r>
    </w:p>
    <w:p w14:paraId="071D717B" w14:textId="77777777" w:rsidR="00AB0C1C" w:rsidRPr="00A344BB" w:rsidRDefault="00AB0C1C" w:rsidP="00EB5620">
      <w:pPr>
        <w:tabs>
          <w:tab w:val="clear" w:pos="567"/>
        </w:tabs>
        <w:autoSpaceDE w:val="0"/>
        <w:autoSpaceDN w:val="0"/>
        <w:adjustRightInd w:val="0"/>
        <w:spacing w:line="240" w:lineRule="auto"/>
        <w:rPr>
          <w:szCs w:val="22"/>
          <w:lang w:eastAsia="cs-CZ"/>
        </w:rPr>
      </w:pPr>
    </w:p>
    <w:p w14:paraId="0F972379"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Po podaní opakovaných perorálnych dávok (20 až 60 mg/kg/deň) deťom s epilepsiou (4 až 12 rokov)</w:t>
      </w:r>
      <w:r w:rsidR="00765D72" w:rsidRPr="00A344BB">
        <w:rPr>
          <w:szCs w:val="22"/>
          <w:lang w:eastAsia="cs-CZ"/>
        </w:rPr>
        <w:t xml:space="preserve"> </w:t>
      </w:r>
      <w:r w:rsidRPr="00A344BB">
        <w:rPr>
          <w:szCs w:val="22"/>
          <w:lang w:eastAsia="cs-CZ"/>
        </w:rPr>
        <w:t xml:space="preserve">sa </w:t>
      </w:r>
      <w:proofErr w:type="spellStart"/>
      <w:r w:rsidRPr="00A344BB">
        <w:rPr>
          <w:szCs w:val="22"/>
          <w:lang w:eastAsia="cs-CZ"/>
        </w:rPr>
        <w:t>levetiracetam</w:t>
      </w:r>
      <w:proofErr w:type="spellEnd"/>
      <w:r w:rsidRPr="00A344BB">
        <w:rPr>
          <w:szCs w:val="22"/>
          <w:lang w:eastAsia="cs-CZ"/>
        </w:rPr>
        <w:t xml:space="preserve"> rýchlo absorboval. Maximálna plazmatická koncentrácia sa pozorovala 0,5 až</w:t>
      </w:r>
      <w:r w:rsidR="00765D72" w:rsidRPr="00A344BB">
        <w:rPr>
          <w:szCs w:val="22"/>
          <w:lang w:eastAsia="cs-CZ"/>
        </w:rPr>
        <w:t xml:space="preserve"> </w:t>
      </w:r>
      <w:r w:rsidRPr="00A344BB">
        <w:rPr>
          <w:szCs w:val="22"/>
          <w:lang w:eastAsia="cs-CZ"/>
        </w:rPr>
        <w:t>1 hodinu po podaní. Pozorovalo sa lineárne a dávkovo úmerné zvýšenie maximálnych plazmatických</w:t>
      </w:r>
      <w:r w:rsidR="00765D72" w:rsidRPr="00A344BB">
        <w:rPr>
          <w:szCs w:val="22"/>
          <w:lang w:eastAsia="cs-CZ"/>
        </w:rPr>
        <w:t xml:space="preserve"> </w:t>
      </w:r>
      <w:r w:rsidRPr="00A344BB">
        <w:rPr>
          <w:szCs w:val="22"/>
          <w:lang w:eastAsia="cs-CZ"/>
        </w:rPr>
        <w:t xml:space="preserve">koncentrácií a plochy pod krivkou. Eliminačný polčas bol približne 5 hodín. Zdanlivý telesný </w:t>
      </w:r>
      <w:proofErr w:type="spellStart"/>
      <w:r w:rsidRPr="00A344BB">
        <w:rPr>
          <w:szCs w:val="22"/>
          <w:lang w:eastAsia="cs-CZ"/>
        </w:rPr>
        <w:t>klírens</w:t>
      </w:r>
      <w:proofErr w:type="spellEnd"/>
      <w:r w:rsidR="00765D72" w:rsidRPr="00A344BB">
        <w:rPr>
          <w:szCs w:val="22"/>
          <w:lang w:eastAsia="cs-CZ"/>
        </w:rPr>
        <w:t xml:space="preserve"> </w:t>
      </w:r>
      <w:r w:rsidRPr="00A344BB">
        <w:rPr>
          <w:szCs w:val="22"/>
          <w:lang w:eastAsia="cs-CZ"/>
        </w:rPr>
        <w:t>bol 1,1 ml/min/kg.</w:t>
      </w:r>
    </w:p>
    <w:p w14:paraId="34389DBE" w14:textId="77777777" w:rsidR="00AB0C1C" w:rsidRPr="00A344BB" w:rsidRDefault="00AB0C1C" w:rsidP="00EB5620">
      <w:pPr>
        <w:tabs>
          <w:tab w:val="clear" w:pos="567"/>
        </w:tabs>
        <w:autoSpaceDE w:val="0"/>
        <w:autoSpaceDN w:val="0"/>
        <w:adjustRightInd w:val="0"/>
        <w:spacing w:line="240" w:lineRule="auto"/>
        <w:rPr>
          <w:szCs w:val="22"/>
          <w:u w:val="single"/>
          <w:lang w:eastAsia="cs-CZ"/>
        </w:rPr>
      </w:pPr>
    </w:p>
    <w:p w14:paraId="7B08521E" w14:textId="77777777" w:rsidR="008A778F" w:rsidRPr="00A344BB" w:rsidRDefault="008A778F" w:rsidP="00EB5620">
      <w:pPr>
        <w:tabs>
          <w:tab w:val="clear" w:pos="567"/>
        </w:tabs>
        <w:autoSpaceDE w:val="0"/>
        <w:autoSpaceDN w:val="0"/>
        <w:adjustRightInd w:val="0"/>
        <w:spacing w:line="240" w:lineRule="auto"/>
        <w:rPr>
          <w:szCs w:val="22"/>
          <w:u w:val="single"/>
          <w:lang w:eastAsia="cs-CZ"/>
        </w:rPr>
      </w:pPr>
      <w:r w:rsidRPr="00A344BB">
        <w:rPr>
          <w:szCs w:val="22"/>
          <w:u w:val="single"/>
          <w:lang w:eastAsia="cs-CZ"/>
        </w:rPr>
        <w:t>Dojčatá a deti (1 mesiac až 4 roky)</w:t>
      </w:r>
    </w:p>
    <w:p w14:paraId="09434FC6"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Po jednorazovom podaní dávky (20 mg/kg) 100 mg/ml perorálneho roztoku deťom s epilepsiou (1</w:t>
      </w:r>
      <w:r w:rsidR="00765D72" w:rsidRPr="00A344BB">
        <w:rPr>
          <w:szCs w:val="22"/>
          <w:lang w:eastAsia="cs-CZ"/>
        </w:rPr>
        <w:t xml:space="preserve"> </w:t>
      </w:r>
      <w:r w:rsidRPr="00A344BB">
        <w:rPr>
          <w:szCs w:val="22"/>
          <w:lang w:eastAsia="cs-CZ"/>
        </w:rPr>
        <w:t xml:space="preserve">mesiac až 4 roky) sa </w:t>
      </w:r>
      <w:proofErr w:type="spellStart"/>
      <w:r w:rsidRPr="00A344BB">
        <w:rPr>
          <w:szCs w:val="22"/>
          <w:lang w:eastAsia="cs-CZ"/>
        </w:rPr>
        <w:t>levetiracetam</w:t>
      </w:r>
      <w:proofErr w:type="spellEnd"/>
      <w:r w:rsidRPr="00A344BB">
        <w:rPr>
          <w:szCs w:val="22"/>
          <w:lang w:eastAsia="cs-CZ"/>
        </w:rPr>
        <w:t xml:space="preserve"> rýchlo absorboval a maximálne plazmatické koncentrácie sa</w:t>
      </w:r>
      <w:r w:rsidR="00765D72" w:rsidRPr="00A344BB">
        <w:rPr>
          <w:szCs w:val="22"/>
          <w:lang w:eastAsia="cs-CZ"/>
        </w:rPr>
        <w:t xml:space="preserve"> </w:t>
      </w:r>
      <w:r w:rsidRPr="00A344BB">
        <w:rPr>
          <w:szCs w:val="22"/>
          <w:lang w:eastAsia="cs-CZ"/>
        </w:rPr>
        <w:t xml:space="preserve">pozorovali približne 1 hodinu po podaní. </w:t>
      </w:r>
      <w:proofErr w:type="spellStart"/>
      <w:r w:rsidRPr="00A344BB">
        <w:rPr>
          <w:szCs w:val="22"/>
          <w:lang w:eastAsia="cs-CZ"/>
        </w:rPr>
        <w:t>Farmakokinetické</w:t>
      </w:r>
      <w:proofErr w:type="spellEnd"/>
      <w:r w:rsidRPr="00A344BB">
        <w:rPr>
          <w:szCs w:val="22"/>
          <w:lang w:eastAsia="cs-CZ"/>
        </w:rPr>
        <w:t xml:space="preserve"> výsledky ukazujú kratší eliminačný polčas</w:t>
      </w:r>
      <w:r w:rsidR="00765D72" w:rsidRPr="00A344BB">
        <w:rPr>
          <w:szCs w:val="22"/>
          <w:lang w:eastAsia="cs-CZ"/>
        </w:rPr>
        <w:t xml:space="preserve"> </w:t>
      </w:r>
      <w:r w:rsidRPr="00A344BB">
        <w:rPr>
          <w:szCs w:val="22"/>
          <w:lang w:eastAsia="cs-CZ"/>
        </w:rPr>
        <w:t xml:space="preserve">(5,3 hodiny) ako u dospelých (7,2 hodiny) a rýchlejší zdanlivý telesný </w:t>
      </w:r>
      <w:proofErr w:type="spellStart"/>
      <w:r w:rsidRPr="00A344BB">
        <w:rPr>
          <w:szCs w:val="22"/>
          <w:lang w:eastAsia="cs-CZ"/>
        </w:rPr>
        <w:t>klírens</w:t>
      </w:r>
      <w:proofErr w:type="spellEnd"/>
      <w:r w:rsidRPr="00A344BB">
        <w:rPr>
          <w:szCs w:val="22"/>
          <w:lang w:eastAsia="cs-CZ"/>
        </w:rPr>
        <w:t xml:space="preserve"> (1,5 ml/min/kg) ako</w:t>
      </w:r>
      <w:r w:rsidR="00765D72" w:rsidRPr="00A344BB">
        <w:rPr>
          <w:szCs w:val="22"/>
          <w:lang w:eastAsia="cs-CZ"/>
        </w:rPr>
        <w:t xml:space="preserve"> </w:t>
      </w:r>
      <w:r w:rsidRPr="00A344BB">
        <w:rPr>
          <w:szCs w:val="22"/>
          <w:lang w:eastAsia="cs-CZ"/>
        </w:rPr>
        <w:t>u dospelých (0,96 ml/min/kg).</w:t>
      </w:r>
    </w:p>
    <w:p w14:paraId="7658109B"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2B81F48F" w14:textId="77777777" w:rsidR="008A778F" w:rsidRPr="00A344BB" w:rsidRDefault="008A778F" w:rsidP="00EB5620">
      <w:pPr>
        <w:tabs>
          <w:tab w:val="clear" w:pos="567"/>
        </w:tabs>
        <w:autoSpaceDE w:val="0"/>
        <w:autoSpaceDN w:val="0"/>
        <w:adjustRightInd w:val="0"/>
        <w:spacing w:line="240" w:lineRule="auto"/>
        <w:rPr>
          <w:szCs w:val="22"/>
          <w:lang w:eastAsia="cs-CZ"/>
        </w:rPr>
      </w:pPr>
      <w:r w:rsidRPr="00A344BB">
        <w:rPr>
          <w:szCs w:val="22"/>
          <w:lang w:eastAsia="cs-CZ"/>
        </w:rPr>
        <w:t xml:space="preserve">V populačnej </w:t>
      </w:r>
      <w:proofErr w:type="spellStart"/>
      <w:r w:rsidRPr="00A344BB">
        <w:rPr>
          <w:szCs w:val="22"/>
          <w:lang w:eastAsia="cs-CZ"/>
        </w:rPr>
        <w:t>farmakokinetickej</w:t>
      </w:r>
      <w:proofErr w:type="spellEnd"/>
      <w:r w:rsidRPr="00A344BB">
        <w:rPr>
          <w:szCs w:val="22"/>
          <w:lang w:eastAsia="cs-CZ"/>
        </w:rPr>
        <w:t xml:space="preserve"> analýze uskutočnenej u pacientov vo veku od 1 mesiaca do 16 rokov</w:t>
      </w:r>
      <w:r w:rsidR="00765D72" w:rsidRPr="00A344BB">
        <w:rPr>
          <w:szCs w:val="22"/>
          <w:lang w:eastAsia="cs-CZ"/>
        </w:rPr>
        <w:t xml:space="preserve"> </w:t>
      </w:r>
      <w:r w:rsidRPr="00A344BB">
        <w:rPr>
          <w:szCs w:val="22"/>
          <w:lang w:eastAsia="cs-CZ"/>
        </w:rPr>
        <w:t xml:space="preserve">telesná hmotnosť významne </w:t>
      </w:r>
      <w:proofErr w:type="spellStart"/>
      <w:r w:rsidRPr="00A344BB">
        <w:rPr>
          <w:szCs w:val="22"/>
          <w:lang w:eastAsia="cs-CZ"/>
        </w:rPr>
        <w:t>korelovala</w:t>
      </w:r>
      <w:proofErr w:type="spellEnd"/>
      <w:r w:rsidRPr="00A344BB">
        <w:rPr>
          <w:szCs w:val="22"/>
          <w:lang w:eastAsia="cs-CZ"/>
        </w:rPr>
        <w:t xml:space="preserve"> so zdanlivým </w:t>
      </w:r>
      <w:proofErr w:type="spellStart"/>
      <w:r w:rsidRPr="00A344BB">
        <w:rPr>
          <w:szCs w:val="22"/>
          <w:lang w:eastAsia="cs-CZ"/>
        </w:rPr>
        <w:t>klírensom</w:t>
      </w:r>
      <w:proofErr w:type="spellEnd"/>
      <w:r w:rsidRPr="00A344BB">
        <w:rPr>
          <w:szCs w:val="22"/>
          <w:lang w:eastAsia="cs-CZ"/>
        </w:rPr>
        <w:t xml:space="preserve"> (</w:t>
      </w:r>
      <w:proofErr w:type="spellStart"/>
      <w:r w:rsidRPr="00A344BB">
        <w:rPr>
          <w:szCs w:val="22"/>
          <w:lang w:eastAsia="cs-CZ"/>
        </w:rPr>
        <w:t>klírens</w:t>
      </w:r>
      <w:proofErr w:type="spellEnd"/>
      <w:r w:rsidRPr="00A344BB">
        <w:rPr>
          <w:szCs w:val="22"/>
          <w:lang w:eastAsia="cs-CZ"/>
        </w:rPr>
        <w:t xml:space="preserve"> sa zvyšoval so zvýšením</w:t>
      </w:r>
      <w:r w:rsidR="00765D72" w:rsidRPr="00A344BB">
        <w:rPr>
          <w:szCs w:val="22"/>
          <w:lang w:eastAsia="cs-CZ"/>
        </w:rPr>
        <w:t xml:space="preserve"> </w:t>
      </w:r>
      <w:r w:rsidRPr="00A344BB">
        <w:rPr>
          <w:szCs w:val="22"/>
          <w:lang w:eastAsia="cs-CZ"/>
        </w:rPr>
        <w:t>telesnej hmotnosti) a so zdanlivým distribučným objemom. Na obidva parametre mal vplyv aj vek.</w:t>
      </w:r>
      <w:r w:rsidR="00765D72" w:rsidRPr="00A344BB">
        <w:rPr>
          <w:szCs w:val="22"/>
          <w:lang w:eastAsia="cs-CZ"/>
        </w:rPr>
        <w:t xml:space="preserve"> </w:t>
      </w:r>
      <w:r w:rsidRPr="00A344BB">
        <w:rPr>
          <w:szCs w:val="22"/>
          <w:lang w:eastAsia="cs-CZ"/>
        </w:rPr>
        <w:t>Tento efekt bol zvýraznený u mladších dojčiat a ustupoval so zvyšujúcim sa vekom, pričom okolo</w:t>
      </w:r>
      <w:r w:rsidR="00765D72" w:rsidRPr="00A344BB">
        <w:rPr>
          <w:szCs w:val="22"/>
          <w:lang w:eastAsia="cs-CZ"/>
        </w:rPr>
        <w:t xml:space="preserve"> </w:t>
      </w:r>
      <w:r w:rsidRPr="00A344BB">
        <w:rPr>
          <w:szCs w:val="22"/>
          <w:lang w:eastAsia="cs-CZ"/>
        </w:rPr>
        <w:t>4. roku veku sa stal zanedbateľným.</w:t>
      </w:r>
    </w:p>
    <w:p w14:paraId="338FDB4E"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30DD1282" w14:textId="77777777" w:rsidR="002F07D4" w:rsidRPr="00A344BB" w:rsidRDefault="008A778F" w:rsidP="00EB5620">
      <w:pPr>
        <w:tabs>
          <w:tab w:val="clear" w:pos="567"/>
        </w:tabs>
        <w:autoSpaceDE w:val="0"/>
        <w:autoSpaceDN w:val="0"/>
        <w:adjustRightInd w:val="0"/>
        <w:spacing w:line="240" w:lineRule="auto"/>
        <w:rPr>
          <w:b/>
          <w:bCs/>
          <w:szCs w:val="22"/>
        </w:rPr>
      </w:pPr>
      <w:r w:rsidRPr="00A344BB">
        <w:rPr>
          <w:szCs w:val="22"/>
          <w:lang w:eastAsia="cs-CZ"/>
        </w:rPr>
        <w:t xml:space="preserve">V oboch </w:t>
      </w:r>
      <w:proofErr w:type="spellStart"/>
      <w:r w:rsidRPr="00A344BB">
        <w:rPr>
          <w:szCs w:val="22"/>
          <w:lang w:eastAsia="cs-CZ"/>
        </w:rPr>
        <w:t>farmakokinetických</w:t>
      </w:r>
      <w:proofErr w:type="spellEnd"/>
      <w:r w:rsidRPr="00A344BB">
        <w:rPr>
          <w:szCs w:val="22"/>
          <w:lang w:eastAsia="cs-CZ"/>
        </w:rPr>
        <w:t xml:space="preserve"> analýzach populácie došlo k asi 20 % zvýšeniu zdanlivého </w:t>
      </w:r>
      <w:proofErr w:type="spellStart"/>
      <w:r w:rsidRPr="00A344BB">
        <w:rPr>
          <w:szCs w:val="22"/>
          <w:lang w:eastAsia="cs-CZ"/>
        </w:rPr>
        <w:t>klírensu</w:t>
      </w:r>
      <w:proofErr w:type="spellEnd"/>
      <w:r w:rsidR="00765D72" w:rsidRPr="00A344BB">
        <w:rPr>
          <w:szCs w:val="22"/>
          <w:lang w:eastAsia="cs-CZ"/>
        </w:rPr>
        <w:t xml:space="preserve"> </w:t>
      </w:r>
      <w:proofErr w:type="spellStart"/>
      <w:r w:rsidRPr="00A344BB">
        <w:rPr>
          <w:szCs w:val="22"/>
          <w:lang w:eastAsia="cs-CZ"/>
        </w:rPr>
        <w:t>levetiracetamu</w:t>
      </w:r>
      <w:proofErr w:type="spellEnd"/>
      <w:r w:rsidRPr="00A344BB">
        <w:rPr>
          <w:szCs w:val="22"/>
          <w:lang w:eastAsia="cs-CZ"/>
        </w:rPr>
        <w:t xml:space="preserve">, keď bol </w:t>
      </w:r>
      <w:proofErr w:type="spellStart"/>
      <w:r w:rsidRPr="00A344BB">
        <w:rPr>
          <w:szCs w:val="22"/>
          <w:lang w:eastAsia="cs-CZ"/>
        </w:rPr>
        <w:t>levetiracetam</w:t>
      </w:r>
      <w:proofErr w:type="spellEnd"/>
      <w:r w:rsidRPr="00A344BB">
        <w:rPr>
          <w:szCs w:val="22"/>
          <w:lang w:eastAsia="cs-CZ"/>
        </w:rPr>
        <w:t xml:space="preserve"> podávaný spolu s </w:t>
      </w:r>
      <w:proofErr w:type="spellStart"/>
      <w:r w:rsidRPr="00A344BB">
        <w:rPr>
          <w:szCs w:val="22"/>
          <w:lang w:eastAsia="cs-CZ"/>
        </w:rPr>
        <w:t>antiepileptikami</w:t>
      </w:r>
      <w:proofErr w:type="spellEnd"/>
      <w:r w:rsidRPr="00A344BB">
        <w:rPr>
          <w:szCs w:val="22"/>
          <w:lang w:eastAsia="cs-CZ"/>
        </w:rPr>
        <w:t>, ktoré indukujú enzýmy.</w:t>
      </w:r>
    </w:p>
    <w:p w14:paraId="2C1BD088" w14:textId="77777777" w:rsidR="002F07D4" w:rsidRPr="00A344BB" w:rsidRDefault="002F07D4" w:rsidP="00EB5620">
      <w:pPr>
        <w:autoSpaceDE w:val="0"/>
        <w:autoSpaceDN w:val="0"/>
        <w:adjustRightInd w:val="0"/>
        <w:spacing w:line="240" w:lineRule="auto"/>
        <w:rPr>
          <w:b/>
          <w:bCs/>
          <w:szCs w:val="22"/>
        </w:rPr>
      </w:pPr>
    </w:p>
    <w:p w14:paraId="421BB9F0"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5.3 </w:t>
      </w:r>
      <w:r w:rsidRPr="00A344BB">
        <w:rPr>
          <w:b/>
          <w:szCs w:val="22"/>
        </w:rPr>
        <w:tab/>
        <w:t>Predklinické údaje o bezpečnosti</w:t>
      </w:r>
    </w:p>
    <w:p w14:paraId="3CB8FF6F"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202C1799" w14:textId="77777777" w:rsidR="00765D72" w:rsidRPr="00A344BB" w:rsidRDefault="00765D72" w:rsidP="00EB5620">
      <w:pPr>
        <w:tabs>
          <w:tab w:val="clear" w:pos="567"/>
        </w:tabs>
        <w:autoSpaceDE w:val="0"/>
        <w:autoSpaceDN w:val="0"/>
        <w:adjustRightInd w:val="0"/>
        <w:spacing w:line="240" w:lineRule="auto"/>
        <w:rPr>
          <w:szCs w:val="22"/>
          <w:lang w:eastAsia="cs-CZ"/>
        </w:rPr>
      </w:pPr>
      <w:r w:rsidRPr="00A344BB">
        <w:rPr>
          <w:szCs w:val="22"/>
          <w:lang w:eastAsia="cs-CZ"/>
        </w:rPr>
        <w:t xml:space="preserve">Predklinické údaje získané na základe obvyklých farmakologických štúdií bezpečnosti, genotoxicity, </w:t>
      </w:r>
      <w:proofErr w:type="spellStart"/>
      <w:r w:rsidRPr="00A344BB">
        <w:rPr>
          <w:szCs w:val="22"/>
          <w:lang w:eastAsia="cs-CZ"/>
        </w:rPr>
        <w:t>karcinogenicity</w:t>
      </w:r>
      <w:proofErr w:type="spellEnd"/>
      <w:r w:rsidRPr="00A344BB">
        <w:rPr>
          <w:szCs w:val="22"/>
          <w:lang w:eastAsia="cs-CZ"/>
        </w:rPr>
        <w:t xml:space="preserve"> neodhalili žiadne osobitné riziko pre ľudí.</w:t>
      </w:r>
    </w:p>
    <w:p w14:paraId="56920CFE"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3C093FE5" w14:textId="77777777" w:rsidR="00765D72" w:rsidRPr="00A344BB" w:rsidRDefault="00765D72" w:rsidP="00EB5620">
      <w:pPr>
        <w:tabs>
          <w:tab w:val="clear" w:pos="567"/>
        </w:tabs>
        <w:autoSpaceDE w:val="0"/>
        <w:autoSpaceDN w:val="0"/>
        <w:adjustRightInd w:val="0"/>
        <w:spacing w:line="240" w:lineRule="auto"/>
        <w:rPr>
          <w:szCs w:val="22"/>
          <w:lang w:eastAsia="cs-CZ"/>
        </w:rPr>
      </w:pPr>
      <w:r w:rsidRPr="00A344BB">
        <w:rPr>
          <w:szCs w:val="22"/>
          <w:lang w:eastAsia="cs-CZ"/>
        </w:rPr>
        <w:lastRenderedPageBreak/>
        <w:t xml:space="preserve">Nežiaduce účinky nepozorované v klinických štúdiách, ale zistené u potkanov, a v menšom rozsahu u myší, pri expozícii hladinám, ktoré boli podobné expozičným hladinám u človeka a s potenciálnym významom pre použitie v klinickej praxi, boli pečeňové zmeny naznačujúce adaptívnu odpoveď, ako je zvýšená hmotnosť a </w:t>
      </w:r>
      <w:proofErr w:type="spellStart"/>
      <w:r w:rsidRPr="00A344BB">
        <w:rPr>
          <w:szCs w:val="22"/>
          <w:lang w:eastAsia="cs-CZ"/>
        </w:rPr>
        <w:t>centrilobulárna</w:t>
      </w:r>
      <w:proofErr w:type="spellEnd"/>
      <w:r w:rsidRPr="00A344BB">
        <w:rPr>
          <w:szCs w:val="22"/>
          <w:lang w:eastAsia="cs-CZ"/>
        </w:rPr>
        <w:t xml:space="preserve"> hypertrofia, infiltrácia tuku a zvýšené pečeňové enzýmy v plazme.</w:t>
      </w:r>
    </w:p>
    <w:p w14:paraId="49E502F1"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71AEADB7" w14:textId="77777777" w:rsidR="00765D72" w:rsidRPr="00A344BB" w:rsidRDefault="00765D72" w:rsidP="00EB5620">
      <w:pPr>
        <w:tabs>
          <w:tab w:val="clear" w:pos="567"/>
        </w:tabs>
        <w:autoSpaceDE w:val="0"/>
        <w:autoSpaceDN w:val="0"/>
        <w:adjustRightInd w:val="0"/>
        <w:spacing w:line="240" w:lineRule="auto"/>
        <w:rPr>
          <w:szCs w:val="22"/>
          <w:lang w:eastAsia="cs-CZ"/>
        </w:rPr>
      </w:pPr>
      <w:r w:rsidRPr="00A344BB">
        <w:rPr>
          <w:szCs w:val="22"/>
          <w:lang w:eastAsia="cs-CZ"/>
        </w:rPr>
        <w:t xml:space="preserve">U potkanov sa nepozorovali žiadne nežiaduce účinky na </w:t>
      </w:r>
      <w:proofErr w:type="spellStart"/>
      <w:r w:rsidRPr="00A344BB">
        <w:rPr>
          <w:szCs w:val="22"/>
          <w:lang w:eastAsia="cs-CZ"/>
        </w:rPr>
        <w:t>fertilitu</w:t>
      </w:r>
      <w:proofErr w:type="spellEnd"/>
      <w:r w:rsidRPr="00A344BB">
        <w:rPr>
          <w:szCs w:val="22"/>
          <w:lang w:eastAsia="cs-CZ"/>
        </w:rPr>
        <w:t xml:space="preserve"> alebo reprodukčnú výkonnosť samcov alebo samičiek pri dávkach až do 1800 mg/kg/deň (</w:t>
      </w:r>
      <w:proofErr w:type="spellStart"/>
      <w:r w:rsidRPr="00A344BB">
        <w:rPr>
          <w:szCs w:val="22"/>
          <w:lang w:eastAsia="cs-CZ"/>
        </w:rPr>
        <w:t>6-násobok</w:t>
      </w:r>
      <w:proofErr w:type="spellEnd"/>
      <w:r w:rsidRPr="00A344BB">
        <w:rPr>
          <w:szCs w:val="22"/>
          <w:lang w:eastAsia="cs-CZ"/>
        </w:rPr>
        <w:t xml:space="preserve"> maximálnej dennej dávky odporúčanej pre ľudí prepočítanej na mg/m</w:t>
      </w:r>
      <w:r w:rsidRPr="00A344BB">
        <w:rPr>
          <w:szCs w:val="22"/>
          <w:vertAlign w:val="superscript"/>
          <w:lang w:eastAsia="cs-CZ"/>
        </w:rPr>
        <w:t>2</w:t>
      </w:r>
      <w:r w:rsidRPr="00A344BB">
        <w:rPr>
          <w:szCs w:val="22"/>
          <w:lang w:eastAsia="cs-CZ"/>
        </w:rPr>
        <w:t xml:space="preserve"> alebo expozíciu) u rodičov a generácie F1.</w:t>
      </w:r>
    </w:p>
    <w:p w14:paraId="554B4156"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431663D2" w14:textId="77777777" w:rsidR="00765D72" w:rsidRPr="00A344BB" w:rsidRDefault="00765D72" w:rsidP="00EB5620">
      <w:pPr>
        <w:tabs>
          <w:tab w:val="clear" w:pos="567"/>
        </w:tabs>
        <w:autoSpaceDE w:val="0"/>
        <w:autoSpaceDN w:val="0"/>
        <w:adjustRightInd w:val="0"/>
        <w:spacing w:line="240" w:lineRule="auto"/>
        <w:rPr>
          <w:szCs w:val="22"/>
          <w:lang w:eastAsia="cs-CZ"/>
        </w:rPr>
      </w:pPr>
      <w:r w:rsidRPr="00A344BB">
        <w:rPr>
          <w:szCs w:val="22"/>
          <w:lang w:eastAsia="cs-CZ"/>
        </w:rPr>
        <w:t xml:space="preserve">Boli uskutočnené dve štúdie </w:t>
      </w:r>
      <w:proofErr w:type="spellStart"/>
      <w:r w:rsidRPr="00A344BB">
        <w:rPr>
          <w:szCs w:val="22"/>
          <w:lang w:eastAsia="cs-CZ"/>
        </w:rPr>
        <w:t>embryo-fetálneho</w:t>
      </w:r>
      <w:proofErr w:type="spellEnd"/>
      <w:r w:rsidRPr="00A344BB">
        <w:rPr>
          <w:szCs w:val="22"/>
          <w:lang w:eastAsia="cs-CZ"/>
        </w:rPr>
        <w:t xml:space="preserve"> vývoja (</w:t>
      </w:r>
      <w:proofErr w:type="spellStart"/>
      <w:r w:rsidRPr="00A344BB">
        <w:rPr>
          <w:szCs w:val="22"/>
          <w:lang w:eastAsia="cs-CZ"/>
        </w:rPr>
        <w:t>EFV</w:t>
      </w:r>
      <w:proofErr w:type="spellEnd"/>
      <w:r w:rsidRPr="00A344BB">
        <w:rPr>
          <w:szCs w:val="22"/>
          <w:lang w:eastAsia="cs-CZ"/>
        </w:rPr>
        <w:t xml:space="preserve"> štúdie) u potkanov s dávkami 400, </w:t>
      </w:r>
      <w:smartTag w:uri="urn:schemas-microsoft-com:office:smarttags" w:element="metricconverter">
        <w:smartTagPr>
          <w:attr w:name="ProductID" w:val="1200 a"/>
        </w:smartTagPr>
        <w:r w:rsidRPr="00A344BB">
          <w:rPr>
            <w:szCs w:val="22"/>
            <w:lang w:eastAsia="cs-CZ"/>
          </w:rPr>
          <w:t>1200 a</w:t>
        </w:r>
      </w:smartTag>
      <w:r w:rsidRPr="00A344BB">
        <w:rPr>
          <w:szCs w:val="22"/>
          <w:lang w:eastAsia="cs-CZ"/>
        </w:rPr>
        <w:t xml:space="preserve"> 3600 mg/kg/deň. Pri dávke 3600 mg/kg/deň došlo len v jednej z týchto dvoch </w:t>
      </w:r>
      <w:proofErr w:type="spellStart"/>
      <w:r w:rsidRPr="00A344BB">
        <w:rPr>
          <w:szCs w:val="22"/>
          <w:lang w:eastAsia="cs-CZ"/>
        </w:rPr>
        <w:t>EFV</w:t>
      </w:r>
      <w:proofErr w:type="spellEnd"/>
      <w:r w:rsidRPr="00A344BB">
        <w:rPr>
          <w:szCs w:val="22"/>
          <w:lang w:eastAsia="cs-CZ"/>
        </w:rPr>
        <w:t xml:space="preserve"> štúdií k nepatrnému zníženiu </w:t>
      </w:r>
      <w:proofErr w:type="spellStart"/>
      <w:r w:rsidRPr="00A344BB">
        <w:rPr>
          <w:szCs w:val="22"/>
          <w:lang w:eastAsia="cs-CZ"/>
        </w:rPr>
        <w:t>fetálnej</w:t>
      </w:r>
      <w:proofErr w:type="spellEnd"/>
      <w:r w:rsidRPr="00A344BB">
        <w:rPr>
          <w:szCs w:val="22"/>
          <w:lang w:eastAsia="cs-CZ"/>
        </w:rPr>
        <w:t xml:space="preserve"> hmotnosti, spojenému s hraničným nárastom počtu kostných zmien/menších anomálií. Nedošlo k žiadnemu ovplyvneniu mortality embryí ani k zvýšeniu výskytu </w:t>
      </w:r>
      <w:proofErr w:type="spellStart"/>
      <w:r w:rsidRPr="00A344BB">
        <w:rPr>
          <w:szCs w:val="22"/>
          <w:lang w:eastAsia="cs-CZ"/>
        </w:rPr>
        <w:t>malformácií</w:t>
      </w:r>
      <w:proofErr w:type="spellEnd"/>
      <w:r w:rsidRPr="00A344BB">
        <w:rPr>
          <w:szCs w:val="22"/>
          <w:lang w:eastAsia="cs-CZ"/>
        </w:rPr>
        <w:t xml:space="preserve">. </w:t>
      </w:r>
      <w:proofErr w:type="spellStart"/>
      <w:r w:rsidRPr="00A344BB">
        <w:rPr>
          <w:szCs w:val="22"/>
          <w:lang w:eastAsia="cs-CZ"/>
        </w:rPr>
        <w:t>NOAEL</w:t>
      </w:r>
      <w:proofErr w:type="spellEnd"/>
      <w:r w:rsidRPr="00A344BB">
        <w:rPr>
          <w:szCs w:val="22"/>
          <w:lang w:eastAsia="cs-CZ"/>
        </w:rPr>
        <w:t xml:space="preserve"> (hladina bez pozorovaných nežiaducich účinkov) bola 3600 mg/kg/deň pre gravidné samice potkanov (</w:t>
      </w:r>
      <w:proofErr w:type="spellStart"/>
      <w:r w:rsidRPr="00A344BB">
        <w:rPr>
          <w:szCs w:val="22"/>
          <w:lang w:eastAsia="cs-CZ"/>
        </w:rPr>
        <w:t>12-násobok</w:t>
      </w:r>
      <w:proofErr w:type="spellEnd"/>
      <w:r w:rsidRPr="00A344BB">
        <w:rPr>
          <w:szCs w:val="22"/>
          <w:lang w:eastAsia="cs-CZ"/>
        </w:rPr>
        <w:t xml:space="preserve"> maximálnej dennej dávky odporúčanej pre ľudí prepočítanej na mg/m</w:t>
      </w:r>
      <w:r w:rsidRPr="00A344BB">
        <w:rPr>
          <w:szCs w:val="22"/>
          <w:vertAlign w:val="superscript"/>
          <w:lang w:eastAsia="cs-CZ"/>
        </w:rPr>
        <w:t>2</w:t>
      </w:r>
      <w:r w:rsidRPr="00A344BB">
        <w:rPr>
          <w:szCs w:val="22"/>
          <w:lang w:eastAsia="cs-CZ"/>
        </w:rPr>
        <w:t xml:space="preserve"> plochy povrchu tela) a 1200 mg/kg/deň pre plody.</w:t>
      </w:r>
    </w:p>
    <w:p w14:paraId="4D00587D"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214F8E27" w14:textId="77777777" w:rsidR="00A248AB" w:rsidRPr="00A344BB" w:rsidRDefault="00765D72" w:rsidP="00EB5620">
      <w:pPr>
        <w:tabs>
          <w:tab w:val="clear" w:pos="567"/>
        </w:tabs>
        <w:autoSpaceDE w:val="0"/>
        <w:autoSpaceDN w:val="0"/>
        <w:adjustRightInd w:val="0"/>
        <w:spacing w:line="240" w:lineRule="auto"/>
        <w:rPr>
          <w:szCs w:val="22"/>
          <w:lang w:eastAsia="cs-CZ"/>
        </w:rPr>
      </w:pPr>
      <w:r w:rsidRPr="00A344BB">
        <w:rPr>
          <w:szCs w:val="22"/>
          <w:lang w:eastAsia="cs-CZ"/>
        </w:rPr>
        <w:t xml:space="preserve">Boli uskutočnené štyri štúdie </w:t>
      </w:r>
      <w:proofErr w:type="spellStart"/>
      <w:r w:rsidRPr="00A344BB">
        <w:rPr>
          <w:szCs w:val="22"/>
          <w:lang w:eastAsia="cs-CZ"/>
        </w:rPr>
        <w:t>embryo-fetálneho</w:t>
      </w:r>
      <w:proofErr w:type="spellEnd"/>
      <w:r w:rsidRPr="00A344BB">
        <w:rPr>
          <w:szCs w:val="22"/>
          <w:lang w:eastAsia="cs-CZ"/>
        </w:rPr>
        <w:t xml:space="preserve"> vývoja u králikov s dávkami 200, 600, 800, </w:t>
      </w:r>
      <w:smartTag w:uri="urn:schemas-microsoft-com:office:smarttags" w:element="metricconverter">
        <w:smartTagPr>
          <w:attr w:name="ProductID" w:val="1200 a"/>
        </w:smartTagPr>
        <w:r w:rsidRPr="00A344BB">
          <w:rPr>
            <w:szCs w:val="22"/>
            <w:lang w:eastAsia="cs-CZ"/>
          </w:rPr>
          <w:t>1200 a</w:t>
        </w:r>
      </w:smartTag>
      <w:r w:rsidRPr="00A344BB">
        <w:rPr>
          <w:szCs w:val="22"/>
          <w:lang w:eastAsia="cs-CZ"/>
        </w:rPr>
        <w:t xml:space="preserve"> 1800 mg/kg/deň. Dávka 1800 mg/kg/deň viedla k značnej toxicite u </w:t>
      </w:r>
      <w:proofErr w:type="spellStart"/>
      <w:r w:rsidRPr="00A344BB">
        <w:rPr>
          <w:szCs w:val="22"/>
          <w:lang w:eastAsia="cs-CZ"/>
        </w:rPr>
        <w:t>samíc-matiek</w:t>
      </w:r>
      <w:proofErr w:type="spellEnd"/>
      <w:r w:rsidRPr="00A344BB">
        <w:rPr>
          <w:szCs w:val="22"/>
          <w:lang w:eastAsia="cs-CZ"/>
        </w:rPr>
        <w:t xml:space="preserve"> a k zníženiu </w:t>
      </w:r>
      <w:proofErr w:type="spellStart"/>
      <w:r w:rsidRPr="00A344BB">
        <w:rPr>
          <w:szCs w:val="22"/>
          <w:lang w:eastAsia="cs-CZ"/>
        </w:rPr>
        <w:t>fetálnej</w:t>
      </w:r>
      <w:proofErr w:type="spellEnd"/>
      <w:r w:rsidRPr="00A344BB">
        <w:rPr>
          <w:szCs w:val="22"/>
          <w:lang w:eastAsia="cs-CZ"/>
        </w:rPr>
        <w:t xml:space="preserve"> hmotnosti, spojenému so zvýšeným výskytom plodov s kardiovaskulárnymi/kostrovými anomáliami. </w:t>
      </w:r>
      <w:proofErr w:type="spellStart"/>
      <w:r w:rsidRPr="00A344BB">
        <w:rPr>
          <w:szCs w:val="22"/>
          <w:lang w:eastAsia="cs-CZ"/>
        </w:rPr>
        <w:t>NOAEL</w:t>
      </w:r>
      <w:proofErr w:type="spellEnd"/>
      <w:r w:rsidRPr="00A344BB">
        <w:rPr>
          <w:szCs w:val="22"/>
          <w:lang w:eastAsia="cs-CZ"/>
        </w:rPr>
        <w:t xml:space="preserve"> bola &lt; 200 mg/kg/deň pre </w:t>
      </w:r>
      <w:proofErr w:type="spellStart"/>
      <w:r w:rsidRPr="00A344BB">
        <w:rPr>
          <w:szCs w:val="22"/>
          <w:lang w:eastAsia="cs-CZ"/>
        </w:rPr>
        <w:t>samice-matky</w:t>
      </w:r>
      <w:proofErr w:type="spellEnd"/>
      <w:r w:rsidRPr="00A344BB">
        <w:rPr>
          <w:szCs w:val="22"/>
          <w:lang w:eastAsia="cs-CZ"/>
        </w:rPr>
        <w:t xml:space="preserve"> a 200 mg/kg/deň pre plody (rovnajúca sa maximálnej dennej dávke odporúčanej pre ľudí prepočítanej na mg/m</w:t>
      </w:r>
      <w:r w:rsidRPr="00A344BB">
        <w:rPr>
          <w:szCs w:val="22"/>
          <w:vertAlign w:val="superscript"/>
          <w:lang w:eastAsia="cs-CZ"/>
        </w:rPr>
        <w:t>2</w:t>
      </w:r>
      <w:r w:rsidRPr="00A344BB">
        <w:rPr>
          <w:szCs w:val="22"/>
          <w:lang w:eastAsia="cs-CZ"/>
        </w:rPr>
        <w:t xml:space="preserve"> plochy povrchu tela).</w:t>
      </w:r>
    </w:p>
    <w:p w14:paraId="040D2060"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069FAAD1" w14:textId="77777777" w:rsidR="00765D72" w:rsidRPr="00A344BB" w:rsidRDefault="00765D72" w:rsidP="00EB5620">
      <w:pPr>
        <w:tabs>
          <w:tab w:val="clear" w:pos="567"/>
        </w:tabs>
        <w:autoSpaceDE w:val="0"/>
        <w:autoSpaceDN w:val="0"/>
        <w:adjustRightInd w:val="0"/>
        <w:spacing w:line="240" w:lineRule="auto"/>
        <w:rPr>
          <w:szCs w:val="22"/>
          <w:lang w:eastAsia="cs-CZ"/>
        </w:rPr>
      </w:pPr>
      <w:r w:rsidRPr="00A344BB">
        <w:rPr>
          <w:szCs w:val="22"/>
          <w:lang w:eastAsia="cs-CZ"/>
        </w:rPr>
        <w:t xml:space="preserve">Štúdia </w:t>
      </w:r>
      <w:proofErr w:type="spellStart"/>
      <w:r w:rsidRPr="00A344BB">
        <w:rPr>
          <w:szCs w:val="22"/>
          <w:lang w:eastAsia="cs-CZ"/>
        </w:rPr>
        <w:t>perinatálneho</w:t>
      </w:r>
      <w:proofErr w:type="spellEnd"/>
      <w:r w:rsidRPr="00A344BB">
        <w:rPr>
          <w:szCs w:val="22"/>
          <w:lang w:eastAsia="cs-CZ"/>
        </w:rPr>
        <w:t xml:space="preserve"> a </w:t>
      </w:r>
      <w:proofErr w:type="spellStart"/>
      <w:r w:rsidRPr="00A344BB">
        <w:rPr>
          <w:szCs w:val="22"/>
          <w:lang w:eastAsia="cs-CZ"/>
        </w:rPr>
        <w:t>postnatálneho</w:t>
      </w:r>
      <w:proofErr w:type="spellEnd"/>
      <w:r w:rsidRPr="00A344BB">
        <w:rPr>
          <w:szCs w:val="22"/>
          <w:lang w:eastAsia="cs-CZ"/>
        </w:rPr>
        <w:t xml:space="preserve"> vývoja bola realizovaná u potkanov s dávkami </w:t>
      </w:r>
      <w:proofErr w:type="spellStart"/>
      <w:r w:rsidRPr="00A344BB">
        <w:rPr>
          <w:szCs w:val="22"/>
          <w:lang w:eastAsia="cs-CZ"/>
        </w:rPr>
        <w:t>levetiracetamu</w:t>
      </w:r>
      <w:proofErr w:type="spellEnd"/>
      <w:r w:rsidRPr="00A344BB">
        <w:rPr>
          <w:szCs w:val="22"/>
          <w:lang w:eastAsia="cs-CZ"/>
        </w:rPr>
        <w:t xml:space="preserve"> 70, </w:t>
      </w:r>
      <w:smartTag w:uri="urn:schemas-microsoft-com:office:smarttags" w:element="metricconverter">
        <w:smartTagPr>
          <w:attr w:name="ProductID" w:val="350 a"/>
        </w:smartTagPr>
        <w:r w:rsidRPr="00A344BB">
          <w:rPr>
            <w:szCs w:val="22"/>
            <w:lang w:eastAsia="cs-CZ"/>
          </w:rPr>
          <w:t>350 a</w:t>
        </w:r>
      </w:smartTag>
      <w:r w:rsidRPr="00A344BB">
        <w:rPr>
          <w:szCs w:val="22"/>
          <w:lang w:eastAsia="cs-CZ"/>
        </w:rPr>
        <w:t xml:space="preserve"> 1800 mg/kg/deň. </w:t>
      </w:r>
      <w:proofErr w:type="spellStart"/>
      <w:r w:rsidRPr="00A344BB">
        <w:rPr>
          <w:szCs w:val="22"/>
          <w:lang w:eastAsia="cs-CZ"/>
        </w:rPr>
        <w:t>NOAEL</w:t>
      </w:r>
      <w:proofErr w:type="spellEnd"/>
      <w:r w:rsidRPr="00A344BB">
        <w:rPr>
          <w:szCs w:val="22"/>
          <w:lang w:eastAsia="cs-CZ"/>
        </w:rPr>
        <w:t xml:space="preserve"> bola </w:t>
      </w:r>
      <w:r w:rsidRPr="00A344BB">
        <w:rPr>
          <w:rFonts w:eastAsia="SymbolMT"/>
          <w:szCs w:val="22"/>
          <w:lang w:eastAsia="cs-CZ"/>
        </w:rPr>
        <w:t xml:space="preserve">≥ </w:t>
      </w:r>
      <w:r w:rsidRPr="00A344BB">
        <w:rPr>
          <w:szCs w:val="22"/>
          <w:lang w:eastAsia="cs-CZ"/>
        </w:rPr>
        <w:t>1800 mg/kg/deň pre samice F0, rovnako ako pre prežitie, rast a vývoj mláďat F1 až do odstavenia (</w:t>
      </w:r>
      <w:proofErr w:type="spellStart"/>
      <w:r w:rsidRPr="00A344BB">
        <w:rPr>
          <w:szCs w:val="22"/>
          <w:lang w:eastAsia="cs-CZ"/>
        </w:rPr>
        <w:t>6-násobok</w:t>
      </w:r>
      <w:proofErr w:type="spellEnd"/>
      <w:r w:rsidRPr="00A344BB">
        <w:rPr>
          <w:szCs w:val="22"/>
          <w:lang w:eastAsia="cs-CZ"/>
        </w:rPr>
        <w:t xml:space="preserve"> maximálnej dennej dávky odporúčanej pre ľudí prepočítanej na mg/m</w:t>
      </w:r>
      <w:r w:rsidRPr="00A344BB">
        <w:rPr>
          <w:szCs w:val="22"/>
          <w:vertAlign w:val="superscript"/>
          <w:lang w:eastAsia="cs-CZ"/>
        </w:rPr>
        <w:t xml:space="preserve">2 </w:t>
      </w:r>
      <w:r w:rsidRPr="00A344BB">
        <w:rPr>
          <w:szCs w:val="22"/>
          <w:lang w:eastAsia="cs-CZ"/>
        </w:rPr>
        <w:t>plochy povrchu tela).</w:t>
      </w:r>
    </w:p>
    <w:p w14:paraId="3668C049" w14:textId="77777777" w:rsidR="00A248AB" w:rsidRPr="00A344BB" w:rsidRDefault="00A248AB" w:rsidP="00EB5620">
      <w:pPr>
        <w:tabs>
          <w:tab w:val="clear" w:pos="567"/>
        </w:tabs>
        <w:autoSpaceDE w:val="0"/>
        <w:autoSpaceDN w:val="0"/>
        <w:adjustRightInd w:val="0"/>
        <w:spacing w:line="240" w:lineRule="auto"/>
        <w:rPr>
          <w:szCs w:val="22"/>
          <w:lang w:eastAsia="cs-CZ"/>
        </w:rPr>
      </w:pPr>
    </w:p>
    <w:p w14:paraId="6BA57860" w14:textId="77777777" w:rsidR="002F07D4" w:rsidRPr="00A344BB" w:rsidRDefault="00765D72" w:rsidP="00EB5620">
      <w:pPr>
        <w:tabs>
          <w:tab w:val="clear" w:pos="567"/>
        </w:tabs>
        <w:autoSpaceDE w:val="0"/>
        <w:autoSpaceDN w:val="0"/>
        <w:adjustRightInd w:val="0"/>
        <w:spacing w:line="240" w:lineRule="auto"/>
        <w:rPr>
          <w:szCs w:val="22"/>
          <w:lang w:eastAsia="cs-CZ"/>
        </w:rPr>
      </w:pPr>
      <w:r w:rsidRPr="00A344BB">
        <w:rPr>
          <w:szCs w:val="22"/>
          <w:lang w:eastAsia="cs-CZ"/>
        </w:rPr>
        <w:t>Štúdie s novorodencami a mláďatami u potkanov a psov nepreukázali žiadne nežiaduce účinky pri štandardných koncových ukazovateľoch vývoja a dozrievania v dávkach až do 1800 mg/kg/deň (6 až 17 násobok maximálnej dennej dávky odporúčanej pre ľudí prepočítanej na mg/m</w:t>
      </w:r>
      <w:r w:rsidRPr="00A344BB">
        <w:rPr>
          <w:szCs w:val="22"/>
          <w:vertAlign w:val="superscript"/>
          <w:lang w:eastAsia="cs-CZ"/>
        </w:rPr>
        <w:t>2</w:t>
      </w:r>
      <w:r w:rsidRPr="00A344BB">
        <w:rPr>
          <w:szCs w:val="22"/>
          <w:lang w:eastAsia="cs-CZ"/>
        </w:rPr>
        <w:t xml:space="preserve"> plochy povrchu tela).</w:t>
      </w:r>
    </w:p>
    <w:p w14:paraId="4607DC22" w14:textId="77777777" w:rsidR="00765D72" w:rsidRPr="00A344BB" w:rsidRDefault="00765D72" w:rsidP="00EB5620">
      <w:pPr>
        <w:tabs>
          <w:tab w:val="clear" w:pos="567"/>
        </w:tabs>
        <w:autoSpaceDE w:val="0"/>
        <w:autoSpaceDN w:val="0"/>
        <w:adjustRightInd w:val="0"/>
        <w:spacing w:line="240" w:lineRule="auto"/>
        <w:rPr>
          <w:szCs w:val="22"/>
        </w:rPr>
      </w:pPr>
    </w:p>
    <w:p w14:paraId="3694D580" w14:textId="77777777" w:rsidR="002F07D4" w:rsidRPr="00A344BB" w:rsidRDefault="002F07D4" w:rsidP="00EB5620">
      <w:pPr>
        <w:autoSpaceDE w:val="0"/>
        <w:autoSpaceDN w:val="0"/>
        <w:adjustRightInd w:val="0"/>
        <w:spacing w:line="240" w:lineRule="auto"/>
        <w:rPr>
          <w:szCs w:val="22"/>
        </w:rPr>
      </w:pPr>
    </w:p>
    <w:p w14:paraId="06CF5E7A"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6. </w:t>
      </w:r>
      <w:r w:rsidRPr="00A344BB">
        <w:rPr>
          <w:b/>
          <w:szCs w:val="22"/>
        </w:rPr>
        <w:tab/>
        <w:t>FARMACEUTICKÉ INFORMÁCIE</w:t>
      </w:r>
    </w:p>
    <w:p w14:paraId="5C683307" w14:textId="77777777" w:rsidR="002F07D4" w:rsidRPr="00A344BB" w:rsidRDefault="002F07D4" w:rsidP="00EB5620">
      <w:pPr>
        <w:autoSpaceDE w:val="0"/>
        <w:autoSpaceDN w:val="0"/>
        <w:adjustRightInd w:val="0"/>
        <w:spacing w:line="240" w:lineRule="auto"/>
        <w:rPr>
          <w:b/>
          <w:bCs/>
          <w:szCs w:val="22"/>
        </w:rPr>
      </w:pPr>
    </w:p>
    <w:p w14:paraId="247A830A"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6.1 </w:t>
      </w:r>
      <w:r w:rsidRPr="00A344BB">
        <w:rPr>
          <w:b/>
          <w:szCs w:val="22"/>
        </w:rPr>
        <w:tab/>
        <w:t>Zoznam pomocných látok</w:t>
      </w:r>
    </w:p>
    <w:p w14:paraId="0B01D4E7" w14:textId="77777777" w:rsidR="00A248AB" w:rsidRPr="00A344BB" w:rsidRDefault="00A248AB" w:rsidP="00031849">
      <w:pPr>
        <w:autoSpaceDE w:val="0"/>
        <w:autoSpaceDN w:val="0"/>
        <w:adjustRightInd w:val="0"/>
        <w:spacing w:line="240" w:lineRule="auto"/>
        <w:rPr>
          <w:szCs w:val="22"/>
          <w:u w:val="single"/>
        </w:rPr>
      </w:pPr>
    </w:p>
    <w:p w14:paraId="60515338" w14:textId="77777777" w:rsidR="00676193" w:rsidRPr="00A344BB" w:rsidRDefault="00676193" w:rsidP="00031849">
      <w:pPr>
        <w:autoSpaceDE w:val="0"/>
        <w:autoSpaceDN w:val="0"/>
        <w:adjustRightInd w:val="0"/>
        <w:spacing w:line="240" w:lineRule="auto"/>
        <w:rPr>
          <w:szCs w:val="22"/>
        </w:rPr>
      </w:pPr>
      <w:r w:rsidRPr="00A344BB">
        <w:rPr>
          <w:szCs w:val="22"/>
          <w:u w:val="single"/>
        </w:rPr>
        <w:t>Jadro tablety</w:t>
      </w:r>
      <w:r w:rsidRPr="00A344BB">
        <w:rPr>
          <w:szCs w:val="22"/>
        </w:rPr>
        <w:t xml:space="preserve">: </w:t>
      </w:r>
      <w:proofErr w:type="spellStart"/>
      <w:r w:rsidR="00EE0356" w:rsidRPr="00A344BB">
        <w:rPr>
          <w:szCs w:val="22"/>
        </w:rPr>
        <w:t>krospovidón</w:t>
      </w:r>
      <w:proofErr w:type="spellEnd"/>
      <w:r w:rsidR="00EE0356" w:rsidRPr="00A344BB">
        <w:rPr>
          <w:szCs w:val="22"/>
        </w:rPr>
        <w:t xml:space="preserve"> </w:t>
      </w:r>
      <w:r w:rsidRPr="00A344BB">
        <w:rPr>
          <w:szCs w:val="22"/>
        </w:rPr>
        <w:t xml:space="preserve">(typ B), </w:t>
      </w:r>
      <w:proofErr w:type="spellStart"/>
      <w:r w:rsidR="00EE0356" w:rsidRPr="00A344BB">
        <w:rPr>
          <w:szCs w:val="22"/>
        </w:rPr>
        <w:t>povidón</w:t>
      </w:r>
      <w:proofErr w:type="spellEnd"/>
      <w:r w:rsidR="00EE0356" w:rsidRPr="00A344BB">
        <w:rPr>
          <w:szCs w:val="22"/>
        </w:rPr>
        <w:t xml:space="preserve"> </w:t>
      </w:r>
      <w:r w:rsidRPr="00A344BB">
        <w:rPr>
          <w:szCs w:val="22"/>
        </w:rPr>
        <w:t xml:space="preserve">K30, koloidný oxid kremičitý, </w:t>
      </w:r>
      <w:proofErr w:type="spellStart"/>
      <w:r w:rsidRPr="00A344BB">
        <w:rPr>
          <w:szCs w:val="22"/>
        </w:rPr>
        <w:t>magnéziumstearát</w:t>
      </w:r>
      <w:proofErr w:type="spellEnd"/>
    </w:p>
    <w:p w14:paraId="2AF2791E" w14:textId="77777777" w:rsidR="00676193" w:rsidRPr="00A344BB" w:rsidRDefault="00676193" w:rsidP="00B03A35">
      <w:pPr>
        <w:autoSpaceDE w:val="0"/>
        <w:autoSpaceDN w:val="0"/>
        <w:adjustRightInd w:val="0"/>
        <w:spacing w:line="240" w:lineRule="auto"/>
        <w:rPr>
          <w:szCs w:val="22"/>
          <w:u w:val="single"/>
        </w:rPr>
      </w:pPr>
      <w:proofErr w:type="spellStart"/>
      <w:r w:rsidRPr="00A344BB">
        <w:rPr>
          <w:szCs w:val="22"/>
          <w:u w:val="single"/>
        </w:rPr>
        <w:t>PTEROCYN</w:t>
      </w:r>
      <w:proofErr w:type="spellEnd"/>
      <w:r w:rsidRPr="00A344BB">
        <w:rPr>
          <w:szCs w:val="22"/>
          <w:u w:val="single"/>
        </w:rPr>
        <w:t xml:space="preserve"> 250 mg </w:t>
      </w:r>
      <w:r w:rsidR="00175367" w:rsidRPr="00A344BB">
        <w:rPr>
          <w:szCs w:val="22"/>
          <w:u w:val="single"/>
        </w:rPr>
        <w:t>-</w:t>
      </w:r>
      <w:r w:rsidRPr="00A344BB">
        <w:rPr>
          <w:szCs w:val="22"/>
          <w:u w:val="single"/>
        </w:rPr>
        <w:t xml:space="preserve"> obalová vrstva:</w:t>
      </w:r>
    </w:p>
    <w:p w14:paraId="331D2B59" w14:textId="77777777" w:rsidR="00676193" w:rsidRPr="00A344BB" w:rsidRDefault="00EE0356" w:rsidP="00B03A35">
      <w:pPr>
        <w:autoSpaceDE w:val="0"/>
        <w:autoSpaceDN w:val="0"/>
        <w:adjustRightInd w:val="0"/>
        <w:spacing w:line="240" w:lineRule="auto"/>
        <w:rPr>
          <w:szCs w:val="22"/>
        </w:rPr>
      </w:pPr>
      <w:proofErr w:type="spellStart"/>
      <w:r w:rsidRPr="00A344BB">
        <w:rPr>
          <w:szCs w:val="22"/>
        </w:rPr>
        <w:t>hypromelóza</w:t>
      </w:r>
      <w:proofErr w:type="spellEnd"/>
      <w:r w:rsidR="00676193" w:rsidRPr="00A344BB">
        <w:rPr>
          <w:szCs w:val="22"/>
        </w:rPr>
        <w:t xml:space="preserve">, </w:t>
      </w:r>
      <w:proofErr w:type="spellStart"/>
      <w:r w:rsidR="00676193" w:rsidRPr="00A344BB">
        <w:rPr>
          <w:szCs w:val="22"/>
        </w:rPr>
        <w:t>makrogol</w:t>
      </w:r>
      <w:proofErr w:type="spellEnd"/>
      <w:r w:rsidR="00676193" w:rsidRPr="00A344BB">
        <w:rPr>
          <w:szCs w:val="22"/>
        </w:rPr>
        <w:t>/</w:t>
      </w:r>
      <w:proofErr w:type="spellStart"/>
      <w:r w:rsidR="00676193" w:rsidRPr="00A344BB">
        <w:rPr>
          <w:szCs w:val="22"/>
        </w:rPr>
        <w:t>PEG</w:t>
      </w:r>
      <w:proofErr w:type="spellEnd"/>
      <w:r w:rsidR="00676193" w:rsidRPr="00A344BB">
        <w:rPr>
          <w:szCs w:val="22"/>
        </w:rPr>
        <w:t xml:space="preserve"> 400, oxid </w:t>
      </w:r>
      <w:proofErr w:type="spellStart"/>
      <w:r w:rsidR="00676193" w:rsidRPr="00A344BB">
        <w:rPr>
          <w:szCs w:val="22"/>
        </w:rPr>
        <w:t>titaničitý</w:t>
      </w:r>
      <w:proofErr w:type="spellEnd"/>
      <w:r w:rsidR="00676193" w:rsidRPr="00A344BB">
        <w:rPr>
          <w:szCs w:val="22"/>
        </w:rPr>
        <w:t xml:space="preserve"> (E171), čistený mastenec, </w:t>
      </w:r>
      <w:proofErr w:type="spellStart"/>
      <w:r w:rsidR="00676193" w:rsidRPr="00A344BB">
        <w:rPr>
          <w:szCs w:val="22"/>
        </w:rPr>
        <w:t>indigokarmín</w:t>
      </w:r>
      <w:proofErr w:type="spellEnd"/>
      <w:r w:rsidR="00031849" w:rsidRPr="00A344BB">
        <w:rPr>
          <w:szCs w:val="22"/>
        </w:rPr>
        <w:t xml:space="preserve"> - </w:t>
      </w:r>
      <w:r w:rsidR="00676193" w:rsidRPr="00A344BB">
        <w:rPr>
          <w:szCs w:val="22"/>
        </w:rPr>
        <w:t>hlinitý lak (E132)</w:t>
      </w:r>
    </w:p>
    <w:p w14:paraId="0114B8B2" w14:textId="77777777" w:rsidR="00676193" w:rsidRPr="00A344BB" w:rsidRDefault="00676193" w:rsidP="00EB5620">
      <w:pPr>
        <w:autoSpaceDE w:val="0"/>
        <w:autoSpaceDN w:val="0"/>
        <w:adjustRightInd w:val="0"/>
        <w:spacing w:line="240" w:lineRule="auto"/>
        <w:jc w:val="both"/>
        <w:rPr>
          <w:szCs w:val="22"/>
          <w:u w:val="single"/>
        </w:rPr>
      </w:pPr>
      <w:proofErr w:type="spellStart"/>
      <w:r w:rsidRPr="00A344BB">
        <w:rPr>
          <w:szCs w:val="22"/>
          <w:u w:val="single"/>
        </w:rPr>
        <w:t>PTEROCYN</w:t>
      </w:r>
      <w:proofErr w:type="spellEnd"/>
      <w:r w:rsidRPr="00A344BB">
        <w:rPr>
          <w:szCs w:val="22"/>
          <w:u w:val="single"/>
        </w:rPr>
        <w:t xml:space="preserve"> 500 mg </w:t>
      </w:r>
      <w:r w:rsidR="00175367" w:rsidRPr="00A344BB">
        <w:rPr>
          <w:szCs w:val="22"/>
          <w:u w:val="single"/>
        </w:rPr>
        <w:t xml:space="preserve">- </w:t>
      </w:r>
      <w:r w:rsidRPr="00A344BB">
        <w:rPr>
          <w:szCs w:val="22"/>
          <w:u w:val="single"/>
        </w:rPr>
        <w:t>obalová vrstva:</w:t>
      </w:r>
    </w:p>
    <w:p w14:paraId="12FE4375" w14:textId="77777777" w:rsidR="00676193" w:rsidRPr="00A344BB" w:rsidRDefault="00EE0356" w:rsidP="00EB5620">
      <w:pPr>
        <w:autoSpaceDE w:val="0"/>
        <w:autoSpaceDN w:val="0"/>
        <w:adjustRightInd w:val="0"/>
        <w:spacing w:line="240" w:lineRule="auto"/>
        <w:jc w:val="both"/>
        <w:rPr>
          <w:szCs w:val="22"/>
        </w:rPr>
      </w:pPr>
      <w:proofErr w:type="spellStart"/>
      <w:r w:rsidRPr="00A344BB">
        <w:rPr>
          <w:szCs w:val="22"/>
        </w:rPr>
        <w:t>hypromelóza</w:t>
      </w:r>
      <w:proofErr w:type="spellEnd"/>
      <w:r w:rsidR="00676193" w:rsidRPr="00A344BB">
        <w:rPr>
          <w:szCs w:val="22"/>
        </w:rPr>
        <w:t xml:space="preserve">, </w:t>
      </w:r>
      <w:proofErr w:type="spellStart"/>
      <w:r w:rsidR="00676193" w:rsidRPr="00A344BB">
        <w:rPr>
          <w:szCs w:val="22"/>
        </w:rPr>
        <w:t>makrogol</w:t>
      </w:r>
      <w:proofErr w:type="spellEnd"/>
      <w:r w:rsidR="00676193" w:rsidRPr="00A344BB">
        <w:rPr>
          <w:szCs w:val="22"/>
        </w:rPr>
        <w:t>/</w:t>
      </w:r>
      <w:proofErr w:type="spellStart"/>
      <w:r w:rsidR="00676193" w:rsidRPr="00A344BB">
        <w:rPr>
          <w:szCs w:val="22"/>
        </w:rPr>
        <w:t>PEG</w:t>
      </w:r>
      <w:proofErr w:type="spellEnd"/>
      <w:r w:rsidR="00676193" w:rsidRPr="00A344BB">
        <w:rPr>
          <w:szCs w:val="22"/>
        </w:rPr>
        <w:t xml:space="preserve"> 400, oxid </w:t>
      </w:r>
      <w:proofErr w:type="spellStart"/>
      <w:r w:rsidR="00676193" w:rsidRPr="00A344BB">
        <w:rPr>
          <w:szCs w:val="22"/>
        </w:rPr>
        <w:t>titaničitý</w:t>
      </w:r>
      <w:proofErr w:type="spellEnd"/>
      <w:r w:rsidR="00676193" w:rsidRPr="00A344BB">
        <w:rPr>
          <w:szCs w:val="22"/>
        </w:rPr>
        <w:t xml:space="preserve"> (E171), čistený mastenec, žltý oxid železitý (E172)</w:t>
      </w:r>
    </w:p>
    <w:p w14:paraId="3F6E9B39" w14:textId="77777777" w:rsidR="00676193" w:rsidRPr="00A344BB" w:rsidRDefault="00676193" w:rsidP="00EB5620">
      <w:pPr>
        <w:autoSpaceDE w:val="0"/>
        <w:autoSpaceDN w:val="0"/>
        <w:adjustRightInd w:val="0"/>
        <w:spacing w:line="240" w:lineRule="auto"/>
        <w:jc w:val="both"/>
        <w:rPr>
          <w:szCs w:val="22"/>
          <w:u w:val="single"/>
        </w:rPr>
      </w:pPr>
      <w:proofErr w:type="spellStart"/>
      <w:r w:rsidRPr="00A344BB">
        <w:rPr>
          <w:szCs w:val="22"/>
          <w:u w:val="single"/>
        </w:rPr>
        <w:t>PTEROCYN</w:t>
      </w:r>
      <w:proofErr w:type="spellEnd"/>
      <w:r w:rsidRPr="00A344BB">
        <w:rPr>
          <w:szCs w:val="22"/>
          <w:u w:val="single"/>
        </w:rPr>
        <w:t xml:space="preserve"> 1000 mg </w:t>
      </w:r>
      <w:r w:rsidR="00175367" w:rsidRPr="00A344BB">
        <w:rPr>
          <w:szCs w:val="22"/>
          <w:u w:val="single"/>
        </w:rPr>
        <w:t xml:space="preserve">- </w:t>
      </w:r>
      <w:r w:rsidRPr="00A344BB">
        <w:rPr>
          <w:szCs w:val="22"/>
          <w:u w:val="single"/>
        </w:rPr>
        <w:t>obalová vrstva:</w:t>
      </w:r>
    </w:p>
    <w:p w14:paraId="1145B622" w14:textId="77777777" w:rsidR="00676193" w:rsidRPr="00A344BB" w:rsidRDefault="00EE0356" w:rsidP="00EB5620">
      <w:pPr>
        <w:autoSpaceDE w:val="0"/>
        <w:autoSpaceDN w:val="0"/>
        <w:adjustRightInd w:val="0"/>
        <w:spacing w:line="240" w:lineRule="auto"/>
        <w:jc w:val="both"/>
        <w:rPr>
          <w:szCs w:val="22"/>
        </w:rPr>
      </w:pPr>
      <w:proofErr w:type="spellStart"/>
      <w:r w:rsidRPr="00A344BB">
        <w:rPr>
          <w:szCs w:val="22"/>
        </w:rPr>
        <w:t>hypromelóza</w:t>
      </w:r>
      <w:proofErr w:type="spellEnd"/>
      <w:r w:rsidR="00676193" w:rsidRPr="00A344BB">
        <w:rPr>
          <w:szCs w:val="22"/>
        </w:rPr>
        <w:t xml:space="preserve">, </w:t>
      </w:r>
      <w:proofErr w:type="spellStart"/>
      <w:r w:rsidR="00676193" w:rsidRPr="00A344BB">
        <w:rPr>
          <w:szCs w:val="22"/>
        </w:rPr>
        <w:t>makrogol</w:t>
      </w:r>
      <w:proofErr w:type="spellEnd"/>
      <w:r w:rsidR="00676193" w:rsidRPr="00A344BB">
        <w:rPr>
          <w:szCs w:val="22"/>
        </w:rPr>
        <w:t>/</w:t>
      </w:r>
      <w:proofErr w:type="spellStart"/>
      <w:r w:rsidR="00676193" w:rsidRPr="00A344BB">
        <w:rPr>
          <w:szCs w:val="22"/>
        </w:rPr>
        <w:t>PEG</w:t>
      </w:r>
      <w:proofErr w:type="spellEnd"/>
      <w:r w:rsidR="00676193" w:rsidRPr="00A344BB">
        <w:rPr>
          <w:szCs w:val="22"/>
        </w:rPr>
        <w:t xml:space="preserve"> 400, oxid </w:t>
      </w:r>
      <w:proofErr w:type="spellStart"/>
      <w:r w:rsidR="00676193" w:rsidRPr="00A344BB">
        <w:rPr>
          <w:szCs w:val="22"/>
        </w:rPr>
        <w:t>titaničitý</w:t>
      </w:r>
      <w:proofErr w:type="spellEnd"/>
      <w:r w:rsidR="00676193" w:rsidRPr="00A344BB">
        <w:rPr>
          <w:szCs w:val="22"/>
        </w:rPr>
        <w:t xml:space="preserve"> (E171), čistený mastenec</w:t>
      </w:r>
    </w:p>
    <w:p w14:paraId="3A68FF08" w14:textId="77777777" w:rsidR="00676193" w:rsidRPr="00A344BB" w:rsidRDefault="00676193" w:rsidP="00EB5620">
      <w:pPr>
        <w:autoSpaceDE w:val="0"/>
        <w:autoSpaceDN w:val="0"/>
        <w:adjustRightInd w:val="0"/>
        <w:spacing w:line="240" w:lineRule="auto"/>
        <w:rPr>
          <w:szCs w:val="22"/>
          <w:u w:val="single"/>
        </w:rPr>
      </w:pPr>
    </w:p>
    <w:p w14:paraId="690CB716"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6.2 </w:t>
      </w:r>
      <w:r w:rsidRPr="00A344BB">
        <w:rPr>
          <w:b/>
          <w:szCs w:val="22"/>
        </w:rPr>
        <w:tab/>
        <w:t>Inkompatibility</w:t>
      </w:r>
    </w:p>
    <w:p w14:paraId="27D8B763" w14:textId="77777777" w:rsidR="002F07D4" w:rsidRPr="00A344BB" w:rsidRDefault="002F07D4" w:rsidP="00EB5620">
      <w:pPr>
        <w:autoSpaceDE w:val="0"/>
        <w:autoSpaceDN w:val="0"/>
        <w:adjustRightInd w:val="0"/>
        <w:spacing w:line="240" w:lineRule="auto"/>
        <w:rPr>
          <w:b/>
          <w:bCs/>
          <w:szCs w:val="22"/>
        </w:rPr>
      </w:pPr>
    </w:p>
    <w:p w14:paraId="40001620" w14:textId="77777777" w:rsidR="002F07D4" w:rsidRPr="00A344BB" w:rsidRDefault="002F07D4" w:rsidP="00EB5620">
      <w:pPr>
        <w:autoSpaceDE w:val="0"/>
        <w:autoSpaceDN w:val="0"/>
        <w:adjustRightInd w:val="0"/>
        <w:spacing w:line="240" w:lineRule="auto"/>
        <w:rPr>
          <w:szCs w:val="22"/>
        </w:rPr>
      </w:pPr>
      <w:r w:rsidRPr="00A344BB">
        <w:rPr>
          <w:szCs w:val="22"/>
        </w:rPr>
        <w:t>Neaplikovateľné</w:t>
      </w:r>
      <w:r w:rsidR="007D4B8C" w:rsidRPr="00A344BB">
        <w:rPr>
          <w:szCs w:val="22"/>
        </w:rPr>
        <w:t>.</w:t>
      </w:r>
    </w:p>
    <w:p w14:paraId="5E5D9633" w14:textId="77777777" w:rsidR="002F07D4" w:rsidRPr="00A344BB" w:rsidRDefault="002F07D4" w:rsidP="00EB5620">
      <w:pPr>
        <w:autoSpaceDE w:val="0"/>
        <w:autoSpaceDN w:val="0"/>
        <w:adjustRightInd w:val="0"/>
        <w:spacing w:line="240" w:lineRule="auto"/>
        <w:rPr>
          <w:szCs w:val="22"/>
        </w:rPr>
      </w:pPr>
    </w:p>
    <w:p w14:paraId="475814CB" w14:textId="77777777" w:rsidR="002F07D4" w:rsidRPr="00A344BB" w:rsidRDefault="002F07D4" w:rsidP="0096391B">
      <w:pPr>
        <w:keepNext/>
        <w:autoSpaceDE w:val="0"/>
        <w:autoSpaceDN w:val="0"/>
        <w:adjustRightInd w:val="0"/>
        <w:spacing w:line="240" w:lineRule="auto"/>
        <w:rPr>
          <w:b/>
          <w:bCs/>
          <w:szCs w:val="22"/>
        </w:rPr>
      </w:pPr>
      <w:r w:rsidRPr="00A344BB">
        <w:rPr>
          <w:b/>
          <w:szCs w:val="22"/>
        </w:rPr>
        <w:lastRenderedPageBreak/>
        <w:t xml:space="preserve">6.3 </w:t>
      </w:r>
      <w:r w:rsidRPr="00A344BB">
        <w:rPr>
          <w:b/>
          <w:szCs w:val="22"/>
        </w:rPr>
        <w:tab/>
        <w:t>Čas použiteľnosti</w:t>
      </w:r>
    </w:p>
    <w:p w14:paraId="192289AA" w14:textId="77777777" w:rsidR="002F07D4" w:rsidRPr="00A344BB" w:rsidRDefault="002F07D4" w:rsidP="0096391B">
      <w:pPr>
        <w:keepNext/>
        <w:autoSpaceDE w:val="0"/>
        <w:autoSpaceDN w:val="0"/>
        <w:adjustRightInd w:val="0"/>
        <w:spacing w:line="240" w:lineRule="auto"/>
        <w:rPr>
          <w:b/>
          <w:bCs/>
          <w:szCs w:val="22"/>
        </w:rPr>
      </w:pPr>
    </w:p>
    <w:p w14:paraId="5D07F109" w14:textId="77777777" w:rsidR="002F07D4" w:rsidRPr="00A344BB" w:rsidRDefault="00676193" w:rsidP="0096391B">
      <w:pPr>
        <w:keepNext/>
        <w:autoSpaceDE w:val="0"/>
        <w:autoSpaceDN w:val="0"/>
        <w:adjustRightInd w:val="0"/>
        <w:spacing w:line="240" w:lineRule="auto"/>
        <w:rPr>
          <w:szCs w:val="22"/>
        </w:rPr>
      </w:pPr>
      <w:r w:rsidRPr="00A344BB">
        <w:rPr>
          <w:szCs w:val="22"/>
        </w:rPr>
        <w:t>3 roky</w:t>
      </w:r>
    </w:p>
    <w:p w14:paraId="14B6BB8A" w14:textId="77777777" w:rsidR="002F07D4" w:rsidRPr="00A344BB" w:rsidRDefault="002F07D4" w:rsidP="00EB5620">
      <w:pPr>
        <w:autoSpaceDE w:val="0"/>
        <w:autoSpaceDN w:val="0"/>
        <w:adjustRightInd w:val="0"/>
        <w:spacing w:line="240" w:lineRule="auto"/>
        <w:rPr>
          <w:szCs w:val="22"/>
        </w:rPr>
      </w:pPr>
    </w:p>
    <w:p w14:paraId="41456BBC"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6.4 </w:t>
      </w:r>
      <w:r w:rsidRPr="00A344BB">
        <w:rPr>
          <w:b/>
          <w:szCs w:val="22"/>
        </w:rPr>
        <w:tab/>
        <w:t>Špeciálne upozornenia na uchovávanie</w:t>
      </w:r>
    </w:p>
    <w:p w14:paraId="1F42D388" w14:textId="77777777" w:rsidR="002F07D4" w:rsidRPr="00A344BB" w:rsidRDefault="002F07D4" w:rsidP="00EB5620">
      <w:pPr>
        <w:autoSpaceDE w:val="0"/>
        <w:autoSpaceDN w:val="0"/>
        <w:adjustRightInd w:val="0"/>
        <w:spacing w:line="240" w:lineRule="auto"/>
        <w:rPr>
          <w:b/>
          <w:bCs/>
          <w:szCs w:val="22"/>
        </w:rPr>
      </w:pPr>
    </w:p>
    <w:p w14:paraId="61B9BFC7" w14:textId="77777777" w:rsidR="002F07D4" w:rsidRPr="00A344BB" w:rsidRDefault="00676193" w:rsidP="00EB5620">
      <w:pPr>
        <w:autoSpaceDE w:val="0"/>
        <w:autoSpaceDN w:val="0"/>
        <w:adjustRightInd w:val="0"/>
        <w:spacing w:line="240" w:lineRule="auto"/>
        <w:rPr>
          <w:szCs w:val="22"/>
        </w:rPr>
      </w:pPr>
      <w:r w:rsidRPr="00A344BB">
        <w:rPr>
          <w:szCs w:val="22"/>
        </w:rPr>
        <w:t>Tento liek nevyžaduje žiadne špeciálne podmienky na uchovávanie.</w:t>
      </w:r>
      <w:r w:rsidR="002F07D4" w:rsidRPr="00A344BB">
        <w:rPr>
          <w:szCs w:val="22"/>
        </w:rPr>
        <w:t>.</w:t>
      </w:r>
    </w:p>
    <w:p w14:paraId="2DFF180D" w14:textId="77777777" w:rsidR="002F07D4" w:rsidRPr="00A344BB" w:rsidRDefault="002F07D4" w:rsidP="00EB5620">
      <w:pPr>
        <w:autoSpaceDE w:val="0"/>
        <w:autoSpaceDN w:val="0"/>
        <w:adjustRightInd w:val="0"/>
        <w:spacing w:line="240" w:lineRule="auto"/>
        <w:rPr>
          <w:szCs w:val="22"/>
        </w:rPr>
      </w:pPr>
    </w:p>
    <w:p w14:paraId="2E4A6DA3"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6.5 </w:t>
      </w:r>
      <w:r w:rsidRPr="00A344BB">
        <w:rPr>
          <w:b/>
          <w:szCs w:val="22"/>
        </w:rPr>
        <w:tab/>
        <w:t>Druh obalu a</w:t>
      </w:r>
      <w:r w:rsidR="00EE0356" w:rsidRPr="00A344BB">
        <w:rPr>
          <w:b/>
          <w:szCs w:val="22"/>
        </w:rPr>
        <w:t> </w:t>
      </w:r>
      <w:r w:rsidRPr="00A344BB">
        <w:rPr>
          <w:b/>
          <w:szCs w:val="22"/>
        </w:rPr>
        <w:t>obsah balenia</w:t>
      </w:r>
    </w:p>
    <w:p w14:paraId="785CC18E" w14:textId="77777777" w:rsidR="00A248AB" w:rsidRPr="00A344BB" w:rsidRDefault="00A248AB" w:rsidP="00EB5620">
      <w:pPr>
        <w:pStyle w:val="Default"/>
        <w:jc w:val="both"/>
        <w:rPr>
          <w:color w:val="auto"/>
          <w:sz w:val="22"/>
          <w:szCs w:val="22"/>
          <w:u w:val="single"/>
          <w:lang w:val="sk-SK"/>
        </w:rPr>
      </w:pPr>
    </w:p>
    <w:p w14:paraId="197A5F65" w14:textId="77777777" w:rsidR="00676193" w:rsidRPr="00A344BB" w:rsidRDefault="00676193" w:rsidP="00EB5620">
      <w:pPr>
        <w:pStyle w:val="Default"/>
        <w:jc w:val="both"/>
        <w:rPr>
          <w:color w:val="auto"/>
          <w:sz w:val="22"/>
          <w:szCs w:val="22"/>
          <w:lang w:val="sk-SK"/>
        </w:rPr>
      </w:pPr>
      <w:proofErr w:type="spellStart"/>
      <w:r w:rsidRPr="00A344BB">
        <w:rPr>
          <w:color w:val="auto"/>
          <w:sz w:val="22"/>
          <w:szCs w:val="22"/>
          <w:u w:val="single"/>
          <w:lang w:val="sk-SK"/>
        </w:rPr>
        <w:t>PTEROCYN</w:t>
      </w:r>
      <w:proofErr w:type="spellEnd"/>
      <w:r w:rsidRPr="00A344BB">
        <w:rPr>
          <w:color w:val="auto"/>
          <w:sz w:val="22"/>
          <w:szCs w:val="22"/>
          <w:u w:val="single"/>
          <w:lang w:val="sk-SK"/>
        </w:rPr>
        <w:t xml:space="preserve"> 250 mg </w:t>
      </w:r>
      <w:r w:rsidRPr="00A344BB">
        <w:rPr>
          <w:color w:val="auto"/>
          <w:sz w:val="22"/>
          <w:szCs w:val="22"/>
          <w:lang w:val="sk-SK"/>
        </w:rPr>
        <w:t xml:space="preserve">sú </w:t>
      </w:r>
      <w:r w:rsidR="00FA6C17" w:rsidRPr="00A344BB">
        <w:rPr>
          <w:color w:val="auto"/>
          <w:sz w:val="22"/>
          <w:szCs w:val="22"/>
          <w:lang w:val="sk-SK"/>
        </w:rPr>
        <w:t xml:space="preserve">filmom obalené tablety </w:t>
      </w:r>
      <w:r w:rsidRPr="00A344BB">
        <w:rPr>
          <w:color w:val="auto"/>
          <w:sz w:val="22"/>
          <w:szCs w:val="22"/>
          <w:lang w:val="sk-SK"/>
        </w:rPr>
        <w:t>balené v</w:t>
      </w:r>
      <w:r w:rsidR="00EE0356" w:rsidRPr="00A344BB">
        <w:rPr>
          <w:color w:val="auto"/>
          <w:sz w:val="22"/>
          <w:szCs w:val="22"/>
          <w:lang w:val="sk-SK"/>
        </w:rPr>
        <w:t> </w:t>
      </w:r>
      <w:proofErr w:type="spellStart"/>
      <w:r w:rsidRPr="00A344BB">
        <w:rPr>
          <w:color w:val="auto"/>
          <w:sz w:val="22"/>
          <w:szCs w:val="22"/>
          <w:lang w:val="sk-SK"/>
        </w:rPr>
        <w:t>Al</w:t>
      </w:r>
      <w:proofErr w:type="spellEnd"/>
      <w:r w:rsidRPr="00A344BB">
        <w:rPr>
          <w:color w:val="auto"/>
          <w:sz w:val="22"/>
          <w:szCs w:val="22"/>
          <w:lang w:val="sk-SK"/>
        </w:rPr>
        <w:t>/</w:t>
      </w:r>
      <w:proofErr w:type="spellStart"/>
      <w:r w:rsidRPr="00A344BB">
        <w:rPr>
          <w:color w:val="auto"/>
          <w:sz w:val="22"/>
          <w:szCs w:val="22"/>
          <w:lang w:val="sk-SK"/>
        </w:rPr>
        <w:t>PVC-PE-PVDC</w:t>
      </w:r>
      <w:proofErr w:type="spellEnd"/>
      <w:r w:rsidRPr="00A344BB">
        <w:rPr>
          <w:color w:val="auto"/>
          <w:sz w:val="22"/>
          <w:szCs w:val="22"/>
          <w:lang w:val="sk-SK"/>
        </w:rPr>
        <w:t xml:space="preserve"> </w:t>
      </w:r>
      <w:proofErr w:type="spellStart"/>
      <w:r w:rsidRPr="00A344BB">
        <w:rPr>
          <w:color w:val="auto"/>
          <w:sz w:val="22"/>
          <w:szCs w:val="22"/>
          <w:lang w:val="sk-SK"/>
        </w:rPr>
        <w:t>blistroch</w:t>
      </w:r>
      <w:proofErr w:type="spellEnd"/>
      <w:r w:rsidRPr="00A344BB">
        <w:rPr>
          <w:color w:val="auto"/>
          <w:sz w:val="22"/>
          <w:szCs w:val="22"/>
          <w:lang w:val="sk-SK"/>
        </w:rPr>
        <w:t xml:space="preserve"> a</w:t>
      </w:r>
      <w:r w:rsidR="00EE0356" w:rsidRPr="00A344BB">
        <w:rPr>
          <w:color w:val="auto"/>
          <w:sz w:val="22"/>
          <w:szCs w:val="22"/>
          <w:lang w:val="sk-SK"/>
        </w:rPr>
        <w:t> </w:t>
      </w:r>
      <w:r w:rsidRPr="00A344BB">
        <w:rPr>
          <w:color w:val="auto"/>
          <w:sz w:val="22"/>
          <w:szCs w:val="22"/>
          <w:lang w:val="sk-SK"/>
        </w:rPr>
        <w:t>škatuľkách.</w:t>
      </w:r>
    </w:p>
    <w:p w14:paraId="06AA7472" w14:textId="77777777" w:rsidR="00676193" w:rsidRPr="00A344BB" w:rsidRDefault="00676193" w:rsidP="00EB5620">
      <w:pPr>
        <w:pStyle w:val="Default"/>
        <w:jc w:val="both"/>
        <w:rPr>
          <w:color w:val="auto"/>
          <w:sz w:val="22"/>
          <w:szCs w:val="22"/>
          <w:lang w:val="sk-SK"/>
        </w:rPr>
      </w:pPr>
      <w:r w:rsidRPr="00A344BB">
        <w:rPr>
          <w:color w:val="auto"/>
          <w:sz w:val="22"/>
          <w:szCs w:val="22"/>
          <w:lang w:val="sk-SK"/>
        </w:rPr>
        <w:t>Veľkosť balen</w:t>
      </w:r>
      <w:r w:rsidR="00B4584A" w:rsidRPr="00A344BB">
        <w:rPr>
          <w:color w:val="auto"/>
          <w:sz w:val="22"/>
          <w:szCs w:val="22"/>
          <w:lang w:val="sk-SK"/>
        </w:rPr>
        <w:t>i</w:t>
      </w:r>
      <w:bookmarkStart w:id="0" w:name="_GoBack"/>
      <w:bookmarkEnd w:id="0"/>
      <w:r w:rsidR="00B4584A" w:rsidRPr="00A344BB">
        <w:rPr>
          <w:color w:val="auto"/>
          <w:sz w:val="22"/>
          <w:szCs w:val="22"/>
          <w:lang w:val="sk-SK"/>
        </w:rPr>
        <w:t>a</w:t>
      </w:r>
      <w:r w:rsidRPr="00A344BB">
        <w:rPr>
          <w:color w:val="auto"/>
          <w:sz w:val="22"/>
          <w:szCs w:val="22"/>
          <w:lang w:val="sk-SK"/>
        </w:rPr>
        <w:t>: 10, 20, 30, 50, 60, 80, 120 a</w:t>
      </w:r>
      <w:r w:rsidR="00EE0356" w:rsidRPr="00A344BB">
        <w:rPr>
          <w:color w:val="auto"/>
          <w:sz w:val="22"/>
          <w:szCs w:val="22"/>
          <w:lang w:val="sk-SK"/>
        </w:rPr>
        <w:t> </w:t>
      </w:r>
      <w:r w:rsidRPr="00A344BB">
        <w:rPr>
          <w:color w:val="auto"/>
          <w:sz w:val="22"/>
          <w:szCs w:val="22"/>
          <w:lang w:val="sk-SK"/>
        </w:rPr>
        <w:t>200 filmom obalených tabliet.</w:t>
      </w:r>
    </w:p>
    <w:p w14:paraId="5441E938" w14:textId="77777777" w:rsidR="00676193" w:rsidRPr="00A344BB" w:rsidRDefault="00676193" w:rsidP="00EB5620">
      <w:pPr>
        <w:pStyle w:val="Default"/>
        <w:jc w:val="both"/>
        <w:rPr>
          <w:color w:val="auto"/>
          <w:sz w:val="22"/>
          <w:szCs w:val="22"/>
          <w:lang w:val="sk-SK"/>
        </w:rPr>
      </w:pPr>
      <w:proofErr w:type="spellStart"/>
      <w:r w:rsidRPr="00A344BB">
        <w:rPr>
          <w:color w:val="auto"/>
          <w:sz w:val="22"/>
          <w:szCs w:val="22"/>
          <w:u w:val="single"/>
          <w:lang w:val="sk-SK"/>
        </w:rPr>
        <w:t>PTEROCYN</w:t>
      </w:r>
      <w:proofErr w:type="spellEnd"/>
      <w:r w:rsidRPr="00A344BB">
        <w:rPr>
          <w:color w:val="auto"/>
          <w:sz w:val="22"/>
          <w:szCs w:val="22"/>
          <w:u w:val="single"/>
          <w:lang w:val="sk-SK"/>
        </w:rPr>
        <w:t xml:space="preserve"> 500 mg </w:t>
      </w:r>
      <w:r w:rsidRPr="00A344BB">
        <w:rPr>
          <w:color w:val="auto"/>
          <w:sz w:val="22"/>
          <w:szCs w:val="22"/>
          <w:lang w:val="sk-SK"/>
        </w:rPr>
        <w:t xml:space="preserve">sú </w:t>
      </w:r>
      <w:r w:rsidR="00FA6C17" w:rsidRPr="00A344BB">
        <w:rPr>
          <w:color w:val="auto"/>
          <w:sz w:val="22"/>
          <w:szCs w:val="22"/>
          <w:lang w:val="sk-SK"/>
        </w:rPr>
        <w:t xml:space="preserve">filmom obalené tablety </w:t>
      </w:r>
      <w:r w:rsidRPr="00A344BB">
        <w:rPr>
          <w:color w:val="auto"/>
          <w:sz w:val="22"/>
          <w:szCs w:val="22"/>
          <w:lang w:val="sk-SK"/>
        </w:rPr>
        <w:t>balené v</w:t>
      </w:r>
      <w:r w:rsidR="00EE0356" w:rsidRPr="00A344BB">
        <w:rPr>
          <w:color w:val="auto"/>
          <w:sz w:val="22"/>
          <w:szCs w:val="22"/>
          <w:lang w:val="sk-SK"/>
        </w:rPr>
        <w:t> </w:t>
      </w:r>
      <w:proofErr w:type="spellStart"/>
      <w:r w:rsidRPr="00A344BB">
        <w:rPr>
          <w:color w:val="auto"/>
          <w:sz w:val="22"/>
          <w:szCs w:val="22"/>
          <w:lang w:val="sk-SK"/>
        </w:rPr>
        <w:t>Al</w:t>
      </w:r>
      <w:proofErr w:type="spellEnd"/>
      <w:r w:rsidRPr="00A344BB">
        <w:rPr>
          <w:color w:val="auto"/>
          <w:sz w:val="22"/>
          <w:szCs w:val="22"/>
          <w:lang w:val="sk-SK"/>
        </w:rPr>
        <w:t>/</w:t>
      </w:r>
      <w:proofErr w:type="spellStart"/>
      <w:r w:rsidRPr="00A344BB">
        <w:rPr>
          <w:color w:val="auto"/>
          <w:sz w:val="22"/>
          <w:szCs w:val="22"/>
          <w:lang w:val="sk-SK"/>
        </w:rPr>
        <w:t>PVC-PE-PVDC</w:t>
      </w:r>
      <w:proofErr w:type="spellEnd"/>
      <w:r w:rsidRPr="00A344BB">
        <w:rPr>
          <w:color w:val="auto"/>
          <w:sz w:val="22"/>
          <w:szCs w:val="22"/>
          <w:lang w:val="sk-SK"/>
        </w:rPr>
        <w:t xml:space="preserve"> </w:t>
      </w:r>
      <w:proofErr w:type="spellStart"/>
      <w:r w:rsidRPr="00A344BB">
        <w:rPr>
          <w:color w:val="auto"/>
          <w:sz w:val="22"/>
          <w:szCs w:val="22"/>
          <w:lang w:val="sk-SK"/>
        </w:rPr>
        <w:t>blistr</w:t>
      </w:r>
      <w:r w:rsidR="004A265E" w:rsidRPr="00A344BB">
        <w:rPr>
          <w:color w:val="auto"/>
          <w:sz w:val="22"/>
          <w:szCs w:val="22"/>
          <w:lang w:val="sk-SK"/>
        </w:rPr>
        <w:t>o</w:t>
      </w:r>
      <w:r w:rsidRPr="00A344BB">
        <w:rPr>
          <w:color w:val="auto"/>
          <w:sz w:val="22"/>
          <w:szCs w:val="22"/>
          <w:lang w:val="sk-SK"/>
        </w:rPr>
        <w:t>ch</w:t>
      </w:r>
      <w:proofErr w:type="spellEnd"/>
      <w:r w:rsidRPr="00A344BB">
        <w:rPr>
          <w:color w:val="auto"/>
          <w:sz w:val="22"/>
          <w:szCs w:val="22"/>
          <w:lang w:val="sk-SK"/>
        </w:rPr>
        <w:t xml:space="preserve"> a</w:t>
      </w:r>
      <w:r w:rsidR="00EE0356" w:rsidRPr="00A344BB">
        <w:rPr>
          <w:color w:val="auto"/>
          <w:sz w:val="22"/>
          <w:szCs w:val="22"/>
          <w:lang w:val="sk-SK"/>
        </w:rPr>
        <w:t> </w:t>
      </w:r>
      <w:r w:rsidRPr="00A344BB">
        <w:rPr>
          <w:color w:val="auto"/>
          <w:sz w:val="22"/>
          <w:szCs w:val="22"/>
          <w:lang w:val="sk-SK"/>
        </w:rPr>
        <w:t xml:space="preserve">škatuľkách. </w:t>
      </w:r>
    </w:p>
    <w:p w14:paraId="7F9CDED5" w14:textId="77777777" w:rsidR="00676193" w:rsidRPr="00A344BB" w:rsidRDefault="00676193" w:rsidP="00EB5620">
      <w:pPr>
        <w:pStyle w:val="Default"/>
        <w:jc w:val="both"/>
        <w:rPr>
          <w:color w:val="auto"/>
          <w:sz w:val="22"/>
          <w:szCs w:val="22"/>
          <w:lang w:val="sk-SK"/>
        </w:rPr>
      </w:pPr>
      <w:r w:rsidRPr="00A344BB">
        <w:rPr>
          <w:color w:val="auto"/>
          <w:sz w:val="22"/>
          <w:szCs w:val="22"/>
          <w:lang w:val="sk-SK"/>
        </w:rPr>
        <w:t>Veľkosť balen</w:t>
      </w:r>
      <w:r w:rsidR="00B4584A" w:rsidRPr="00A344BB">
        <w:rPr>
          <w:color w:val="auto"/>
          <w:sz w:val="22"/>
          <w:szCs w:val="22"/>
          <w:lang w:val="sk-SK"/>
        </w:rPr>
        <w:t>ia</w:t>
      </w:r>
      <w:r w:rsidRPr="00A344BB">
        <w:rPr>
          <w:color w:val="auto"/>
          <w:sz w:val="22"/>
          <w:szCs w:val="22"/>
          <w:lang w:val="sk-SK"/>
        </w:rPr>
        <w:t>: 10, 20, 30, 50, 60, 80, 120 a</w:t>
      </w:r>
      <w:r w:rsidR="00EE0356" w:rsidRPr="00A344BB">
        <w:rPr>
          <w:color w:val="auto"/>
          <w:sz w:val="22"/>
          <w:szCs w:val="22"/>
          <w:lang w:val="sk-SK"/>
        </w:rPr>
        <w:t> </w:t>
      </w:r>
      <w:r w:rsidRPr="00A344BB">
        <w:rPr>
          <w:color w:val="auto"/>
          <w:sz w:val="22"/>
          <w:szCs w:val="22"/>
          <w:lang w:val="sk-SK"/>
        </w:rPr>
        <w:t>200 filmom obalených.</w:t>
      </w:r>
    </w:p>
    <w:p w14:paraId="401D9B3F" w14:textId="77777777" w:rsidR="00676193" w:rsidRPr="00A344BB" w:rsidRDefault="00676193" w:rsidP="00EB5620">
      <w:pPr>
        <w:pStyle w:val="Default"/>
        <w:jc w:val="both"/>
        <w:rPr>
          <w:color w:val="auto"/>
          <w:sz w:val="22"/>
          <w:szCs w:val="22"/>
          <w:lang w:val="sk-SK"/>
        </w:rPr>
      </w:pPr>
      <w:proofErr w:type="spellStart"/>
      <w:r w:rsidRPr="00A344BB">
        <w:rPr>
          <w:color w:val="auto"/>
          <w:sz w:val="22"/>
          <w:szCs w:val="22"/>
          <w:u w:val="single"/>
          <w:lang w:val="sk-SK"/>
        </w:rPr>
        <w:t>PTEROCYN</w:t>
      </w:r>
      <w:proofErr w:type="spellEnd"/>
      <w:r w:rsidRPr="00A344BB">
        <w:rPr>
          <w:color w:val="auto"/>
          <w:sz w:val="22"/>
          <w:szCs w:val="22"/>
          <w:u w:val="single"/>
          <w:lang w:val="sk-SK"/>
        </w:rPr>
        <w:t xml:space="preserve"> 1000 mg </w:t>
      </w:r>
      <w:r w:rsidR="004A265E" w:rsidRPr="00A344BB">
        <w:rPr>
          <w:color w:val="auto"/>
          <w:sz w:val="22"/>
          <w:szCs w:val="22"/>
          <w:lang w:val="sk-SK"/>
        </w:rPr>
        <w:t>sú</w:t>
      </w:r>
      <w:r w:rsidRPr="00A344BB">
        <w:rPr>
          <w:color w:val="auto"/>
          <w:sz w:val="22"/>
          <w:szCs w:val="22"/>
          <w:lang w:val="sk-SK"/>
        </w:rPr>
        <w:t xml:space="preserve"> </w:t>
      </w:r>
      <w:r w:rsidR="00FA6C17" w:rsidRPr="00A344BB">
        <w:rPr>
          <w:color w:val="auto"/>
          <w:sz w:val="22"/>
          <w:szCs w:val="22"/>
          <w:lang w:val="sk-SK"/>
        </w:rPr>
        <w:t xml:space="preserve">filmom obalené tablety </w:t>
      </w:r>
      <w:r w:rsidRPr="00A344BB">
        <w:rPr>
          <w:color w:val="auto"/>
          <w:sz w:val="22"/>
          <w:szCs w:val="22"/>
          <w:lang w:val="sk-SK"/>
        </w:rPr>
        <w:t>balené v</w:t>
      </w:r>
      <w:r w:rsidR="00EE0356" w:rsidRPr="00A344BB">
        <w:rPr>
          <w:color w:val="auto"/>
          <w:sz w:val="22"/>
          <w:szCs w:val="22"/>
          <w:lang w:val="sk-SK"/>
        </w:rPr>
        <w:t> </w:t>
      </w:r>
      <w:proofErr w:type="spellStart"/>
      <w:r w:rsidRPr="00A344BB">
        <w:rPr>
          <w:color w:val="auto"/>
          <w:sz w:val="22"/>
          <w:szCs w:val="22"/>
          <w:lang w:val="sk-SK"/>
        </w:rPr>
        <w:t>Al</w:t>
      </w:r>
      <w:proofErr w:type="spellEnd"/>
      <w:r w:rsidRPr="00A344BB">
        <w:rPr>
          <w:color w:val="auto"/>
          <w:sz w:val="22"/>
          <w:szCs w:val="22"/>
          <w:lang w:val="sk-SK"/>
        </w:rPr>
        <w:t>/</w:t>
      </w:r>
      <w:proofErr w:type="spellStart"/>
      <w:r w:rsidRPr="00A344BB">
        <w:rPr>
          <w:color w:val="auto"/>
          <w:sz w:val="22"/>
          <w:szCs w:val="22"/>
          <w:lang w:val="sk-SK"/>
        </w:rPr>
        <w:t>PVC-PE-PVDC</w:t>
      </w:r>
      <w:proofErr w:type="spellEnd"/>
      <w:r w:rsidRPr="00A344BB">
        <w:rPr>
          <w:color w:val="auto"/>
          <w:sz w:val="22"/>
          <w:szCs w:val="22"/>
          <w:lang w:val="sk-SK"/>
        </w:rPr>
        <w:t xml:space="preserve"> </w:t>
      </w:r>
      <w:proofErr w:type="spellStart"/>
      <w:r w:rsidRPr="00A344BB">
        <w:rPr>
          <w:color w:val="auto"/>
          <w:sz w:val="22"/>
          <w:szCs w:val="22"/>
          <w:lang w:val="sk-SK"/>
        </w:rPr>
        <w:t>blistr</w:t>
      </w:r>
      <w:r w:rsidR="004A265E" w:rsidRPr="00A344BB">
        <w:rPr>
          <w:color w:val="auto"/>
          <w:sz w:val="22"/>
          <w:szCs w:val="22"/>
          <w:lang w:val="sk-SK"/>
        </w:rPr>
        <w:t>o</w:t>
      </w:r>
      <w:r w:rsidRPr="00A344BB">
        <w:rPr>
          <w:color w:val="auto"/>
          <w:sz w:val="22"/>
          <w:szCs w:val="22"/>
          <w:lang w:val="sk-SK"/>
        </w:rPr>
        <w:t>ch</w:t>
      </w:r>
      <w:proofErr w:type="spellEnd"/>
      <w:r w:rsidRPr="00A344BB">
        <w:rPr>
          <w:color w:val="auto"/>
          <w:sz w:val="22"/>
          <w:szCs w:val="22"/>
          <w:lang w:val="sk-SK"/>
        </w:rPr>
        <w:t xml:space="preserve"> a</w:t>
      </w:r>
      <w:r w:rsidR="00EE0356" w:rsidRPr="00A344BB">
        <w:rPr>
          <w:color w:val="auto"/>
          <w:sz w:val="22"/>
          <w:szCs w:val="22"/>
          <w:lang w:val="sk-SK"/>
        </w:rPr>
        <w:t> </w:t>
      </w:r>
      <w:r w:rsidRPr="00A344BB">
        <w:rPr>
          <w:color w:val="auto"/>
          <w:sz w:val="22"/>
          <w:szCs w:val="22"/>
          <w:lang w:val="sk-SK"/>
        </w:rPr>
        <w:t xml:space="preserve">škatuľkách. </w:t>
      </w:r>
    </w:p>
    <w:p w14:paraId="4AD9A21E" w14:textId="77777777" w:rsidR="00676193" w:rsidRPr="00A344BB" w:rsidRDefault="00676193" w:rsidP="00EB5620">
      <w:pPr>
        <w:pStyle w:val="Default"/>
        <w:jc w:val="both"/>
        <w:rPr>
          <w:color w:val="auto"/>
          <w:sz w:val="22"/>
          <w:szCs w:val="22"/>
          <w:lang w:val="sk-SK"/>
        </w:rPr>
      </w:pPr>
      <w:r w:rsidRPr="00A344BB">
        <w:rPr>
          <w:color w:val="auto"/>
          <w:sz w:val="22"/>
          <w:szCs w:val="22"/>
          <w:lang w:val="sk-SK"/>
        </w:rPr>
        <w:t>Veľkosť balen</w:t>
      </w:r>
      <w:r w:rsidR="00B4584A" w:rsidRPr="00A344BB">
        <w:rPr>
          <w:color w:val="auto"/>
          <w:sz w:val="22"/>
          <w:szCs w:val="22"/>
          <w:lang w:val="sk-SK"/>
        </w:rPr>
        <w:t>ia</w:t>
      </w:r>
      <w:r w:rsidRPr="00A344BB">
        <w:rPr>
          <w:color w:val="auto"/>
          <w:sz w:val="22"/>
          <w:szCs w:val="22"/>
          <w:lang w:val="sk-SK"/>
        </w:rPr>
        <w:t>: 10, 20, 30, 50, 60, 80, 120 a</w:t>
      </w:r>
      <w:r w:rsidR="00EE0356" w:rsidRPr="00A344BB">
        <w:rPr>
          <w:color w:val="auto"/>
          <w:sz w:val="22"/>
          <w:szCs w:val="22"/>
          <w:lang w:val="sk-SK"/>
        </w:rPr>
        <w:t> </w:t>
      </w:r>
      <w:r w:rsidRPr="00A344BB">
        <w:rPr>
          <w:color w:val="auto"/>
          <w:sz w:val="22"/>
          <w:szCs w:val="22"/>
          <w:lang w:val="sk-SK"/>
        </w:rPr>
        <w:t>200 filmom obalených tabliet.</w:t>
      </w:r>
    </w:p>
    <w:p w14:paraId="1A2D37C3" w14:textId="77777777" w:rsidR="00FA6C17" w:rsidRPr="00A344BB" w:rsidRDefault="00FA6C17" w:rsidP="00EB5620">
      <w:pPr>
        <w:spacing w:line="240" w:lineRule="auto"/>
        <w:jc w:val="both"/>
        <w:rPr>
          <w:szCs w:val="22"/>
        </w:rPr>
      </w:pPr>
    </w:p>
    <w:p w14:paraId="53C0E5AB" w14:textId="77777777" w:rsidR="00676193" w:rsidRPr="00A344BB" w:rsidRDefault="00676193" w:rsidP="00EB5620">
      <w:pPr>
        <w:spacing w:line="240" w:lineRule="auto"/>
        <w:jc w:val="both"/>
        <w:rPr>
          <w:szCs w:val="22"/>
        </w:rPr>
      </w:pPr>
      <w:r w:rsidRPr="00A344BB">
        <w:rPr>
          <w:szCs w:val="22"/>
        </w:rPr>
        <w:t>Na trhu nemusia byť všetky veľkosti balenia.</w:t>
      </w:r>
    </w:p>
    <w:p w14:paraId="2A37A2F2" w14:textId="77777777" w:rsidR="002F07D4" w:rsidRPr="00A344BB" w:rsidRDefault="002F07D4" w:rsidP="00EB5620">
      <w:pPr>
        <w:autoSpaceDE w:val="0"/>
        <w:autoSpaceDN w:val="0"/>
        <w:adjustRightInd w:val="0"/>
        <w:spacing w:line="240" w:lineRule="auto"/>
        <w:rPr>
          <w:szCs w:val="22"/>
        </w:rPr>
      </w:pPr>
    </w:p>
    <w:p w14:paraId="3372DEE1"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6.6 </w:t>
      </w:r>
      <w:r w:rsidRPr="00A344BB">
        <w:rPr>
          <w:b/>
          <w:szCs w:val="22"/>
        </w:rPr>
        <w:tab/>
        <w:t xml:space="preserve">Špeciálne opatrenia na likvidáciu </w:t>
      </w:r>
      <w:r w:rsidR="00A248AB" w:rsidRPr="00A344BB">
        <w:rPr>
          <w:b/>
          <w:szCs w:val="22"/>
        </w:rPr>
        <w:t>a</w:t>
      </w:r>
      <w:r w:rsidR="00EE0356" w:rsidRPr="00A344BB">
        <w:rPr>
          <w:b/>
          <w:szCs w:val="22"/>
        </w:rPr>
        <w:t> </w:t>
      </w:r>
      <w:r w:rsidR="00A248AB" w:rsidRPr="00A344BB">
        <w:rPr>
          <w:b/>
          <w:szCs w:val="22"/>
        </w:rPr>
        <w:t>iné zaobchádzanie s</w:t>
      </w:r>
      <w:r w:rsidR="00EE0356" w:rsidRPr="00A344BB">
        <w:rPr>
          <w:b/>
          <w:szCs w:val="22"/>
        </w:rPr>
        <w:t> </w:t>
      </w:r>
      <w:r w:rsidR="00A248AB" w:rsidRPr="00A344BB">
        <w:rPr>
          <w:b/>
          <w:szCs w:val="22"/>
        </w:rPr>
        <w:t>liekom</w:t>
      </w:r>
    </w:p>
    <w:p w14:paraId="58DD23B8" w14:textId="77777777" w:rsidR="002F07D4" w:rsidRPr="00A344BB" w:rsidRDefault="002F07D4" w:rsidP="00EB5620">
      <w:pPr>
        <w:autoSpaceDE w:val="0"/>
        <w:autoSpaceDN w:val="0"/>
        <w:adjustRightInd w:val="0"/>
        <w:spacing w:line="240" w:lineRule="auto"/>
        <w:rPr>
          <w:szCs w:val="22"/>
        </w:rPr>
      </w:pPr>
    </w:p>
    <w:p w14:paraId="36B03CB6" w14:textId="77777777" w:rsidR="002F07D4" w:rsidRPr="00A344BB" w:rsidRDefault="004A265E" w:rsidP="00EB5620">
      <w:pPr>
        <w:autoSpaceDE w:val="0"/>
        <w:autoSpaceDN w:val="0"/>
        <w:adjustRightInd w:val="0"/>
        <w:spacing w:line="240" w:lineRule="auto"/>
        <w:rPr>
          <w:szCs w:val="22"/>
        </w:rPr>
      </w:pPr>
      <w:r w:rsidRPr="00A344BB">
        <w:rPr>
          <w:szCs w:val="22"/>
        </w:rPr>
        <w:t>Žiadne špeciálne</w:t>
      </w:r>
      <w:r w:rsidR="002F07D4" w:rsidRPr="00A344BB">
        <w:rPr>
          <w:szCs w:val="22"/>
        </w:rPr>
        <w:t xml:space="preserve"> požiadavk</w:t>
      </w:r>
      <w:r w:rsidRPr="00A344BB">
        <w:rPr>
          <w:szCs w:val="22"/>
        </w:rPr>
        <w:t>y</w:t>
      </w:r>
      <w:r w:rsidR="002F07D4" w:rsidRPr="00A344BB">
        <w:rPr>
          <w:szCs w:val="22"/>
        </w:rPr>
        <w:t>.</w:t>
      </w:r>
    </w:p>
    <w:p w14:paraId="2215D70E" w14:textId="77777777" w:rsidR="002F07D4" w:rsidRPr="00A344BB" w:rsidRDefault="00CB43B8" w:rsidP="00EB5620">
      <w:pPr>
        <w:autoSpaceDE w:val="0"/>
        <w:autoSpaceDN w:val="0"/>
        <w:adjustRightInd w:val="0"/>
        <w:spacing w:line="240" w:lineRule="auto"/>
        <w:rPr>
          <w:szCs w:val="22"/>
        </w:rPr>
      </w:pPr>
      <w:r w:rsidRPr="00A344BB">
        <w:rPr>
          <w:szCs w:val="22"/>
        </w:rPr>
        <w:t>Všetok nepoužitý liek alebo odpad vzniknutý z</w:t>
      </w:r>
      <w:r w:rsidR="00EE0356" w:rsidRPr="00A344BB">
        <w:rPr>
          <w:szCs w:val="22"/>
        </w:rPr>
        <w:t> </w:t>
      </w:r>
      <w:r w:rsidRPr="00A344BB">
        <w:rPr>
          <w:szCs w:val="22"/>
        </w:rPr>
        <w:t>lieku sa má zlikvidovať v</w:t>
      </w:r>
      <w:r w:rsidR="00EE0356" w:rsidRPr="00A344BB">
        <w:rPr>
          <w:szCs w:val="22"/>
        </w:rPr>
        <w:t> </w:t>
      </w:r>
      <w:r w:rsidRPr="00A344BB">
        <w:rPr>
          <w:szCs w:val="22"/>
        </w:rPr>
        <w:t>súlade s</w:t>
      </w:r>
      <w:r w:rsidR="00EE0356" w:rsidRPr="00A344BB">
        <w:rPr>
          <w:szCs w:val="22"/>
        </w:rPr>
        <w:t> </w:t>
      </w:r>
      <w:r w:rsidRPr="00A344BB">
        <w:rPr>
          <w:szCs w:val="22"/>
        </w:rPr>
        <w:t>národnými požiadavkami.</w:t>
      </w:r>
    </w:p>
    <w:p w14:paraId="3AE7EBC2" w14:textId="77777777" w:rsidR="002F07D4" w:rsidRPr="00A344BB" w:rsidRDefault="002F07D4" w:rsidP="00EB5620">
      <w:pPr>
        <w:autoSpaceDE w:val="0"/>
        <w:autoSpaceDN w:val="0"/>
        <w:adjustRightInd w:val="0"/>
        <w:spacing w:line="240" w:lineRule="auto"/>
        <w:rPr>
          <w:szCs w:val="22"/>
        </w:rPr>
      </w:pPr>
    </w:p>
    <w:p w14:paraId="6E4C49BD" w14:textId="77777777" w:rsidR="00031849" w:rsidRPr="00A344BB" w:rsidRDefault="00031849" w:rsidP="00EB5620">
      <w:pPr>
        <w:autoSpaceDE w:val="0"/>
        <w:autoSpaceDN w:val="0"/>
        <w:adjustRightInd w:val="0"/>
        <w:spacing w:line="240" w:lineRule="auto"/>
        <w:rPr>
          <w:szCs w:val="22"/>
        </w:rPr>
      </w:pPr>
    </w:p>
    <w:p w14:paraId="7FB5D6CF"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7. </w:t>
      </w:r>
      <w:r w:rsidRPr="00A344BB">
        <w:rPr>
          <w:b/>
          <w:szCs w:val="22"/>
        </w:rPr>
        <w:tab/>
        <w:t>DRŽITEĽ ROZHODNUTIA O</w:t>
      </w:r>
      <w:r w:rsidR="00EE0356" w:rsidRPr="00A344BB">
        <w:rPr>
          <w:b/>
          <w:szCs w:val="22"/>
        </w:rPr>
        <w:t> </w:t>
      </w:r>
      <w:r w:rsidRPr="00A344BB">
        <w:rPr>
          <w:b/>
          <w:szCs w:val="22"/>
        </w:rPr>
        <w:t>REGISTRÁCII</w:t>
      </w:r>
    </w:p>
    <w:p w14:paraId="7DFECCD7" w14:textId="77777777" w:rsidR="002F07D4" w:rsidRPr="00A344BB" w:rsidRDefault="002F07D4" w:rsidP="00EB5620">
      <w:pPr>
        <w:autoSpaceDE w:val="0"/>
        <w:autoSpaceDN w:val="0"/>
        <w:adjustRightInd w:val="0"/>
        <w:spacing w:line="240" w:lineRule="auto"/>
        <w:rPr>
          <w:bCs/>
          <w:szCs w:val="22"/>
        </w:rPr>
      </w:pPr>
    </w:p>
    <w:p w14:paraId="330547DF" w14:textId="77777777" w:rsidR="007D4B8C" w:rsidRPr="00A344BB" w:rsidRDefault="007D4B8C" w:rsidP="00EB5620">
      <w:pPr>
        <w:tabs>
          <w:tab w:val="left" w:pos="426"/>
        </w:tabs>
        <w:suppressAutoHyphens/>
        <w:spacing w:line="240" w:lineRule="auto"/>
        <w:jc w:val="both"/>
        <w:rPr>
          <w:szCs w:val="22"/>
        </w:rPr>
      </w:pPr>
      <w:proofErr w:type="spellStart"/>
      <w:r w:rsidRPr="00A344BB">
        <w:rPr>
          <w:szCs w:val="22"/>
        </w:rPr>
        <w:t>SVUS</w:t>
      </w:r>
      <w:proofErr w:type="spellEnd"/>
      <w:r w:rsidRPr="00A344BB">
        <w:rPr>
          <w:szCs w:val="22"/>
        </w:rPr>
        <w:t xml:space="preserve"> </w:t>
      </w:r>
      <w:proofErr w:type="spellStart"/>
      <w:r w:rsidRPr="00A344BB">
        <w:rPr>
          <w:szCs w:val="22"/>
        </w:rPr>
        <w:t>Pharma</w:t>
      </w:r>
      <w:proofErr w:type="spellEnd"/>
      <w:r w:rsidRPr="00A344BB">
        <w:rPr>
          <w:szCs w:val="22"/>
        </w:rPr>
        <w:t xml:space="preserve"> a.s.</w:t>
      </w:r>
    </w:p>
    <w:p w14:paraId="6CA301E9" w14:textId="77777777" w:rsidR="007D4B8C" w:rsidRPr="00A344BB" w:rsidRDefault="007D4B8C" w:rsidP="00EB5620">
      <w:pPr>
        <w:tabs>
          <w:tab w:val="left" w:pos="426"/>
        </w:tabs>
        <w:suppressAutoHyphens/>
        <w:spacing w:line="240" w:lineRule="auto"/>
        <w:jc w:val="both"/>
        <w:rPr>
          <w:szCs w:val="22"/>
        </w:rPr>
      </w:pPr>
      <w:r w:rsidRPr="00A344BB">
        <w:rPr>
          <w:szCs w:val="22"/>
        </w:rPr>
        <w:t xml:space="preserve">Smetanovo </w:t>
      </w:r>
      <w:proofErr w:type="spellStart"/>
      <w:r w:rsidRPr="00A344BB">
        <w:rPr>
          <w:szCs w:val="22"/>
        </w:rPr>
        <w:t>nábřeží</w:t>
      </w:r>
      <w:proofErr w:type="spellEnd"/>
      <w:r w:rsidRPr="00A344BB">
        <w:rPr>
          <w:szCs w:val="22"/>
        </w:rPr>
        <w:t xml:space="preserve"> 1238/20a, 500 02 Hradec Králové, Česká republika</w:t>
      </w:r>
    </w:p>
    <w:p w14:paraId="448D47EC" w14:textId="77777777" w:rsidR="004A265E" w:rsidRPr="00A344BB" w:rsidRDefault="004A265E" w:rsidP="00EB5620">
      <w:pPr>
        <w:tabs>
          <w:tab w:val="left" w:pos="426"/>
        </w:tabs>
        <w:suppressAutoHyphens/>
        <w:spacing w:line="240" w:lineRule="auto"/>
        <w:jc w:val="both"/>
        <w:rPr>
          <w:spacing w:val="-3"/>
          <w:szCs w:val="22"/>
        </w:rPr>
      </w:pPr>
    </w:p>
    <w:p w14:paraId="7B0D015F" w14:textId="77777777" w:rsidR="002F07D4" w:rsidRPr="00A344BB" w:rsidRDefault="002F07D4" w:rsidP="00EB5620">
      <w:pPr>
        <w:autoSpaceDE w:val="0"/>
        <w:autoSpaceDN w:val="0"/>
        <w:adjustRightInd w:val="0"/>
        <w:spacing w:line="240" w:lineRule="auto"/>
        <w:rPr>
          <w:szCs w:val="22"/>
        </w:rPr>
      </w:pPr>
    </w:p>
    <w:p w14:paraId="3CFA9525"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8. </w:t>
      </w:r>
      <w:r w:rsidRPr="00A344BB">
        <w:rPr>
          <w:b/>
          <w:szCs w:val="22"/>
        </w:rPr>
        <w:tab/>
        <w:t>REGISTRAČNÉ ČÍSLO</w:t>
      </w:r>
    </w:p>
    <w:p w14:paraId="74387B30" w14:textId="77777777" w:rsidR="002F07D4" w:rsidRPr="00A344BB" w:rsidRDefault="002F07D4" w:rsidP="00EB5620">
      <w:pPr>
        <w:autoSpaceDE w:val="0"/>
        <w:autoSpaceDN w:val="0"/>
        <w:adjustRightInd w:val="0"/>
        <w:spacing w:line="240" w:lineRule="auto"/>
        <w:rPr>
          <w:bCs/>
          <w:szCs w:val="22"/>
        </w:rPr>
      </w:pPr>
    </w:p>
    <w:p w14:paraId="35DADCF8" w14:textId="77777777" w:rsidR="00FA6C17" w:rsidRPr="00A344BB" w:rsidRDefault="00B54061" w:rsidP="00EB5620">
      <w:pPr>
        <w:autoSpaceDE w:val="0"/>
        <w:autoSpaceDN w:val="0"/>
        <w:adjustRightInd w:val="0"/>
        <w:spacing w:line="240" w:lineRule="auto"/>
        <w:rPr>
          <w:bCs/>
          <w:szCs w:val="22"/>
        </w:rPr>
      </w:pPr>
      <w:proofErr w:type="spellStart"/>
      <w:r w:rsidRPr="00A344BB">
        <w:rPr>
          <w:bCs/>
          <w:szCs w:val="22"/>
        </w:rPr>
        <w:t>P</w:t>
      </w:r>
      <w:r w:rsidR="00FA6C17" w:rsidRPr="00A344BB">
        <w:rPr>
          <w:bCs/>
          <w:szCs w:val="22"/>
        </w:rPr>
        <w:t>TEROCYN</w:t>
      </w:r>
      <w:proofErr w:type="spellEnd"/>
      <w:r w:rsidR="00FA6C17" w:rsidRPr="00A344BB">
        <w:rPr>
          <w:bCs/>
          <w:szCs w:val="22"/>
        </w:rPr>
        <w:t xml:space="preserve"> 250 mg: 21/0009/13-S</w:t>
      </w:r>
    </w:p>
    <w:p w14:paraId="285BEBBD" w14:textId="77777777" w:rsidR="00FA6C17" w:rsidRPr="00A344BB" w:rsidRDefault="00FA6C17" w:rsidP="00EB5620">
      <w:pPr>
        <w:autoSpaceDE w:val="0"/>
        <w:autoSpaceDN w:val="0"/>
        <w:adjustRightInd w:val="0"/>
        <w:spacing w:line="240" w:lineRule="auto"/>
        <w:rPr>
          <w:bCs/>
          <w:szCs w:val="22"/>
        </w:rPr>
      </w:pPr>
      <w:proofErr w:type="spellStart"/>
      <w:r w:rsidRPr="00A344BB">
        <w:rPr>
          <w:bCs/>
          <w:szCs w:val="22"/>
        </w:rPr>
        <w:t>PTEROCYN</w:t>
      </w:r>
      <w:proofErr w:type="spellEnd"/>
      <w:r w:rsidRPr="00A344BB">
        <w:rPr>
          <w:bCs/>
          <w:szCs w:val="22"/>
        </w:rPr>
        <w:t xml:space="preserve"> 5</w:t>
      </w:r>
      <w:r w:rsidR="00175367" w:rsidRPr="00A344BB">
        <w:rPr>
          <w:bCs/>
          <w:szCs w:val="22"/>
        </w:rPr>
        <w:t>0</w:t>
      </w:r>
      <w:r w:rsidRPr="00A344BB">
        <w:rPr>
          <w:bCs/>
          <w:szCs w:val="22"/>
        </w:rPr>
        <w:t>0 mg: 21/0010/13-S</w:t>
      </w:r>
    </w:p>
    <w:p w14:paraId="696F7CBC" w14:textId="77777777" w:rsidR="00175367" w:rsidRPr="00A344BB" w:rsidRDefault="00175367" w:rsidP="00EB5620">
      <w:pPr>
        <w:autoSpaceDE w:val="0"/>
        <w:autoSpaceDN w:val="0"/>
        <w:adjustRightInd w:val="0"/>
        <w:spacing w:line="240" w:lineRule="auto"/>
        <w:rPr>
          <w:bCs/>
          <w:szCs w:val="22"/>
        </w:rPr>
      </w:pPr>
      <w:proofErr w:type="spellStart"/>
      <w:r w:rsidRPr="00A344BB">
        <w:rPr>
          <w:bCs/>
          <w:szCs w:val="22"/>
        </w:rPr>
        <w:t>PTEROCYN</w:t>
      </w:r>
      <w:proofErr w:type="spellEnd"/>
      <w:r w:rsidRPr="00A344BB">
        <w:rPr>
          <w:bCs/>
          <w:szCs w:val="22"/>
        </w:rPr>
        <w:t xml:space="preserve"> 1000 mg: 21/0012/13-S</w:t>
      </w:r>
    </w:p>
    <w:p w14:paraId="751138A5" w14:textId="77777777" w:rsidR="00C13EF8" w:rsidRPr="00A344BB" w:rsidRDefault="00C13EF8" w:rsidP="00EB5620">
      <w:pPr>
        <w:autoSpaceDE w:val="0"/>
        <w:autoSpaceDN w:val="0"/>
        <w:adjustRightInd w:val="0"/>
        <w:spacing w:line="240" w:lineRule="auto"/>
        <w:rPr>
          <w:bCs/>
          <w:szCs w:val="22"/>
        </w:rPr>
      </w:pPr>
    </w:p>
    <w:p w14:paraId="30B717EA" w14:textId="77777777" w:rsidR="002F07D4" w:rsidRPr="00A344BB" w:rsidRDefault="002F07D4" w:rsidP="00EB5620">
      <w:pPr>
        <w:autoSpaceDE w:val="0"/>
        <w:autoSpaceDN w:val="0"/>
        <w:adjustRightInd w:val="0"/>
        <w:spacing w:line="240" w:lineRule="auto"/>
        <w:rPr>
          <w:szCs w:val="22"/>
        </w:rPr>
      </w:pPr>
    </w:p>
    <w:p w14:paraId="7B1D3D27" w14:textId="77777777" w:rsidR="002F07D4" w:rsidRPr="00A344BB" w:rsidRDefault="002F07D4" w:rsidP="00EB5620">
      <w:pPr>
        <w:autoSpaceDE w:val="0"/>
        <w:autoSpaceDN w:val="0"/>
        <w:adjustRightInd w:val="0"/>
        <w:spacing w:line="240" w:lineRule="auto"/>
        <w:rPr>
          <w:b/>
          <w:bCs/>
          <w:szCs w:val="22"/>
        </w:rPr>
      </w:pPr>
      <w:r w:rsidRPr="00A344BB">
        <w:rPr>
          <w:b/>
          <w:szCs w:val="22"/>
        </w:rPr>
        <w:t xml:space="preserve">9. </w:t>
      </w:r>
      <w:r w:rsidRPr="00A344BB">
        <w:rPr>
          <w:b/>
          <w:szCs w:val="22"/>
        </w:rPr>
        <w:tab/>
        <w:t>DÁTUM PRVEJ REGISTRÁCIE/ PREDĹŽENIA REGISTRÁCIE</w:t>
      </w:r>
    </w:p>
    <w:p w14:paraId="2BBFF682" w14:textId="77777777" w:rsidR="002F07D4" w:rsidRPr="00A344BB" w:rsidRDefault="002F07D4" w:rsidP="00EB5620">
      <w:pPr>
        <w:autoSpaceDE w:val="0"/>
        <w:autoSpaceDN w:val="0"/>
        <w:adjustRightInd w:val="0"/>
        <w:spacing w:line="240" w:lineRule="auto"/>
        <w:rPr>
          <w:bCs/>
          <w:szCs w:val="22"/>
        </w:rPr>
      </w:pPr>
    </w:p>
    <w:p w14:paraId="7E609E15" w14:textId="61C38040" w:rsidR="00CB43B8" w:rsidRPr="00A344BB" w:rsidRDefault="00EE0356" w:rsidP="00EB5620">
      <w:pPr>
        <w:autoSpaceDE w:val="0"/>
        <w:autoSpaceDN w:val="0"/>
        <w:adjustRightInd w:val="0"/>
        <w:spacing w:line="240" w:lineRule="auto"/>
        <w:rPr>
          <w:bCs/>
          <w:szCs w:val="22"/>
        </w:rPr>
      </w:pPr>
      <w:r w:rsidRPr="00A344BB">
        <w:rPr>
          <w:bCs/>
          <w:szCs w:val="22"/>
        </w:rPr>
        <w:t xml:space="preserve">Dátum prvej registrácie: </w:t>
      </w:r>
      <w:r w:rsidR="00854333" w:rsidRPr="00A344BB">
        <w:rPr>
          <w:bCs/>
          <w:szCs w:val="22"/>
        </w:rPr>
        <w:t>18</w:t>
      </w:r>
      <w:r w:rsidR="00CB43B8" w:rsidRPr="00A344BB">
        <w:rPr>
          <w:bCs/>
          <w:szCs w:val="22"/>
        </w:rPr>
        <w:t>.01.2013</w:t>
      </w:r>
    </w:p>
    <w:p w14:paraId="5B9D890F" w14:textId="77777777" w:rsidR="002F07D4" w:rsidRPr="00A344BB" w:rsidRDefault="002F07D4" w:rsidP="00EB5620">
      <w:pPr>
        <w:autoSpaceDE w:val="0"/>
        <w:autoSpaceDN w:val="0"/>
        <w:adjustRightInd w:val="0"/>
        <w:spacing w:line="240" w:lineRule="auto"/>
        <w:rPr>
          <w:szCs w:val="22"/>
        </w:rPr>
      </w:pPr>
    </w:p>
    <w:p w14:paraId="459FE0FC" w14:textId="77777777" w:rsidR="00031849" w:rsidRPr="00A344BB" w:rsidRDefault="00031849" w:rsidP="00EB5620">
      <w:pPr>
        <w:autoSpaceDE w:val="0"/>
        <w:autoSpaceDN w:val="0"/>
        <w:adjustRightInd w:val="0"/>
        <w:spacing w:line="240" w:lineRule="auto"/>
        <w:rPr>
          <w:szCs w:val="22"/>
        </w:rPr>
      </w:pPr>
    </w:p>
    <w:p w14:paraId="218709E7" w14:textId="77777777" w:rsidR="002F07D4" w:rsidRPr="00A344BB" w:rsidRDefault="002F07D4" w:rsidP="00EB5620">
      <w:pPr>
        <w:spacing w:line="240" w:lineRule="auto"/>
        <w:rPr>
          <w:b/>
          <w:bCs/>
          <w:szCs w:val="22"/>
        </w:rPr>
      </w:pPr>
      <w:r w:rsidRPr="00A344BB">
        <w:rPr>
          <w:b/>
          <w:szCs w:val="22"/>
        </w:rPr>
        <w:t xml:space="preserve">10. </w:t>
      </w:r>
      <w:r w:rsidRPr="00A344BB">
        <w:rPr>
          <w:b/>
          <w:szCs w:val="22"/>
        </w:rPr>
        <w:tab/>
        <w:t>DÁTUM REVÍZIE TEXTU</w:t>
      </w:r>
    </w:p>
    <w:p w14:paraId="54939B0A" w14:textId="77777777" w:rsidR="00CB43B8" w:rsidRPr="00A344BB" w:rsidRDefault="00CB43B8" w:rsidP="00EB5620">
      <w:pPr>
        <w:spacing w:line="240" w:lineRule="auto"/>
        <w:rPr>
          <w:bCs/>
          <w:szCs w:val="22"/>
        </w:rPr>
      </w:pPr>
    </w:p>
    <w:p w14:paraId="3DAFAA58" w14:textId="22B85179" w:rsidR="00031849" w:rsidRPr="00A344BB" w:rsidRDefault="00AB18D2" w:rsidP="00EB5620">
      <w:pPr>
        <w:spacing w:line="240" w:lineRule="auto"/>
        <w:rPr>
          <w:bCs/>
          <w:szCs w:val="22"/>
        </w:rPr>
      </w:pPr>
      <w:r w:rsidRPr="00A344BB">
        <w:rPr>
          <w:bCs/>
          <w:szCs w:val="22"/>
        </w:rPr>
        <w:t>01/201</w:t>
      </w:r>
      <w:r w:rsidR="0096391B" w:rsidRPr="00A344BB">
        <w:rPr>
          <w:bCs/>
          <w:szCs w:val="22"/>
        </w:rPr>
        <w:t>9</w:t>
      </w:r>
    </w:p>
    <w:sectPr w:rsidR="00031849" w:rsidRPr="00A344BB" w:rsidSect="0096391B">
      <w:headerReference w:type="default" r:id="rId10"/>
      <w:footerReference w:type="default" r:id="rId11"/>
      <w:headerReference w:type="first" r:id="rId12"/>
      <w:pgSz w:w="12240" w:h="15840" w:code="1"/>
      <w:pgMar w:top="1418" w:right="1418" w:bottom="1418" w:left="1418" w:header="85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96B8D" w14:textId="77777777" w:rsidR="00DE4DDA" w:rsidRDefault="00DE4DDA" w:rsidP="002F07D4">
      <w:pPr>
        <w:spacing w:line="240" w:lineRule="auto"/>
      </w:pPr>
      <w:r>
        <w:separator/>
      </w:r>
    </w:p>
  </w:endnote>
  <w:endnote w:type="continuationSeparator" w:id="0">
    <w:p w14:paraId="50606636" w14:textId="77777777" w:rsidR="00DE4DDA" w:rsidRDefault="00DE4DDA" w:rsidP="002F07D4">
      <w:pPr>
        <w:spacing w:line="240" w:lineRule="auto"/>
      </w:pPr>
      <w:r>
        <w:continuationSeparator/>
      </w:r>
    </w:p>
  </w:endnote>
  <w:endnote w:type="continuationNotice" w:id="1">
    <w:p w14:paraId="1124853A" w14:textId="77777777" w:rsidR="00DE4DDA" w:rsidRDefault="00DE4D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Times New Roman"/>
    <w:panose1 w:val="00000000000000000000"/>
    <w:charset w:val="A1"/>
    <w:family w:val="auto"/>
    <w:notTrueType/>
    <w:pitch w:val="default"/>
    <w:sig w:usb0="00000081" w:usb1="00000000" w:usb2="00000000" w:usb3="00000000" w:csb0="00000008"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Schoolbook">
    <w:panose1 w:val="0204060405050502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42337"/>
      <w:docPartObj>
        <w:docPartGallery w:val="Page Numbers (Bottom of Page)"/>
        <w:docPartUnique/>
      </w:docPartObj>
    </w:sdtPr>
    <w:sdtEndPr>
      <w:rPr>
        <w:sz w:val="18"/>
        <w:szCs w:val="18"/>
      </w:rPr>
    </w:sdtEndPr>
    <w:sdtContent>
      <w:p w14:paraId="4301D854" w14:textId="59619986" w:rsidR="00DE4DDA" w:rsidRPr="0096391B" w:rsidRDefault="00DE4DDA">
        <w:pPr>
          <w:pStyle w:val="Pta"/>
          <w:jc w:val="center"/>
          <w:rPr>
            <w:sz w:val="18"/>
            <w:szCs w:val="18"/>
          </w:rPr>
        </w:pPr>
        <w:r w:rsidRPr="0096391B">
          <w:rPr>
            <w:sz w:val="18"/>
            <w:szCs w:val="18"/>
          </w:rPr>
          <w:fldChar w:fldCharType="begin"/>
        </w:r>
        <w:r w:rsidRPr="0096391B">
          <w:rPr>
            <w:sz w:val="18"/>
            <w:szCs w:val="18"/>
          </w:rPr>
          <w:instrText>PAGE   \* MERGEFORMAT</w:instrText>
        </w:r>
        <w:r w:rsidRPr="0096391B">
          <w:rPr>
            <w:sz w:val="18"/>
            <w:szCs w:val="18"/>
          </w:rPr>
          <w:fldChar w:fldCharType="separate"/>
        </w:r>
        <w:r w:rsidR="00A344BB">
          <w:rPr>
            <w:noProof/>
            <w:sz w:val="18"/>
            <w:szCs w:val="18"/>
          </w:rPr>
          <w:t>15</w:t>
        </w:r>
        <w:r w:rsidRPr="0096391B">
          <w:rPr>
            <w:sz w:val="18"/>
            <w:szCs w:val="18"/>
          </w:rPr>
          <w:fldChar w:fldCharType="end"/>
        </w:r>
      </w:p>
    </w:sdtContent>
  </w:sdt>
  <w:p w14:paraId="7E8AE7C4" w14:textId="77777777" w:rsidR="00DE4DDA" w:rsidRDefault="00DE4DD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C0D5D" w14:textId="77777777" w:rsidR="00DE4DDA" w:rsidRDefault="00DE4DDA" w:rsidP="002F07D4">
      <w:pPr>
        <w:spacing w:line="240" w:lineRule="auto"/>
      </w:pPr>
      <w:r>
        <w:separator/>
      </w:r>
    </w:p>
  </w:footnote>
  <w:footnote w:type="continuationSeparator" w:id="0">
    <w:p w14:paraId="56AA2E34" w14:textId="77777777" w:rsidR="00DE4DDA" w:rsidRDefault="00DE4DDA" w:rsidP="002F07D4">
      <w:pPr>
        <w:spacing w:line="240" w:lineRule="auto"/>
      </w:pPr>
      <w:r>
        <w:continuationSeparator/>
      </w:r>
    </w:p>
  </w:footnote>
  <w:footnote w:type="continuationNotice" w:id="1">
    <w:p w14:paraId="4D280DBF" w14:textId="77777777" w:rsidR="00DE4DDA" w:rsidRDefault="00DE4DD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4AC34" w14:textId="39D01D51" w:rsidR="00DE4DDA" w:rsidRDefault="00DE4DDA">
    <w:pPr>
      <w:pStyle w:val="Hlavika"/>
      <w:rPr>
        <w:sz w:val="18"/>
        <w:szCs w:val="18"/>
      </w:rPr>
    </w:pPr>
    <w:r w:rsidRPr="0096391B">
      <w:rPr>
        <w:sz w:val="18"/>
        <w:szCs w:val="18"/>
      </w:rPr>
      <w:t xml:space="preserve">Príloha č. </w:t>
    </w:r>
    <w:r w:rsidRPr="00DE4DDA">
      <w:rPr>
        <w:sz w:val="18"/>
        <w:szCs w:val="18"/>
      </w:rPr>
      <w:t xml:space="preserve">1 k notifikácii o zmene, </w:t>
    </w:r>
    <w:proofErr w:type="spellStart"/>
    <w:r w:rsidRPr="00DE4DDA">
      <w:rPr>
        <w:sz w:val="18"/>
        <w:szCs w:val="18"/>
      </w:rPr>
      <w:t>ev.č</w:t>
    </w:r>
    <w:proofErr w:type="spellEnd"/>
    <w:r>
      <w:rPr>
        <w:sz w:val="18"/>
        <w:szCs w:val="18"/>
      </w:rPr>
      <w:t xml:space="preserve">.: </w:t>
    </w:r>
    <w:r w:rsidRPr="0096391B">
      <w:rPr>
        <w:sz w:val="18"/>
        <w:szCs w:val="18"/>
      </w:rPr>
      <w:t>2017/</w:t>
    </w:r>
    <w:proofErr w:type="spellStart"/>
    <w:r w:rsidRPr="0096391B">
      <w:rPr>
        <w:sz w:val="18"/>
        <w:szCs w:val="18"/>
      </w:rPr>
      <w:t>03148-ZIA</w:t>
    </w:r>
    <w:proofErr w:type="spellEnd"/>
  </w:p>
  <w:p w14:paraId="158EADB6" w14:textId="0001764F" w:rsidR="00DE4DDA" w:rsidRPr="0096391B" w:rsidRDefault="00DE4DDA">
    <w:pPr>
      <w:pStyle w:val="Hlavika"/>
      <w:rPr>
        <w:sz w:val="18"/>
        <w:szCs w:val="18"/>
      </w:rPr>
    </w:pPr>
    <w:r w:rsidRPr="00AA3FD2">
      <w:rPr>
        <w:sz w:val="18"/>
        <w:szCs w:val="18"/>
      </w:rPr>
      <w:t>Príloha č.</w:t>
    </w:r>
    <w:r>
      <w:rPr>
        <w:sz w:val="18"/>
        <w:szCs w:val="18"/>
      </w:rPr>
      <w:t xml:space="preserve"> 1 k notifikácii o zmene, </w:t>
    </w:r>
    <w:proofErr w:type="spellStart"/>
    <w:r>
      <w:rPr>
        <w:sz w:val="18"/>
        <w:szCs w:val="18"/>
      </w:rPr>
      <w:t>ev.č</w:t>
    </w:r>
    <w:proofErr w:type="spellEnd"/>
    <w:r>
      <w:rPr>
        <w:sz w:val="18"/>
        <w:szCs w:val="18"/>
      </w:rPr>
      <w:t>.: 2018/</w:t>
    </w:r>
    <w:proofErr w:type="spellStart"/>
    <w:r>
      <w:rPr>
        <w:sz w:val="18"/>
        <w:szCs w:val="18"/>
      </w:rPr>
      <w:t>05419-ZIB</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6D866" w14:textId="77777777" w:rsidR="00DE4DDA" w:rsidRDefault="00DE4DD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07994"/>
    <w:multiLevelType w:val="hybridMultilevel"/>
    <w:tmpl w:val="3D58DCB8"/>
    <w:lvl w:ilvl="0" w:tplc="58787982">
      <w:start w:val="4"/>
      <w:numFmt w:val="bullet"/>
      <w:lvlText w:val="-"/>
      <w:lvlJc w:val="left"/>
      <w:pPr>
        <w:ind w:left="720" w:hanging="360"/>
      </w:pPr>
      <w:rPr>
        <w:rFonts w:ascii="Times New Roman" w:eastAsia="Times New Roman" w:hAnsi="Times New Roman" w:cs="Times New Roman" w:hint="default"/>
      </w:rPr>
    </w:lvl>
    <w:lvl w:ilvl="1" w:tplc="D90400F4" w:tentative="1">
      <w:start w:val="1"/>
      <w:numFmt w:val="bullet"/>
      <w:lvlText w:val="o"/>
      <w:lvlJc w:val="left"/>
      <w:pPr>
        <w:ind w:left="1440" w:hanging="360"/>
      </w:pPr>
      <w:rPr>
        <w:rFonts w:ascii="Courier New" w:hAnsi="Courier New" w:cs="Courier New" w:hint="default"/>
      </w:rPr>
    </w:lvl>
    <w:lvl w:ilvl="2" w:tplc="E58CEDD8" w:tentative="1">
      <w:start w:val="1"/>
      <w:numFmt w:val="bullet"/>
      <w:lvlText w:val=""/>
      <w:lvlJc w:val="left"/>
      <w:pPr>
        <w:ind w:left="2160" w:hanging="360"/>
      </w:pPr>
      <w:rPr>
        <w:rFonts w:ascii="Wingdings" w:hAnsi="Wingdings" w:hint="default"/>
      </w:rPr>
    </w:lvl>
    <w:lvl w:ilvl="3" w:tplc="2996AC60" w:tentative="1">
      <w:start w:val="1"/>
      <w:numFmt w:val="bullet"/>
      <w:lvlText w:val=""/>
      <w:lvlJc w:val="left"/>
      <w:pPr>
        <w:ind w:left="2880" w:hanging="360"/>
      </w:pPr>
      <w:rPr>
        <w:rFonts w:ascii="Symbol" w:hAnsi="Symbol" w:hint="default"/>
      </w:rPr>
    </w:lvl>
    <w:lvl w:ilvl="4" w:tplc="5A18BE9E" w:tentative="1">
      <w:start w:val="1"/>
      <w:numFmt w:val="bullet"/>
      <w:lvlText w:val="o"/>
      <w:lvlJc w:val="left"/>
      <w:pPr>
        <w:ind w:left="3600" w:hanging="360"/>
      </w:pPr>
      <w:rPr>
        <w:rFonts w:ascii="Courier New" w:hAnsi="Courier New" w:cs="Courier New" w:hint="default"/>
      </w:rPr>
    </w:lvl>
    <w:lvl w:ilvl="5" w:tplc="6D3AA892" w:tentative="1">
      <w:start w:val="1"/>
      <w:numFmt w:val="bullet"/>
      <w:lvlText w:val=""/>
      <w:lvlJc w:val="left"/>
      <w:pPr>
        <w:ind w:left="4320" w:hanging="360"/>
      </w:pPr>
      <w:rPr>
        <w:rFonts w:ascii="Wingdings" w:hAnsi="Wingdings" w:hint="default"/>
      </w:rPr>
    </w:lvl>
    <w:lvl w:ilvl="6" w:tplc="5E323FBA" w:tentative="1">
      <w:start w:val="1"/>
      <w:numFmt w:val="bullet"/>
      <w:lvlText w:val=""/>
      <w:lvlJc w:val="left"/>
      <w:pPr>
        <w:ind w:left="5040" w:hanging="360"/>
      </w:pPr>
      <w:rPr>
        <w:rFonts w:ascii="Symbol" w:hAnsi="Symbol" w:hint="default"/>
      </w:rPr>
    </w:lvl>
    <w:lvl w:ilvl="7" w:tplc="2E283054" w:tentative="1">
      <w:start w:val="1"/>
      <w:numFmt w:val="bullet"/>
      <w:lvlText w:val="o"/>
      <w:lvlJc w:val="left"/>
      <w:pPr>
        <w:ind w:left="5760" w:hanging="360"/>
      </w:pPr>
      <w:rPr>
        <w:rFonts w:ascii="Courier New" w:hAnsi="Courier New" w:cs="Courier New" w:hint="default"/>
      </w:rPr>
    </w:lvl>
    <w:lvl w:ilvl="8" w:tplc="637039B4" w:tentative="1">
      <w:start w:val="1"/>
      <w:numFmt w:val="bullet"/>
      <w:lvlText w:val=""/>
      <w:lvlJc w:val="left"/>
      <w:pPr>
        <w:ind w:left="6480" w:hanging="360"/>
      </w:pPr>
      <w:rPr>
        <w:rFonts w:ascii="Wingdings" w:hAnsi="Wingdings" w:hint="default"/>
      </w:rPr>
    </w:lvl>
  </w:abstractNum>
  <w:abstractNum w:abstractNumId="1">
    <w:nsid w:val="1D882C1A"/>
    <w:multiLevelType w:val="hybridMultilevel"/>
    <w:tmpl w:val="4EA0B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83A79AF"/>
    <w:multiLevelType w:val="hybridMultilevel"/>
    <w:tmpl w:val="DEBED09A"/>
    <w:lvl w:ilvl="0" w:tplc="C5F87702">
      <w:numFmt w:val="bullet"/>
      <w:lvlText w:val="-"/>
      <w:lvlJc w:val="left"/>
      <w:pPr>
        <w:tabs>
          <w:tab w:val="num" w:pos="384"/>
        </w:tabs>
        <w:ind w:left="384" w:hanging="369"/>
      </w:pPr>
      <w:rPr>
        <w:rFonts w:ascii="Times New Roman" w:eastAsia="Times New Roman" w:hAnsi="Times New Roman" w:cs="Times New Roman" w:hint="default"/>
      </w:rPr>
    </w:lvl>
    <w:lvl w:ilvl="1" w:tplc="07EE9972" w:tentative="1">
      <w:start w:val="1"/>
      <w:numFmt w:val="bullet"/>
      <w:lvlText w:val="o"/>
      <w:lvlJc w:val="left"/>
      <w:pPr>
        <w:tabs>
          <w:tab w:val="num" w:pos="1440"/>
        </w:tabs>
        <w:ind w:left="1440" w:hanging="360"/>
      </w:pPr>
      <w:rPr>
        <w:rFonts w:ascii="Courier New" w:hAnsi="Courier New" w:hint="default"/>
      </w:rPr>
    </w:lvl>
    <w:lvl w:ilvl="2" w:tplc="119E5C46" w:tentative="1">
      <w:start w:val="1"/>
      <w:numFmt w:val="bullet"/>
      <w:lvlText w:val=""/>
      <w:lvlJc w:val="left"/>
      <w:pPr>
        <w:tabs>
          <w:tab w:val="num" w:pos="2160"/>
        </w:tabs>
        <w:ind w:left="2160" w:hanging="360"/>
      </w:pPr>
      <w:rPr>
        <w:rFonts w:ascii="Wingdings" w:hAnsi="Wingdings" w:hint="default"/>
      </w:rPr>
    </w:lvl>
    <w:lvl w:ilvl="3" w:tplc="64C8B2D0" w:tentative="1">
      <w:start w:val="1"/>
      <w:numFmt w:val="bullet"/>
      <w:lvlText w:val=""/>
      <w:lvlJc w:val="left"/>
      <w:pPr>
        <w:tabs>
          <w:tab w:val="num" w:pos="2880"/>
        </w:tabs>
        <w:ind w:left="2880" w:hanging="360"/>
      </w:pPr>
      <w:rPr>
        <w:rFonts w:ascii="Symbol" w:hAnsi="Symbol" w:hint="default"/>
      </w:rPr>
    </w:lvl>
    <w:lvl w:ilvl="4" w:tplc="535698D2" w:tentative="1">
      <w:start w:val="1"/>
      <w:numFmt w:val="bullet"/>
      <w:lvlText w:val="o"/>
      <w:lvlJc w:val="left"/>
      <w:pPr>
        <w:tabs>
          <w:tab w:val="num" w:pos="3600"/>
        </w:tabs>
        <w:ind w:left="3600" w:hanging="360"/>
      </w:pPr>
      <w:rPr>
        <w:rFonts w:ascii="Courier New" w:hAnsi="Courier New" w:hint="default"/>
      </w:rPr>
    </w:lvl>
    <w:lvl w:ilvl="5" w:tplc="1D5A86F0" w:tentative="1">
      <w:start w:val="1"/>
      <w:numFmt w:val="bullet"/>
      <w:lvlText w:val=""/>
      <w:lvlJc w:val="left"/>
      <w:pPr>
        <w:tabs>
          <w:tab w:val="num" w:pos="4320"/>
        </w:tabs>
        <w:ind w:left="4320" w:hanging="360"/>
      </w:pPr>
      <w:rPr>
        <w:rFonts w:ascii="Wingdings" w:hAnsi="Wingdings" w:hint="default"/>
      </w:rPr>
    </w:lvl>
    <w:lvl w:ilvl="6" w:tplc="0EBA3206" w:tentative="1">
      <w:start w:val="1"/>
      <w:numFmt w:val="bullet"/>
      <w:lvlText w:val=""/>
      <w:lvlJc w:val="left"/>
      <w:pPr>
        <w:tabs>
          <w:tab w:val="num" w:pos="5040"/>
        </w:tabs>
        <w:ind w:left="5040" w:hanging="360"/>
      </w:pPr>
      <w:rPr>
        <w:rFonts w:ascii="Symbol" w:hAnsi="Symbol" w:hint="default"/>
      </w:rPr>
    </w:lvl>
    <w:lvl w:ilvl="7" w:tplc="6456A33C" w:tentative="1">
      <w:start w:val="1"/>
      <w:numFmt w:val="bullet"/>
      <w:lvlText w:val="o"/>
      <w:lvlJc w:val="left"/>
      <w:pPr>
        <w:tabs>
          <w:tab w:val="num" w:pos="5760"/>
        </w:tabs>
        <w:ind w:left="5760" w:hanging="360"/>
      </w:pPr>
      <w:rPr>
        <w:rFonts w:ascii="Courier New" w:hAnsi="Courier New" w:hint="default"/>
      </w:rPr>
    </w:lvl>
    <w:lvl w:ilvl="8" w:tplc="C0EE148A" w:tentative="1">
      <w:start w:val="1"/>
      <w:numFmt w:val="bullet"/>
      <w:lvlText w:val=""/>
      <w:lvlJc w:val="left"/>
      <w:pPr>
        <w:tabs>
          <w:tab w:val="num" w:pos="6480"/>
        </w:tabs>
        <w:ind w:left="6480" w:hanging="360"/>
      </w:pPr>
      <w:rPr>
        <w:rFonts w:ascii="Wingdings" w:hAnsi="Wingdings" w:hint="default"/>
      </w:rPr>
    </w:lvl>
  </w:abstractNum>
  <w:abstractNum w:abstractNumId="3">
    <w:nsid w:val="29294F08"/>
    <w:multiLevelType w:val="hybridMultilevel"/>
    <w:tmpl w:val="F748244A"/>
    <w:lvl w:ilvl="0" w:tplc="90DCEAA2">
      <w:numFmt w:val="bullet"/>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FB43E88"/>
    <w:multiLevelType w:val="hybridMultilevel"/>
    <w:tmpl w:val="98E4C7D8"/>
    <w:lvl w:ilvl="0" w:tplc="CF2C4022">
      <w:start w:val="1"/>
      <w:numFmt w:val="decimal"/>
      <w:lvlText w:val="%1."/>
      <w:lvlJc w:val="left"/>
      <w:pPr>
        <w:ind w:left="360" w:hanging="360"/>
      </w:pPr>
      <w:rPr>
        <w:rFonts w:hint="default"/>
      </w:rPr>
    </w:lvl>
    <w:lvl w:ilvl="1" w:tplc="E58CE7EE" w:tentative="1">
      <w:start w:val="1"/>
      <w:numFmt w:val="lowerLetter"/>
      <w:lvlText w:val="%2."/>
      <w:lvlJc w:val="left"/>
      <w:pPr>
        <w:ind w:left="1080" w:hanging="360"/>
      </w:pPr>
    </w:lvl>
    <w:lvl w:ilvl="2" w:tplc="27E02F66" w:tentative="1">
      <w:start w:val="1"/>
      <w:numFmt w:val="lowerRoman"/>
      <w:lvlText w:val="%3."/>
      <w:lvlJc w:val="right"/>
      <w:pPr>
        <w:ind w:left="1800" w:hanging="180"/>
      </w:pPr>
    </w:lvl>
    <w:lvl w:ilvl="3" w:tplc="AF74A93A" w:tentative="1">
      <w:start w:val="1"/>
      <w:numFmt w:val="decimal"/>
      <w:lvlText w:val="%4."/>
      <w:lvlJc w:val="left"/>
      <w:pPr>
        <w:ind w:left="2520" w:hanging="360"/>
      </w:pPr>
    </w:lvl>
    <w:lvl w:ilvl="4" w:tplc="92D807DE" w:tentative="1">
      <w:start w:val="1"/>
      <w:numFmt w:val="lowerLetter"/>
      <w:lvlText w:val="%5."/>
      <w:lvlJc w:val="left"/>
      <w:pPr>
        <w:ind w:left="3240" w:hanging="360"/>
      </w:pPr>
    </w:lvl>
    <w:lvl w:ilvl="5" w:tplc="1A1E5BEA" w:tentative="1">
      <w:start w:val="1"/>
      <w:numFmt w:val="lowerRoman"/>
      <w:lvlText w:val="%6."/>
      <w:lvlJc w:val="right"/>
      <w:pPr>
        <w:ind w:left="3960" w:hanging="180"/>
      </w:pPr>
    </w:lvl>
    <w:lvl w:ilvl="6" w:tplc="9970EE74" w:tentative="1">
      <w:start w:val="1"/>
      <w:numFmt w:val="decimal"/>
      <w:lvlText w:val="%7."/>
      <w:lvlJc w:val="left"/>
      <w:pPr>
        <w:ind w:left="4680" w:hanging="360"/>
      </w:pPr>
    </w:lvl>
    <w:lvl w:ilvl="7" w:tplc="99E8F2C0" w:tentative="1">
      <w:start w:val="1"/>
      <w:numFmt w:val="lowerLetter"/>
      <w:lvlText w:val="%8."/>
      <w:lvlJc w:val="left"/>
      <w:pPr>
        <w:ind w:left="5400" w:hanging="360"/>
      </w:pPr>
    </w:lvl>
    <w:lvl w:ilvl="8" w:tplc="5016CE96" w:tentative="1">
      <w:start w:val="1"/>
      <w:numFmt w:val="lowerRoman"/>
      <w:lvlText w:val="%9."/>
      <w:lvlJc w:val="right"/>
      <w:pPr>
        <w:ind w:left="6120" w:hanging="180"/>
      </w:pPr>
    </w:lvl>
  </w:abstractNum>
  <w:abstractNum w:abstractNumId="5">
    <w:nsid w:val="6EBA31C4"/>
    <w:multiLevelType w:val="hybridMultilevel"/>
    <w:tmpl w:val="B00440DA"/>
    <w:lvl w:ilvl="0" w:tplc="7F9E5346">
      <w:start w:val="1"/>
      <w:numFmt w:val="bullet"/>
      <w:lvlText w:val=""/>
      <w:lvlJc w:val="left"/>
      <w:pPr>
        <w:ind w:left="720" w:hanging="360"/>
      </w:pPr>
      <w:rPr>
        <w:rFonts w:ascii="Symbol" w:hAnsi="Symbol" w:hint="default"/>
      </w:rPr>
    </w:lvl>
    <w:lvl w:ilvl="1" w:tplc="0C1E1928" w:tentative="1">
      <w:start w:val="1"/>
      <w:numFmt w:val="bullet"/>
      <w:lvlText w:val="o"/>
      <w:lvlJc w:val="left"/>
      <w:pPr>
        <w:ind w:left="1440" w:hanging="360"/>
      </w:pPr>
      <w:rPr>
        <w:rFonts w:ascii="Courier New" w:hAnsi="Courier New" w:cs="Courier New" w:hint="default"/>
      </w:rPr>
    </w:lvl>
    <w:lvl w:ilvl="2" w:tplc="561031AE" w:tentative="1">
      <w:start w:val="1"/>
      <w:numFmt w:val="bullet"/>
      <w:lvlText w:val=""/>
      <w:lvlJc w:val="left"/>
      <w:pPr>
        <w:ind w:left="2160" w:hanging="360"/>
      </w:pPr>
      <w:rPr>
        <w:rFonts w:ascii="Wingdings" w:hAnsi="Wingdings" w:hint="default"/>
      </w:rPr>
    </w:lvl>
    <w:lvl w:ilvl="3" w:tplc="5F92CABC" w:tentative="1">
      <w:start w:val="1"/>
      <w:numFmt w:val="bullet"/>
      <w:lvlText w:val=""/>
      <w:lvlJc w:val="left"/>
      <w:pPr>
        <w:ind w:left="2880" w:hanging="360"/>
      </w:pPr>
      <w:rPr>
        <w:rFonts w:ascii="Symbol" w:hAnsi="Symbol" w:hint="default"/>
      </w:rPr>
    </w:lvl>
    <w:lvl w:ilvl="4" w:tplc="10167618" w:tentative="1">
      <w:start w:val="1"/>
      <w:numFmt w:val="bullet"/>
      <w:lvlText w:val="o"/>
      <w:lvlJc w:val="left"/>
      <w:pPr>
        <w:ind w:left="3600" w:hanging="360"/>
      </w:pPr>
      <w:rPr>
        <w:rFonts w:ascii="Courier New" w:hAnsi="Courier New" w:cs="Courier New" w:hint="default"/>
      </w:rPr>
    </w:lvl>
    <w:lvl w:ilvl="5" w:tplc="0B980392" w:tentative="1">
      <w:start w:val="1"/>
      <w:numFmt w:val="bullet"/>
      <w:lvlText w:val=""/>
      <w:lvlJc w:val="left"/>
      <w:pPr>
        <w:ind w:left="4320" w:hanging="360"/>
      </w:pPr>
      <w:rPr>
        <w:rFonts w:ascii="Wingdings" w:hAnsi="Wingdings" w:hint="default"/>
      </w:rPr>
    </w:lvl>
    <w:lvl w:ilvl="6" w:tplc="301AB932" w:tentative="1">
      <w:start w:val="1"/>
      <w:numFmt w:val="bullet"/>
      <w:lvlText w:val=""/>
      <w:lvlJc w:val="left"/>
      <w:pPr>
        <w:ind w:left="5040" w:hanging="360"/>
      </w:pPr>
      <w:rPr>
        <w:rFonts w:ascii="Symbol" w:hAnsi="Symbol" w:hint="default"/>
      </w:rPr>
    </w:lvl>
    <w:lvl w:ilvl="7" w:tplc="21BCA7A4" w:tentative="1">
      <w:start w:val="1"/>
      <w:numFmt w:val="bullet"/>
      <w:lvlText w:val="o"/>
      <w:lvlJc w:val="left"/>
      <w:pPr>
        <w:ind w:left="5760" w:hanging="360"/>
      </w:pPr>
      <w:rPr>
        <w:rFonts w:ascii="Courier New" w:hAnsi="Courier New" w:cs="Courier New" w:hint="default"/>
      </w:rPr>
    </w:lvl>
    <w:lvl w:ilvl="8" w:tplc="D4126490"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261B"/>
    <w:rsid w:val="00031524"/>
    <w:rsid w:val="00031849"/>
    <w:rsid w:val="000D1B39"/>
    <w:rsid w:val="00110B18"/>
    <w:rsid w:val="00115D40"/>
    <w:rsid w:val="00120C1C"/>
    <w:rsid w:val="00175367"/>
    <w:rsid w:val="001C39A1"/>
    <w:rsid w:val="002309EE"/>
    <w:rsid w:val="002F07D4"/>
    <w:rsid w:val="00321C21"/>
    <w:rsid w:val="003A0B11"/>
    <w:rsid w:val="003E4B64"/>
    <w:rsid w:val="00440912"/>
    <w:rsid w:val="004748A0"/>
    <w:rsid w:val="004A265E"/>
    <w:rsid w:val="004A5531"/>
    <w:rsid w:val="0051607B"/>
    <w:rsid w:val="00582C7A"/>
    <w:rsid w:val="005A2916"/>
    <w:rsid w:val="00607812"/>
    <w:rsid w:val="00613D2B"/>
    <w:rsid w:val="00646FDF"/>
    <w:rsid w:val="006477C6"/>
    <w:rsid w:val="00651A60"/>
    <w:rsid w:val="00652C6D"/>
    <w:rsid w:val="00676193"/>
    <w:rsid w:val="00702BCA"/>
    <w:rsid w:val="00765D72"/>
    <w:rsid w:val="00791370"/>
    <w:rsid w:val="007B77A7"/>
    <w:rsid w:val="007D4B8C"/>
    <w:rsid w:val="00822381"/>
    <w:rsid w:val="00854333"/>
    <w:rsid w:val="008A778F"/>
    <w:rsid w:val="00913CD7"/>
    <w:rsid w:val="0096261B"/>
    <w:rsid w:val="0096391B"/>
    <w:rsid w:val="00A01FE3"/>
    <w:rsid w:val="00A22071"/>
    <w:rsid w:val="00A248AB"/>
    <w:rsid w:val="00A324C2"/>
    <w:rsid w:val="00A344BB"/>
    <w:rsid w:val="00A36E96"/>
    <w:rsid w:val="00AA4E40"/>
    <w:rsid w:val="00AB0C1C"/>
    <w:rsid w:val="00AB18D2"/>
    <w:rsid w:val="00B03545"/>
    <w:rsid w:val="00B03A35"/>
    <w:rsid w:val="00B375FF"/>
    <w:rsid w:val="00B4584A"/>
    <w:rsid w:val="00B54061"/>
    <w:rsid w:val="00C13EF8"/>
    <w:rsid w:val="00C628DD"/>
    <w:rsid w:val="00C810D9"/>
    <w:rsid w:val="00C904C6"/>
    <w:rsid w:val="00CB43B8"/>
    <w:rsid w:val="00CF4A2B"/>
    <w:rsid w:val="00D575AF"/>
    <w:rsid w:val="00DA0F2E"/>
    <w:rsid w:val="00DA5BC0"/>
    <w:rsid w:val="00DE02C8"/>
    <w:rsid w:val="00DE4DDA"/>
    <w:rsid w:val="00DF38FD"/>
    <w:rsid w:val="00E55A51"/>
    <w:rsid w:val="00EB5620"/>
    <w:rsid w:val="00EE0356"/>
    <w:rsid w:val="00F509DC"/>
    <w:rsid w:val="00F8327B"/>
    <w:rsid w:val="00FA6C17"/>
    <w:rsid w:val="00FE0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DA7C44"/>
    <w:pPr>
      <w:tabs>
        <w:tab w:val="left" w:pos="567"/>
      </w:tabs>
      <w:spacing w:line="260" w:lineRule="exact"/>
    </w:pPr>
    <w:rPr>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6261B"/>
    <w:rPr>
      <w:color w:val="0000FF"/>
      <w:u w:val="single"/>
      <w:lang w:val="sk-SK" w:eastAsia="sk-SK"/>
    </w:rPr>
  </w:style>
  <w:style w:type="paragraph" w:styleId="Hlavika">
    <w:name w:val="header"/>
    <w:basedOn w:val="Normlny"/>
    <w:link w:val="HlavikaChar"/>
    <w:uiPriority w:val="99"/>
    <w:rsid w:val="00542720"/>
    <w:pPr>
      <w:tabs>
        <w:tab w:val="clear" w:pos="567"/>
        <w:tab w:val="center" w:pos="4680"/>
        <w:tab w:val="right" w:pos="9360"/>
      </w:tabs>
    </w:pPr>
  </w:style>
  <w:style w:type="character" w:customStyle="1" w:styleId="HlavikaChar">
    <w:name w:val="Hlavička Char"/>
    <w:link w:val="Hlavika"/>
    <w:uiPriority w:val="99"/>
    <w:rsid w:val="00542720"/>
    <w:rPr>
      <w:sz w:val="22"/>
      <w:lang w:val="sk-SK" w:eastAsia="sk-SK"/>
    </w:rPr>
  </w:style>
  <w:style w:type="paragraph" w:styleId="Pta">
    <w:name w:val="footer"/>
    <w:basedOn w:val="Normlny"/>
    <w:link w:val="PtaChar"/>
    <w:uiPriority w:val="99"/>
    <w:rsid w:val="00542720"/>
    <w:pPr>
      <w:tabs>
        <w:tab w:val="clear" w:pos="567"/>
        <w:tab w:val="center" w:pos="4680"/>
        <w:tab w:val="right" w:pos="9360"/>
      </w:tabs>
    </w:pPr>
  </w:style>
  <w:style w:type="character" w:customStyle="1" w:styleId="PtaChar">
    <w:name w:val="Päta Char"/>
    <w:link w:val="Pta"/>
    <w:uiPriority w:val="99"/>
    <w:rsid w:val="00542720"/>
    <w:rPr>
      <w:sz w:val="22"/>
      <w:lang w:val="sk-SK" w:eastAsia="sk-SK"/>
    </w:rPr>
  </w:style>
  <w:style w:type="paragraph" w:styleId="Textbubliny">
    <w:name w:val="Balloon Text"/>
    <w:basedOn w:val="Normlny"/>
    <w:link w:val="TextbublinyChar"/>
    <w:rsid w:val="00542720"/>
    <w:pPr>
      <w:spacing w:line="240" w:lineRule="auto"/>
    </w:pPr>
    <w:rPr>
      <w:rFonts w:ascii="Tahoma" w:hAnsi="Tahoma"/>
      <w:sz w:val="16"/>
      <w:szCs w:val="16"/>
    </w:rPr>
  </w:style>
  <w:style w:type="character" w:customStyle="1" w:styleId="TextbublinyChar">
    <w:name w:val="Text bubliny Char"/>
    <w:link w:val="Textbubliny"/>
    <w:rsid w:val="00542720"/>
    <w:rPr>
      <w:rFonts w:ascii="Tahoma" w:hAnsi="Tahoma" w:cs="Tahoma"/>
      <w:sz w:val="16"/>
      <w:szCs w:val="16"/>
      <w:lang w:val="sk-SK" w:eastAsia="sk-SK"/>
    </w:rPr>
  </w:style>
  <w:style w:type="paragraph" w:styleId="Odsekzoznamu">
    <w:name w:val="List Paragraph"/>
    <w:basedOn w:val="Normlny"/>
    <w:uiPriority w:val="34"/>
    <w:qFormat/>
    <w:rsid w:val="00D444A2"/>
    <w:pPr>
      <w:tabs>
        <w:tab w:val="clear" w:pos="567"/>
      </w:tabs>
      <w:spacing w:after="200" w:line="276" w:lineRule="auto"/>
      <w:ind w:left="720"/>
      <w:contextualSpacing/>
    </w:pPr>
    <w:rPr>
      <w:rFonts w:ascii="Arial" w:eastAsia="Calibri" w:hAnsi="Arial" w:cs="Arial"/>
      <w:color w:val="000000"/>
      <w:sz w:val="20"/>
    </w:rPr>
  </w:style>
  <w:style w:type="paragraph" w:styleId="Normlnywebov">
    <w:name w:val="Normal (Web)"/>
    <w:basedOn w:val="Normlny"/>
    <w:uiPriority w:val="99"/>
    <w:unhideWhenUsed/>
    <w:rsid w:val="00D444A2"/>
    <w:pPr>
      <w:tabs>
        <w:tab w:val="clear" w:pos="567"/>
      </w:tabs>
      <w:spacing w:before="100" w:beforeAutospacing="1" w:after="75" w:line="240" w:lineRule="auto"/>
    </w:pPr>
    <w:rPr>
      <w:color w:val="000000"/>
      <w:sz w:val="24"/>
      <w:szCs w:val="24"/>
    </w:rPr>
  </w:style>
  <w:style w:type="paragraph" w:styleId="Textpoznmkypodiarou">
    <w:name w:val="footnote text"/>
    <w:basedOn w:val="Normlny"/>
    <w:link w:val="TextpoznmkypodiarouChar"/>
    <w:rsid w:val="008665D7"/>
    <w:pPr>
      <w:tabs>
        <w:tab w:val="clear" w:pos="567"/>
        <w:tab w:val="left" w:pos="426"/>
        <w:tab w:val="left" w:pos="851"/>
        <w:tab w:val="left" w:pos="1276"/>
      </w:tabs>
      <w:spacing w:after="120" w:line="240" w:lineRule="auto"/>
      <w:jc w:val="both"/>
    </w:pPr>
    <w:rPr>
      <w:rFonts w:ascii="Century Schoolbook" w:eastAsia="MS Mincho" w:hAnsi="Century Schoolbook"/>
      <w:sz w:val="20"/>
    </w:rPr>
  </w:style>
  <w:style w:type="character" w:customStyle="1" w:styleId="TextpoznmkypodiarouChar">
    <w:name w:val="Text poznámky pod čiarou Char"/>
    <w:link w:val="Textpoznmkypodiarou"/>
    <w:rsid w:val="008665D7"/>
    <w:rPr>
      <w:rFonts w:ascii="Century Schoolbook" w:eastAsia="MS Mincho" w:hAnsi="Century Schoolbook"/>
      <w:lang w:val="sk-SK" w:eastAsia="sk-SK"/>
    </w:rPr>
  </w:style>
  <w:style w:type="character" w:styleId="Odkaznapoznmkupodiarou">
    <w:name w:val="footnote reference"/>
    <w:rsid w:val="008665D7"/>
    <w:rPr>
      <w:vertAlign w:val="superscript"/>
      <w:lang w:val="sk-SK" w:eastAsia="sk-SK"/>
    </w:rPr>
  </w:style>
  <w:style w:type="character" w:styleId="Odkaznakomentr">
    <w:name w:val="annotation reference"/>
    <w:rsid w:val="00812E50"/>
    <w:rPr>
      <w:sz w:val="16"/>
      <w:szCs w:val="16"/>
      <w:lang w:val="sk-SK" w:eastAsia="sk-SK"/>
    </w:rPr>
  </w:style>
  <w:style w:type="paragraph" w:styleId="Textkomentra">
    <w:name w:val="annotation text"/>
    <w:basedOn w:val="Normlny"/>
    <w:link w:val="TextkomentraChar"/>
    <w:rsid w:val="00812E50"/>
    <w:rPr>
      <w:sz w:val="20"/>
    </w:rPr>
  </w:style>
  <w:style w:type="character" w:customStyle="1" w:styleId="TextkomentraChar">
    <w:name w:val="Text komentára Char"/>
    <w:link w:val="Textkomentra"/>
    <w:rsid w:val="00812E50"/>
    <w:rPr>
      <w:lang w:val="sk-SK" w:eastAsia="sk-SK"/>
    </w:rPr>
  </w:style>
  <w:style w:type="paragraph" w:styleId="Predmetkomentra">
    <w:name w:val="annotation subject"/>
    <w:basedOn w:val="Textkomentra"/>
    <w:next w:val="Textkomentra"/>
    <w:link w:val="PredmetkomentraChar"/>
    <w:rsid w:val="00812E50"/>
    <w:rPr>
      <w:b/>
      <w:bCs/>
    </w:rPr>
  </w:style>
  <w:style w:type="character" w:customStyle="1" w:styleId="PredmetkomentraChar">
    <w:name w:val="Predmet komentára Char"/>
    <w:link w:val="Predmetkomentra"/>
    <w:rsid w:val="00812E50"/>
    <w:rPr>
      <w:b/>
      <w:bCs/>
      <w:lang w:val="sk-SK" w:eastAsia="sk-SK"/>
    </w:rPr>
  </w:style>
  <w:style w:type="paragraph" w:customStyle="1" w:styleId="bullet-">
    <w:name w:val="bullet -"/>
    <w:basedOn w:val="Normlny"/>
    <w:autoRedefine/>
    <w:rsid w:val="00FA2D1C"/>
    <w:pPr>
      <w:tabs>
        <w:tab w:val="clear" w:pos="567"/>
      </w:tabs>
      <w:spacing w:line="240" w:lineRule="auto"/>
    </w:pPr>
    <w:rPr>
      <w:szCs w:val="22"/>
    </w:rPr>
  </w:style>
  <w:style w:type="table" w:styleId="Mriekatabuky">
    <w:name w:val="Table Grid"/>
    <w:basedOn w:val="Normlnatabuka"/>
    <w:rsid w:val="00A01F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A5BC0"/>
    <w:pPr>
      <w:autoSpaceDE w:val="0"/>
      <w:autoSpaceDN w:val="0"/>
      <w:adjustRightInd w:val="0"/>
    </w:pPr>
    <w:rPr>
      <w:color w:val="000000"/>
      <w:sz w:val="24"/>
      <w:szCs w:val="24"/>
      <w:lang w:val="en-US" w:eastAsia="en-US"/>
    </w:rPr>
  </w:style>
  <w:style w:type="paragraph" w:styleId="Revzia">
    <w:name w:val="Revision"/>
    <w:hidden/>
    <w:uiPriority w:val="99"/>
    <w:semiHidden/>
    <w:rsid w:val="00702BC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DA7C44"/>
    <w:pPr>
      <w:tabs>
        <w:tab w:val="left" w:pos="567"/>
      </w:tabs>
      <w:spacing w:line="260" w:lineRule="exact"/>
    </w:pPr>
    <w:rPr>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96261B"/>
    <w:rPr>
      <w:color w:val="0000FF"/>
      <w:u w:val="single"/>
      <w:lang w:val="sk-SK" w:eastAsia="sk-SK"/>
    </w:rPr>
  </w:style>
  <w:style w:type="paragraph" w:styleId="Hlavika">
    <w:name w:val="header"/>
    <w:basedOn w:val="Normlny"/>
    <w:link w:val="HlavikaChar"/>
    <w:uiPriority w:val="99"/>
    <w:rsid w:val="00542720"/>
    <w:pPr>
      <w:tabs>
        <w:tab w:val="clear" w:pos="567"/>
        <w:tab w:val="center" w:pos="4680"/>
        <w:tab w:val="right" w:pos="9360"/>
      </w:tabs>
    </w:pPr>
  </w:style>
  <w:style w:type="character" w:customStyle="1" w:styleId="HlavikaChar">
    <w:name w:val="Hlavička Char"/>
    <w:link w:val="Hlavika"/>
    <w:uiPriority w:val="99"/>
    <w:rsid w:val="00542720"/>
    <w:rPr>
      <w:sz w:val="22"/>
      <w:lang w:val="sk-SK" w:eastAsia="sk-SK"/>
    </w:rPr>
  </w:style>
  <w:style w:type="paragraph" w:styleId="Pta">
    <w:name w:val="footer"/>
    <w:basedOn w:val="Normlny"/>
    <w:link w:val="PtaChar"/>
    <w:uiPriority w:val="99"/>
    <w:rsid w:val="00542720"/>
    <w:pPr>
      <w:tabs>
        <w:tab w:val="clear" w:pos="567"/>
        <w:tab w:val="center" w:pos="4680"/>
        <w:tab w:val="right" w:pos="9360"/>
      </w:tabs>
    </w:pPr>
  </w:style>
  <w:style w:type="character" w:customStyle="1" w:styleId="PtaChar">
    <w:name w:val="Päta Char"/>
    <w:link w:val="Pta"/>
    <w:uiPriority w:val="99"/>
    <w:rsid w:val="00542720"/>
    <w:rPr>
      <w:sz w:val="22"/>
      <w:lang w:val="sk-SK" w:eastAsia="sk-SK"/>
    </w:rPr>
  </w:style>
  <w:style w:type="paragraph" w:styleId="Textbubliny">
    <w:name w:val="Balloon Text"/>
    <w:basedOn w:val="Normlny"/>
    <w:link w:val="TextbublinyChar"/>
    <w:rsid w:val="00542720"/>
    <w:pPr>
      <w:spacing w:line="240" w:lineRule="auto"/>
    </w:pPr>
    <w:rPr>
      <w:rFonts w:ascii="Tahoma" w:hAnsi="Tahoma"/>
      <w:sz w:val="16"/>
      <w:szCs w:val="16"/>
    </w:rPr>
  </w:style>
  <w:style w:type="character" w:customStyle="1" w:styleId="TextbublinyChar">
    <w:name w:val="Text bubliny Char"/>
    <w:link w:val="Textbubliny"/>
    <w:rsid w:val="00542720"/>
    <w:rPr>
      <w:rFonts w:ascii="Tahoma" w:hAnsi="Tahoma" w:cs="Tahoma"/>
      <w:sz w:val="16"/>
      <w:szCs w:val="16"/>
      <w:lang w:val="sk-SK" w:eastAsia="sk-SK"/>
    </w:rPr>
  </w:style>
  <w:style w:type="paragraph" w:styleId="Odsekzoznamu">
    <w:name w:val="List Paragraph"/>
    <w:basedOn w:val="Normlny"/>
    <w:uiPriority w:val="34"/>
    <w:qFormat/>
    <w:rsid w:val="00D444A2"/>
    <w:pPr>
      <w:tabs>
        <w:tab w:val="clear" w:pos="567"/>
      </w:tabs>
      <w:spacing w:after="200" w:line="276" w:lineRule="auto"/>
      <w:ind w:left="720"/>
      <w:contextualSpacing/>
    </w:pPr>
    <w:rPr>
      <w:rFonts w:ascii="Arial" w:eastAsia="Calibri" w:hAnsi="Arial" w:cs="Arial"/>
      <w:color w:val="000000"/>
      <w:sz w:val="20"/>
    </w:rPr>
  </w:style>
  <w:style w:type="paragraph" w:styleId="Normlnywebov">
    <w:name w:val="Normal (Web)"/>
    <w:basedOn w:val="Normlny"/>
    <w:uiPriority w:val="99"/>
    <w:unhideWhenUsed/>
    <w:rsid w:val="00D444A2"/>
    <w:pPr>
      <w:tabs>
        <w:tab w:val="clear" w:pos="567"/>
      </w:tabs>
      <w:spacing w:before="100" w:beforeAutospacing="1" w:after="75" w:line="240" w:lineRule="auto"/>
    </w:pPr>
    <w:rPr>
      <w:color w:val="000000"/>
      <w:sz w:val="24"/>
      <w:szCs w:val="24"/>
    </w:rPr>
  </w:style>
  <w:style w:type="paragraph" w:styleId="Textpoznmkypodiarou">
    <w:name w:val="footnote text"/>
    <w:basedOn w:val="Normlny"/>
    <w:link w:val="TextpoznmkypodiarouChar"/>
    <w:rsid w:val="008665D7"/>
    <w:pPr>
      <w:tabs>
        <w:tab w:val="clear" w:pos="567"/>
        <w:tab w:val="left" w:pos="426"/>
        <w:tab w:val="left" w:pos="851"/>
        <w:tab w:val="left" w:pos="1276"/>
      </w:tabs>
      <w:spacing w:after="120" w:line="240" w:lineRule="auto"/>
      <w:jc w:val="both"/>
    </w:pPr>
    <w:rPr>
      <w:rFonts w:ascii="Century Schoolbook" w:eastAsia="MS Mincho" w:hAnsi="Century Schoolbook"/>
      <w:sz w:val="20"/>
    </w:rPr>
  </w:style>
  <w:style w:type="character" w:customStyle="1" w:styleId="TextpoznmkypodiarouChar">
    <w:name w:val="Text poznámky pod čiarou Char"/>
    <w:link w:val="Textpoznmkypodiarou"/>
    <w:rsid w:val="008665D7"/>
    <w:rPr>
      <w:rFonts w:ascii="Century Schoolbook" w:eastAsia="MS Mincho" w:hAnsi="Century Schoolbook"/>
      <w:lang w:val="sk-SK" w:eastAsia="sk-SK"/>
    </w:rPr>
  </w:style>
  <w:style w:type="character" w:styleId="Odkaznapoznmkupodiarou">
    <w:name w:val="footnote reference"/>
    <w:rsid w:val="008665D7"/>
    <w:rPr>
      <w:vertAlign w:val="superscript"/>
      <w:lang w:val="sk-SK" w:eastAsia="sk-SK"/>
    </w:rPr>
  </w:style>
  <w:style w:type="character" w:styleId="Odkaznakomentr">
    <w:name w:val="annotation reference"/>
    <w:rsid w:val="00812E50"/>
    <w:rPr>
      <w:sz w:val="16"/>
      <w:szCs w:val="16"/>
      <w:lang w:val="sk-SK" w:eastAsia="sk-SK"/>
    </w:rPr>
  </w:style>
  <w:style w:type="paragraph" w:styleId="Textkomentra">
    <w:name w:val="annotation text"/>
    <w:basedOn w:val="Normlny"/>
    <w:link w:val="TextkomentraChar"/>
    <w:rsid w:val="00812E50"/>
    <w:rPr>
      <w:sz w:val="20"/>
    </w:rPr>
  </w:style>
  <w:style w:type="character" w:customStyle="1" w:styleId="TextkomentraChar">
    <w:name w:val="Text komentára Char"/>
    <w:link w:val="Textkomentra"/>
    <w:rsid w:val="00812E50"/>
    <w:rPr>
      <w:lang w:val="sk-SK" w:eastAsia="sk-SK"/>
    </w:rPr>
  </w:style>
  <w:style w:type="paragraph" w:styleId="Predmetkomentra">
    <w:name w:val="annotation subject"/>
    <w:basedOn w:val="Textkomentra"/>
    <w:next w:val="Textkomentra"/>
    <w:link w:val="PredmetkomentraChar"/>
    <w:rsid w:val="00812E50"/>
    <w:rPr>
      <w:b/>
      <w:bCs/>
    </w:rPr>
  </w:style>
  <w:style w:type="character" w:customStyle="1" w:styleId="PredmetkomentraChar">
    <w:name w:val="Predmet komentára Char"/>
    <w:link w:val="Predmetkomentra"/>
    <w:rsid w:val="00812E50"/>
    <w:rPr>
      <w:b/>
      <w:bCs/>
      <w:lang w:val="sk-SK" w:eastAsia="sk-SK"/>
    </w:rPr>
  </w:style>
  <w:style w:type="paragraph" w:customStyle="1" w:styleId="bullet-">
    <w:name w:val="bullet -"/>
    <w:basedOn w:val="Normlny"/>
    <w:autoRedefine/>
    <w:rsid w:val="00FA2D1C"/>
    <w:pPr>
      <w:tabs>
        <w:tab w:val="clear" w:pos="567"/>
      </w:tabs>
      <w:spacing w:line="240" w:lineRule="auto"/>
    </w:pPr>
    <w:rPr>
      <w:szCs w:val="22"/>
    </w:rPr>
  </w:style>
  <w:style w:type="table" w:styleId="Mriekatabuky">
    <w:name w:val="Table Grid"/>
    <w:basedOn w:val="Normlnatabuka"/>
    <w:rsid w:val="00A01F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A5BC0"/>
    <w:pPr>
      <w:autoSpaceDE w:val="0"/>
      <w:autoSpaceDN w:val="0"/>
      <w:adjustRightInd w:val="0"/>
    </w:pPr>
    <w:rPr>
      <w:color w:val="000000"/>
      <w:sz w:val="24"/>
      <w:szCs w:val="24"/>
      <w:lang w:val="en-US" w:eastAsia="en-US"/>
    </w:rPr>
  </w:style>
  <w:style w:type="paragraph" w:styleId="Revzia">
    <w:name w:val="Revision"/>
    <w:hidden/>
    <w:uiPriority w:val="99"/>
    <w:semiHidden/>
    <w:rsid w:val="00702BC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A8C5F-F988-44EF-89D5-CCE0BE92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5849</Words>
  <Characters>36469</Characters>
  <Application>Microsoft Office Word</Application>
  <DocSecurity>0</DocSecurity>
  <Lines>303</Lines>
  <Paragraphs>84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A</vt:lpstr>
      <vt:lpstr>A</vt:lpstr>
    </vt:vector>
  </TitlesOfParts>
  <Company>ratiopharm CZ s.r.o.</Company>
  <LinksUpToDate>false</LinksUpToDate>
  <CharactersWithSpaces>42234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zontiros</dc:creator>
  <cp:lastModifiedBy>Natalia </cp:lastModifiedBy>
  <cp:revision>3</cp:revision>
  <cp:lastPrinted>2019-01-09T12:55:00Z</cp:lastPrinted>
  <dcterms:created xsi:type="dcterms:W3CDTF">2019-01-09T12:55:00Z</dcterms:created>
  <dcterms:modified xsi:type="dcterms:W3CDTF">2019-01-09T12:56:00Z</dcterms:modified>
</cp:coreProperties>
</file>