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C56CF" w14:textId="77777777" w:rsidR="00084B62" w:rsidRPr="007B5D9A" w:rsidRDefault="00084B62" w:rsidP="00A505E4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505C8B53" w14:textId="77777777" w:rsidR="009E6B3B" w:rsidRPr="001A6657" w:rsidRDefault="00A734B6" w:rsidP="00A505E4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r w:rsidRPr="001A6657">
        <w:rPr>
          <w:b/>
          <w:szCs w:val="22"/>
          <w:lang w:val="sk-SK"/>
        </w:rPr>
        <w:t>SÚHRN CHARAKTERISTICKÝCH VLASTNOSTÍ LIEKU</w:t>
      </w:r>
    </w:p>
    <w:p w14:paraId="086D174F" w14:textId="77777777" w:rsidR="00DF064E" w:rsidRDefault="00DF064E" w:rsidP="00A505E4">
      <w:pPr>
        <w:widowControl w:val="0"/>
        <w:spacing w:line="240" w:lineRule="auto"/>
        <w:rPr>
          <w:szCs w:val="22"/>
          <w:lang w:val="sk-SK"/>
        </w:rPr>
      </w:pPr>
    </w:p>
    <w:p w14:paraId="5C23E34D" w14:textId="77777777" w:rsidR="00DF064E" w:rsidRPr="001A6657" w:rsidRDefault="00DF064E" w:rsidP="00A505E4">
      <w:pPr>
        <w:widowControl w:val="0"/>
        <w:spacing w:line="240" w:lineRule="auto"/>
        <w:rPr>
          <w:szCs w:val="22"/>
          <w:lang w:val="sk-SK"/>
        </w:rPr>
      </w:pPr>
    </w:p>
    <w:p w14:paraId="5715AC33" w14:textId="77777777" w:rsidR="009E6B3B" w:rsidRPr="001A6657" w:rsidRDefault="00F7505D" w:rsidP="007B5D9A">
      <w:pPr>
        <w:keepNext/>
        <w:widowControl w:val="0"/>
        <w:spacing w:line="240" w:lineRule="auto"/>
        <w:rPr>
          <w:szCs w:val="22"/>
          <w:lang w:val="sk-SK"/>
        </w:rPr>
      </w:pPr>
      <w:r w:rsidRPr="001A6657">
        <w:rPr>
          <w:b/>
          <w:szCs w:val="22"/>
          <w:lang w:val="sk-SK"/>
        </w:rPr>
        <w:t>1.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NÁZOV LIEKU</w:t>
      </w:r>
    </w:p>
    <w:p w14:paraId="757C0527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31DEA733" w14:textId="77777777" w:rsidR="009608C4" w:rsidRPr="001A6657" w:rsidRDefault="009608C4" w:rsidP="009608C4">
      <w:pPr>
        <w:spacing w:line="240" w:lineRule="auto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Solifenacin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5 mg</w:t>
      </w:r>
    </w:p>
    <w:p w14:paraId="45C11715" w14:textId="77777777" w:rsidR="009608C4" w:rsidRPr="001A6657" w:rsidRDefault="009608C4" w:rsidP="009608C4">
      <w:pPr>
        <w:spacing w:line="240" w:lineRule="auto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Solifenacin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10 mg</w:t>
      </w:r>
    </w:p>
    <w:p w14:paraId="1B9F6C61" w14:textId="77777777" w:rsidR="009608C4" w:rsidRPr="001A6657" w:rsidRDefault="009608C4" w:rsidP="009608C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filmom obalené tablety</w:t>
      </w:r>
    </w:p>
    <w:p w14:paraId="4E0D805B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70208F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241EA068" w14:textId="77777777" w:rsidR="009E6B3B" w:rsidRPr="001A6657" w:rsidRDefault="00F7505D" w:rsidP="007B5D9A">
      <w:pPr>
        <w:keepNext/>
        <w:widowControl w:val="0"/>
        <w:spacing w:line="240" w:lineRule="auto"/>
        <w:rPr>
          <w:szCs w:val="22"/>
          <w:lang w:val="sk-SK"/>
        </w:rPr>
      </w:pPr>
      <w:r w:rsidRPr="001A6657">
        <w:rPr>
          <w:b/>
          <w:szCs w:val="22"/>
          <w:lang w:val="sk-SK"/>
        </w:rPr>
        <w:t>2.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KVALITATÍVNE A KVANTITATÍVNE ZLOŽENIE</w:t>
      </w:r>
    </w:p>
    <w:p w14:paraId="45FC83EE" w14:textId="77777777" w:rsidR="009608C4" w:rsidRPr="001A6657" w:rsidRDefault="009608C4" w:rsidP="007B5D9A">
      <w:pPr>
        <w:keepNext/>
        <w:widowControl w:val="0"/>
        <w:rPr>
          <w:szCs w:val="22"/>
          <w:lang w:val="sk-SK"/>
        </w:rPr>
      </w:pPr>
    </w:p>
    <w:p w14:paraId="035E2C9D" w14:textId="77777777" w:rsidR="009608C4" w:rsidRPr="001A6657" w:rsidRDefault="00F23CC6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Jedna filmom obalená</w:t>
      </w:r>
      <w:r w:rsidR="009608C4" w:rsidRPr="001A6657">
        <w:rPr>
          <w:szCs w:val="22"/>
          <w:lang w:val="sk-SK"/>
        </w:rPr>
        <w:t xml:space="preserve"> tableta obsahuje 5 mg </w:t>
      </w:r>
      <w:proofErr w:type="spellStart"/>
      <w:r w:rsidR="009608C4" w:rsidRPr="001A6657">
        <w:rPr>
          <w:szCs w:val="22"/>
          <w:lang w:val="sk-SK"/>
        </w:rPr>
        <w:t>solifenacíniumsukcinátu</w:t>
      </w:r>
      <w:proofErr w:type="spellEnd"/>
      <w:r w:rsidR="009608C4" w:rsidRPr="001A6657">
        <w:rPr>
          <w:szCs w:val="22"/>
          <w:lang w:val="sk-SK"/>
        </w:rPr>
        <w:t xml:space="preserve">, čo zodpovedá 3,8 mg </w:t>
      </w:r>
      <w:proofErr w:type="spellStart"/>
      <w:r w:rsidR="009608C4" w:rsidRPr="001A6657">
        <w:rPr>
          <w:szCs w:val="22"/>
          <w:lang w:val="sk-SK"/>
        </w:rPr>
        <w:t>solifenacínu</w:t>
      </w:r>
      <w:proofErr w:type="spellEnd"/>
      <w:r w:rsidR="009608C4" w:rsidRPr="001A6657">
        <w:rPr>
          <w:szCs w:val="22"/>
          <w:lang w:val="sk-SK"/>
        </w:rPr>
        <w:t>.</w:t>
      </w:r>
    </w:p>
    <w:p w14:paraId="4EE22CC5" w14:textId="77777777" w:rsidR="00F23CC6" w:rsidRPr="001A6657" w:rsidRDefault="00F23CC6" w:rsidP="00F23CC6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Jedna filmom obalená tableta obsahuje 10 mg </w:t>
      </w:r>
      <w:proofErr w:type="spellStart"/>
      <w:r w:rsidRPr="001A6657">
        <w:rPr>
          <w:szCs w:val="22"/>
          <w:lang w:val="sk-SK"/>
        </w:rPr>
        <w:t>solifenacíniumsukcinátu</w:t>
      </w:r>
      <w:proofErr w:type="spellEnd"/>
      <w:r w:rsidRPr="001A6657">
        <w:rPr>
          <w:szCs w:val="22"/>
          <w:lang w:val="sk-SK"/>
        </w:rPr>
        <w:t xml:space="preserve">, čo zodpovedá 7,5 mg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>.</w:t>
      </w:r>
    </w:p>
    <w:p w14:paraId="55DC621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2AB4AF2" w14:textId="77777777" w:rsidR="00F23CC6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Pomocná látka so známym účinkom</w:t>
      </w:r>
    </w:p>
    <w:p w14:paraId="0066E9CE" w14:textId="0E39FBC2" w:rsidR="00F23CC6" w:rsidRPr="001A6657" w:rsidRDefault="00F23CC6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szCs w:val="22"/>
          <w:lang w:val="sk-SK"/>
        </w:rPr>
        <w:t xml:space="preserve">Jedna filmom obalená tableta obsahuje 57 mg laktózy (ako </w:t>
      </w:r>
      <w:proofErr w:type="spellStart"/>
      <w:r w:rsidRPr="001A6657">
        <w:rPr>
          <w:szCs w:val="22"/>
          <w:lang w:val="sk-SK"/>
        </w:rPr>
        <w:t>monohydrát</w:t>
      </w:r>
      <w:proofErr w:type="spellEnd"/>
      <w:r w:rsidRPr="001A6657">
        <w:rPr>
          <w:szCs w:val="22"/>
          <w:lang w:val="sk-SK"/>
        </w:rPr>
        <w:t xml:space="preserve"> laktózy)</w:t>
      </w:r>
      <w:r w:rsidR="00581B57">
        <w:rPr>
          <w:szCs w:val="22"/>
          <w:lang w:val="sk-SK"/>
        </w:rPr>
        <w:t>.</w:t>
      </w:r>
    </w:p>
    <w:p w14:paraId="072426AF" w14:textId="043E3136" w:rsidR="00F23CC6" w:rsidRPr="001A6657" w:rsidRDefault="00F23CC6" w:rsidP="00F23CC6">
      <w:pPr>
        <w:widowControl w:val="0"/>
        <w:rPr>
          <w:bCs/>
          <w:szCs w:val="22"/>
          <w:u w:val="single"/>
          <w:lang w:val="sk-SK"/>
        </w:rPr>
      </w:pPr>
      <w:r w:rsidRPr="001A6657">
        <w:rPr>
          <w:szCs w:val="22"/>
          <w:lang w:val="sk-SK"/>
        </w:rPr>
        <w:t xml:space="preserve">Jedna filmom obalená tableta obsahuje 113 mg laktózy (ako </w:t>
      </w:r>
      <w:proofErr w:type="spellStart"/>
      <w:r w:rsidRPr="001A6657">
        <w:rPr>
          <w:szCs w:val="22"/>
          <w:lang w:val="sk-SK"/>
        </w:rPr>
        <w:t>monohydrát</w:t>
      </w:r>
      <w:proofErr w:type="spellEnd"/>
      <w:r w:rsidRPr="001A6657">
        <w:rPr>
          <w:szCs w:val="22"/>
          <w:lang w:val="sk-SK"/>
        </w:rPr>
        <w:t xml:space="preserve"> laktózy)</w:t>
      </w:r>
      <w:r w:rsidR="00581B57">
        <w:rPr>
          <w:szCs w:val="22"/>
          <w:lang w:val="sk-SK"/>
        </w:rPr>
        <w:t>.</w:t>
      </w:r>
    </w:p>
    <w:p w14:paraId="10ECBD7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52C78A4" w14:textId="77777777" w:rsidR="009608C4" w:rsidRPr="001A6657" w:rsidRDefault="009608C4" w:rsidP="009608C4">
      <w:pPr>
        <w:outlineLvl w:val="0"/>
        <w:rPr>
          <w:szCs w:val="22"/>
          <w:lang w:val="sk-SK"/>
        </w:rPr>
      </w:pPr>
      <w:r w:rsidRPr="001A6657">
        <w:rPr>
          <w:szCs w:val="22"/>
          <w:lang w:val="sk-SK"/>
        </w:rPr>
        <w:t>Úplný zoznam pomocných látok, pozri časť 6.1.</w:t>
      </w:r>
    </w:p>
    <w:p w14:paraId="761D19D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574F843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03651429" w14:textId="77777777" w:rsidR="009E6B3B" w:rsidRPr="001A6657" w:rsidRDefault="00F7505D" w:rsidP="007B5D9A">
      <w:pPr>
        <w:keepNext/>
        <w:spacing w:line="240" w:lineRule="auto"/>
        <w:ind w:left="567" w:hanging="567"/>
        <w:rPr>
          <w:caps/>
          <w:szCs w:val="22"/>
          <w:lang w:val="sk-SK"/>
        </w:rPr>
      </w:pPr>
      <w:r w:rsidRPr="001A6657">
        <w:rPr>
          <w:b/>
          <w:szCs w:val="22"/>
          <w:lang w:val="sk-SK"/>
        </w:rPr>
        <w:t>3.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LIEKOVÁ FORMA</w:t>
      </w:r>
    </w:p>
    <w:p w14:paraId="57C318FF" w14:textId="77777777" w:rsidR="009E6B3B" w:rsidRPr="001A6657" w:rsidRDefault="009E6B3B" w:rsidP="007B5D9A">
      <w:pPr>
        <w:keepNext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2A2E00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Filmom obalená tableta</w:t>
      </w:r>
      <w:r w:rsidR="00F23CC6" w:rsidRPr="001A6657">
        <w:rPr>
          <w:szCs w:val="22"/>
          <w:lang w:val="sk-SK"/>
        </w:rPr>
        <w:t xml:space="preserve"> (tableta)</w:t>
      </w:r>
    </w:p>
    <w:p w14:paraId="6D785962" w14:textId="77777777" w:rsidR="009608C4" w:rsidRDefault="009608C4" w:rsidP="009608C4">
      <w:pPr>
        <w:widowControl w:val="0"/>
        <w:rPr>
          <w:szCs w:val="22"/>
          <w:lang w:val="sk-SK"/>
        </w:rPr>
      </w:pPr>
    </w:p>
    <w:p w14:paraId="3D09E855" w14:textId="77777777" w:rsidR="006B11FE" w:rsidRPr="001A6657" w:rsidRDefault="006B11FE" w:rsidP="009608C4">
      <w:pPr>
        <w:widowControl w:val="0"/>
        <w:rPr>
          <w:szCs w:val="22"/>
          <w:lang w:val="sk-SK"/>
        </w:rPr>
      </w:pPr>
      <w:proofErr w:type="spellStart"/>
      <w:r w:rsidRPr="001F0A14">
        <w:rPr>
          <w:szCs w:val="22"/>
          <w:u w:val="single"/>
          <w:lang w:val="sk-SK"/>
        </w:rPr>
        <w:t>Solifenacin</w:t>
      </w:r>
      <w:proofErr w:type="spellEnd"/>
      <w:r w:rsidRPr="001F0A14">
        <w:rPr>
          <w:szCs w:val="22"/>
          <w:u w:val="single"/>
          <w:lang w:val="sk-SK"/>
        </w:rPr>
        <w:t xml:space="preserve"> </w:t>
      </w:r>
      <w:proofErr w:type="spellStart"/>
      <w:r w:rsidRPr="001F0A14">
        <w:rPr>
          <w:szCs w:val="22"/>
          <w:u w:val="single"/>
          <w:lang w:val="sk-SK"/>
        </w:rPr>
        <w:t>Mylan</w:t>
      </w:r>
      <w:proofErr w:type="spellEnd"/>
      <w:r w:rsidRPr="001F0A14">
        <w:rPr>
          <w:szCs w:val="22"/>
          <w:u w:val="single"/>
          <w:lang w:val="sk-SK"/>
        </w:rPr>
        <w:t xml:space="preserve"> 5 mg</w:t>
      </w:r>
      <w:r w:rsidRPr="000C7FFA">
        <w:rPr>
          <w:szCs w:val="22"/>
          <w:lang w:val="sk-SK"/>
        </w:rPr>
        <w:t>:</w:t>
      </w:r>
    </w:p>
    <w:p w14:paraId="4022D5BA" w14:textId="77777777" w:rsidR="009608C4" w:rsidRPr="001A6657" w:rsidRDefault="00F23CC6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Žlté </w:t>
      </w:r>
      <w:r w:rsidR="009608C4" w:rsidRPr="001A6657">
        <w:rPr>
          <w:szCs w:val="22"/>
          <w:lang w:val="sk-SK"/>
        </w:rPr>
        <w:t xml:space="preserve">filmom obalené tablety </w:t>
      </w:r>
      <w:r w:rsidRPr="001A6657">
        <w:rPr>
          <w:szCs w:val="22"/>
          <w:lang w:val="sk-SK"/>
        </w:rPr>
        <w:t>približne 5,6 mm,</w:t>
      </w:r>
      <w:r w:rsidR="009608C4" w:rsidRPr="001A6657">
        <w:rPr>
          <w:szCs w:val="22"/>
          <w:lang w:val="sk-SK"/>
        </w:rPr>
        <w:t xml:space="preserve"> okrúhle bikonvexné tablety</w:t>
      </w:r>
      <w:r w:rsidRPr="001A6657">
        <w:rPr>
          <w:szCs w:val="22"/>
          <w:lang w:val="sk-SK"/>
        </w:rPr>
        <w:t>, označené „M“</w:t>
      </w:r>
      <w:r w:rsidR="009608C4" w:rsidRPr="001A6657">
        <w:rPr>
          <w:szCs w:val="22"/>
          <w:lang w:val="sk-SK"/>
        </w:rPr>
        <w:t xml:space="preserve"> na jednej strane</w:t>
      </w:r>
      <w:r w:rsidRPr="001A6657">
        <w:rPr>
          <w:szCs w:val="22"/>
          <w:lang w:val="sk-SK"/>
        </w:rPr>
        <w:t xml:space="preserve"> tablety a „SF“ nad 5 na strane druhej</w:t>
      </w:r>
      <w:r w:rsidR="009608C4" w:rsidRPr="001A6657">
        <w:rPr>
          <w:szCs w:val="22"/>
          <w:lang w:val="sk-SK"/>
        </w:rPr>
        <w:t>.</w:t>
      </w:r>
    </w:p>
    <w:p w14:paraId="136E1A0A" w14:textId="77777777" w:rsidR="009608C4" w:rsidRDefault="009608C4" w:rsidP="009608C4">
      <w:pPr>
        <w:widowControl w:val="0"/>
        <w:rPr>
          <w:szCs w:val="22"/>
          <w:lang w:val="sk-SK"/>
        </w:rPr>
      </w:pPr>
    </w:p>
    <w:p w14:paraId="01E9A078" w14:textId="77777777" w:rsidR="006B11FE" w:rsidRPr="001A6657" w:rsidRDefault="006B11FE" w:rsidP="009608C4">
      <w:pPr>
        <w:widowControl w:val="0"/>
        <w:rPr>
          <w:szCs w:val="22"/>
          <w:lang w:val="sk-SK"/>
        </w:rPr>
      </w:pPr>
      <w:proofErr w:type="spellStart"/>
      <w:r w:rsidRPr="001F0A14">
        <w:rPr>
          <w:szCs w:val="22"/>
          <w:u w:val="single"/>
          <w:lang w:val="sk-SK"/>
        </w:rPr>
        <w:t>Solifenacin</w:t>
      </w:r>
      <w:proofErr w:type="spellEnd"/>
      <w:r w:rsidRPr="001F0A14">
        <w:rPr>
          <w:szCs w:val="22"/>
          <w:u w:val="single"/>
          <w:lang w:val="sk-SK"/>
        </w:rPr>
        <w:t xml:space="preserve"> </w:t>
      </w:r>
      <w:proofErr w:type="spellStart"/>
      <w:r w:rsidRPr="001F0A14">
        <w:rPr>
          <w:szCs w:val="22"/>
          <w:u w:val="single"/>
          <w:lang w:val="sk-SK"/>
        </w:rPr>
        <w:t>Mylan</w:t>
      </w:r>
      <w:proofErr w:type="spellEnd"/>
      <w:r w:rsidRPr="001F0A14">
        <w:rPr>
          <w:szCs w:val="22"/>
          <w:u w:val="single"/>
          <w:lang w:val="sk-SK"/>
        </w:rPr>
        <w:t xml:space="preserve"> </w:t>
      </w:r>
      <w:r>
        <w:rPr>
          <w:szCs w:val="22"/>
          <w:u w:val="single"/>
          <w:lang w:val="sk-SK"/>
        </w:rPr>
        <w:t>10</w:t>
      </w:r>
      <w:r w:rsidRPr="001F0A14">
        <w:rPr>
          <w:szCs w:val="22"/>
          <w:u w:val="single"/>
          <w:lang w:val="sk-SK"/>
        </w:rPr>
        <w:t xml:space="preserve"> mg</w:t>
      </w:r>
      <w:r w:rsidRPr="000C7FFA">
        <w:rPr>
          <w:szCs w:val="22"/>
          <w:lang w:val="sk-SK"/>
        </w:rPr>
        <w:t>:</w:t>
      </w:r>
    </w:p>
    <w:p w14:paraId="7ABDBCDC" w14:textId="77777777" w:rsidR="00F23CC6" w:rsidRPr="001A6657" w:rsidRDefault="00F23CC6" w:rsidP="00F23CC6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Ružové filmom obalené tablety približne 7,6 mm, okrúhle bikonvexné tablety, označené „M“ na jednej strane tablety a „SF“ nad 10 na strane druhej.</w:t>
      </w:r>
    </w:p>
    <w:p w14:paraId="5C0336A3" w14:textId="77777777" w:rsidR="009E6B3B" w:rsidRPr="001A6657" w:rsidRDefault="009E6B3B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53FF9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B80ADF9" w14:textId="77777777" w:rsidR="009E6B3B" w:rsidRPr="001A6657" w:rsidRDefault="00F7505D" w:rsidP="007B5D9A">
      <w:pPr>
        <w:keepNext/>
        <w:spacing w:line="240" w:lineRule="auto"/>
        <w:ind w:left="567" w:hanging="567"/>
        <w:rPr>
          <w:caps/>
          <w:szCs w:val="22"/>
          <w:lang w:val="sk-SK"/>
        </w:rPr>
      </w:pPr>
      <w:r w:rsidRPr="001A6657">
        <w:rPr>
          <w:b/>
          <w:caps/>
          <w:szCs w:val="22"/>
          <w:lang w:val="sk-SK"/>
        </w:rPr>
        <w:t>4.</w:t>
      </w:r>
      <w:r w:rsidRPr="001A6657">
        <w:rPr>
          <w:b/>
          <w:caps/>
          <w:szCs w:val="22"/>
          <w:lang w:val="sk-SK"/>
        </w:rPr>
        <w:tab/>
      </w:r>
      <w:r w:rsidRPr="001A6657">
        <w:rPr>
          <w:b/>
          <w:szCs w:val="22"/>
          <w:lang w:val="sk-SK"/>
        </w:rPr>
        <w:t>KLINICKÉ ÚDAJE</w:t>
      </w:r>
    </w:p>
    <w:p w14:paraId="429F282A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6ED4A3A7" w14:textId="77777777" w:rsidR="009E6B3B" w:rsidRPr="001A6657" w:rsidRDefault="00F7505D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4.1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Terapeutické indikácie</w:t>
      </w:r>
    </w:p>
    <w:p w14:paraId="6E973A0C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3A9ACC48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Symptomatická liečba urgentnej</w:t>
      </w:r>
      <w:r w:rsidRPr="001A6657">
        <w:rPr>
          <w:b/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inkontinencie a/alebo zvýšenej frekvencie močenia a urgencie, ktorá sa môže vyskytnúť u pacientov so syndrómom hyperaktívneho močového mechúra.</w:t>
      </w:r>
    </w:p>
    <w:p w14:paraId="5F9BAB9D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2138E7C" w14:textId="77777777" w:rsidR="009E6B3B" w:rsidRPr="001A6657" w:rsidRDefault="00F7505D" w:rsidP="007B5D9A">
      <w:pPr>
        <w:keepNext/>
        <w:spacing w:line="240" w:lineRule="auto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4.2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Dávkovanie a spôsob podávania</w:t>
      </w:r>
    </w:p>
    <w:p w14:paraId="734E0CD3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144EFC82" w14:textId="77777777" w:rsidR="009E6B3B" w:rsidRPr="001A6657" w:rsidRDefault="00A734B6" w:rsidP="00A505E4">
      <w:pPr>
        <w:spacing w:line="240" w:lineRule="auto"/>
        <w:rPr>
          <w:szCs w:val="22"/>
          <w:u w:val="single"/>
          <w:lang w:val="sk-SK"/>
        </w:rPr>
      </w:pPr>
      <w:r w:rsidRPr="001A6657">
        <w:rPr>
          <w:szCs w:val="22"/>
          <w:u w:val="single"/>
          <w:lang w:val="sk-SK"/>
        </w:rPr>
        <w:t>Dávkovanie</w:t>
      </w:r>
    </w:p>
    <w:p w14:paraId="3539B276" w14:textId="77777777" w:rsidR="005E5E00" w:rsidRPr="001A6657" w:rsidRDefault="005E5E00" w:rsidP="009608C4">
      <w:pPr>
        <w:widowControl w:val="0"/>
        <w:rPr>
          <w:i/>
          <w:szCs w:val="22"/>
          <w:lang w:val="sk-SK"/>
        </w:rPr>
      </w:pPr>
    </w:p>
    <w:p w14:paraId="01802B4B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Dospelí, vrátane starších pacientov</w:t>
      </w:r>
    </w:p>
    <w:p w14:paraId="2D09883B" w14:textId="77777777" w:rsidR="005E5E00" w:rsidRPr="001A6657" w:rsidRDefault="005E5E00" w:rsidP="007B5D9A">
      <w:pPr>
        <w:keepNext/>
        <w:widowControl w:val="0"/>
        <w:rPr>
          <w:szCs w:val="22"/>
          <w:lang w:val="sk-SK"/>
        </w:rPr>
      </w:pPr>
    </w:p>
    <w:p w14:paraId="61BC0AD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Odporúčaná dávka je 5 mg </w:t>
      </w:r>
      <w:proofErr w:type="spellStart"/>
      <w:r w:rsidRPr="001A6657">
        <w:rPr>
          <w:szCs w:val="22"/>
          <w:lang w:val="sk-SK"/>
        </w:rPr>
        <w:t>solifenacíniumsukcinátu</w:t>
      </w:r>
      <w:proofErr w:type="spellEnd"/>
      <w:r w:rsidRPr="001A6657">
        <w:rPr>
          <w:szCs w:val="22"/>
          <w:lang w:val="sk-SK"/>
        </w:rPr>
        <w:t xml:space="preserve"> jedenkrát denne. V prípade potreby sa dávka </w:t>
      </w:r>
      <w:r w:rsidR="00AE6E1B" w:rsidRPr="001A6657">
        <w:rPr>
          <w:szCs w:val="22"/>
          <w:lang w:val="sk-SK"/>
        </w:rPr>
        <w:t xml:space="preserve">môže </w:t>
      </w:r>
      <w:r w:rsidRPr="001A6657">
        <w:rPr>
          <w:szCs w:val="22"/>
          <w:lang w:val="sk-SK"/>
        </w:rPr>
        <w:t xml:space="preserve">zvýšiť na 10 mg </w:t>
      </w:r>
      <w:proofErr w:type="spellStart"/>
      <w:r w:rsidRPr="001A6657">
        <w:rPr>
          <w:szCs w:val="22"/>
          <w:lang w:val="sk-SK"/>
        </w:rPr>
        <w:t>solifenacíniumsukcinátu</w:t>
      </w:r>
      <w:proofErr w:type="spellEnd"/>
      <w:r w:rsidRPr="001A6657">
        <w:rPr>
          <w:szCs w:val="22"/>
          <w:lang w:val="sk-SK"/>
        </w:rPr>
        <w:t xml:space="preserve"> jedenkrát denne.</w:t>
      </w:r>
    </w:p>
    <w:p w14:paraId="05F7A891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90A7A20" w14:textId="77777777" w:rsidR="009E6B3B" w:rsidRPr="001A6657" w:rsidRDefault="00A734B6" w:rsidP="007B5D9A">
      <w:pPr>
        <w:keepNext/>
        <w:spacing w:line="240" w:lineRule="auto"/>
        <w:rPr>
          <w:b/>
          <w:i/>
          <w:szCs w:val="22"/>
          <w:lang w:val="sk-SK"/>
        </w:rPr>
      </w:pPr>
      <w:r w:rsidRPr="001A6657">
        <w:rPr>
          <w:i/>
          <w:szCs w:val="22"/>
          <w:lang w:val="sk-SK"/>
        </w:rPr>
        <w:lastRenderedPageBreak/>
        <w:t>Pediatrická populácia</w:t>
      </w:r>
    </w:p>
    <w:p w14:paraId="71FBE0F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Bezpečnosť a účinnosť </w:t>
      </w:r>
      <w:proofErr w:type="spellStart"/>
      <w:r w:rsidR="005E5E00" w:rsidRPr="001A6657">
        <w:rPr>
          <w:szCs w:val="22"/>
          <w:lang w:val="sk-SK"/>
        </w:rPr>
        <w:t>solifenac</w:t>
      </w:r>
      <w:r w:rsidR="00F820BF">
        <w:rPr>
          <w:szCs w:val="22"/>
          <w:lang w:val="sk-SK"/>
        </w:rPr>
        <w:t>í</w:t>
      </w:r>
      <w:r w:rsidR="005E5E00" w:rsidRPr="001A6657">
        <w:rPr>
          <w:szCs w:val="22"/>
          <w:lang w:val="sk-SK"/>
        </w:rPr>
        <w:t>nu</w:t>
      </w:r>
      <w:proofErr w:type="spellEnd"/>
      <w:r w:rsidRPr="001A6657">
        <w:rPr>
          <w:szCs w:val="22"/>
          <w:lang w:val="sk-SK"/>
        </w:rPr>
        <w:t xml:space="preserve"> u detí neboli doteraz stanovené. </w:t>
      </w:r>
      <w:proofErr w:type="spellStart"/>
      <w:r w:rsidR="005E5E00" w:rsidRPr="001A6657">
        <w:rPr>
          <w:szCs w:val="22"/>
          <w:lang w:val="sk-SK"/>
        </w:rPr>
        <w:t>Solifenacin</w:t>
      </w:r>
      <w:proofErr w:type="spellEnd"/>
      <w:r w:rsidR="005E5E00" w:rsidRPr="001A6657">
        <w:rPr>
          <w:szCs w:val="22"/>
          <w:lang w:val="sk-SK"/>
        </w:rPr>
        <w:t xml:space="preserve"> </w:t>
      </w:r>
      <w:proofErr w:type="spellStart"/>
      <w:r w:rsidR="005E5E00"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sa preto nemá používať u detí.</w:t>
      </w:r>
    </w:p>
    <w:p w14:paraId="66F308B3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</w:p>
    <w:p w14:paraId="14A19D43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Pacienti s poruchou funkcie obličiek</w:t>
      </w:r>
    </w:p>
    <w:p w14:paraId="171ACBD7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szCs w:val="22"/>
          <w:lang w:val="sk-SK"/>
        </w:rPr>
        <w:t>U pacientov s miernou až stredne závažnou poruchou funkcie obličiek (</w:t>
      </w:r>
      <w:proofErr w:type="spellStart"/>
      <w:r w:rsidRPr="001A6657">
        <w:rPr>
          <w:szCs w:val="22"/>
          <w:lang w:val="sk-SK"/>
        </w:rPr>
        <w:t>klírens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kreatinínu</w:t>
      </w:r>
      <w:proofErr w:type="spellEnd"/>
      <w:r w:rsidRPr="001A6657">
        <w:rPr>
          <w:szCs w:val="22"/>
          <w:lang w:val="sk-SK"/>
        </w:rPr>
        <w:t xml:space="preserve"> &gt; 30 ml/min) nie je potrebná úprava dávk</w:t>
      </w:r>
      <w:r w:rsidR="005E5E00" w:rsidRPr="001A6657">
        <w:rPr>
          <w:szCs w:val="22"/>
          <w:lang w:val="sk-SK"/>
        </w:rPr>
        <w:t>y</w:t>
      </w:r>
      <w:r w:rsidRPr="001A6657">
        <w:rPr>
          <w:szCs w:val="22"/>
          <w:lang w:val="sk-SK"/>
        </w:rPr>
        <w:t>. Pacienti so závažnou poruchou funkcie obličiek (</w:t>
      </w:r>
      <w:proofErr w:type="spellStart"/>
      <w:r w:rsidRPr="001A6657">
        <w:rPr>
          <w:szCs w:val="22"/>
          <w:lang w:val="sk-SK"/>
        </w:rPr>
        <w:t>klírens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kreatinínu</w:t>
      </w:r>
      <w:proofErr w:type="spellEnd"/>
      <w:r w:rsidRPr="001A6657">
        <w:rPr>
          <w:szCs w:val="22"/>
          <w:lang w:val="sk-SK"/>
        </w:rPr>
        <w:t xml:space="preserve"> ≤ 30 ml/min) sa majú podrobovať liečbe opatrne a užívať nie viac ako 5 mg jedenkrát denne</w:t>
      </w:r>
      <w:r w:rsidRPr="001A6657" w:rsidDel="00FE1525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(pozri časť 5.2).</w:t>
      </w:r>
    </w:p>
    <w:p w14:paraId="7A0AA8EE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</w:p>
    <w:p w14:paraId="05FFAAA6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Pacienti s poruchou funkcie pečene</w:t>
      </w:r>
    </w:p>
    <w:p w14:paraId="3C42634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pacientov s miernou poruchou funkcie pečene nie je potrebná úprava dávk</w:t>
      </w:r>
      <w:r w:rsidR="005E5E00" w:rsidRPr="001A6657">
        <w:rPr>
          <w:szCs w:val="22"/>
          <w:lang w:val="sk-SK"/>
        </w:rPr>
        <w:t>y</w:t>
      </w:r>
      <w:r w:rsidRPr="001A6657">
        <w:rPr>
          <w:szCs w:val="22"/>
          <w:lang w:val="sk-SK"/>
        </w:rPr>
        <w:t>. Pacienti so stredne závažnou poruchou funkcie pečene (</w:t>
      </w:r>
      <w:proofErr w:type="spellStart"/>
      <w:r w:rsidRPr="001A6657">
        <w:rPr>
          <w:szCs w:val="22"/>
          <w:lang w:val="sk-SK"/>
        </w:rPr>
        <w:t>Childovo-Pughovo</w:t>
      </w:r>
      <w:proofErr w:type="spellEnd"/>
      <w:r w:rsidRPr="001A6657">
        <w:rPr>
          <w:szCs w:val="22"/>
          <w:lang w:val="sk-SK"/>
        </w:rPr>
        <w:t xml:space="preserve"> skóre 7 až 9) sa majú podrobovať liečbe opatrne a užívať nie viac ako 5 mg jedenkrát denne (pozri časť 5.2).</w:t>
      </w:r>
    </w:p>
    <w:p w14:paraId="59E7140C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0F9033A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 xml:space="preserve">Silné inhibítory </w:t>
      </w:r>
      <w:proofErr w:type="spellStart"/>
      <w:r w:rsidRPr="001A6657">
        <w:rPr>
          <w:i/>
          <w:szCs w:val="22"/>
          <w:lang w:val="sk-SK"/>
        </w:rPr>
        <w:t>cytochrómu</w:t>
      </w:r>
      <w:proofErr w:type="spellEnd"/>
      <w:r w:rsidRPr="001A6657">
        <w:rPr>
          <w:i/>
          <w:szCs w:val="22"/>
          <w:lang w:val="sk-SK"/>
        </w:rPr>
        <w:t xml:space="preserve"> P450 3A4</w:t>
      </w:r>
    </w:p>
    <w:p w14:paraId="3BFD8D01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Maximálna dávka </w:t>
      </w:r>
      <w:proofErr w:type="spellStart"/>
      <w:r w:rsidR="005E5E00" w:rsidRPr="001A6657">
        <w:rPr>
          <w:szCs w:val="22"/>
          <w:lang w:val="sk-SK"/>
        </w:rPr>
        <w:t>solifenac</w:t>
      </w:r>
      <w:r w:rsidR="00F820BF">
        <w:rPr>
          <w:szCs w:val="22"/>
          <w:lang w:val="sk-SK"/>
        </w:rPr>
        <w:t>í</w:t>
      </w:r>
      <w:r w:rsidR="005E5E00" w:rsidRPr="001A6657">
        <w:rPr>
          <w:szCs w:val="22"/>
          <w:lang w:val="sk-SK"/>
        </w:rPr>
        <w:t>nu</w:t>
      </w:r>
      <w:proofErr w:type="spellEnd"/>
      <w:r w:rsidRPr="001A6657">
        <w:rPr>
          <w:szCs w:val="22"/>
          <w:lang w:val="sk-SK"/>
        </w:rPr>
        <w:t xml:space="preserve"> sa má obmedziť na 5 mg v prípade, ak je pacient súčasne liečený </w:t>
      </w:r>
      <w:proofErr w:type="spellStart"/>
      <w:r w:rsidRPr="001A6657">
        <w:rPr>
          <w:szCs w:val="22"/>
          <w:lang w:val="sk-SK"/>
        </w:rPr>
        <w:t>ketokonazolom</w:t>
      </w:r>
      <w:proofErr w:type="spellEnd"/>
      <w:r w:rsidRPr="001A6657">
        <w:rPr>
          <w:szCs w:val="22"/>
          <w:lang w:val="sk-SK"/>
        </w:rPr>
        <w:t xml:space="preserve"> alebo terapeutickými dávkami iných silných inhibítorov CYP3A4, akými sú </w:t>
      </w:r>
      <w:proofErr w:type="spellStart"/>
      <w:r w:rsidRPr="001A6657">
        <w:rPr>
          <w:szCs w:val="22"/>
          <w:lang w:val="sk-SK"/>
        </w:rPr>
        <w:t>ritonavir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nelfinavir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itrakonazol</w:t>
      </w:r>
      <w:proofErr w:type="spellEnd"/>
      <w:r w:rsidRPr="001A6657">
        <w:rPr>
          <w:szCs w:val="22"/>
          <w:lang w:val="sk-SK"/>
        </w:rPr>
        <w:t xml:space="preserve"> (pozri časť 4.5).</w:t>
      </w:r>
    </w:p>
    <w:p w14:paraId="09173D67" w14:textId="77777777" w:rsidR="00AE6CB0" w:rsidRPr="001A6657" w:rsidRDefault="00AE6CB0" w:rsidP="00A505E4">
      <w:pPr>
        <w:spacing w:line="240" w:lineRule="auto"/>
        <w:rPr>
          <w:szCs w:val="22"/>
          <w:u w:val="single"/>
          <w:lang w:val="sk-SK"/>
        </w:rPr>
      </w:pPr>
    </w:p>
    <w:p w14:paraId="5B9B4A52" w14:textId="77777777" w:rsidR="009E6B3B" w:rsidRPr="001A6657" w:rsidRDefault="00A734B6" w:rsidP="007B5D9A">
      <w:pPr>
        <w:keepNext/>
        <w:spacing w:line="240" w:lineRule="auto"/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Spôsob podávania</w:t>
      </w:r>
    </w:p>
    <w:p w14:paraId="6F7F0494" w14:textId="77777777" w:rsidR="009608C4" w:rsidRPr="001A6657" w:rsidRDefault="005E5E00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Solifenacin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Mylan</w:t>
      </w:r>
      <w:proofErr w:type="spellEnd"/>
      <w:r w:rsidR="00857CA3" w:rsidRPr="001A6657">
        <w:rPr>
          <w:szCs w:val="22"/>
          <w:lang w:val="sk-SK"/>
        </w:rPr>
        <w:t xml:space="preserve"> sa užíva</w:t>
      </w:r>
      <w:r w:rsidR="009608C4" w:rsidRPr="001A6657">
        <w:rPr>
          <w:szCs w:val="22"/>
          <w:lang w:val="sk-SK"/>
        </w:rPr>
        <w:t xml:space="preserve"> perorálne</w:t>
      </w:r>
      <w:r w:rsidR="00857CA3" w:rsidRPr="001A6657">
        <w:rPr>
          <w:szCs w:val="22"/>
          <w:lang w:val="sk-SK"/>
        </w:rPr>
        <w:t>.</w:t>
      </w:r>
      <w:r w:rsidR="009608C4" w:rsidRPr="001A6657">
        <w:rPr>
          <w:szCs w:val="22"/>
          <w:lang w:val="sk-SK"/>
        </w:rPr>
        <w:t xml:space="preserve"> </w:t>
      </w:r>
      <w:r w:rsidR="00857CA3" w:rsidRPr="001A6657">
        <w:rPr>
          <w:szCs w:val="22"/>
          <w:lang w:val="sk-SK"/>
        </w:rPr>
        <w:t>Tableta sa má prehltnúť celá</w:t>
      </w:r>
      <w:r w:rsidR="009608C4" w:rsidRPr="001A6657">
        <w:rPr>
          <w:szCs w:val="22"/>
          <w:lang w:val="sk-SK"/>
        </w:rPr>
        <w:t xml:space="preserve"> a zapiť tekutinou. Môže sa užívať s jedlom alebo nezávisle od jedla.</w:t>
      </w:r>
    </w:p>
    <w:p w14:paraId="76DF84F8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7FD0AD0" w14:textId="77777777" w:rsidR="009E6B3B" w:rsidRPr="001A6657" w:rsidRDefault="00A734B6" w:rsidP="007B5D9A">
      <w:pPr>
        <w:keepNext/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4.3</w:t>
      </w:r>
      <w:r w:rsidRPr="001A6657">
        <w:rPr>
          <w:b/>
          <w:szCs w:val="22"/>
          <w:lang w:val="sk-SK"/>
        </w:rPr>
        <w:tab/>
        <w:t>Kontraindikácie</w:t>
      </w:r>
    </w:p>
    <w:p w14:paraId="4194BCFB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0222C6E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je kontraindikovaný u pacientov s </w:t>
      </w:r>
      <w:proofErr w:type="spellStart"/>
      <w:r w:rsidRPr="001A6657">
        <w:rPr>
          <w:szCs w:val="22"/>
          <w:lang w:val="sk-SK"/>
        </w:rPr>
        <w:t>retenciou</w:t>
      </w:r>
      <w:proofErr w:type="spellEnd"/>
      <w:r w:rsidRPr="001A6657">
        <w:rPr>
          <w:szCs w:val="22"/>
          <w:lang w:val="sk-SK"/>
        </w:rPr>
        <w:t xml:space="preserve"> moču, so závažnými </w:t>
      </w:r>
      <w:proofErr w:type="spellStart"/>
      <w:r w:rsidRPr="001A6657">
        <w:rPr>
          <w:szCs w:val="22"/>
          <w:lang w:val="sk-SK"/>
        </w:rPr>
        <w:t>gastrointestinálnymi</w:t>
      </w:r>
      <w:proofErr w:type="spellEnd"/>
      <w:r w:rsidRPr="001A6657">
        <w:rPr>
          <w:szCs w:val="22"/>
          <w:lang w:val="sk-SK"/>
        </w:rPr>
        <w:t xml:space="preserve"> poruchami (vrátane toxického </w:t>
      </w:r>
      <w:proofErr w:type="spellStart"/>
      <w:r w:rsidRPr="001A6657">
        <w:rPr>
          <w:szCs w:val="22"/>
          <w:lang w:val="sk-SK"/>
        </w:rPr>
        <w:t>megakolónu</w:t>
      </w:r>
      <w:proofErr w:type="spellEnd"/>
      <w:r w:rsidRPr="001A6657">
        <w:rPr>
          <w:szCs w:val="22"/>
          <w:lang w:val="sk-SK"/>
        </w:rPr>
        <w:t>), s </w:t>
      </w:r>
      <w:proofErr w:type="spellStart"/>
      <w:r w:rsidRPr="001A6657">
        <w:rPr>
          <w:szCs w:val="22"/>
          <w:lang w:val="sk-SK"/>
        </w:rPr>
        <w:t>myasténiou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gravis</w:t>
      </w:r>
      <w:proofErr w:type="spellEnd"/>
      <w:r w:rsidRPr="001A6657">
        <w:rPr>
          <w:szCs w:val="22"/>
          <w:lang w:val="sk-SK"/>
        </w:rPr>
        <w:t xml:space="preserve"> alebo </w:t>
      </w:r>
      <w:proofErr w:type="spellStart"/>
      <w:r w:rsidRPr="001A6657">
        <w:rPr>
          <w:szCs w:val="22"/>
          <w:lang w:val="sk-SK"/>
        </w:rPr>
        <w:t>glaukómom</w:t>
      </w:r>
      <w:proofErr w:type="spellEnd"/>
      <w:r w:rsidRPr="001A6657">
        <w:rPr>
          <w:szCs w:val="22"/>
          <w:lang w:val="sk-SK"/>
        </w:rPr>
        <w:t xml:space="preserve"> s úzkym uhlom a u pacientov s rizikom výskytu týchto stavov.</w:t>
      </w:r>
    </w:p>
    <w:p w14:paraId="0B360821" w14:textId="77777777" w:rsidR="00857CA3" w:rsidRPr="001A6657" w:rsidRDefault="00857CA3" w:rsidP="00857CA3">
      <w:pPr>
        <w:pStyle w:val="Odsekzoznamu"/>
        <w:numPr>
          <w:ilvl w:val="0"/>
          <w:numId w:val="38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Precitlivenosť na liečivo alebo na ktorúkoľvek z pomocných látok uvedených v časti 6.1.</w:t>
      </w:r>
    </w:p>
    <w:p w14:paraId="32E29CE7" w14:textId="77777777" w:rsidR="009608C4" w:rsidRPr="001A6657" w:rsidRDefault="009608C4" w:rsidP="00857CA3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Pacienti, ktorí sa podrobujú hemodialýze (pozri časť 5.2).</w:t>
      </w:r>
    </w:p>
    <w:p w14:paraId="3AAA1C41" w14:textId="77777777" w:rsidR="009608C4" w:rsidRPr="001A6657" w:rsidRDefault="009608C4" w:rsidP="00857CA3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Pacienti so závažnou poruchou funkcie pečene (pozri časť 5.2).</w:t>
      </w:r>
    </w:p>
    <w:p w14:paraId="2B0ACC1C" w14:textId="77777777" w:rsidR="009608C4" w:rsidRPr="001A6657" w:rsidRDefault="009608C4" w:rsidP="00857CA3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Pacienti so závažnou poruchou funkcie obličiek alebo stredne závažnou poruchou funkcie pečene a pacienti, ktorí sú liečení silnými </w:t>
      </w:r>
      <w:proofErr w:type="spellStart"/>
      <w:r w:rsidRPr="001A6657">
        <w:rPr>
          <w:szCs w:val="22"/>
          <w:lang w:val="sk-SK"/>
        </w:rPr>
        <w:t>inhibítoromi</w:t>
      </w:r>
      <w:proofErr w:type="spellEnd"/>
      <w:r w:rsidRPr="001A6657">
        <w:rPr>
          <w:szCs w:val="22"/>
          <w:lang w:val="sk-SK"/>
        </w:rPr>
        <w:t xml:space="preserve"> CYP3A4, napr. </w:t>
      </w:r>
      <w:proofErr w:type="spellStart"/>
      <w:r w:rsidRPr="001A6657">
        <w:rPr>
          <w:szCs w:val="22"/>
          <w:lang w:val="sk-SK"/>
        </w:rPr>
        <w:t>ketokonazolom</w:t>
      </w:r>
      <w:proofErr w:type="spellEnd"/>
      <w:r w:rsidRPr="001A6657">
        <w:rPr>
          <w:szCs w:val="22"/>
          <w:lang w:val="sk-SK"/>
        </w:rPr>
        <w:t xml:space="preserve"> (pozri časť 4.5).</w:t>
      </w:r>
    </w:p>
    <w:p w14:paraId="58450BE9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BE6DD42" w14:textId="77777777" w:rsidR="009E6B3B" w:rsidRPr="001A6657" w:rsidRDefault="00A734B6" w:rsidP="007B5D9A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4.4</w:t>
      </w:r>
      <w:r w:rsidRPr="001A6657">
        <w:rPr>
          <w:b/>
          <w:szCs w:val="22"/>
          <w:lang w:val="sk-SK"/>
        </w:rPr>
        <w:tab/>
        <w:t>Osobitné upozornenia a opatrenia pri používaní</w:t>
      </w:r>
    </w:p>
    <w:p w14:paraId="12C3113C" w14:textId="77777777" w:rsidR="009608C4" w:rsidRPr="001A6657" w:rsidRDefault="009608C4" w:rsidP="007B5D9A">
      <w:pPr>
        <w:keepNext/>
        <w:widowControl w:val="0"/>
        <w:rPr>
          <w:szCs w:val="22"/>
          <w:lang w:val="sk-SK"/>
        </w:rPr>
      </w:pPr>
    </w:p>
    <w:p w14:paraId="6078DFC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Pred začatím liečby </w:t>
      </w:r>
      <w:proofErr w:type="spellStart"/>
      <w:r w:rsidR="00857CA3" w:rsidRPr="001A6657">
        <w:rPr>
          <w:szCs w:val="22"/>
          <w:lang w:val="sk-SK"/>
        </w:rPr>
        <w:t>solifenacínom</w:t>
      </w:r>
      <w:proofErr w:type="spellEnd"/>
      <w:r w:rsidRPr="001A6657">
        <w:rPr>
          <w:szCs w:val="22"/>
          <w:lang w:val="sk-SK"/>
        </w:rPr>
        <w:t xml:space="preserve"> sa majú zhodnotiť ďalšie príčiny častého močenia (zlyhávanie srdca alebo ochorenie obličiek). V prípade výskytu infekcie močovej sústavy sa má začať príslušná antibakteriálna liečba.</w:t>
      </w:r>
    </w:p>
    <w:p w14:paraId="182D7285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228F05A6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</w:t>
      </w:r>
      <w:r w:rsidR="00857CA3" w:rsidRPr="001A6657">
        <w:rPr>
          <w:szCs w:val="22"/>
          <w:lang w:val="sk-SK"/>
        </w:rPr>
        <w:t>fenacín</w:t>
      </w:r>
      <w:proofErr w:type="spellEnd"/>
      <w:r w:rsidRPr="001A6657">
        <w:rPr>
          <w:szCs w:val="22"/>
          <w:lang w:val="sk-SK"/>
        </w:rPr>
        <w:t xml:space="preserve"> sa má podávať opatrne u pacientov:</w:t>
      </w:r>
    </w:p>
    <w:p w14:paraId="63D88705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s klinicky významnou obštrukciou vývodu z močového mechúra s možným rizikom </w:t>
      </w:r>
      <w:proofErr w:type="spellStart"/>
      <w:r w:rsidRPr="001A6657">
        <w:rPr>
          <w:szCs w:val="22"/>
          <w:lang w:val="sk-SK"/>
        </w:rPr>
        <w:t>retencie</w:t>
      </w:r>
      <w:proofErr w:type="spellEnd"/>
      <w:r w:rsidRPr="001A6657">
        <w:rPr>
          <w:szCs w:val="22"/>
          <w:lang w:val="sk-SK"/>
        </w:rPr>
        <w:t xml:space="preserve"> moču,</w:t>
      </w:r>
    </w:p>
    <w:p w14:paraId="04C0C33B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 </w:t>
      </w:r>
      <w:proofErr w:type="spellStart"/>
      <w:r w:rsidRPr="001A6657">
        <w:rPr>
          <w:szCs w:val="22"/>
          <w:lang w:val="sk-SK"/>
        </w:rPr>
        <w:t>gastrointestinálnou</w:t>
      </w:r>
      <w:proofErr w:type="spellEnd"/>
      <w:r w:rsidRPr="001A6657">
        <w:rPr>
          <w:szCs w:val="22"/>
          <w:lang w:val="sk-SK"/>
        </w:rPr>
        <w:t xml:space="preserve"> obštrukčnou poruchou,</w:t>
      </w:r>
    </w:p>
    <w:p w14:paraId="720E5DEF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s rizikom zníženej </w:t>
      </w:r>
      <w:proofErr w:type="spellStart"/>
      <w:r w:rsidRPr="001A6657">
        <w:rPr>
          <w:szCs w:val="22"/>
          <w:lang w:val="sk-SK"/>
        </w:rPr>
        <w:t>gastrointestinálnej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motility</w:t>
      </w:r>
      <w:proofErr w:type="spellEnd"/>
      <w:r w:rsidRPr="001A6657">
        <w:rPr>
          <w:szCs w:val="22"/>
          <w:lang w:val="sk-SK"/>
        </w:rPr>
        <w:t>,</w:t>
      </w:r>
    </w:p>
    <w:p w14:paraId="2C36A02C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so závažnou poruchou funkcie obličiek (</w:t>
      </w:r>
      <w:proofErr w:type="spellStart"/>
      <w:r w:rsidRPr="001A6657">
        <w:rPr>
          <w:szCs w:val="22"/>
          <w:lang w:val="sk-SK"/>
        </w:rPr>
        <w:t>klírens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kreatinínu</w:t>
      </w:r>
      <w:proofErr w:type="spellEnd"/>
      <w:r w:rsidRPr="001A6657">
        <w:rPr>
          <w:szCs w:val="22"/>
          <w:lang w:val="sk-SK"/>
        </w:rPr>
        <w:t xml:space="preserve"> ≤ 30 ml/min; pozri časti 4.2 a 5.2), u týchto pacientov dávka nemá presiahnuť 5 mg,</w:t>
      </w:r>
    </w:p>
    <w:p w14:paraId="46AB85AF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so stredne závažnou poruchou funkcie pečene (</w:t>
      </w:r>
      <w:proofErr w:type="spellStart"/>
      <w:r w:rsidRPr="001A6657">
        <w:rPr>
          <w:szCs w:val="22"/>
          <w:lang w:val="sk-SK"/>
        </w:rPr>
        <w:t>Childovo-Pughovo</w:t>
      </w:r>
      <w:proofErr w:type="spellEnd"/>
      <w:r w:rsidRPr="001A6657">
        <w:rPr>
          <w:szCs w:val="22"/>
          <w:lang w:val="sk-SK"/>
        </w:rPr>
        <w:t xml:space="preserve"> skóre 7 až 9; pozri časti 4.2 a 5.2), u týchto pacientov dávka nemá presiahnuť 5 mg,</w:t>
      </w:r>
    </w:p>
    <w:p w14:paraId="3D347247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so súčasným užívaním silného inhibítora CYP3A4, napr. </w:t>
      </w:r>
      <w:proofErr w:type="spellStart"/>
      <w:r w:rsidRPr="001A6657">
        <w:rPr>
          <w:szCs w:val="22"/>
          <w:lang w:val="sk-SK"/>
        </w:rPr>
        <w:t>ketokonazol</w:t>
      </w:r>
      <w:r w:rsidR="00AE6E1B">
        <w:rPr>
          <w:szCs w:val="22"/>
          <w:lang w:val="sk-SK"/>
        </w:rPr>
        <w:t>u</w:t>
      </w:r>
      <w:proofErr w:type="spellEnd"/>
      <w:r w:rsidRPr="001A6657">
        <w:rPr>
          <w:szCs w:val="22"/>
          <w:lang w:val="sk-SK"/>
        </w:rPr>
        <w:t xml:space="preserve"> (pozri časti 4.2 a 4.5),</w:t>
      </w:r>
    </w:p>
    <w:p w14:paraId="2010D042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 hiátovou prietržou/</w:t>
      </w:r>
      <w:proofErr w:type="spellStart"/>
      <w:r w:rsidRPr="001A6657">
        <w:rPr>
          <w:szCs w:val="22"/>
          <w:lang w:val="sk-SK"/>
        </w:rPr>
        <w:t>gastroezofageálnym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refluxom</w:t>
      </w:r>
      <w:proofErr w:type="spellEnd"/>
      <w:r w:rsidRPr="001A6657">
        <w:rPr>
          <w:szCs w:val="22"/>
          <w:lang w:val="sk-SK"/>
        </w:rPr>
        <w:t xml:space="preserve"> a/alebo u pacientov, ktorí súčasne užívajú lieky (napr. </w:t>
      </w:r>
      <w:proofErr w:type="spellStart"/>
      <w:r w:rsidRPr="001A6657">
        <w:rPr>
          <w:szCs w:val="22"/>
          <w:lang w:val="sk-SK"/>
        </w:rPr>
        <w:t>bisfosfonáty</w:t>
      </w:r>
      <w:proofErr w:type="spellEnd"/>
      <w:r w:rsidRPr="001A6657">
        <w:rPr>
          <w:szCs w:val="22"/>
          <w:lang w:val="sk-SK"/>
        </w:rPr>
        <w:t xml:space="preserve">), ktoré môžu spôsobiť alebo zhoršiť </w:t>
      </w:r>
      <w:proofErr w:type="spellStart"/>
      <w:r w:rsidRPr="001A6657">
        <w:rPr>
          <w:szCs w:val="22"/>
          <w:lang w:val="sk-SK"/>
        </w:rPr>
        <w:t>ezofagitídu</w:t>
      </w:r>
      <w:proofErr w:type="spellEnd"/>
      <w:r w:rsidRPr="001A6657">
        <w:rPr>
          <w:szCs w:val="22"/>
          <w:lang w:val="sk-SK"/>
        </w:rPr>
        <w:t>,</w:t>
      </w:r>
    </w:p>
    <w:p w14:paraId="40122BE0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s autonómnou </w:t>
      </w:r>
      <w:proofErr w:type="spellStart"/>
      <w:r w:rsidRPr="001A6657">
        <w:rPr>
          <w:szCs w:val="22"/>
          <w:lang w:val="sk-SK"/>
        </w:rPr>
        <w:t>neuropatiou</w:t>
      </w:r>
      <w:proofErr w:type="spellEnd"/>
      <w:r w:rsidRPr="001A6657">
        <w:rPr>
          <w:szCs w:val="22"/>
          <w:lang w:val="sk-SK"/>
        </w:rPr>
        <w:t>.</w:t>
      </w:r>
    </w:p>
    <w:p w14:paraId="1429F72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28FC9281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pacientov s rizikovými faktormi, ako je syndróm dlhého intervalu QT a </w:t>
      </w:r>
      <w:proofErr w:type="spellStart"/>
      <w:r w:rsidRPr="001A6657">
        <w:rPr>
          <w:szCs w:val="22"/>
          <w:lang w:val="sk-SK"/>
        </w:rPr>
        <w:t>hypokaliémia</w:t>
      </w:r>
      <w:proofErr w:type="spellEnd"/>
      <w:r w:rsidRPr="001A6657">
        <w:rPr>
          <w:szCs w:val="22"/>
          <w:lang w:val="sk-SK"/>
        </w:rPr>
        <w:t xml:space="preserve"> v anamnéze, bolo pozorované predĺženie QT intervalu a </w:t>
      </w:r>
      <w:proofErr w:type="spellStart"/>
      <w:r w:rsidRPr="00813A03">
        <w:rPr>
          <w:i/>
          <w:szCs w:val="22"/>
          <w:lang w:val="sk-SK"/>
        </w:rPr>
        <w:t>torsade</w:t>
      </w:r>
      <w:proofErr w:type="spellEnd"/>
      <w:r w:rsidRPr="00813A03">
        <w:rPr>
          <w:i/>
          <w:szCs w:val="22"/>
          <w:lang w:val="sk-SK"/>
        </w:rPr>
        <w:t xml:space="preserve"> </w:t>
      </w:r>
      <w:proofErr w:type="spellStart"/>
      <w:r w:rsidRPr="00813A03">
        <w:rPr>
          <w:i/>
          <w:szCs w:val="22"/>
          <w:lang w:val="sk-SK"/>
        </w:rPr>
        <w:t>de</w:t>
      </w:r>
      <w:proofErr w:type="spellEnd"/>
      <w:r w:rsidRPr="00813A03">
        <w:rPr>
          <w:i/>
          <w:szCs w:val="22"/>
          <w:lang w:val="sk-SK"/>
        </w:rPr>
        <w:t xml:space="preserve"> </w:t>
      </w:r>
      <w:proofErr w:type="spellStart"/>
      <w:r w:rsidRPr="00813A03">
        <w:rPr>
          <w:i/>
          <w:szCs w:val="22"/>
          <w:lang w:val="sk-SK"/>
        </w:rPr>
        <w:t>pointes</w:t>
      </w:r>
      <w:proofErr w:type="spellEnd"/>
      <w:r w:rsidRPr="001A6657">
        <w:rPr>
          <w:szCs w:val="22"/>
          <w:lang w:val="sk-SK"/>
        </w:rPr>
        <w:t>.</w:t>
      </w:r>
    </w:p>
    <w:p w14:paraId="7C8D1CD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4C97D32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pacientov s </w:t>
      </w:r>
      <w:proofErr w:type="spellStart"/>
      <w:r w:rsidRPr="001A6657">
        <w:rPr>
          <w:szCs w:val="22"/>
          <w:lang w:val="sk-SK"/>
        </w:rPr>
        <w:t>neurogénnou</w:t>
      </w:r>
      <w:proofErr w:type="spellEnd"/>
      <w:r w:rsidRPr="001A6657">
        <w:rPr>
          <w:szCs w:val="22"/>
          <w:lang w:val="sk-SK"/>
        </w:rPr>
        <w:t xml:space="preserve"> príčinou </w:t>
      </w:r>
      <w:proofErr w:type="spellStart"/>
      <w:r w:rsidRPr="001A6657">
        <w:rPr>
          <w:szCs w:val="22"/>
          <w:lang w:val="sk-SK"/>
        </w:rPr>
        <w:t>hyperaktivity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detruzora</w:t>
      </w:r>
      <w:proofErr w:type="spellEnd"/>
      <w:r w:rsidRPr="001A6657">
        <w:rPr>
          <w:szCs w:val="22"/>
          <w:lang w:val="sk-SK"/>
        </w:rPr>
        <w:t xml:space="preserve"> sa bezpečnosť a účinnosť tohto lieku zatiaľ nestanovil</w:t>
      </w:r>
      <w:r w:rsidR="00857CA3" w:rsidRPr="001A6657">
        <w:rPr>
          <w:szCs w:val="22"/>
          <w:lang w:val="sk-SK"/>
        </w:rPr>
        <w:t>i</w:t>
      </w:r>
      <w:r w:rsidRPr="001A6657">
        <w:rPr>
          <w:szCs w:val="22"/>
          <w:lang w:val="sk-SK"/>
        </w:rPr>
        <w:t>.</w:t>
      </w:r>
    </w:p>
    <w:p w14:paraId="778D1706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7AB92B6D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Angioedém</w:t>
      </w:r>
      <w:proofErr w:type="spellEnd"/>
      <w:r w:rsidRPr="001A6657">
        <w:rPr>
          <w:szCs w:val="22"/>
          <w:lang w:val="sk-SK"/>
        </w:rPr>
        <w:t xml:space="preserve"> s obštrukciou dýchacích ciest bol hlásený u niektorých pacientov užívajúcich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. Pri výskyte </w:t>
      </w:r>
      <w:proofErr w:type="spellStart"/>
      <w:r w:rsidRPr="001A6657">
        <w:rPr>
          <w:szCs w:val="22"/>
          <w:lang w:val="sk-SK"/>
        </w:rPr>
        <w:t>angioedému</w:t>
      </w:r>
      <w:proofErr w:type="spellEnd"/>
      <w:r w:rsidRPr="001A6657">
        <w:rPr>
          <w:szCs w:val="22"/>
          <w:lang w:val="sk-SK"/>
        </w:rPr>
        <w:t xml:space="preserve"> sa má užívanie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ukončiť a má byť podaná vhodná liečba a/alebo prijaté vhodné opatrenia.</w:t>
      </w:r>
    </w:p>
    <w:p w14:paraId="2CC3E451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721ACAAB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Anafylaktické</w:t>
      </w:r>
      <w:proofErr w:type="spellEnd"/>
      <w:r w:rsidRPr="001A6657">
        <w:rPr>
          <w:szCs w:val="22"/>
          <w:lang w:val="sk-SK"/>
        </w:rPr>
        <w:t xml:space="preserve"> reakcie boli hlásené u niektorých pacientov liečených </w:t>
      </w:r>
      <w:proofErr w:type="spellStart"/>
      <w:r w:rsidRPr="001A6657">
        <w:rPr>
          <w:szCs w:val="22"/>
          <w:lang w:val="sk-SK"/>
        </w:rPr>
        <w:t>solifenacíniumsukcinátom</w:t>
      </w:r>
      <w:proofErr w:type="spellEnd"/>
      <w:r w:rsidRPr="001A6657">
        <w:rPr>
          <w:szCs w:val="22"/>
          <w:lang w:val="sk-SK"/>
        </w:rPr>
        <w:t xml:space="preserve">. U pacientov, u ktorých sa vyskytnú </w:t>
      </w:r>
      <w:proofErr w:type="spellStart"/>
      <w:r w:rsidRPr="001A6657">
        <w:rPr>
          <w:szCs w:val="22"/>
          <w:lang w:val="sk-SK"/>
        </w:rPr>
        <w:t>anafylaktické</w:t>
      </w:r>
      <w:proofErr w:type="spellEnd"/>
      <w:r w:rsidRPr="001A6657">
        <w:rPr>
          <w:szCs w:val="22"/>
          <w:lang w:val="sk-SK"/>
        </w:rPr>
        <w:t xml:space="preserve"> reakcie, sa má ukončiť užívanie </w:t>
      </w:r>
      <w:proofErr w:type="spellStart"/>
      <w:r w:rsidRPr="001A6657">
        <w:rPr>
          <w:szCs w:val="22"/>
          <w:lang w:val="sk-SK"/>
        </w:rPr>
        <w:t>solifenacíniumsukcinátu</w:t>
      </w:r>
      <w:proofErr w:type="spellEnd"/>
      <w:r w:rsidRPr="001A6657">
        <w:rPr>
          <w:szCs w:val="22"/>
          <w:lang w:val="sk-SK"/>
        </w:rPr>
        <w:t xml:space="preserve"> a má sa začať s náležitou liečbou a/alebo sa majú prijať vhodné opatrenia.</w:t>
      </w:r>
    </w:p>
    <w:p w14:paraId="08DDFAC2" w14:textId="77777777" w:rsidR="00857CA3" w:rsidRPr="001A6657" w:rsidRDefault="00857CA3" w:rsidP="00857CA3">
      <w:pPr>
        <w:widowControl w:val="0"/>
        <w:rPr>
          <w:szCs w:val="22"/>
          <w:lang w:val="sk-SK"/>
        </w:rPr>
      </w:pPr>
    </w:p>
    <w:p w14:paraId="46E9A909" w14:textId="77777777" w:rsidR="001A6657" w:rsidRPr="001A6657" w:rsidRDefault="001A6657" w:rsidP="001A6657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Maximálny účinok </w:t>
      </w:r>
      <w:proofErr w:type="spellStart"/>
      <w:r w:rsidRPr="001A6657">
        <w:rPr>
          <w:szCs w:val="22"/>
          <w:lang w:val="sk-SK"/>
        </w:rPr>
        <w:t>Solifenacinu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je možné stanoviť najskôr po uplynutí 4 týždňov od začiatku jeho užívania.</w:t>
      </w:r>
    </w:p>
    <w:p w14:paraId="0D069FD4" w14:textId="77777777" w:rsidR="001A6657" w:rsidRPr="001A6657" w:rsidRDefault="001A6657" w:rsidP="00857CA3">
      <w:pPr>
        <w:widowControl w:val="0"/>
        <w:rPr>
          <w:szCs w:val="22"/>
          <w:lang w:val="sk-SK"/>
        </w:rPr>
      </w:pPr>
    </w:p>
    <w:p w14:paraId="522E4E86" w14:textId="0DB54F42" w:rsidR="00857CA3" w:rsidRPr="001A6657" w:rsidRDefault="00857CA3" w:rsidP="00857CA3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Pacienti so zriedkavými dedičnými problémami </w:t>
      </w:r>
      <w:proofErr w:type="spellStart"/>
      <w:r w:rsidR="008F11EE">
        <w:rPr>
          <w:szCs w:val="22"/>
        </w:rPr>
        <w:t>intolerancie</w:t>
      </w:r>
      <w:proofErr w:type="spellEnd"/>
      <w:r w:rsidR="008F11EE">
        <w:rPr>
          <w:szCs w:val="22"/>
        </w:rPr>
        <w:t xml:space="preserve"> </w:t>
      </w:r>
      <w:proofErr w:type="spellStart"/>
      <w:r w:rsidR="008F11EE">
        <w:rPr>
          <w:szCs w:val="22"/>
        </w:rPr>
        <w:t>galaktózy</w:t>
      </w:r>
      <w:proofErr w:type="spellEnd"/>
      <w:r w:rsidRPr="001A6657">
        <w:rPr>
          <w:szCs w:val="22"/>
          <w:lang w:val="sk-SK"/>
        </w:rPr>
        <w:t xml:space="preserve">, deficitu </w:t>
      </w:r>
      <w:proofErr w:type="spellStart"/>
      <w:r w:rsidRPr="001A6657">
        <w:rPr>
          <w:szCs w:val="22"/>
          <w:lang w:val="sk-SK"/>
        </w:rPr>
        <w:t>laktázy</w:t>
      </w:r>
      <w:proofErr w:type="spellEnd"/>
      <w:r w:rsidRPr="001A6657">
        <w:rPr>
          <w:szCs w:val="22"/>
          <w:lang w:val="sk-SK"/>
        </w:rPr>
        <w:t xml:space="preserve"> alebo </w:t>
      </w:r>
      <w:proofErr w:type="spellStart"/>
      <w:r w:rsidR="005C674C">
        <w:rPr>
          <w:szCs w:val="22"/>
        </w:rPr>
        <w:t>galaktózovou</w:t>
      </w:r>
      <w:proofErr w:type="spellEnd"/>
      <w:r w:rsidR="005C674C">
        <w:rPr>
          <w:szCs w:val="22"/>
        </w:rPr>
        <w:t xml:space="preserve"> </w:t>
      </w:r>
      <w:proofErr w:type="spellStart"/>
      <w:r w:rsidR="005C674C">
        <w:rPr>
          <w:szCs w:val="22"/>
        </w:rPr>
        <w:t>malabsorpciou</w:t>
      </w:r>
      <w:proofErr w:type="spellEnd"/>
      <w:r w:rsidR="005C674C" w:rsidRPr="001A6657" w:rsidDel="005C674C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nesmú užívať tento liek.</w:t>
      </w:r>
    </w:p>
    <w:p w14:paraId="55874198" w14:textId="77777777" w:rsidR="001A6657" w:rsidRPr="001A6657" w:rsidRDefault="001A6657" w:rsidP="001A6657">
      <w:pPr>
        <w:widowControl w:val="0"/>
        <w:rPr>
          <w:szCs w:val="22"/>
          <w:lang w:val="sk-SK"/>
        </w:rPr>
      </w:pPr>
    </w:p>
    <w:p w14:paraId="40EC5908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4.5</w:t>
      </w:r>
      <w:r w:rsidRPr="001A6657">
        <w:rPr>
          <w:b/>
          <w:szCs w:val="22"/>
          <w:lang w:val="sk-SK"/>
        </w:rPr>
        <w:tab/>
        <w:t>Liekové a iné interakcie</w:t>
      </w:r>
    </w:p>
    <w:p w14:paraId="46206890" w14:textId="77777777" w:rsidR="009608C4" w:rsidRPr="001A6657" w:rsidRDefault="009608C4" w:rsidP="007B5D9A">
      <w:pPr>
        <w:keepNext/>
        <w:widowControl w:val="0"/>
        <w:rPr>
          <w:szCs w:val="22"/>
          <w:lang w:val="sk-SK"/>
        </w:rPr>
      </w:pPr>
    </w:p>
    <w:p w14:paraId="6458424A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Farmakologické interakcie</w:t>
      </w:r>
    </w:p>
    <w:p w14:paraId="28F3F2E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Súčasná liečba inými liekmi s </w:t>
      </w:r>
      <w:proofErr w:type="spellStart"/>
      <w:r w:rsidRPr="001A6657">
        <w:rPr>
          <w:szCs w:val="22"/>
          <w:lang w:val="sk-SK"/>
        </w:rPr>
        <w:t>anticholínergickými</w:t>
      </w:r>
      <w:proofErr w:type="spellEnd"/>
      <w:r w:rsidRPr="001A6657">
        <w:rPr>
          <w:szCs w:val="22"/>
          <w:lang w:val="sk-SK"/>
        </w:rPr>
        <w:t xml:space="preserve"> vlastnosťami môže vyústiť do výraznejších terapeutických účinkov a nežiaducich účinkov. Medzi ukončením liečby </w:t>
      </w:r>
      <w:proofErr w:type="spellStart"/>
      <w:r w:rsidR="001A6657">
        <w:rPr>
          <w:szCs w:val="22"/>
          <w:lang w:val="sk-SK"/>
        </w:rPr>
        <w:t>solifenacínom</w:t>
      </w:r>
      <w:proofErr w:type="spellEnd"/>
      <w:r w:rsidRPr="001A6657">
        <w:rPr>
          <w:szCs w:val="22"/>
          <w:lang w:val="sk-SK"/>
        </w:rPr>
        <w:t xml:space="preserve"> a začiatkom liečby iným </w:t>
      </w:r>
      <w:proofErr w:type="spellStart"/>
      <w:r w:rsidRPr="001A6657">
        <w:rPr>
          <w:szCs w:val="22"/>
          <w:lang w:val="sk-SK"/>
        </w:rPr>
        <w:t>anticholínergickým</w:t>
      </w:r>
      <w:proofErr w:type="spellEnd"/>
      <w:r w:rsidRPr="001A6657">
        <w:rPr>
          <w:szCs w:val="22"/>
          <w:lang w:val="sk-SK"/>
        </w:rPr>
        <w:t xml:space="preserve"> liekom má uplynúť približne jeden týždeň. Liečebný účinok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sa môže znížiť pri súčasnom podávaní </w:t>
      </w:r>
      <w:proofErr w:type="spellStart"/>
      <w:r w:rsidRPr="001A6657">
        <w:rPr>
          <w:szCs w:val="22"/>
          <w:lang w:val="sk-SK"/>
        </w:rPr>
        <w:t>agonistov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cholínergných</w:t>
      </w:r>
      <w:proofErr w:type="spellEnd"/>
      <w:r w:rsidRPr="001A6657">
        <w:rPr>
          <w:szCs w:val="22"/>
          <w:lang w:val="sk-SK"/>
        </w:rPr>
        <w:t xml:space="preserve"> receptorov.</w:t>
      </w:r>
    </w:p>
    <w:p w14:paraId="31B9DEC9" w14:textId="77777777" w:rsidR="001A6657" w:rsidRDefault="001A6657" w:rsidP="009608C4">
      <w:pPr>
        <w:widowControl w:val="0"/>
        <w:rPr>
          <w:szCs w:val="22"/>
          <w:lang w:val="sk-SK"/>
        </w:rPr>
      </w:pPr>
    </w:p>
    <w:p w14:paraId="42A48336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môže znížiť účinok liekov, ktoré stimulujú </w:t>
      </w:r>
      <w:proofErr w:type="spellStart"/>
      <w:r w:rsidRPr="001A6657">
        <w:rPr>
          <w:szCs w:val="22"/>
          <w:lang w:val="sk-SK"/>
        </w:rPr>
        <w:t>motilitu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gastrointestinálneho</w:t>
      </w:r>
      <w:proofErr w:type="spellEnd"/>
      <w:r w:rsidRPr="001A6657">
        <w:rPr>
          <w:szCs w:val="22"/>
          <w:lang w:val="sk-SK"/>
        </w:rPr>
        <w:t xml:space="preserve"> traktu, akými sú napríklad </w:t>
      </w:r>
      <w:proofErr w:type="spellStart"/>
      <w:r w:rsidRPr="001A6657">
        <w:rPr>
          <w:szCs w:val="22"/>
          <w:lang w:val="sk-SK"/>
        </w:rPr>
        <w:t>metoklopramid</w:t>
      </w:r>
      <w:proofErr w:type="spellEnd"/>
      <w:r w:rsidRPr="001A6657">
        <w:rPr>
          <w:szCs w:val="22"/>
          <w:lang w:val="sk-SK"/>
        </w:rPr>
        <w:t xml:space="preserve"> a </w:t>
      </w:r>
      <w:proofErr w:type="spellStart"/>
      <w:r w:rsidRPr="001A6657">
        <w:rPr>
          <w:szCs w:val="22"/>
          <w:lang w:val="sk-SK"/>
        </w:rPr>
        <w:t>cisaprid</w:t>
      </w:r>
      <w:proofErr w:type="spellEnd"/>
      <w:r w:rsidRPr="001A6657">
        <w:rPr>
          <w:szCs w:val="22"/>
          <w:lang w:val="sk-SK"/>
        </w:rPr>
        <w:t>.</w:t>
      </w:r>
    </w:p>
    <w:p w14:paraId="3C4A7F51" w14:textId="77777777" w:rsidR="009608C4" w:rsidRPr="001A6657" w:rsidRDefault="009608C4" w:rsidP="009608C4">
      <w:pPr>
        <w:widowControl w:val="0"/>
        <w:rPr>
          <w:b/>
          <w:szCs w:val="22"/>
          <w:lang w:val="sk-SK"/>
        </w:rPr>
      </w:pPr>
    </w:p>
    <w:p w14:paraId="110311F5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proofErr w:type="spellStart"/>
      <w:r w:rsidRPr="001A6657">
        <w:rPr>
          <w:bCs/>
          <w:szCs w:val="22"/>
          <w:u w:val="single"/>
          <w:lang w:val="sk-SK"/>
        </w:rPr>
        <w:t>Farmakokinetické</w:t>
      </w:r>
      <w:proofErr w:type="spellEnd"/>
      <w:r w:rsidRPr="001A6657">
        <w:rPr>
          <w:bCs/>
          <w:szCs w:val="22"/>
          <w:u w:val="single"/>
          <w:lang w:val="sk-SK"/>
        </w:rPr>
        <w:t xml:space="preserve"> interakcie</w:t>
      </w:r>
    </w:p>
    <w:p w14:paraId="3DD49B1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Štúdie </w:t>
      </w:r>
      <w:r w:rsidRPr="001A6657">
        <w:rPr>
          <w:i/>
          <w:szCs w:val="22"/>
          <w:lang w:val="sk-SK"/>
        </w:rPr>
        <w:t xml:space="preserve">in </w:t>
      </w:r>
      <w:proofErr w:type="spellStart"/>
      <w:r w:rsidRPr="001A6657">
        <w:rPr>
          <w:i/>
          <w:szCs w:val="22"/>
          <w:lang w:val="sk-SK"/>
        </w:rPr>
        <w:t>vitro</w:t>
      </w:r>
      <w:proofErr w:type="spellEnd"/>
      <w:r w:rsidRPr="001A6657">
        <w:rPr>
          <w:i/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 xml:space="preserve">dokázali, že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pri terapeutických koncentráciách </w:t>
      </w:r>
      <w:proofErr w:type="spellStart"/>
      <w:r w:rsidRPr="001A6657">
        <w:rPr>
          <w:szCs w:val="22"/>
          <w:lang w:val="sk-SK"/>
        </w:rPr>
        <w:t>neinhibuje</w:t>
      </w:r>
      <w:proofErr w:type="spellEnd"/>
      <w:r w:rsidRPr="001A6657">
        <w:rPr>
          <w:szCs w:val="22"/>
          <w:lang w:val="sk-SK"/>
        </w:rPr>
        <w:t xml:space="preserve"> CYP1A1/2, 2C9, 2C19, 2D6 alebo 3A4 odvodené z </w:t>
      </w:r>
      <w:proofErr w:type="spellStart"/>
      <w:r w:rsidRPr="001A6657">
        <w:rPr>
          <w:szCs w:val="22"/>
          <w:lang w:val="sk-SK"/>
        </w:rPr>
        <w:t>mikrozómov</w:t>
      </w:r>
      <w:proofErr w:type="spellEnd"/>
      <w:r w:rsidRPr="001A6657">
        <w:rPr>
          <w:szCs w:val="22"/>
          <w:lang w:val="sk-SK"/>
        </w:rPr>
        <w:t xml:space="preserve"> ľudskej pečene. Preto je nepravdepodobné, že by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menil </w:t>
      </w:r>
      <w:proofErr w:type="spellStart"/>
      <w:r w:rsidRPr="001A6657">
        <w:rPr>
          <w:szCs w:val="22"/>
          <w:lang w:val="sk-SK"/>
        </w:rPr>
        <w:t>klírens</w:t>
      </w:r>
      <w:proofErr w:type="spellEnd"/>
      <w:r w:rsidRPr="001A6657">
        <w:rPr>
          <w:szCs w:val="22"/>
          <w:lang w:val="sk-SK"/>
        </w:rPr>
        <w:t xml:space="preserve"> liekov metabolizovaných pomocou týchto CYP enzýmov.</w:t>
      </w:r>
    </w:p>
    <w:p w14:paraId="204E1526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E8E2633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 xml:space="preserve">Účinok iných liekov na </w:t>
      </w:r>
      <w:proofErr w:type="spellStart"/>
      <w:r w:rsidRPr="001A6657">
        <w:rPr>
          <w:bCs/>
          <w:szCs w:val="22"/>
          <w:u w:val="single"/>
          <w:lang w:val="sk-SK"/>
        </w:rPr>
        <w:t>farmakokinetické</w:t>
      </w:r>
      <w:proofErr w:type="spellEnd"/>
      <w:r w:rsidRPr="001A6657">
        <w:rPr>
          <w:bCs/>
          <w:szCs w:val="22"/>
          <w:u w:val="single"/>
          <w:lang w:val="sk-SK"/>
        </w:rPr>
        <w:t xml:space="preserve"> vlastnosti </w:t>
      </w:r>
      <w:proofErr w:type="spellStart"/>
      <w:r w:rsidRPr="001A6657">
        <w:rPr>
          <w:bCs/>
          <w:szCs w:val="22"/>
          <w:u w:val="single"/>
          <w:lang w:val="sk-SK"/>
        </w:rPr>
        <w:t>solifenacínu</w:t>
      </w:r>
      <w:proofErr w:type="spellEnd"/>
    </w:p>
    <w:p w14:paraId="5E5C52B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sa metabolizuje pomocou CYP3A4. Súčasné podanie </w:t>
      </w:r>
      <w:proofErr w:type="spellStart"/>
      <w:r w:rsidRPr="001A6657">
        <w:rPr>
          <w:szCs w:val="22"/>
          <w:lang w:val="sk-SK"/>
        </w:rPr>
        <w:t>ketokonazolu</w:t>
      </w:r>
      <w:proofErr w:type="spellEnd"/>
      <w:r w:rsidRPr="001A6657">
        <w:rPr>
          <w:szCs w:val="22"/>
          <w:lang w:val="sk-SK"/>
        </w:rPr>
        <w:t xml:space="preserve"> (200 mg/denne), silného inhibítora CYP3A4, viedlo k dvojnásobnému zvýšeniu AUC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, zatiaľ čo podanie </w:t>
      </w:r>
      <w:proofErr w:type="spellStart"/>
      <w:r w:rsidRPr="001A6657">
        <w:rPr>
          <w:szCs w:val="22"/>
          <w:lang w:val="sk-SK"/>
        </w:rPr>
        <w:t>ketokonazolu</w:t>
      </w:r>
      <w:proofErr w:type="spellEnd"/>
      <w:r w:rsidRPr="001A6657">
        <w:rPr>
          <w:szCs w:val="22"/>
          <w:lang w:val="sk-SK"/>
        </w:rPr>
        <w:t xml:space="preserve"> v dávke 400 mg/deň viedlo k trojnásobnému zvýšeniu AUC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. Preto má byť maximálna dávka </w:t>
      </w:r>
      <w:proofErr w:type="spellStart"/>
      <w:r w:rsid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obmedzená na 5 mg v prípade, ak je pacient súčasne liečený </w:t>
      </w:r>
      <w:proofErr w:type="spellStart"/>
      <w:r w:rsidRPr="001A6657">
        <w:rPr>
          <w:szCs w:val="22"/>
          <w:lang w:val="sk-SK"/>
        </w:rPr>
        <w:t>ketokonazolom</w:t>
      </w:r>
      <w:proofErr w:type="spellEnd"/>
      <w:r w:rsidRPr="001A6657">
        <w:rPr>
          <w:szCs w:val="22"/>
          <w:lang w:val="sk-SK"/>
        </w:rPr>
        <w:t xml:space="preserve"> alebo terapeutickými dávkami iných silných inhibítorov CYP3A4 (napr. </w:t>
      </w:r>
      <w:proofErr w:type="spellStart"/>
      <w:r w:rsidRPr="001A6657">
        <w:rPr>
          <w:szCs w:val="22"/>
          <w:lang w:val="sk-SK"/>
        </w:rPr>
        <w:t>ritonavir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nelfinavir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itrakonazol</w:t>
      </w:r>
      <w:proofErr w:type="spellEnd"/>
      <w:r w:rsidRPr="001A6657">
        <w:rPr>
          <w:szCs w:val="22"/>
          <w:lang w:val="sk-SK"/>
        </w:rPr>
        <w:t>) (pozri časť 4.2).</w:t>
      </w:r>
    </w:p>
    <w:p w14:paraId="16DED8D5" w14:textId="77777777" w:rsidR="001A6657" w:rsidRDefault="001A6657" w:rsidP="009608C4">
      <w:pPr>
        <w:widowControl w:val="0"/>
        <w:rPr>
          <w:szCs w:val="22"/>
          <w:lang w:val="sk-SK"/>
        </w:rPr>
      </w:pPr>
    </w:p>
    <w:p w14:paraId="7E311162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Súčasná liečba </w:t>
      </w:r>
      <w:proofErr w:type="spellStart"/>
      <w:r w:rsidRPr="001A6657">
        <w:rPr>
          <w:szCs w:val="22"/>
          <w:lang w:val="sk-SK"/>
        </w:rPr>
        <w:t>solifenacínom</w:t>
      </w:r>
      <w:proofErr w:type="spellEnd"/>
      <w:r w:rsidRPr="001A6657">
        <w:rPr>
          <w:szCs w:val="22"/>
          <w:lang w:val="sk-SK"/>
        </w:rPr>
        <w:t xml:space="preserve"> a silným inhibítorom CYP3A4 je kontraindikovaná u pacientov so závažnou poruchou funkcie obličiek alebo stredne závažnou poruchou funkcie pečene.</w:t>
      </w:r>
    </w:p>
    <w:p w14:paraId="3B74CAAC" w14:textId="77777777" w:rsidR="009608C4" w:rsidRPr="001A6657" w:rsidRDefault="009608C4" w:rsidP="009608C4">
      <w:pPr>
        <w:widowControl w:val="0"/>
        <w:rPr>
          <w:rFonts w:eastAsia="MS Mincho"/>
          <w:szCs w:val="22"/>
          <w:lang w:val="sk-SK"/>
        </w:rPr>
      </w:pPr>
    </w:p>
    <w:p w14:paraId="0A8FFBE2" w14:textId="77777777" w:rsidR="009608C4" w:rsidRPr="001A6657" w:rsidRDefault="009608C4" w:rsidP="009608C4">
      <w:pPr>
        <w:widowControl w:val="0"/>
        <w:rPr>
          <w:bCs/>
          <w:szCs w:val="22"/>
          <w:lang w:val="sk-SK"/>
        </w:rPr>
      </w:pPr>
      <w:r w:rsidRPr="001A6657">
        <w:rPr>
          <w:szCs w:val="22"/>
          <w:lang w:val="sk-SK"/>
        </w:rPr>
        <w:t xml:space="preserve">Vplyv enzýmovej indukcie na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a jeho </w:t>
      </w:r>
      <w:proofErr w:type="spellStart"/>
      <w:r w:rsidRPr="001A6657">
        <w:rPr>
          <w:szCs w:val="22"/>
          <w:lang w:val="sk-SK"/>
        </w:rPr>
        <w:t>metabolitov</w:t>
      </w:r>
      <w:proofErr w:type="spellEnd"/>
      <w:r w:rsidRPr="001A6657">
        <w:rPr>
          <w:szCs w:val="22"/>
          <w:lang w:val="sk-SK"/>
        </w:rPr>
        <w:t xml:space="preserve"> nebol predmetom štúdie, rovnako ako ani vplyv substrátov s vyššou afinitou k CYP3A4 na expozíciu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. Keďže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sa metabolizuje prostredníctvom CYP3A4, sú možné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interakcie s inými substrátmi CYP3A4 s vyššou afinitou k CYP3A4 (napr. </w:t>
      </w:r>
      <w:proofErr w:type="spellStart"/>
      <w:r w:rsidRPr="001A6657">
        <w:rPr>
          <w:szCs w:val="22"/>
          <w:lang w:val="sk-SK"/>
        </w:rPr>
        <w:t>verapamil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diltiazem</w:t>
      </w:r>
      <w:proofErr w:type="spellEnd"/>
      <w:r w:rsidRPr="001A6657">
        <w:rPr>
          <w:szCs w:val="22"/>
          <w:lang w:val="sk-SK"/>
        </w:rPr>
        <w:t xml:space="preserve">) a induktormi CYP3A4 (napr. </w:t>
      </w:r>
      <w:proofErr w:type="spellStart"/>
      <w:r w:rsidRPr="001A6657">
        <w:rPr>
          <w:szCs w:val="22"/>
          <w:lang w:val="sk-SK"/>
        </w:rPr>
        <w:t>rifampicín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fenytoín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karbamazepín</w:t>
      </w:r>
      <w:proofErr w:type="spellEnd"/>
      <w:r w:rsidRPr="001A6657">
        <w:rPr>
          <w:szCs w:val="22"/>
          <w:lang w:val="sk-SK"/>
        </w:rPr>
        <w:t>)</w:t>
      </w:r>
      <w:r w:rsidRPr="001A6657">
        <w:rPr>
          <w:bCs/>
          <w:szCs w:val="22"/>
          <w:lang w:val="sk-SK"/>
        </w:rPr>
        <w:t>.</w:t>
      </w:r>
    </w:p>
    <w:p w14:paraId="50BEC6F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41E31472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lastRenderedPageBreak/>
        <w:t xml:space="preserve">Vplyv </w:t>
      </w:r>
      <w:proofErr w:type="spellStart"/>
      <w:r w:rsidRPr="001A6657">
        <w:rPr>
          <w:bCs/>
          <w:szCs w:val="22"/>
          <w:u w:val="single"/>
          <w:lang w:val="sk-SK"/>
        </w:rPr>
        <w:t>solifenacínu</w:t>
      </w:r>
      <w:proofErr w:type="spellEnd"/>
      <w:r w:rsidRPr="001A6657">
        <w:rPr>
          <w:bCs/>
          <w:szCs w:val="22"/>
          <w:u w:val="single"/>
          <w:lang w:val="sk-SK"/>
        </w:rPr>
        <w:t xml:space="preserve"> na </w:t>
      </w:r>
      <w:proofErr w:type="spellStart"/>
      <w:r w:rsidRPr="001A6657">
        <w:rPr>
          <w:bCs/>
          <w:szCs w:val="22"/>
          <w:u w:val="single"/>
          <w:lang w:val="sk-SK"/>
        </w:rPr>
        <w:t>farmakokinetické</w:t>
      </w:r>
      <w:proofErr w:type="spellEnd"/>
      <w:r w:rsidRPr="001A6657">
        <w:rPr>
          <w:bCs/>
          <w:szCs w:val="22"/>
          <w:u w:val="single"/>
          <w:lang w:val="sk-SK"/>
        </w:rPr>
        <w:t xml:space="preserve"> vlastnosti iných liekov</w:t>
      </w:r>
    </w:p>
    <w:p w14:paraId="3F942DC9" w14:textId="77777777" w:rsidR="001A6657" w:rsidRDefault="001A6657" w:rsidP="007B5D9A">
      <w:pPr>
        <w:keepNext/>
        <w:widowControl w:val="0"/>
        <w:rPr>
          <w:i/>
          <w:szCs w:val="22"/>
          <w:lang w:val="sk-SK"/>
        </w:rPr>
      </w:pPr>
    </w:p>
    <w:p w14:paraId="32AD3FBA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 xml:space="preserve">Perorálne </w:t>
      </w:r>
      <w:proofErr w:type="spellStart"/>
      <w:r w:rsidRPr="001A6657">
        <w:rPr>
          <w:i/>
          <w:szCs w:val="22"/>
          <w:lang w:val="sk-SK"/>
        </w:rPr>
        <w:t>kontraceptíva</w:t>
      </w:r>
      <w:proofErr w:type="spellEnd"/>
    </w:p>
    <w:p w14:paraId="3B7295E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Užívanie </w:t>
      </w:r>
      <w:proofErr w:type="spellStart"/>
      <w:r w:rsidRPr="001A6657">
        <w:rPr>
          <w:bCs/>
          <w:szCs w:val="22"/>
          <w:lang w:val="sk-SK"/>
        </w:rPr>
        <w:t>solifenacínu</w:t>
      </w:r>
      <w:proofErr w:type="spellEnd"/>
      <w:r w:rsidRPr="001A6657" w:rsidDel="00052A1A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 xml:space="preserve">nepreukázalo žiadnu </w:t>
      </w:r>
      <w:proofErr w:type="spellStart"/>
      <w:r w:rsidRPr="001A6657">
        <w:rPr>
          <w:szCs w:val="22"/>
          <w:lang w:val="sk-SK"/>
        </w:rPr>
        <w:t>farmakokinetickú</w:t>
      </w:r>
      <w:proofErr w:type="spellEnd"/>
      <w:r w:rsidRPr="001A6657">
        <w:rPr>
          <w:szCs w:val="22"/>
          <w:lang w:val="sk-SK"/>
        </w:rPr>
        <w:t xml:space="preserve"> interakciu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s kombinovanými perorálnymi </w:t>
      </w:r>
      <w:proofErr w:type="spellStart"/>
      <w:r w:rsidRPr="001A6657">
        <w:rPr>
          <w:szCs w:val="22"/>
          <w:lang w:val="sk-SK"/>
        </w:rPr>
        <w:t>kontraceptívami</w:t>
      </w:r>
      <w:proofErr w:type="spellEnd"/>
      <w:r w:rsidRPr="001A6657">
        <w:rPr>
          <w:szCs w:val="22"/>
          <w:lang w:val="sk-SK"/>
        </w:rPr>
        <w:t xml:space="preserve"> (</w:t>
      </w:r>
      <w:proofErr w:type="spellStart"/>
      <w:r w:rsidRPr="001A6657">
        <w:rPr>
          <w:szCs w:val="22"/>
          <w:lang w:val="sk-SK"/>
        </w:rPr>
        <w:t>etinylestradiol</w:t>
      </w:r>
      <w:proofErr w:type="spellEnd"/>
      <w:r w:rsidRPr="001A6657">
        <w:rPr>
          <w:szCs w:val="22"/>
          <w:lang w:val="sk-SK"/>
        </w:rPr>
        <w:t>/</w:t>
      </w:r>
      <w:proofErr w:type="spellStart"/>
      <w:r w:rsidRPr="001A6657">
        <w:rPr>
          <w:szCs w:val="22"/>
          <w:lang w:val="sk-SK"/>
        </w:rPr>
        <w:t>levonorgestrel</w:t>
      </w:r>
      <w:proofErr w:type="spellEnd"/>
      <w:r w:rsidRPr="001A6657">
        <w:rPr>
          <w:szCs w:val="22"/>
          <w:lang w:val="sk-SK"/>
        </w:rPr>
        <w:t>).</w:t>
      </w:r>
    </w:p>
    <w:p w14:paraId="35ED2512" w14:textId="77777777" w:rsidR="001A6657" w:rsidRDefault="001A6657" w:rsidP="009608C4">
      <w:pPr>
        <w:widowControl w:val="0"/>
        <w:rPr>
          <w:i/>
          <w:szCs w:val="22"/>
          <w:lang w:val="sk-SK"/>
        </w:rPr>
      </w:pPr>
    </w:p>
    <w:p w14:paraId="65B3E3D3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proofErr w:type="spellStart"/>
      <w:r w:rsidRPr="001A6657">
        <w:rPr>
          <w:i/>
          <w:szCs w:val="22"/>
          <w:lang w:val="sk-SK"/>
        </w:rPr>
        <w:t>Warfarín</w:t>
      </w:r>
      <w:proofErr w:type="spellEnd"/>
    </w:p>
    <w:p w14:paraId="41381003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Užívanie </w:t>
      </w:r>
      <w:proofErr w:type="spellStart"/>
      <w:r w:rsidRPr="001A6657">
        <w:rPr>
          <w:bCs/>
          <w:szCs w:val="22"/>
          <w:lang w:val="sk-SK"/>
        </w:rPr>
        <w:t>solifenacínu</w:t>
      </w:r>
      <w:proofErr w:type="spellEnd"/>
      <w:r w:rsidRPr="001A6657" w:rsidDel="00052A1A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 xml:space="preserve">nezmenilo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</w:t>
      </w:r>
      <w:proofErr w:type="spellStart"/>
      <w:r w:rsidRPr="001A6657">
        <w:rPr>
          <w:szCs w:val="22"/>
          <w:lang w:val="sk-SK"/>
        </w:rPr>
        <w:t>R-warfarínu</w:t>
      </w:r>
      <w:proofErr w:type="spellEnd"/>
      <w:r w:rsidRPr="001A6657">
        <w:rPr>
          <w:szCs w:val="22"/>
          <w:lang w:val="sk-SK"/>
        </w:rPr>
        <w:t xml:space="preserve"> ani </w:t>
      </w:r>
      <w:proofErr w:type="spellStart"/>
      <w:r w:rsidRPr="001A6657">
        <w:rPr>
          <w:szCs w:val="22"/>
          <w:lang w:val="sk-SK"/>
        </w:rPr>
        <w:t>S</w:t>
      </w:r>
      <w:r w:rsidRPr="001A6657">
        <w:rPr>
          <w:szCs w:val="22"/>
          <w:lang w:val="sk-SK"/>
        </w:rPr>
        <w:noBreakHyphen/>
        <w:t>warfarínu</w:t>
      </w:r>
      <w:proofErr w:type="spellEnd"/>
      <w:r w:rsidRPr="001A6657">
        <w:rPr>
          <w:szCs w:val="22"/>
          <w:lang w:val="sk-SK"/>
        </w:rPr>
        <w:t xml:space="preserve">, ani ich účinok na </w:t>
      </w:r>
      <w:proofErr w:type="spellStart"/>
      <w:r w:rsidRPr="001A6657">
        <w:rPr>
          <w:szCs w:val="22"/>
          <w:lang w:val="sk-SK"/>
        </w:rPr>
        <w:t>protrombínový</w:t>
      </w:r>
      <w:proofErr w:type="spellEnd"/>
      <w:r w:rsidRPr="001A6657">
        <w:rPr>
          <w:szCs w:val="22"/>
          <w:lang w:val="sk-SK"/>
        </w:rPr>
        <w:t xml:space="preserve"> čas.</w:t>
      </w:r>
    </w:p>
    <w:p w14:paraId="1ECB0E52" w14:textId="77777777" w:rsidR="001A6657" w:rsidRDefault="001A6657" w:rsidP="009608C4">
      <w:pPr>
        <w:widowControl w:val="0"/>
        <w:rPr>
          <w:i/>
          <w:szCs w:val="22"/>
          <w:lang w:val="sk-SK"/>
        </w:rPr>
      </w:pPr>
    </w:p>
    <w:p w14:paraId="6EF12159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proofErr w:type="spellStart"/>
      <w:r w:rsidRPr="001A6657">
        <w:rPr>
          <w:i/>
          <w:szCs w:val="22"/>
          <w:lang w:val="sk-SK"/>
        </w:rPr>
        <w:t>Digoxín</w:t>
      </w:r>
      <w:proofErr w:type="spellEnd"/>
    </w:p>
    <w:p w14:paraId="3399511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Užívanie </w:t>
      </w:r>
      <w:proofErr w:type="spellStart"/>
      <w:r w:rsidRPr="001A6657">
        <w:rPr>
          <w:bCs/>
          <w:szCs w:val="22"/>
          <w:lang w:val="sk-SK"/>
        </w:rPr>
        <w:t>solifenacínu</w:t>
      </w:r>
      <w:proofErr w:type="spellEnd"/>
      <w:r w:rsidRPr="001A6657" w:rsidDel="00052A1A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 xml:space="preserve">nevykázalo žiaden vplyv na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</w:t>
      </w:r>
      <w:proofErr w:type="spellStart"/>
      <w:r w:rsidRPr="001A6657">
        <w:rPr>
          <w:szCs w:val="22"/>
          <w:lang w:val="sk-SK"/>
        </w:rPr>
        <w:t>digoxínu</w:t>
      </w:r>
      <w:proofErr w:type="spellEnd"/>
      <w:r w:rsidRPr="001A6657">
        <w:rPr>
          <w:szCs w:val="22"/>
          <w:lang w:val="sk-SK"/>
        </w:rPr>
        <w:t>.</w:t>
      </w:r>
    </w:p>
    <w:p w14:paraId="1BC7A4DD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50C61CA" w14:textId="77777777" w:rsidR="009E6B3B" w:rsidRPr="001A6657" w:rsidRDefault="00F7505D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4.6</w:t>
      </w:r>
      <w:r w:rsidRPr="001A6657">
        <w:rPr>
          <w:b/>
          <w:szCs w:val="22"/>
          <w:lang w:val="sk-SK"/>
        </w:rPr>
        <w:tab/>
      </w:r>
      <w:proofErr w:type="spellStart"/>
      <w:r w:rsidR="00A734B6" w:rsidRPr="001A6657">
        <w:rPr>
          <w:b/>
          <w:szCs w:val="22"/>
          <w:lang w:val="sk-SK"/>
        </w:rPr>
        <w:t>Fertilita</w:t>
      </w:r>
      <w:proofErr w:type="spellEnd"/>
      <w:r w:rsidR="00A734B6" w:rsidRPr="001A6657">
        <w:rPr>
          <w:b/>
          <w:szCs w:val="22"/>
          <w:lang w:val="sk-SK"/>
        </w:rPr>
        <w:t>, gravidita a laktácia</w:t>
      </w:r>
    </w:p>
    <w:p w14:paraId="5710625D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2A9A7DC7" w14:textId="77777777" w:rsidR="009E6B3B" w:rsidRPr="001A6657" w:rsidRDefault="00A734B6" w:rsidP="007B5D9A">
      <w:pPr>
        <w:keepNext/>
        <w:spacing w:line="240" w:lineRule="auto"/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Gravidita</w:t>
      </w:r>
    </w:p>
    <w:p w14:paraId="03D7F5AB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Nie sú k dispozícii žiadne klinické údaje o ženách, ktoré otehotneli počas užívania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>. Štúdie na zvieratách nepreukázali priame škodlivé účinky na plodnosť, embryonálny/</w:t>
      </w:r>
      <w:proofErr w:type="spellStart"/>
      <w:r w:rsidRPr="001A6657">
        <w:rPr>
          <w:szCs w:val="22"/>
          <w:lang w:val="sk-SK"/>
        </w:rPr>
        <w:t>fetálny</w:t>
      </w:r>
      <w:proofErr w:type="spellEnd"/>
      <w:r w:rsidRPr="001A6657">
        <w:rPr>
          <w:szCs w:val="22"/>
          <w:lang w:val="sk-SK"/>
        </w:rPr>
        <w:t xml:space="preserve"> vývoj alebo pôrod (pozri časť 5.3). Potenciálne riziko u ľudí nie je známe. Pri predpisovaní lieku gravidným ženám je potrebná opatrnosť.</w:t>
      </w:r>
    </w:p>
    <w:p w14:paraId="0EF84158" w14:textId="77777777" w:rsidR="009608C4" w:rsidRPr="001A6657" w:rsidRDefault="009608C4" w:rsidP="00A505E4">
      <w:pPr>
        <w:spacing w:line="240" w:lineRule="auto"/>
        <w:rPr>
          <w:szCs w:val="22"/>
          <w:lang w:val="sk-SK"/>
        </w:rPr>
      </w:pPr>
    </w:p>
    <w:p w14:paraId="64EF847D" w14:textId="77777777" w:rsidR="009E6B3B" w:rsidRPr="001A6657" w:rsidRDefault="00D60D9E" w:rsidP="007B5D9A">
      <w:pPr>
        <w:keepNext/>
        <w:spacing w:line="240" w:lineRule="auto"/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Dojčenie</w:t>
      </w:r>
    </w:p>
    <w:p w14:paraId="53BAA01A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Údaje o vylučovaní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do ľudského mlieka nie sú k dispozícii. U myší sa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a/alebo jeho </w:t>
      </w:r>
      <w:proofErr w:type="spellStart"/>
      <w:r w:rsidRPr="001A6657">
        <w:rPr>
          <w:szCs w:val="22"/>
          <w:lang w:val="sk-SK"/>
        </w:rPr>
        <w:t>metabolity</w:t>
      </w:r>
      <w:proofErr w:type="spellEnd"/>
      <w:r w:rsidRPr="001A6657">
        <w:rPr>
          <w:szCs w:val="22"/>
          <w:lang w:val="sk-SK"/>
        </w:rPr>
        <w:t xml:space="preserve"> vylučovali do mlieka, čo spôsobilo od dávky závislé nedostatočné prospievanie novorodenej myši (pozri časť 5.3). Preto sa počas obdobia dojčenia nemá </w:t>
      </w:r>
      <w:proofErr w:type="spellStart"/>
      <w:r w:rsidRPr="001A6657">
        <w:rPr>
          <w:szCs w:val="22"/>
          <w:lang w:val="sk-SK"/>
        </w:rPr>
        <w:t>So</w:t>
      </w:r>
      <w:r w:rsidR="001A6657">
        <w:rPr>
          <w:szCs w:val="22"/>
          <w:lang w:val="sk-SK"/>
        </w:rPr>
        <w:t>lifenacin</w:t>
      </w:r>
      <w:proofErr w:type="spellEnd"/>
      <w:r w:rsidR="001A6657">
        <w:rPr>
          <w:szCs w:val="22"/>
          <w:lang w:val="sk-SK"/>
        </w:rPr>
        <w:t xml:space="preserve"> </w:t>
      </w:r>
      <w:proofErr w:type="spellStart"/>
      <w:r w:rsid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užívať.</w:t>
      </w:r>
    </w:p>
    <w:p w14:paraId="399CE67A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342B8C6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4.7</w:t>
      </w:r>
      <w:r w:rsidRPr="001A6657">
        <w:rPr>
          <w:b/>
          <w:szCs w:val="22"/>
          <w:lang w:val="sk-SK"/>
        </w:rPr>
        <w:tab/>
        <w:t>Ovplyvnenie schopnosti viesť vozidlá a obsluhovať stroje</w:t>
      </w:r>
    </w:p>
    <w:p w14:paraId="41B777B2" w14:textId="77777777" w:rsidR="009608C4" w:rsidRPr="001A6657" w:rsidRDefault="009608C4" w:rsidP="007B5D9A">
      <w:pPr>
        <w:keepNext/>
        <w:widowControl w:val="0"/>
        <w:rPr>
          <w:szCs w:val="22"/>
          <w:lang w:val="sk-SK"/>
        </w:rPr>
      </w:pPr>
    </w:p>
    <w:p w14:paraId="3677B37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Keďže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, tak ako aj iné </w:t>
      </w:r>
      <w:proofErr w:type="spellStart"/>
      <w:r w:rsidRPr="001A6657">
        <w:rPr>
          <w:szCs w:val="22"/>
          <w:lang w:val="sk-SK"/>
        </w:rPr>
        <w:t>anticholínergiká</w:t>
      </w:r>
      <w:proofErr w:type="spellEnd"/>
      <w:r w:rsidRPr="001A6657">
        <w:rPr>
          <w:szCs w:val="22"/>
          <w:lang w:val="sk-SK"/>
        </w:rPr>
        <w:t>, môže spôsobovať rozmazané videnie a menej často ospalosť a únavu (pozri časť 4.8.), môže mať negatívny vplyv na schopnosť viesť vozidlá a obsluhovať stroje.</w:t>
      </w:r>
    </w:p>
    <w:p w14:paraId="292DBBB9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A875E9B" w14:textId="77777777" w:rsidR="009E6B3B" w:rsidRPr="001A6657" w:rsidRDefault="00A734B6" w:rsidP="007B5D9A">
      <w:pPr>
        <w:keepNext/>
        <w:spacing w:line="240" w:lineRule="auto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4.8</w:t>
      </w:r>
      <w:r w:rsidRPr="001A6657">
        <w:rPr>
          <w:b/>
          <w:szCs w:val="22"/>
          <w:lang w:val="sk-SK"/>
        </w:rPr>
        <w:tab/>
        <w:t>Nežiaduce účinky</w:t>
      </w:r>
    </w:p>
    <w:p w14:paraId="16453535" w14:textId="77777777" w:rsidR="001A6657" w:rsidRDefault="001A6657" w:rsidP="007B5D9A">
      <w:pPr>
        <w:keepNext/>
        <w:widowControl w:val="0"/>
        <w:rPr>
          <w:szCs w:val="22"/>
          <w:u w:val="single"/>
          <w:lang w:val="sk-SK"/>
        </w:rPr>
      </w:pPr>
    </w:p>
    <w:p w14:paraId="7816DE02" w14:textId="77777777" w:rsidR="009608C4" w:rsidRPr="001A6657" w:rsidRDefault="009608C4" w:rsidP="007B5D9A">
      <w:pPr>
        <w:keepNext/>
        <w:widowControl w:val="0"/>
        <w:rPr>
          <w:szCs w:val="22"/>
          <w:u w:val="single"/>
          <w:lang w:val="sk-SK"/>
        </w:rPr>
      </w:pPr>
      <w:r w:rsidRPr="001A6657">
        <w:rPr>
          <w:szCs w:val="22"/>
          <w:u w:val="single"/>
          <w:lang w:val="sk-SK"/>
        </w:rPr>
        <w:t>Súhrn bezpečnostného profilu</w:t>
      </w:r>
    </w:p>
    <w:p w14:paraId="204FF5EE" w14:textId="77777777" w:rsidR="001A6657" w:rsidRDefault="001A6657" w:rsidP="007B5D9A">
      <w:pPr>
        <w:keepNext/>
        <w:widowControl w:val="0"/>
        <w:rPr>
          <w:szCs w:val="22"/>
          <w:lang w:val="sk-SK"/>
        </w:rPr>
      </w:pPr>
    </w:p>
    <w:p w14:paraId="369A6109" w14:textId="77777777" w:rsidR="009608C4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Vzhľadom na farmakologické účinky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môže </w:t>
      </w:r>
      <w:r w:rsidR="001A6657">
        <w:rPr>
          <w:szCs w:val="22"/>
          <w:lang w:val="sk-SK"/>
        </w:rPr>
        <w:t xml:space="preserve">tento liek </w:t>
      </w:r>
      <w:r w:rsidRPr="001A6657">
        <w:rPr>
          <w:szCs w:val="22"/>
          <w:lang w:val="sk-SK"/>
        </w:rPr>
        <w:t xml:space="preserve">spôsobiť </w:t>
      </w:r>
      <w:proofErr w:type="spellStart"/>
      <w:r w:rsidRPr="001A6657">
        <w:rPr>
          <w:szCs w:val="22"/>
          <w:lang w:val="sk-SK"/>
        </w:rPr>
        <w:t>anticholínergické</w:t>
      </w:r>
      <w:proofErr w:type="spellEnd"/>
      <w:r w:rsidRPr="001A6657">
        <w:rPr>
          <w:szCs w:val="22"/>
          <w:lang w:val="sk-SK"/>
        </w:rPr>
        <w:t xml:space="preserve"> nežiaduce účinky (obvykle) miernej alebo strednej závažnosti. Frekvencia </w:t>
      </w:r>
      <w:proofErr w:type="spellStart"/>
      <w:r w:rsidRPr="001A6657">
        <w:rPr>
          <w:szCs w:val="22"/>
          <w:lang w:val="sk-SK"/>
        </w:rPr>
        <w:t>anticholínergických</w:t>
      </w:r>
      <w:proofErr w:type="spellEnd"/>
      <w:r w:rsidRPr="001A6657">
        <w:rPr>
          <w:szCs w:val="22"/>
          <w:lang w:val="sk-SK"/>
        </w:rPr>
        <w:t xml:space="preserve"> nežiaducich účinkov je závislá od dávky.</w:t>
      </w:r>
    </w:p>
    <w:p w14:paraId="5B896B3D" w14:textId="77777777" w:rsidR="001A6657" w:rsidRPr="001A6657" w:rsidRDefault="001A6657" w:rsidP="009608C4">
      <w:pPr>
        <w:widowControl w:val="0"/>
        <w:rPr>
          <w:szCs w:val="22"/>
          <w:lang w:val="sk-SK"/>
        </w:rPr>
      </w:pPr>
    </w:p>
    <w:p w14:paraId="41E3DC4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Najčastejšie hlásená nežiaduca reakcia pri užívaní </w:t>
      </w:r>
      <w:proofErr w:type="spellStart"/>
      <w:r w:rsidRPr="001A6657">
        <w:rPr>
          <w:iCs/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bola sucho v ústach. K tejto reakcii došlo u 11 % pacientov, ktorí užívali dávku 5 mg jedenkrát denne, u 22 % pacientov, ktorí užívali dávku 10 mg jedenkrát denne a u 4 % pacientov, ktorí užívali </w:t>
      </w:r>
      <w:proofErr w:type="spellStart"/>
      <w:r w:rsidRPr="001A6657">
        <w:rPr>
          <w:szCs w:val="22"/>
          <w:lang w:val="sk-SK"/>
        </w:rPr>
        <w:t>placebo</w:t>
      </w:r>
      <w:proofErr w:type="spellEnd"/>
      <w:r w:rsidRPr="001A6657">
        <w:rPr>
          <w:szCs w:val="22"/>
          <w:lang w:val="sk-SK"/>
        </w:rPr>
        <w:t xml:space="preserve">. Závažnosť sucha v ústach bola obvykle mierna a len občas viedla k prerušeniu liečby. </w:t>
      </w:r>
      <w:proofErr w:type="spellStart"/>
      <w:r w:rsidRPr="001A6657">
        <w:rPr>
          <w:i/>
          <w:szCs w:val="22"/>
          <w:lang w:val="sk-SK"/>
        </w:rPr>
        <w:t>Compliance</w:t>
      </w:r>
      <w:proofErr w:type="spellEnd"/>
      <w:r w:rsidRPr="001A6657">
        <w:rPr>
          <w:szCs w:val="22"/>
          <w:lang w:val="sk-SK"/>
        </w:rPr>
        <w:t xml:space="preserve"> lieku bola vo všeobecnosti veľmi vysoká (približne 99 %) a približne 90 % pacientov liečených </w:t>
      </w:r>
      <w:proofErr w:type="spellStart"/>
      <w:r w:rsidRPr="001A6657">
        <w:rPr>
          <w:iCs/>
          <w:szCs w:val="22"/>
          <w:lang w:val="sk-SK"/>
        </w:rPr>
        <w:t>solifenacínom</w:t>
      </w:r>
      <w:proofErr w:type="spellEnd"/>
      <w:r w:rsidRPr="001A6657" w:rsidDel="00871F26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ukončilo celú štúdiu v trvaní 12 týždňov.</w:t>
      </w:r>
    </w:p>
    <w:p w14:paraId="5D855BF7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025EEF7" w14:textId="77777777" w:rsidR="009608C4" w:rsidRPr="001A6657" w:rsidRDefault="009608C4" w:rsidP="00321014">
      <w:pPr>
        <w:keepNext/>
        <w:widowControl w:val="0"/>
        <w:rPr>
          <w:szCs w:val="22"/>
          <w:u w:val="single"/>
          <w:lang w:val="sk-SK"/>
        </w:rPr>
      </w:pPr>
      <w:bookmarkStart w:id="0" w:name="_GoBack"/>
      <w:r w:rsidRPr="001A6657">
        <w:rPr>
          <w:szCs w:val="22"/>
          <w:u w:val="single"/>
          <w:lang w:val="sk-SK"/>
        </w:rPr>
        <w:lastRenderedPageBreak/>
        <w:t>Tabuľkový zoznam nežiaducich účinkov</w:t>
      </w:r>
    </w:p>
    <w:p w14:paraId="2A4D6A93" w14:textId="77777777" w:rsidR="009608C4" w:rsidRPr="001A6657" w:rsidRDefault="009608C4" w:rsidP="00321014">
      <w:pPr>
        <w:keepNext/>
        <w:widowControl w:val="0"/>
        <w:rPr>
          <w:szCs w:val="22"/>
          <w:lang w:val="sk-SK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1275"/>
        <w:gridCol w:w="1276"/>
        <w:gridCol w:w="1276"/>
        <w:gridCol w:w="1559"/>
        <w:gridCol w:w="1418"/>
      </w:tblGrid>
      <w:tr w:rsidR="009608C4" w:rsidRPr="001A6657" w14:paraId="23C35E2C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6FE5201" w14:textId="77777777" w:rsidR="009608C4" w:rsidRPr="001A6657" w:rsidRDefault="009608C4" w:rsidP="007B5D9A">
            <w:pPr>
              <w:keepNext/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 xml:space="preserve">Trieda orgánových systémov podľa databázy </w:t>
            </w:r>
            <w:proofErr w:type="spellStart"/>
            <w:r w:rsidRPr="001A6657">
              <w:rPr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0F1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Veľmi časté</w:t>
            </w:r>
          </w:p>
          <w:p w14:paraId="40D41BB4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D2D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Časté</w:t>
            </w:r>
          </w:p>
          <w:p w14:paraId="022FC773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1/100 až &lt; 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0EB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Menej časté</w:t>
            </w:r>
          </w:p>
          <w:p w14:paraId="5DDE75C7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1/1 000 až &lt; 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E2F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Zriedkavé</w:t>
            </w:r>
          </w:p>
          <w:p w14:paraId="0A4D8137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1/10 000 až &lt; 1/1 000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10A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Veľmi zriedkavé</w:t>
            </w:r>
          </w:p>
          <w:p w14:paraId="1E60101B" w14:textId="3F7DDB23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&lt; 1/10 000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C9F" w14:textId="77777777" w:rsidR="009608C4" w:rsidRPr="001A6657" w:rsidRDefault="009608C4" w:rsidP="007B5D9A">
            <w:pPr>
              <w:keepNext/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Neznáme (častosť sa nedá odhadnúť z dostupných údajov)</w:t>
            </w:r>
          </w:p>
        </w:tc>
      </w:tr>
      <w:tr w:rsidR="009608C4" w:rsidRPr="001A6657" w14:paraId="09619488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2B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Infekcie a nákazy</w:t>
            </w:r>
          </w:p>
          <w:p w14:paraId="4609D41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7F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CE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F1D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infekcia močových ciest,</w:t>
            </w:r>
          </w:p>
          <w:p w14:paraId="7BA7C8B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9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C6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C3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6A55148B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B47" w14:textId="77777777" w:rsidR="009608C4" w:rsidRPr="001A6657" w:rsidRDefault="009608C4" w:rsidP="009608C4">
            <w:pPr>
              <w:widowControl w:val="0"/>
              <w:rPr>
                <w:szCs w:val="22"/>
                <w:lang w:val="sk-SK" w:eastAsia="ja-JP" w:bidi="si-LK"/>
              </w:rPr>
            </w:pPr>
            <w:r w:rsidRPr="001A6657">
              <w:rPr>
                <w:szCs w:val="22"/>
                <w:lang w:val="sk-SK" w:eastAsia="ja-JP" w:bidi="si-LK"/>
              </w:rPr>
              <w:t>Poruchy imunitného systému</w:t>
            </w:r>
          </w:p>
          <w:p w14:paraId="336823A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C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E3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CC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3A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9F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94D" w14:textId="77777777" w:rsidR="009608C4" w:rsidRPr="001A6657" w:rsidRDefault="009608C4" w:rsidP="001A6657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anafylaktick</w:t>
            </w:r>
            <w:r w:rsidR="001A6657">
              <w:rPr>
                <w:szCs w:val="22"/>
                <w:lang w:val="sk-SK"/>
              </w:rPr>
              <w:t>á</w:t>
            </w:r>
            <w:proofErr w:type="spellEnd"/>
            <w:r w:rsidRPr="001A6657">
              <w:rPr>
                <w:szCs w:val="22"/>
                <w:lang w:val="sk-SK"/>
              </w:rPr>
              <w:t xml:space="preserve"> reakci</w:t>
            </w:r>
            <w:r w:rsidR="001A6657">
              <w:rPr>
                <w:szCs w:val="22"/>
                <w:lang w:val="sk-SK"/>
              </w:rPr>
              <w:t>a</w:t>
            </w:r>
            <w:r w:rsidRPr="001A6657">
              <w:rPr>
                <w:szCs w:val="22"/>
                <w:lang w:val="sk-SK"/>
              </w:rPr>
              <w:t>*</w:t>
            </w:r>
          </w:p>
        </w:tc>
      </w:tr>
      <w:tr w:rsidR="009608C4" w:rsidRPr="001A6657" w14:paraId="303D1161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3D4" w14:textId="77777777" w:rsidR="009608C4" w:rsidRPr="001A6657" w:rsidRDefault="009608C4" w:rsidP="009608C4">
            <w:pPr>
              <w:widowControl w:val="0"/>
              <w:rPr>
                <w:szCs w:val="22"/>
                <w:lang w:val="sk-SK" w:eastAsia="ja-JP" w:bidi="si-LK"/>
              </w:rPr>
            </w:pPr>
            <w:r w:rsidRPr="001A6657">
              <w:rPr>
                <w:szCs w:val="22"/>
                <w:lang w:val="sk-SK" w:eastAsia="ja-JP" w:bidi="si-LK"/>
              </w:rPr>
              <w:t>Poruchy metabolizmu a výživy</w:t>
            </w:r>
          </w:p>
          <w:p w14:paraId="33BF851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5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1E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ED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9C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7C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8F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znížená chuť do jedla*,</w:t>
            </w:r>
          </w:p>
          <w:p w14:paraId="331E660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hyperkaliémia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</w:tr>
      <w:tr w:rsidR="009608C4" w:rsidRPr="001A6657" w14:paraId="730FD1A5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3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Psychické poruchy</w:t>
            </w:r>
          </w:p>
          <w:p w14:paraId="29ACDB8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FF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48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0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1A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0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halucinácie*</w:t>
            </w:r>
          </w:p>
          <w:p w14:paraId="495AF3B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stavy zmätenosti*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4C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delírium*</w:t>
            </w:r>
          </w:p>
        </w:tc>
      </w:tr>
      <w:tr w:rsidR="009608C4" w:rsidRPr="001A6657" w14:paraId="6604E3DD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61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nervového systému</w:t>
            </w:r>
          </w:p>
          <w:p w14:paraId="04F2CA0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F5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E6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3005" w14:textId="77777777" w:rsidR="009608C4" w:rsidRPr="001A6657" w:rsidRDefault="009608C4" w:rsidP="009608C4">
            <w:pPr>
              <w:widowControl w:val="0"/>
              <w:ind w:right="-7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somnolencia</w:t>
            </w:r>
            <w:proofErr w:type="spellEnd"/>
            <w:r w:rsidRPr="001A6657">
              <w:rPr>
                <w:szCs w:val="22"/>
                <w:lang w:val="sk-SK"/>
              </w:rPr>
              <w:t xml:space="preserve">, porucha vnímania </w:t>
            </w:r>
            <w:r w:rsidRPr="001A6657">
              <w:rPr>
                <w:szCs w:val="22"/>
                <w:lang w:val="sk-SK"/>
              </w:rPr>
              <w:br/>
              <w:t>chuti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CC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závrat,*</w:t>
            </w:r>
          </w:p>
          <w:p w14:paraId="784E957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bolesť hlavy*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9D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DD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4A0D7327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66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oka</w:t>
            </w:r>
          </w:p>
          <w:p w14:paraId="637FE8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0F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64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rozmazané videnie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B9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suché oči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DA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22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1E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glaukóm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</w:tr>
      <w:tr w:rsidR="009608C4" w:rsidRPr="001A6657" w14:paraId="77571743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DC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srdca a srdcovej činnosti</w:t>
            </w:r>
          </w:p>
          <w:p w14:paraId="19D64F9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D2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C4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C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719" w14:textId="77777777" w:rsidR="009608C4" w:rsidRPr="001A6657" w:rsidRDefault="009608C4" w:rsidP="009608C4">
            <w:pPr>
              <w:widowControl w:val="0"/>
              <w:tabs>
                <w:tab w:val="left" w:pos="870"/>
              </w:tabs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05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F6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torsade</w:t>
            </w:r>
            <w:proofErr w:type="spellEnd"/>
            <w:r w:rsidRPr="001A6657">
              <w:rPr>
                <w:szCs w:val="22"/>
                <w:lang w:val="sk-SK"/>
              </w:rPr>
              <w:t xml:space="preserve"> </w:t>
            </w:r>
            <w:proofErr w:type="spellStart"/>
            <w:r w:rsidRPr="001A6657">
              <w:rPr>
                <w:szCs w:val="22"/>
                <w:lang w:val="sk-SK"/>
              </w:rPr>
              <w:t>de</w:t>
            </w:r>
            <w:proofErr w:type="spellEnd"/>
            <w:r w:rsidRPr="001A6657">
              <w:rPr>
                <w:rStyle w:val="st1"/>
                <w:b/>
                <w:bCs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1A6657">
              <w:rPr>
                <w:szCs w:val="22"/>
                <w:lang w:val="sk-SK"/>
              </w:rPr>
              <w:t>pointes</w:t>
            </w:r>
            <w:proofErr w:type="spellEnd"/>
            <w:r w:rsidRPr="001A6657">
              <w:rPr>
                <w:szCs w:val="22"/>
                <w:lang w:val="sk-SK"/>
              </w:rPr>
              <w:t>*, predĺženie QT intervalu na </w:t>
            </w:r>
            <w:proofErr w:type="spellStart"/>
            <w:r w:rsidRPr="001A6657">
              <w:rPr>
                <w:szCs w:val="22"/>
                <w:lang w:val="sk-SK"/>
              </w:rPr>
              <w:t>elektro-kardiograme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  <w:p w14:paraId="68F6288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atriálna</w:t>
            </w:r>
            <w:proofErr w:type="spellEnd"/>
            <w:r w:rsidRPr="001A6657">
              <w:rPr>
                <w:szCs w:val="22"/>
                <w:lang w:val="sk-SK"/>
              </w:rPr>
              <w:t xml:space="preserve"> </w:t>
            </w:r>
            <w:proofErr w:type="spellStart"/>
            <w:r w:rsidRPr="001A6657">
              <w:rPr>
                <w:szCs w:val="22"/>
                <w:lang w:val="sk-SK"/>
              </w:rPr>
              <w:t>fibrilácia</w:t>
            </w:r>
            <w:proofErr w:type="spellEnd"/>
            <w:r w:rsidRPr="001A6657">
              <w:rPr>
                <w:szCs w:val="22"/>
                <w:lang w:val="sk-SK"/>
              </w:rPr>
              <w:t>*,</w:t>
            </w:r>
          </w:p>
          <w:p w14:paraId="467E437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palpitácia</w:t>
            </w:r>
            <w:proofErr w:type="spellEnd"/>
            <w:r w:rsidRPr="001A6657">
              <w:rPr>
                <w:szCs w:val="22"/>
                <w:lang w:val="sk-SK"/>
              </w:rPr>
              <w:t>*,</w:t>
            </w:r>
          </w:p>
          <w:p w14:paraId="74EE5C4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tachykardia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</w:tr>
      <w:tr w:rsidR="009608C4" w:rsidRPr="001A6657" w14:paraId="72DC49B5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EC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dýchacej sústavy, hrudníka a </w:t>
            </w:r>
            <w:proofErr w:type="spellStart"/>
            <w:r w:rsidRPr="001A6657">
              <w:rPr>
                <w:szCs w:val="22"/>
                <w:lang w:val="sk-SK"/>
              </w:rPr>
              <w:t>mediastína</w:t>
            </w:r>
            <w:proofErr w:type="spellEnd"/>
          </w:p>
          <w:p w14:paraId="02EE7E9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7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B9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93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sucho v nose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6DF" w14:textId="77777777" w:rsidR="009608C4" w:rsidRPr="001A6657" w:rsidRDefault="009608C4" w:rsidP="009608C4">
            <w:pPr>
              <w:widowControl w:val="0"/>
              <w:tabs>
                <w:tab w:val="left" w:pos="870"/>
              </w:tabs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3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667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dysfónia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</w:tr>
      <w:tr w:rsidR="009608C4" w:rsidRPr="001A6657" w14:paraId="1836872B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A7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 xml:space="preserve">Poruchy </w:t>
            </w:r>
            <w:proofErr w:type="spellStart"/>
            <w:r w:rsidRPr="001A6657">
              <w:rPr>
                <w:szCs w:val="22"/>
                <w:lang w:val="sk-SK"/>
              </w:rPr>
              <w:t>gastrointestinál-neho</w:t>
            </w:r>
            <w:proofErr w:type="spellEnd"/>
            <w:r w:rsidRPr="001A6657">
              <w:rPr>
                <w:szCs w:val="22"/>
                <w:lang w:val="sk-SK"/>
              </w:rPr>
              <w:t xml:space="preserve"> traktu</w:t>
            </w:r>
          </w:p>
          <w:p w14:paraId="33A6AED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96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sucho v ústach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9E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zápcha,</w:t>
            </w:r>
          </w:p>
          <w:p w14:paraId="7EF4164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nauzea</w:t>
            </w:r>
            <w:proofErr w:type="spellEnd"/>
            <w:r w:rsidRPr="001A6657">
              <w:rPr>
                <w:szCs w:val="22"/>
                <w:lang w:val="sk-SK"/>
              </w:rPr>
              <w:t>,</w:t>
            </w:r>
          </w:p>
          <w:p w14:paraId="7506D84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dyspepsia</w:t>
            </w:r>
            <w:proofErr w:type="spellEnd"/>
            <w:r w:rsidRPr="001A6657">
              <w:rPr>
                <w:szCs w:val="22"/>
                <w:lang w:val="sk-SK"/>
              </w:rPr>
              <w:t>,</w:t>
            </w:r>
          </w:p>
          <w:p w14:paraId="22A4618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bolesť brucha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F5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gastro-ezofageálny</w:t>
            </w:r>
            <w:proofErr w:type="spellEnd"/>
            <w:r w:rsidRPr="001A6657">
              <w:rPr>
                <w:szCs w:val="22"/>
                <w:lang w:val="sk-SK"/>
              </w:rPr>
              <w:t xml:space="preserve"> </w:t>
            </w:r>
            <w:proofErr w:type="spellStart"/>
            <w:r w:rsidRPr="001A6657">
              <w:rPr>
                <w:szCs w:val="22"/>
                <w:lang w:val="sk-SK"/>
              </w:rPr>
              <w:t>reflux</w:t>
            </w:r>
            <w:proofErr w:type="spellEnd"/>
            <w:r w:rsidRPr="001A6657">
              <w:rPr>
                <w:szCs w:val="22"/>
                <w:lang w:val="sk-SK"/>
              </w:rPr>
              <w:t>,</w:t>
            </w:r>
          </w:p>
          <w:p w14:paraId="4EDD857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sucho v hrdle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5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obštrukcia hrubého čreva,</w:t>
            </w:r>
          </w:p>
          <w:p w14:paraId="614BC98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 xml:space="preserve">porucha </w:t>
            </w:r>
            <w:proofErr w:type="spellStart"/>
            <w:r w:rsidRPr="001A6657">
              <w:rPr>
                <w:szCs w:val="22"/>
                <w:lang w:val="sk-SK"/>
              </w:rPr>
              <w:t>vyprázdňo-vania</w:t>
            </w:r>
            <w:proofErr w:type="spellEnd"/>
            <w:r w:rsidRPr="001A6657">
              <w:rPr>
                <w:szCs w:val="22"/>
                <w:lang w:val="sk-SK"/>
              </w:rPr>
              <w:t xml:space="preserve"> hrubého čreva, vracanie*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4A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66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ileus</w:t>
            </w:r>
            <w:proofErr w:type="spellEnd"/>
            <w:r w:rsidRPr="001A6657">
              <w:rPr>
                <w:szCs w:val="22"/>
                <w:lang w:val="sk-SK"/>
              </w:rPr>
              <w:t>*,</w:t>
            </w:r>
          </w:p>
          <w:p w14:paraId="4071C31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tráviace ťažkosti*</w:t>
            </w:r>
          </w:p>
          <w:p w14:paraId="6757391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174D9240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59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Poruchy pečene a žlčových ciest</w:t>
            </w:r>
          </w:p>
          <w:p w14:paraId="4936FBA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C3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E2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EE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A8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E6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64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porucha funkcie pečene*,</w:t>
            </w:r>
          </w:p>
          <w:p w14:paraId="14157C4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abnormálne výsledky testov pečeňových funkcií*</w:t>
            </w:r>
          </w:p>
        </w:tc>
      </w:tr>
      <w:tr w:rsidR="009608C4" w:rsidRPr="001A6657" w14:paraId="734611E5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EA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kože a podkožného tkaniva</w:t>
            </w:r>
          </w:p>
          <w:p w14:paraId="43D1C87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31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96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6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suchá pokožka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AD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pruritus</w:t>
            </w:r>
            <w:proofErr w:type="spellEnd"/>
            <w:r w:rsidRPr="001A6657">
              <w:rPr>
                <w:szCs w:val="22"/>
                <w:lang w:val="sk-SK"/>
              </w:rPr>
              <w:t>,*</w:t>
            </w:r>
          </w:p>
          <w:p w14:paraId="2BD023D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vyrážka*,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E0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multiformný</w:t>
            </w:r>
            <w:proofErr w:type="spellEnd"/>
            <w:r w:rsidRPr="001A6657">
              <w:rPr>
                <w:szCs w:val="22"/>
                <w:lang w:val="sk-SK"/>
              </w:rPr>
              <w:t xml:space="preserve"> </w:t>
            </w:r>
            <w:proofErr w:type="spellStart"/>
            <w:r w:rsidRPr="001A6657">
              <w:rPr>
                <w:szCs w:val="22"/>
                <w:lang w:val="sk-SK"/>
              </w:rPr>
              <w:t>erytém</w:t>
            </w:r>
            <w:proofErr w:type="spellEnd"/>
            <w:r w:rsidRPr="001A6657">
              <w:rPr>
                <w:szCs w:val="22"/>
                <w:lang w:val="sk-SK"/>
              </w:rPr>
              <w:t>*,</w:t>
            </w:r>
          </w:p>
          <w:p w14:paraId="69E5937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urtikária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  <w:p w14:paraId="2756801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angioedém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5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exfoliatívna</w:t>
            </w:r>
            <w:proofErr w:type="spellEnd"/>
            <w:r w:rsidRPr="001A6657">
              <w:rPr>
                <w:szCs w:val="22"/>
                <w:lang w:val="sk-SK"/>
              </w:rPr>
              <w:t xml:space="preserve"> dermatitída *</w:t>
            </w:r>
          </w:p>
        </w:tc>
      </w:tr>
      <w:tr w:rsidR="009608C4" w:rsidRPr="001A6657" w14:paraId="2308AC71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40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kostrovej a svalovej sústavy a spojeného tkaniva</w:t>
            </w:r>
          </w:p>
          <w:p w14:paraId="6DBA50D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0B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EB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A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10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1E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E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svalová slabosť*</w:t>
            </w:r>
          </w:p>
        </w:tc>
      </w:tr>
      <w:tr w:rsidR="009608C4" w:rsidRPr="001A6657" w14:paraId="3E8AD6BC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7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obličiek a močových ciest</w:t>
            </w:r>
          </w:p>
          <w:p w14:paraId="1B7C07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75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FF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92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 xml:space="preserve">problémy pri močení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5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retencia</w:t>
            </w:r>
            <w:proofErr w:type="spellEnd"/>
            <w:r w:rsidRPr="001A6657">
              <w:rPr>
                <w:szCs w:val="22"/>
                <w:lang w:val="sk-SK"/>
              </w:rPr>
              <w:t xml:space="preserve"> moču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E3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5EC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porucha funkcie obličiek*</w:t>
            </w:r>
          </w:p>
        </w:tc>
      </w:tr>
      <w:tr w:rsidR="009608C4" w:rsidRPr="001A6657" w14:paraId="467BA924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2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Celkové poruchy a reakcie v mieste podania</w:t>
            </w:r>
          </w:p>
          <w:p w14:paraId="522E434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78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7B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CF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únava,</w:t>
            </w:r>
          </w:p>
          <w:p w14:paraId="34E516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periférny edém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21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38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CE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</w:tbl>
    <w:p w14:paraId="1114A36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* hlásené po uvedení lieku na trh</w:t>
      </w:r>
    </w:p>
    <w:p w14:paraId="5FCD20F2" w14:textId="77777777" w:rsidR="009E6B3B" w:rsidRPr="001A6657" w:rsidRDefault="009E6B3B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B75DA26" w14:textId="77777777" w:rsidR="009E6B3B" w:rsidRPr="001A6657" w:rsidRDefault="00A734B6" w:rsidP="007B5D9A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1A6657">
        <w:rPr>
          <w:szCs w:val="22"/>
          <w:u w:val="single"/>
          <w:lang w:val="sk-SK"/>
        </w:rPr>
        <w:t>Hlásenie podozrení na nežiaduce reakcie</w:t>
      </w:r>
    </w:p>
    <w:p w14:paraId="533ED5C5" w14:textId="1673D4D7" w:rsidR="009E6B3B" w:rsidRPr="001A6657" w:rsidRDefault="00A734B6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81B57">
        <w:rPr>
          <w:szCs w:val="22"/>
          <w:lang w:val="sk-SK"/>
        </w:rPr>
        <w:t>na</w:t>
      </w:r>
      <w:r w:rsidR="00581B57" w:rsidRPr="001A6657">
        <w:rPr>
          <w:szCs w:val="22"/>
          <w:lang w:val="sk-SK"/>
        </w:rPr>
        <w:t xml:space="preserve"> </w:t>
      </w:r>
      <w:r w:rsidRPr="001A6657">
        <w:rPr>
          <w:szCs w:val="22"/>
          <w:highlight w:val="lightGray"/>
          <w:lang w:val="sk-SK"/>
        </w:rPr>
        <w:t xml:space="preserve">národné </w:t>
      </w:r>
      <w:r w:rsidR="00581B57">
        <w:rPr>
          <w:szCs w:val="22"/>
          <w:highlight w:val="lightGray"/>
          <w:lang w:val="sk-SK"/>
        </w:rPr>
        <w:t>centrum</w:t>
      </w:r>
      <w:r w:rsidR="00581B57" w:rsidRPr="001A6657">
        <w:rPr>
          <w:szCs w:val="22"/>
          <w:highlight w:val="lightGray"/>
          <w:lang w:val="sk-SK"/>
        </w:rPr>
        <w:t xml:space="preserve"> </w:t>
      </w:r>
      <w:r w:rsidRPr="001A6657">
        <w:rPr>
          <w:szCs w:val="22"/>
          <w:highlight w:val="lightGray"/>
          <w:lang w:val="sk-SK"/>
        </w:rPr>
        <w:t>hlásenia uvedené v </w:t>
      </w:r>
      <w:hyperlink r:id="rId9" w:history="1">
        <w:r w:rsidRPr="001A6657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7B5D9A">
        <w:rPr>
          <w:szCs w:val="22"/>
          <w:lang w:val="sk-SK"/>
        </w:rPr>
        <w:t>.</w:t>
      </w:r>
    </w:p>
    <w:p w14:paraId="2C9BCAF9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FC67537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4.9</w:t>
      </w:r>
      <w:r w:rsidRPr="001A6657">
        <w:rPr>
          <w:b/>
          <w:szCs w:val="22"/>
          <w:lang w:val="sk-SK"/>
        </w:rPr>
        <w:tab/>
        <w:t>Predávkovanie</w:t>
      </w:r>
    </w:p>
    <w:p w14:paraId="2B8BB91D" w14:textId="77777777" w:rsidR="009608C4" w:rsidRPr="001A6657" w:rsidRDefault="009608C4" w:rsidP="007B5D9A">
      <w:pPr>
        <w:keepNext/>
        <w:widowControl w:val="0"/>
        <w:rPr>
          <w:szCs w:val="22"/>
          <w:lang w:val="sk-SK"/>
        </w:rPr>
      </w:pPr>
    </w:p>
    <w:p w14:paraId="2A496A5F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Symptómy</w:t>
      </w:r>
    </w:p>
    <w:p w14:paraId="5D829A5F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Predávkovanie </w:t>
      </w:r>
      <w:proofErr w:type="spellStart"/>
      <w:r w:rsidRPr="001A6657">
        <w:rPr>
          <w:szCs w:val="22"/>
          <w:lang w:val="sk-SK"/>
        </w:rPr>
        <w:t>solifenacíniumsukcinátom</w:t>
      </w:r>
      <w:proofErr w:type="spellEnd"/>
      <w:r w:rsidRPr="001A6657">
        <w:rPr>
          <w:szCs w:val="22"/>
          <w:lang w:val="sk-SK"/>
        </w:rPr>
        <w:t xml:space="preserve"> môže viesť k ťažkým </w:t>
      </w:r>
      <w:proofErr w:type="spellStart"/>
      <w:r w:rsidRPr="001A6657">
        <w:rPr>
          <w:szCs w:val="22"/>
          <w:lang w:val="sk-SK"/>
        </w:rPr>
        <w:t>anticholínergickým</w:t>
      </w:r>
      <w:proofErr w:type="spellEnd"/>
      <w:r w:rsidRPr="001A6657">
        <w:rPr>
          <w:szCs w:val="22"/>
          <w:lang w:val="sk-SK"/>
        </w:rPr>
        <w:t xml:space="preserve"> účinkom. Najvyššia dávka </w:t>
      </w:r>
      <w:proofErr w:type="spellStart"/>
      <w:r w:rsidRPr="001A6657">
        <w:rPr>
          <w:szCs w:val="22"/>
          <w:lang w:val="sk-SK"/>
        </w:rPr>
        <w:t>solifenacíniumsukcinátu</w:t>
      </w:r>
      <w:proofErr w:type="spellEnd"/>
      <w:r w:rsidRPr="001A6657">
        <w:rPr>
          <w:szCs w:val="22"/>
          <w:lang w:val="sk-SK"/>
        </w:rPr>
        <w:t xml:space="preserve"> náhodne podaná jednému pacientovi bola 280 mg počas 5 hodín a mala za následok zmeny duševného stavu, ktoré nevyžadovali hospitalizáciu.</w:t>
      </w:r>
    </w:p>
    <w:p w14:paraId="766922D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3A6BC896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Liečba</w:t>
      </w:r>
    </w:p>
    <w:p w14:paraId="53FAFAD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V prípade predávkovania </w:t>
      </w:r>
      <w:proofErr w:type="spellStart"/>
      <w:r w:rsidRPr="001A6657">
        <w:rPr>
          <w:szCs w:val="22"/>
          <w:lang w:val="sk-SK"/>
        </w:rPr>
        <w:t>solifenacíniumsukcinátom</w:t>
      </w:r>
      <w:proofErr w:type="spellEnd"/>
      <w:r w:rsidRPr="001A6657">
        <w:rPr>
          <w:szCs w:val="22"/>
          <w:lang w:val="sk-SK"/>
        </w:rPr>
        <w:t xml:space="preserve"> sa má pacient liečiť adsorpčným uhlím. Výplach žalúdka pomôže, ak sa vykoná do 1 hodiny, ale nemá sa vyvolávať vracanie.</w:t>
      </w:r>
    </w:p>
    <w:p w14:paraId="5E759D2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11A26C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Tak ako pri ostatných </w:t>
      </w:r>
      <w:proofErr w:type="spellStart"/>
      <w:r w:rsidRPr="001A6657">
        <w:rPr>
          <w:szCs w:val="22"/>
          <w:lang w:val="sk-SK"/>
        </w:rPr>
        <w:t>anticholínergikách</w:t>
      </w:r>
      <w:proofErr w:type="spellEnd"/>
      <w:r w:rsidRPr="001A6657">
        <w:rPr>
          <w:szCs w:val="22"/>
          <w:lang w:val="sk-SK"/>
        </w:rPr>
        <w:t>, príznaky sa môžu liečiť nasledovne:</w:t>
      </w:r>
    </w:p>
    <w:p w14:paraId="434F4D35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Závažné centrálne </w:t>
      </w:r>
      <w:proofErr w:type="spellStart"/>
      <w:r w:rsidRPr="001A6657">
        <w:rPr>
          <w:szCs w:val="22"/>
          <w:lang w:val="sk-SK"/>
        </w:rPr>
        <w:t>anticholínergické</w:t>
      </w:r>
      <w:proofErr w:type="spellEnd"/>
      <w:r w:rsidRPr="001A6657">
        <w:rPr>
          <w:szCs w:val="22"/>
          <w:lang w:val="sk-SK"/>
        </w:rPr>
        <w:t xml:space="preserve"> účinky, ako napr. halucinácie alebo výrazná </w:t>
      </w:r>
      <w:proofErr w:type="spellStart"/>
      <w:r w:rsidRPr="001A6657">
        <w:rPr>
          <w:szCs w:val="22"/>
          <w:lang w:val="sk-SK"/>
        </w:rPr>
        <w:t>excitácia</w:t>
      </w:r>
      <w:proofErr w:type="spellEnd"/>
      <w:r w:rsidRPr="001A6657">
        <w:rPr>
          <w:szCs w:val="22"/>
          <w:lang w:val="sk-SK"/>
        </w:rPr>
        <w:t xml:space="preserve">: liečba </w:t>
      </w:r>
      <w:proofErr w:type="spellStart"/>
      <w:r w:rsidRPr="001A6657">
        <w:rPr>
          <w:szCs w:val="22"/>
          <w:lang w:val="sk-SK"/>
        </w:rPr>
        <w:t>fyzostigmínom</w:t>
      </w:r>
      <w:proofErr w:type="spellEnd"/>
      <w:r w:rsidRPr="001A6657">
        <w:rPr>
          <w:szCs w:val="22"/>
          <w:lang w:val="sk-SK"/>
        </w:rPr>
        <w:t xml:space="preserve"> alebo </w:t>
      </w:r>
      <w:proofErr w:type="spellStart"/>
      <w:r w:rsidRPr="001A6657">
        <w:rPr>
          <w:szCs w:val="22"/>
          <w:lang w:val="sk-SK"/>
        </w:rPr>
        <w:t>karbacholom</w:t>
      </w:r>
      <w:proofErr w:type="spellEnd"/>
      <w:r w:rsidRPr="001A6657">
        <w:rPr>
          <w:szCs w:val="22"/>
          <w:lang w:val="sk-SK"/>
        </w:rPr>
        <w:t>.</w:t>
      </w:r>
    </w:p>
    <w:p w14:paraId="5451AFB6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Kŕče alebo výrazná </w:t>
      </w:r>
      <w:proofErr w:type="spellStart"/>
      <w:r w:rsidRPr="001A6657">
        <w:rPr>
          <w:szCs w:val="22"/>
          <w:lang w:val="sk-SK"/>
        </w:rPr>
        <w:t>excitácia</w:t>
      </w:r>
      <w:proofErr w:type="spellEnd"/>
      <w:r w:rsidRPr="001A6657">
        <w:rPr>
          <w:szCs w:val="22"/>
          <w:lang w:val="sk-SK"/>
        </w:rPr>
        <w:t xml:space="preserve">: liečba </w:t>
      </w:r>
      <w:proofErr w:type="spellStart"/>
      <w:r w:rsidRPr="001A6657">
        <w:rPr>
          <w:szCs w:val="22"/>
          <w:lang w:val="sk-SK"/>
        </w:rPr>
        <w:t>benzodiazepínmi</w:t>
      </w:r>
      <w:proofErr w:type="spellEnd"/>
      <w:r w:rsidRPr="001A6657">
        <w:rPr>
          <w:szCs w:val="22"/>
          <w:lang w:val="sk-SK"/>
        </w:rPr>
        <w:t>.</w:t>
      </w:r>
    </w:p>
    <w:p w14:paraId="5CCEC191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Respiračná nedostatočnosť: liečba umelým dýchaním.</w:t>
      </w:r>
    </w:p>
    <w:p w14:paraId="02E4B976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Tachykardia</w:t>
      </w:r>
      <w:proofErr w:type="spellEnd"/>
      <w:r w:rsidRPr="001A6657">
        <w:rPr>
          <w:szCs w:val="22"/>
          <w:lang w:val="sk-SK"/>
        </w:rPr>
        <w:t xml:space="preserve">: liečba </w:t>
      </w:r>
      <w:proofErr w:type="spellStart"/>
      <w:r w:rsidRPr="001A6657">
        <w:rPr>
          <w:szCs w:val="22"/>
          <w:lang w:val="sk-SK"/>
        </w:rPr>
        <w:t>beta-blokátormi</w:t>
      </w:r>
      <w:proofErr w:type="spellEnd"/>
      <w:r w:rsidRPr="001A6657">
        <w:rPr>
          <w:szCs w:val="22"/>
          <w:lang w:val="sk-SK"/>
        </w:rPr>
        <w:t>.</w:t>
      </w:r>
    </w:p>
    <w:p w14:paraId="1BAB98EB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Retencia</w:t>
      </w:r>
      <w:proofErr w:type="spellEnd"/>
      <w:r w:rsidRPr="001A6657">
        <w:rPr>
          <w:szCs w:val="22"/>
          <w:lang w:val="sk-SK"/>
        </w:rPr>
        <w:t xml:space="preserve"> moču: liečba </w:t>
      </w:r>
      <w:proofErr w:type="spellStart"/>
      <w:r w:rsidRPr="001A6657">
        <w:rPr>
          <w:szCs w:val="22"/>
          <w:lang w:val="sk-SK"/>
        </w:rPr>
        <w:t>katetrizáciou</w:t>
      </w:r>
      <w:proofErr w:type="spellEnd"/>
      <w:r w:rsidRPr="001A6657">
        <w:rPr>
          <w:szCs w:val="22"/>
          <w:lang w:val="sk-SK"/>
        </w:rPr>
        <w:t>.</w:t>
      </w:r>
    </w:p>
    <w:p w14:paraId="6FDBAF52" w14:textId="26EC7BDA" w:rsidR="00193CEE" w:rsidRDefault="009608C4" w:rsidP="005A4927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lastRenderedPageBreak/>
        <w:t>Mydriáza</w:t>
      </w:r>
      <w:proofErr w:type="spellEnd"/>
      <w:r w:rsidRPr="001A6657">
        <w:rPr>
          <w:szCs w:val="22"/>
          <w:lang w:val="sk-SK"/>
        </w:rPr>
        <w:t xml:space="preserve">: liečba </w:t>
      </w:r>
      <w:proofErr w:type="spellStart"/>
      <w:r w:rsidRPr="001A6657">
        <w:rPr>
          <w:szCs w:val="22"/>
          <w:lang w:val="sk-SK"/>
        </w:rPr>
        <w:t>pilokarpínovými</w:t>
      </w:r>
      <w:proofErr w:type="spellEnd"/>
      <w:r w:rsidRPr="001A6657">
        <w:rPr>
          <w:szCs w:val="22"/>
          <w:lang w:val="sk-SK"/>
        </w:rPr>
        <w:t xml:space="preserve"> očnými kvapkami a/alebo umiestnenie pacienta do tmavej miestnosti.</w:t>
      </w:r>
    </w:p>
    <w:p w14:paraId="256236F7" w14:textId="77777777" w:rsidR="00A064D4" w:rsidRPr="001A6657" w:rsidRDefault="00A064D4" w:rsidP="009608C4">
      <w:pPr>
        <w:widowControl w:val="0"/>
        <w:rPr>
          <w:szCs w:val="22"/>
          <w:lang w:val="sk-SK"/>
        </w:rPr>
      </w:pPr>
    </w:p>
    <w:p w14:paraId="61F1ECB9" w14:textId="5B7442C3" w:rsidR="009E6B3B" w:rsidRPr="001A6657" w:rsidRDefault="001E3F4F" w:rsidP="00A505E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Tak </w:t>
      </w:r>
      <w:r w:rsidR="00193CEE" w:rsidRPr="00193CEE">
        <w:rPr>
          <w:szCs w:val="22"/>
          <w:lang w:val="sk-SK"/>
        </w:rPr>
        <w:t xml:space="preserve">ako </w:t>
      </w:r>
      <w:r>
        <w:rPr>
          <w:szCs w:val="22"/>
          <w:lang w:val="sk-SK"/>
        </w:rPr>
        <w:t>pri</w:t>
      </w:r>
      <w:r w:rsidR="00193CEE" w:rsidRPr="00193CEE">
        <w:rPr>
          <w:szCs w:val="22"/>
          <w:lang w:val="sk-SK"/>
        </w:rPr>
        <w:t xml:space="preserve"> ostatných </w:t>
      </w:r>
      <w:proofErr w:type="spellStart"/>
      <w:r w:rsidR="00193CEE" w:rsidRPr="00193CEE">
        <w:rPr>
          <w:szCs w:val="22"/>
          <w:lang w:val="sk-SK"/>
        </w:rPr>
        <w:t>antimuskarin</w:t>
      </w:r>
      <w:r>
        <w:rPr>
          <w:szCs w:val="22"/>
          <w:lang w:val="sk-SK"/>
        </w:rPr>
        <w:t>ikách</w:t>
      </w:r>
      <w:proofErr w:type="spellEnd"/>
      <w:r>
        <w:rPr>
          <w:szCs w:val="22"/>
          <w:lang w:val="sk-SK"/>
        </w:rPr>
        <w:t xml:space="preserve"> sa má</w:t>
      </w:r>
      <w:r w:rsidR="00193CEE" w:rsidRPr="00193CEE">
        <w:rPr>
          <w:szCs w:val="22"/>
          <w:lang w:val="sk-SK"/>
        </w:rPr>
        <w:t xml:space="preserve"> v prípade predávkovania</w:t>
      </w:r>
      <w:r>
        <w:rPr>
          <w:szCs w:val="22"/>
          <w:lang w:val="sk-SK"/>
        </w:rPr>
        <w:t xml:space="preserve"> venovať zvláštna pozornosť</w:t>
      </w:r>
      <w:r w:rsidR="00193CEE" w:rsidRPr="00193CEE">
        <w:rPr>
          <w:szCs w:val="22"/>
          <w:lang w:val="sk-SK"/>
        </w:rPr>
        <w:t xml:space="preserve"> pacientom so </w:t>
      </w:r>
      <w:r w:rsidRPr="00193CEE">
        <w:rPr>
          <w:szCs w:val="22"/>
          <w:lang w:val="sk-SK"/>
        </w:rPr>
        <w:t>znám</w:t>
      </w:r>
      <w:r>
        <w:rPr>
          <w:szCs w:val="22"/>
          <w:lang w:val="sk-SK"/>
        </w:rPr>
        <w:t>ym</w:t>
      </w:r>
      <w:r w:rsidR="00193CEE" w:rsidRPr="00193CEE">
        <w:rPr>
          <w:szCs w:val="22"/>
          <w:lang w:val="sk-SK"/>
        </w:rPr>
        <w:t xml:space="preserve"> rizikom predĺženia QT intervalu (</w:t>
      </w:r>
      <w:proofErr w:type="spellStart"/>
      <w:r w:rsidR="00193CEE" w:rsidRPr="00193CEE">
        <w:rPr>
          <w:szCs w:val="22"/>
          <w:lang w:val="sk-SK"/>
        </w:rPr>
        <w:t>tj</w:t>
      </w:r>
      <w:proofErr w:type="spellEnd"/>
      <w:r w:rsidR="00193CEE" w:rsidRPr="00193CEE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pri </w:t>
      </w:r>
      <w:proofErr w:type="spellStart"/>
      <w:r w:rsidR="00193CEE" w:rsidRPr="00193CEE">
        <w:rPr>
          <w:szCs w:val="22"/>
          <w:lang w:val="sk-SK"/>
        </w:rPr>
        <w:t>hypokal</w:t>
      </w:r>
      <w:r w:rsidR="00193CEE">
        <w:rPr>
          <w:szCs w:val="22"/>
          <w:lang w:val="sk-SK"/>
        </w:rPr>
        <w:t>i</w:t>
      </w:r>
      <w:r w:rsidR="00193CEE" w:rsidRPr="00193CEE">
        <w:rPr>
          <w:szCs w:val="22"/>
          <w:lang w:val="sk-SK"/>
        </w:rPr>
        <w:t>émi</w:t>
      </w:r>
      <w:r>
        <w:rPr>
          <w:szCs w:val="22"/>
          <w:lang w:val="sk-SK"/>
        </w:rPr>
        <w:t>i</w:t>
      </w:r>
      <w:proofErr w:type="spellEnd"/>
      <w:r w:rsidR="00193CEE" w:rsidRPr="00193CEE">
        <w:rPr>
          <w:szCs w:val="22"/>
          <w:lang w:val="sk-SK"/>
        </w:rPr>
        <w:t>, bradykardi</w:t>
      </w:r>
      <w:r>
        <w:rPr>
          <w:szCs w:val="22"/>
          <w:lang w:val="sk-SK"/>
        </w:rPr>
        <w:t>i</w:t>
      </w:r>
      <w:r w:rsidR="00193CEE" w:rsidRPr="00193CEE">
        <w:rPr>
          <w:szCs w:val="22"/>
          <w:lang w:val="sk-SK"/>
        </w:rPr>
        <w:t xml:space="preserve"> a súčasn</w:t>
      </w:r>
      <w:r>
        <w:rPr>
          <w:szCs w:val="22"/>
          <w:lang w:val="sk-SK"/>
        </w:rPr>
        <w:t>om</w:t>
      </w:r>
      <w:r w:rsidR="00193CEE" w:rsidRPr="00193CEE">
        <w:rPr>
          <w:szCs w:val="22"/>
          <w:lang w:val="sk-SK"/>
        </w:rPr>
        <w:t xml:space="preserve"> podávan</w:t>
      </w:r>
      <w:r>
        <w:rPr>
          <w:szCs w:val="22"/>
          <w:lang w:val="sk-SK"/>
        </w:rPr>
        <w:t>í</w:t>
      </w:r>
      <w:r w:rsidR="00193CEE" w:rsidRPr="00193CEE">
        <w:rPr>
          <w:szCs w:val="22"/>
          <w:lang w:val="sk-SK"/>
        </w:rPr>
        <w:t xml:space="preserve"> liekov, </w:t>
      </w:r>
      <w:r>
        <w:rPr>
          <w:szCs w:val="22"/>
          <w:lang w:val="sk-SK"/>
        </w:rPr>
        <w:t xml:space="preserve">u ktorých je známe, že </w:t>
      </w:r>
      <w:r w:rsidR="00193CEE" w:rsidRPr="00193CEE">
        <w:rPr>
          <w:szCs w:val="22"/>
          <w:lang w:val="sk-SK"/>
        </w:rPr>
        <w:t>predlžujú QT interval) a</w:t>
      </w:r>
      <w:r>
        <w:rPr>
          <w:szCs w:val="22"/>
          <w:lang w:val="sk-SK"/>
        </w:rPr>
        <w:t xml:space="preserve"> pacientom s </w:t>
      </w:r>
      <w:r w:rsidR="00193CEE" w:rsidRPr="00193CEE">
        <w:rPr>
          <w:szCs w:val="22"/>
          <w:lang w:val="sk-SK"/>
        </w:rPr>
        <w:t xml:space="preserve">už existujúcich </w:t>
      </w:r>
      <w:r>
        <w:rPr>
          <w:szCs w:val="22"/>
          <w:lang w:val="sk-SK"/>
        </w:rPr>
        <w:t>ochorením srdca</w:t>
      </w:r>
      <w:r w:rsidR="00193CEE" w:rsidRPr="00193CEE">
        <w:rPr>
          <w:szCs w:val="22"/>
          <w:lang w:val="sk-SK"/>
        </w:rPr>
        <w:t xml:space="preserve"> (t</w:t>
      </w:r>
      <w:r w:rsidR="003A36A7">
        <w:rPr>
          <w:szCs w:val="22"/>
          <w:lang w:val="sk-SK"/>
        </w:rPr>
        <w:t>.</w:t>
      </w:r>
      <w:r w:rsidR="00193CEE" w:rsidRPr="00193CEE">
        <w:rPr>
          <w:szCs w:val="22"/>
          <w:lang w:val="sk-SK"/>
        </w:rPr>
        <w:t>j</w:t>
      </w:r>
      <w:r w:rsidR="003A36A7">
        <w:rPr>
          <w:szCs w:val="22"/>
          <w:lang w:val="sk-SK"/>
        </w:rPr>
        <w:t>.</w:t>
      </w:r>
      <w:r w:rsidR="00193CEE" w:rsidRPr="00193CEE">
        <w:rPr>
          <w:szCs w:val="22"/>
          <w:lang w:val="sk-SK"/>
        </w:rPr>
        <w:t xml:space="preserve"> ischémi</w:t>
      </w:r>
      <w:r>
        <w:rPr>
          <w:szCs w:val="22"/>
          <w:lang w:val="sk-SK"/>
        </w:rPr>
        <w:t>ou</w:t>
      </w:r>
      <w:r w:rsidR="00193CEE" w:rsidRPr="00193CEE">
        <w:rPr>
          <w:szCs w:val="22"/>
          <w:lang w:val="sk-SK"/>
        </w:rPr>
        <w:t xml:space="preserve"> myokardu, </w:t>
      </w:r>
      <w:proofErr w:type="spellStart"/>
      <w:r w:rsidR="00193CEE" w:rsidRPr="00193CEE">
        <w:rPr>
          <w:szCs w:val="22"/>
          <w:lang w:val="sk-SK"/>
        </w:rPr>
        <w:t>arytmi</w:t>
      </w:r>
      <w:r>
        <w:rPr>
          <w:szCs w:val="22"/>
          <w:lang w:val="sk-SK"/>
        </w:rPr>
        <w:t>ou</w:t>
      </w:r>
      <w:proofErr w:type="spellEnd"/>
      <w:r w:rsidR="00193CEE" w:rsidRPr="00193CEE">
        <w:rPr>
          <w:szCs w:val="22"/>
          <w:lang w:val="sk-SK"/>
        </w:rPr>
        <w:t xml:space="preserve">, </w:t>
      </w:r>
      <w:proofErr w:type="spellStart"/>
      <w:r w:rsidR="00193CEE" w:rsidRPr="00193CEE">
        <w:rPr>
          <w:szCs w:val="22"/>
          <w:lang w:val="sk-SK"/>
        </w:rPr>
        <w:t>kongestívn</w:t>
      </w:r>
      <w:r>
        <w:rPr>
          <w:szCs w:val="22"/>
          <w:lang w:val="sk-SK"/>
        </w:rPr>
        <w:t>ym</w:t>
      </w:r>
      <w:proofErr w:type="spellEnd"/>
      <w:r w:rsidR="00193CEE" w:rsidRPr="00193CEE">
        <w:rPr>
          <w:szCs w:val="22"/>
          <w:lang w:val="sk-SK"/>
        </w:rPr>
        <w:t xml:space="preserve"> zlyh</w:t>
      </w:r>
      <w:r>
        <w:rPr>
          <w:szCs w:val="22"/>
          <w:lang w:val="sk-SK"/>
        </w:rPr>
        <w:t>áva</w:t>
      </w:r>
      <w:r w:rsidR="00193CEE" w:rsidRPr="00193CEE">
        <w:rPr>
          <w:szCs w:val="22"/>
          <w:lang w:val="sk-SK"/>
        </w:rPr>
        <w:t>n</w:t>
      </w:r>
      <w:r>
        <w:rPr>
          <w:szCs w:val="22"/>
          <w:lang w:val="sk-SK"/>
        </w:rPr>
        <w:t>ím srdca</w:t>
      </w:r>
      <w:r w:rsidR="00193CEE" w:rsidRPr="00193CEE">
        <w:rPr>
          <w:szCs w:val="22"/>
          <w:lang w:val="sk-SK"/>
        </w:rPr>
        <w:t>).</w:t>
      </w:r>
    </w:p>
    <w:p w14:paraId="19135CC3" w14:textId="77777777" w:rsidR="009E6B3B" w:rsidRDefault="009E6B3B" w:rsidP="00A505E4">
      <w:pPr>
        <w:spacing w:line="240" w:lineRule="auto"/>
        <w:rPr>
          <w:szCs w:val="22"/>
          <w:lang w:val="sk-SK"/>
        </w:rPr>
      </w:pPr>
    </w:p>
    <w:p w14:paraId="3B62C95C" w14:textId="77777777" w:rsidR="00A064D4" w:rsidRPr="001A6657" w:rsidRDefault="00A064D4" w:rsidP="00A505E4">
      <w:pPr>
        <w:spacing w:line="240" w:lineRule="auto"/>
        <w:rPr>
          <w:szCs w:val="22"/>
          <w:lang w:val="sk-SK"/>
        </w:rPr>
      </w:pPr>
    </w:p>
    <w:p w14:paraId="16DA595E" w14:textId="77777777" w:rsidR="009E6B3B" w:rsidRPr="001A6657" w:rsidRDefault="00A734B6" w:rsidP="007B5D9A">
      <w:pPr>
        <w:keepNext/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5.</w:t>
      </w:r>
      <w:r w:rsidRPr="001A6657">
        <w:rPr>
          <w:b/>
          <w:szCs w:val="22"/>
          <w:lang w:val="sk-SK"/>
        </w:rPr>
        <w:tab/>
        <w:t>FARMAKOLOGICKÉ VLASTNOSTI</w:t>
      </w:r>
    </w:p>
    <w:p w14:paraId="51A32B49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7BC07BF0" w14:textId="77777777" w:rsidR="009E6B3B" w:rsidRDefault="00A734B6" w:rsidP="007B5D9A">
      <w:pPr>
        <w:keepNext/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5.1</w:t>
      </w:r>
      <w:r w:rsidRPr="001A6657">
        <w:rPr>
          <w:b/>
          <w:szCs w:val="22"/>
          <w:lang w:val="sk-SK"/>
        </w:rPr>
        <w:tab/>
      </w:r>
      <w:proofErr w:type="spellStart"/>
      <w:r w:rsidRPr="001A6657">
        <w:rPr>
          <w:b/>
          <w:szCs w:val="22"/>
          <w:lang w:val="sk-SK"/>
        </w:rPr>
        <w:t>Farmakodynamické</w:t>
      </w:r>
      <w:proofErr w:type="spellEnd"/>
      <w:r w:rsidRPr="001A6657">
        <w:rPr>
          <w:b/>
          <w:szCs w:val="22"/>
          <w:lang w:val="sk-SK"/>
        </w:rPr>
        <w:t xml:space="preserve"> vlastnosti</w:t>
      </w:r>
    </w:p>
    <w:p w14:paraId="225FA006" w14:textId="77777777" w:rsidR="003B489A" w:rsidRPr="001A6657" w:rsidRDefault="003B489A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</w:p>
    <w:p w14:paraId="498AC72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Farmakoterapeutická</w:t>
      </w:r>
      <w:proofErr w:type="spellEnd"/>
      <w:r w:rsidRPr="001A6657">
        <w:rPr>
          <w:szCs w:val="22"/>
          <w:lang w:val="sk-SK"/>
        </w:rPr>
        <w:t xml:space="preserve"> skupina: </w:t>
      </w:r>
      <w:proofErr w:type="spellStart"/>
      <w:r w:rsidRPr="001A6657">
        <w:rPr>
          <w:szCs w:val="22"/>
          <w:lang w:val="sk-SK"/>
        </w:rPr>
        <w:t>Urologiká</w:t>
      </w:r>
      <w:proofErr w:type="spellEnd"/>
      <w:r w:rsidRPr="001A6657">
        <w:rPr>
          <w:szCs w:val="22"/>
          <w:lang w:val="sk-SK"/>
        </w:rPr>
        <w:t>, liečivá na časté močenie a inkontinenciu, ATC kód: G04BD08.</w:t>
      </w:r>
    </w:p>
    <w:p w14:paraId="6C069C6C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4ABCE19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Mechanizmus účinku</w:t>
      </w:r>
    </w:p>
    <w:p w14:paraId="5E0E807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je </w:t>
      </w:r>
      <w:proofErr w:type="spellStart"/>
      <w:r w:rsidRPr="001A6657">
        <w:rPr>
          <w:szCs w:val="22"/>
          <w:lang w:val="sk-SK"/>
        </w:rPr>
        <w:t>kompetitívny</w:t>
      </w:r>
      <w:proofErr w:type="spellEnd"/>
      <w:r w:rsidRPr="001A6657">
        <w:rPr>
          <w:szCs w:val="22"/>
          <w:lang w:val="sk-SK"/>
        </w:rPr>
        <w:t xml:space="preserve"> špecifický antagonista </w:t>
      </w:r>
      <w:proofErr w:type="spellStart"/>
      <w:r w:rsidRPr="001A6657">
        <w:rPr>
          <w:szCs w:val="22"/>
          <w:lang w:val="sk-SK"/>
        </w:rPr>
        <w:t>cholínergných</w:t>
      </w:r>
      <w:proofErr w:type="spellEnd"/>
      <w:r w:rsidRPr="001A6657">
        <w:rPr>
          <w:szCs w:val="22"/>
          <w:lang w:val="sk-SK"/>
        </w:rPr>
        <w:t xml:space="preserve"> receptorov.</w:t>
      </w:r>
    </w:p>
    <w:p w14:paraId="6D62C72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Močový mechúr je inervovaný </w:t>
      </w:r>
      <w:proofErr w:type="spellStart"/>
      <w:r w:rsidRPr="001A6657">
        <w:rPr>
          <w:szCs w:val="22"/>
          <w:lang w:val="sk-SK"/>
        </w:rPr>
        <w:t>parasympatickými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cholínergnými</w:t>
      </w:r>
      <w:proofErr w:type="spellEnd"/>
      <w:r w:rsidRPr="001A6657">
        <w:rPr>
          <w:szCs w:val="22"/>
          <w:lang w:val="sk-SK"/>
        </w:rPr>
        <w:t xml:space="preserve"> nervami. </w:t>
      </w:r>
      <w:proofErr w:type="spellStart"/>
      <w:r w:rsidRPr="001A6657">
        <w:rPr>
          <w:szCs w:val="22"/>
          <w:lang w:val="sk-SK"/>
        </w:rPr>
        <w:t>Acetylcholín</w:t>
      </w:r>
      <w:proofErr w:type="spellEnd"/>
      <w:r w:rsidRPr="001A6657">
        <w:rPr>
          <w:szCs w:val="22"/>
          <w:lang w:val="sk-SK"/>
        </w:rPr>
        <w:t xml:space="preserve"> kontrahuje hladký sval </w:t>
      </w:r>
      <w:proofErr w:type="spellStart"/>
      <w:r w:rsidRPr="001A6657">
        <w:rPr>
          <w:szCs w:val="22"/>
          <w:lang w:val="sk-SK"/>
        </w:rPr>
        <w:t>detruzora</w:t>
      </w:r>
      <w:proofErr w:type="spellEnd"/>
      <w:r w:rsidRPr="001A6657">
        <w:rPr>
          <w:szCs w:val="22"/>
          <w:lang w:val="sk-SK"/>
        </w:rPr>
        <w:t xml:space="preserve"> prostredníctvom </w:t>
      </w:r>
      <w:proofErr w:type="spellStart"/>
      <w:r w:rsidRPr="001A6657">
        <w:rPr>
          <w:szCs w:val="22"/>
          <w:lang w:val="sk-SK"/>
        </w:rPr>
        <w:t>muskarínových</w:t>
      </w:r>
      <w:proofErr w:type="spellEnd"/>
      <w:r w:rsidRPr="001A6657">
        <w:rPr>
          <w:szCs w:val="22"/>
          <w:lang w:val="sk-SK"/>
        </w:rPr>
        <w:t xml:space="preserve"> receptorov, predovšetkým podtypom M</w:t>
      </w:r>
      <w:r w:rsidRPr="001A6657">
        <w:rPr>
          <w:szCs w:val="22"/>
          <w:vertAlign w:val="subscript"/>
          <w:lang w:val="sk-SK"/>
        </w:rPr>
        <w:t>3</w:t>
      </w:r>
      <w:r w:rsidRPr="001A6657">
        <w:rPr>
          <w:szCs w:val="22"/>
          <w:lang w:val="sk-SK"/>
        </w:rPr>
        <w:t xml:space="preserve">. Farmakologické štúdie </w:t>
      </w:r>
      <w:r w:rsidRPr="001A6657">
        <w:rPr>
          <w:i/>
          <w:szCs w:val="22"/>
          <w:lang w:val="sk-SK"/>
        </w:rPr>
        <w:t xml:space="preserve">in </w:t>
      </w:r>
      <w:proofErr w:type="spellStart"/>
      <w:r w:rsidRPr="001A6657">
        <w:rPr>
          <w:i/>
          <w:szCs w:val="22"/>
          <w:lang w:val="sk-SK"/>
        </w:rPr>
        <w:t>vitro</w:t>
      </w:r>
      <w:proofErr w:type="spellEnd"/>
      <w:r w:rsidRPr="001A6657">
        <w:rPr>
          <w:szCs w:val="22"/>
          <w:lang w:val="sk-SK"/>
        </w:rPr>
        <w:t xml:space="preserve"> a </w:t>
      </w:r>
      <w:r w:rsidRPr="001A6657">
        <w:rPr>
          <w:i/>
          <w:szCs w:val="22"/>
          <w:lang w:val="sk-SK"/>
        </w:rPr>
        <w:t xml:space="preserve">in </w:t>
      </w:r>
      <w:proofErr w:type="spellStart"/>
      <w:r w:rsidRPr="001A6657">
        <w:rPr>
          <w:i/>
          <w:szCs w:val="22"/>
          <w:lang w:val="sk-SK"/>
        </w:rPr>
        <w:t>vivo</w:t>
      </w:r>
      <w:proofErr w:type="spellEnd"/>
      <w:r w:rsidRPr="001A6657">
        <w:rPr>
          <w:i/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 xml:space="preserve">naznačujú, že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je </w:t>
      </w:r>
      <w:proofErr w:type="spellStart"/>
      <w:r w:rsidRPr="001A6657">
        <w:rPr>
          <w:szCs w:val="22"/>
          <w:lang w:val="sk-SK"/>
        </w:rPr>
        <w:t>kompetitívny</w:t>
      </w:r>
      <w:proofErr w:type="spellEnd"/>
      <w:r w:rsidRPr="001A6657">
        <w:rPr>
          <w:szCs w:val="22"/>
          <w:lang w:val="sk-SK"/>
        </w:rPr>
        <w:t xml:space="preserve"> inhibítor </w:t>
      </w:r>
      <w:proofErr w:type="spellStart"/>
      <w:r w:rsidRPr="001A6657">
        <w:rPr>
          <w:szCs w:val="22"/>
          <w:lang w:val="sk-SK"/>
        </w:rPr>
        <w:t>muskarínového</w:t>
      </w:r>
      <w:proofErr w:type="spellEnd"/>
      <w:r w:rsidRPr="001A6657">
        <w:rPr>
          <w:szCs w:val="22"/>
          <w:lang w:val="sk-SK"/>
        </w:rPr>
        <w:t xml:space="preserve"> receptora podtypu M</w:t>
      </w:r>
      <w:r w:rsidRPr="001A6657">
        <w:rPr>
          <w:szCs w:val="22"/>
          <w:vertAlign w:val="subscript"/>
          <w:lang w:val="sk-SK"/>
        </w:rPr>
        <w:t>3</w:t>
      </w:r>
      <w:r w:rsidRPr="001A6657">
        <w:rPr>
          <w:szCs w:val="22"/>
          <w:lang w:val="sk-SK"/>
        </w:rPr>
        <w:t xml:space="preserve">. Ukázalo sa, že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je navyše špecifickým antagonistom </w:t>
      </w:r>
      <w:proofErr w:type="spellStart"/>
      <w:r w:rsidRPr="001A6657">
        <w:rPr>
          <w:szCs w:val="22"/>
          <w:lang w:val="sk-SK"/>
        </w:rPr>
        <w:t>muskarínových</w:t>
      </w:r>
      <w:proofErr w:type="spellEnd"/>
      <w:r w:rsidRPr="001A6657">
        <w:rPr>
          <w:szCs w:val="22"/>
          <w:lang w:val="sk-SK"/>
        </w:rPr>
        <w:t xml:space="preserve"> receptorov - vykazuje nízku alebo žiadnu afinitu vo vzťahu k rôznym iným testovaným receptorom a testovaným iónovým kanálom.</w:t>
      </w:r>
    </w:p>
    <w:p w14:paraId="017EAA97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736315BB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proofErr w:type="spellStart"/>
      <w:r w:rsidRPr="001A6657">
        <w:rPr>
          <w:bCs/>
          <w:szCs w:val="22"/>
          <w:u w:val="single"/>
          <w:lang w:val="sk-SK"/>
        </w:rPr>
        <w:t>Farmakodynamické</w:t>
      </w:r>
      <w:proofErr w:type="spellEnd"/>
      <w:r w:rsidRPr="001A6657">
        <w:rPr>
          <w:bCs/>
          <w:szCs w:val="22"/>
          <w:u w:val="single"/>
          <w:lang w:val="sk-SK"/>
        </w:rPr>
        <w:t xml:space="preserve"> účinky</w:t>
      </w:r>
    </w:p>
    <w:p w14:paraId="3B458D96" w14:textId="77777777" w:rsidR="009608C4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Liečba </w:t>
      </w:r>
      <w:proofErr w:type="spellStart"/>
      <w:r w:rsidRPr="001A6657">
        <w:rPr>
          <w:iCs/>
          <w:szCs w:val="22"/>
          <w:lang w:val="sk-SK"/>
        </w:rPr>
        <w:t>solifenacínom</w:t>
      </w:r>
      <w:proofErr w:type="spellEnd"/>
      <w:r w:rsidRPr="001A6657" w:rsidDel="00871F26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 xml:space="preserve">v dávkach 5 mg a 10 mg denne bola predmetom niekoľkých dvojito zaslepených, </w:t>
      </w:r>
      <w:proofErr w:type="spellStart"/>
      <w:r w:rsidRPr="001A6657">
        <w:rPr>
          <w:szCs w:val="22"/>
          <w:lang w:val="sk-SK"/>
        </w:rPr>
        <w:t>randomizovaných</w:t>
      </w:r>
      <w:proofErr w:type="spellEnd"/>
      <w:r w:rsidRPr="001A6657">
        <w:rPr>
          <w:szCs w:val="22"/>
          <w:lang w:val="sk-SK"/>
        </w:rPr>
        <w:t>, kontrolovaných klinických štúdií, ktorých sa zúčastnili muži a ženy s hyperaktívnym močovým mechúrom.</w:t>
      </w:r>
    </w:p>
    <w:p w14:paraId="76559306" w14:textId="77777777" w:rsidR="001A6657" w:rsidRPr="001A6657" w:rsidRDefault="001A6657" w:rsidP="009608C4">
      <w:pPr>
        <w:widowControl w:val="0"/>
        <w:rPr>
          <w:szCs w:val="22"/>
          <w:lang w:val="sk-SK"/>
        </w:rPr>
      </w:pPr>
    </w:p>
    <w:p w14:paraId="4BF63DB9" w14:textId="77777777" w:rsid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Podľa nižšie uvedenej tabuľky obe dávky 5 mg a 10 mg </w:t>
      </w:r>
      <w:proofErr w:type="spellStart"/>
      <w:r w:rsidRPr="001A6657">
        <w:rPr>
          <w:iCs/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spôsobili štatisticky významné zlepšenia primárnych a sekundárnych ukazovateľov v porovnaní s </w:t>
      </w:r>
      <w:proofErr w:type="spellStart"/>
      <w:r w:rsidRPr="001A6657">
        <w:rPr>
          <w:szCs w:val="22"/>
          <w:lang w:val="sk-SK"/>
        </w:rPr>
        <w:t>placebom</w:t>
      </w:r>
      <w:proofErr w:type="spellEnd"/>
      <w:r w:rsidRPr="001A6657">
        <w:rPr>
          <w:szCs w:val="22"/>
          <w:lang w:val="sk-SK"/>
        </w:rPr>
        <w:t>. Účinnosť lieku sa prejavila do jedného týždňa od začatia liečby a stabilizuje sa v priebehu 12 týždňov. Dlhodobá otvorená štúdia dokázala, že účinnosť pretrvávala najmenej počas 12 mesiacov. Po 12 týždňoch liečby u približne 50 % pacientov, ktorí pred liečbou trpeli inkontinenciou, došlo k vymiznutiu inkontinencie a navyše 35 % pacientov dosiahlo zníženie frekvencie močenia na menej než 8-krát za deň.</w:t>
      </w:r>
    </w:p>
    <w:p w14:paraId="40AAB574" w14:textId="77777777" w:rsidR="001A6657" w:rsidRDefault="001A6657" w:rsidP="009608C4">
      <w:pPr>
        <w:widowControl w:val="0"/>
        <w:rPr>
          <w:szCs w:val="22"/>
          <w:lang w:val="sk-SK"/>
        </w:rPr>
      </w:pPr>
    </w:p>
    <w:p w14:paraId="6FFFF569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Liečenie príznakov hyperaktívneho močového mechúra malo prínos i s ohľadom na hodnotenie kvality života, napríklad na celkové vnímanie zdravia, vnímanie inkontinencie, funkčné obmedzenia, fyzické obmedzenia, spoločenské obmedzenia, emócie, závažnosť symptómov, úroveň závažnosti a spánok/vitalitu.</w:t>
      </w:r>
    </w:p>
    <w:p w14:paraId="4976A7EB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</w:p>
    <w:p w14:paraId="6814B610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Výsledky (súhrn údajov) štyroch kontrolovaných štúdií fázy 3 s dĺžkou trvania liečby 12 týždňov</w:t>
      </w:r>
    </w:p>
    <w:p w14:paraId="7D997FE4" w14:textId="77777777" w:rsidR="009608C4" w:rsidRPr="001A6657" w:rsidRDefault="009608C4" w:rsidP="007B5D9A">
      <w:pPr>
        <w:keepNext/>
        <w:widowControl w:val="0"/>
        <w:rPr>
          <w:szCs w:val="22"/>
          <w:lang w:val="sk-SK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080"/>
        <w:gridCol w:w="1260"/>
        <w:gridCol w:w="1260"/>
        <w:gridCol w:w="1260"/>
      </w:tblGrid>
      <w:tr w:rsidR="009608C4" w:rsidRPr="001A6657" w14:paraId="58BFD22A" w14:textId="77777777" w:rsidTr="009608C4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63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81B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proofErr w:type="spellStart"/>
            <w:r w:rsidRPr="001A6657">
              <w:rPr>
                <w:b/>
                <w:szCs w:val="22"/>
                <w:lang w:val="sk-SK"/>
              </w:rPr>
              <w:t>Placebo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467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proofErr w:type="spellStart"/>
            <w:r w:rsidRPr="001A6657">
              <w:rPr>
                <w:b/>
                <w:iCs/>
                <w:szCs w:val="22"/>
                <w:lang w:val="sk-SK"/>
              </w:rPr>
              <w:t>Solifenacín</w:t>
            </w:r>
            <w:proofErr w:type="spellEnd"/>
            <w:r w:rsidRPr="001A6657">
              <w:rPr>
                <w:b/>
                <w:szCs w:val="22"/>
                <w:lang w:val="sk-SK"/>
              </w:rPr>
              <w:t xml:space="preserve"> 5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68F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proofErr w:type="spellStart"/>
            <w:r w:rsidRPr="001A6657">
              <w:rPr>
                <w:b/>
                <w:iCs/>
                <w:szCs w:val="22"/>
                <w:lang w:val="sk-SK"/>
              </w:rPr>
              <w:t>Solifenacín</w:t>
            </w:r>
            <w:proofErr w:type="spellEnd"/>
            <w:r w:rsidRPr="001A6657">
              <w:rPr>
                <w:b/>
                <w:szCs w:val="22"/>
                <w:lang w:val="sk-SK"/>
              </w:rPr>
              <w:t xml:space="preserve"> 10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D10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proofErr w:type="spellStart"/>
            <w:r w:rsidRPr="001A6657">
              <w:rPr>
                <w:b/>
                <w:szCs w:val="22"/>
                <w:lang w:val="sk-SK"/>
              </w:rPr>
              <w:t>Tolterodín</w:t>
            </w:r>
            <w:proofErr w:type="spellEnd"/>
            <w:r w:rsidRPr="001A6657">
              <w:rPr>
                <w:b/>
                <w:szCs w:val="22"/>
                <w:lang w:val="sk-SK"/>
              </w:rPr>
              <w:t xml:space="preserve"> 2 mg </w:t>
            </w:r>
          </w:p>
          <w:p w14:paraId="0653D284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dvakrát denne</w:t>
            </w:r>
          </w:p>
        </w:tc>
      </w:tr>
      <w:tr w:rsidR="009608C4" w:rsidRPr="001A6657" w14:paraId="1CE72A1E" w14:textId="77777777" w:rsidTr="001A665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E88A6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močení/24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D17A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1493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2C43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EF20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2291FD5B" w14:textId="77777777" w:rsidTr="001A66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03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3375A87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43CBAB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7787CC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</w:p>
          <w:p w14:paraId="2FC2BA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p-hodnota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B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11,9</w:t>
            </w:r>
          </w:p>
          <w:p w14:paraId="11A72DB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1,4</w:t>
            </w:r>
          </w:p>
          <w:p w14:paraId="5590906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(12 %)</w:t>
            </w:r>
            <w:r w:rsidRPr="001A6657">
              <w:rPr>
                <w:szCs w:val="22"/>
                <w:lang w:val="sk-SK"/>
              </w:rPr>
              <w:br/>
              <w:t>1 138</w:t>
            </w:r>
            <w:r w:rsidRPr="001A6657">
              <w:rPr>
                <w:szCs w:val="22"/>
                <w:lang w:val="sk-SK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21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12,1</w:t>
            </w:r>
          </w:p>
          <w:p w14:paraId="5D60799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2,3</w:t>
            </w:r>
          </w:p>
          <w:p w14:paraId="59268AF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(19 %)</w:t>
            </w:r>
            <w:r w:rsidRPr="001A6657">
              <w:rPr>
                <w:szCs w:val="22"/>
                <w:lang w:val="sk-SK"/>
              </w:rPr>
              <w:br/>
              <w:t>552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85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11,9</w:t>
            </w:r>
          </w:p>
          <w:p w14:paraId="7D779E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2,7</w:t>
            </w:r>
          </w:p>
          <w:p w14:paraId="70FE08B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(23 %)</w:t>
            </w:r>
            <w:r w:rsidRPr="001A6657">
              <w:rPr>
                <w:szCs w:val="22"/>
                <w:lang w:val="sk-SK"/>
              </w:rPr>
              <w:br/>
              <w:t>1 158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34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12,1</w:t>
            </w:r>
          </w:p>
          <w:p w14:paraId="4E6421F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1,9</w:t>
            </w:r>
          </w:p>
          <w:p w14:paraId="7278E26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(16 %)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0,004</w:t>
            </w:r>
          </w:p>
        </w:tc>
      </w:tr>
      <w:tr w:rsidR="009608C4" w:rsidRPr="001A6657" w14:paraId="1037CA8A" w14:textId="77777777" w:rsidTr="001A665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15C9B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epizód urgencie/24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A8A4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7120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B0FF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FB7B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6533EDCC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8B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Priemerná hodnota pri úvodnom vyšetrení</w:t>
            </w:r>
          </w:p>
          <w:p w14:paraId="0D5D80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57196EE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05C13B7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</w:r>
            <w:proofErr w:type="spellStart"/>
            <w:r w:rsidRPr="001A6657">
              <w:rPr>
                <w:szCs w:val="22"/>
                <w:lang w:val="sk-SK"/>
              </w:rPr>
              <w:t>p-hodnota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A2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6,3</w:t>
            </w:r>
          </w:p>
          <w:p w14:paraId="09B6621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2,0</w:t>
            </w:r>
          </w:p>
          <w:p w14:paraId="34DCECF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(32 %)</w:t>
            </w:r>
            <w:r w:rsidRPr="001A6657">
              <w:rPr>
                <w:szCs w:val="22"/>
                <w:lang w:val="sk-SK"/>
              </w:rPr>
              <w:br/>
              <w:t>1 124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BF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5,9</w:t>
            </w:r>
          </w:p>
          <w:p w14:paraId="2D7B73C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2,9</w:t>
            </w:r>
          </w:p>
          <w:p w14:paraId="7415C82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(49 %)</w:t>
            </w:r>
            <w:r w:rsidRPr="001A6657">
              <w:rPr>
                <w:szCs w:val="22"/>
                <w:lang w:val="sk-SK"/>
              </w:rPr>
              <w:br/>
              <w:t>548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E3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6,2</w:t>
            </w:r>
          </w:p>
          <w:p w14:paraId="4B39868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3,4</w:t>
            </w:r>
          </w:p>
          <w:p w14:paraId="78EB814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(55 %)</w:t>
            </w:r>
            <w:r w:rsidRPr="001A6657">
              <w:rPr>
                <w:szCs w:val="22"/>
                <w:lang w:val="sk-SK"/>
              </w:rPr>
              <w:br/>
              <w:t>1 151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82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5,4</w:t>
            </w:r>
          </w:p>
          <w:p w14:paraId="7D01EEF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2,1</w:t>
            </w:r>
          </w:p>
          <w:p w14:paraId="4E38697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(39 %)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0,031</w:t>
            </w:r>
          </w:p>
        </w:tc>
      </w:tr>
      <w:tr w:rsidR="009608C4" w:rsidRPr="001A6657" w14:paraId="2038A2C4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1F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epizód inkontinencie/24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DE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A5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AD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1E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0323E33A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FD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32A55B7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0CB236E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2BF0F38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</w:r>
            <w:proofErr w:type="spellStart"/>
            <w:r w:rsidRPr="001A6657">
              <w:rPr>
                <w:szCs w:val="22"/>
                <w:lang w:val="sk-SK"/>
              </w:rPr>
              <w:t>p-hodnota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E04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2,9</w:t>
            </w:r>
          </w:p>
          <w:p w14:paraId="7D39D42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1,1</w:t>
            </w:r>
          </w:p>
          <w:p w14:paraId="2E8D0B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(38 %)</w:t>
            </w:r>
            <w:r w:rsidRPr="001A6657">
              <w:rPr>
                <w:szCs w:val="22"/>
                <w:lang w:val="sk-SK"/>
              </w:rPr>
              <w:br/>
              <w:t>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8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2,6</w:t>
            </w:r>
          </w:p>
          <w:p w14:paraId="64D9013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1,5</w:t>
            </w:r>
          </w:p>
          <w:p w14:paraId="74112B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(58 %)</w:t>
            </w:r>
            <w:r w:rsidRPr="001A6657">
              <w:rPr>
                <w:szCs w:val="22"/>
                <w:lang w:val="sk-SK"/>
              </w:rPr>
              <w:br/>
              <w:t>314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26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2,9</w:t>
            </w:r>
          </w:p>
          <w:p w14:paraId="6ECE95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1,8</w:t>
            </w:r>
          </w:p>
          <w:p w14:paraId="063BC23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(62 %)</w:t>
            </w:r>
            <w:r w:rsidRPr="001A6657">
              <w:rPr>
                <w:szCs w:val="22"/>
                <w:lang w:val="sk-SK"/>
              </w:rPr>
              <w:br/>
              <w:t>778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C6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2,3</w:t>
            </w:r>
          </w:p>
          <w:p w14:paraId="346A674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1,1</w:t>
            </w:r>
          </w:p>
          <w:p w14:paraId="71090C2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(48 %)</w:t>
            </w:r>
            <w:r w:rsidRPr="001A6657">
              <w:rPr>
                <w:szCs w:val="22"/>
                <w:lang w:val="sk-SK"/>
              </w:rPr>
              <w:br/>
              <w:t>157</w:t>
            </w:r>
            <w:r w:rsidRPr="001A6657">
              <w:rPr>
                <w:szCs w:val="22"/>
                <w:lang w:val="sk-SK"/>
              </w:rPr>
              <w:br/>
              <w:t>0,009</w:t>
            </w:r>
          </w:p>
        </w:tc>
      </w:tr>
      <w:tr w:rsidR="009608C4" w:rsidRPr="001A6657" w14:paraId="11FF9C80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E3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epizód nočného močenia (noktúrie)/24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6E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4D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4E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5B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01B338F8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4C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6BA8F16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4B41B79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332DC8B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</w:r>
            <w:proofErr w:type="spellStart"/>
            <w:r w:rsidRPr="001A6657">
              <w:rPr>
                <w:szCs w:val="22"/>
                <w:lang w:val="sk-SK"/>
              </w:rPr>
              <w:t>p-hodnota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32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1,8</w:t>
            </w:r>
          </w:p>
          <w:p w14:paraId="05E0ABB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0,4</w:t>
            </w:r>
          </w:p>
          <w:p w14:paraId="1729532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(22 %)</w:t>
            </w:r>
            <w:r w:rsidRPr="001A6657">
              <w:rPr>
                <w:szCs w:val="22"/>
                <w:lang w:val="sk-SK"/>
              </w:rPr>
              <w:br/>
              <w:t>1 005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1F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2,0</w:t>
            </w:r>
          </w:p>
          <w:p w14:paraId="468C853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0,6</w:t>
            </w:r>
          </w:p>
          <w:p w14:paraId="17DFA9C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(30 %)</w:t>
            </w:r>
            <w:r w:rsidRPr="001A6657">
              <w:rPr>
                <w:szCs w:val="22"/>
                <w:lang w:val="sk-SK"/>
              </w:rPr>
              <w:br/>
              <w:t>494</w:t>
            </w:r>
            <w:r w:rsidRPr="001A6657">
              <w:rPr>
                <w:szCs w:val="22"/>
                <w:lang w:val="sk-SK"/>
              </w:rPr>
              <w:br/>
              <w:t>0,025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41D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1,8</w:t>
            </w:r>
          </w:p>
          <w:p w14:paraId="4BC782F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0,6</w:t>
            </w:r>
          </w:p>
          <w:p w14:paraId="3FF7F78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(33 %)</w:t>
            </w:r>
            <w:r w:rsidRPr="001A6657">
              <w:rPr>
                <w:szCs w:val="22"/>
                <w:lang w:val="sk-SK"/>
              </w:rPr>
              <w:br/>
              <w:t>1 035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51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1,9</w:t>
            </w:r>
          </w:p>
          <w:p w14:paraId="4B3ACF4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0,5</w:t>
            </w:r>
          </w:p>
          <w:p w14:paraId="2A2FAAA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(26 %)</w:t>
            </w:r>
            <w:r w:rsidRPr="001A6657">
              <w:rPr>
                <w:szCs w:val="22"/>
                <w:lang w:val="sk-SK"/>
              </w:rPr>
              <w:br/>
              <w:t>232</w:t>
            </w:r>
            <w:r w:rsidRPr="001A6657">
              <w:rPr>
                <w:szCs w:val="22"/>
                <w:lang w:val="sk-SK"/>
              </w:rPr>
              <w:br/>
              <w:t>0,199</w:t>
            </w:r>
          </w:p>
        </w:tc>
      </w:tr>
      <w:tr w:rsidR="009608C4" w:rsidRPr="001A6657" w14:paraId="5F1FEB57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33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Objem vylúčeného moču/močenie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36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64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E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A7E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363776EF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3F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60FF5E7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zvýšenie v porovnaní s úvodným vyšetrením</w:t>
            </w:r>
          </w:p>
          <w:p w14:paraId="3FD9283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08E7DBE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</w:r>
            <w:proofErr w:type="spellStart"/>
            <w:r w:rsidRPr="001A6657">
              <w:rPr>
                <w:szCs w:val="22"/>
                <w:lang w:val="sk-SK"/>
              </w:rPr>
              <w:t>p-hodnota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F2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166 ml</w:t>
            </w:r>
          </w:p>
          <w:p w14:paraId="78E26AA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9 ml</w:t>
            </w:r>
          </w:p>
          <w:p w14:paraId="2123287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(5 %)</w:t>
            </w:r>
            <w:r w:rsidRPr="001A6657">
              <w:rPr>
                <w:szCs w:val="22"/>
                <w:lang w:val="sk-SK"/>
              </w:rPr>
              <w:br/>
              <w:t>1 135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514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146 ml</w:t>
            </w:r>
          </w:p>
          <w:p w14:paraId="583F91F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32 ml</w:t>
            </w:r>
          </w:p>
          <w:p w14:paraId="19CED9B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(21 %)</w:t>
            </w:r>
            <w:r w:rsidRPr="001A6657">
              <w:rPr>
                <w:szCs w:val="22"/>
                <w:lang w:val="sk-SK"/>
              </w:rPr>
              <w:br/>
              <w:t>552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5E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163 ml</w:t>
            </w:r>
          </w:p>
          <w:p w14:paraId="76E3F58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43 ml</w:t>
            </w:r>
          </w:p>
          <w:p w14:paraId="224FA1E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(26 %)</w:t>
            </w:r>
            <w:r w:rsidRPr="001A6657">
              <w:rPr>
                <w:szCs w:val="22"/>
                <w:lang w:val="sk-SK"/>
              </w:rPr>
              <w:br/>
              <w:t>1 156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BF1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147 ml</w:t>
            </w:r>
          </w:p>
          <w:p w14:paraId="7EC5AAF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24 ml</w:t>
            </w:r>
          </w:p>
          <w:p w14:paraId="003CC3F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(16 %)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</w:tr>
      <w:tr w:rsidR="009608C4" w:rsidRPr="001A6657" w14:paraId="329FE203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73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vložiek/24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44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79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E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26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526A0403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BF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5070217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78C0CA6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17222BD6" w14:textId="77777777" w:rsidR="003B489A" w:rsidRDefault="003B489A" w:rsidP="003B489A">
            <w:pPr>
              <w:widowControl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="009608C4" w:rsidRPr="001A6657">
              <w:rPr>
                <w:szCs w:val="22"/>
                <w:lang w:val="sk-SK"/>
              </w:rPr>
              <w:t>očet</w:t>
            </w:r>
          </w:p>
          <w:p w14:paraId="14F876CE" w14:textId="77777777" w:rsidR="009608C4" w:rsidRPr="001A6657" w:rsidRDefault="009608C4" w:rsidP="003B489A">
            <w:pPr>
              <w:widowControl w:val="0"/>
              <w:rPr>
                <w:szCs w:val="22"/>
                <w:lang w:val="sk-SK"/>
              </w:rPr>
            </w:pPr>
            <w:proofErr w:type="spellStart"/>
            <w:r w:rsidRPr="001A6657">
              <w:rPr>
                <w:szCs w:val="22"/>
                <w:lang w:val="sk-SK"/>
              </w:rPr>
              <w:t>p-hodnota</w:t>
            </w:r>
            <w:proofErr w:type="spellEnd"/>
            <w:r w:rsidRPr="001A6657">
              <w:rPr>
                <w:szCs w:val="22"/>
                <w:lang w:val="sk-SK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9F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3,0</w:t>
            </w:r>
          </w:p>
          <w:p w14:paraId="60D729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0,8 </w:t>
            </w:r>
          </w:p>
          <w:p w14:paraId="3968A2F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(27 %)</w:t>
            </w:r>
            <w:r w:rsidRPr="001A6657">
              <w:rPr>
                <w:szCs w:val="22"/>
                <w:lang w:val="sk-SK"/>
              </w:rPr>
              <w:br/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BE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2,8</w:t>
            </w:r>
          </w:p>
          <w:p w14:paraId="2A0AADA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1,3</w:t>
            </w:r>
          </w:p>
          <w:p w14:paraId="76B4782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(46 %)</w:t>
            </w:r>
            <w:r w:rsidRPr="001A6657">
              <w:rPr>
                <w:szCs w:val="22"/>
                <w:lang w:val="sk-SK"/>
              </w:rPr>
              <w:br/>
              <w:t>236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2A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2,7</w:t>
            </w:r>
          </w:p>
          <w:p w14:paraId="48D47D6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1,3</w:t>
            </w:r>
          </w:p>
          <w:p w14:paraId="1ADCFA1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(48 %)</w:t>
            </w:r>
            <w:r w:rsidRPr="001A6657">
              <w:rPr>
                <w:szCs w:val="22"/>
                <w:lang w:val="sk-SK"/>
              </w:rPr>
              <w:br/>
              <w:t>242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9D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2,7</w:t>
            </w:r>
          </w:p>
          <w:p w14:paraId="7D87E45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1,0</w:t>
            </w:r>
          </w:p>
          <w:p w14:paraId="614FEDF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(37 %)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0,010</w:t>
            </w:r>
          </w:p>
        </w:tc>
      </w:tr>
    </w:tbl>
    <w:p w14:paraId="4828BFA8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E4D5E54" w14:textId="77777777" w:rsidR="001A6657" w:rsidRDefault="009608C4" w:rsidP="001A6657">
      <w:pPr>
        <w:widowControl w:val="0"/>
        <w:tabs>
          <w:tab w:val="clear" w:pos="567"/>
          <w:tab w:val="left" w:pos="0"/>
        </w:tabs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Poznámka:</w:t>
      </w:r>
      <w:r w:rsidRPr="001A6657">
        <w:rPr>
          <w:szCs w:val="22"/>
          <w:lang w:val="sk-SK"/>
        </w:rPr>
        <w:t xml:space="preserve"> V 4 </w:t>
      </w:r>
      <w:proofErr w:type="spellStart"/>
      <w:r w:rsidRPr="001A6657">
        <w:rPr>
          <w:szCs w:val="22"/>
          <w:lang w:val="sk-SK"/>
        </w:rPr>
        <w:t>pivotných</w:t>
      </w:r>
      <w:proofErr w:type="spellEnd"/>
      <w:r w:rsidRPr="001A6657">
        <w:rPr>
          <w:szCs w:val="22"/>
          <w:lang w:val="sk-SK"/>
        </w:rPr>
        <w:t xml:space="preserve"> štúdiách bol použitý </w:t>
      </w:r>
      <w:proofErr w:type="spellStart"/>
      <w:r w:rsidRPr="001A6657">
        <w:rPr>
          <w:iCs/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10 mg a </w:t>
      </w:r>
      <w:proofErr w:type="spellStart"/>
      <w:r w:rsidRPr="001A6657">
        <w:rPr>
          <w:szCs w:val="22"/>
          <w:lang w:val="sk-SK"/>
        </w:rPr>
        <w:t>placebo</w:t>
      </w:r>
      <w:proofErr w:type="spellEnd"/>
      <w:r w:rsidRPr="001A6657">
        <w:rPr>
          <w:szCs w:val="22"/>
          <w:lang w:val="sk-SK"/>
        </w:rPr>
        <w:t xml:space="preserve">. V 2 zo 4 štúdií sa použil taktiež </w:t>
      </w:r>
      <w:proofErr w:type="spellStart"/>
      <w:r w:rsidRPr="001A6657">
        <w:rPr>
          <w:iCs/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5 mg a v jednej štúdii bol použitý </w:t>
      </w:r>
      <w:proofErr w:type="spellStart"/>
      <w:r w:rsidRPr="001A6657">
        <w:rPr>
          <w:szCs w:val="22"/>
          <w:lang w:val="sk-SK"/>
        </w:rPr>
        <w:t>tolterodín</w:t>
      </w:r>
      <w:proofErr w:type="spellEnd"/>
      <w:r w:rsidRPr="001A6657">
        <w:rPr>
          <w:szCs w:val="22"/>
          <w:lang w:val="sk-SK"/>
        </w:rPr>
        <w:t xml:space="preserve"> 2 mg dvakrát denne. </w:t>
      </w:r>
    </w:p>
    <w:p w14:paraId="5928B599" w14:textId="77777777" w:rsidR="001A6657" w:rsidRDefault="001A6657" w:rsidP="009608C4">
      <w:pPr>
        <w:widowControl w:val="0"/>
        <w:ind w:left="567" w:hanging="567"/>
        <w:rPr>
          <w:szCs w:val="22"/>
          <w:lang w:val="sk-SK"/>
        </w:rPr>
      </w:pPr>
    </w:p>
    <w:p w14:paraId="09CB9CCE" w14:textId="77777777" w:rsidR="009608C4" w:rsidRPr="001A6657" w:rsidRDefault="009608C4" w:rsidP="001A6657">
      <w:pPr>
        <w:widowControl w:val="0"/>
        <w:tabs>
          <w:tab w:val="clear" w:pos="567"/>
          <w:tab w:val="left" w:pos="0"/>
        </w:tabs>
        <w:rPr>
          <w:szCs w:val="22"/>
          <w:lang w:val="sk-SK"/>
        </w:rPr>
      </w:pPr>
      <w:r w:rsidRPr="001A6657">
        <w:rPr>
          <w:szCs w:val="22"/>
          <w:lang w:val="sk-SK"/>
        </w:rPr>
        <w:t>V každej jednotlivej štúdii neboli hodnotené všetky parametre a liečené skupiny. Preto sa uvedený počet pacientov môže v závislosti od parametrov a od liečených skupín líšiť.</w:t>
      </w:r>
    </w:p>
    <w:p w14:paraId="634B45BA" w14:textId="77777777" w:rsidR="001A6657" w:rsidRPr="001A6657" w:rsidRDefault="001A6657" w:rsidP="009608C4">
      <w:pPr>
        <w:widowControl w:val="0"/>
        <w:ind w:left="567" w:hanging="567"/>
        <w:rPr>
          <w:szCs w:val="22"/>
          <w:lang w:val="sk-SK"/>
        </w:rPr>
      </w:pPr>
    </w:p>
    <w:p w14:paraId="59BEE7EE" w14:textId="59581B3B" w:rsidR="009608C4" w:rsidRPr="001A6657" w:rsidRDefault="009608C4" w:rsidP="009608C4">
      <w:pPr>
        <w:widowControl w:val="0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*</w:t>
      </w:r>
      <w:r w:rsidR="003A36A7" w:rsidRPr="007B5D9A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p-hodnota</w:t>
      </w:r>
      <w:proofErr w:type="spellEnd"/>
      <w:r w:rsidRPr="001A6657">
        <w:rPr>
          <w:szCs w:val="22"/>
          <w:lang w:val="sk-SK"/>
        </w:rPr>
        <w:t xml:space="preserve"> znamená párové porovnanie s </w:t>
      </w:r>
      <w:proofErr w:type="spellStart"/>
      <w:r w:rsidRPr="001A6657">
        <w:rPr>
          <w:szCs w:val="22"/>
          <w:lang w:val="sk-SK"/>
        </w:rPr>
        <w:t>placebom</w:t>
      </w:r>
      <w:proofErr w:type="spellEnd"/>
    </w:p>
    <w:p w14:paraId="0BD47CDE" w14:textId="77777777" w:rsidR="001A6657" w:rsidRPr="007B5D9A" w:rsidRDefault="001A6657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</w:p>
    <w:p w14:paraId="71C6F73C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5.2</w:t>
      </w:r>
      <w:r w:rsidRPr="001A6657">
        <w:rPr>
          <w:b/>
          <w:szCs w:val="22"/>
          <w:lang w:val="sk-SK"/>
        </w:rPr>
        <w:tab/>
      </w:r>
      <w:proofErr w:type="spellStart"/>
      <w:r w:rsidRPr="001A6657">
        <w:rPr>
          <w:b/>
          <w:szCs w:val="22"/>
          <w:lang w:val="sk-SK"/>
        </w:rPr>
        <w:t>Farmakokinetické</w:t>
      </w:r>
      <w:proofErr w:type="spellEnd"/>
      <w:r w:rsidRPr="001A6657">
        <w:rPr>
          <w:b/>
          <w:szCs w:val="22"/>
          <w:lang w:val="sk-SK"/>
        </w:rPr>
        <w:t xml:space="preserve"> vlastnosti</w:t>
      </w:r>
    </w:p>
    <w:p w14:paraId="7907A78A" w14:textId="77777777" w:rsidR="001A6657" w:rsidRDefault="001A6657" w:rsidP="007B5D9A">
      <w:pPr>
        <w:keepNext/>
        <w:widowControl w:val="0"/>
        <w:rPr>
          <w:iCs/>
          <w:szCs w:val="22"/>
          <w:u w:val="single"/>
          <w:lang w:val="sk-SK"/>
        </w:rPr>
      </w:pPr>
    </w:p>
    <w:p w14:paraId="35B344F5" w14:textId="77777777" w:rsidR="009608C4" w:rsidRPr="001A6657" w:rsidRDefault="009608C4" w:rsidP="007B5D9A">
      <w:pPr>
        <w:keepNext/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Absorpcia</w:t>
      </w:r>
    </w:p>
    <w:p w14:paraId="39692D2B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Po užití tabliet </w:t>
      </w:r>
      <w:proofErr w:type="spellStart"/>
      <w:r w:rsidRPr="001A6657">
        <w:rPr>
          <w:iCs/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dosiahne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maximálnu koncentráciu v plazme (</w:t>
      </w:r>
      <w:proofErr w:type="spellStart"/>
      <w:r w:rsidRPr="001A6657">
        <w:rPr>
          <w:szCs w:val="22"/>
          <w:lang w:val="sk-SK"/>
        </w:rPr>
        <w:t>C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lang w:val="sk-SK"/>
        </w:rPr>
        <w:t xml:space="preserve">) po 3 až 8 hodinách. </w:t>
      </w:r>
      <w:proofErr w:type="spellStart"/>
      <w:r w:rsidRPr="001A6657">
        <w:rPr>
          <w:szCs w:val="22"/>
          <w:lang w:val="sk-SK"/>
        </w:rPr>
        <w:t>t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lang w:val="sk-SK"/>
        </w:rPr>
        <w:t xml:space="preserve"> nezávisí od dávky. </w:t>
      </w:r>
      <w:proofErr w:type="spellStart"/>
      <w:r w:rsidRPr="001A6657">
        <w:rPr>
          <w:szCs w:val="22"/>
          <w:lang w:val="sk-SK"/>
        </w:rPr>
        <w:t>C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lang w:val="sk-SK"/>
        </w:rPr>
        <w:t xml:space="preserve"> a plocha pod krivkou (AUC) rastie proporcionálne s dávkou v rozmedzí 5 až 40 mg. Absolútna biologická dostupnosť je približne 90 %. Príjem potravy neovplyvňuje </w:t>
      </w:r>
      <w:proofErr w:type="spellStart"/>
      <w:r w:rsidRPr="001A6657">
        <w:rPr>
          <w:szCs w:val="22"/>
          <w:lang w:val="sk-SK"/>
        </w:rPr>
        <w:t>C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lang w:val="sk-SK"/>
        </w:rPr>
        <w:t xml:space="preserve"> ani AUC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>.</w:t>
      </w:r>
    </w:p>
    <w:p w14:paraId="12F68D0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78C5D05" w14:textId="77777777" w:rsidR="009608C4" w:rsidRPr="001A6657" w:rsidRDefault="009608C4" w:rsidP="007B5D9A">
      <w:pPr>
        <w:keepNext/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Distribúcia</w:t>
      </w:r>
    </w:p>
    <w:p w14:paraId="7ED953B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Zdanlivý distribučný objem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po intravenóznom podaní dosahuje približnú hodnotu 600 l. </w:t>
      </w: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sa značne (približne z 98 %) viaže na plazmatické bielkoviny, najmä na α</w:t>
      </w:r>
      <w:r w:rsidRPr="001A6657">
        <w:rPr>
          <w:szCs w:val="22"/>
          <w:vertAlign w:val="subscript"/>
          <w:lang w:val="sk-SK"/>
        </w:rPr>
        <w:t>1</w:t>
      </w:r>
      <w:r w:rsidRPr="001A6657">
        <w:rPr>
          <w:szCs w:val="22"/>
          <w:lang w:val="sk-SK"/>
        </w:rPr>
        <w:noBreakHyphen/>
        <w:t xml:space="preserve">kyslý </w:t>
      </w:r>
      <w:proofErr w:type="spellStart"/>
      <w:r w:rsidRPr="001A6657">
        <w:rPr>
          <w:szCs w:val="22"/>
          <w:lang w:val="sk-SK"/>
        </w:rPr>
        <w:t>glykoproteín</w:t>
      </w:r>
      <w:proofErr w:type="spellEnd"/>
      <w:r w:rsidRPr="001A6657">
        <w:rPr>
          <w:szCs w:val="22"/>
          <w:lang w:val="sk-SK"/>
        </w:rPr>
        <w:t>.</w:t>
      </w:r>
    </w:p>
    <w:p w14:paraId="726E9270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6F4BA9E" w14:textId="77777777" w:rsidR="009608C4" w:rsidRPr="001A6657" w:rsidRDefault="009608C4" w:rsidP="007B5D9A">
      <w:pPr>
        <w:keepNext/>
        <w:widowControl w:val="0"/>
        <w:rPr>
          <w:iCs/>
          <w:szCs w:val="22"/>
          <w:u w:val="single"/>
          <w:lang w:val="sk-SK"/>
        </w:rPr>
      </w:pPr>
      <w:proofErr w:type="spellStart"/>
      <w:r w:rsidRPr="001A6657">
        <w:rPr>
          <w:iCs/>
          <w:szCs w:val="22"/>
          <w:u w:val="single"/>
          <w:lang w:val="sk-SK"/>
        </w:rPr>
        <w:t>Biotransformácia</w:t>
      </w:r>
      <w:proofErr w:type="spellEnd"/>
    </w:p>
    <w:p w14:paraId="45A7F07A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Solifenacín</w:t>
      </w:r>
      <w:proofErr w:type="spellEnd"/>
      <w:r w:rsidRPr="001A6657">
        <w:rPr>
          <w:szCs w:val="22"/>
          <w:lang w:val="sk-SK"/>
        </w:rPr>
        <w:t xml:space="preserve"> sa vo veľkej miere metabolizuje v pečeni, primárne prostredníctvom </w:t>
      </w:r>
      <w:proofErr w:type="spellStart"/>
      <w:r w:rsidRPr="001A6657">
        <w:rPr>
          <w:szCs w:val="22"/>
          <w:lang w:val="sk-SK"/>
        </w:rPr>
        <w:t>cytochrómu</w:t>
      </w:r>
      <w:proofErr w:type="spellEnd"/>
      <w:r w:rsidRPr="001A6657">
        <w:rPr>
          <w:szCs w:val="22"/>
          <w:lang w:val="sk-SK"/>
        </w:rPr>
        <w:t xml:space="preserve"> P450 3A4 (CYP3A4). Okrem toho existujú aj alternatívne cesty </w:t>
      </w:r>
      <w:proofErr w:type="spellStart"/>
      <w:r w:rsidRPr="001A6657">
        <w:rPr>
          <w:szCs w:val="22"/>
          <w:lang w:val="sk-SK"/>
        </w:rPr>
        <w:t>metabolizácie</w:t>
      </w:r>
      <w:proofErr w:type="spellEnd"/>
      <w:r w:rsidRPr="001A6657">
        <w:rPr>
          <w:szCs w:val="22"/>
          <w:lang w:val="sk-SK"/>
        </w:rPr>
        <w:t xml:space="preserve">, ktoré môžu prispieť </w:t>
      </w:r>
      <w:r w:rsidRPr="001A6657">
        <w:rPr>
          <w:szCs w:val="22"/>
          <w:lang w:val="sk-SK"/>
        </w:rPr>
        <w:lastRenderedPageBreak/>
        <w:t xml:space="preserve">k metabolizmu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. Systémový </w:t>
      </w:r>
      <w:proofErr w:type="spellStart"/>
      <w:r w:rsidRPr="001A6657">
        <w:rPr>
          <w:szCs w:val="22"/>
          <w:lang w:val="sk-SK"/>
        </w:rPr>
        <w:t>klírens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je približne 9,5 l/h a terminálny polčas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je 45 – 68 hodín. Po perorálnom užití bol okrem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v plazme identifikovaný jeden farmakologicky aktívny (4R-hydroxysolifenacín) a tri </w:t>
      </w:r>
      <w:proofErr w:type="spellStart"/>
      <w:r w:rsidRPr="001A6657">
        <w:rPr>
          <w:szCs w:val="22"/>
          <w:lang w:val="sk-SK"/>
        </w:rPr>
        <w:t>inaktívne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metabolity</w:t>
      </w:r>
      <w:proofErr w:type="spellEnd"/>
      <w:r w:rsidRPr="001A6657">
        <w:rPr>
          <w:szCs w:val="22"/>
          <w:lang w:val="sk-SK"/>
        </w:rPr>
        <w:t xml:space="preserve"> (</w:t>
      </w:r>
      <w:proofErr w:type="spellStart"/>
      <w:r w:rsidRPr="001A6657">
        <w:rPr>
          <w:szCs w:val="22"/>
          <w:lang w:val="sk-SK"/>
        </w:rPr>
        <w:t>N-glukuronid</w:t>
      </w:r>
      <w:proofErr w:type="spellEnd"/>
      <w:r w:rsidRPr="001A6657">
        <w:rPr>
          <w:szCs w:val="22"/>
          <w:lang w:val="sk-SK"/>
        </w:rPr>
        <w:t xml:space="preserve">, </w:t>
      </w:r>
      <w:proofErr w:type="spellStart"/>
      <w:r w:rsidRPr="001A6657">
        <w:rPr>
          <w:szCs w:val="22"/>
          <w:lang w:val="sk-SK"/>
        </w:rPr>
        <w:t>N-oxid</w:t>
      </w:r>
      <w:proofErr w:type="spellEnd"/>
      <w:r w:rsidRPr="001A6657">
        <w:rPr>
          <w:szCs w:val="22"/>
          <w:lang w:val="sk-SK"/>
        </w:rPr>
        <w:t xml:space="preserve"> a 4R-hydroxy-N-oxid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>).</w:t>
      </w:r>
    </w:p>
    <w:p w14:paraId="56C1512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154623F" w14:textId="77777777" w:rsidR="009608C4" w:rsidRPr="001A6657" w:rsidRDefault="009608C4" w:rsidP="007B5D9A">
      <w:pPr>
        <w:keepNext/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Eliminácia</w:t>
      </w:r>
    </w:p>
    <w:p w14:paraId="2D49F37D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Po jednorazovom podaní 10 mg [</w:t>
      </w:r>
      <w:r w:rsidRPr="001A6657">
        <w:rPr>
          <w:szCs w:val="22"/>
          <w:vertAlign w:val="superscript"/>
          <w:lang w:val="sk-SK"/>
        </w:rPr>
        <w:t>14</w:t>
      </w:r>
      <w:r w:rsidRPr="001A6657">
        <w:rPr>
          <w:szCs w:val="22"/>
          <w:lang w:val="sk-SK"/>
        </w:rPr>
        <w:t xml:space="preserve">C-označeného]-solifenacínu sa zistilo približne 70 % rádioaktivity v moči a 23 % v stolici počas 26 dní. V moči sa približne 11 % izotopom značenej látky vyskytovalo vo forme nezmenenej aktívnej látky; približne 18 % vo forme </w:t>
      </w:r>
      <w:proofErr w:type="spellStart"/>
      <w:r w:rsidRPr="001A6657">
        <w:rPr>
          <w:szCs w:val="22"/>
          <w:lang w:val="sk-SK"/>
        </w:rPr>
        <w:t>N-oxid</w:t>
      </w:r>
      <w:proofErr w:type="spellEnd"/>
      <w:r w:rsidRPr="001A6657">
        <w:rPr>
          <w:szCs w:val="22"/>
          <w:lang w:val="sk-SK"/>
        </w:rPr>
        <w:t xml:space="preserve"> –</w:t>
      </w:r>
      <w:proofErr w:type="spellStart"/>
      <w:r w:rsidRPr="001A6657">
        <w:rPr>
          <w:szCs w:val="22"/>
          <w:lang w:val="sk-SK"/>
        </w:rPr>
        <w:t>metabolitu</w:t>
      </w:r>
      <w:proofErr w:type="spellEnd"/>
      <w:r w:rsidRPr="001A6657">
        <w:rPr>
          <w:szCs w:val="22"/>
          <w:lang w:val="sk-SK"/>
        </w:rPr>
        <w:t xml:space="preserve">, 9 % vo forme 4R-hydroxy-N-oxid - </w:t>
      </w:r>
      <w:proofErr w:type="spellStart"/>
      <w:r w:rsidRPr="001A6657">
        <w:rPr>
          <w:szCs w:val="22"/>
          <w:lang w:val="sk-SK"/>
        </w:rPr>
        <w:t>metabolitu</w:t>
      </w:r>
      <w:proofErr w:type="spellEnd"/>
      <w:r w:rsidRPr="001A6657">
        <w:rPr>
          <w:szCs w:val="22"/>
          <w:lang w:val="sk-SK"/>
        </w:rPr>
        <w:t xml:space="preserve"> a 8 % vo forme 4R-hydroxy - </w:t>
      </w:r>
      <w:proofErr w:type="spellStart"/>
      <w:r w:rsidRPr="001A6657">
        <w:rPr>
          <w:szCs w:val="22"/>
          <w:lang w:val="sk-SK"/>
        </w:rPr>
        <w:t>metabolitu</w:t>
      </w:r>
      <w:proofErr w:type="spellEnd"/>
      <w:r w:rsidRPr="001A6657">
        <w:rPr>
          <w:szCs w:val="22"/>
          <w:lang w:val="sk-SK"/>
        </w:rPr>
        <w:t xml:space="preserve"> (aktívny </w:t>
      </w:r>
      <w:proofErr w:type="spellStart"/>
      <w:r w:rsidRPr="001A6657">
        <w:rPr>
          <w:szCs w:val="22"/>
          <w:lang w:val="sk-SK"/>
        </w:rPr>
        <w:t>metabolit</w:t>
      </w:r>
      <w:proofErr w:type="spellEnd"/>
      <w:r w:rsidRPr="001A6657">
        <w:rPr>
          <w:szCs w:val="22"/>
          <w:lang w:val="sk-SK"/>
        </w:rPr>
        <w:t>).</w:t>
      </w:r>
    </w:p>
    <w:p w14:paraId="090ECBC5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7ABF160" w14:textId="77777777" w:rsidR="009608C4" w:rsidRPr="001A6657" w:rsidRDefault="009608C4" w:rsidP="007B5D9A">
      <w:pPr>
        <w:keepNext/>
        <w:widowControl w:val="0"/>
        <w:rPr>
          <w:iCs/>
          <w:szCs w:val="22"/>
          <w:u w:val="single"/>
          <w:lang w:val="sk-SK"/>
        </w:rPr>
      </w:pPr>
      <w:proofErr w:type="spellStart"/>
      <w:r w:rsidRPr="001A6657">
        <w:rPr>
          <w:iCs/>
          <w:szCs w:val="22"/>
          <w:u w:val="single"/>
          <w:lang w:val="sk-SK"/>
        </w:rPr>
        <w:t>Linearita</w:t>
      </w:r>
      <w:proofErr w:type="spellEnd"/>
      <w:r w:rsidRPr="001A6657">
        <w:rPr>
          <w:iCs/>
          <w:szCs w:val="22"/>
          <w:u w:val="single"/>
          <w:lang w:val="sk-SK"/>
        </w:rPr>
        <w:t>/</w:t>
      </w:r>
      <w:proofErr w:type="spellStart"/>
      <w:r w:rsidRPr="001A6657">
        <w:rPr>
          <w:iCs/>
          <w:szCs w:val="22"/>
          <w:u w:val="single"/>
          <w:lang w:val="sk-SK"/>
        </w:rPr>
        <w:t>nelinearita</w:t>
      </w:r>
      <w:proofErr w:type="spellEnd"/>
    </w:p>
    <w:p w14:paraId="3A57BB2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Farmakokinetika</w:t>
      </w:r>
      <w:proofErr w:type="spellEnd"/>
      <w:r w:rsidRPr="001A6657">
        <w:rPr>
          <w:szCs w:val="22"/>
          <w:lang w:val="sk-SK"/>
        </w:rPr>
        <w:t xml:space="preserve"> je v rozsahu terapeutických dávok lineárna.</w:t>
      </w:r>
    </w:p>
    <w:p w14:paraId="52B49C3E" w14:textId="77777777" w:rsidR="009608C4" w:rsidRPr="007B5D9A" w:rsidRDefault="009608C4" w:rsidP="009608C4">
      <w:pPr>
        <w:widowControl w:val="0"/>
        <w:rPr>
          <w:szCs w:val="22"/>
          <w:lang w:val="sk-SK"/>
        </w:rPr>
      </w:pPr>
    </w:p>
    <w:p w14:paraId="75DAC9C4" w14:textId="77777777" w:rsidR="009608C4" w:rsidRPr="001A6657" w:rsidRDefault="009608C4" w:rsidP="007B5D9A">
      <w:pPr>
        <w:keepNext/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Osobitné skupiny pacientov</w:t>
      </w:r>
    </w:p>
    <w:p w14:paraId="657B5CD6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Starší pacienti</w:t>
      </w:r>
    </w:p>
    <w:p w14:paraId="48A568AA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color w:val="000000"/>
          <w:szCs w:val="22"/>
          <w:lang w:val="sk-SK"/>
        </w:rPr>
        <w:t xml:space="preserve">Nie je potrebná </w:t>
      </w:r>
      <w:r w:rsidRPr="001A6657">
        <w:rPr>
          <w:rStyle w:val="Zvraznenie"/>
          <w:b w:val="0"/>
          <w:color w:val="000000"/>
          <w:szCs w:val="22"/>
          <w:lang w:val="sk-SK"/>
        </w:rPr>
        <w:t>úprava dávkovania</w:t>
      </w:r>
      <w:r w:rsidRPr="001A6657">
        <w:rPr>
          <w:color w:val="000000"/>
          <w:szCs w:val="22"/>
          <w:lang w:val="sk-SK"/>
        </w:rPr>
        <w:t xml:space="preserve"> v závislosti od </w:t>
      </w:r>
      <w:r w:rsidRPr="001A6657">
        <w:rPr>
          <w:rStyle w:val="Zvraznenie"/>
          <w:b w:val="0"/>
          <w:color w:val="000000"/>
          <w:szCs w:val="22"/>
          <w:lang w:val="sk-SK"/>
        </w:rPr>
        <w:t xml:space="preserve">veku pacientov. </w:t>
      </w:r>
      <w:r w:rsidRPr="001A6657">
        <w:rPr>
          <w:szCs w:val="22"/>
          <w:lang w:val="sk-SK"/>
        </w:rPr>
        <w:t xml:space="preserve">Štúdie u starších pacientov dokázali, že pôsobenie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, vyjadrené vo forme AUC, po podaní </w:t>
      </w:r>
      <w:proofErr w:type="spellStart"/>
      <w:r w:rsidRPr="001A6657">
        <w:rPr>
          <w:szCs w:val="22"/>
          <w:lang w:val="sk-SK"/>
        </w:rPr>
        <w:t>solifenacíniumsukcinátu</w:t>
      </w:r>
      <w:proofErr w:type="spellEnd"/>
      <w:r w:rsidRPr="001A6657">
        <w:rPr>
          <w:szCs w:val="22"/>
          <w:lang w:val="sk-SK"/>
        </w:rPr>
        <w:t xml:space="preserve"> (5 mg a 10 mg jedenkrát denne) bolo podobné u zdravých starších jedincov (vo veku 65 až 80 rokov) a u zdravých mladých jedincov (vo veku do 55 rokov). Stredná hodnota rýchlosti absorpcie vyjadrená ako </w:t>
      </w:r>
      <w:proofErr w:type="spellStart"/>
      <w:r w:rsidRPr="001A6657">
        <w:rPr>
          <w:szCs w:val="22"/>
          <w:lang w:val="sk-SK"/>
        </w:rPr>
        <w:t>t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lang w:val="sk-SK"/>
        </w:rPr>
        <w:t xml:space="preserve"> bola u starších jedincov mierne pomalšia a terminálny polčas bol u starších jedincov približne o 20 % dlhší. Tieto mierne odchýlky sa nepovažujú za klinicky významné.</w:t>
      </w:r>
    </w:p>
    <w:p w14:paraId="0CAD2351" w14:textId="77777777" w:rsidR="003B489A" w:rsidRDefault="003B489A" w:rsidP="009608C4">
      <w:pPr>
        <w:widowControl w:val="0"/>
        <w:rPr>
          <w:szCs w:val="22"/>
          <w:lang w:val="sk-SK"/>
        </w:rPr>
      </w:pPr>
    </w:p>
    <w:p w14:paraId="6930A0E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U detí a dospievajúcich sa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nestanovili.</w:t>
      </w:r>
    </w:p>
    <w:p w14:paraId="099AC7B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1ED927A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Pohlavie</w:t>
      </w:r>
    </w:p>
    <w:p w14:paraId="62190C9D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Pohlavie nemá vplyv na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>.</w:t>
      </w:r>
    </w:p>
    <w:p w14:paraId="7605C90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6FD5A18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Rasa</w:t>
      </w:r>
    </w:p>
    <w:p w14:paraId="50763B09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Rasa nemá vplyv na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>.</w:t>
      </w:r>
    </w:p>
    <w:p w14:paraId="62C3ACD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7C9EB5B" w14:textId="77777777" w:rsidR="009608C4" w:rsidRPr="001A6657" w:rsidRDefault="009608C4" w:rsidP="007B5D9A">
      <w:pPr>
        <w:keepNext/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Porucha funkcie obličiek</w:t>
      </w:r>
    </w:p>
    <w:p w14:paraId="6856A739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AUC a </w:t>
      </w:r>
      <w:proofErr w:type="spellStart"/>
      <w:r w:rsidRPr="001A6657">
        <w:rPr>
          <w:szCs w:val="22"/>
          <w:lang w:val="sk-SK"/>
        </w:rPr>
        <w:t>C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nemali u pacientov s miernou a stredne závažnou poruchou funkcie obličiek významne odlišné hodnoty v porovnaní so zdravými dobrovoľníkmi. U pacientov so závažnou poruchou funkcie obličiek (</w:t>
      </w:r>
      <w:proofErr w:type="spellStart"/>
      <w:r w:rsidRPr="001A6657">
        <w:rPr>
          <w:szCs w:val="22"/>
          <w:lang w:val="sk-SK"/>
        </w:rPr>
        <w:t>klírens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kreatinínu</w:t>
      </w:r>
      <w:proofErr w:type="spellEnd"/>
      <w:r w:rsidRPr="001A6657">
        <w:rPr>
          <w:szCs w:val="22"/>
          <w:lang w:val="sk-SK"/>
        </w:rPr>
        <w:t xml:space="preserve"> ≤ 30 ml/min) bola expozícia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významne vyššia než u kontrolnej skupiny, pričom došlo k nárastu </w:t>
      </w:r>
      <w:proofErr w:type="spellStart"/>
      <w:r w:rsidRPr="001A6657">
        <w:rPr>
          <w:szCs w:val="22"/>
          <w:lang w:val="sk-SK"/>
        </w:rPr>
        <w:t>C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vertAlign w:val="subscript"/>
          <w:lang w:val="sk-SK"/>
        </w:rPr>
        <w:t xml:space="preserve"> </w:t>
      </w:r>
      <w:r w:rsidRPr="001A6657">
        <w:rPr>
          <w:szCs w:val="22"/>
          <w:lang w:val="sk-SK"/>
        </w:rPr>
        <w:t>o približne 30 %, AUC o viac než 100 % a t</w:t>
      </w:r>
      <w:r w:rsidRPr="001A6657">
        <w:rPr>
          <w:szCs w:val="22"/>
          <w:vertAlign w:val="subscript"/>
          <w:lang w:val="sk-SK"/>
        </w:rPr>
        <w:t>1/2</w:t>
      </w:r>
      <w:r w:rsidRPr="001A6657">
        <w:rPr>
          <w:szCs w:val="22"/>
          <w:lang w:val="sk-SK"/>
        </w:rPr>
        <w:t xml:space="preserve"> o viac než 60 %. Štatisticky významný vzťah bol zistený medzi </w:t>
      </w:r>
      <w:proofErr w:type="spellStart"/>
      <w:r w:rsidRPr="001A6657">
        <w:rPr>
          <w:szCs w:val="22"/>
          <w:lang w:val="sk-SK"/>
        </w:rPr>
        <w:t>klírensom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kreatinínu</w:t>
      </w:r>
      <w:proofErr w:type="spellEnd"/>
      <w:r w:rsidRPr="001A6657">
        <w:rPr>
          <w:szCs w:val="22"/>
          <w:lang w:val="sk-SK"/>
        </w:rPr>
        <w:t xml:space="preserve"> a </w:t>
      </w:r>
      <w:proofErr w:type="spellStart"/>
      <w:r w:rsidRPr="001A6657">
        <w:rPr>
          <w:szCs w:val="22"/>
          <w:lang w:val="sk-SK"/>
        </w:rPr>
        <w:t>klírensom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>.</w:t>
      </w:r>
    </w:p>
    <w:p w14:paraId="5F5A1324" w14:textId="77777777" w:rsidR="003B489A" w:rsidRDefault="003B489A" w:rsidP="009608C4">
      <w:pPr>
        <w:widowControl w:val="0"/>
        <w:rPr>
          <w:szCs w:val="22"/>
          <w:lang w:val="sk-SK"/>
        </w:rPr>
      </w:pPr>
    </w:p>
    <w:p w14:paraId="1D9D3953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u </w:t>
      </w:r>
      <w:proofErr w:type="spellStart"/>
      <w:r w:rsidRPr="001A6657">
        <w:rPr>
          <w:szCs w:val="22"/>
          <w:lang w:val="sk-SK"/>
        </w:rPr>
        <w:t>hemodialyzovaných</w:t>
      </w:r>
      <w:proofErr w:type="spellEnd"/>
      <w:r w:rsidRPr="001A6657">
        <w:rPr>
          <w:szCs w:val="22"/>
          <w:lang w:val="sk-SK"/>
        </w:rPr>
        <w:t xml:space="preserve"> pacientov neboli predmetom štúdie.</w:t>
      </w:r>
    </w:p>
    <w:p w14:paraId="33ACF88C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DC7F312" w14:textId="77777777" w:rsidR="009608C4" w:rsidRPr="001A6657" w:rsidRDefault="009608C4" w:rsidP="007B5D9A">
      <w:pPr>
        <w:keepNext/>
        <w:widowControl w:val="0"/>
        <w:rPr>
          <w:i/>
          <w:iCs/>
          <w:szCs w:val="22"/>
          <w:lang w:val="sk-SK"/>
        </w:rPr>
      </w:pPr>
      <w:r w:rsidRPr="001A6657">
        <w:rPr>
          <w:i/>
          <w:iCs/>
          <w:szCs w:val="22"/>
          <w:lang w:val="sk-SK"/>
        </w:rPr>
        <w:t>Porucha funkcie pečene</w:t>
      </w:r>
    </w:p>
    <w:p w14:paraId="4AC4B5B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pacientov so stredne závažnou poruchou funkcie pečene (</w:t>
      </w:r>
      <w:proofErr w:type="spellStart"/>
      <w:r w:rsidRPr="001A6657">
        <w:rPr>
          <w:szCs w:val="22"/>
          <w:lang w:val="sk-SK"/>
        </w:rPr>
        <w:t>Childovo-Pughovo</w:t>
      </w:r>
      <w:proofErr w:type="spellEnd"/>
      <w:r w:rsidRPr="001A6657">
        <w:rPr>
          <w:szCs w:val="22"/>
          <w:lang w:val="sk-SK"/>
        </w:rPr>
        <w:t xml:space="preserve"> skóre 7 až 9) nebola hodnota </w:t>
      </w:r>
      <w:proofErr w:type="spellStart"/>
      <w:r w:rsidRPr="001A6657">
        <w:rPr>
          <w:szCs w:val="22"/>
          <w:lang w:val="sk-SK"/>
        </w:rPr>
        <w:t>C</w:t>
      </w:r>
      <w:r w:rsidRPr="001A6657">
        <w:rPr>
          <w:szCs w:val="22"/>
          <w:vertAlign w:val="subscript"/>
          <w:lang w:val="sk-SK"/>
        </w:rPr>
        <w:t>max</w:t>
      </w:r>
      <w:proofErr w:type="spellEnd"/>
      <w:r w:rsidRPr="001A6657">
        <w:rPr>
          <w:szCs w:val="22"/>
          <w:lang w:val="sk-SK"/>
        </w:rPr>
        <w:t xml:space="preserve"> ovplyvnená, avšak hodnota AUC sa zvýšila o 60 % a hodnota t</w:t>
      </w:r>
      <w:r w:rsidRPr="001A6657">
        <w:rPr>
          <w:szCs w:val="22"/>
          <w:vertAlign w:val="subscript"/>
          <w:lang w:val="sk-SK"/>
        </w:rPr>
        <w:t xml:space="preserve">1/2 </w:t>
      </w:r>
      <w:r w:rsidRPr="001A6657">
        <w:rPr>
          <w:szCs w:val="22"/>
          <w:lang w:val="sk-SK"/>
        </w:rPr>
        <w:t xml:space="preserve">sa zdvojnásobila. </w:t>
      </w:r>
      <w:proofErr w:type="spellStart"/>
      <w:r w:rsidRPr="001A6657">
        <w:rPr>
          <w:szCs w:val="22"/>
          <w:lang w:val="sk-SK"/>
        </w:rPr>
        <w:t>Farmakokinetické</w:t>
      </w:r>
      <w:proofErr w:type="spellEnd"/>
      <w:r w:rsidRPr="001A6657">
        <w:rPr>
          <w:szCs w:val="22"/>
          <w:lang w:val="sk-SK"/>
        </w:rPr>
        <w:t xml:space="preserve"> vlastnosti </w:t>
      </w:r>
      <w:proofErr w:type="spellStart"/>
      <w:r w:rsidRPr="001A6657">
        <w:rPr>
          <w:szCs w:val="22"/>
          <w:lang w:val="sk-SK"/>
        </w:rPr>
        <w:t>solifenacínu</w:t>
      </w:r>
      <w:proofErr w:type="spellEnd"/>
      <w:r w:rsidRPr="001A6657">
        <w:rPr>
          <w:szCs w:val="22"/>
          <w:lang w:val="sk-SK"/>
        </w:rPr>
        <w:t xml:space="preserve"> u pacientov so závažnou poruchou funkcie pečene neboli predmetom štúdie.</w:t>
      </w:r>
    </w:p>
    <w:p w14:paraId="777BB51F" w14:textId="77777777" w:rsidR="009E6B3B" w:rsidRPr="001A6657" w:rsidRDefault="009E6B3B" w:rsidP="00A505E4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5FE05454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5.3</w:t>
      </w:r>
      <w:r w:rsidRPr="001A6657">
        <w:rPr>
          <w:b/>
          <w:szCs w:val="22"/>
          <w:lang w:val="sk-SK"/>
        </w:rPr>
        <w:tab/>
        <w:t>Predklinické údaje o bezpečnosti</w:t>
      </w:r>
    </w:p>
    <w:p w14:paraId="3C101446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4FE6A1A3" w14:textId="094C94AA" w:rsidR="00F2622E" w:rsidRPr="001A6657" w:rsidRDefault="00193CEE" w:rsidP="00F2622E">
      <w:pPr>
        <w:rPr>
          <w:szCs w:val="22"/>
          <w:lang w:val="sk-SK"/>
        </w:rPr>
      </w:pPr>
      <w:r w:rsidRPr="00EF0937">
        <w:rPr>
          <w:szCs w:val="22"/>
          <w:lang w:val="sk-SK"/>
        </w:rPr>
        <w:t xml:space="preserve">Predklinické údaje </w:t>
      </w:r>
      <w:r w:rsidRPr="00EF0937">
        <w:rPr>
          <w:noProof/>
          <w:szCs w:val="22"/>
          <w:lang w:val="sk-SK"/>
        </w:rPr>
        <w:t xml:space="preserve">získané </w:t>
      </w:r>
      <w:r w:rsidRPr="00EF0937">
        <w:rPr>
          <w:szCs w:val="22"/>
          <w:lang w:val="sk-SK"/>
        </w:rPr>
        <w:t xml:space="preserve">na základe obvyklých </w:t>
      </w:r>
      <w:r w:rsidRPr="00EF0937">
        <w:rPr>
          <w:noProof/>
          <w:szCs w:val="22"/>
          <w:lang w:val="sk-SK"/>
        </w:rPr>
        <w:t>farmakologických</w:t>
      </w:r>
      <w:r w:rsidRPr="00EF0937">
        <w:rPr>
          <w:szCs w:val="22"/>
          <w:lang w:val="sk-SK"/>
        </w:rPr>
        <w:t xml:space="preserve"> štúdií bezpečnosti, toxicity po</w:t>
      </w:r>
      <w:r w:rsidR="00AA4EAC" w:rsidRPr="00EF0937">
        <w:rPr>
          <w:szCs w:val="22"/>
          <w:lang w:val="sk-SK"/>
        </w:rPr>
        <w:t> </w:t>
      </w:r>
      <w:r w:rsidRPr="00EF0937">
        <w:rPr>
          <w:szCs w:val="22"/>
          <w:lang w:val="sk-SK"/>
        </w:rPr>
        <w:t xml:space="preserve">opakovanom podávaní, </w:t>
      </w:r>
      <w:proofErr w:type="spellStart"/>
      <w:r w:rsidR="00A064D4" w:rsidRPr="00EF0937">
        <w:rPr>
          <w:szCs w:val="22"/>
          <w:lang w:val="sk-SK"/>
        </w:rPr>
        <w:t>fertility</w:t>
      </w:r>
      <w:proofErr w:type="spellEnd"/>
      <w:r w:rsidR="00A064D4" w:rsidRPr="00EF0937">
        <w:rPr>
          <w:szCs w:val="22"/>
          <w:lang w:val="sk-SK"/>
        </w:rPr>
        <w:t>, výv</w:t>
      </w:r>
      <w:r w:rsidR="00E75C5A">
        <w:rPr>
          <w:szCs w:val="22"/>
          <w:lang w:val="sk-SK"/>
        </w:rPr>
        <w:t>inu</w:t>
      </w:r>
      <w:r w:rsidR="00A064D4" w:rsidRPr="00EF0937">
        <w:rPr>
          <w:szCs w:val="22"/>
          <w:lang w:val="sk-SK"/>
        </w:rPr>
        <w:t xml:space="preserve"> embry</w:t>
      </w:r>
      <w:r w:rsidR="00EF0937">
        <w:rPr>
          <w:szCs w:val="22"/>
          <w:lang w:val="sk-SK"/>
        </w:rPr>
        <w:t>a</w:t>
      </w:r>
      <w:r w:rsidR="00A064D4" w:rsidRPr="00EF0937">
        <w:rPr>
          <w:szCs w:val="22"/>
          <w:lang w:val="sk-SK"/>
        </w:rPr>
        <w:t xml:space="preserve"> a plodu, </w:t>
      </w:r>
      <w:proofErr w:type="spellStart"/>
      <w:r w:rsidRPr="00EF0937">
        <w:rPr>
          <w:szCs w:val="22"/>
          <w:lang w:val="sk-SK"/>
        </w:rPr>
        <w:t>genotoxicity</w:t>
      </w:r>
      <w:proofErr w:type="spellEnd"/>
      <w:r w:rsidRPr="00EF0937">
        <w:rPr>
          <w:szCs w:val="22"/>
          <w:lang w:val="sk-SK"/>
        </w:rPr>
        <w:t>, karcinogénneho potenciálu, neodhalili žiadne osobitné riziko pre ľudí</w:t>
      </w:r>
      <w:r w:rsidR="005E5705">
        <w:rPr>
          <w:szCs w:val="22"/>
        </w:rPr>
        <w:t>.</w:t>
      </w:r>
      <w:r w:rsidR="00F2622E" w:rsidRPr="001A6657">
        <w:rPr>
          <w:szCs w:val="22"/>
          <w:lang w:val="sk-SK"/>
        </w:rPr>
        <w:t xml:space="preserve"> Štúdia pre- a </w:t>
      </w:r>
      <w:proofErr w:type="spellStart"/>
      <w:r w:rsidR="00F2622E" w:rsidRPr="001A6657">
        <w:rPr>
          <w:szCs w:val="22"/>
          <w:lang w:val="sk-SK"/>
        </w:rPr>
        <w:t>postnatálneho</w:t>
      </w:r>
      <w:proofErr w:type="spellEnd"/>
      <w:r w:rsidR="00F2622E" w:rsidRPr="001A6657">
        <w:rPr>
          <w:szCs w:val="22"/>
          <w:lang w:val="sk-SK"/>
        </w:rPr>
        <w:t xml:space="preserve"> vývoja u myší odhalila, že podávanie </w:t>
      </w:r>
      <w:proofErr w:type="spellStart"/>
      <w:r w:rsidR="00F2622E" w:rsidRPr="001A6657">
        <w:rPr>
          <w:szCs w:val="22"/>
          <w:lang w:val="sk-SK"/>
        </w:rPr>
        <w:t>solifenacínu</w:t>
      </w:r>
      <w:proofErr w:type="spellEnd"/>
      <w:r w:rsidR="00F2622E" w:rsidRPr="001A6657">
        <w:rPr>
          <w:szCs w:val="22"/>
          <w:lang w:val="sk-SK"/>
        </w:rPr>
        <w:t xml:space="preserve"> matke počas laktácie spôsobilo klinicky významné od dávky závislé zníženie miery prežitia po narodení, nižšiu hmotnosť mláďat a pomalší fyzický rozvoj mláďat. Bez predchádzajúcich klinických prejavov sa vyskytla zvýšená mortalita v závislosti od dávky u mláďat </w:t>
      </w:r>
      <w:r w:rsidR="00F2622E" w:rsidRPr="001A6657">
        <w:rPr>
          <w:szCs w:val="22"/>
          <w:lang w:val="sk-SK"/>
        </w:rPr>
        <w:lastRenderedPageBreak/>
        <w:t>myší, ktorých liečba začala od 10. alebo 21. dňa po narodení dávkami, ktoré dosiahli farmakologický účinok a u obidvoch skupín bola vyššia mortalita v porovnaní s dospelými jedincami.</w:t>
      </w:r>
    </w:p>
    <w:p w14:paraId="5DD3CCBE" w14:textId="77777777" w:rsidR="00F2622E" w:rsidRPr="001A6657" w:rsidRDefault="00F2622E" w:rsidP="00F2622E">
      <w:pPr>
        <w:rPr>
          <w:rFonts w:eastAsia="MS Mincho"/>
          <w:szCs w:val="22"/>
          <w:lang w:val="sk-SK"/>
        </w:rPr>
      </w:pPr>
      <w:r w:rsidRPr="001A6657">
        <w:rPr>
          <w:szCs w:val="22"/>
          <w:lang w:val="sk-SK"/>
        </w:rPr>
        <w:t>U mláďat myší, u ktorých začala liečba 10. deň po pôrode, bola expozícia v plazme vyššia než u dospelých myší, pri liečbe po 21. dni po pôrode bola systémová expozícia porovnateľná s expozíciou u dospelých myší. Klinický dopad zvýšenej mortality u mláďat myší nie je známy.</w:t>
      </w:r>
    </w:p>
    <w:p w14:paraId="21628FC2" w14:textId="77777777" w:rsidR="00F2622E" w:rsidRPr="001A6657" w:rsidRDefault="00F2622E" w:rsidP="00F2622E">
      <w:pPr>
        <w:widowControl w:val="0"/>
        <w:rPr>
          <w:szCs w:val="22"/>
          <w:lang w:val="sk-SK"/>
        </w:rPr>
      </w:pPr>
    </w:p>
    <w:p w14:paraId="5D31CD2E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A995765" w14:textId="77777777" w:rsidR="009E6B3B" w:rsidRPr="001A6657" w:rsidRDefault="00A734B6" w:rsidP="007B5D9A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6.</w:t>
      </w:r>
      <w:r w:rsidRPr="001A6657">
        <w:rPr>
          <w:b/>
          <w:szCs w:val="22"/>
          <w:lang w:val="sk-SK"/>
        </w:rPr>
        <w:tab/>
        <w:t>FARMACEUTICKÉ INFORMÁCIE</w:t>
      </w:r>
    </w:p>
    <w:p w14:paraId="47BA96EE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5C3D0F1C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6.1</w:t>
      </w:r>
      <w:r w:rsidRPr="001A6657">
        <w:rPr>
          <w:b/>
          <w:szCs w:val="22"/>
          <w:lang w:val="sk-SK"/>
        </w:rPr>
        <w:tab/>
        <w:t>Zoznam pomocných látok</w:t>
      </w:r>
    </w:p>
    <w:p w14:paraId="2D799F88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2DE9EFA3" w14:textId="77777777" w:rsidR="00F2622E" w:rsidRPr="008470A1" w:rsidRDefault="00F2622E" w:rsidP="007B5D9A">
      <w:pPr>
        <w:keepNext/>
        <w:widowControl w:val="0"/>
        <w:rPr>
          <w:szCs w:val="22"/>
          <w:u w:val="single"/>
          <w:lang w:val="sk-SK"/>
        </w:rPr>
      </w:pPr>
      <w:r w:rsidRPr="008470A1">
        <w:rPr>
          <w:szCs w:val="22"/>
          <w:u w:val="single"/>
          <w:lang w:val="sk-SK"/>
        </w:rPr>
        <w:t>Jadro tablety:</w:t>
      </w:r>
    </w:p>
    <w:p w14:paraId="029B01C8" w14:textId="77777777" w:rsidR="00F2622E" w:rsidRPr="001A6657" w:rsidRDefault="00F2622E" w:rsidP="00F2622E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Monohydrát</w:t>
      </w:r>
      <w:proofErr w:type="spellEnd"/>
      <w:r w:rsidRPr="001A6657">
        <w:rPr>
          <w:szCs w:val="22"/>
          <w:lang w:val="sk-SK"/>
        </w:rPr>
        <w:t xml:space="preserve"> laktózy</w:t>
      </w:r>
    </w:p>
    <w:p w14:paraId="0FA006AA" w14:textId="77777777" w:rsidR="008470A1" w:rsidRPr="001A6657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Kukuričný škrob</w:t>
      </w:r>
    </w:p>
    <w:p w14:paraId="092C534C" w14:textId="77777777" w:rsidR="008470A1" w:rsidRPr="001A6657" w:rsidRDefault="008470A1" w:rsidP="008470A1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Hypromelóza</w:t>
      </w:r>
      <w:proofErr w:type="spellEnd"/>
    </w:p>
    <w:p w14:paraId="0484432F" w14:textId="77777777" w:rsidR="008470A1" w:rsidRPr="001A6657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Mastenec</w:t>
      </w:r>
    </w:p>
    <w:p w14:paraId="61121ADE" w14:textId="77777777" w:rsidR="00F2622E" w:rsidRPr="001A6657" w:rsidRDefault="00F2622E" w:rsidP="00F2622E">
      <w:pPr>
        <w:widowControl w:val="0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Magnéziumstearát</w:t>
      </w:r>
      <w:proofErr w:type="spellEnd"/>
    </w:p>
    <w:p w14:paraId="0E9DAAB7" w14:textId="77777777" w:rsidR="00F2622E" w:rsidRPr="001A6657" w:rsidRDefault="00F2622E" w:rsidP="00F2622E">
      <w:pPr>
        <w:widowControl w:val="0"/>
        <w:rPr>
          <w:i/>
          <w:szCs w:val="22"/>
          <w:lang w:val="sk-SK"/>
        </w:rPr>
      </w:pPr>
    </w:p>
    <w:p w14:paraId="51AAEFD1" w14:textId="77777777" w:rsidR="00F2622E" w:rsidRDefault="00F2622E" w:rsidP="007B5D9A">
      <w:pPr>
        <w:keepNext/>
        <w:widowControl w:val="0"/>
        <w:rPr>
          <w:szCs w:val="22"/>
          <w:u w:val="single"/>
          <w:lang w:val="sk-SK"/>
        </w:rPr>
      </w:pPr>
      <w:r w:rsidRPr="008470A1">
        <w:rPr>
          <w:szCs w:val="22"/>
          <w:u w:val="single"/>
          <w:lang w:val="sk-SK"/>
        </w:rPr>
        <w:t>Filmový obal:</w:t>
      </w:r>
    </w:p>
    <w:p w14:paraId="25BF0DC1" w14:textId="77777777" w:rsidR="008470A1" w:rsidRDefault="008470A1" w:rsidP="00F2622E">
      <w:pPr>
        <w:widowControl w:val="0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5 mg</w:t>
      </w:r>
    </w:p>
    <w:p w14:paraId="2D7F5D03" w14:textId="77777777" w:rsidR="008470A1" w:rsidRPr="008470A1" w:rsidRDefault="008470A1" w:rsidP="00F2622E">
      <w:pPr>
        <w:widowControl w:val="0"/>
        <w:rPr>
          <w:szCs w:val="22"/>
          <w:lang w:val="sk-SK"/>
        </w:rPr>
      </w:pPr>
      <w:proofErr w:type="spellStart"/>
      <w:r w:rsidRPr="008470A1">
        <w:rPr>
          <w:szCs w:val="22"/>
          <w:lang w:val="sk-SK"/>
        </w:rPr>
        <w:t>Hypromelóza</w:t>
      </w:r>
      <w:proofErr w:type="spellEnd"/>
    </w:p>
    <w:p w14:paraId="0A2002E7" w14:textId="77777777" w:rsidR="00F2622E" w:rsidRDefault="00F2622E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Oxid </w:t>
      </w:r>
      <w:proofErr w:type="spellStart"/>
      <w:r w:rsidRPr="001A6657">
        <w:rPr>
          <w:szCs w:val="22"/>
          <w:lang w:val="sk-SK"/>
        </w:rPr>
        <w:t>titaničitý</w:t>
      </w:r>
      <w:proofErr w:type="spellEnd"/>
      <w:r w:rsidRPr="001A6657">
        <w:rPr>
          <w:szCs w:val="22"/>
          <w:lang w:val="sk-SK"/>
        </w:rPr>
        <w:t xml:space="preserve"> (E 171)</w:t>
      </w:r>
    </w:p>
    <w:p w14:paraId="091BFDFC" w14:textId="77777777" w:rsidR="008470A1" w:rsidRDefault="008470A1" w:rsidP="00F2622E">
      <w:pPr>
        <w:widowControl w:val="0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Propylén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glykol</w:t>
      </w:r>
      <w:proofErr w:type="spellEnd"/>
    </w:p>
    <w:p w14:paraId="11EB6A84" w14:textId="77777777" w:rsidR="008470A1" w:rsidRDefault="008470A1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Žltý oxid železitý (E 172</w:t>
      </w:r>
      <w:r>
        <w:rPr>
          <w:szCs w:val="22"/>
          <w:lang w:val="sk-SK"/>
        </w:rPr>
        <w:t>)</w:t>
      </w:r>
    </w:p>
    <w:p w14:paraId="0F6205C0" w14:textId="77777777" w:rsidR="008470A1" w:rsidRDefault="008470A1" w:rsidP="00F2622E">
      <w:pPr>
        <w:widowControl w:val="0"/>
        <w:rPr>
          <w:szCs w:val="22"/>
          <w:lang w:val="sk-SK"/>
        </w:rPr>
      </w:pPr>
    </w:p>
    <w:p w14:paraId="3E834847" w14:textId="77777777" w:rsidR="008470A1" w:rsidRPr="008470A1" w:rsidRDefault="008470A1" w:rsidP="00F2622E">
      <w:pPr>
        <w:widowControl w:val="0"/>
        <w:rPr>
          <w:szCs w:val="22"/>
          <w:u w:val="single"/>
          <w:lang w:val="sk-SK"/>
        </w:rPr>
      </w:pPr>
      <w:r w:rsidRPr="008470A1">
        <w:rPr>
          <w:szCs w:val="22"/>
          <w:u w:val="single"/>
          <w:lang w:val="sk-SK"/>
        </w:rPr>
        <w:t>10 mg</w:t>
      </w:r>
    </w:p>
    <w:p w14:paraId="4D78A81B" w14:textId="77777777" w:rsidR="008470A1" w:rsidRPr="008470A1" w:rsidRDefault="008470A1" w:rsidP="008470A1">
      <w:pPr>
        <w:widowControl w:val="0"/>
        <w:rPr>
          <w:szCs w:val="22"/>
          <w:lang w:val="sk-SK"/>
        </w:rPr>
      </w:pPr>
      <w:proofErr w:type="spellStart"/>
      <w:r w:rsidRPr="008470A1">
        <w:rPr>
          <w:szCs w:val="22"/>
          <w:lang w:val="sk-SK"/>
        </w:rPr>
        <w:t>Hypromelóza</w:t>
      </w:r>
      <w:proofErr w:type="spellEnd"/>
    </w:p>
    <w:p w14:paraId="28D5E542" w14:textId="77777777" w:rsidR="008470A1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Oxid </w:t>
      </w:r>
      <w:proofErr w:type="spellStart"/>
      <w:r w:rsidRPr="001A6657">
        <w:rPr>
          <w:szCs w:val="22"/>
          <w:lang w:val="sk-SK"/>
        </w:rPr>
        <w:t>titaničitý</w:t>
      </w:r>
      <w:proofErr w:type="spellEnd"/>
      <w:r w:rsidRPr="001A6657">
        <w:rPr>
          <w:szCs w:val="22"/>
          <w:lang w:val="sk-SK"/>
        </w:rPr>
        <w:t xml:space="preserve"> (E 171)</w:t>
      </w:r>
    </w:p>
    <w:p w14:paraId="30C8D976" w14:textId="77777777" w:rsidR="009E6B3B" w:rsidRDefault="00F2622E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Červený oxid železitý ( E 1</w:t>
      </w:r>
      <w:r w:rsidR="008470A1">
        <w:rPr>
          <w:szCs w:val="22"/>
          <w:lang w:val="sk-SK"/>
        </w:rPr>
        <w:t>72)</w:t>
      </w:r>
    </w:p>
    <w:p w14:paraId="244B5E75" w14:textId="77777777" w:rsidR="008470A1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Žltý oxid železitý (E 172</w:t>
      </w:r>
      <w:r>
        <w:rPr>
          <w:szCs w:val="22"/>
          <w:lang w:val="sk-SK"/>
        </w:rPr>
        <w:t>)</w:t>
      </w:r>
    </w:p>
    <w:p w14:paraId="7A737921" w14:textId="77777777" w:rsidR="008470A1" w:rsidRPr="001A6657" w:rsidRDefault="008470A1" w:rsidP="008470A1">
      <w:pPr>
        <w:widowControl w:val="0"/>
        <w:rPr>
          <w:szCs w:val="22"/>
          <w:lang w:val="sk-SK"/>
        </w:rPr>
      </w:pPr>
    </w:p>
    <w:p w14:paraId="3AFAE3E5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6.2</w:t>
      </w:r>
      <w:r w:rsidRPr="001A6657">
        <w:rPr>
          <w:b/>
          <w:szCs w:val="22"/>
          <w:lang w:val="sk-SK"/>
        </w:rPr>
        <w:tab/>
        <w:t>Inkompatibility</w:t>
      </w:r>
    </w:p>
    <w:p w14:paraId="46059A3D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5FFAEC07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Neaplikovateľné.</w:t>
      </w:r>
    </w:p>
    <w:p w14:paraId="383DA887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307710AC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6.3</w:t>
      </w:r>
      <w:r w:rsidRPr="001A6657">
        <w:rPr>
          <w:b/>
          <w:szCs w:val="22"/>
          <w:lang w:val="sk-SK"/>
        </w:rPr>
        <w:tab/>
        <w:t>Čas použiteľnosti</w:t>
      </w:r>
    </w:p>
    <w:p w14:paraId="62C750DA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1375A825" w14:textId="6537C3A5" w:rsidR="009E6B3B" w:rsidRDefault="003755CF" w:rsidP="00A505E4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Blistre</w:t>
      </w:r>
      <w:proofErr w:type="spellEnd"/>
      <w:r>
        <w:rPr>
          <w:szCs w:val="22"/>
          <w:lang w:val="sk-SK"/>
        </w:rPr>
        <w:t xml:space="preserve">: </w:t>
      </w:r>
      <w:r w:rsidR="000242DE">
        <w:rPr>
          <w:szCs w:val="22"/>
          <w:lang w:val="sk-SK"/>
        </w:rPr>
        <w:t>3</w:t>
      </w:r>
      <w:r w:rsidR="00A734B6" w:rsidRPr="001A6657">
        <w:rPr>
          <w:szCs w:val="22"/>
          <w:lang w:val="sk-SK"/>
        </w:rPr>
        <w:t> roky</w:t>
      </w:r>
    </w:p>
    <w:p w14:paraId="23C04AF7" w14:textId="2E733489" w:rsidR="00EF73D7" w:rsidRDefault="00EF73D7" w:rsidP="00A505E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HDPE fľaš</w:t>
      </w:r>
      <w:r w:rsidR="003755CF">
        <w:rPr>
          <w:szCs w:val="22"/>
          <w:lang w:val="sk-SK"/>
        </w:rPr>
        <w:t>a</w:t>
      </w:r>
      <w:r>
        <w:rPr>
          <w:szCs w:val="22"/>
          <w:lang w:val="sk-SK"/>
        </w:rPr>
        <w:t>:</w:t>
      </w:r>
      <w:r w:rsidR="003755CF">
        <w:rPr>
          <w:szCs w:val="22"/>
          <w:lang w:val="sk-SK"/>
        </w:rPr>
        <w:t xml:space="preserve"> 2 roky.</w:t>
      </w:r>
      <w:r>
        <w:rPr>
          <w:szCs w:val="22"/>
          <w:lang w:val="sk-SK"/>
        </w:rPr>
        <w:t xml:space="preserve"> Po prvom otvorení použite do 100 dní.</w:t>
      </w:r>
    </w:p>
    <w:p w14:paraId="2308B010" w14:textId="77777777" w:rsidR="00EF73D7" w:rsidRDefault="00EF73D7" w:rsidP="00A505E4">
      <w:pPr>
        <w:spacing w:line="240" w:lineRule="auto"/>
        <w:rPr>
          <w:szCs w:val="22"/>
          <w:lang w:val="sk-SK"/>
        </w:rPr>
      </w:pPr>
    </w:p>
    <w:p w14:paraId="1F57107C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6.4</w:t>
      </w:r>
      <w:r w:rsidRPr="001A6657">
        <w:rPr>
          <w:b/>
          <w:szCs w:val="22"/>
          <w:lang w:val="sk-SK"/>
        </w:rPr>
        <w:tab/>
        <w:t>Špeciálne upozornenia na uchovávanie</w:t>
      </w:r>
    </w:p>
    <w:p w14:paraId="6A202123" w14:textId="77777777" w:rsidR="00F2622E" w:rsidRPr="001A6657" w:rsidRDefault="00F2622E" w:rsidP="007B5D9A">
      <w:pPr>
        <w:keepNext/>
        <w:widowControl w:val="0"/>
        <w:rPr>
          <w:szCs w:val="22"/>
          <w:lang w:val="sk-SK"/>
        </w:rPr>
      </w:pPr>
    </w:p>
    <w:p w14:paraId="6DA42F7A" w14:textId="77777777" w:rsidR="00F2622E" w:rsidRPr="001A6657" w:rsidRDefault="00F2622E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Tento liek nevyžaduje žiadne zvláštne podmienky na uchovávanie.</w:t>
      </w:r>
    </w:p>
    <w:p w14:paraId="4EBE4D83" w14:textId="77777777" w:rsidR="00F2622E" w:rsidRPr="001A6657" w:rsidRDefault="00F2622E" w:rsidP="00F2622E">
      <w:pPr>
        <w:widowControl w:val="0"/>
        <w:rPr>
          <w:szCs w:val="22"/>
          <w:lang w:val="sk-SK"/>
        </w:rPr>
      </w:pPr>
    </w:p>
    <w:p w14:paraId="75B06D88" w14:textId="77777777" w:rsidR="009E6B3B" w:rsidRPr="001A6657" w:rsidRDefault="00A734B6" w:rsidP="007B5D9A">
      <w:pPr>
        <w:keepNext/>
        <w:spacing w:line="240" w:lineRule="auto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6.5</w:t>
      </w:r>
      <w:r w:rsidRPr="001A6657">
        <w:rPr>
          <w:b/>
          <w:szCs w:val="22"/>
          <w:lang w:val="sk-SK"/>
        </w:rPr>
        <w:tab/>
        <w:t>Druh obalu a obsah balenia</w:t>
      </w:r>
    </w:p>
    <w:p w14:paraId="0C66FD89" w14:textId="77777777" w:rsidR="00F2622E" w:rsidRPr="001A6657" w:rsidRDefault="00F2622E" w:rsidP="007B5D9A">
      <w:pPr>
        <w:keepNext/>
        <w:widowControl w:val="0"/>
        <w:rPr>
          <w:szCs w:val="22"/>
          <w:lang w:val="sk-SK"/>
        </w:rPr>
      </w:pPr>
    </w:p>
    <w:p w14:paraId="66191F73" w14:textId="59EFF1E8" w:rsidR="00F2622E" w:rsidRPr="001A6657" w:rsidRDefault="00637E7A" w:rsidP="00F2622E">
      <w:pPr>
        <w:widowControl w:val="0"/>
        <w:rPr>
          <w:szCs w:val="22"/>
          <w:lang w:val="sk-SK"/>
        </w:rPr>
      </w:pPr>
      <w:r w:rsidRPr="00637E7A">
        <w:rPr>
          <w:szCs w:val="22"/>
          <w:lang w:val="sk-SK"/>
        </w:rPr>
        <w:t>V</w:t>
      </w:r>
      <w:r w:rsidR="00F2622E" w:rsidRPr="00637E7A">
        <w:rPr>
          <w:szCs w:val="22"/>
          <w:lang w:val="sk-SK"/>
        </w:rPr>
        <w:t xml:space="preserve"> PVC </w:t>
      </w:r>
      <w:proofErr w:type="spellStart"/>
      <w:r w:rsidR="00F2622E" w:rsidRPr="00637E7A">
        <w:rPr>
          <w:szCs w:val="22"/>
          <w:lang w:val="sk-SK"/>
        </w:rPr>
        <w:t>blistroch</w:t>
      </w:r>
      <w:proofErr w:type="spellEnd"/>
      <w:r w:rsidR="00EF73D7" w:rsidRPr="00637E7A">
        <w:rPr>
          <w:szCs w:val="22"/>
          <w:lang w:val="sk-SK"/>
        </w:rPr>
        <w:t xml:space="preserve"> (</w:t>
      </w:r>
      <w:proofErr w:type="spellStart"/>
      <w:r w:rsidR="00EF73D7" w:rsidRPr="00637E7A">
        <w:rPr>
          <w:szCs w:val="22"/>
          <w:lang w:val="sk-SK"/>
        </w:rPr>
        <w:t>PVC-Al</w:t>
      </w:r>
      <w:proofErr w:type="spellEnd"/>
      <w:r w:rsidR="00EF73D7" w:rsidRPr="00637E7A">
        <w:rPr>
          <w:szCs w:val="22"/>
          <w:lang w:val="sk-SK"/>
        </w:rPr>
        <w:t>) zložené z </w:t>
      </w:r>
      <w:r w:rsidRPr="00637E7A">
        <w:rPr>
          <w:szCs w:val="22"/>
          <w:lang w:val="sk-SK"/>
        </w:rPr>
        <w:t>číreho</w:t>
      </w:r>
      <w:r w:rsidR="00EF73D7" w:rsidRPr="00637E7A">
        <w:rPr>
          <w:szCs w:val="22"/>
          <w:lang w:val="sk-SK"/>
        </w:rPr>
        <w:t>, transparentného PVC na jednej strane a</w:t>
      </w:r>
      <w:r w:rsidRPr="00637E7A">
        <w:rPr>
          <w:szCs w:val="22"/>
          <w:lang w:val="sk-SK"/>
        </w:rPr>
        <w:t> potiahnutý tvrdenou hliníkovou fóliou</w:t>
      </w:r>
      <w:r w:rsidR="00A97DF0">
        <w:rPr>
          <w:szCs w:val="22"/>
          <w:lang w:val="sk-SK"/>
        </w:rPr>
        <w:t>,</w:t>
      </w:r>
      <w:r w:rsidRPr="00637E7A">
        <w:rPr>
          <w:szCs w:val="22"/>
          <w:lang w:val="sk-SK"/>
        </w:rPr>
        <w:t xml:space="preserve"> </w:t>
      </w:r>
      <w:r w:rsidR="00F023CB">
        <w:rPr>
          <w:szCs w:val="22"/>
          <w:lang w:val="sk-SK"/>
        </w:rPr>
        <w:t xml:space="preserve">za tepla </w:t>
      </w:r>
      <w:r>
        <w:rPr>
          <w:szCs w:val="22"/>
          <w:lang w:val="sk-SK"/>
        </w:rPr>
        <w:t>zapečatený lakom na strane druhej</w:t>
      </w:r>
      <w:r w:rsidR="00F2622E" w:rsidRPr="00637E7A">
        <w:rPr>
          <w:szCs w:val="22"/>
          <w:lang w:val="sk-SK"/>
        </w:rPr>
        <w:t>.</w:t>
      </w:r>
    </w:p>
    <w:p w14:paraId="6CD85ED5" w14:textId="77777777" w:rsidR="00EF73D7" w:rsidRDefault="00EF73D7" w:rsidP="00F2622E">
      <w:pPr>
        <w:widowControl w:val="0"/>
        <w:rPr>
          <w:szCs w:val="22"/>
          <w:lang w:val="sk-SK"/>
        </w:rPr>
      </w:pPr>
    </w:p>
    <w:p w14:paraId="43BB0C56" w14:textId="7FA4FFD2" w:rsidR="00EF73D7" w:rsidRPr="001A6657" w:rsidRDefault="00EF73D7" w:rsidP="00F2622E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>3, 5, 10, 20, 30, 30 x</w:t>
      </w:r>
      <w:r w:rsidR="0079797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1, 50, 60, 90, 100, 200 tabliet.</w:t>
      </w:r>
    </w:p>
    <w:p w14:paraId="368F0CA4" w14:textId="77777777" w:rsidR="00EF0937" w:rsidRDefault="00EF0937" w:rsidP="00EF0937">
      <w:pPr>
        <w:spacing w:line="240" w:lineRule="auto"/>
        <w:outlineLvl w:val="0"/>
        <w:rPr>
          <w:szCs w:val="22"/>
          <w:lang w:val="sk-SK"/>
        </w:rPr>
      </w:pPr>
    </w:p>
    <w:p w14:paraId="7A4F101B" w14:textId="1570354B" w:rsidR="00977E42" w:rsidRDefault="00EF0937" w:rsidP="00EF0937">
      <w:pPr>
        <w:spacing w:line="240" w:lineRule="auto"/>
        <w:outlineLvl w:val="0"/>
        <w:rPr>
          <w:szCs w:val="22"/>
          <w:lang w:val="sk-SK"/>
        </w:rPr>
      </w:pPr>
      <w:r w:rsidRPr="00EF0937">
        <w:rPr>
          <w:szCs w:val="22"/>
          <w:lang w:val="sk-SK"/>
        </w:rPr>
        <w:t>HDPE fľaš</w:t>
      </w:r>
      <w:r>
        <w:rPr>
          <w:szCs w:val="22"/>
          <w:lang w:val="sk-SK"/>
        </w:rPr>
        <w:t>ka</w:t>
      </w:r>
      <w:r w:rsidRPr="00EF093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 okrúhlym širokým hrdlom</w:t>
      </w:r>
      <w:r w:rsidRPr="00EF0937">
        <w:rPr>
          <w:szCs w:val="22"/>
          <w:lang w:val="sk-SK"/>
        </w:rPr>
        <w:t xml:space="preserve"> </w:t>
      </w:r>
      <w:r w:rsidR="005D5D6F">
        <w:rPr>
          <w:szCs w:val="22"/>
          <w:lang w:val="sk-SK"/>
        </w:rPr>
        <w:t>z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biele</w:t>
      </w:r>
      <w:r w:rsidR="008818EE">
        <w:rPr>
          <w:szCs w:val="22"/>
          <w:lang w:val="sk-SK"/>
        </w:rPr>
        <w:t>ho</w:t>
      </w:r>
      <w:r w:rsidRPr="00EF0937">
        <w:rPr>
          <w:szCs w:val="22"/>
          <w:lang w:val="sk-SK"/>
        </w:rPr>
        <w:t xml:space="preserve"> polyetylénu s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vysokou hustotou (HDPE) s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bielym nepriehľadným uzáverom z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polypropylénu s</w:t>
      </w:r>
      <w:r w:rsidR="005D5D6F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hliníkov</w:t>
      </w:r>
      <w:r w:rsidR="00727D5B">
        <w:rPr>
          <w:szCs w:val="22"/>
          <w:lang w:val="sk-SK"/>
        </w:rPr>
        <w:t>ou tesniacou pečatnou páskou.</w:t>
      </w:r>
    </w:p>
    <w:p w14:paraId="4CC249AB" w14:textId="77777777" w:rsidR="00977E42" w:rsidRDefault="00977E42" w:rsidP="00EF0937">
      <w:pPr>
        <w:spacing w:line="240" w:lineRule="auto"/>
        <w:outlineLvl w:val="0"/>
        <w:rPr>
          <w:szCs w:val="22"/>
          <w:lang w:val="sk-SK"/>
        </w:rPr>
      </w:pPr>
    </w:p>
    <w:p w14:paraId="79D51BED" w14:textId="26CB982F" w:rsidR="009E6B3B" w:rsidRDefault="00831DFC" w:rsidP="00EF0937">
      <w:pPr>
        <w:spacing w:line="240" w:lineRule="auto"/>
        <w:outlineLvl w:val="0"/>
        <w:rPr>
          <w:szCs w:val="22"/>
          <w:lang w:val="sk-SK"/>
        </w:rPr>
      </w:pPr>
      <w:r>
        <w:rPr>
          <w:szCs w:val="22"/>
          <w:lang w:val="sk-SK"/>
        </w:rPr>
        <w:t>O</w:t>
      </w:r>
      <w:r w:rsidRPr="00EF0937">
        <w:rPr>
          <w:szCs w:val="22"/>
          <w:lang w:val="sk-SK"/>
        </w:rPr>
        <w:t>bsahuj</w:t>
      </w:r>
      <w:r>
        <w:rPr>
          <w:szCs w:val="22"/>
          <w:lang w:val="sk-SK"/>
        </w:rPr>
        <w:t>e</w:t>
      </w:r>
      <w:r w:rsidRPr="00EF0937">
        <w:rPr>
          <w:szCs w:val="22"/>
          <w:lang w:val="sk-SK"/>
        </w:rPr>
        <w:t xml:space="preserve"> </w:t>
      </w:r>
      <w:r w:rsidR="00EF0937" w:rsidRPr="00EF0937">
        <w:rPr>
          <w:szCs w:val="22"/>
          <w:lang w:val="sk-SK"/>
        </w:rPr>
        <w:t>30, 50, 90, 100, 200, 250, 500 tabliet.</w:t>
      </w:r>
    </w:p>
    <w:p w14:paraId="03A6F79C" w14:textId="77777777" w:rsidR="00EF0937" w:rsidRPr="001A6657" w:rsidRDefault="00EF0937" w:rsidP="00EF0937">
      <w:pPr>
        <w:spacing w:line="240" w:lineRule="auto"/>
        <w:outlineLvl w:val="0"/>
        <w:rPr>
          <w:szCs w:val="22"/>
          <w:lang w:val="sk-SK"/>
        </w:rPr>
      </w:pPr>
    </w:p>
    <w:p w14:paraId="7F9D4762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Na trh nemusia byť uvedené všetky veľkosti balenia.</w:t>
      </w:r>
    </w:p>
    <w:p w14:paraId="4FC8773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89208CA" w14:textId="77777777" w:rsidR="009E6B3B" w:rsidRPr="001A6657" w:rsidRDefault="00A734B6" w:rsidP="007B5D9A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bookmarkStart w:id="1" w:name="OLE_LINK1"/>
      <w:r w:rsidRPr="001A6657">
        <w:rPr>
          <w:b/>
          <w:szCs w:val="22"/>
          <w:lang w:val="sk-SK"/>
        </w:rPr>
        <w:t>6.6</w:t>
      </w:r>
      <w:r w:rsidRPr="001A6657">
        <w:rPr>
          <w:b/>
          <w:szCs w:val="22"/>
          <w:lang w:val="sk-SK"/>
        </w:rPr>
        <w:tab/>
        <w:t>Špeciálne opatrenia na likvidáciu</w:t>
      </w:r>
    </w:p>
    <w:bookmarkEnd w:id="1"/>
    <w:p w14:paraId="756813BB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34C9F1C8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Žiadne zvláštne požiadavky</w:t>
      </w:r>
      <w:r w:rsidR="00EF73D7">
        <w:rPr>
          <w:szCs w:val="22"/>
          <w:lang w:val="sk-SK"/>
        </w:rPr>
        <w:t>.</w:t>
      </w:r>
    </w:p>
    <w:p w14:paraId="424D6172" w14:textId="77777777" w:rsidR="009E6B3B" w:rsidRDefault="009E6B3B" w:rsidP="00A505E4">
      <w:pPr>
        <w:spacing w:line="240" w:lineRule="auto"/>
        <w:rPr>
          <w:szCs w:val="22"/>
          <w:lang w:val="sk-SK"/>
        </w:rPr>
      </w:pPr>
    </w:p>
    <w:p w14:paraId="2DA01973" w14:textId="77777777" w:rsidR="00EF73D7" w:rsidRPr="001A6657" w:rsidRDefault="00EF73D7" w:rsidP="00A505E4">
      <w:pPr>
        <w:spacing w:line="240" w:lineRule="auto"/>
        <w:rPr>
          <w:szCs w:val="22"/>
          <w:lang w:val="sk-SK"/>
        </w:rPr>
      </w:pPr>
    </w:p>
    <w:p w14:paraId="71FD0BBE" w14:textId="77777777" w:rsidR="009E6B3B" w:rsidRPr="001A6657" w:rsidRDefault="009E6B3B" w:rsidP="007B5D9A">
      <w:pPr>
        <w:keepNext/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7.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DRŽITEĽ ROZHODNUTIA O REGISTRÁCII</w:t>
      </w:r>
    </w:p>
    <w:p w14:paraId="13B8765B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5E5B27A0" w14:textId="77777777" w:rsidR="00C87EA7" w:rsidRPr="008F76B3" w:rsidRDefault="00C87EA7" w:rsidP="00C87EA7">
      <w:pPr>
        <w:tabs>
          <w:tab w:val="left" w:pos="2198"/>
        </w:tabs>
        <w:ind w:left="480" w:hanging="48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699A3764" w14:textId="74B8F0DA" w:rsidR="00C87EA7" w:rsidRPr="008F76B3" w:rsidRDefault="005630E5" w:rsidP="00C87EA7">
      <w:pPr>
        <w:tabs>
          <w:tab w:val="left" w:pos="2198"/>
        </w:tabs>
        <w:ind w:left="480" w:hanging="48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="00C87EA7" w:rsidRPr="008F76B3">
        <w:rPr>
          <w:noProof/>
          <w:szCs w:val="22"/>
        </w:rPr>
        <w:t>35/36 Grange Parade</w:t>
      </w:r>
      <w:r w:rsidR="008E1942">
        <w:rPr>
          <w:noProof/>
          <w:szCs w:val="22"/>
        </w:rPr>
        <w:t xml:space="preserve">, </w:t>
      </w:r>
      <w:r w:rsidR="00C87EA7" w:rsidRPr="008F76B3">
        <w:rPr>
          <w:noProof/>
          <w:szCs w:val="22"/>
        </w:rPr>
        <w:t>Baldoyle Industrial Estate</w:t>
      </w:r>
    </w:p>
    <w:p w14:paraId="5C676C6F" w14:textId="75FCD699" w:rsidR="008E1942" w:rsidRDefault="00C87EA7" w:rsidP="00C87EA7">
      <w:pPr>
        <w:tabs>
          <w:tab w:val="left" w:pos="2198"/>
        </w:tabs>
        <w:ind w:left="480" w:hanging="480"/>
        <w:rPr>
          <w:noProof/>
          <w:szCs w:val="22"/>
        </w:rPr>
      </w:pPr>
      <w:r w:rsidRPr="008F76B3">
        <w:rPr>
          <w:noProof/>
          <w:szCs w:val="22"/>
        </w:rPr>
        <w:t>Dublin 13</w:t>
      </w:r>
    </w:p>
    <w:p w14:paraId="5C4BEA6B" w14:textId="06B7BACA" w:rsidR="00C87EA7" w:rsidRPr="001023B1" w:rsidRDefault="00C87EA7" w:rsidP="00C87EA7">
      <w:pPr>
        <w:tabs>
          <w:tab w:val="left" w:pos="2198"/>
        </w:tabs>
        <w:ind w:left="480" w:hanging="480"/>
        <w:rPr>
          <w:szCs w:val="22"/>
        </w:rPr>
      </w:pPr>
      <w:r w:rsidRPr="008F76B3">
        <w:rPr>
          <w:noProof/>
          <w:szCs w:val="22"/>
        </w:rPr>
        <w:t>Írsko</w:t>
      </w:r>
    </w:p>
    <w:p w14:paraId="041F00C8" w14:textId="77777777" w:rsidR="009E6B3B" w:rsidRDefault="009E6B3B" w:rsidP="00A505E4">
      <w:pPr>
        <w:spacing w:line="240" w:lineRule="auto"/>
        <w:rPr>
          <w:szCs w:val="22"/>
          <w:lang w:val="sk-SK"/>
        </w:rPr>
      </w:pPr>
    </w:p>
    <w:p w14:paraId="3FE99925" w14:textId="77777777" w:rsidR="00797975" w:rsidRPr="001A6657" w:rsidRDefault="00797975" w:rsidP="00A505E4">
      <w:pPr>
        <w:spacing w:line="240" w:lineRule="auto"/>
        <w:rPr>
          <w:szCs w:val="22"/>
          <w:lang w:val="sk-SK"/>
        </w:rPr>
      </w:pPr>
    </w:p>
    <w:p w14:paraId="346DA7DD" w14:textId="77777777" w:rsidR="009E6B3B" w:rsidRPr="001A6657" w:rsidRDefault="00A734B6" w:rsidP="007B5D9A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8.</w:t>
      </w:r>
      <w:r w:rsidRPr="001A6657">
        <w:rPr>
          <w:b/>
          <w:szCs w:val="22"/>
          <w:lang w:val="sk-SK"/>
        </w:rPr>
        <w:tab/>
        <w:t>REGISTRAČNÉ ČÍSLA</w:t>
      </w:r>
    </w:p>
    <w:p w14:paraId="6DCD8D64" w14:textId="77777777" w:rsidR="009E6B3B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5F78E0B6" w14:textId="6770C41A" w:rsidR="00356445" w:rsidRPr="001A6657" w:rsidRDefault="00356445" w:rsidP="00356445">
      <w:pPr>
        <w:tabs>
          <w:tab w:val="left" w:pos="2410"/>
        </w:tabs>
        <w:spacing w:line="240" w:lineRule="auto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Solifenacin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5 mg</w:t>
      </w:r>
      <w:r>
        <w:rPr>
          <w:szCs w:val="22"/>
          <w:lang w:val="sk-SK"/>
        </w:rPr>
        <w:t>:</w:t>
      </w:r>
      <w:r>
        <w:rPr>
          <w:szCs w:val="22"/>
          <w:lang w:val="sk-SK"/>
        </w:rPr>
        <w:tab/>
      </w:r>
      <w:r w:rsidR="00613AB4" w:rsidRPr="00613AB4">
        <w:rPr>
          <w:szCs w:val="22"/>
          <w:lang w:val="sk-SK"/>
        </w:rPr>
        <w:t>73/0028/16-S</w:t>
      </w:r>
    </w:p>
    <w:p w14:paraId="3B519011" w14:textId="6AA9DA2C" w:rsidR="00356445" w:rsidRPr="001A6657" w:rsidRDefault="00356445" w:rsidP="00356445">
      <w:pPr>
        <w:tabs>
          <w:tab w:val="left" w:pos="2410"/>
        </w:tabs>
        <w:spacing w:line="240" w:lineRule="auto"/>
        <w:rPr>
          <w:szCs w:val="22"/>
          <w:lang w:val="sk-SK"/>
        </w:rPr>
      </w:pPr>
      <w:proofErr w:type="spellStart"/>
      <w:r w:rsidRPr="001A6657">
        <w:rPr>
          <w:szCs w:val="22"/>
          <w:lang w:val="sk-SK"/>
        </w:rPr>
        <w:t>Solifenacin</w:t>
      </w:r>
      <w:proofErr w:type="spellEnd"/>
      <w:r w:rsidRPr="001A6657">
        <w:rPr>
          <w:szCs w:val="22"/>
          <w:lang w:val="sk-SK"/>
        </w:rPr>
        <w:t xml:space="preserve"> </w:t>
      </w:r>
      <w:proofErr w:type="spellStart"/>
      <w:r w:rsidRPr="001A6657">
        <w:rPr>
          <w:szCs w:val="22"/>
          <w:lang w:val="sk-SK"/>
        </w:rPr>
        <w:t>Mylan</w:t>
      </w:r>
      <w:proofErr w:type="spellEnd"/>
      <w:r w:rsidRPr="001A6657">
        <w:rPr>
          <w:szCs w:val="22"/>
          <w:lang w:val="sk-SK"/>
        </w:rPr>
        <w:t xml:space="preserve"> 10 mg</w:t>
      </w:r>
      <w:r>
        <w:rPr>
          <w:szCs w:val="22"/>
          <w:lang w:val="sk-SK"/>
        </w:rPr>
        <w:t>:</w:t>
      </w:r>
      <w:r>
        <w:rPr>
          <w:szCs w:val="22"/>
          <w:lang w:val="sk-SK"/>
        </w:rPr>
        <w:tab/>
      </w:r>
      <w:r w:rsidR="00613AB4" w:rsidRPr="00613AB4">
        <w:rPr>
          <w:szCs w:val="22"/>
          <w:lang w:val="sk-SK"/>
        </w:rPr>
        <w:t>73/0029/16-S</w:t>
      </w:r>
    </w:p>
    <w:p w14:paraId="156504E1" w14:textId="77777777" w:rsidR="00356445" w:rsidRPr="001A6657" w:rsidRDefault="00356445" w:rsidP="00A505E4">
      <w:pPr>
        <w:spacing w:line="240" w:lineRule="auto"/>
        <w:rPr>
          <w:szCs w:val="22"/>
          <w:lang w:val="sk-SK"/>
        </w:rPr>
      </w:pPr>
    </w:p>
    <w:p w14:paraId="01B639CE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46D44CB5" w14:textId="77777777" w:rsidR="009E6B3B" w:rsidRPr="001A6657" w:rsidRDefault="00A734B6" w:rsidP="007B5D9A">
      <w:pPr>
        <w:keepNext/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9.</w:t>
      </w:r>
      <w:r w:rsidRPr="001A6657">
        <w:rPr>
          <w:b/>
          <w:szCs w:val="22"/>
          <w:lang w:val="sk-SK"/>
        </w:rPr>
        <w:tab/>
        <w:t>DÁTUM PRVEJ REGISTRÁCIE/PREDĹŽENIA REGISTRÁCIE</w:t>
      </w:r>
    </w:p>
    <w:p w14:paraId="598F906D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73A479D0" w14:textId="0873C937" w:rsidR="009E6B3B" w:rsidRPr="001A6657" w:rsidRDefault="00A734B6" w:rsidP="009608C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Dátum prvej registrácie: </w:t>
      </w:r>
      <w:r w:rsidR="007F3542">
        <w:rPr>
          <w:szCs w:val="22"/>
          <w:lang w:val="sk-SK"/>
        </w:rPr>
        <w:t>19. januára 2016</w:t>
      </w:r>
    </w:p>
    <w:p w14:paraId="07E22710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0A014617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DEA9973" w14:textId="77777777" w:rsidR="009E6B3B" w:rsidRPr="001A6657" w:rsidRDefault="00A734B6" w:rsidP="007B5D9A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10.</w:t>
      </w:r>
      <w:r w:rsidRPr="001A6657">
        <w:rPr>
          <w:b/>
          <w:szCs w:val="22"/>
          <w:lang w:val="sk-SK"/>
        </w:rPr>
        <w:tab/>
        <w:t>DÁTUM REVÍZIE TEXTU</w:t>
      </w:r>
    </w:p>
    <w:p w14:paraId="5C0DBA5A" w14:textId="77777777" w:rsidR="009E6B3B" w:rsidRPr="001A6657" w:rsidRDefault="009E6B3B" w:rsidP="007B5D9A">
      <w:pPr>
        <w:keepNext/>
        <w:spacing w:line="240" w:lineRule="auto"/>
        <w:rPr>
          <w:szCs w:val="22"/>
          <w:lang w:val="sk-SK"/>
        </w:rPr>
      </w:pPr>
    </w:p>
    <w:p w14:paraId="0B2DE5D8" w14:textId="5AFEC6F2" w:rsidR="009E6B3B" w:rsidRPr="001A6657" w:rsidRDefault="005C307B" w:rsidP="00A505E4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01/2019</w:t>
      </w:r>
    </w:p>
    <w:sectPr w:rsidR="009E6B3B" w:rsidRPr="001A6657" w:rsidSect="007B5D9A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392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789DB" w14:textId="77777777" w:rsidR="009343E2" w:rsidRDefault="009343E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C955BFD" w14:textId="77777777" w:rsidR="009343E2" w:rsidRDefault="009343E2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2BE0F0E3" w14:textId="77777777" w:rsidR="009343E2" w:rsidRDefault="009343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9721" w14:textId="6291E831" w:rsidR="009343E2" w:rsidRPr="005C307B" w:rsidRDefault="009343E2">
    <w:pPr>
      <w:tabs>
        <w:tab w:val="right" w:pos="8931"/>
      </w:tabs>
      <w:ind w:right="96"/>
      <w:jc w:val="center"/>
      <w:rPr>
        <w:sz w:val="18"/>
        <w:szCs w:val="18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CF066F">
      <w:rPr>
        <w:rStyle w:val="slostrany"/>
        <w:sz w:val="18"/>
        <w:szCs w:val="18"/>
      </w:rPr>
      <w:fldChar w:fldCharType="begin"/>
    </w:r>
    <w:r w:rsidRPr="005C307B">
      <w:rPr>
        <w:rStyle w:val="slostrany"/>
        <w:sz w:val="18"/>
        <w:szCs w:val="18"/>
      </w:rPr>
      <w:instrText xml:space="preserve">PAGE  </w:instrText>
    </w:r>
    <w:r w:rsidRPr="00CF066F">
      <w:rPr>
        <w:rStyle w:val="slostrany"/>
        <w:sz w:val="18"/>
        <w:szCs w:val="18"/>
      </w:rPr>
      <w:fldChar w:fldCharType="separate"/>
    </w:r>
    <w:r w:rsidR="00321014">
      <w:rPr>
        <w:rStyle w:val="slostrany"/>
        <w:noProof/>
        <w:sz w:val="18"/>
        <w:szCs w:val="18"/>
      </w:rPr>
      <w:t>1</w:t>
    </w:r>
    <w:r w:rsidRPr="00CF066F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2C572" w14:textId="0E1C8793" w:rsidR="009343E2" w:rsidRDefault="009343E2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6E83F" w14:textId="77777777" w:rsidR="009343E2" w:rsidRDefault="009343E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AF2843D" w14:textId="77777777" w:rsidR="009343E2" w:rsidRDefault="009343E2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5D818F5" w14:textId="77777777" w:rsidR="009343E2" w:rsidRDefault="009343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98C52" w14:textId="0B83B168" w:rsidR="009343E2" w:rsidRPr="007B5D9A" w:rsidRDefault="009343E2" w:rsidP="007B5D9A">
    <w:pPr>
      <w:pStyle w:val="DocsubtitleAgency"/>
      <w:spacing w:after="0" w:line="240" w:lineRule="auto"/>
      <w:rPr>
        <w:sz w:val="18"/>
        <w:szCs w:val="18"/>
        <w:lang w:val="sk-SK"/>
      </w:rPr>
    </w:pPr>
    <w:r w:rsidRPr="007B5D9A">
      <w:rPr>
        <w:rFonts w:ascii="Times New Roman" w:hAnsi="Times New Roman"/>
        <w:sz w:val="18"/>
        <w:szCs w:val="18"/>
        <w:lang w:val="sk-SK"/>
      </w:rPr>
      <w:t>Príloha č. 1 k notifikácii o zmene, ev. č.:</w:t>
    </w:r>
    <w:r w:rsidR="005C307B" w:rsidRPr="007B5D9A">
      <w:rPr>
        <w:rFonts w:ascii="Times New Roman" w:hAnsi="Times New Roman"/>
        <w:sz w:val="18"/>
        <w:szCs w:val="18"/>
        <w:lang w:val="sk-SK"/>
      </w:rPr>
      <w:t xml:space="preserve"> </w:t>
    </w:r>
    <w:r w:rsidRPr="007B5D9A">
      <w:rPr>
        <w:rFonts w:ascii="Times New Roman" w:hAnsi="Times New Roman"/>
        <w:sz w:val="18"/>
        <w:szCs w:val="18"/>
        <w:lang w:val="sk-SK"/>
      </w:rPr>
      <w:t>2018/</w:t>
    </w:r>
    <w:r w:rsidR="00B86927" w:rsidRPr="007B5D9A">
      <w:rPr>
        <w:rFonts w:ascii="Times New Roman" w:hAnsi="Times New Roman"/>
        <w:sz w:val="18"/>
        <w:szCs w:val="18"/>
        <w:lang w:val="sk-SK"/>
      </w:rPr>
      <w:t>05457-Z1B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A2D24"/>
    <w:multiLevelType w:val="hybridMultilevel"/>
    <w:tmpl w:val="918056E6"/>
    <w:lvl w:ilvl="0" w:tplc="BE64AE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20562B87"/>
    <w:multiLevelType w:val="hybridMultilevel"/>
    <w:tmpl w:val="59F0C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F206E9"/>
    <w:multiLevelType w:val="hybridMultilevel"/>
    <w:tmpl w:val="8F7034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4"/>
  </w:num>
  <w:num w:numId="7">
    <w:abstractNumId w:val="8"/>
  </w:num>
  <w:num w:numId="8">
    <w:abstractNumId w:val="11"/>
  </w:num>
  <w:num w:numId="9">
    <w:abstractNumId w:val="24"/>
  </w:num>
  <w:num w:numId="10">
    <w:abstractNumId w:val="1"/>
  </w:num>
  <w:num w:numId="11">
    <w:abstractNumId w:val="20"/>
  </w:num>
  <w:num w:numId="12">
    <w:abstractNumId w:val="9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2"/>
  </w:num>
  <w:num w:numId="18">
    <w:abstractNumId w:val="13"/>
  </w:num>
  <w:num w:numId="19">
    <w:abstractNumId w:val="25"/>
  </w:num>
  <w:num w:numId="20">
    <w:abstractNumId w:val="16"/>
  </w:num>
  <w:num w:numId="21">
    <w:abstractNumId w:val="22"/>
  </w:num>
  <w:num w:numId="22">
    <w:abstractNumId w:val="19"/>
  </w:num>
  <w:num w:numId="23">
    <w:abstractNumId w:val="7"/>
  </w:num>
  <w:num w:numId="24">
    <w:abstractNumId w:val="22"/>
  </w:num>
  <w:num w:numId="25">
    <w:abstractNumId w:val="3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2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3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0"/>
  </w:num>
  <w:num w:numId="39">
    <w:abstractNumId w:val="15"/>
  </w:num>
  <w:num w:numId="40">
    <w:abstractNumId w:val="4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Hodos Durove">
    <w15:presenceInfo w15:providerId="AD" w15:userId="S-1-5-21-1074136629-4081378027-2755238289-323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42DE"/>
    <w:rsid w:val="00025D86"/>
    <w:rsid w:val="00025EBE"/>
    <w:rsid w:val="00026BF2"/>
    <w:rsid w:val="000271F6"/>
    <w:rsid w:val="00027F9B"/>
    <w:rsid w:val="00030445"/>
    <w:rsid w:val="000318C7"/>
    <w:rsid w:val="00031954"/>
    <w:rsid w:val="0003399F"/>
    <w:rsid w:val="00033FDB"/>
    <w:rsid w:val="000344F6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6028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4B62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C7FFA"/>
    <w:rsid w:val="000D1AEE"/>
    <w:rsid w:val="000D1F4F"/>
    <w:rsid w:val="000D269A"/>
    <w:rsid w:val="000D2C1D"/>
    <w:rsid w:val="000D2EAA"/>
    <w:rsid w:val="000D33C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E3D"/>
    <w:rsid w:val="000F1BB2"/>
    <w:rsid w:val="000F222F"/>
    <w:rsid w:val="000F3F94"/>
    <w:rsid w:val="000F4279"/>
    <w:rsid w:val="001018E2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3516"/>
    <w:rsid w:val="001449DF"/>
    <w:rsid w:val="0014569B"/>
    <w:rsid w:val="00146259"/>
    <w:rsid w:val="001470E0"/>
    <w:rsid w:val="00150060"/>
    <w:rsid w:val="001507A2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35A"/>
    <w:rsid w:val="00190913"/>
    <w:rsid w:val="00193CEE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6657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D19A4"/>
    <w:rsid w:val="001D3C05"/>
    <w:rsid w:val="001D61BF"/>
    <w:rsid w:val="001D6AF4"/>
    <w:rsid w:val="001D6F48"/>
    <w:rsid w:val="001E0CC1"/>
    <w:rsid w:val="001E1C10"/>
    <w:rsid w:val="001E2B3E"/>
    <w:rsid w:val="001E2E9B"/>
    <w:rsid w:val="001E3CC0"/>
    <w:rsid w:val="001E3F4F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D16"/>
    <w:rsid w:val="001F749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169A5"/>
    <w:rsid w:val="0022043D"/>
    <w:rsid w:val="002222BE"/>
    <w:rsid w:val="00222BB9"/>
    <w:rsid w:val="002258D6"/>
    <w:rsid w:val="002274FB"/>
    <w:rsid w:val="002277EC"/>
    <w:rsid w:val="002309D2"/>
    <w:rsid w:val="00231B61"/>
    <w:rsid w:val="00232F52"/>
    <w:rsid w:val="0023315B"/>
    <w:rsid w:val="00233195"/>
    <w:rsid w:val="002347FE"/>
    <w:rsid w:val="00234D40"/>
    <w:rsid w:val="0024178D"/>
    <w:rsid w:val="00242244"/>
    <w:rsid w:val="00242619"/>
    <w:rsid w:val="0024392B"/>
    <w:rsid w:val="002450C6"/>
    <w:rsid w:val="00245DCF"/>
    <w:rsid w:val="00246A2B"/>
    <w:rsid w:val="00246C65"/>
    <w:rsid w:val="002542A8"/>
    <w:rsid w:val="002572CD"/>
    <w:rsid w:val="00260A11"/>
    <w:rsid w:val="00261316"/>
    <w:rsid w:val="0026169A"/>
    <w:rsid w:val="00262763"/>
    <w:rsid w:val="002636C8"/>
    <w:rsid w:val="00264BEA"/>
    <w:rsid w:val="002657EE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5DE6"/>
    <w:rsid w:val="00286322"/>
    <w:rsid w:val="00291302"/>
    <w:rsid w:val="00296B03"/>
    <w:rsid w:val="00296C1F"/>
    <w:rsid w:val="002A1A88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7CBB"/>
    <w:rsid w:val="002F18FB"/>
    <w:rsid w:val="002F1F28"/>
    <w:rsid w:val="002F43CA"/>
    <w:rsid w:val="002F57AA"/>
    <w:rsid w:val="002F714C"/>
    <w:rsid w:val="002F77BF"/>
    <w:rsid w:val="003004A2"/>
    <w:rsid w:val="00302CA4"/>
    <w:rsid w:val="00303DD5"/>
    <w:rsid w:val="00305D2B"/>
    <w:rsid w:val="003071E9"/>
    <w:rsid w:val="00307B74"/>
    <w:rsid w:val="0031034C"/>
    <w:rsid w:val="00310764"/>
    <w:rsid w:val="00320203"/>
    <w:rsid w:val="00320F02"/>
    <w:rsid w:val="00321014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67C4"/>
    <w:rsid w:val="00336D8E"/>
    <w:rsid w:val="003370C9"/>
    <w:rsid w:val="003376B3"/>
    <w:rsid w:val="00340BF3"/>
    <w:rsid w:val="00345F9C"/>
    <w:rsid w:val="0034654B"/>
    <w:rsid w:val="00347776"/>
    <w:rsid w:val="00351578"/>
    <w:rsid w:val="003519C0"/>
    <w:rsid w:val="00351A91"/>
    <w:rsid w:val="003520C4"/>
    <w:rsid w:val="003533AE"/>
    <w:rsid w:val="00355E14"/>
    <w:rsid w:val="00356445"/>
    <w:rsid w:val="00356CFA"/>
    <w:rsid w:val="00360D84"/>
    <w:rsid w:val="00361109"/>
    <w:rsid w:val="00361280"/>
    <w:rsid w:val="003615F1"/>
    <w:rsid w:val="00361A6E"/>
    <w:rsid w:val="00361F27"/>
    <w:rsid w:val="00362659"/>
    <w:rsid w:val="00363D7F"/>
    <w:rsid w:val="003665D5"/>
    <w:rsid w:val="00367C66"/>
    <w:rsid w:val="003700B2"/>
    <w:rsid w:val="0037021D"/>
    <w:rsid w:val="0037233D"/>
    <w:rsid w:val="003736EF"/>
    <w:rsid w:val="003737E3"/>
    <w:rsid w:val="00373D26"/>
    <w:rsid w:val="00374297"/>
    <w:rsid w:val="003755CF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6A7"/>
    <w:rsid w:val="003A3880"/>
    <w:rsid w:val="003A410D"/>
    <w:rsid w:val="003A5119"/>
    <w:rsid w:val="003A5BC5"/>
    <w:rsid w:val="003A5D55"/>
    <w:rsid w:val="003A75E6"/>
    <w:rsid w:val="003A76CC"/>
    <w:rsid w:val="003A77D2"/>
    <w:rsid w:val="003B255B"/>
    <w:rsid w:val="003B2A62"/>
    <w:rsid w:val="003B3317"/>
    <w:rsid w:val="003B489A"/>
    <w:rsid w:val="003B4B2F"/>
    <w:rsid w:val="003B52D4"/>
    <w:rsid w:val="003B5C79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3263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400D04"/>
    <w:rsid w:val="004016F5"/>
    <w:rsid w:val="00402B07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19EF"/>
    <w:rsid w:val="00426A7B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35C74"/>
    <w:rsid w:val="00442DF1"/>
    <w:rsid w:val="004431FE"/>
    <w:rsid w:val="00444F0D"/>
    <w:rsid w:val="0044516D"/>
    <w:rsid w:val="004460E9"/>
    <w:rsid w:val="00447B6F"/>
    <w:rsid w:val="00447FF2"/>
    <w:rsid w:val="004501D4"/>
    <w:rsid w:val="00451555"/>
    <w:rsid w:val="004524CB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8745A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5D02"/>
    <w:rsid w:val="004B7F67"/>
    <w:rsid w:val="004C0FD6"/>
    <w:rsid w:val="004C147B"/>
    <w:rsid w:val="004C1994"/>
    <w:rsid w:val="004C6B22"/>
    <w:rsid w:val="004C6B2B"/>
    <w:rsid w:val="004D0477"/>
    <w:rsid w:val="004D168F"/>
    <w:rsid w:val="004D4080"/>
    <w:rsid w:val="004D7448"/>
    <w:rsid w:val="004E05FD"/>
    <w:rsid w:val="004E0651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2A"/>
    <w:rsid w:val="00533A3F"/>
    <w:rsid w:val="00534700"/>
    <w:rsid w:val="0053791F"/>
    <w:rsid w:val="00540AA5"/>
    <w:rsid w:val="00544D9B"/>
    <w:rsid w:val="00544F5D"/>
    <w:rsid w:val="0054506E"/>
    <w:rsid w:val="00545C9B"/>
    <w:rsid w:val="005465D2"/>
    <w:rsid w:val="00547538"/>
    <w:rsid w:val="005502FA"/>
    <w:rsid w:val="005522E0"/>
    <w:rsid w:val="00553BFA"/>
    <w:rsid w:val="005546C5"/>
    <w:rsid w:val="00554D05"/>
    <w:rsid w:val="0056077E"/>
    <w:rsid w:val="00560EDA"/>
    <w:rsid w:val="005629EE"/>
    <w:rsid w:val="005630E5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76E5E"/>
    <w:rsid w:val="00576FEB"/>
    <w:rsid w:val="00581B57"/>
    <w:rsid w:val="00582A9B"/>
    <w:rsid w:val="005832AB"/>
    <w:rsid w:val="00584001"/>
    <w:rsid w:val="0058437C"/>
    <w:rsid w:val="005935F4"/>
    <w:rsid w:val="00593E0A"/>
    <w:rsid w:val="005965DA"/>
    <w:rsid w:val="00596683"/>
    <w:rsid w:val="005A0DFB"/>
    <w:rsid w:val="005A167F"/>
    <w:rsid w:val="005A346E"/>
    <w:rsid w:val="005A454E"/>
    <w:rsid w:val="005A4927"/>
    <w:rsid w:val="005A4EE0"/>
    <w:rsid w:val="005A5A3E"/>
    <w:rsid w:val="005A73CF"/>
    <w:rsid w:val="005B3F6F"/>
    <w:rsid w:val="005B4002"/>
    <w:rsid w:val="005B41F4"/>
    <w:rsid w:val="005B4600"/>
    <w:rsid w:val="005B528A"/>
    <w:rsid w:val="005B798B"/>
    <w:rsid w:val="005C1FAE"/>
    <w:rsid w:val="005C307B"/>
    <w:rsid w:val="005C39E8"/>
    <w:rsid w:val="005C5660"/>
    <w:rsid w:val="005C674C"/>
    <w:rsid w:val="005C7072"/>
    <w:rsid w:val="005D33D8"/>
    <w:rsid w:val="005D3CF4"/>
    <w:rsid w:val="005D48D7"/>
    <w:rsid w:val="005D4B68"/>
    <w:rsid w:val="005D5D6F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5705"/>
    <w:rsid w:val="005E5E00"/>
    <w:rsid w:val="005E65BB"/>
    <w:rsid w:val="005F0143"/>
    <w:rsid w:val="005F0161"/>
    <w:rsid w:val="005F0DA0"/>
    <w:rsid w:val="005F4914"/>
    <w:rsid w:val="005F4924"/>
    <w:rsid w:val="005F62B7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3AB4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7A"/>
    <w:rsid w:val="00637EFA"/>
    <w:rsid w:val="00640197"/>
    <w:rsid w:val="006414EE"/>
    <w:rsid w:val="00642524"/>
    <w:rsid w:val="00642D0A"/>
    <w:rsid w:val="0064431A"/>
    <w:rsid w:val="00646FE1"/>
    <w:rsid w:val="006477B0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7E7"/>
    <w:rsid w:val="0067499B"/>
    <w:rsid w:val="0067501E"/>
    <w:rsid w:val="006773D2"/>
    <w:rsid w:val="00680498"/>
    <w:rsid w:val="00680581"/>
    <w:rsid w:val="00681A41"/>
    <w:rsid w:val="006821B2"/>
    <w:rsid w:val="006838C0"/>
    <w:rsid w:val="006857EB"/>
    <w:rsid w:val="00685901"/>
    <w:rsid w:val="00685BB9"/>
    <w:rsid w:val="00685BD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11FE"/>
    <w:rsid w:val="006B301A"/>
    <w:rsid w:val="006B34B6"/>
    <w:rsid w:val="006C0251"/>
    <w:rsid w:val="006C2B9A"/>
    <w:rsid w:val="006C39BB"/>
    <w:rsid w:val="006C4502"/>
    <w:rsid w:val="006C68C0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7CC"/>
    <w:rsid w:val="006F6E73"/>
    <w:rsid w:val="00701A6B"/>
    <w:rsid w:val="00701B88"/>
    <w:rsid w:val="00701C2D"/>
    <w:rsid w:val="00702162"/>
    <w:rsid w:val="00703930"/>
    <w:rsid w:val="0070610E"/>
    <w:rsid w:val="00707759"/>
    <w:rsid w:val="00707C0F"/>
    <w:rsid w:val="00707F78"/>
    <w:rsid w:val="00710081"/>
    <w:rsid w:val="00710B0D"/>
    <w:rsid w:val="0071343E"/>
    <w:rsid w:val="00713907"/>
    <w:rsid w:val="00713CB5"/>
    <w:rsid w:val="0071434A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27D5B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6DC7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97975"/>
    <w:rsid w:val="007979E6"/>
    <w:rsid w:val="007A047D"/>
    <w:rsid w:val="007A06AC"/>
    <w:rsid w:val="007A31B8"/>
    <w:rsid w:val="007A5510"/>
    <w:rsid w:val="007B1014"/>
    <w:rsid w:val="007B103F"/>
    <w:rsid w:val="007B1484"/>
    <w:rsid w:val="007B1A10"/>
    <w:rsid w:val="007B5D9A"/>
    <w:rsid w:val="007B5F08"/>
    <w:rsid w:val="007B6659"/>
    <w:rsid w:val="007B76AB"/>
    <w:rsid w:val="007B7DBD"/>
    <w:rsid w:val="007C039F"/>
    <w:rsid w:val="007C322E"/>
    <w:rsid w:val="007C33AD"/>
    <w:rsid w:val="007C3A2B"/>
    <w:rsid w:val="007C45D3"/>
    <w:rsid w:val="007C597B"/>
    <w:rsid w:val="007C760C"/>
    <w:rsid w:val="007D08BF"/>
    <w:rsid w:val="007D08FD"/>
    <w:rsid w:val="007D0A87"/>
    <w:rsid w:val="007D11A3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041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E65"/>
    <w:rsid w:val="007F3542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C23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3A03"/>
    <w:rsid w:val="00816C51"/>
    <w:rsid w:val="008175B3"/>
    <w:rsid w:val="00820708"/>
    <w:rsid w:val="00821865"/>
    <w:rsid w:val="0082327D"/>
    <w:rsid w:val="00823CB6"/>
    <w:rsid w:val="0082433D"/>
    <w:rsid w:val="00825558"/>
    <w:rsid w:val="00826509"/>
    <w:rsid w:val="00826B20"/>
    <w:rsid w:val="00831B01"/>
    <w:rsid w:val="00831DFC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470A1"/>
    <w:rsid w:val="00851377"/>
    <w:rsid w:val="0085375B"/>
    <w:rsid w:val="00854A79"/>
    <w:rsid w:val="00854B2F"/>
    <w:rsid w:val="00855481"/>
    <w:rsid w:val="00855508"/>
    <w:rsid w:val="00856354"/>
    <w:rsid w:val="008568E1"/>
    <w:rsid w:val="00856BE9"/>
    <w:rsid w:val="00856F6B"/>
    <w:rsid w:val="008578F8"/>
    <w:rsid w:val="00857CA3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5E32"/>
    <w:rsid w:val="008770D4"/>
    <w:rsid w:val="0088104E"/>
    <w:rsid w:val="0088127F"/>
    <w:rsid w:val="008815EF"/>
    <w:rsid w:val="008818EE"/>
    <w:rsid w:val="00885273"/>
    <w:rsid w:val="00885F2C"/>
    <w:rsid w:val="00886386"/>
    <w:rsid w:val="0088701C"/>
    <w:rsid w:val="00887ED9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1696"/>
    <w:rsid w:val="008B500A"/>
    <w:rsid w:val="008B7973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36CD"/>
    <w:rsid w:val="008D4380"/>
    <w:rsid w:val="008D48D1"/>
    <w:rsid w:val="008D4EED"/>
    <w:rsid w:val="008D52E1"/>
    <w:rsid w:val="008D6BE8"/>
    <w:rsid w:val="008E1942"/>
    <w:rsid w:val="008E27E9"/>
    <w:rsid w:val="008E5373"/>
    <w:rsid w:val="008E66A2"/>
    <w:rsid w:val="008F0CAC"/>
    <w:rsid w:val="008F11EE"/>
    <w:rsid w:val="008F1F3A"/>
    <w:rsid w:val="008F2C49"/>
    <w:rsid w:val="008F32CD"/>
    <w:rsid w:val="008F36F0"/>
    <w:rsid w:val="008F7CFF"/>
    <w:rsid w:val="008F7ED1"/>
    <w:rsid w:val="008F7FEA"/>
    <w:rsid w:val="00900DCE"/>
    <w:rsid w:val="009016A7"/>
    <w:rsid w:val="009018CF"/>
    <w:rsid w:val="00901C8D"/>
    <w:rsid w:val="00904945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17D5B"/>
    <w:rsid w:val="0092040E"/>
    <w:rsid w:val="00920C6C"/>
    <w:rsid w:val="00921C6D"/>
    <w:rsid w:val="009227D9"/>
    <w:rsid w:val="009232A2"/>
    <w:rsid w:val="00923C44"/>
    <w:rsid w:val="0092505A"/>
    <w:rsid w:val="00925180"/>
    <w:rsid w:val="00926583"/>
    <w:rsid w:val="00927791"/>
    <w:rsid w:val="00927FCA"/>
    <w:rsid w:val="00930607"/>
    <w:rsid w:val="00930D0A"/>
    <w:rsid w:val="009329BA"/>
    <w:rsid w:val="0093304D"/>
    <w:rsid w:val="009343E2"/>
    <w:rsid w:val="009348E5"/>
    <w:rsid w:val="00934A94"/>
    <w:rsid w:val="00934DBA"/>
    <w:rsid w:val="00935536"/>
    <w:rsid w:val="00936939"/>
    <w:rsid w:val="0094053B"/>
    <w:rsid w:val="009417F7"/>
    <w:rsid w:val="00942040"/>
    <w:rsid w:val="00942C9F"/>
    <w:rsid w:val="00942EFC"/>
    <w:rsid w:val="009445C9"/>
    <w:rsid w:val="00945631"/>
    <w:rsid w:val="00947549"/>
    <w:rsid w:val="00956C5C"/>
    <w:rsid w:val="0095793C"/>
    <w:rsid w:val="0096045D"/>
    <w:rsid w:val="009608C4"/>
    <w:rsid w:val="0096111E"/>
    <w:rsid w:val="00961125"/>
    <w:rsid w:val="00963362"/>
    <w:rsid w:val="00963BD1"/>
    <w:rsid w:val="009641CC"/>
    <w:rsid w:val="00966B1F"/>
    <w:rsid w:val="00967D26"/>
    <w:rsid w:val="0097116E"/>
    <w:rsid w:val="00971D15"/>
    <w:rsid w:val="00972EF6"/>
    <w:rsid w:val="00974518"/>
    <w:rsid w:val="00975617"/>
    <w:rsid w:val="00975D53"/>
    <w:rsid w:val="00976B72"/>
    <w:rsid w:val="00976C34"/>
    <w:rsid w:val="00977E42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6DC9"/>
    <w:rsid w:val="00997171"/>
    <w:rsid w:val="009972FE"/>
    <w:rsid w:val="009A18AD"/>
    <w:rsid w:val="009B0152"/>
    <w:rsid w:val="009B061C"/>
    <w:rsid w:val="009B2C91"/>
    <w:rsid w:val="009B3096"/>
    <w:rsid w:val="009B536C"/>
    <w:rsid w:val="009B5C19"/>
    <w:rsid w:val="009B6496"/>
    <w:rsid w:val="009C01DA"/>
    <w:rsid w:val="009C1528"/>
    <w:rsid w:val="009C20CC"/>
    <w:rsid w:val="009C3057"/>
    <w:rsid w:val="009C3558"/>
    <w:rsid w:val="009C504A"/>
    <w:rsid w:val="009C562E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0F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5BF3"/>
    <w:rsid w:val="009F603B"/>
    <w:rsid w:val="009F6987"/>
    <w:rsid w:val="009F720F"/>
    <w:rsid w:val="00A00EA8"/>
    <w:rsid w:val="00A010E7"/>
    <w:rsid w:val="00A01A17"/>
    <w:rsid w:val="00A01A60"/>
    <w:rsid w:val="00A02A8E"/>
    <w:rsid w:val="00A05C86"/>
    <w:rsid w:val="00A064D4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5BFF"/>
    <w:rsid w:val="00A27522"/>
    <w:rsid w:val="00A30F9A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BF3"/>
    <w:rsid w:val="00A5597C"/>
    <w:rsid w:val="00A55A3C"/>
    <w:rsid w:val="00A55DD5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34B6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6FA8"/>
    <w:rsid w:val="00A9770A"/>
    <w:rsid w:val="00A97DF0"/>
    <w:rsid w:val="00AA0230"/>
    <w:rsid w:val="00AA0A43"/>
    <w:rsid w:val="00AA0DD3"/>
    <w:rsid w:val="00AA1C07"/>
    <w:rsid w:val="00AA2F04"/>
    <w:rsid w:val="00AA3688"/>
    <w:rsid w:val="00AA4EAC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0D71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6CB0"/>
    <w:rsid w:val="00AE6E1B"/>
    <w:rsid w:val="00AE7D78"/>
    <w:rsid w:val="00AF0C33"/>
    <w:rsid w:val="00AF308B"/>
    <w:rsid w:val="00AF41F6"/>
    <w:rsid w:val="00AF438E"/>
    <w:rsid w:val="00AF45CA"/>
    <w:rsid w:val="00AF5912"/>
    <w:rsid w:val="00AF5CEE"/>
    <w:rsid w:val="00AF6366"/>
    <w:rsid w:val="00AF660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7FAB"/>
    <w:rsid w:val="00B21221"/>
    <w:rsid w:val="00B21D4A"/>
    <w:rsid w:val="00B22C5F"/>
    <w:rsid w:val="00B23487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146"/>
    <w:rsid w:val="00B5176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6927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126E"/>
    <w:rsid w:val="00BA5273"/>
    <w:rsid w:val="00BA5821"/>
    <w:rsid w:val="00BA6419"/>
    <w:rsid w:val="00BA6550"/>
    <w:rsid w:val="00BB0FC6"/>
    <w:rsid w:val="00BB3642"/>
    <w:rsid w:val="00BB59F6"/>
    <w:rsid w:val="00BB66AB"/>
    <w:rsid w:val="00BC0AD6"/>
    <w:rsid w:val="00BC122E"/>
    <w:rsid w:val="00BC3584"/>
    <w:rsid w:val="00BC4BBC"/>
    <w:rsid w:val="00BC5291"/>
    <w:rsid w:val="00BE4ED6"/>
    <w:rsid w:val="00BE54F3"/>
    <w:rsid w:val="00BE5F67"/>
    <w:rsid w:val="00BE774C"/>
    <w:rsid w:val="00BE7920"/>
    <w:rsid w:val="00BF1E46"/>
    <w:rsid w:val="00BF22CD"/>
    <w:rsid w:val="00BF2CD1"/>
    <w:rsid w:val="00BF4B6A"/>
    <w:rsid w:val="00BF5135"/>
    <w:rsid w:val="00BF7DD0"/>
    <w:rsid w:val="00C00312"/>
    <w:rsid w:val="00C009F5"/>
    <w:rsid w:val="00C0108E"/>
    <w:rsid w:val="00C01129"/>
    <w:rsid w:val="00C015E8"/>
    <w:rsid w:val="00C018A5"/>
    <w:rsid w:val="00C02239"/>
    <w:rsid w:val="00C022E1"/>
    <w:rsid w:val="00C0398D"/>
    <w:rsid w:val="00C03E65"/>
    <w:rsid w:val="00C03EA6"/>
    <w:rsid w:val="00C071AC"/>
    <w:rsid w:val="00C07EF8"/>
    <w:rsid w:val="00C1040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3E9"/>
    <w:rsid w:val="00C23B23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42D9"/>
    <w:rsid w:val="00C76238"/>
    <w:rsid w:val="00C7697F"/>
    <w:rsid w:val="00C77AB6"/>
    <w:rsid w:val="00C8136C"/>
    <w:rsid w:val="00C823C1"/>
    <w:rsid w:val="00C828FF"/>
    <w:rsid w:val="00C82FFA"/>
    <w:rsid w:val="00C837DE"/>
    <w:rsid w:val="00C85521"/>
    <w:rsid w:val="00C85ECE"/>
    <w:rsid w:val="00C863EE"/>
    <w:rsid w:val="00C87EA7"/>
    <w:rsid w:val="00C91D48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A4D80"/>
    <w:rsid w:val="00CA6AF5"/>
    <w:rsid w:val="00CB0721"/>
    <w:rsid w:val="00CB0AAA"/>
    <w:rsid w:val="00CB1582"/>
    <w:rsid w:val="00CB22B7"/>
    <w:rsid w:val="00CB31DA"/>
    <w:rsid w:val="00CB5032"/>
    <w:rsid w:val="00CB69E2"/>
    <w:rsid w:val="00CB7DF6"/>
    <w:rsid w:val="00CC1229"/>
    <w:rsid w:val="00CC303F"/>
    <w:rsid w:val="00CC31C8"/>
    <w:rsid w:val="00CC3324"/>
    <w:rsid w:val="00CC3C96"/>
    <w:rsid w:val="00CC544E"/>
    <w:rsid w:val="00CD077C"/>
    <w:rsid w:val="00CD2B1A"/>
    <w:rsid w:val="00CD342A"/>
    <w:rsid w:val="00CD3940"/>
    <w:rsid w:val="00CD46E4"/>
    <w:rsid w:val="00CD5462"/>
    <w:rsid w:val="00CD5DC3"/>
    <w:rsid w:val="00CD7577"/>
    <w:rsid w:val="00CE4239"/>
    <w:rsid w:val="00CE6A0B"/>
    <w:rsid w:val="00CF066F"/>
    <w:rsid w:val="00CF0950"/>
    <w:rsid w:val="00CF3B07"/>
    <w:rsid w:val="00CF4C13"/>
    <w:rsid w:val="00CF4D03"/>
    <w:rsid w:val="00CF4FA9"/>
    <w:rsid w:val="00CF6384"/>
    <w:rsid w:val="00CF6902"/>
    <w:rsid w:val="00D01E12"/>
    <w:rsid w:val="00D03851"/>
    <w:rsid w:val="00D039E7"/>
    <w:rsid w:val="00D061A3"/>
    <w:rsid w:val="00D06E88"/>
    <w:rsid w:val="00D11F90"/>
    <w:rsid w:val="00D13527"/>
    <w:rsid w:val="00D15B0B"/>
    <w:rsid w:val="00D15E4E"/>
    <w:rsid w:val="00D17601"/>
    <w:rsid w:val="00D200D5"/>
    <w:rsid w:val="00D20B37"/>
    <w:rsid w:val="00D20D6E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57EDB"/>
    <w:rsid w:val="00D602DE"/>
    <w:rsid w:val="00D6096A"/>
    <w:rsid w:val="00D60ABE"/>
    <w:rsid w:val="00D60CE5"/>
    <w:rsid w:val="00D60D9E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1DDE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5D3B"/>
    <w:rsid w:val="00D97A7B"/>
    <w:rsid w:val="00DA095D"/>
    <w:rsid w:val="00DA1259"/>
    <w:rsid w:val="00DA1AAD"/>
    <w:rsid w:val="00DA1E08"/>
    <w:rsid w:val="00DA25D9"/>
    <w:rsid w:val="00DA3B17"/>
    <w:rsid w:val="00DA4A52"/>
    <w:rsid w:val="00DA4FBC"/>
    <w:rsid w:val="00DA6834"/>
    <w:rsid w:val="00DA7457"/>
    <w:rsid w:val="00DB1083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6D1"/>
    <w:rsid w:val="00DD4FF2"/>
    <w:rsid w:val="00DD66FA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64E"/>
    <w:rsid w:val="00DF0FE3"/>
    <w:rsid w:val="00DF2CB1"/>
    <w:rsid w:val="00DF3EAF"/>
    <w:rsid w:val="00DF641F"/>
    <w:rsid w:val="00DF69F9"/>
    <w:rsid w:val="00E02579"/>
    <w:rsid w:val="00E02B50"/>
    <w:rsid w:val="00E04B3F"/>
    <w:rsid w:val="00E053DD"/>
    <w:rsid w:val="00E060C1"/>
    <w:rsid w:val="00E06B1E"/>
    <w:rsid w:val="00E075C5"/>
    <w:rsid w:val="00E07787"/>
    <w:rsid w:val="00E109F8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5CE8"/>
    <w:rsid w:val="00E26C55"/>
    <w:rsid w:val="00E26F6C"/>
    <w:rsid w:val="00E31BD0"/>
    <w:rsid w:val="00E333FB"/>
    <w:rsid w:val="00E34CA3"/>
    <w:rsid w:val="00E35C4A"/>
    <w:rsid w:val="00E37DA6"/>
    <w:rsid w:val="00E37FE3"/>
    <w:rsid w:val="00E43AAA"/>
    <w:rsid w:val="00E44B4A"/>
    <w:rsid w:val="00E44C62"/>
    <w:rsid w:val="00E45B54"/>
    <w:rsid w:val="00E46C49"/>
    <w:rsid w:val="00E51141"/>
    <w:rsid w:val="00E53E2C"/>
    <w:rsid w:val="00E54EF2"/>
    <w:rsid w:val="00E56AB2"/>
    <w:rsid w:val="00E60A5E"/>
    <w:rsid w:val="00E60DC5"/>
    <w:rsid w:val="00E61036"/>
    <w:rsid w:val="00E63559"/>
    <w:rsid w:val="00E646F4"/>
    <w:rsid w:val="00E67180"/>
    <w:rsid w:val="00E676E2"/>
    <w:rsid w:val="00E72D27"/>
    <w:rsid w:val="00E736B2"/>
    <w:rsid w:val="00E74B53"/>
    <w:rsid w:val="00E74FA5"/>
    <w:rsid w:val="00E756A8"/>
    <w:rsid w:val="00E75C5A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0591"/>
    <w:rsid w:val="00E9167E"/>
    <w:rsid w:val="00E922A4"/>
    <w:rsid w:val="00E9255E"/>
    <w:rsid w:val="00E925CE"/>
    <w:rsid w:val="00E92672"/>
    <w:rsid w:val="00E93F3F"/>
    <w:rsid w:val="00E95403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D7804"/>
    <w:rsid w:val="00EE1855"/>
    <w:rsid w:val="00EE266A"/>
    <w:rsid w:val="00EE2B68"/>
    <w:rsid w:val="00EE359F"/>
    <w:rsid w:val="00EE35A8"/>
    <w:rsid w:val="00EE3733"/>
    <w:rsid w:val="00EE6D70"/>
    <w:rsid w:val="00EF04B4"/>
    <w:rsid w:val="00EF0937"/>
    <w:rsid w:val="00EF1386"/>
    <w:rsid w:val="00EF1485"/>
    <w:rsid w:val="00EF2491"/>
    <w:rsid w:val="00EF256B"/>
    <w:rsid w:val="00EF5277"/>
    <w:rsid w:val="00EF5CAD"/>
    <w:rsid w:val="00EF611F"/>
    <w:rsid w:val="00EF73D7"/>
    <w:rsid w:val="00EF76E1"/>
    <w:rsid w:val="00F023CB"/>
    <w:rsid w:val="00F03441"/>
    <w:rsid w:val="00F03E0D"/>
    <w:rsid w:val="00F1030E"/>
    <w:rsid w:val="00F10925"/>
    <w:rsid w:val="00F12F6C"/>
    <w:rsid w:val="00F13DAE"/>
    <w:rsid w:val="00F14BCA"/>
    <w:rsid w:val="00F157D8"/>
    <w:rsid w:val="00F201AD"/>
    <w:rsid w:val="00F213FA"/>
    <w:rsid w:val="00F21481"/>
    <w:rsid w:val="00F215B1"/>
    <w:rsid w:val="00F21B21"/>
    <w:rsid w:val="00F222BB"/>
    <w:rsid w:val="00F23CC6"/>
    <w:rsid w:val="00F24594"/>
    <w:rsid w:val="00F2491A"/>
    <w:rsid w:val="00F24EF6"/>
    <w:rsid w:val="00F254E4"/>
    <w:rsid w:val="00F25719"/>
    <w:rsid w:val="00F2622E"/>
    <w:rsid w:val="00F26F5D"/>
    <w:rsid w:val="00F277CD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6785E"/>
    <w:rsid w:val="00F7058F"/>
    <w:rsid w:val="00F70D21"/>
    <w:rsid w:val="00F70FEF"/>
    <w:rsid w:val="00F7105D"/>
    <w:rsid w:val="00F721FB"/>
    <w:rsid w:val="00F72DF4"/>
    <w:rsid w:val="00F74F3A"/>
    <w:rsid w:val="00F7505D"/>
    <w:rsid w:val="00F75C02"/>
    <w:rsid w:val="00F77ECB"/>
    <w:rsid w:val="00F81583"/>
    <w:rsid w:val="00F819E3"/>
    <w:rsid w:val="00F81E47"/>
    <w:rsid w:val="00F820BF"/>
    <w:rsid w:val="00F824EF"/>
    <w:rsid w:val="00F8298B"/>
    <w:rsid w:val="00F8415D"/>
    <w:rsid w:val="00F84408"/>
    <w:rsid w:val="00F86474"/>
    <w:rsid w:val="00F868B4"/>
    <w:rsid w:val="00F86AF5"/>
    <w:rsid w:val="00F8730A"/>
    <w:rsid w:val="00F87320"/>
    <w:rsid w:val="00F9016F"/>
    <w:rsid w:val="00F90601"/>
    <w:rsid w:val="00F94DA3"/>
    <w:rsid w:val="00F95BB8"/>
    <w:rsid w:val="00F97A0A"/>
    <w:rsid w:val="00FA2A20"/>
    <w:rsid w:val="00FA3883"/>
    <w:rsid w:val="00FA5654"/>
    <w:rsid w:val="00FA74EB"/>
    <w:rsid w:val="00FA78FD"/>
    <w:rsid w:val="00FB11BE"/>
    <w:rsid w:val="00FB1357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AA7"/>
    <w:rsid w:val="00FE3C5F"/>
    <w:rsid w:val="00FE401B"/>
    <w:rsid w:val="00FE4705"/>
    <w:rsid w:val="00FE557C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FBCE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rsid w:val="00E61036"/>
    <w:rPr>
      <w:snapToGrid w:val="0"/>
      <w:sz w:val="22"/>
      <w:lang w:val="en-GB"/>
    </w:rPr>
  </w:style>
  <w:style w:type="character" w:styleId="slostrany">
    <w:name w:val="page number"/>
    <w:uiPriority w:val="99"/>
    <w:rsid w:val="00E61036"/>
    <w:rPr>
      <w:rFonts w:cs="Times New Roman"/>
    </w:rPr>
  </w:style>
  <w:style w:type="character" w:styleId="Hypertextovprepojenie">
    <w:name w:val="Hyperlink"/>
    <w:rsid w:val="00E61036"/>
    <w:rPr>
      <w:color w:val="0000FF"/>
      <w:u w:val="single"/>
    </w:rPr>
  </w:style>
  <w:style w:type="paragraph" w:customStyle="1" w:styleId="EMEAEnBodyText">
    <w:name w:val="EMEA En Body Text"/>
    <w:basedOn w:val="Normlny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E61036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  <w:style w:type="character" w:customStyle="1" w:styleId="st1">
    <w:name w:val="st1"/>
    <w:basedOn w:val="Predvolenpsmoodseku"/>
    <w:rsid w:val="009608C4"/>
  </w:style>
  <w:style w:type="character" w:styleId="Zvraznenie">
    <w:name w:val="Emphasis"/>
    <w:uiPriority w:val="20"/>
    <w:qFormat/>
    <w:rsid w:val="009608C4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857CA3"/>
    <w:pPr>
      <w:ind w:left="720"/>
      <w:contextualSpacing/>
    </w:pPr>
  </w:style>
  <w:style w:type="paragraph" w:styleId="Zkladntext">
    <w:name w:val="Body Text"/>
    <w:basedOn w:val="Normlny"/>
    <w:link w:val="ZkladntextChar"/>
    <w:rsid w:val="000D33CD"/>
    <w:pPr>
      <w:tabs>
        <w:tab w:val="clear" w:pos="567"/>
      </w:tabs>
      <w:spacing w:line="240" w:lineRule="auto"/>
    </w:pPr>
    <w:rPr>
      <w:snapToGrid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0D33CD"/>
    <w:rPr>
      <w:sz w:val="22"/>
      <w:szCs w:val="24"/>
      <w:lang w:val="sk-SK" w:eastAsia="sk-SK"/>
    </w:rPr>
  </w:style>
  <w:style w:type="paragraph" w:customStyle="1" w:styleId="DocsubtitleAgency">
    <w:name w:val="Doc subtitle (Agency)"/>
    <w:basedOn w:val="Normlny"/>
    <w:next w:val="Normlny"/>
    <w:qFormat/>
    <w:rsid w:val="00C87EA7"/>
    <w:pPr>
      <w:tabs>
        <w:tab w:val="clear" w:pos="567"/>
      </w:tabs>
      <w:spacing w:after="640" w:line="360" w:lineRule="atLeast"/>
    </w:pPr>
    <w:rPr>
      <w:rFonts w:ascii="Verdana" w:eastAsia="Verdana" w:hAnsi="Verdana"/>
      <w:snapToGrid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rsid w:val="00E61036"/>
    <w:rPr>
      <w:snapToGrid w:val="0"/>
      <w:sz w:val="22"/>
      <w:lang w:val="en-GB"/>
    </w:rPr>
  </w:style>
  <w:style w:type="character" w:styleId="slostrany">
    <w:name w:val="page number"/>
    <w:uiPriority w:val="99"/>
    <w:rsid w:val="00E61036"/>
    <w:rPr>
      <w:rFonts w:cs="Times New Roman"/>
    </w:rPr>
  </w:style>
  <w:style w:type="character" w:styleId="Hypertextovprepojenie">
    <w:name w:val="Hyperlink"/>
    <w:rsid w:val="00E61036"/>
    <w:rPr>
      <w:color w:val="0000FF"/>
      <w:u w:val="single"/>
    </w:rPr>
  </w:style>
  <w:style w:type="paragraph" w:customStyle="1" w:styleId="EMEAEnBodyText">
    <w:name w:val="EMEA En Body Text"/>
    <w:basedOn w:val="Normlny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E61036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  <w:style w:type="character" w:customStyle="1" w:styleId="st1">
    <w:name w:val="st1"/>
    <w:basedOn w:val="Predvolenpsmoodseku"/>
    <w:rsid w:val="009608C4"/>
  </w:style>
  <w:style w:type="character" w:styleId="Zvraznenie">
    <w:name w:val="Emphasis"/>
    <w:uiPriority w:val="20"/>
    <w:qFormat/>
    <w:rsid w:val="009608C4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857CA3"/>
    <w:pPr>
      <w:ind w:left="720"/>
      <w:contextualSpacing/>
    </w:pPr>
  </w:style>
  <w:style w:type="paragraph" w:styleId="Zkladntext">
    <w:name w:val="Body Text"/>
    <w:basedOn w:val="Normlny"/>
    <w:link w:val="ZkladntextChar"/>
    <w:rsid w:val="000D33CD"/>
    <w:pPr>
      <w:tabs>
        <w:tab w:val="clear" w:pos="567"/>
      </w:tabs>
      <w:spacing w:line="240" w:lineRule="auto"/>
    </w:pPr>
    <w:rPr>
      <w:snapToGrid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0D33CD"/>
    <w:rPr>
      <w:sz w:val="22"/>
      <w:szCs w:val="24"/>
      <w:lang w:val="sk-SK" w:eastAsia="sk-SK"/>
    </w:rPr>
  </w:style>
  <w:style w:type="paragraph" w:customStyle="1" w:styleId="DocsubtitleAgency">
    <w:name w:val="Doc subtitle (Agency)"/>
    <w:basedOn w:val="Normlny"/>
    <w:next w:val="Normlny"/>
    <w:qFormat/>
    <w:rsid w:val="00C87EA7"/>
    <w:pPr>
      <w:tabs>
        <w:tab w:val="clear" w:pos="567"/>
      </w:tabs>
      <w:spacing w:after="640" w:line="360" w:lineRule="atLeast"/>
    </w:pPr>
    <w:rPr>
      <w:rFonts w:ascii="Verdana" w:eastAsia="Verdana" w:hAnsi="Verdana"/>
      <w:snapToGrid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42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8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904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4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F5B01-CD53-4A99-BEDE-5543C570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3230</Words>
  <Characters>20197</Characters>
  <Application>Microsoft Office Word</Application>
  <DocSecurity>0</DocSecurity>
  <Lines>168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23381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marianna forgacova</cp:lastModifiedBy>
  <cp:revision>3</cp:revision>
  <cp:lastPrinted>2019-01-15T13:05:00Z</cp:lastPrinted>
  <dcterms:created xsi:type="dcterms:W3CDTF">2019-01-15T13:05:00Z</dcterms:created>
  <dcterms:modified xsi:type="dcterms:W3CDTF">2019-01-15T13:08:00Z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