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71D0A" w14:textId="77777777" w:rsidR="007476A0" w:rsidRPr="002F344B" w:rsidRDefault="003C4019" w:rsidP="002E3165">
      <w:pPr>
        <w:ind w:left="1416" w:firstLine="708"/>
        <w:rPr>
          <w:b/>
        </w:rPr>
      </w:pPr>
      <w:bookmarkStart w:id="0" w:name="_GoBack"/>
      <w:bookmarkEnd w:id="0"/>
      <w:r w:rsidRPr="002F344B">
        <w:rPr>
          <w:b/>
        </w:rPr>
        <w:t>SÚHRN CHARAKTERISTICKÝCH VLASTNOSTÍ LIEKU</w:t>
      </w:r>
    </w:p>
    <w:p w14:paraId="0611E7A5" w14:textId="77777777" w:rsidR="00390729" w:rsidRPr="002E3165" w:rsidRDefault="00390729" w:rsidP="002E3165"/>
    <w:p w14:paraId="77F064B4" w14:textId="77777777" w:rsidR="00390729" w:rsidRPr="002E3165" w:rsidRDefault="00390729" w:rsidP="002E3165"/>
    <w:p w14:paraId="5C543D55" w14:textId="77777777" w:rsidR="007476A0" w:rsidRPr="002E3165" w:rsidRDefault="00274C82" w:rsidP="002E3165">
      <w:r w:rsidRPr="002F344B">
        <w:rPr>
          <w:b/>
        </w:rPr>
        <w:t>1</w:t>
      </w:r>
      <w:r w:rsidRPr="002E3165">
        <w:t>.</w:t>
      </w:r>
      <w:r w:rsidRPr="002E3165">
        <w:tab/>
      </w:r>
      <w:r w:rsidR="003C4019" w:rsidRPr="002F344B">
        <w:rPr>
          <w:b/>
        </w:rPr>
        <w:t>NÁZOV LIEKU</w:t>
      </w:r>
    </w:p>
    <w:p w14:paraId="26C1CE1B" w14:textId="77777777" w:rsidR="00390729" w:rsidRPr="002E3165" w:rsidRDefault="00390729" w:rsidP="002E3165"/>
    <w:p w14:paraId="740CAEAF" w14:textId="77777777" w:rsidR="00481B22" w:rsidRPr="002F344B" w:rsidRDefault="00800D04" w:rsidP="002E3165">
      <w:pPr>
        <w:rPr>
          <w:sz w:val="22"/>
          <w:szCs w:val="22"/>
          <w:lang w:val="cs-CZ"/>
        </w:rPr>
      </w:pPr>
      <w:r w:rsidRPr="002F344B">
        <w:rPr>
          <w:sz w:val="22"/>
          <w:szCs w:val="22"/>
          <w:lang w:val="cs-CZ"/>
        </w:rPr>
        <w:t>OLPINAT</w:t>
      </w:r>
      <w:r w:rsidR="007476A0" w:rsidRPr="002F344B">
        <w:rPr>
          <w:sz w:val="22"/>
          <w:szCs w:val="22"/>
        </w:rPr>
        <w:t xml:space="preserve"> </w:t>
      </w:r>
      <w:r w:rsidR="00DA24D0" w:rsidRPr="002F344B">
        <w:rPr>
          <w:sz w:val="22"/>
          <w:szCs w:val="22"/>
        </w:rPr>
        <w:t>5 mg</w:t>
      </w:r>
      <w:r w:rsidR="007476A0" w:rsidRPr="002F344B">
        <w:rPr>
          <w:sz w:val="22"/>
          <w:szCs w:val="22"/>
        </w:rPr>
        <w:t xml:space="preserve"> </w:t>
      </w:r>
    </w:p>
    <w:p w14:paraId="2596575A" w14:textId="77777777" w:rsidR="007476A0" w:rsidRPr="002F344B" w:rsidRDefault="00800D04" w:rsidP="002E3165">
      <w:pPr>
        <w:rPr>
          <w:sz w:val="22"/>
          <w:szCs w:val="22"/>
        </w:rPr>
      </w:pPr>
      <w:r w:rsidRPr="002F344B">
        <w:rPr>
          <w:sz w:val="22"/>
          <w:szCs w:val="22"/>
          <w:lang w:val="cs-CZ"/>
        </w:rPr>
        <w:t>OLPINAT</w:t>
      </w:r>
      <w:r w:rsidR="003C4019" w:rsidRPr="002F344B">
        <w:rPr>
          <w:sz w:val="22"/>
          <w:szCs w:val="22"/>
        </w:rPr>
        <w:t xml:space="preserve"> 10 mg</w:t>
      </w:r>
      <w:r w:rsidR="007476A0" w:rsidRPr="002F344B">
        <w:rPr>
          <w:sz w:val="22"/>
          <w:szCs w:val="22"/>
        </w:rPr>
        <w:t xml:space="preserve"> </w:t>
      </w:r>
    </w:p>
    <w:p w14:paraId="13A1E134" w14:textId="77777777" w:rsidR="00481B22" w:rsidRPr="002F344B" w:rsidRDefault="00481B22" w:rsidP="002E3165">
      <w:pPr>
        <w:rPr>
          <w:sz w:val="22"/>
          <w:szCs w:val="22"/>
        </w:rPr>
      </w:pPr>
      <w:r w:rsidRPr="002F344B">
        <w:rPr>
          <w:sz w:val="22"/>
          <w:szCs w:val="22"/>
        </w:rPr>
        <w:t>filmom obalené tablety</w:t>
      </w:r>
    </w:p>
    <w:p w14:paraId="444942A2" w14:textId="77777777" w:rsidR="00390729" w:rsidRPr="002E3165" w:rsidRDefault="00390729" w:rsidP="002E3165"/>
    <w:p w14:paraId="498E2A47" w14:textId="77777777" w:rsidR="00390729" w:rsidRPr="002E3165" w:rsidRDefault="00390729" w:rsidP="002E3165"/>
    <w:p w14:paraId="6DF8AF12" w14:textId="77777777" w:rsidR="007476A0" w:rsidRPr="002E3165" w:rsidRDefault="00274C82" w:rsidP="002E3165">
      <w:r w:rsidRPr="002F344B">
        <w:rPr>
          <w:b/>
        </w:rPr>
        <w:t>2</w:t>
      </w:r>
      <w:r w:rsidRPr="002E3165">
        <w:t>.</w:t>
      </w:r>
      <w:r w:rsidRPr="002E3165">
        <w:tab/>
      </w:r>
      <w:r w:rsidR="003C4019" w:rsidRPr="002F344B">
        <w:rPr>
          <w:b/>
        </w:rPr>
        <w:t>KVALITATÍVNE A KVANTITATÍVNE ZLOŽENIE</w:t>
      </w:r>
    </w:p>
    <w:p w14:paraId="7861381A" w14:textId="77777777" w:rsidR="00800D04" w:rsidRPr="002E3165" w:rsidRDefault="00800D04" w:rsidP="002E3165"/>
    <w:p w14:paraId="44B2334F" w14:textId="77777777" w:rsidR="007476A0" w:rsidRPr="002F344B" w:rsidRDefault="00800D04" w:rsidP="002E3165">
      <w:pPr>
        <w:rPr>
          <w:sz w:val="22"/>
          <w:szCs w:val="22"/>
        </w:rPr>
      </w:pPr>
      <w:r w:rsidRPr="002F344B">
        <w:rPr>
          <w:sz w:val="22"/>
          <w:szCs w:val="22"/>
        </w:rPr>
        <w:t>OLPINAT</w:t>
      </w:r>
      <w:r w:rsidR="007476A0" w:rsidRPr="002F344B">
        <w:rPr>
          <w:sz w:val="22"/>
          <w:szCs w:val="22"/>
        </w:rPr>
        <w:t xml:space="preserve"> </w:t>
      </w:r>
      <w:r w:rsidR="00281297" w:rsidRPr="002F344B">
        <w:rPr>
          <w:sz w:val="22"/>
          <w:szCs w:val="22"/>
        </w:rPr>
        <w:t xml:space="preserve">5 mg: </w:t>
      </w:r>
      <w:r w:rsidR="00ED70D9" w:rsidRPr="002F344B">
        <w:rPr>
          <w:sz w:val="22"/>
          <w:szCs w:val="22"/>
        </w:rPr>
        <w:t>J</w:t>
      </w:r>
      <w:r w:rsidR="00484088" w:rsidRPr="002F344B">
        <w:rPr>
          <w:sz w:val="22"/>
          <w:szCs w:val="22"/>
        </w:rPr>
        <w:t xml:space="preserve">edna </w:t>
      </w:r>
      <w:r w:rsidR="00281297" w:rsidRPr="002F344B">
        <w:rPr>
          <w:sz w:val="22"/>
          <w:szCs w:val="22"/>
        </w:rPr>
        <w:t xml:space="preserve">filmom </w:t>
      </w:r>
      <w:r w:rsidR="003C4019" w:rsidRPr="002F344B">
        <w:rPr>
          <w:sz w:val="22"/>
          <w:szCs w:val="22"/>
        </w:rPr>
        <w:t>obalená tableta obsahuje</w:t>
      </w:r>
      <w:r w:rsidR="007476A0" w:rsidRPr="002F344B">
        <w:rPr>
          <w:sz w:val="22"/>
          <w:szCs w:val="22"/>
        </w:rPr>
        <w:t xml:space="preserve"> </w:t>
      </w:r>
      <w:r w:rsidR="00DA24D0" w:rsidRPr="002F344B">
        <w:rPr>
          <w:sz w:val="22"/>
          <w:szCs w:val="22"/>
        </w:rPr>
        <w:t>5</w:t>
      </w:r>
      <w:r w:rsidR="007476A0" w:rsidRPr="002F344B">
        <w:rPr>
          <w:sz w:val="22"/>
          <w:szCs w:val="22"/>
        </w:rPr>
        <w:t xml:space="preserve"> </w:t>
      </w:r>
      <w:r w:rsidR="003C4019" w:rsidRPr="002F344B">
        <w:rPr>
          <w:sz w:val="22"/>
          <w:szCs w:val="22"/>
        </w:rPr>
        <w:t>mg olanzapínu</w:t>
      </w:r>
      <w:r w:rsidR="00F13D2F" w:rsidRPr="002F344B">
        <w:rPr>
          <w:sz w:val="22"/>
          <w:szCs w:val="22"/>
        </w:rPr>
        <w:t xml:space="preserve"> (olanzapinum)</w:t>
      </w:r>
      <w:r w:rsidR="003C4019" w:rsidRPr="002F344B">
        <w:rPr>
          <w:sz w:val="22"/>
          <w:szCs w:val="22"/>
        </w:rPr>
        <w:t>.</w:t>
      </w:r>
    </w:p>
    <w:p w14:paraId="03672CE7" w14:textId="77777777" w:rsidR="00DA24D0" w:rsidRPr="002F344B" w:rsidRDefault="00800D04" w:rsidP="002E3165">
      <w:pPr>
        <w:rPr>
          <w:sz w:val="22"/>
          <w:szCs w:val="22"/>
        </w:rPr>
      </w:pPr>
      <w:r w:rsidRPr="002F344B">
        <w:rPr>
          <w:sz w:val="22"/>
          <w:szCs w:val="22"/>
        </w:rPr>
        <w:t>OLPINAT</w:t>
      </w:r>
      <w:r w:rsidR="00281297" w:rsidRPr="002F344B">
        <w:rPr>
          <w:sz w:val="22"/>
          <w:szCs w:val="22"/>
        </w:rPr>
        <w:t xml:space="preserve"> 10 mg: </w:t>
      </w:r>
      <w:r w:rsidR="00ED70D9" w:rsidRPr="002F344B">
        <w:rPr>
          <w:sz w:val="22"/>
          <w:szCs w:val="22"/>
        </w:rPr>
        <w:t>J</w:t>
      </w:r>
      <w:r w:rsidR="00484088" w:rsidRPr="002F344B">
        <w:rPr>
          <w:sz w:val="22"/>
          <w:szCs w:val="22"/>
        </w:rPr>
        <w:t xml:space="preserve">edna </w:t>
      </w:r>
      <w:r w:rsidR="00281297" w:rsidRPr="002F344B">
        <w:rPr>
          <w:sz w:val="22"/>
          <w:szCs w:val="22"/>
        </w:rPr>
        <w:t xml:space="preserve">filmom </w:t>
      </w:r>
      <w:r w:rsidR="00DA24D0" w:rsidRPr="002F344B">
        <w:rPr>
          <w:sz w:val="22"/>
          <w:szCs w:val="22"/>
        </w:rPr>
        <w:t>obalená tableta obsahuje 10 mg olanzapínu</w:t>
      </w:r>
      <w:r w:rsidR="00F13D2F" w:rsidRPr="002F344B">
        <w:rPr>
          <w:sz w:val="22"/>
          <w:szCs w:val="22"/>
        </w:rPr>
        <w:t xml:space="preserve"> (olanzapinum)</w:t>
      </w:r>
      <w:r w:rsidR="00FF2A8D" w:rsidRPr="002F344B">
        <w:rPr>
          <w:sz w:val="22"/>
          <w:szCs w:val="22"/>
        </w:rPr>
        <w:t>.</w:t>
      </w:r>
    </w:p>
    <w:p w14:paraId="28324D2C" w14:textId="77777777" w:rsidR="00800D04" w:rsidRPr="002F344B" w:rsidRDefault="00800D04" w:rsidP="002E3165">
      <w:pPr>
        <w:rPr>
          <w:sz w:val="22"/>
          <w:szCs w:val="22"/>
        </w:rPr>
      </w:pPr>
    </w:p>
    <w:p w14:paraId="2CC74DC1" w14:textId="77777777" w:rsidR="007476A0" w:rsidRPr="002F344B" w:rsidRDefault="003C4019" w:rsidP="002E3165">
      <w:pPr>
        <w:rPr>
          <w:sz w:val="22"/>
          <w:szCs w:val="22"/>
        </w:rPr>
      </w:pPr>
      <w:r w:rsidRPr="002F344B">
        <w:rPr>
          <w:sz w:val="22"/>
          <w:szCs w:val="22"/>
        </w:rPr>
        <w:t>Pomocn</w:t>
      </w:r>
      <w:r w:rsidR="007476A0" w:rsidRPr="002F344B">
        <w:rPr>
          <w:sz w:val="22"/>
          <w:szCs w:val="22"/>
        </w:rPr>
        <w:t>é</w:t>
      </w:r>
      <w:r w:rsidRPr="002F344B">
        <w:rPr>
          <w:sz w:val="22"/>
          <w:szCs w:val="22"/>
        </w:rPr>
        <w:t xml:space="preserve"> látk</w:t>
      </w:r>
      <w:r w:rsidR="007476A0" w:rsidRPr="002F344B">
        <w:rPr>
          <w:sz w:val="22"/>
          <w:szCs w:val="22"/>
        </w:rPr>
        <w:t>y</w:t>
      </w:r>
      <w:r w:rsidR="00E82E20" w:rsidRPr="002F344B">
        <w:rPr>
          <w:sz w:val="22"/>
          <w:szCs w:val="22"/>
        </w:rPr>
        <w:t xml:space="preserve"> so známym účinkom</w:t>
      </w:r>
      <w:r w:rsidR="00EB0519" w:rsidRPr="002F344B">
        <w:rPr>
          <w:sz w:val="22"/>
          <w:szCs w:val="22"/>
        </w:rPr>
        <w:t>:</w:t>
      </w:r>
    </w:p>
    <w:p w14:paraId="74FEA480" w14:textId="77777777" w:rsidR="00281297" w:rsidRPr="002F344B" w:rsidRDefault="00ED70D9" w:rsidP="002E3165">
      <w:pPr>
        <w:rPr>
          <w:sz w:val="22"/>
          <w:szCs w:val="22"/>
        </w:rPr>
      </w:pPr>
      <w:r w:rsidRPr="002F344B">
        <w:rPr>
          <w:sz w:val="22"/>
          <w:szCs w:val="22"/>
        </w:rPr>
        <w:t xml:space="preserve">OLPINAT 5 mg: </w:t>
      </w:r>
      <w:r w:rsidR="00FF6067" w:rsidRPr="002F344B">
        <w:rPr>
          <w:sz w:val="22"/>
          <w:szCs w:val="22"/>
        </w:rPr>
        <w:t xml:space="preserve">Jedna </w:t>
      </w:r>
      <w:r w:rsidRPr="002F344B">
        <w:rPr>
          <w:sz w:val="22"/>
          <w:szCs w:val="22"/>
        </w:rPr>
        <w:t xml:space="preserve">filmom obalená </w:t>
      </w:r>
      <w:r w:rsidR="001B1A46" w:rsidRPr="002F344B">
        <w:rPr>
          <w:sz w:val="22"/>
          <w:szCs w:val="22"/>
        </w:rPr>
        <w:t xml:space="preserve">tableta </w:t>
      </w:r>
      <w:r w:rsidR="003C4019" w:rsidRPr="002F344B">
        <w:rPr>
          <w:sz w:val="22"/>
          <w:szCs w:val="22"/>
        </w:rPr>
        <w:t xml:space="preserve">obsahuje </w:t>
      </w:r>
      <w:r w:rsidR="00281297" w:rsidRPr="002F344B">
        <w:rPr>
          <w:sz w:val="22"/>
          <w:szCs w:val="22"/>
        </w:rPr>
        <w:t>15</w:t>
      </w:r>
      <w:r w:rsidR="00800D04" w:rsidRPr="002F344B">
        <w:rPr>
          <w:sz w:val="22"/>
          <w:szCs w:val="22"/>
        </w:rPr>
        <w:t>9</w:t>
      </w:r>
      <w:r w:rsidR="00281297" w:rsidRPr="002F344B">
        <w:rPr>
          <w:sz w:val="22"/>
          <w:szCs w:val="22"/>
        </w:rPr>
        <w:t>,</w:t>
      </w:r>
      <w:r w:rsidR="00800D04" w:rsidRPr="002F344B">
        <w:rPr>
          <w:sz w:val="22"/>
          <w:szCs w:val="22"/>
        </w:rPr>
        <w:t>9</w:t>
      </w:r>
      <w:r w:rsidR="003C4019" w:rsidRPr="002F344B">
        <w:rPr>
          <w:sz w:val="22"/>
          <w:szCs w:val="22"/>
        </w:rPr>
        <w:t xml:space="preserve"> mg monohydrátu laktózy</w:t>
      </w:r>
      <w:r w:rsidR="00800D04" w:rsidRPr="002F344B">
        <w:rPr>
          <w:sz w:val="22"/>
          <w:szCs w:val="22"/>
        </w:rPr>
        <w:t xml:space="preserve"> a 0,0384 mg sójového l</w:t>
      </w:r>
      <w:r w:rsidR="009F71BE" w:rsidRPr="002F344B">
        <w:rPr>
          <w:sz w:val="22"/>
          <w:szCs w:val="22"/>
        </w:rPr>
        <w:t>e</w:t>
      </w:r>
      <w:r w:rsidR="00800D04" w:rsidRPr="002F344B">
        <w:rPr>
          <w:sz w:val="22"/>
          <w:szCs w:val="22"/>
        </w:rPr>
        <w:t>citínu.</w:t>
      </w:r>
    </w:p>
    <w:p w14:paraId="67F9B5F6" w14:textId="77777777" w:rsidR="007476A0" w:rsidRPr="002F344B" w:rsidRDefault="00ED70D9" w:rsidP="002E3165">
      <w:pPr>
        <w:rPr>
          <w:sz w:val="22"/>
          <w:szCs w:val="22"/>
        </w:rPr>
      </w:pPr>
      <w:r w:rsidRPr="002F344B">
        <w:rPr>
          <w:sz w:val="22"/>
          <w:szCs w:val="22"/>
        </w:rPr>
        <w:t xml:space="preserve">OLPINAT 10 mg: </w:t>
      </w:r>
      <w:r w:rsidR="00FF6067" w:rsidRPr="002F344B">
        <w:rPr>
          <w:sz w:val="22"/>
          <w:szCs w:val="22"/>
        </w:rPr>
        <w:t xml:space="preserve">Jedna </w:t>
      </w:r>
      <w:r w:rsidRPr="002F344B">
        <w:rPr>
          <w:sz w:val="22"/>
          <w:szCs w:val="22"/>
        </w:rPr>
        <w:t xml:space="preserve">filmom obalená </w:t>
      </w:r>
      <w:r w:rsidR="00FF2A8D" w:rsidRPr="002F344B">
        <w:rPr>
          <w:sz w:val="22"/>
          <w:szCs w:val="22"/>
        </w:rPr>
        <w:t xml:space="preserve">tableta </w:t>
      </w:r>
      <w:r w:rsidR="00281297" w:rsidRPr="002F344B">
        <w:rPr>
          <w:sz w:val="22"/>
          <w:szCs w:val="22"/>
        </w:rPr>
        <w:t xml:space="preserve">obsahuje </w:t>
      </w:r>
      <w:r w:rsidR="00800D04" w:rsidRPr="002F344B">
        <w:rPr>
          <w:sz w:val="22"/>
          <w:szCs w:val="22"/>
        </w:rPr>
        <w:t>319,8</w:t>
      </w:r>
      <w:r w:rsidR="00281297" w:rsidRPr="002F344B">
        <w:rPr>
          <w:sz w:val="22"/>
          <w:szCs w:val="22"/>
        </w:rPr>
        <w:t xml:space="preserve"> mg monohydrátu laktózy</w:t>
      </w:r>
      <w:r w:rsidR="00800D04" w:rsidRPr="002F344B">
        <w:rPr>
          <w:sz w:val="22"/>
          <w:szCs w:val="22"/>
        </w:rPr>
        <w:t xml:space="preserve"> a 0,0768 mg sójového lecitínu</w:t>
      </w:r>
      <w:r w:rsidR="00281297" w:rsidRPr="002F344B">
        <w:rPr>
          <w:sz w:val="22"/>
          <w:szCs w:val="22"/>
        </w:rPr>
        <w:t>.</w:t>
      </w:r>
    </w:p>
    <w:p w14:paraId="71C69B1F" w14:textId="77777777" w:rsidR="0014256C" w:rsidRDefault="003C4019" w:rsidP="002E3165">
      <w:pPr>
        <w:rPr>
          <w:sz w:val="22"/>
          <w:szCs w:val="22"/>
        </w:rPr>
      </w:pPr>
      <w:r w:rsidRPr="002F344B">
        <w:rPr>
          <w:sz w:val="22"/>
          <w:szCs w:val="22"/>
        </w:rPr>
        <w:t>Úplný zoznam pomocných látok, pozri časť 6.1.</w:t>
      </w:r>
    </w:p>
    <w:p w14:paraId="6B39DEA8" w14:textId="77777777" w:rsidR="0014256C" w:rsidRPr="002F344B" w:rsidRDefault="0014256C" w:rsidP="002E3165">
      <w:pPr>
        <w:rPr>
          <w:sz w:val="22"/>
          <w:szCs w:val="22"/>
        </w:rPr>
      </w:pPr>
    </w:p>
    <w:p w14:paraId="261FD08A" w14:textId="77777777" w:rsidR="006C0593" w:rsidRPr="002E3165" w:rsidRDefault="006C0593" w:rsidP="002E3165"/>
    <w:p w14:paraId="2D8FFB33" w14:textId="77777777" w:rsidR="007476A0" w:rsidRPr="002E3165" w:rsidRDefault="00274C82" w:rsidP="002E3165">
      <w:r w:rsidRPr="002F344B">
        <w:rPr>
          <w:b/>
        </w:rPr>
        <w:t>3.</w:t>
      </w:r>
      <w:r w:rsidRPr="002E3165">
        <w:tab/>
      </w:r>
      <w:r w:rsidR="003C4019" w:rsidRPr="002F344B">
        <w:rPr>
          <w:b/>
        </w:rPr>
        <w:t>LIEKOVÁ FORMA</w:t>
      </w:r>
    </w:p>
    <w:p w14:paraId="07A4AECB" w14:textId="77777777" w:rsidR="00440E8C" w:rsidRPr="002E3165" w:rsidRDefault="00440E8C" w:rsidP="002E3165"/>
    <w:p w14:paraId="53D25E5D" w14:textId="77777777" w:rsidR="007476A0" w:rsidRPr="002F344B" w:rsidRDefault="00281297" w:rsidP="002E3165">
      <w:pPr>
        <w:rPr>
          <w:sz w:val="22"/>
          <w:szCs w:val="22"/>
        </w:rPr>
      </w:pPr>
      <w:r w:rsidRPr="002F344B">
        <w:rPr>
          <w:sz w:val="22"/>
          <w:szCs w:val="22"/>
        </w:rPr>
        <w:t>Filmom o</w:t>
      </w:r>
      <w:r w:rsidR="003C4019" w:rsidRPr="002F344B">
        <w:rPr>
          <w:sz w:val="22"/>
          <w:szCs w:val="22"/>
        </w:rPr>
        <w:t>balená tableta</w:t>
      </w:r>
    </w:p>
    <w:p w14:paraId="487AED9A" w14:textId="77777777" w:rsidR="00281297" w:rsidRPr="002F344B" w:rsidRDefault="00440E8C" w:rsidP="002E3165">
      <w:pPr>
        <w:rPr>
          <w:sz w:val="22"/>
          <w:szCs w:val="22"/>
        </w:rPr>
      </w:pPr>
      <w:r w:rsidRPr="002F344B">
        <w:rPr>
          <w:sz w:val="22"/>
          <w:szCs w:val="22"/>
        </w:rPr>
        <w:t xml:space="preserve">OLPINAT </w:t>
      </w:r>
      <w:r w:rsidR="00E82E20" w:rsidRPr="002F344B">
        <w:rPr>
          <w:sz w:val="22"/>
          <w:szCs w:val="22"/>
        </w:rPr>
        <w:t xml:space="preserve">5 mg: </w:t>
      </w:r>
      <w:r w:rsidRPr="002F344B">
        <w:rPr>
          <w:sz w:val="22"/>
          <w:szCs w:val="22"/>
        </w:rPr>
        <w:t>B</w:t>
      </w:r>
      <w:r w:rsidR="00800D04" w:rsidRPr="002F344B">
        <w:rPr>
          <w:sz w:val="22"/>
          <w:szCs w:val="22"/>
        </w:rPr>
        <w:t xml:space="preserve">iele, </w:t>
      </w:r>
      <w:r w:rsidR="00281297" w:rsidRPr="002F344B">
        <w:rPr>
          <w:sz w:val="22"/>
          <w:szCs w:val="22"/>
        </w:rPr>
        <w:t xml:space="preserve">okrúhle, </w:t>
      </w:r>
      <w:r w:rsidR="002275B9" w:rsidRPr="002F344B">
        <w:rPr>
          <w:sz w:val="22"/>
          <w:szCs w:val="22"/>
        </w:rPr>
        <w:t>bikonvexné</w:t>
      </w:r>
      <w:r w:rsidR="00166CB5" w:rsidRPr="002F344B">
        <w:rPr>
          <w:sz w:val="22"/>
          <w:szCs w:val="22"/>
        </w:rPr>
        <w:t xml:space="preserve"> </w:t>
      </w:r>
      <w:r w:rsidR="00800D04" w:rsidRPr="002F344B">
        <w:rPr>
          <w:sz w:val="22"/>
          <w:szCs w:val="22"/>
        </w:rPr>
        <w:t>filmom obalené tablety</w:t>
      </w:r>
      <w:r w:rsidR="00E82E20" w:rsidRPr="002F344B">
        <w:rPr>
          <w:sz w:val="22"/>
          <w:szCs w:val="22"/>
        </w:rPr>
        <w:t xml:space="preserve"> s priemerom 7,9</w:t>
      </w:r>
      <w:r w:rsidR="00E008F5" w:rsidRPr="002F344B">
        <w:rPr>
          <w:sz w:val="22"/>
          <w:szCs w:val="22"/>
        </w:rPr>
        <w:t> − </w:t>
      </w:r>
      <w:r w:rsidR="00E82E20" w:rsidRPr="002F344B">
        <w:rPr>
          <w:sz w:val="22"/>
          <w:szCs w:val="22"/>
        </w:rPr>
        <w:t>8,1 mm</w:t>
      </w:r>
      <w:r w:rsidR="00281297" w:rsidRPr="002F344B">
        <w:rPr>
          <w:sz w:val="22"/>
          <w:szCs w:val="22"/>
        </w:rPr>
        <w:t>.</w:t>
      </w:r>
    </w:p>
    <w:p w14:paraId="2EFA024A" w14:textId="77777777" w:rsidR="00E82E20" w:rsidRDefault="00440E8C" w:rsidP="002E3165">
      <w:pPr>
        <w:rPr>
          <w:sz w:val="22"/>
          <w:szCs w:val="22"/>
        </w:rPr>
      </w:pPr>
      <w:r w:rsidRPr="002F344B">
        <w:rPr>
          <w:sz w:val="22"/>
          <w:szCs w:val="22"/>
        </w:rPr>
        <w:t xml:space="preserve">OLPINAT </w:t>
      </w:r>
      <w:r w:rsidR="00E82E20" w:rsidRPr="002F344B">
        <w:rPr>
          <w:sz w:val="22"/>
          <w:szCs w:val="22"/>
        </w:rPr>
        <w:t xml:space="preserve">10 mg: biele, okrúhle, </w:t>
      </w:r>
      <w:r w:rsidR="002275B9" w:rsidRPr="002F344B">
        <w:rPr>
          <w:sz w:val="22"/>
          <w:szCs w:val="22"/>
        </w:rPr>
        <w:t>bikonvexné</w:t>
      </w:r>
      <w:r w:rsidR="00E82E20" w:rsidRPr="002F344B">
        <w:rPr>
          <w:sz w:val="22"/>
          <w:szCs w:val="22"/>
        </w:rPr>
        <w:t xml:space="preserve"> filmom obalené tablety s priemerom 9,9</w:t>
      </w:r>
      <w:r w:rsidR="00B00A24" w:rsidRPr="002F344B">
        <w:rPr>
          <w:sz w:val="22"/>
          <w:szCs w:val="22"/>
        </w:rPr>
        <w:t> − </w:t>
      </w:r>
      <w:smartTag w:uri="urn:schemas-microsoft-com:office:smarttags" w:element="metricconverter">
        <w:smartTagPr>
          <w:attr w:name="ProductID" w:val="10,1 mm"/>
        </w:smartTagPr>
        <w:r w:rsidR="00E82E20" w:rsidRPr="002F344B">
          <w:rPr>
            <w:sz w:val="22"/>
            <w:szCs w:val="22"/>
          </w:rPr>
          <w:t>10,1 mm</w:t>
        </w:r>
      </w:smartTag>
      <w:r w:rsidR="00E82E20" w:rsidRPr="002F344B">
        <w:rPr>
          <w:sz w:val="22"/>
          <w:szCs w:val="22"/>
        </w:rPr>
        <w:t>.</w:t>
      </w:r>
    </w:p>
    <w:p w14:paraId="4836A673" w14:textId="77777777" w:rsidR="0014256C" w:rsidRPr="002F344B" w:rsidRDefault="0014256C" w:rsidP="002E3165">
      <w:pPr>
        <w:rPr>
          <w:sz w:val="22"/>
          <w:szCs w:val="22"/>
        </w:rPr>
      </w:pPr>
    </w:p>
    <w:p w14:paraId="739C743F" w14:textId="77777777" w:rsidR="006C0593" w:rsidRPr="002E3165" w:rsidRDefault="006C0593" w:rsidP="002E3165"/>
    <w:p w14:paraId="5424995C" w14:textId="77777777" w:rsidR="007476A0" w:rsidRPr="002F344B" w:rsidRDefault="00274C82" w:rsidP="002E3165">
      <w:pPr>
        <w:rPr>
          <w:b/>
        </w:rPr>
      </w:pPr>
      <w:r w:rsidRPr="002F344B">
        <w:rPr>
          <w:b/>
        </w:rPr>
        <w:t>4.</w:t>
      </w:r>
      <w:r w:rsidRPr="002F344B">
        <w:rPr>
          <w:b/>
        </w:rPr>
        <w:tab/>
      </w:r>
      <w:r w:rsidR="003C4019" w:rsidRPr="002F344B">
        <w:rPr>
          <w:b/>
        </w:rPr>
        <w:t>KLINICKÉ ÚDAJE</w:t>
      </w:r>
    </w:p>
    <w:p w14:paraId="1B1C3DA9" w14:textId="77777777" w:rsidR="004946F8" w:rsidRPr="002E3165" w:rsidRDefault="004946F8" w:rsidP="002E3165"/>
    <w:p w14:paraId="25762AB4" w14:textId="77777777" w:rsidR="007476A0" w:rsidRPr="002F344B" w:rsidRDefault="00274C82" w:rsidP="002E3165">
      <w:pPr>
        <w:rPr>
          <w:b/>
        </w:rPr>
      </w:pPr>
      <w:r w:rsidRPr="002F344B">
        <w:rPr>
          <w:b/>
        </w:rPr>
        <w:t>4.1</w:t>
      </w:r>
      <w:r w:rsidRPr="002F344B">
        <w:rPr>
          <w:b/>
        </w:rPr>
        <w:tab/>
      </w:r>
      <w:r w:rsidR="003C4019" w:rsidRPr="002F344B">
        <w:rPr>
          <w:b/>
        </w:rPr>
        <w:t>Terapeutické indikácie</w:t>
      </w:r>
    </w:p>
    <w:p w14:paraId="4150F89B" w14:textId="77777777" w:rsidR="004946F8" w:rsidRPr="002E3165" w:rsidRDefault="004946F8" w:rsidP="002E3165"/>
    <w:p w14:paraId="5A5E3B82" w14:textId="77777777" w:rsidR="007476A0" w:rsidRPr="004E5A7C" w:rsidRDefault="003C4019" w:rsidP="002E3165">
      <w:pPr>
        <w:rPr>
          <w:b/>
          <w:sz w:val="22"/>
          <w:szCs w:val="22"/>
        </w:rPr>
      </w:pPr>
      <w:r w:rsidRPr="004E5A7C">
        <w:rPr>
          <w:b/>
          <w:sz w:val="22"/>
          <w:szCs w:val="22"/>
        </w:rPr>
        <w:t>Dospelí</w:t>
      </w:r>
    </w:p>
    <w:p w14:paraId="6C1DC4F6" w14:textId="77777777" w:rsidR="007476A0" w:rsidRPr="002F344B" w:rsidRDefault="003C4019" w:rsidP="002E3165">
      <w:pPr>
        <w:rPr>
          <w:sz w:val="22"/>
          <w:szCs w:val="22"/>
        </w:rPr>
      </w:pPr>
      <w:r w:rsidRPr="002F344B">
        <w:rPr>
          <w:sz w:val="22"/>
          <w:szCs w:val="22"/>
        </w:rPr>
        <w:t>Olanzapín je indikovaný na liečbu schizofrénie.</w:t>
      </w:r>
    </w:p>
    <w:p w14:paraId="4D1A104C" w14:textId="77777777" w:rsidR="004946F8" w:rsidRPr="002F344B" w:rsidRDefault="004946F8" w:rsidP="002E3165">
      <w:pPr>
        <w:rPr>
          <w:sz w:val="22"/>
          <w:szCs w:val="22"/>
        </w:rPr>
      </w:pPr>
    </w:p>
    <w:p w14:paraId="7BF0020E" w14:textId="77777777" w:rsidR="004946F8" w:rsidRPr="002F344B" w:rsidRDefault="003C4019" w:rsidP="002E3165">
      <w:pPr>
        <w:rPr>
          <w:sz w:val="22"/>
          <w:szCs w:val="22"/>
        </w:rPr>
      </w:pPr>
      <w:r w:rsidRPr="002F344B">
        <w:rPr>
          <w:sz w:val="22"/>
          <w:szCs w:val="22"/>
        </w:rPr>
        <w:t xml:space="preserve">Olanzapín je účinný pri udržaní klinického zlepšenia počas pokračujúcej terapie u pacientov, ktorí </w:t>
      </w:r>
      <w:r w:rsidR="00BF1A33" w:rsidRPr="002F344B">
        <w:rPr>
          <w:sz w:val="22"/>
          <w:szCs w:val="22"/>
        </w:rPr>
        <w:t xml:space="preserve">dosiahli odpoveď na úvodnú liečbu. </w:t>
      </w:r>
    </w:p>
    <w:p w14:paraId="418BDA1B" w14:textId="77777777" w:rsidR="007476A0" w:rsidRPr="002F344B" w:rsidRDefault="007476A0" w:rsidP="002E3165">
      <w:pPr>
        <w:rPr>
          <w:sz w:val="22"/>
          <w:szCs w:val="22"/>
        </w:rPr>
      </w:pPr>
    </w:p>
    <w:p w14:paraId="2D3B23F0" w14:textId="77777777" w:rsidR="007476A0" w:rsidRPr="002F344B" w:rsidRDefault="003C4019" w:rsidP="002E3165">
      <w:pPr>
        <w:rPr>
          <w:sz w:val="22"/>
          <w:szCs w:val="22"/>
        </w:rPr>
      </w:pPr>
      <w:r w:rsidRPr="002F344B">
        <w:rPr>
          <w:sz w:val="22"/>
          <w:szCs w:val="22"/>
        </w:rPr>
        <w:t xml:space="preserve">Olanzapín je indikovaný na liečbu stredne </w:t>
      </w:r>
      <w:r w:rsidR="00BF1A33" w:rsidRPr="002F344B">
        <w:rPr>
          <w:sz w:val="22"/>
          <w:szCs w:val="22"/>
        </w:rPr>
        <w:t xml:space="preserve">ťažkej </w:t>
      </w:r>
      <w:r w:rsidRPr="002F344B">
        <w:rPr>
          <w:sz w:val="22"/>
          <w:szCs w:val="22"/>
        </w:rPr>
        <w:t xml:space="preserve">až </w:t>
      </w:r>
      <w:r w:rsidR="00BF1A33" w:rsidRPr="002F344B">
        <w:rPr>
          <w:sz w:val="22"/>
          <w:szCs w:val="22"/>
        </w:rPr>
        <w:t xml:space="preserve">ťažkej manickej </w:t>
      </w:r>
      <w:r w:rsidRPr="002F344B">
        <w:rPr>
          <w:sz w:val="22"/>
          <w:szCs w:val="22"/>
        </w:rPr>
        <w:t>epizód</w:t>
      </w:r>
      <w:r w:rsidR="00BF1A33" w:rsidRPr="002F344B">
        <w:rPr>
          <w:sz w:val="22"/>
          <w:szCs w:val="22"/>
        </w:rPr>
        <w:t>y</w:t>
      </w:r>
      <w:r w:rsidRPr="002F344B">
        <w:rPr>
          <w:sz w:val="22"/>
          <w:szCs w:val="22"/>
        </w:rPr>
        <w:t>.</w:t>
      </w:r>
    </w:p>
    <w:p w14:paraId="50DE77C4" w14:textId="77777777" w:rsidR="004946F8" w:rsidRPr="002F344B" w:rsidRDefault="004946F8" w:rsidP="002E3165">
      <w:pPr>
        <w:rPr>
          <w:sz w:val="22"/>
          <w:szCs w:val="22"/>
        </w:rPr>
      </w:pPr>
    </w:p>
    <w:p w14:paraId="01A58248" w14:textId="77777777" w:rsidR="007476A0" w:rsidRPr="002F344B" w:rsidRDefault="003C4019" w:rsidP="002E3165">
      <w:pPr>
        <w:rPr>
          <w:sz w:val="22"/>
          <w:szCs w:val="22"/>
        </w:rPr>
      </w:pPr>
      <w:r w:rsidRPr="002F344B">
        <w:rPr>
          <w:sz w:val="22"/>
          <w:szCs w:val="22"/>
        </w:rPr>
        <w:t xml:space="preserve">Olanzapín je indikovaný na prevenciu rekurencie u pacientov s bipolárnou poruchou, </w:t>
      </w:r>
      <w:r w:rsidR="00BF1A33" w:rsidRPr="002F344B">
        <w:rPr>
          <w:sz w:val="22"/>
          <w:szCs w:val="22"/>
        </w:rPr>
        <w:t xml:space="preserve">ktorí v manickej epizóde odpovedali na liečbu </w:t>
      </w:r>
      <w:r w:rsidRPr="002F344B">
        <w:rPr>
          <w:sz w:val="22"/>
          <w:szCs w:val="22"/>
        </w:rPr>
        <w:t>olanzapínom (pozri časť 5.1).</w:t>
      </w:r>
    </w:p>
    <w:p w14:paraId="4583C319" w14:textId="77777777" w:rsidR="00166CB5" w:rsidRPr="002F344B" w:rsidRDefault="00166CB5" w:rsidP="002E3165">
      <w:pPr>
        <w:rPr>
          <w:b/>
        </w:rPr>
      </w:pPr>
    </w:p>
    <w:p w14:paraId="6AE05FBC" w14:textId="77777777" w:rsidR="007476A0" w:rsidRPr="002F344B" w:rsidRDefault="00274C82" w:rsidP="002E3165">
      <w:pPr>
        <w:rPr>
          <w:b/>
        </w:rPr>
      </w:pPr>
      <w:r w:rsidRPr="002F344B">
        <w:rPr>
          <w:b/>
        </w:rPr>
        <w:t>4.2</w:t>
      </w:r>
      <w:r w:rsidRPr="002F344B">
        <w:rPr>
          <w:b/>
        </w:rPr>
        <w:tab/>
      </w:r>
      <w:r w:rsidR="003C4019" w:rsidRPr="002F344B">
        <w:rPr>
          <w:b/>
        </w:rPr>
        <w:t>Dávkovanie a spôsob podávania</w:t>
      </w:r>
    </w:p>
    <w:p w14:paraId="3CC5A9CE" w14:textId="77777777" w:rsidR="00E35EFF" w:rsidRPr="002E3165" w:rsidRDefault="00E35EFF" w:rsidP="002E3165"/>
    <w:p w14:paraId="06101D14" w14:textId="77777777" w:rsidR="00E82E20" w:rsidRPr="004E5A7C" w:rsidRDefault="00E82E20" w:rsidP="002E3165">
      <w:pPr>
        <w:rPr>
          <w:b/>
          <w:sz w:val="22"/>
          <w:szCs w:val="22"/>
        </w:rPr>
      </w:pPr>
      <w:r w:rsidRPr="004E5A7C">
        <w:rPr>
          <w:b/>
          <w:sz w:val="22"/>
          <w:szCs w:val="22"/>
        </w:rPr>
        <w:t>Dávkovanie</w:t>
      </w:r>
    </w:p>
    <w:p w14:paraId="3338488E" w14:textId="77777777" w:rsidR="00E35EFF" w:rsidRPr="002F344B" w:rsidRDefault="00E35EFF" w:rsidP="002E3165">
      <w:pPr>
        <w:rPr>
          <w:sz w:val="22"/>
          <w:szCs w:val="22"/>
        </w:rPr>
      </w:pPr>
    </w:p>
    <w:p w14:paraId="11444395" w14:textId="77777777" w:rsidR="007476A0" w:rsidRPr="004E5A7C" w:rsidRDefault="003C4019" w:rsidP="002E3165">
      <w:pPr>
        <w:rPr>
          <w:sz w:val="22"/>
          <w:szCs w:val="22"/>
          <w:u w:val="single"/>
        </w:rPr>
      </w:pPr>
      <w:r w:rsidRPr="004E5A7C">
        <w:rPr>
          <w:sz w:val="22"/>
          <w:szCs w:val="22"/>
          <w:u w:val="single"/>
        </w:rPr>
        <w:lastRenderedPageBreak/>
        <w:t>Dospelí</w:t>
      </w:r>
    </w:p>
    <w:p w14:paraId="02E1765C" w14:textId="77777777" w:rsidR="007476A0" w:rsidRPr="002F344B" w:rsidRDefault="003C4019" w:rsidP="002E3165">
      <w:pPr>
        <w:rPr>
          <w:sz w:val="22"/>
          <w:szCs w:val="22"/>
        </w:rPr>
      </w:pPr>
      <w:r w:rsidRPr="002F344B">
        <w:rPr>
          <w:i/>
          <w:sz w:val="22"/>
          <w:szCs w:val="22"/>
        </w:rPr>
        <w:t>Schizofrénia</w:t>
      </w:r>
      <w:r w:rsidRPr="002F344B">
        <w:rPr>
          <w:sz w:val="22"/>
          <w:szCs w:val="22"/>
        </w:rPr>
        <w:t>: Odporúčaná počiatočná dávka olanzapínu je 10 mg/deň.</w:t>
      </w:r>
    </w:p>
    <w:p w14:paraId="1E8668FD" w14:textId="77777777" w:rsidR="00CB342C" w:rsidRPr="002F344B" w:rsidRDefault="00CB342C" w:rsidP="002E3165">
      <w:pPr>
        <w:rPr>
          <w:sz w:val="22"/>
          <w:szCs w:val="22"/>
        </w:rPr>
      </w:pPr>
    </w:p>
    <w:p w14:paraId="257662EB" w14:textId="77777777" w:rsidR="007476A0" w:rsidRPr="002F344B" w:rsidRDefault="003C4019" w:rsidP="002E3165">
      <w:pPr>
        <w:rPr>
          <w:sz w:val="22"/>
          <w:szCs w:val="22"/>
        </w:rPr>
      </w:pPr>
      <w:r w:rsidRPr="002F344B">
        <w:rPr>
          <w:i/>
          <w:iCs/>
          <w:sz w:val="22"/>
          <w:szCs w:val="22"/>
        </w:rPr>
        <w:t>Manická epizóda</w:t>
      </w:r>
      <w:r w:rsidRPr="002F344B">
        <w:rPr>
          <w:sz w:val="22"/>
          <w:szCs w:val="22"/>
        </w:rPr>
        <w:t>: Počiatočná dávka je 15 mg v</w:t>
      </w:r>
      <w:r w:rsidR="008074DC" w:rsidRPr="002F344B">
        <w:rPr>
          <w:sz w:val="22"/>
          <w:szCs w:val="22"/>
        </w:rPr>
        <w:t> </w:t>
      </w:r>
      <w:r w:rsidRPr="002F344B">
        <w:rPr>
          <w:sz w:val="22"/>
          <w:szCs w:val="22"/>
        </w:rPr>
        <w:t>jednej dávke denne v monoterapii alebo 10 mg denne pri kombinovanej terapii (pozri časť 5.1).</w:t>
      </w:r>
    </w:p>
    <w:p w14:paraId="49BD93E8" w14:textId="77777777" w:rsidR="00CB342C" w:rsidRPr="002F344B" w:rsidRDefault="00CB342C" w:rsidP="002E3165">
      <w:pPr>
        <w:rPr>
          <w:sz w:val="22"/>
          <w:szCs w:val="22"/>
        </w:rPr>
      </w:pPr>
    </w:p>
    <w:p w14:paraId="08E01083" w14:textId="77777777" w:rsidR="007476A0" w:rsidRPr="002F344B" w:rsidRDefault="003C4019" w:rsidP="002E3165">
      <w:pPr>
        <w:rPr>
          <w:sz w:val="22"/>
          <w:szCs w:val="22"/>
        </w:rPr>
      </w:pPr>
      <w:r w:rsidRPr="002F344B">
        <w:rPr>
          <w:i/>
          <w:iCs/>
          <w:sz w:val="22"/>
          <w:szCs w:val="22"/>
        </w:rPr>
        <w:t>Prevencia rekurencie bipolárnej poruchy:</w:t>
      </w:r>
      <w:r w:rsidRPr="002F344B">
        <w:rPr>
          <w:sz w:val="22"/>
          <w:szCs w:val="22"/>
        </w:rPr>
        <w:t xml:space="preserve"> Odporúčaná počiatočná dávka je 10 mg/deň. U pacientov, ktorí boli v manickej epizóde liečení olanzapínom, pokračujte pre prevenciu rekurencie v terapii rovnakou dávkou. Pokiaľ sa objaví nová manická, zmiešaná alebo depresívna epizóda, liečba olanzapínom má pokračovať (s optimalizáciou dávky podľa potreby) s prídavnou terapiou príznakov poruchy nálady podľa klinickej indikácie.</w:t>
      </w:r>
    </w:p>
    <w:p w14:paraId="16E63447" w14:textId="77777777" w:rsidR="00CB342C" w:rsidRPr="002F344B" w:rsidRDefault="00CB342C" w:rsidP="002E3165">
      <w:pPr>
        <w:rPr>
          <w:sz w:val="22"/>
          <w:szCs w:val="22"/>
        </w:rPr>
      </w:pPr>
    </w:p>
    <w:p w14:paraId="18705499" w14:textId="77777777" w:rsidR="003C4019" w:rsidRPr="002F344B" w:rsidRDefault="003C4019" w:rsidP="002E3165">
      <w:pPr>
        <w:rPr>
          <w:sz w:val="22"/>
          <w:szCs w:val="22"/>
        </w:rPr>
      </w:pPr>
      <w:r w:rsidRPr="002F344B">
        <w:rPr>
          <w:sz w:val="22"/>
          <w:szCs w:val="22"/>
        </w:rPr>
        <w:t xml:space="preserve">V priebehu liečby schizofrénie, </w:t>
      </w:r>
      <w:r w:rsidR="00BF1A33" w:rsidRPr="002F344B">
        <w:rPr>
          <w:sz w:val="22"/>
          <w:szCs w:val="22"/>
        </w:rPr>
        <w:t xml:space="preserve">manickej </w:t>
      </w:r>
      <w:r w:rsidRPr="002F344B">
        <w:rPr>
          <w:sz w:val="22"/>
          <w:szCs w:val="22"/>
        </w:rPr>
        <w:t>epizód</w:t>
      </w:r>
      <w:r w:rsidR="00BF1A33" w:rsidRPr="002F344B">
        <w:rPr>
          <w:sz w:val="22"/>
          <w:szCs w:val="22"/>
        </w:rPr>
        <w:t>y</w:t>
      </w:r>
      <w:r w:rsidRPr="002F344B">
        <w:rPr>
          <w:sz w:val="22"/>
          <w:szCs w:val="22"/>
        </w:rPr>
        <w:t xml:space="preserve"> a prevencie rekurencie bipolárnej poruchy môže byť denné dávkovanie následne prispôsobované na základe individuálneho klinického stavu v rozmedzí 5</w:t>
      </w:r>
      <w:r w:rsidR="00440C90" w:rsidRPr="002F344B">
        <w:rPr>
          <w:sz w:val="22"/>
          <w:szCs w:val="22"/>
        </w:rPr>
        <w:t xml:space="preserve"> – </w:t>
      </w:r>
      <w:r w:rsidRPr="002F344B">
        <w:rPr>
          <w:sz w:val="22"/>
          <w:szCs w:val="22"/>
        </w:rPr>
        <w:t xml:space="preserve">20 mg/deň. Zvýšenie na vyššiu ako odporúčanú počiatočnú dávku sa odporúča len po patričnom opätovnom klinickom zhodnotení a </w:t>
      </w:r>
      <w:r w:rsidR="00BF1A33" w:rsidRPr="002F344B">
        <w:rPr>
          <w:sz w:val="22"/>
          <w:szCs w:val="22"/>
        </w:rPr>
        <w:t>nemá</w:t>
      </w:r>
      <w:r w:rsidRPr="002F344B">
        <w:rPr>
          <w:sz w:val="22"/>
          <w:szCs w:val="22"/>
        </w:rPr>
        <w:t xml:space="preserve"> sa spravidla objaviť v intervaloch kratších ako 24 hodín. Olanzapín sa môže podávať bez ohľadu na jedlo, pretože absorpcia nie je ovplyvňovaná potravou. Pri </w:t>
      </w:r>
      <w:r w:rsidR="004A5E76" w:rsidRPr="002F344B">
        <w:rPr>
          <w:sz w:val="22"/>
          <w:szCs w:val="22"/>
        </w:rPr>
        <w:t xml:space="preserve">ukončovaní liečby olanzapínom </w:t>
      </w:r>
      <w:r w:rsidRPr="002F344B">
        <w:rPr>
          <w:sz w:val="22"/>
          <w:szCs w:val="22"/>
        </w:rPr>
        <w:t>sa má zvážiť postupné znižovanie dávky.</w:t>
      </w:r>
    </w:p>
    <w:p w14:paraId="286A2C07" w14:textId="77777777" w:rsidR="00CB342C" w:rsidRPr="002F344B" w:rsidRDefault="00CB342C" w:rsidP="002E3165">
      <w:pPr>
        <w:rPr>
          <w:sz w:val="22"/>
          <w:szCs w:val="22"/>
        </w:rPr>
      </w:pPr>
    </w:p>
    <w:p w14:paraId="0C27D619" w14:textId="77777777" w:rsidR="00FD0AEA" w:rsidRPr="004E5A7C" w:rsidRDefault="00FD0AEA" w:rsidP="002E3165">
      <w:pPr>
        <w:rPr>
          <w:b/>
          <w:i/>
          <w:iCs/>
          <w:sz w:val="22"/>
          <w:szCs w:val="22"/>
        </w:rPr>
      </w:pPr>
      <w:r w:rsidRPr="004E5A7C">
        <w:rPr>
          <w:b/>
          <w:i/>
          <w:iCs/>
          <w:sz w:val="22"/>
          <w:szCs w:val="22"/>
        </w:rPr>
        <w:t>Osobitné skupiny</w:t>
      </w:r>
      <w:r w:rsidR="00CB342C" w:rsidRPr="004E5A7C">
        <w:rPr>
          <w:b/>
          <w:i/>
          <w:iCs/>
          <w:sz w:val="22"/>
          <w:szCs w:val="22"/>
        </w:rPr>
        <w:t xml:space="preserve"> pacientov</w:t>
      </w:r>
    </w:p>
    <w:p w14:paraId="6F4D307B" w14:textId="77777777" w:rsidR="00600A40" w:rsidRPr="002F344B" w:rsidRDefault="00600A40" w:rsidP="002E3165">
      <w:pPr>
        <w:rPr>
          <w:i/>
          <w:iCs/>
          <w:sz w:val="22"/>
          <w:szCs w:val="22"/>
        </w:rPr>
      </w:pPr>
    </w:p>
    <w:p w14:paraId="7F49CFBF" w14:textId="77777777" w:rsidR="00FD0AEA" w:rsidRPr="004E5A7C" w:rsidRDefault="00FD0AEA" w:rsidP="002E3165">
      <w:pPr>
        <w:rPr>
          <w:i/>
          <w:iCs/>
          <w:sz w:val="22"/>
          <w:szCs w:val="22"/>
        </w:rPr>
      </w:pPr>
      <w:r w:rsidRPr="004E5A7C">
        <w:rPr>
          <w:i/>
          <w:iCs/>
          <w:sz w:val="22"/>
          <w:szCs w:val="22"/>
        </w:rPr>
        <w:t>Starší pacienti</w:t>
      </w:r>
    </w:p>
    <w:p w14:paraId="4DB3D656" w14:textId="77777777" w:rsidR="00FD0AEA" w:rsidRPr="002F344B" w:rsidRDefault="00FD0AEA" w:rsidP="002E3165">
      <w:pPr>
        <w:rPr>
          <w:sz w:val="22"/>
          <w:szCs w:val="22"/>
        </w:rPr>
      </w:pPr>
      <w:r w:rsidRPr="002F344B">
        <w:rPr>
          <w:sz w:val="22"/>
          <w:szCs w:val="22"/>
        </w:rPr>
        <w:t>Podanie nižšej počiatočnej dávky (5 mg/deň) nie je zvyčajne indikované, avšak má sa zvážiť</w:t>
      </w:r>
    </w:p>
    <w:p w14:paraId="07327624" w14:textId="77777777" w:rsidR="00FD0AEA" w:rsidRPr="002F344B" w:rsidRDefault="00FD0AEA" w:rsidP="002E3165">
      <w:pPr>
        <w:rPr>
          <w:sz w:val="22"/>
          <w:szCs w:val="22"/>
        </w:rPr>
      </w:pPr>
      <w:r w:rsidRPr="002F344B">
        <w:rPr>
          <w:sz w:val="22"/>
          <w:szCs w:val="22"/>
        </w:rPr>
        <w:t>u pacientov vo veku 65 rokov a viac, ak to ich klinický stav vyžaduje (pozri časť 4.4).</w:t>
      </w:r>
    </w:p>
    <w:p w14:paraId="35EAEED6" w14:textId="77777777" w:rsidR="00FD0AEA" w:rsidRPr="002F344B" w:rsidRDefault="00FD0AEA" w:rsidP="002E3165">
      <w:pPr>
        <w:rPr>
          <w:i/>
          <w:iCs/>
          <w:sz w:val="22"/>
          <w:szCs w:val="22"/>
        </w:rPr>
      </w:pPr>
    </w:p>
    <w:p w14:paraId="10D96495" w14:textId="77777777" w:rsidR="00FD0AEA" w:rsidRPr="002F344B" w:rsidRDefault="00FD0AEA" w:rsidP="002E3165">
      <w:pPr>
        <w:rPr>
          <w:i/>
          <w:iCs/>
          <w:sz w:val="22"/>
          <w:szCs w:val="22"/>
        </w:rPr>
      </w:pPr>
      <w:r w:rsidRPr="002F344B">
        <w:rPr>
          <w:i/>
          <w:iCs/>
          <w:sz w:val="22"/>
          <w:szCs w:val="22"/>
        </w:rPr>
        <w:t xml:space="preserve">Pacienti s </w:t>
      </w:r>
      <w:r w:rsidR="00600A40" w:rsidRPr="002F344B">
        <w:rPr>
          <w:i/>
          <w:iCs/>
          <w:sz w:val="22"/>
          <w:szCs w:val="22"/>
        </w:rPr>
        <w:t>poruchou</w:t>
      </w:r>
      <w:r w:rsidRPr="002F344B">
        <w:rPr>
          <w:i/>
          <w:iCs/>
          <w:sz w:val="22"/>
          <w:szCs w:val="22"/>
        </w:rPr>
        <w:t xml:space="preserve"> funkcie obličiek a/alebo pečene</w:t>
      </w:r>
    </w:p>
    <w:p w14:paraId="7EF45DA0" w14:textId="77777777" w:rsidR="00FD0AEA" w:rsidRPr="002F344B" w:rsidRDefault="00FD0AEA" w:rsidP="002E3165">
      <w:pPr>
        <w:rPr>
          <w:sz w:val="22"/>
          <w:szCs w:val="22"/>
        </w:rPr>
      </w:pPr>
      <w:r w:rsidRPr="002F344B">
        <w:rPr>
          <w:sz w:val="22"/>
          <w:szCs w:val="22"/>
        </w:rPr>
        <w:t>U týchto pacientov je vhodné zvážiť nižšiu počiatočnú dávku (5 mg). V prípade mierneho poškodenia</w:t>
      </w:r>
    </w:p>
    <w:p w14:paraId="7FB8B77C" w14:textId="77777777" w:rsidR="00FD0AEA" w:rsidRPr="002F344B" w:rsidRDefault="00FD0AEA" w:rsidP="002E3165">
      <w:pPr>
        <w:rPr>
          <w:sz w:val="22"/>
          <w:szCs w:val="22"/>
        </w:rPr>
      </w:pPr>
      <w:r w:rsidRPr="002F344B">
        <w:rPr>
          <w:sz w:val="22"/>
          <w:szCs w:val="22"/>
        </w:rPr>
        <w:t xml:space="preserve">pečene (cirhóza, </w:t>
      </w:r>
      <w:r w:rsidR="008E08D6" w:rsidRPr="002F344B">
        <w:rPr>
          <w:sz w:val="22"/>
          <w:szCs w:val="22"/>
        </w:rPr>
        <w:t>Childovo-Pughovo skóre</w:t>
      </w:r>
      <w:r w:rsidR="00076133" w:rsidRPr="002F344B">
        <w:rPr>
          <w:sz w:val="22"/>
          <w:szCs w:val="22"/>
        </w:rPr>
        <w:t>:</w:t>
      </w:r>
      <w:r w:rsidR="008E08D6" w:rsidRPr="002F344B">
        <w:rPr>
          <w:sz w:val="22"/>
          <w:szCs w:val="22"/>
        </w:rPr>
        <w:t xml:space="preserve"> trieda A alebo B)</w:t>
      </w:r>
      <w:r w:rsidRPr="002F344B">
        <w:rPr>
          <w:sz w:val="22"/>
          <w:szCs w:val="22"/>
        </w:rPr>
        <w:t xml:space="preserve"> má byť počiatočná dávka 5 mg a zvyšovať sa má</w:t>
      </w:r>
      <w:r w:rsidR="004D7D61" w:rsidRPr="002F344B">
        <w:rPr>
          <w:sz w:val="22"/>
          <w:szCs w:val="22"/>
        </w:rPr>
        <w:t xml:space="preserve"> </w:t>
      </w:r>
      <w:r w:rsidRPr="002F344B">
        <w:rPr>
          <w:sz w:val="22"/>
          <w:szCs w:val="22"/>
        </w:rPr>
        <w:t>len s opatrnosťou.</w:t>
      </w:r>
    </w:p>
    <w:p w14:paraId="6C6413B2" w14:textId="77777777" w:rsidR="00FD0AEA" w:rsidRPr="002F344B" w:rsidRDefault="00FD0AEA" w:rsidP="002E3165">
      <w:pPr>
        <w:rPr>
          <w:i/>
          <w:iCs/>
          <w:sz w:val="22"/>
          <w:szCs w:val="22"/>
        </w:rPr>
      </w:pPr>
    </w:p>
    <w:p w14:paraId="5654730C" w14:textId="77777777" w:rsidR="00FD0AEA" w:rsidRPr="002F344B" w:rsidRDefault="00FD0AEA" w:rsidP="002E3165">
      <w:pPr>
        <w:rPr>
          <w:i/>
          <w:iCs/>
          <w:sz w:val="22"/>
          <w:szCs w:val="22"/>
        </w:rPr>
      </w:pPr>
      <w:r w:rsidRPr="002F344B">
        <w:rPr>
          <w:i/>
          <w:iCs/>
          <w:sz w:val="22"/>
          <w:szCs w:val="22"/>
        </w:rPr>
        <w:t>Fajčiari</w:t>
      </w:r>
    </w:p>
    <w:p w14:paraId="00CE760B" w14:textId="77777777" w:rsidR="00FD0AEA" w:rsidRPr="002F344B" w:rsidRDefault="00FD0AEA" w:rsidP="002E3165">
      <w:pPr>
        <w:rPr>
          <w:sz w:val="22"/>
          <w:szCs w:val="22"/>
        </w:rPr>
      </w:pPr>
      <w:r w:rsidRPr="002F344B">
        <w:rPr>
          <w:sz w:val="22"/>
          <w:szCs w:val="22"/>
        </w:rPr>
        <w:t>Nefajčiarom, v porovnaní s fajčiarmi, nie je zvyčajne potrebné upravovať počiatočnú dávku</w:t>
      </w:r>
    </w:p>
    <w:p w14:paraId="0B933FF1" w14:textId="77777777" w:rsidR="00FD0AEA" w:rsidRPr="002F344B" w:rsidRDefault="00FD0AEA" w:rsidP="002E3165">
      <w:pPr>
        <w:rPr>
          <w:sz w:val="22"/>
          <w:szCs w:val="22"/>
        </w:rPr>
      </w:pPr>
      <w:r w:rsidRPr="002F344B">
        <w:rPr>
          <w:sz w:val="22"/>
          <w:szCs w:val="22"/>
        </w:rPr>
        <w:t>a dávkovacie rozpätie. Metabolizmus olanzapínu sa môže fajčením indukovať. Odporúča sa ho</w:t>
      </w:r>
    </w:p>
    <w:p w14:paraId="2B08C005" w14:textId="77777777" w:rsidR="00FD0AEA" w:rsidRPr="002F344B" w:rsidRDefault="00FD0AEA" w:rsidP="002E3165">
      <w:pPr>
        <w:rPr>
          <w:sz w:val="22"/>
          <w:szCs w:val="22"/>
        </w:rPr>
      </w:pPr>
      <w:r w:rsidRPr="002F344B">
        <w:rPr>
          <w:sz w:val="22"/>
          <w:szCs w:val="22"/>
        </w:rPr>
        <w:t>klinicky sledovať a ak je to potrebné, zvážiť zvýšenie dávky olanzapínu</w:t>
      </w:r>
      <w:r w:rsidR="007F16F9" w:rsidRPr="002F344B">
        <w:rPr>
          <w:sz w:val="22"/>
          <w:szCs w:val="22"/>
        </w:rPr>
        <w:t xml:space="preserve"> </w:t>
      </w:r>
      <w:r w:rsidRPr="002F344B">
        <w:rPr>
          <w:sz w:val="22"/>
          <w:szCs w:val="22"/>
        </w:rPr>
        <w:t>(pozri časť 4.5)</w:t>
      </w:r>
      <w:r w:rsidR="007F16F9" w:rsidRPr="002F344B">
        <w:rPr>
          <w:sz w:val="22"/>
          <w:szCs w:val="22"/>
        </w:rPr>
        <w:t>.</w:t>
      </w:r>
    </w:p>
    <w:p w14:paraId="09BB3907" w14:textId="77777777" w:rsidR="00FD0AEA" w:rsidRPr="002F344B" w:rsidRDefault="00FD0AEA" w:rsidP="002E3165">
      <w:pPr>
        <w:rPr>
          <w:sz w:val="22"/>
          <w:szCs w:val="22"/>
        </w:rPr>
      </w:pPr>
    </w:p>
    <w:p w14:paraId="6E877C06" w14:textId="77777777" w:rsidR="00FD0AEA" w:rsidRPr="002F344B" w:rsidRDefault="00FD0AEA" w:rsidP="002E3165">
      <w:pPr>
        <w:rPr>
          <w:sz w:val="22"/>
          <w:szCs w:val="22"/>
        </w:rPr>
      </w:pPr>
      <w:r w:rsidRPr="002F344B">
        <w:rPr>
          <w:sz w:val="22"/>
          <w:szCs w:val="22"/>
        </w:rPr>
        <w:t>Pri prítomnosti viac ako jedného faktora, ktorý môže spomaľovať metabolizmus (ženské pohlavie,</w:t>
      </w:r>
    </w:p>
    <w:p w14:paraId="5EADD665" w14:textId="77777777" w:rsidR="00FD0AEA" w:rsidRPr="002F344B" w:rsidRDefault="00FD0AEA" w:rsidP="002E3165">
      <w:pPr>
        <w:rPr>
          <w:sz w:val="22"/>
          <w:szCs w:val="22"/>
        </w:rPr>
      </w:pPr>
      <w:r w:rsidRPr="002F344B">
        <w:rPr>
          <w:sz w:val="22"/>
          <w:szCs w:val="22"/>
        </w:rPr>
        <w:t>vyšší vek, nefajčenie) sa má zvážiť zníženie počiatočnej dávky. Zvyšovanie dávky u týchto osôb, ak je</w:t>
      </w:r>
    </w:p>
    <w:p w14:paraId="4E06CB9D" w14:textId="77777777" w:rsidR="00FD0AEA" w:rsidRPr="002F344B" w:rsidRDefault="00FD0AEA" w:rsidP="002E3165">
      <w:pPr>
        <w:rPr>
          <w:sz w:val="22"/>
          <w:szCs w:val="22"/>
        </w:rPr>
      </w:pPr>
      <w:r w:rsidRPr="002F344B">
        <w:rPr>
          <w:sz w:val="22"/>
          <w:szCs w:val="22"/>
        </w:rPr>
        <w:t>indikované, musí byť opatrné.</w:t>
      </w:r>
    </w:p>
    <w:p w14:paraId="75BE2797" w14:textId="77777777" w:rsidR="00FD0AEA" w:rsidRPr="002F344B" w:rsidRDefault="00FD0AEA" w:rsidP="002E3165">
      <w:pPr>
        <w:rPr>
          <w:sz w:val="22"/>
          <w:szCs w:val="22"/>
        </w:rPr>
      </w:pPr>
      <w:r w:rsidRPr="002F344B">
        <w:rPr>
          <w:sz w:val="22"/>
          <w:szCs w:val="22"/>
        </w:rPr>
        <w:t xml:space="preserve">(Pozri časti </w:t>
      </w:r>
      <w:smartTag w:uri="urn:schemas-microsoft-com:office:smarttags" w:element="metricconverter">
        <w:smartTagPr>
          <w:attr w:name="ProductID" w:val="4.5 a"/>
        </w:smartTagPr>
        <w:r w:rsidRPr="002F344B">
          <w:rPr>
            <w:sz w:val="22"/>
            <w:szCs w:val="22"/>
          </w:rPr>
          <w:t>4.5 a</w:t>
        </w:r>
      </w:smartTag>
      <w:r w:rsidRPr="002F344B">
        <w:rPr>
          <w:sz w:val="22"/>
          <w:szCs w:val="22"/>
        </w:rPr>
        <w:t xml:space="preserve"> 5.2)</w:t>
      </w:r>
    </w:p>
    <w:p w14:paraId="1B01B8BB" w14:textId="77777777" w:rsidR="00FD0AEA" w:rsidRPr="002F344B" w:rsidRDefault="00FD0AEA" w:rsidP="002E3165">
      <w:pPr>
        <w:rPr>
          <w:i/>
          <w:iCs/>
          <w:sz w:val="22"/>
          <w:szCs w:val="22"/>
        </w:rPr>
      </w:pPr>
    </w:p>
    <w:p w14:paraId="2C188E90" w14:textId="77777777" w:rsidR="00FD0AEA" w:rsidRPr="002F344B" w:rsidRDefault="00FD0AEA" w:rsidP="002E3165">
      <w:pPr>
        <w:rPr>
          <w:i/>
          <w:iCs/>
          <w:sz w:val="22"/>
          <w:szCs w:val="22"/>
        </w:rPr>
      </w:pPr>
      <w:r w:rsidRPr="002F344B">
        <w:rPr>
          <w:i/>
          <w:iCs/>
          <w:sz w:val="22"/>
          <w:szCs w:val="22"/>
        </w:rPr>
        <w:t>Pediatrická populácia</w:t>
      </w:r>
    </w:p>
    <w:p w14:paraId="4521FFBB" w14:textId="77777777" w:rsidR="00FD0AEA" w:rsidRPr="002F344B" w:rsidRDefault="00FD0AEA" w:rsidP="002E3165">
      <w:pPr>
        <w:rPr>
          <w:sz w:val="22"/>
          <w:szCs w:val="22"/>
        </w:rPr>
      </w:pPr>
      <w:r w:rsidRPr="002F344B">
        <w:rPr>
          <w:sz w:val="22"/>
          <w:szCs w:val="22"/>
        </w:rPr>
        <w:t>Olanzapín sa neodporúča používať u detí a dospievajúcich vo veku do 18 rokov kvôli nedostatočným</w:t>
      </w:r>
    </w:p>
    <w:p w14:paraId="445C8578" w14:textId="77777777" w:rsidR="00FD0AEA" w:rsidRPr="002F344B" w:rsidRDefault="00FD0AEA" w:rsidP="002E3165">
      <w:pPr>
        <w:rPr>
          <w:sz w:val="22"/>
          <w:szCs w:val="22"/>
        </w:rPr>
      </w:pPr>
      <w:r w:rsidRPr="002F344B">
        <w:rPr>
          <w:sz w:val="22"/>
          <w:szCs w:val="22"/>
        </w:rPr>
        <w:t>údajom o bezpečnosti a účinnosti. Vyšší stupeň prírastku hmotnosti, zmien lipidov a prolaktínu boli</w:t>
      </w:r>
    </w:p>
    <w:p w14:paraId="2C7932F3" w14:textId="77777777" w:rsidR="00FD0AEA" w:rsidRPr="002F344B" w:rsidRDefault="00FD0AEA" w:rsidP="002E3165">
      <w:pPr>
        <w:rPr>
          <w:sz w:val="22"/>
          <w:szCs w:val="22"/>
        </w:rPr>
      </w:pPr>
      <w:r w:rsidRPr="002F344B">
        <w:rPr>
          <w:sz w:val="22"/>
          <w:szCs w:val="22"/>
        </w:rPr>
        <w:t>hlásené v krátkodobých štúdiách u dospievajúcich pacientov v porovnaní so štúdiami s dospelými</w:t>
      </w:r>
    </w:p>
    <w:p w14:paraId="40A44C66" w14:textId="77777777" w:rsidR="00FD0AEA" w:rsidRPr="002F344B" w:rsidRDefault="00FD0AEA" w:rsidP="002E3165">
      <w:pPr>
        <w:rPr>
          <w:sz w:val="22"/>
          <w:szCs w:val="22"/>
        </w:rPr>
      </w:pPr>
      <w:r w:rsidRPr="002F344B">
        <w:rPr>
          <w:sz w:val="22"/>
          <w:szCs w:val="22"/>
        </w:rPr>
        <w:t xml:space="preserve">pacientmi (pozri časti 4.4, 4.8, </w:t>
      </w:r>
      <w:smartTag w:uri="urn:schemas-microsoft-com:office:smarttags" w:element="metricconverter">
        <w:smartTagPr>
          <w:attr w:name="ProductID" w:val="5.1 a"/>
        </w:smartTagPr>
        <w:r w:rsidRPr="002F344B">
          <w:rPr>
            <w:sz w:val="22"/>
            <w:szCs w:val="22"/>
          </w:rPr>
          <w:t>5.1 a</w:t>
        </w:r>
      </w:smartTag>
      <w:r w:rsidRPr="002F344B">
        <w:rPr>
          <w:sz w:val="22"/>
          <w:szCs w:val="22"/>
        </w:rPr>
        <w:t xml:space="preserve"> 5.2).</w:t>
      </w:r>
    </w:p>
    <w:p w14:paraId="7A13C0C4" w14:textId="77777777" w:rsidR="00FD0AEA" w:rsidRPr="002F344B" w:rsidRDefault="00FD0AEA" w:rsidP="002E3165">
      <w:pPr>
        <w:rPr>
          <w:sz w:val="22"/>
          <w:szCs w:val="22"/>
        </w:rPr>
      </w:pPr>
    </w:p>
    <w:p w14:paraId="62D705A1" w14:textId="77777777" w:rsidR="00166CB5" w:rsidRPr="002F344B" w:rsidRDefault="00FD0AEA" w:rsidP="002E3165">
      <w:pPr>
        <w:rPr>
          <w:sz w:val="22"/>
          <w:szCs w:val="22"/>
          <w:u w:val="single"/>
        </w:rPr>
      </w:pPr>
      <w:r w:rsidRPr="002F344B">
        <w:rPr>
          <w:sz w:val="22"/>
          <w:szCs w:val="22"/>
          <w:u w:val="single"/>
        </w:rPr>
        <w:t>Spôsob podávania</w:t>
      </w:r>
    </w:p>
    <w:p w14:paraId="6DFFD703" w14:textId="77777777" w:rsidR="009C44E5" w:rsidRPr="002F344B" w:rsidRDefault="009C44E5" w:rsidP="002E3165">
      <w:pPr>
        <w:rPr>
          <w:sz w:val="22"/>
          <w:szCs w:val="22"/>
          <w:u w:val="single"/>
        </w:rPr>
      </w:pPr>
    </w:p>
    <w:p w14:paraId="0AE89304" w14:textId="77777777" w:rsidR="00FD0AEA" w:rsidRPr="002F344B" w:rsidRDefault="00FD0AEA" w:rsidP="002E3165">
      <w:pPr>
        <w:rPr>
          <w:sz w:val="22"/>
          <w:szCs w:val="22"/>
        </w:rPr>
      </w:pPr>
      <w:r w:rsidRPr="002F344B">
        <w:rPr>
          <w:sz w:val="22"/>
          <w:szCs w:val="22"/>
        </w:rPr>
        <w:t>Olanzapín sa môže užívať nezávisle od jedla</w:t>
      </w:r>
      <w:r w:rsidR="00966D27" w:rsidRPr="002F344B">
        <w:rPr>
          <w:sz w:val="22"/>
          <w:szCs w:val="22"/>
        </w:rPr>
        <w:t>,</w:t>
      </w:r>
      <w:r w:rsidRPr="002F344B">
        <w:rPr>
          <w:sz w:val="22"/>
          <w:szCs w:val="22"/>
        </w:rPr>
        <w:t xml:space="preserve"> pretože jedlo nemá vply</w:t>
      </w:r>
      <w:r w:rsidR="001C3D04">
        <w:rPr>
          <w:sz w:val="22"/>
          <w:szCs w:val="22"/>
        </w:rPr>
        <w:t>v</w:t>
      </w:r>
      <w:r w:rsidRPr="002F344B">
        <w:rPr>
          <w:sz w:val="22"/>
          <w:szCs w:val="22"/>
        </w:rPr>
        <w:t xml:space="preserve"> na jeho absorpciu. Pacienti majú prehltnúť celé tablety a zapiť vodou.</w:t>
      </w:r>
    </w:p>
    <w:p w14:paraId="175CBCEC" w14:textId="77777777" w:rsidR="00FD0AEA" w:rsidRPr="002E3165" w:rsidRDefault="00FD0AEA" w:rsidP="002E3165"/>
    <w:p w14:paraId="5BC8739D" w14:textId="77777777" w:rsidR="007476A0" w:rsidRPr="002F344B" w:rsidRDefault="00274C82" w:rsidP="002E3165">
      <w:pPr>
        <w:rPr>
          <w:b/>
        </w:rPr>
      </w:pPr>
      <w:r w:rsidRPr="002F344B">
        <w:rPr>
          <w:b/>
        </w:rPr>
        <w:lastRenderedPageBreak/>
        <w:t>4.3</w:t>
      </w:r>
      <w:r w:rsidRPr="002F344B">
        <w:rPr>
          <w:b/>
        </w:rPr>
        <w:tab/>
      </w:r>
      <w:r w:rsidR="003C4019" w:rsidRPr="002F344B">
        <w:rPr>
          <w:b/>
        </w:rPr>
        <w:t>Kontraindikácie</w:t>
      </w:r>
    </w:p>
    <w:p w14:paraId="34082B9F" w14:textId="77777777" w:rsidR="006066B4" w:rsidRPr="002E3165" w:rsidRDefault="006066B4" w:rsidP="002E3165"/>
    <w:p w14:paraId="387E4795" w14:textId="77777777" w:rsidR="00FD0AEA" w:rsidRPr="002F344B" w:rsidRDefault="003C4019" w:rsidP="002E3165">
      <w:pPr>
        <w:rPr>
          <w:sz w:val="22"/>
          <w:szCs w:val="22"/>
        </w:rPr>
      </w:pPr>
      <w:r w:rsidRPr="002F344B">
        <w:rPr>
          <w:sz w:val="22"/>
          <w:szCs w:val="22"/>
        </w:rPr>
        <w:t>Precitlivenosť na liečivo</w:t>
      </w:r>
      <w:r w:rsidR="00FD0AEA" w:rsidRPr="002F344B">
        <w:rPr>
          <w:sz w:val="22"/>
          <w:szCs w:val="22"/>
        </w:rPr>
        <w:t>,</w:t>
      </w:r>
      <w:r w:rsidR="00AA25AD" w:rsidRPr="002F344B">
        <w:rPr>
          <w:sz w:val="22"/>
          <w:szCs w:val="22"/>
        </w:rPr>
        <w:t xml:space="preserve"> </w:t>
      </w:r>
      <w:r w:rsidR="00FD0AEA" w:rsidRPr="002F344B">
        <w:rPr>
          <w:sz w:val="22"/>
          <w:szCs w:val="22"/>
        </w:rPr>
        <w:t>sóju</w:t>
      </w:r>
      <w:r w:rsidR="00115225">
        <w:rPr>
          <w:sz w:val="22"/>
          <w:szCs w:val="22"/>
        </w:rPr>
        <w:t>, arašidy</w:t>
      </w:r>
      <w:r w:rsidRPr="002F344B">
        <w:rPr>
          <w:sz w:val="22"/>
          <w:szCs w:val="22"/>
        </w:rPr>
        <w:t xml:space="preserve"> alebo na ktorúkoľvek z pomocných látok</w:t>
      </w:r>
      <w:r w:rsidR="00FD0AEA" w:rsidRPr="002F344B">
        <w:rPr>
          <w:sz w:val="22"/>
          <w:szCs w:val="22"/>
        </w:rPr>
        <w:t xml:space="preserve"> uvedených v časti 6.1.</w:t>
      </w:r>
    </w:p>
    <w:p w14:paraId="5F8CEA48" w14:textId="77777777" w:rsidR="00166CB5" w:rsidRPr="002F344B" w:rsidRDefault="003C4019" w:rsidP="002E3165">
      <w:pPr>
        <w:rPr>
          <w:sz w:val="22"/>
          <w:szCs w:val="22"/>
        </w:rPr>
      </w:pPr>
      <w:r w:rsidRPr="002F344B">
        <w:rPr>
          <w:sz w:val="22"/>
          <w:szCs w:val="22"/>
        </w:rPr>
        <w:t>Pacienti so známym rizikom glaukómu s</w:t>
      </w:r>
      <w:r w:rsidR="00BA738B" w:rsidRPr="002F344B">
        <w:rPr>
          <w:sz w:val="22"/>
          <w:szCs w:val="22"/>
        </w:rPr>
        <w:t xml:space="preserve"> úzkym </w:t>
      </w:r>
      <w:r w:rsidR="00297DD9" w:rsidRPr="002F344B">
        <w:rPr>
          <w:sz w:val="22"/>
          <w:szCs w:val="22"/>
        </w:rPr>
        <w:t>uhlom.</w:t>
      </w:r>
    </w:p>
    <w:p w14:paraId="3C04AD1D" w14:textId="77777777" w:rsidR="002F344B" w:rsidRPr="002F344B" w:rsidRDefault="002F344B" w:rsidP="002E3165">
      <w:pPr>
        <w:rPr>
          <w:b/>
          <w:sz w:val="22"/>
          <w:szCs w:val="22"/>
        </w:rPr>
      </w:pPr>
    </w:p>
    <w:p w14:paraId="1A720D06" w14:textId="77777777" w:rsidR="007476A0" w:rsidRPr="002F344B" w:rsidRDefault="00274C82" w:rsidP="002E3165">
      <w:pPr>
        <w:rPr>
          <w:b/>
        </w:rPr>
      </w:pPr>
      <w:r w:rsidRPr="002F344B">
        <w:rPr>
          <w:b/>
        </w:rPr>
        <w:t>4.4</w:t>
      </w:r>
      <w:r w:rsidRPr="002F344B">
        <w:rPr>
          <w:b/>
        </w:rPr>
        <w:tab/>
      </w:r>
      <w:r w:rsidR="003C4019" w:rsidRPr="002F344B">
        <w:rPr>
          <w:b/>
        </w:rPr>
        <w:t>Osobitné upozornenia a opatrenia pri používaní</w:t>
      </w:r>
    </w:p>
    <w:p w14:paraId="246A70B4" w14:textId="77777777" w:rsidR="00DE1BEC" w:rsidRPr="002E3165" w:rsidRDefault="00DE1BEC" w:rsidP="002E3165"/>
    <w:p w14:paraId="227274D8" w14:textId="77777777" w:rsidR="007476A0" w:rsidRPr="002F344B" w:rsidRDefault="003C4019" w:rsidP="002E3165">
      <w:pPr>
        <w:rPr>
          <w:sz w:val="22"/>
          <w:szCs w:val="22"/>
        </w:rPr>
      </w:pPr>
      <w:r w:rsidRPr="002F344B">
        <w:rPr>
          <w:sz w:val="22"/>
          <w:szCs w:val="22"/>
        </w:rPr>
        <w:t>Počas antipsychotickej liečby môže trvať niekoľko dní až týždňov, kým dôjde k zlepšeniu klinického stavu pacienta. V tomto období musia byť pacienti podrobení starostlivej kontrole.</w:t>
      </w:r>
    </w:p>
    <w:p w14:paraId="1BF958F0" w14:textId="77777777" w:rsidR="00166CB5" w:rsidRPr="002F344B" w:rsidRDefault="00166CB5" w:rsidP="002E3165">
      <w:pPr>
        <w:rPr>
          <w:sz w:val="22"/>
          <w:szCs w:val="22"/>
        </w:rPr>
      </w:pPr>
    </w:p>
    <w:p w14:paraId="47D5BA31" w14:textId="77777777" w:rsidR="007476A0" w:rsidRPr="004E5A7C" w:rsidRDefault="003C4019" w:rsidP="002E3165">
      <w:pPr>
        <w:rPr>
          <w:b/>
          <w:sz w:val="22"/>
          <w:szCs w:val="22"/>
        </w:rPr>
      </w:pPr>
      <w:r w:rsidRPr="004E5A7C">
        <w:rPr>
          <w:b/>
          <w:sz w:val="22"/>
          <w:szCs w:val="22"/>
        </w:rPr>
        <w:t>Psychóza súvisiaca s demenciou a/alebo poruchy správania</w:t>
      </w:r>
    </w:p>
    <w:p w14:paraId="6D54BCD2" w14:textId="77777777" w:rsidR="00237448" w:rsidRPr="002F344B" w:rsidRDefault="00237448" w:rsidP="002E3165">
      <w:pPr>
        <w:rPr>
          <w:sz w:val="22"/>
          <w:szCs w:val="22"/>
        </w:rPr>
      </w:pPr>
      <w:r w:rsidRPr="002F344B">
        <w:rPr>
          <w:sz w:val="22"/>
          <w:szCs w:val="22"/>
        </w:rPr>
        <w:t>Olanzapín sa neodporúča používať u pacientov s psychózou a/alebo s poruchami správania súvisiacimi s demenciou z dôvodu zvýšenej mortality a rizika cerebrovaskulárnych príhod.</w:t>
      </w:r>
    </w:p>
    <w:p w14:paraId="66DCA804" w14:textId="77777777" w:rsidR="007476A0" w:rsidRDefault="003C4019" w:rsidP="002E3165">
      <w:pPr>
        <w:rPr>
          <w:sz w:val="22"/>
          <w:szCs w:val="22"/>
        </w:rPr>
      </w:pPr>
      <w:r w:rsidRPr="002F344B">
        <w:rPr>
          <w:sz w:val="22"/>
          <w:szCs w:val="22"/>
        </w:rPr>
        <w:t>V placebom kontrolovaných klinických štúdiách (trvanie 6</w:t>
      </w:r>
      <w:r w:rsidR="00306AE8" w:rsidRPr="002F344B">
        <w:rPr>
          <w:sz w:val="22"/>
          <w:szCs w:val="22"/>
        </w:rPr>
        <w:t xml:space="preserve"> – </w:t>
      </w:r>
      <w:r w:rsidRPr="002F344B">
        <w:rPr>
          <w:sz w:val="22"/>
          <w:szCs w:val="22"/>
        </w:rPr>
        <w:t xml:space="preserve">12 týždňov) u starších pacientov (priemerný vek 78 rokov) s psychózou súvisiacou s demenciou a/alebo poruchami správania bola u pacientov liečených olanzapínom 2-násobná incidencia úmrtia v porovnaní s </w:t>
      </w:r>
      <w:r w:rsidR="002850D7" w:rsidRPr="002F344B">
        <w:rPr>
          <w:sz w:val="22"/>
          <w:szCs w:val="22"/>
        </w:rPr>
        <w:t>pacientmi</w:t>
      </w:r>
      <w:r w:rsidRPr="002F344B">
        <w:rPr>
          <w:sz w:val="22"/>
          <w:szCs w:val="22"/>
        </w:rPr>
        <w:t xml:space="preserve"> užívajúcimi placebo (3,5</w:t>
      </w:r>
      <w:r w:rsidR="00901023" w:rsidRPr="002F344B">
        <w:rPr>
          <w:sz w:val="22"/>
          <w:szCs w:val="22"/>
        </w:rPr>
        <w:t xml:space="preserve"> </w:t>
      </w:r>
      <w:r w:rsidRPr="002F344B">
        <w:rPr>
          <w:sz w:val="22"/>
          <w:szCs w:val="22"/>
        </w:rPr>
        <w:t>% vs. 1,5</w:t>
      </w:r>
      <w:r w:rsidR="00901023" w:rsidRPr="002F344B">
        <w:rPr>
          <w:sz w:val="22"/>
          <w:szCs w:val="22"/>
        </w:rPr>
        <w:t xml:space="preserve"> </w:t>
      </w:r>
      <w:r w:rsidRPr="002F344B">
        <w:rPr>
          <w:sz w:val="22"/>
          <w:szCs w:val="22"/>
        </w:rPr>
        <w:t>%). Vyššia incidencia úmrtia nesúvisela s dávkou olanzapínu (priemerná denná dávka 4,4 mg) alebo s dĺžkou liečby. Rizikové faktory, ktoré sa môžu podieľať na zvýšenej mortalite u tejto skupiny pacientov, sú</w:t>
      </w:r>
      <w:r w:rsidR="00D61D40" w:rsidRPr="002F344B">
        <w:rPr>
          <w:sz w:val="22"/>
          <w:szCs w:val="22"/>
        </w:rPr>
        <w:t>:</w:t>
      </w:r>
      <w:r w:rsidRPr="002F344B">
        <w:rPr>
          <w:sz w:val="22"/>
          <w:szCs w:val="22"/>
        </w:rPr>
        <w:t xml:space="preserve"> vek nad 65 rokov, dysfágia, sedácia, malnutrícia a dehydratácia, pľúcne ochorenia (napr. pneumónia s alebo bez aspirácie) alebo </w:t>
      </w:r>
      <w:r w:rsidR="002C4A06" w:rsidRPr="002F344B">
        <w:rPr>
          <w:sz w:val="22"/>
          <w:szCs w:val="22"/>
        </w:rPr>
        <w:t xml:space="preserve">súbežné </w:t>
      </w:r>
      <w:r w:rsidRPr="002F344B">
        <w:rPr>
          <w:sz w:val="22"/>
          <w:szCs w:val="22"/>
        </w:rPr>
        <w:t xml:space="preserve">užívanie benzodiazepínov. Vyššia incidencia úmrtia u pacientov liečených olanzapínom v porovnaní s </w:t>
      </w:r>
      <w:r w:rsidR="002850D7" w:rsidRPr="002F344B">
        <w:rPr>
          <w:sz w:val="22"/>
          <w:szCs w:val="22"/>
        </w:rPr>
        <w:t>pacientmi</w:t>
      </w:r>
      <w:r w:rsidRPr="002F344B">
        <w:rPr>
          <w:sz w:val="22"/>
          <w:szCs w:val="22"/>
        </w:rPr>
        <w:t xml:space="preserve"> užívajúcimi placebo bola však od týchto rizikových faktorov nezávislá.</w:t>
      </w:r>
    </w:p>
    <w:p w14:paraId="3A2698AA" w14:textId="77777777" w:rsidR="00FB1809" w:rsidRPr="002F344B" w:rsidRDefault="00FB1809" w:rsidP="002E3165">
      <w:pPr>
        <w:rPr>
          <w:sz w:val="22"/>
          <w:szCs w:val="22"/>
        </w:rPr>
      </w:pPr>
    </w:p>
    <w:p w14:paraId="75BB8B38" w14:textId="77777777" w:rsidR="007476A0" w:rsidRDefault="003C4019" w:rsidP="002E3165">
      <w:pPr>
        <w:rPr>
          <w:sz w:val="22"/>
          <w:szCs w:val="22"/>
        </w:rPr>
      </w:pPr>
      <w:r w:rsidRPr="002F344B">
        <w:rPr>
          <w:sz w:val="22"/>
          <w:szCs w:val="22"/>
        </w:rPr>
        <w:t xml:space="preserve">V rovnakých klinických štúdiách boli hlásené cerebrovaskulárne nežiaduce príhody (CVAE napr. mozgová porážka, tranzitórny ischemický atak), vrátane úmrtí. U pacientov liečených olanzapínom bol v porovnaní s </w:t>
      </w:r>
      <w:r w:rsidR="007056E0" w:rsidRPr="002F344B">
        <w:rPr>
          <w:sz w:val="22"/>
          <w:szCs w:val="22"/>
        </w:rPr>
        <w:t>pacientmi</w:t>
      </w:r>
      <w:r w:rsidRPr="002F344B">
        <w:rPr>
          <w:sz w:val="22"/>
          <w:szCs w:val="22"/>
        </w:rPr>
        <w:t xml:space="preserve"> užívajúcimi placebo 3-násobný nárast CVAE (1,3</w:t>
      </w:r>
      <w:r w:rsidR="00D61D40" w:rsidRPr="002F344B">
        <w:rPr>
          <w:sz w:val="22"/>
          <w:szCs w:val="22"/>
        </w:rPr>
        <w:t xml:space="preserve"> </w:t>
      </w:r>
      <w:r w:rsidRPr="002F344B">
        <w:rPr>
          <w:sz w:val="22"/>
          <w:szCs w:val="22"/>
        </w:rPr>
        <w:t>% vs. 0,4</w:t>
      </w:r>
      <w:r w:rsidR="00D61D40" w:rsidRPr="002F344B">
        <w:rPr>
          <w:sz w:val="22"/>
          <w:szCs w:val="22"/>
        </w:rPr>
        <w:t xml:space="preserve"> </w:t>
      </w:r>
      <w:r w:rsidRPr="002F344B">
        <w:rPr>
          <w:sz w:val="22"/>
          <w:szCs w:val="22"/>
        </w:rPr>
        <w:t>%). U všetkých pacientov liečených olanzapínom alebo placebom, u ktorých sa vyskytla cerebrovaskulárna príhoda, boli už predtým prítomné r</w:t>
      </w:r>
      <w:r w:rsidR="006B255A" w:rsidRPr="002F344B">
        <w:rPr>
          <w:sz w:val="22"/>
          <w:szCs w:val="22"/>
        </w:rPr>
        <w:t xml:space="preserve">izikové faktory. Vek </w:t>
      </w:r>
      <w:r w:rsidR="00184F6A" w:rsidRPr="002F344B">
        <w:rPr>
          <w:sz w:val="22"/>
          <w:szCs w:val="22"/>
        </w:rPr>
        <w:t xml:space="preserve">nad </w:t>
      </w:r>
      <w:r w:rsidR="006B255A" w:rsidRPr="002F344B">
        <w:rPr>
          <w:sz w:val="22"/>
          <w:szCs w:val="22"/>
        </w:rPr>
        <w:t>75 rokov</w:t>
      </w:r>
      <w:r w:rsidR="007056E0" w:rsidRPr="002F344B">
        <w:rPr>
          <w:sz w:val="22"/>
          <w:szCs w:val="22"/>
        </w:rPr>
        <w:t xml:space="preserve"> </w:t>
      </w:r>
      <w:r w:rsidRPr="002F344B">
        <w:rPr>
          <w:sz w:val="22"/>
          <w:szCs w:val="22"/>
        </w:rPr>
        <w:t>a vaskulárna/zmiešaná demencia boli zistené ako rizikové faktory pre CVAE v súvislosti s liečbou olanzapínom. Účinnosť olanzapínu v týchto štúdiách nebola stanovená.</w:t>
      </w:r>
    </w:p>
    <w:p w14:paraId="36D8DEE7" w14:textId="77777777" w:rsidR="004E5A7C" w:rsidRPr="002F344B" w:rsidRDefault="004E5A7C" w:rsidP="002E3165">
      <w:pPr>
        <w:rPr>
          <w:sz w:val="22"/>
          <w:szCs w:val="22"/>
        </w:rPr>
      </w:pPr>
    </w:p>
    <w:p w14:paraId="38EC0BA0" w14:textId="77777777" w:rsidR="007476A0" w:rsidRPr="004E5A7C" w:rsidRDefault="003C4019" w:rsidP="002E3165">
      <w:pPr>
        <w:rPr>
          <w:b/>
          <w:sz w:val="22"/>
          <w:szCs w:val="22"/>
        </w:rPr>
      </w:pPr>
      <w:r w:rsidRPr="004E5A7C">
        <w:rPr>
          <w:b/>
          <w:sz w:val="22"/>
          <w:szCs w:val="22"/>
        </w:rPr>
        <w:t>Parkinsonova choroba</w:t>
      </w:r>
    </w:p>
    <w:p w14:paraId="5286CC72" w14:textId="77777777" w:rsidR="007476A0" w:rsidRDefault="003C4019" w:rsidP="002E3165">
      <w:pPr>
        <w:rPr>
          <w:sz w:val="22"/>
          <w:szCs w:val="22"/>
        </w:rPr>
      </w:pPr>
      <w:r w:rsidRPr="002F344B">
        <w:rPr>
          <w:sz w:val="22"/>
          <w:szCs w:val="22"/>
        </w:rPr>
        <w:t xml:space="preserve">Neodporúča sa použitie olanzapínu na liečbu psychózy </w:t>
      </w:r>
      <w:r w:rsidR="000357E1" w:rsidRPr="002F344B">
        <w:rPr>
          <w:sz w:val="22"/>
          <w:szCs w:val="22"/>
        </w:rPr>
        <w:t xml:space="preserve">v súvislosti </w:t>
      </w:r>
      <w:r w:rsidRPr="002F344B">
        <w:rPr>
          <w:sz w:val="22"/>
          <w:szCs w:val="22"/>
        </w:rPr>
        <w:t xml:space="preserve">s podávaním dopamínového agonistu u pacientov s Parkinsonovou chorobou. V klinických štúdiách </w:t>
      </w:r>
      <w:r w:rsidR="00337BD6" w:rsidRPr="002F344B">
        <w:rPr>
          <w:sz w:val="22"/>
          <w:szCs w:val="22"/>
        </w:rPr>
        <w:t xml:space="preserve">bolo </w:t>
      </w:r>
      <w:r w:rsidRPr="002F344B">
        <w:rPr>
          <w:sz w:val="22"/>
          <w:szCs w:val="22"/>
        </w:rPr>
        <w:t>veľmi často a s vyššou frekvenciou ako u placeba zaznamenané zhoršenie parkinsonovskej symptomatiky a halucinácie (pozri časť 4.8), pričom olanzapín nebol v liečení psychotických príznakov účinnejší ako placebo. V týchto štúdiách museli mať pacienti na začiatku štúdie stabilnú najnižšiu účinnú dávku antiparkinsonika (dopamínový agonista) a rovnaké antiparkinsonikum im bolo podávané v rovnakej dávke po celú zostávajúcu dobu štúdie. Počiatočná dávka olanzapínu bola 2,5 mg/deň a podľa uváženia vyšetrujúceho lekára bola titrovaná do maximálnej dávky 15 mg/deň.</w:t>
      </w:r>
    </w:p>
    <w:p w14:paraId="185E0AA8" w14:textId="77777777" w:rsidR="004E5A7C" w:rsidRPr="002F344B" w:rsidRDefault="004E5A7C" w:rsidP="002E3165">
      <w:pPr>
        <w:rPr>
          <w:sz w:val="22"/>
          <w:szCs w:val="22"/>
        </w:rPr>
      </w:pPr>
    </w:p>
    <w:p w14:paraId="6ACB8F51" w14:textId="77777777" w:rsidR="007476A0" w:rsidRPr="004E5A7C" w:rsidRDefault="003C4019" w:rsidP="002E3165">
      <w:pPr>
        <w:rPr>
          <w:b/>
          <w:sz w:val="22"/>
          <w:szCs w:val="22"/>
        </w:rPr>
      </w:pPr>
      <w:r w:rsidRPr="004E5A7C">
        <w:rPr>
          <w:b/>
          <w:sz w:val="22"/>
          <w:szCs w:val="22"/>
        </w:rPr>
        <w:t>Neuroleptický malígny syndróm (NMS)</w:t>
      </w:r>
    </w:p>
    <w:p w14:paraId="1E4610C9" w14:textId="77777777" w:rsidR="007476A0" w:rsidRDefault="003C4019" w:rsidP="002E3165">
      <w:pPr>
        <w:rPr>
          <w:sz w:val="22"/>
          <w:szCs w:val="22"/>
        </w:rPr>
      </w:pPr>
      <w:r w:rsidRPr="002F344B">
        <w:rPr>
          <w:sz w:val="22"/>
          <w:szCs w:val="22"/>
        </w:rPr>
        <w:t xml:space="preserve">NMS je potenciálne život ohrozujúci stav, ktorý sa objavil v súvislosti s podávaním antipsychotík. Zriedkavé prípady označené ako NMS sa rovnako vyskytli v súvislosti s olanzapínom. Klinické prejavy NMS sú hyperpyrexia, svalová rigidita, zmenený duševný stav a príznaky autonómnej instability (nepravidelný pulz alebo tlak krvi, tachykardia, potenie a srdcová dysrytmia). Ďalšími príznakmi môžu byť zvýšená hladina kreatínfosfokinázy, myoglobinúria (rabdomyolýza) a akútne renálne zlyhanie. Ak sa u pacienta vyvinú znaky a príznaky, ktoré naznačujú prítomnosť NMS, alebo ak má vysokú horúčku </w:t>
      </w:r>
      <w:r w:rsidR="00A74A5C" w:rsidRPr="002F344B">
        <w:rPr>
          <w:sz w:val="22"/>
          <w:szCs w:val="22"/>
        </w:rPr>
        <w:t xml:space="preserve">neznámeho </w:t>
      </w:r>
      <w:r w:rsidRPr="002F344B">
        <w:rPr>
          <w:sz w:val="22"/>
          <w:szCs w:val="22"/>
        </w:rPr>
        <w:t>pôvodu bez ďalších klinických známok NMS, musia sa vysadiť všetky antipsychoti</w:t>
      </w:r>
      <w:r w:rsidR="00237448" w:rsidRPr="002F344B">
        <w:rPr>
          <w:sz w:val="22"/>
          <w:szCs w:val="22"/>
        </w:rPr>
        <w:t>c</w:t>
      </w:r>
      <w:r w:rsidRPr="002F344B">
        <w:rPr>
          <w:sz w:val="22"/>
          <w:szCs w:val="22"/>
        </w:rPr>
        <w:t>k</w:t>
      </w:r>
      <w:r w:rsidR="00237448" w:rsidRPr="002F344B">
        <w:rPr>
          <w:sz w:val="22"/>
          <w:szCs w:val="22"/>
        </w:rPr>
        <w:t>é</w:t>
      </w:r>
      <w:r w:rsidR="0009626D" w:rsidRPr="002F344B">
        <w:rPr>
          <w:sz w:val="22"/>
          <w:szCs w:val="22"/>
        </w:rPr>
        <w:t xml:space="preserve"> lieky</w:t>
      </w:r>
      <w:r w:rsidRPr="002F344B">
        <w:rPr>
          <w:sz w:val="22"/>
          <w:szCs w:val="22"/>
        </w:rPr>
        <w:t xml:space="preserve"> vrátane olanzapínu.</w:t>
      </w:r>
    </w:p>
    <w:p w14:paraId="00FEBA54" w14:textId="77777777" w:rsidR="00FB1809" w:rsidRPr="002F344B" w:rsidRDefault="00FB1809" w:rsidP="002E3165">
      <w:pPr>
        <w:rPr>
          <w:sz w:val="22"/>
          <w:szCs w:val="22"/>
        </w:rPr>
      </w:pPr>
    </w:p>
    <w:p w14:paraId="473ECAAF" w14:textId="77777777" w:rsidR="007476A0" w:rsidRPr="004E5A7C" w:rsidRDefault="003C4019" w:rsidP="002E3165">
      <w:pPr>
        <w:rPr>
          <w:b/>
          <w:sz w:val="22"/>
          <w:szCs w:val="22"/>
        </w:rPr>
      </w:pPr>
      <w:r w:rsidRPr="004E5A7C">
        <w:rPr>
          <w:b/>
          <w:sz w:val="22"/>
          <w:szCs w:val="22"/>
        </w:rPr>
        <w:lastRenderedPageBreak/>
        <w:t>Hyperglykémia a diabetes</w:t>
      </w:r>
    </w:p>
    <w:p w14:paraId="4EF26ED2" w14:textId="77777777" w:rsidR="0009626D" w:rsidRPr="002F344B" w:rsidRDefault="0009626D" w:rsidP="002E3165">
      <w:pPr>
        <w:rPr>
          <w:sz w:val="22"/>
          <w:szCs w:val="22"/>
        </w:rPr>
      </w:pPr>
      <w:r w:rsidRPr="002F344B">
        <w:rPr>
          <w:sz w:val="22"/>
          <w:szCs w:val="22"/>
        </w:rPr>
        <w:t xml:space="preserve">Menej často </w:t>
      </w:r>
      <w:r w:rsidR="003C4019" w:rsidRPr="002F344B">
        <w:rPr>
          <w:sz w:val="22"/>
          <w:szCs w:val="22"/>
        </w:rPr>
        <w:t>bola hlásená hyperglykémia a/alebo exacerbácia preexistujúceho diabetu, príležitostne spojená s ketoacidózou alebo kómou, v niekoľkých prípadoch vedúcou aj k úmrtiam pacientov (pozri časť 4.8). V</w:t>
      </w:r>
      <w:r w:rsidR="00604CE2" w:rsidRPr="002F344B">
        <w:rPr>
          <w:sz w:val="22"/>
          <w:szCs w:val="22"/>
        </w:rPr>
        <w:t> </w:t>
      </w:r>
      <w:r w:rsidR="003C4019" w:rsidRPr="002F344B">
        <w:rPr>
          <w:sz w:val="22"/>
          <w:szCs w:val="22"/>
        </w:rPr>
        <w:t>niektorých prípadoch tomu predchádzalo zvýšenie telesnej hmotnosti, čo mohlo byť predispozičným faktorom. Odporúča sa príslušné klinické monitorovanie s využitím zavedených smerníc pre antipsychotickú liečbu</w:t>
      </w:r>
      <w:r w:rsidRPr="002F344B">
        <w:rPr>
          <w:sz w:val="22"/>
          <w:szCs w:val="22"/>
        </w:rPr>
        <w:t>,</w:t>
      </w:r>
      <w:r w:rsidR="003C4019" w:rsidRPr="002F344B">
        <w:rPr>
          <w:sz w:val="22"/>
          <w:szCs w:val="22"/>
        </w:rPr>
        <w:t xml:space="preserve"> </w:t>
      </w:r>
      <w:r w:rsidRPr="002F344B">
        <w:rPr>
          <w:sz w:val="22"/>
          <w:szCs w:val="22"/>
        </w:rPr>
        <w:t xml:space="preserve"> napr. meranie hladiny krvnej glukózy na začiatku, po 12 týždňoch liečby olanzapínom a následne v ročných intervaloch.</w:t>
      </w:r>
    </w:p>
    <w:p w14:paraId="45924C06" w14:textId="77777777" w:rsidR="0009626D" w:rsidRPr="002F344B" w:rsidRDefault="0009626D" w:rsidP="002E3165">
      <w:pPr>
        <w:rPr>
          <w:sz w:val="22"/>
          <w:szCs w:val="22"/>
        </w:rPr>
      </w:pPr>
    </w:p>
    <w:p w14:paraId="187B64F0" w14:textId="77777777" w:rsidR="0009626D" w:rsidRPr="002F344B" w:rsidRDefault="003C4019" w:rsidP="002E3165">
      <w:pPr>
        <w:rPr>
          <w:sz w:val="22"/>
          <w:szCs w:val="22"/>
        </w:rPr>
      </w:pPr>
      <w:r w:rsidRPr="002F344B">
        <w:rPr>
          <w:sz w:val="22"/>
          <w:szCs w:val="22"/>
        </w:rPr>
        <w:t>U pacientov liečených akýmkoľvek antipsychoti</w:t>
      </w:r>
      <w:r w:rsidR="0009626D" w:rsidRPr="002F344B">
        <w:rPr>
          <w:sz w:val="22"/>
          <w:szCs w:val="22"/>
        </w:rPr>
        <w:t>ckým liekom</w:t>
      </w:r>
      <w:r w:rsidRPr="002F344B">
        <w:rPr>
          <w:sz w:val="22"/>
          <w:szCs w:val="22"/>
        </w:rPr>
        <w:t xml:space="preserve"> vrátane</w:t>
      </w:r>
      <w:r w:rsidR="0024366C" w:rsidRPr="002F344B">
        <w:rPr>
          <w:sz w:val="22"/>
          <w:szCs w:val="22"/>
        </w:rPr>
        <w:t xml:space="preserve"> </w:t>
      </w:r>
      <w:r w:rsidR="0084295A" w:rsidRPr="002F344B">
        <w:rPr>
          <w:sz w:val="22"/>
          <w:szCs w:val="22"/>
        </w:rPr>
        <w:t>OLPINATU</w:t>
      </w:r>
      <w:r w:rsidRPr="002F344B">
        <w:rPr>
          <w:sz w:val="22"/>
          <w:szCs w:val="22"/>
        </w:rPr>
        <w:t xml:space="preserve"> </w:t>
      </w:r>
      <w:r w:rsidR="00142528" w:rsidRPr="002F344B">
        <w:rPr>
          <w:sz w:val="22"/>
          <w:szCs w:val="22"/>
        </w:rPr>
        <w:t>je</w:t>
      </w:r>
      <w:r w:rsidRPr="002F344B">
        <w:rPr>
          <w:sz w:val="22"/>
          <w:szCs w:val="22"/>
        </w:rPr>
        <w:t xml:space="preserve"> </w:t>
      </w:r>
      <w:r w:rsidR="00C35B08" w:rsidRPr="002F344B">
        <w:rPr>
          <w:sz w:val="22"/>
          <w:szCs w:val="22"/>
        </w:rPr>
        <w:t>potrebné</w:t>
      </w:r>
      <w:r w:rsidR="00142528" w:rsidRPr="002F344B">
        <w:rPr>
          <w:sz w:val="22"/>
          <w:szCs w:val="22"/>
        </w:rPr>
        <w:t xml:space="preserve"> sledovať </w:t>
      </w:r>
      <w:r w:rsidRPr="002F344B">
        <w:rPr>
          <w:sz w:val="22"/>
          <w:szCs w:val="22"/>
        </w:rPr>
        <w:t>príznaky a symptómy hyperglykémie (akými sú napríklad polydipsia, polyúria, polyfágia a slabosť)</w:t>
      </w:r>
      <w:r w:rsidR="002C5AD0" w:rsidRPr="002F344B">
        <w:rPr>
          <w:sz w:val="22"/>
          <w:szCs w:val="22"/>
        </w:rPr>
        <w:t>. P</w:t>
      </w:r>
      <w:r w:rsidRPr="002F344B">
        <w:rPr>
          <w:sz w:val="22"/>
          <w:szCs w:val="22"/>
        </w:rPr>
        <w:t>acient</w:t>
      </w:r>
      <w:r w:rsidR="00A95BDC" w:rsidRPr="002F344B">
        <w:rPr>
          <w:sz w:val="22"/>
          <w:szCs w:val="22"/>
        </w:rPr>
        <w:t>ov</w:t>
      </w:r>
      <w:r w:rsidRPr="002F344B">
        <w:rPr>
          <w:sz w:val="22"/>
          <w:szCs w:val="22"/>
        </w:rPr>
        <w:t xml:space="preserve"> s diabetom a </w:t>
      </w:r>
      <w:r w:rsidR="00142528" w:rsidRPr="002F344B">
        <w:rPr>
          <w:sz w:val="22"/>
          <w:szCs w:val="22"/>
        </w:rPr>
        <w:t xml:space="preserve">pacientov </w:t>
      </w:r>
      <w:r w:rsidRPr="002F344B">
        <w:rPr>
          <w:sz w:val="22"/>
          <w:szCs w:val="22"/>
        </w:rPr>
        <w:t xml:space="preserve">s rizikovými faktormi pre vývoj diabetu </w:t>
      </w:r>
      <w:r w:rsidR="00142528" w:rsidRPr="002F344B">
        <w:rPr>
          <w:sz w:val="22"/>
          <w:szCs w:val="22"/>
        </w:rPr>
        <w:t>treba</w:t>
      </w:r>
      <w:r w:rsidRPr="002F344B">
        <w:rPr>
          <w:sz w:val="22"/>
          <w:szCs w:val="22"/>
        </w:rPr>
        <w:t xml:space="preserve"> pravidelne </w:t>
      </w:r>
      <w:r w:rsidR="00142528" w:rsidRPr="002F344B">
        <w:rPr>
          <w:sz w:val="22"/>
          <w:szCs w:val="22"/>
        </w:rPr>
        <w:t xml:space="preserve">sledovať </w:t>
      </w:r>
      <w:r w:rsidRPr="002F344B">
        <w:rPr>
          <w:sz w:val="22"/>
          <w:szCs w:val="22"/>
        </w:rPr>
        <w:t>kvôli možnému zhoršovaniu sa glukózovej regulácie. Hmotnosť sa má sledovať pravidelne</w:t>
      </w:r>
      <w:r w:rsidR="0009626D" w:rsidRPr="002F344B">
        <w:rPr>
          <w:sz w:val="22"/>
          <w:szCs w:val="22"/>
        </w:rPr>
        <w:t xml:space="preserve">,napr. na začiatku, po 4, </w:t>
      </w:r>
      <w:smartTag w:uri="urn:schemas-microsoft-com:office:smarttags" w:element="metricconverter">
        <w:smartTagPr>
          <w:attr w:name="ProductID" w:val="8 a"/>
        </w:smartTagPr>
        <w:r w:rsidR="0009626D" w:rsidRPr="002F344B">
          <w:rPr>
            <w:sz w:val="22"/>
            <w:szCs w:val="22"/>
          </w:rPr>
          <w:t>8 a</w:t>
        </w:r>
      </w:smartTag>
      <w:r w:rsidR="0009626D" w:rsidRPr="002F344B">
        <w:rPr>
          <w:sz w:val="22"/>
          <w:szCs w:val="22"/>
        </w:rPr>
        <w:t xml:space="preserve"> 12 týždňoch liečby olanzapínom a následne každého štvrť roka.</w:t>
      </w:r>
    </w:p>
    <w:p w14:paraId="50DC0E19" w14:textId="77777777" w:rsidR="007476A0" w:rsidRPr="002F344B" w:rsidRDefault="007476A0" w:rsidP="002E3165">
      <w:pPr>
        <w:rPr>
          <w:sz w:val="22"/>
          <w:szCs w:val="22"/>
        </w:rPr>
      </w:pPr>
    </w:p>
    <w:p w14:paraId="2515B6CA" w14:textId="77777777" w:rsidR="007476A0" w:rsidRPr="004E5A7C" w:rsidRDefault="003C4019" w:rsidP="002E3165">
      <w:pPr>
        <w:rPr>
          <w:b/>
          <w:sz w:val="22"/>
          <w:szCs w:val="22"/>
        </w:rPr>
      </w:pPr>
      <w:r w:rsidRPr="004E5A7C">
        <w:rPr>
          <w:b/>
          <w:sz w:val="22"/>
          <w:szCs w:val="22"/>
        </w:rPr>
        <w:t>Zmeny lipidov</w:t>
      </w:r>
    </w:p>
    <w:p w14:paraId="4D1237D4" w14:textId="77777777" w:rsidR="0009626D" w:rsidRPr="002F344B" w:rsidRDefault="00EC5C2A" w:rsidP="002E3165">
      <w:pPr>
        <w:rPr>
          <w:sz w:val="22"/>
          <w:szCs w:val="22"/>
        </w:rPr>
      </w:pPr>
      <w:r w:rsidRPr="002F344B">
        <w:rPr>
          <w:sz w:val="22"/>
          <w:szCs w:val="22"/>
        </w:rPr>
        <w:t xml:space="preserve">Nežiaduce zmeny lipidov sa pozorovali u pacientov liečených olanzapínom v placebom kontrolovaných klinických štúdiách (pozri časť 4.8). Zmeny lipidov sa majú liečiť tak, ako je to klinicky vhodné, najmä u pacientov s dyslipidémiou a u pacientov s rizikovými faktormi pre vývoj porúch lipidového spektra. U pacientov liečených akýmkoľvek </w:t>
      </w:r>
      <w:r w:rsidR="0009626D" w:rsidRPr="002F344B">
        <w:rPr>
          <w:sz w:val="22"/>
          <w:szCs w:val="22"/>
        </w:rPr>
        <w:t xml:space="preserve">antipsychotickým liekom </w:t>
      </w:r>
      <w:r w:rsidRPr="002F344B">
        <w:rPr>
          <w:sz w:val="22"/>
          <w:szCs w:val="22"/>
        </w:rPr>
        <w:t xml:space="preserve">vrátane </w:t>
      </w:r>
      <w:r w:rsidR="0084295A" w:rsidRPr="002F344B">
        <w:rPr>
          <w:sz w:val="22"/>
          <w:szCs w:val="22"/>
        </w:rPr>
        <w:t>OLPINATU</w:t>
      </w:r>
      <w:r w:rsidR="00035EDB" w:rsidRPr="002F344B">
        <w:rPr>
          <w:sz w:val="22"/>
          <w:szCs w:val="22"/>
        </w:rPr>
        <w:t xml:space="preserve"> </w:t>
      </w:r>
      <w:r w:rsidRPr="002F344B">
        <w:rPr>
          <w:sz w:val="22"/>
          <w:szCs w:val="22"/>
        </w:rPr>
        <w:t>majú byť pravidelne sledované lipidy s využitím zavedených smerníc pre antipsychotickú liečbu</w:t>
      </w:r>
      <w:r w:rsidR="0009626D" w:rsidRPr="002F344B">
        <w:rPr>
          <w:sz w:val="22"/>
          <w:szCs w:val="22"/>
        </w:rPr>
        <w:t>, napr. na začiatku, po 12 týždňoch liečby olanzapínom a následne každých 5 rokov.</w:t>
      </w:r>
    </w:p>
    <w:p w14:paraId="4EF48EB1" w14:textId="77777777" w:rsidR="00EC5C2A" w:rsidRPr="002F344B" w:rsidRDefault="00EC5C2A" w:rsidP="002E3165">
      <w:pPr>
        <w:rPr>
          <w:sz w:val="22"/>
          <w:szCs w:val="22"/>
        </w:rPr>
      </w:pPr>
    </w:p>
    <w:p w14:paraId="1712EB81" w14:textId="77777777" w:rsidR="007476A0" w:rsidRPr="004E5A7C" w:rsidRDefault="003C4019" w:rsidP="002E3165">
      <w:pPr>
        <w:rPr>
          <w:b/>
          <w:sz w:val="22"/>
          <w:szCs w:val="22"/>
        </w:rPr>
      </w:pPr>
      <w:r w:rsidRPr="004E5A7C">
        <w:rPr>
          <w:b/>
          <w:sz w:val="22"/>
          <w:szCs w:val="22"/>
        </w:rPr>
        <w:t>Anticholinergný účinok</w:t>
      </w:r>
    </w:p>
    <w:p w14:paraId="4BE1671D" w14:textId="77777777" w:rsidR="007476A0" w:rsidRDefault="003C4019" w:rsidP="002E3165">
      <w:pPr>
        <w:rPr>
          <w:sz w:val="22"/>
          <w:szCs w:val="22"/>
        </w:rPr>
      </w:pPr>
      <w:r w:rsidRPr="002F344B">
        <w:rPr>
          <w:sz w:val="22"/>
          <w:szCs w:val="22"/>
        </w:rPr>
        <w:t xml:space="preserve">Aj keď olanzapín </w:t>
      </w:r>
      <w:r w:rsidRPr="002F344B">
        <w:rPr>
          <w:i/>
          <w:sz w:val="22"/>
          <w:szCs w:val="22"/>
        </w:rPr>
        <w:t>in vitro</w:t>
      </w:r>
      <w:r w:rsidRPr="002F344B">
        <w:rPr>
          <w:sz w:val="22"/>
          <w:szCs w:val="22"/>
        </w:rPr>
        <w:t xml:space="preserve"> prejavil anticholinergný účinok, skúsenosti z klinických štúdií odhalili nízky výskyt s tým súvisiacich príhod. Keďže sú však klinické skúsenosti s podávaním olanzapínu pacientom s inými súbežnými ochoreniami obmedzené, pri predpisovaní pacientom s hypertrofiou prostaty alebo paralytickým ileom a podobnými stavmi sa odporúča postupovať opatrne.</w:t>
      </w:r>
    </w:p>
    <w:p w14:paraId="213DA6AB" w14:textId="77777777" w:rsidR="004E5A7C" w:rsidRPr="002F344B" w:rsidRDefault="004E5A7C" w:rsidP="002E3165">
      <w:pPr>
        <w:rPr>
          <w:sz w:val="22"/>
          <w:szCs w:val="22"/>
        </w:rPr>
      </w:pPr>
    </w:p>
    <w:p w14:paraId="552FAD82" w14:textId="77777777" w:rsidR="007476A0" w:rsidRPr="004E5A7C" w:rsidRDefault="003C4019" w:rsidP="002E3165">
      <w:pPr>
        <w:rPr>
          <w:b/>
          <w:sz w:val="22"/>
          <w:szCs w:val="22"/>
        </w:rPr>
      </w:pPr>
      <w:r w:rsidRPr="004E5A7C">
        <w:rPr>
          <w:b/>
          <w:sz w:val="22"/>
          <w:szCs w:val="22"/>
        </w:rPr>
        <w:t>Funkcia pečene</w:t>
      </w:r>
    </w:p>
    <w:p w14:paraId="212047B1" w14:textId="77777777" w:rsidR="003C4019" w:rsidRPr="002F344B" w:rsidRDefault="00A74A5C" w:rsidP="002E3165">
      <w:pPr>
        <w:rPr>
          <w:sz w:val="22"/>
          <w:szCs w:val="22"/>
        </w:rPr>
      </w:pPr>
      <w:r w:rsidRPr="002F344B">
        <w:rPr>
          <w:sz w:val="22"/>
          <w:szCs w:val="22"/>
        </w:rPr>
        <w:t>Častejšie</w:t>
      </w:r>
      <w:r w:rsidR="003C4019" w:rsidRPr="002F344B">
        <w:rPr>
          <w:sz w:val="22"/>
          <w:szCs w:val="22"/>
        </w:rPr>
        <w:t xml:space="preserve">, najmä na začiatku liečby, bolo pozorované prechodné asymptomatické zvýšenie hladiny pečeňových </w:t>
      </w:r>
      <w:r w:rsidR="001870D0" w:rsidRPr="002F344B">
        <w:rPr>
          <w:sz w:val="22"/>
          <w:szCs w:val="22"/>
        </w:rPr>
        <w:t>amino</w:t>
      </w:r>
      <w:r w:rsidR="0084295A" w:rsidRPr="002F344B">
        <w:rPr>
          <w:sz w:val="22"/>
          <w:szCs w:val="22"/>
        </w:rPr>
        <w:t>transferáz ALT</w:t>
      </w:r>
      <w:r w:rsidR="003C4019" w:rsidRPr="002F344B">
        <w:rPr>
          <w:sz w:val="22"/>
          <w:szCs w:val="22"/>
        </w:rPr>
        <w:t xml:space="preserve"> a </w:t>
      </w:r>
      <w:r w:rsidR="0084295A" w:rsidRPr="002F344B">
        <w:rPr>
          <w:sz w:val="22"/>
          <w:szCs w:val="22"/>
        </w:rPr>
        <w:t>AST</w:t>
      </w:r>
      <w:r w:rsidR="003C4019" w:rsidRPr="002F344B">
        <w:rPr>
          <w:sz w:val="22"/>
          <w:szCs w:val="22"/>
        </w:rPr>
        <w:t xml:space="preserve">. Zvýšená opatrnosť </w:t>
      </w:r>
      <w:r w:rsidR="00F307D7" w:rsidRPr="002F344B">
        <w:rPr>
          <w:sz w:val="22"/>
          <w:szCs w:val="22"/>
        </w:rPr>
        <w:t>a následné sledovanie sú</w:t>
      </w:r>
      <w:r w:rsidR="00C6370A" w:rsidRPr="002F344B">
        <w:rPr>
          <w:sz w:val="22"/>
          <w:szCs w:val="22"/>
        </w:rPr>
        <w:t xml:space="preserve"> </w:t>
      </w:r>
      <w:r w:rsidR="003C4019" w:rsidRPr="002F344B">
        <w:rPr>
          <w:sz w:val="22"/>
          <w:szCs w:val="22"/>
        </w:rPr>
        <w:t>potrebn</w:t>
      </w:r>
      <w:r w:rsidR="00F307D7" w:rsidRPr="002F344B">
        <w:rPr>
          <w:sz w:val="22"/>
          <w:szCs w:val="22"/>
        </w:rPr>
        <w:t>é</w:t>
      </w:r>
      <w:r w:rsidR="003C4019" w:rsidRPr="002F344B">
        <w:rPr>
          <w:sz w:val="22"/>
          <w:szCs w:val="22"/>
        </w:rPr>
        <w:t xml:space="preserve"> u pacientov so zvýšenými hodnotami ALT a/alebo AST, u pacientov so znakmi a príznakmi poškodenia pečene, u pacientov s preexistujúcimi stavmi spojenými s obmedzenou funkčnou rezervou pečene a u pacientov liečených potenciálne hepatotoxickými liekmi. Ak sa u pacientov diagnostikuje hepatitída (vrátane hepatocelulárneho, cholestatického alebo zmiešaného poškodenia pečene), musí</w:t>
      </w:r>
      <w:r w:rsidR="0024366C" w:rsidRPr="002F344B">
        <w:rPr>
          <w:sz w:val="22"/>
          <w:szCs w:val="22"/>
        </w:rPr>
        <w:t xml:space="preserve"> sa liečba olanzapínom ukončiť.</w:t>
      </w:r>
    </w:p>
    <w:p w14:paraId="6E6B279E" w14:textId="77777777" w:rsidR="006826D9" w:rsidRPr="004E5A7C" w:rsidRDefault="006826D9" w:rsidP="002E3165">
      <w:pPr>
        <w:rPr>
          <w:b/>
          <w:sz w:val="22"/>
          <w:szCs w:val="22"/>
        </w:rPr>
      </w:pPr>
    </w:p>
    <w:p w14:paraId="1FDBBBD5" w14:textId="77777777" w:rsidR="007476A0" w:rsidRPr="004E5A7C" w:rsidRDefault="003C4019" w:rsidP="002E3165">
      <w:pPr>
        <w:rPr>
          <w:b/>
          <w:sz w:val="22"/>
          <w:szCs w:val="22"/>
        </w:rPr>
      </w:pPr>
      <w:r w:rsidRPr="004E5A7C">
        <w:rPr>
          <w:b/>
          <w:sz w:val="22"/>
          <w:szCs w:val="22"/>
        </w:rPr>
        <w:t>Neutropénia</w:t>
      </w:r>
    </w:p>
    <w:p w14:paraId="4BC18F5A" w14:textId="77777777" w:rsidR="007476A0" w:rsidRDefault="003C4019" w:rsidP="002E3165">
      <w:pPr>
        <w:rPr>
          <w:sz w:val="22"/>
          <w:szCs w:val="22"/>
        </w:rPr>
      </w:pPr>
      <w:r w:rsidRPr="002F344B">
        <w:rPr>
          <w:sz w:val="22"/>
          <w:szCs w:val="22"/>
        </w:rPr>
        <w:t>Opatrnosť je potrebná u pacientov so zníženým počtom leukocytov a/alebo neutrofilov z akéhokoľvek dôvodu, u pacientov užívajúcich lieky, o ktorých je známe, že spôsobujú neutropéniu, u pacientov s anamnézou liekmi navodeného útlmu/toxicity kostnej drene alebo útlmom kostnej drene spôsobeným súbežným ochorením, radiačnou terapiou alebo chemoterapiou a u pacientov s hypereozinofíliou alebo s myeloproliferatívnou chorobou. Neutropénia bola často hlásená pri súbežnom užívaní olanzapínu a valproátu (pozri časť 4.8).</w:t>
      </w:r>
    </w:p>
    <w:p w14:paraId="5BA559A4" w14:textId="77777777" w:rsidR="004E5A7C" w:rsidRPr="002F344B" w:rsidRDefault="004E5A7C" w:rsidP="002E3165">
      <w:pPr>
        <w:rPr>
          <w:sz w:val="22"/>
          <w:szCs w:val="22"/>
        </w:rPr>
      </w:pPr>
    </w:p>
    <w:p w14:paraId="716CE2A2" w14:textId="77777777" w:rsidR="007476A0" w:rsidRPr="004E5A7C" w:rsidRDefault="003C4019" w:rsidP="002E3165">
      <w:pPr>
        <w:rPr>
          <w:b/>
          <w:sz w:val="22"/>
          <w:szCs w:val="22"/>
        </w:rPr>
      </w:pPr>
      <w:r w:rsidRPr="004E5A7C">
        <w:rPr>
          <w:b/>
          <w:sz w:val="22"/>
          <w:szCs w:val="22"/>
        </w:rPr>
        <w:t>Ukončenie liečby</w:t>
      </w:r>
    </w:p>
    <w:p w14:paraId="793F5CEE" w14:textId="77777777" w:rsidR="007476A0" w:rsidRPr="002F344B" w:rsidRDefault="003C4019" w:rsidP="002E3165">
      <w:pPr>
        <w:rPr>
          <w:sz w:val="22"/>
          <w:szCs w:val="22"/>
        </w:rPr>
      </w:pPr>
      <w:r w:rsidRPr="002F344B">
        <w:rPr>
          <w:sz w:val="22"/>
          <w:szCs w:val="22"/>
        </w:rPr>
        <w:t xml:space="preserve">Pri náhlom ukončení liečby olanzapínom boli zriedkavo </w:t>
      </w:r>
      <w:r w:rsidR="00F307D7" w:rsidRPr="002F344B">
        <w:rPr>
          <w:sz w:val="22"/>
          <w:szCs w:val="22"/>
        </w:rPr>
        <w:t>(≥ 0,01 % a</w:t>
      </w:r>
      <w:r w:rsidRPr="002F344B">
        <w:rPr>
          <w:sz w:val="22"/>
          <w:szCs w:val="22"/>
        </w:rPr>
        <w:t>&lt; 0,01</w:t>
      </w:r>
      <w:r w:rsidR="00597077" w:rsidRPr="002F344B">
        <w:rPr>
          <w:sz w:val="22"/>
          <w:szCs w:val="22"/>
        </w:rPr>
        <w:t xml:space="preserve"> </w:t>
      </w:r>
      <w:r w:rsidRPr="002F344B">
        <w:rPr>
          <w:sz w:val="22"/>
          <w:szCs w:val="22"/>
        </w:rPr>
        <w:t>%) hlásené akútne príznaky ako potenie, nespavosť, tras, úzkosť, nevoľnosť alebo vracanie.</w:t>
      </w:r>
    </w:p>
    <w:p w14:paraId="0EDD0EE0" w14:textId="77777777" w:rsidR="00A03397" w:rsidRPr="004E5A7C" w:rsidRDefault="00A03397" w:rsidP="002E3165">
      <w:pPr>
        <w:rPr>
          <w:b/>
          <w:sz w:val="22"/>
          <w:szCs w:val="22"/>
        </w:rPr>
      </w:pPr>
    </w:p>
    <w:p w14:paraId="519056F4" w14:textId="77777777" w:rsidR="007476A0" w:rsidRPr="004E5A7C" w:rsidRDefault="003C4019" w:rsidP="002E3165">
      <w:pPr>
        <w:rPr>
          <w:b/>
          <w:sz w:val="22"/>
          <w:szCs w:val="22"/>
        </w:rPr>
      </w:pPr>
      <w:r w:rsidRPr="004E5A7C">
        <w:rPr>
          <w:b/>
          <w:sz w:val="22"/>
          <w:szCs w:val="22"/>
        </w:rPr>
        <w:t>QT interval</w:t>
      </w:r>
    </w:p>
    <w:p w14:paraId="2964B598" w14:textId="77777777" w:rsidR="007476A0" w:rsidRPr="002F344B" w:rsidRDefault="003C4019" w:rsidP="002E3165">
      <w:pPr>
        <w:rPr>
          <w:sz w:val="22"/>
          <w:szCs w:val="22"/>
        </w:rPr>
      </w:pPr>
      <w:r w:rsidRPr="002F344B">
        <w:rPr>
          <w:sz w:val="22"/>
          <w:szCs w:val="22"/>
        </w:rPr>
        <w:lastRenderedPageBreak/>
        <w:t>V klinických štúdiách bolo u pacientov liečených olanzapínom klinicky významné predĺženie QTc intervalu (korekcia QT podľa Fridericii [QTcF] ≥500 milisekúnd [msec] kedykoľvek po vstupnom vyšetrení u pacientov so vstupnou hodnotou QTcF&lt;500 msec) menej časté (0,1</w:t>
      </w:r>
      <w:r w:rsidR="00A24432" w:rsidRPr="002F344B">
        <w:rPr>
          <w:sz w:val="22"/>
          <w:szCs w:val="22"/>
        </w:rPr>
        <w:t xml:space="preserve"> </w:t>
      </w:r>
      <w:r w:rsidRPr="002F344B">
        <w:rPr>
          <w:sz w:val="22"/>
          <w:szCs w:val="22"/>
        </w:rPr>
        <w:t>% až 1</w:t>
      </w:r>
      <w:r w:rsidR="00A24432" w:rsidRPr="002F344B">
        <w:rPr>
          <w:sz w:val="22"/>
          <w:szCs w:val="22"/>
        </w:rPr>
        <w:t xml:space="preserve"> </w:t>
      </w:r>
      <w:r w:rsidRPr="002F344B">
        <w:rPr>
          <w:sz w:val="22"/>
          <w:szCs w:val="22"/>
        </w:rPr>
        <w:t>%), bez signifikantných rozdielov v sprievodných kardiálnych príhodách v porovnaní s placebom.</w:t>
      </w:r>
      <w:r w:rsidR="00F307D7" w:rsidRPr="002F344B">
        <w:rPr>
          <w:sz w:val="22"/>
          <w:szCs w:val="22"/>
        </w:rPr>
        <w:t>J</w:t>
      </w:r>
      <w:r w:rsidRPr="002F344B">
        <w:rPr>
          <w:sz w:val="22"/>
          <w:szCs w:val="22"/>
        </w:rPr>
        <w:t>e však potrebná opatrnosť, ak sa olanzapín predpisuje s liekom predlžujúcim QTc interval, najmä u starších pacientov, u pacientov s vrodeným syndrómom predĺženého QT, s kongestívnou srdcovou nedostatočnosťou, hypertrofiou srdca, hypokaliémiou alebo hypomagneziémiou.</w:t>
      </w:r>
    </w:p>
    <w:p w14:paraId="179751BA" w14:textId="77777777" w:rsidR="004E5A7C" w:rsidRDefault="004E5A7C" w:rsidP="002E3165">
      <w:pPr>
        <w:rPr>
          <w:sz w:val="22"/>
          <w:szCs w:val="22"/>
        </w:rPr>
      </w:pPr>
    </w:p>
    <w:p w14:paraId="23270751" w14:textId="77777777" w:rsidR="007476A0" w:rsidRPr="004E5A7C" w:rsidRDefault="003C4019" w:rsidP="002E3165">
      <w:pPr>
        <w:rPr>
          <w:b/>
          <w:sz w:val="22"/>
          <w:szCs w:val="22"/>
        </w:rPr>
      </w:pPr>
      <w:r w:rsidRPr="004E5A7C">
        <w:rPr>
          <w:b/>
          <w:sz w:val="22"/>
          <w:szCs w:val="22"/>
        </w:rPr>
        <w:t>Tromboembólia</w:t>
      </w:r>
    </w:p>
    <w:p w14:paraId="2B50717D" w14:textId="77777777" w:rsidR="007476A0" w:rsidRPr="002F344B" w:rsidRDefault="003C4019" w:rsidP="002E3165">
      <w:pPr>
        <w:rPr>
          <w:sz w:val="22"/>
          <w:szCs w:val="22"/>
        </w:rPr>
      </w:pPr>
      <w:r w:rsidRPr="002F344B">
        <w:rPr>
          <w:sz w:val="22"/>
          <w:szCs w:val="22"/>
        </w:rPr>
        <w:t xml:space="preserve">Časová súvislosť liečby olanzapínom a venóznej tromboembólie bola hlásená </w:t>
      </w:r>
      <w:r w:rsidR="00F307D7" w:rsidRPr="002F344B">
        <w:rPr>
          <w:sz w:val="22"/>
          <w:szCs w:val="22"/>
        </w:rPr>
        <w:t>menej často</w:t>
      </w:r>
      <w:r w:rsidRPr="002F344B">
        <w:rPr>
          <w:sz w:val="22"/>
          <w:szCs w:val="22"/>
        </w:rPr>
        <w:t xml:space="preserve"> </w:t>
      </w:r>
      <w:r w:rsidR="00F307D7" w:rsidRPr="002F344B">
        <w:rPr>
          <w:sz w:val="22"/>
          <w:szCs w:val="22"/>
        </w:rPr>
        <w:t xml:space="preserve">(≥ 0,1 % a </w:t>
      </w:r>
      <w:r w:rsidRPr="002F344B">
        <w:rPr>
          <w:sz w:val="22"/>
          <w:szCs w:val="22"/>
        </w:rPr>
        <w:t>&lt; 0,01</w:t>
      </w:r>
      <w:r w:rsidR="00E02CCD" w:rsidRPr="002F344B">
        <w:rPr>
          <w:sz w:val="22"/>
          <w:szCs w:val="22"/>
        </w:rPr>
        <w:t xml:space="preserve"> </w:t>
      </w:r>
      <w:r w:rsidRPr="002F344B">
        <w:rPr>
          <w:sz w:val="22"/>
          <w:szCs w:val="22"/>
        </w:rPr>
        <w:t>%). Príčinná súvislosť medzi výskytom venóznej tromboembólie a liečbou olanzapínom nebola stanovená. Napriek tomu, keďže sú u pacientov so schizofréniou často prítomné získané rizikové faktory venóznej tromboembólie, je nutné brať do úvahy všetky možné rizikové faktory VTE, napr. imobilizácia pacientov, a vykonať preventívne opatrenia.</w:t>
      </w:r>
    </w:p>
    <w:p w14:paraId="481E91B1" w14:textId="77777777" w:rsidR="00511CBA" w:rsidRPr="002F344B" w:rsidRDefault="00511CBA" w:rsidP="002E3165">
      <w:pPr>
        <w:rPr>
          <w:sz w:val="22"/>
          <w:szCs w:val="22"/>
        </w:rPr>
      </w:pPr>
    </w:p>
    <w:p w14:paraId="57C7FF80" w14:textId="77777777" w:rsidR="007476A0" w:rsidRPr="004E5A7C" w:rsidRDefault="003C4019" w:rsidP="002E3165">
      <w:pPr>
        <w:rPr>
          <w:b/>
          <w:sz w:val="22"/>
          <w:szCs w:val="22"/>
        </w:rPr>
      </w:pPr>
      <w:r w:rsidRPr="004E5A7C">
        <w:rPr>
          <w:b/>
          <w:sz w:val="22"/>
          <w:szCs w:val="22"/>
        </w:rPr>
        <w:t>Celkový účinok na CNS</w:t>
      </w:r>
    </w:p>
    <w:p w14:paraId="2EA1C74A" w14:textId="77777777" w:rsidR="007476A0" w:rsidRPr="002F344B" w:rsidRDefault="003C4019" w:rsidP="002E3165">
      <w:pPr>
        <w:rPr>
          <w:sz w:val="22"/>
          <w:szCs w:val="22"/>
        </w:rPr>
      </w:pPr>
      <w:r w:rsidRPr="002F344B">
        <w:rPr>
          <w:sz w:val="22"/>
          <w:szCs w:val="22"/>
        </w:rPr>
        <w:t xml:space="preserve">Vzhľadom na primárny účinok olanzapínu na CNS je potrebná opatrnosť pri súbežnom užívaní s inými centrálne pôsobiacimi liekmi </w:t>
      </w:r>
      <w:r w:rsidR="00F307D7" w:rsidRPr="002F344B">
        <w:rPr>
          <w:sz w:val="22"/>
          <w:szCs w:val="22"/>
        </w:rPr>
        <w:t xml:space="preserve">a </w:t>
      </w:r>
      <w:r w:rsidRPr="002F344B">
        <w:rPr>
          <w:sz w:val="22"/>
          <w:szCs w:val="22"/>
        </w:rPr>
        <w:t xml:space="preserve">alkoholom. Pretože pôsobí </w:t>
      </w:r>
      <w:r w:rsidRPr="002F344B">
        <w:rPr>
          <w:i/>
          <w:sz w:val="22"/>
          <w:szCs w:val="22"/>
        </w:rPr>
        <w:t>in vitro</w:t>
      </w:r>
      <w:r w:rsidRPr="002F344B">
        <w:rPr>
          <w:sz w:val="22"/>
          <w:szCs w:val="22"/>
        </w:rPr>
        <w:t xml:space="preserve"> ako dopamínový antagonista, môže olanzapín antagonizovať účinky priamych a nepriamych agonistov dopamínu.</w:t>
      </w:r>
    </w:p>
    <w:p w14:paraId="0F672A0B" w14:textId="77777777" w:rsidR="004E5A7C" w:rsidRDefault="004E5A7C" w:rsidP="002E3165">
      <w:pPr>
        <w:rPr>
          <w:sz w:val="22"/>
          <w:szCs w:val="22"/>
        </w:rPr>
      </w:pPr>
    </w:p>
    <w:p w14:paraId="03C49867" w14:textId="77777777" w:rsidR="007476A0" w:rsidRPr="004E5A7C" w:rsidRDefault="003C4019" w:rsidP="002E3165">
      <w:pPr>
        <w:rPr>
          <w:b/>
          <w:sz w:val="22"/>
          <w:szCs w:val="22"/>
        </w:rPr>
      </w:pPr>
      <w:r w:rsidRPr="004E5A7C">
        <w:rPr>
          <w:b/>
          <w:sz w:val="22"/>
          <w:szCs w:val="22"/>
        </w:rPr>
        <w:t>Záchvaty</w:t>
      </w:r>
    </w:p>
    <w:p w14:paraId="281767EF" w14:textId="77777777" w:rsidR="007476A0" w:rsidRPr="002F344B" w:rsidRDefault="003C4019" w:rsidP="002E3165">
      <w:pPr>
        <w:rPr>
          <w:sz w:val="22"/>
          <w:szCs w:val="22"/>
        </w:rPr>
      </w:pPr>
      <w:r w:rsidRPr="002F344B">
        <w:rPr>
          <w:sz w:val="22"/>
          <w:szCs w:val="22"/>
        </w:rPr>
        <w:t xml:space="preserve">Olanzapín sa má používať opatrne u pacientov so záchvatmi v anamnéze alebo u tých, ktorí sú vystavení faktorom, ktoré môžu znižovať záchvatový prah. U pacientov liečených olanzapínom boli záchvaty hlásené </w:t>
      </w:r>
      <w:r w:rsidR="00894D8C" w:rsidRPr="002F344B">
        <w:rPr>
          <w:sz w:val="22"/>
          <w:szCs w:val="22"/>
        </w:rPr>
        <w:t>menej často</w:t>
      </w:r>
      <w:r w:rsidRPr="002F344B">
        <w:rPr>
          <w:sz w:val="22"/>
          <w:szCs w:val="22"/>
        </w:rPr>
        <w:t>. Vo väčšine týchto prípadov boli v anamnéze prítomné záchvaty alebo iné rizikové faktory.</w:t>
      </w:r>
    </w:p>
    <w:p w14:paraId="24FAFE5D" w14:textId="77777777" w:rsidR="004E5A7C" w:rsidRDefault="004E5A7C" w:rsidP="002E3165">
      <w:pPr>
        <w:rPr>
          <w:sz w:val="22"/>
          <w:szCs w:val="22"/>
        </w:rPr>
      </w:pPr>
    </w:p>
    <w:p w14:paraId="4BFCF4A6" w14:textId="77777777" w:rsidR="007476A0" w:rsidRPr="004E5A7C" w:rsidRDefault="003C4019" w:rsidP="002E3165">
      <w:pPr>
        <w:rPr>
          <w:b/>
          <w:sz w:val="22"/>
          <w:szCs w:val="22"/>
        </w:rPr>
      </w:pPr>
      <w:r w:rsidRPr="004E5A7C">
        <w:rPr>
          <w:b/>
          <w:sz w:val="22"/>
          <w:szCs w:val="22"/>
        </w:rPr>
        <w:t>Tardívna dyskinéza</w:t>
      </w:r>
    </w:p>
    <w:p w14:paraId="42426D5B" w14:textId="77777777" w:rsidR="007476A0" w:rsidRDefault="003C4019" w:rsidP="002E3165">
      <w:pPr>
        <w:rPr>
          <w:sz w:val="22"/>
          <w:szCs w:val="22"/>
        </w:rPr>
      </w:pPr>
      <w:r w:rsidRPr="002F344B">
        <w:rPr>
          <w:sz w:val="22"/>
          <w:szCs w:val="22"/>
        </w:rPr>
        <w:t>V ročných alebo kratších porovnávacích štúdiách bol olanzapín štatisticky významne menej často spojený so vznikom dyskinézy vyvolanej liečbou. Napriek tomu riziko tardívnej dyskinézy pri dlhodobom užívaní narastá, a preto, ak sa u pacienta, ktorý je liečený olanzapínom, objavia znaky alebo príznaky tardívnej dyskinézy, má sa zvážiť zníženie dávky alebo vysadenie liečby. Tieto príznaky sa môžu prechodne zhoršiť alebo aj objaviť po prerušení liečby.</w:t>
      </w:r>
    </w:p>
    <w:p w14:paraId="096A08DD" w14:textId="77777777" w:rsidR="004E5A7C" w:rsidRPr="002F344B" w:rsidRDefault="004E5A7C" w:rsidP="002E3165">
      <w:pPr>
        <w:rPr>
          <w:sz w:val="22"/>
          <w:szCs w:val="22"/>
        </w:rPr>
      </w:pPr>
    </w:p>
    <w:p w14:paraId="43E2C0BB" w14:textId="77777777" w:rsidR="007476A0" w:rsidRPr="004E5A7C" w:rsidRDefault="003C4019" w:rsidP="002E3165">
      <w:pPr>
        <w:rPr>
          <w:b/>
          <w:sz w:val="22"/>
          <w:szCs w:val="22"/>
        </w:rPr>
      </w:pPr>
      <w:r w:rsidRPr="004E5A7C">
        <w:rPr>
          <w:b/>
          <w:sz w:val="22"/>
          <w:szCs w:val="22"/>
        </w:rPr>
        <w:t>Posturálna hypotenzia</w:t>
      </w:r>
    </w:p>
    <w:p w14:paraId="6D08937B" w14:textId="77777777" w:rsidR="007476A0" w:rsidRDefault="003C4019" w:rsidP="002E3165">
      <w:pPr>
        <w:rPr>
          <w:sz w:val="22"/>
          <w:szCs w:val="22"/>
        </w:rPr>
      </w:pPr>
      <w:r w:rsidRPr="002F344B">
        <w:rPr>
          <w:sz w:val="22"/>
          <w:szCs w:val="22"/>
        </w:rPr>
        <w:t>V klinických štúdiách olanzapínu sa zriedka u starších pacientov pozorovala posturálna hypotenzia. U pacientov starších ako 65 rokov sa odporúča pravidelne merať krvný tlak.</w:t>
      </w:r>
    </w:p>
    <w:p w14:paraId="7D0ED5CF" w14:textId="77777777" w:rsidR="004E5A7C" w:rsidRPr="004E5A7C" w:rsidRDefault="004E5A7C" w:rsidP="002E3165">
      <w:pPr>
        <w:rPr>
          <w:b/>
          <w:sz w:val="22"/>
          <w:szCs w:val="22"/>
        </w:rPr>
      </w:pPr>
    </w:p>
    <w:p w14:paraId="3D2D576B" w14:textId="77777777" w:rsidR="00894D8C" w:rsidRPr="004E5A7C" w:rsidRDefault="00894D8C" w:rsidP="002E3165">
      <w:pPr>
        <w:rPr>
          <w:b/>
          <w:sz w:val="22"/>
          <w:szCs w:val="22"/>
        </w:rPr>
      </w:pPr>
      <w:r w:rsidRPr="004E5A7C">
        <w:rPr>
          <w:b/>
          <w:sz w:val="22"/>
          <w:szCs w:val="22"/>
        </w:rPr>
        <w:t>Náhla srdcová smrť</w:t>
      </w:r>
    </w:p>
    <w:p w14:paraId="0F7F6908" w14:textId="77777777" w:rsidR="00894D8C" w:rsidRPr="002F344B" w:rsidRDefault="00894D8C" w:rsidP="002E3165">
      <w:pPr>
        <w:rPr>
          <w:sz w:val="22"/>
          <w:szCs w:val="22"/>
        </w:rPr>
      </w:pPr>
      <w:r w:rsidRPr="002F344B">
        <w:rPr>
          <w:sz w:val="22"/>
          <w:szCs w:val="22"/>
        </w:rPr>
        <w:t>V postmarketingovom sledovaní olanzapínu boli nahlásené prípady náhlej srdcovej smrti u pacientov</w:t>
      </w:r>
    </w:p>
    <w:p w14:paraId="25ED247C" w14:textId="77777777" w:rsidR="00894D8C" w:rsidRPr="002F344B" w:rsidRDefault="00894D8C" w:rsidP="002E3165">
      <w:pPr>
        <w:rPr>
          <w:sz w:val="22"/>
          <w:szCs w:val="22"/>
        </w:rPr>
      </w:pPr>
      <w:r w:rsidRPr="002F344B">
        <w:rPr>
          <w:sz w:val="22"/>
          <w:szCs w:val="22"/>
        </w:rPr>
        <w:t>liečených olanzapínom. V retrospektívnej observačnej kohortnej štúdii bolo riziko predpokladanej</w:t>
      </w:r>
    </w:p>
    <w:p w14:paraId="159D74F4" w14:textId="77777777" w:rsidR="00894D8C" w:rsidRPr="002F344B" w:rsidRDefault="00894D8C" w:rsidP="002E3165">
      <w:pPr>
        <w:rPr>
          <w:sz w:val="22"/>
          <w:szCs w:val="22"/>
        </w:rPr>
      </w:pPr>
      <w:r w:rsidRPr="002F344B">
        <w:rPr>
          <w:sz w:val="22"/>
          <w:szCs w:val="22"/>
        </w:rPr>
        <w:t>náhlej srdcovej smrti u pacientov liečených olanzapínom približne dvojnásobné oproti pacientom,</w:t>
      </w:r>
    </w:p>
    <w:p w14:paraId="549C6831" w14:textId="77777777" w:rsidR="00894D8C" w:rsidRPr="002F344B" w:rsidRDefault="00894D8C" w:rsidP="002E3165">
      <w:pPr>
        <w:rPr>
          <w:sz w:val="22"/>
          <w:szCs w:val="22"/>
        </w:rPr>
      </w:pPr>
      <w:r w:rsidRPr="002F344B">
        <w:rPr>
          <w:sz w:val="22"/>
          <w:szCs w:val="22"/>
        </w:rPr>
        <w:t>ktorí neužívali antipsychotiká. V danej štúdii bolo riziko pri použití olanzapínu porovnateľné s rizikom</w:t>
      </w:r>
    </w:p>
    <w:p w14:paraId="0F55F872" w14:textId="77777777" w:rsidR="00894D8C" w:rsidRPr="002F344B" w:rsidRDefault="00894D8C" w:rsidP="002E3165">
      <w:pPr>
        <w:rPr>
          <w:sz w:val="22"/>
          <w:szCs w:val="22"/>
        </w:rPr>
      </w:pPr>
      <w:r w:rsidRPr="002F344B">
        <w:rPr>
          <w:sz w:val="22"/>
          <w:szCs w:val="22"/>
        </w:rPr>
        <w:t>použitia atypických antipsychotík spojených do jednej analýzy.</w:t>
      </w:r>
    </w:p>
    <w:p w14:paraId="7028DC51" w14:textId="77777777" w:rsidR="00894D8C" w:rsidRPr="002F344B" w:rsidRDefault="00894D8C" w:rsidP="002E3165">
      <w:pPr>
        <w:rPr>
          <w:sz w:val="22"/>
          <w:szCs w:val="22"/>
        </w:rPr>
      </w:pPr>
    </w:p>
    <w:p w14:paraId="6A990463" w14:textId="77777777" w:rsidR="00894D8C" w:rsidRPr="004E5A7C" w:rsidRDefault="00894D8C" w:rsidP="002E3165">
      <w:pPr>
        <w:rPr>
          <w:b/>
          <w:i/>
          <w:sz w:val="22"/>
          <w:szCs w:val="22"/>
        </w:rPr>
      </w:pPr>
      <w:r w:rsidRPr="004E5A7C">
        <w:rPr>
          <w:b/>
          <w:i/>
          <w:sz w:val="22"/>
          <w:szCs w:val="22"/>
        </w:rPr>
        <w:t>Pediatrická populácia</w:t>
      </w:r>
    </w:p>
    <w:p w14:paraId="0B4A38A3" w14:textId="77777777" w:rsidR="007476A0" w:rsidRDefault="003C4019" w:rsidP="002E3165">
      <w:pPr>
        <w:rPr>
          <w:sz w:val="22"/>
          <w:szCs w:val="22"/>
        </w:rPr>
      </w:pPr>
      <w:r w:rsidRPr="002F344B">
        <w:rPr>
          <w:sz w:val="22"/>
          <w:szCs w:val="22"/>
        </w:rPr>
        <w:t>Olanzapín nie je indikovaný na liečbu detí a</w:t>
      </w:r>
      <w:r w:rsidR="0006216A" w:rsidRPr="002F344B">
        <w:rPr>
          <w:sz w:val="22"/>
          <w:szCs w:val="22"/>
        </w:rPr>
        <w:t> dospievajúcich</w:t>
      </w:r>
      <w:r w:rsidRPr="002F344B">
        <w:rPr>
          <w:sz w:val="22"/>
          <w:szCs w:val="22"/>
        </w:rPr>
        <w:t xml:space="preserve">. </w:t>
      </w:r>
      <w:r w:rsidR="001C3D04">
        <w:rPr>
          <w:sz w:val="22"/>
          <w:szCs w:val="22"/>
        </w:rPr>
        <w:t>Š</w:t>
      </w:r>
      <w:r w:rsidRPr="002F344B">
        <w:rPr>
          <w:sz w:val="22"/>
          <w:szCs w:val="22"/>
        </w:rPr>
        <w:t xml:space="preserve">túdie s </w:t>
      </w:r>
      <w:r w:rsidR="007056E0" w:rsidRPr="002F344B">
        <w:rPr>
          <w:sz w:val="22"/>
          <w:szCs w:val="22"/>
        </w:rPr>
        <w:t>pacientmi</w:t>
      </w:r>
      <w:r w:rsidRPr="002F344B">
        <w:rPr>
          <w:sz w:val="22"/>
          <w:szCs w:val="22"/>
        </w:rPr>
        <w:t xml:space="preserve"> vo veku 13</w:t>
      </w:r>
      <w:r w:rsidR="009D6BA0" w:rsidRPr="002F344B">
        <w:rPr>
          <w:sz w:val="22"/>
          <w:szCs w:val="22"/>
        </w:rPr>
        <w:t xml:space="preserve"> – </w:t>
      </w:r>
      <w:r w:rsidRPr="002F344B">
        <w:rPr>
          <w:sz w:val="22"/>
          <w:szCs w:val="22"/>
        </w:rPr>
        <w:t xml:space="preserve">17 rokov preukázali rozličné nežiaduce reakcie, vrátane zvýšenia telesnej hmotnosti, zmien metabolických parametrov a zvýšenia hladín prolaktínu (pozri časti </w:t>
      </w:r>
      <w:smartTag w:uri="urn:schemas-microsoft-com:office:smarttags" w:element="metricconverter">
        <w:smartTagPr>
          <w:attr w:name="ProductID" w:val="4.8 a"/>
        </w:smartTagPr>
        <w:r w:rsidRPr="002F344B">
          <w:rPr>
            <w:sz w:val="22"/>
            <w:szCs w:val="22"/>
          </w:rPr>
          <w:t>4.8 a</w:t>
        </w:r>
      </w:smartTag>
      <w:r w:rsidRPr="002F344B">
        <w:rPr>
          <w:sz w:val="22"/>
          <w:szCs w:val="22"/>
        </w:rPr>
        <w:t xml:space="preserve"> 5.1).</w:t>
      </w:r>
    </w:p>
    <w:p w14:paraId="396B838E" w14:textId="77777777" w:rsidR="004E5A7C" w:rsidRPr="002F344B" w:rsidRDefault="004E5A7C" w:rsidP="002E3165">
      <w:pPr>
        <w:rPr>
          <w:sz w:val="22"/>
          <w:szCs w:val="22"/>
        </w:rPr>
      </w:pPr>
    </w:p>
    <w:p w14:paraId="6CA2BD38" w14:textId="77777777" w:rsidR="007476A0" w:rsidRPr="004E5A7C" w:rsidRDefault="003C4019" w:rsidP="002E3165">
      <w:pPr>
        <w:rPr>
          <w:b/>
          <w:sz w:val="22"/>
          <w:szCs w:val="22"/>
        </w:rPr>
      </w:pPr>
      <w:r w:rsidRPr="004E5A7C">
        <w:rPr>
          <w:b/>
          <w:sz w:val="22"/>
          <w:szCs w:val="22"/>
        </w:rPr>
        <w:t>Laktóza</w:t>
      </w:r>
    </w:p>
    <w:p w14:paraId="3A41F6FE" w14:textId="77777777" w:rsidR="007476A0" w:rsidRPr="002F344B" w:rsidRDefault="0084295A" w:rsidP="002E3165">
      <w:pPr>
        <w:rPr>
          <w:sz w:val="22"/>
          <w:szCs w:val="22"/>
        </w:rPr>
      </w:pPr>
      <w:r w:rsidRPr="002F344B">
        <w:rPr>
          <w:sz w:val="22"/>
          <w:szCs w:val="22"/>
        </w:rPr>
        <w:lastRenderedPageBreak/>
        <w:t>OLPINAT</w:t>
      </w:r>
      <w:r w:rsidR="003C4019" w:rsidRPr="002F344B">
        <w:rPr>
          <w:sz w:val="22"/>
          <w:szCs w:val="22"/>
        </w:rPr>
        <w:t xml:space="preserve"> </w:t>
      </w:r>
      <w:r w:rsidR="00D77B81" w:rsidRPr="002F344B">
        <w:rPr>
          <w:sz w:val="22"/>
          <w:szCs w:val="22"/>
        </w:rPr>
        <w:t xml:space="preserve">filmom obalené tablety </w:t>
      </w:r>
      <w:r w:rsidR="003C4019" w:rsidRPr="002F344B">
        <w:rPr>
          <w:sz w:val="22"/>
          <w:szCs w:val="22"/>
        </w:rPr>
        <w:t xml:space="preserve">obsahujú laktózu. Pacienti so zriedkavými dedičnými problémami galaktózovej intolerancie, </w:t>
      </w:r>
      <w:r w:rsidR="00551E87" w:rsidRPr="002F344B">
        <w:rPr>
          <w:sz w:val="22"/>
          <w:szCs w:val="22"/>
        </w:rPr>
        <w:t>lapónskeho deficitu</w:t>
      </w:r>
      <w:r w:rsidR="003C4019" w:rsidRPr="002F344B">
        <w:rPr>
          <w:sz w:val="22"/>
          <w:szCs w:val="22"/>
        </w:rPr>
        <w:t xml:space="preserve"> laktázy alebo </w:t>
      </w:r>
      <w:r w:rsidR="00551E87" w:rsidRPr="002F344B">
        <w:rPr>
          <w:sz w:val="22"/>
          <w:szCs w:val="22"/>
        </w:rPr>
        <w:t>glukózo-galaktózovej malabsorpcie nesmú</w:t>
      </w:r>
      <w:r w:rsidR="003C4019" w:rsidRPr="002F344B">
        <w:rPr>
          <w:sz w:val="22"/>
          <w:szCs w:val="22"/>
          <w:highlight w:val="magenta"/>
        </w:rPr>
        <w:t xml:space="preserve"> </w:t>
      </w:r>
      <w:r w:rsidR="003C4019" w:rsidRPr="002F344B">
        <w:rPr>
          <w:sz w:val="22"/>
          <w:szCs w:val="22"/>
        </w:rPr>
        <w:t>užívať tento liek.</w:t>
      </w:r>
    </w:p>
    <w:p w14:paraId="0FAD4C9D" w14:textId="77777777" w:rsidR="006C0593" w:rsidRPr="002E3165" w:rsidRDefault="006C0593" w:rsidP="002E3165"/>
    <w:p w14:paraId="0660CA74" w14:textId="77777777" w:rsidR="007476A0" w:rsidRPr="0014256C" w:rsidRDefault="00BC181E" w:rsidP="002E3165">
      <w:pPr>
        <w:rPr>
          <w:b/>
        </w:rPr>
      </w:pPr>
      <w:r w:rsidRPr="0014256C">
        <w:rPr>
          <w:b/>
        </w:rPr>
        <w:t>4.5</w:t>
      </w:r>
      <w:r w:rsidRPr="0014256C">
        <w:rPr>
          <w:b/>
        </w:rPr>
        <w:tab/>
      </w:r>
      <w:r w:rsidR="003C4019" w:rsidRPr="0014256C">
        <w:rPr>
          <w:b/>
        </w:rPr>
        <w:t>Liekové a iné interakcie</w:t>
      </w:r>
    </w:p>
    <w:p w14:paraId="4A436615" w14:textId="77777777" w:rsidR="004E012D" w:rsidRPr="002E3165" w:rsidRDefault="004E012D" w:rsidP="002E3165"/>
    <w:p w14:paraId="16B01856" w14:textId="77777777" w:rsidR="007476A0" w:rsidRPr="002F344B" w:rsidRDefault="003C4019" w:rsidP="002E3165">
      <w:pPr>
        <w:rPr>
          <w:sz w:val="22"/>
          <w:szCs w:val="22"/>
        </w:rPr>
      </w:pPr>
      <w:r w:rsidRPr="002F344B">
        <w:rPr>
          <w:sz w:val="22"/>
          <w:szCs w:val="22"/>
        </w:rPr>
        <w:t>Štúdie sledujúce interakcie boli uskutočnené len u dospelých.</w:t>
      </w:r>
    </w:p>
    <w:p w14:paraId="7CA25383" w14:textId="77777777" w:rsidR="004E012D" w:rsidRPr="002F344B" w:rsidRDefault="004E012D" w:rsidP="002E3165">
      <w:pPr>
        <w:rPr>
          <w:sz w:val="22"/>
          <w:szCs w:val="22"/>
        </w:rPr>
      </w:pPr>
    </w:p>
    <w:p w14:paraId="7A6AB23C" w14:textId="77777777" w:rsidR="007476A0" w:rsidRPr="00031CE4" w:rsidRDefault="003C4019" w:rsidP="002E3165">
      <w:pPr>
        <w:rPr>
          <w:b/>
          <w:sz w:val="22"/>
          <w:szCs w:val="22"/>
        </w:rPr>
      </w:pPr>
      <w:r w:rsidRPr="00031CE4">
        <w:rPr>
          <w:b/>
          <w:sz w:val="22"/>
          <w:szCs w:val="22"/>
        </w:rPr>
        <w:t>Možné interakcie ovplyvňujúce olanzapín:</w:t>
      </w:r>
    </w:p>
    <w:p w14:paraId="6A44AC7E" w14:textId="77777777" w:rsidR="007476A0" w:rsidRPr="002F344B" w:rsidRDefault="003C4019" w:rsidP="002E3165">
      <w:pPr>
        <w:rPr>
          <w:sz w:val="22"/>
          <w:szCs w:val="22"/>
        </w:rPr>
      </w:pPr>
      <w:r w:rsidRPr="002F344B">
        <w:rPr>
          <w:sz w:val="22"/>
          <w:szCs w:val="22"/>
        </w:rPr>
        <w:t>Vzhľadom na fakt, že olanzapín je metabolizovaný izoenzýmom CYP1A2, látky, ktoré špecificky indukujú alebo inhibujú tento izoenzým, môžu ovplyvniť farmakokinetiku olanzapínu.</w:t>
      </w:r>
    </w:p>
    <w:p w14:paraId="679A51FC" w14:textId="77777777" w:rsidR="004E012D" w:rsidRPr="002F344B" w:rsidRDefault="004E012D" w:rsidP="002E3165">
      <w:pPr>
        <w:rPr>
          <w:sz w:val="22"/>
          <w:szCs w:val="22"/>
        </w:rPr>
      </w:pPr>
    </w:p>
    <w:p w14:paraId="26482630" w14:textId="77777777" w:rsidR="007476A0" w:rsidRPr="00031CE4" w:rsidRDefault="003C4019" w:rsidP="002E3165">
      <w:pPr>
        <w:rPr>
          <w:b/>
          <w:sz w:val="22"/>
          <w:szCs w:val="22"/>
        </w:rPr>
      </w:pPr>
      <w:r w:rsidRPr="00031CE4">
        <w:rPr>
          <w:b/>
          <w:sz w:val="22"/>
          <w:szCs w:val="22"/>
        </w:rPr>
        <w:t>Indukcia CYP1A2:</w:t>
      </w:r>
    </w:p>
    <w:p w14:paraId="38EDB9A8" w14:textId="77777777" w:rsidR="007476A0" w:rsidRPr="002F344B" w:rsidRDefault="003C4019" w:rsidP="002E3165">
      <w:pPr>
        <w:rPr>
          <w:sz w:val="22"/>
          <w:szCs w:val="22"/>
        </w:rPr>
      </w:pPr>
      <w:r w:rsidRPr="002F344B">
        <w:rPr>
          <w:sz w:val="22"/>
          <w:szCs w:val="22"/>
        </w:rPr>
        <w:t>Fajčenie a karbamazepín môžu indukovať metabolizmus olanzapínu, čo môže následne viesť ku zníženiu koncentrácie olanzapínu. Pozorovali sa zanedbateľné, prípadne len mierne zvýšené hodnoty klírensu olanzapínu. Hoci klinický dopad je pravdepodobne minimálny, odporúča sa klinické monitorovanie a v nevyhnutných prípadoch je možné zvážiť zvýšenie dávok olanzapínu (pozri časť 4.2).</w:t>
      </w:r>
    </w:p>
    <w:p w14:paraId="12F8410B" w14:textId="77777777" w:rsidR="00154171" w:rsidRPr="002F344B" w:rsidRDefault="00154171" w:rsidP="002E3165">
      <w:pPr>
        <w:rPr>
          <w:sz w:val="22"/>
          <w:szCs w:val="22"/>
        </w:rPr>
      </w:pPr>
    </w:p>
    <w:p w14:paraId="58E402C2" w14:textId="77777777" w:rsidR="007476A0" w:rsidRPr="00031CE4" w:rsidRDefault="003C4019" w:rsidP="002E3165">
      <w:pPr>
        <w:rPr>
          <w:b/>
          <w:sz w:val="22"/>
          <w:szCs w:val="22"/>
        </w:rPr>
      </w:pPr>
      <w:r w:rsidRPr="00031CE4">
        <w:rPr>
          <w:b/>
          <w:sz w:val="22"/>
          <w:szCs w:val="22"/>
        </w:rPr>
        <w:t>Inhibícia CYP1A2:</w:t>
      </w:r>
    </w:p>
    <w:p w14:paraId="3E4ABC6B" w14:textId="77777777" w:rsidR="007476A0" w:rsidRPr="002F344B" w:rsidRDefault="003C4019" w:rsidP="002E3165">
      <w:pPr>
        <w:rPr>
          <w:sz w:val="22"/>
          <w:szCs w:val="22"/>
        </w:rPr>
      </w:pPr>
      <w:r w:rsidRPr="002F344B">
        <w:rPr>
          <w:sz w:val="22"/>
          <w:szCs w:val="22"/>
        </w:rPr>
        <w:t>Preukázalo sa, že fluvoxamín, špecifický inhibítor CYP1A2, významne spomaľuje metabolizmus olanzapínu. Priemerné zvýšenie maximálnej koncentrácie (Cmax) olanzapínu fluvoxamínom bolo 54</w:t>
      </w:r>
      <w:r w:rsidR="00C23F57" w:rsidRPr="002F344B">
        <w:rPr>
          <w:sz w:val="22"/>
          <w:szCs w:val="22"/>
        </w:rPr>
        <w:t xml:space="preserve"> </w:t>
      </w:r>
      <w:r w:rsidRPr="002F344B">
        <w:rPr>
          <w:sz w:val="22"/>
          <w:szCs w:val="22"/>
        </w:rPr>
        <w:t>% u žien nefajčiarok a</w:t>
      </w:r>
      <w:r w:rsidR="00B438A8" w:rsidRPr="002F344B">
        <w:rPr>
          <w:sz w:val="22"/>
          <w:szCs w:val="22"/>
        </w:rPr>
        <w:t> </w:t>
      </w:r>
      <w:r w:rsidRPr="002F344B">
        <w:rPr>
          <w:sz w:val="22"/>
          <w:szCs w:val="22"/>
        </w:rPr>
        <w:t>77</w:t>
      </w:r>
      <w:r w:rsidR="00B438A8" w:rsidRPr="002F344B">
        <w:rPr>
          <w:sz w:val="22"/>
          <w:szCs w:val="22"/>
        </w:rPr>
        <w:t xml:space="preserve"> </w:t>
      </w:r>
      <w:r w:rsidRPr="002F344B">
        <w:rPr>
          <w:sz w:val="22"/>
          <w:szCs w:val="22"/>
        </w:rPr>
        <w:t>% u mužov fajčiarov. Priemerné zvýšenie plochy pod krivkou koncentrácie (AUC) olanzapínu bolo 52</w:t>
      </w:r>
      <w:r w:rsidR="008243FB" w:rsidRPr="002F344B">
        <w:rPr>
          <w:sz w:val="22"/>
          <w:szCs w:val="22"/>
        </w:rPr>
        <w:t xml:space="preserve"> </w:t>
      </w:r>
      <w:r w:rsidRPr="002F344B">
        <w:rPr>
          <w:sz w:val="22"/>
          <w:szCs w:val="22"/>
        </w:rPr>
        <w:t>% u žien nefajčiarok a</w:t>
      </w:r>
      <w:r w:rsidR="00ED5FAE" w:rsidRPr="002F344B">
        <w:rPr>
          <w:sz w:val="22"/>
          <w:szCs w:val="22"/>
        </w:rPr>
        <w:t> </w:t>
      </w:r>
      <w:r w:rsidRPr="002F344B">
        <w:rPr>
          <w:sz w:val="22"/>
          <w:szCs w:val="22"/>
        </w:rPr>
        <w:t>108</w:t>
      </w:r>
      <w:r w:rsidR="00ED5FAE" w:rsidRPr="002F344B">
        <w:rPr>
          <w:sz w:val="22"/>
          <w:szCs w:val="22"/>
        </w:rPr>
        <w:t xml:space="preserve"> </w:t>
      </w:r>
      <w:r w:rsidRPr="002F344B">
        <w:rPr>
          <w:sz w:val="22"/>
          <w:szCs w:val="22"/>
        </w:rPr>
        <w:t>% u mužov fajčiarov. U pacientov užívajúcich fluvoxamín, prípadne iný inhibítor CYP1A2, ako napr. ciprofloxacín, sa má zvážiť zníženie počiatočnej dávky olanzapínu. Pri zahájení liečby inhibítorom CYP1A2 sa má zvážiť zníženie dávok olanzapínu.</w:t>
      </w:r>
    </w:p>
    <w:p w14:paraId="542B3CF2" w14:textId="77777777" w:rsidR="00154171" w:rsidRPr="00031CE4" w:rsidRDefault="00154171" w:rsidP="002E3165">
      <w:pPr>
        <w:rPr>
          <w:b/>
          <w:sz w:val="22"/>
          <w:szCs w:val="22"/>
        </w:rPr>
      </w:pPr>
    </w:p>
    <w:p w14:paraId="19CDF538" w14:textId="77777777" w:rsidR="0024366C" w:rsidRPr="00031CE4" w:rsidRDefault="003C4019" w:rsidP="002E3165">
      <w:pPr>
        <w:rPr>
          <w:b/>
          <w:sz w:val="22"/>
          <w:szCs w:val="22"/>
        </w:rPr>
      </w:pPr>
      <w:r w:rsidRPr="00031CE4">
        <w:rPr>
          <w:b/>
          <w:sz w:val="22"/>
          <w:szCs w:val="22"/>
        </w:rPr>
        <w:t>Zníženie biologickej dostupnosti</w:t>
      </w:r>
    </w:p>
    <w:p w14:paraId="0D452F00" w14:textId="77777777" w:rsidR="007476A0" w:rsidRPr="002F344B" w:rsidRDefault="003C4019" w:rsidP="002E3165">
      <w:pPr>
        <w:rPr>
          <w:sz w:val="22"/>
          <w:szCs w:val="22"/>
        </w:rPr>
      </w:pPr>
      <w:r w:rsidRPr="002F344B">
        <w:rPr>
          <w:sz w:val="22"/>
          <w:szCs w:val="22"/>
        </w:rPr>
        <w:t>Aktívne uhlie znižuje biologickú dostupnosť olanzapínu po perorálnom podaní o 50 až 60</w:t>
      </w:r>
      <w:r w:rsidR="005D6014" w:rsidRPr="002F344B">
        <w:rPr>
          <w:sz w:val="22"/>
          <w:szCs w:val="22"/>
        </w:rPr>
        <w:t xml:space="preserve"> </w:t>
      </w:r>
      <w:r w:rsidRPr="002F344B">
        <w:rPr>
          <w:sz w:val="22"/>
          <w:szCs w:val="22"/>
        </w:rPr>
        <w:t>%, preto sa má užívať minimálne 2 hodiny pred, resp. po podaní olanzapínu.</w:t>
      </w:r>
    </w:p>
    <w:p w14:paraId="3228DBAE" w14:textId="77777777" w:rsidR="007476A0" w:rsidRPr="002F344B" w:rsidRDefault="003C4019" w:rsidP="002E3165">
      <w:pPr>
        <w:rPr>
          <w:sz w:val="22"/>
          <w:szCs w:val="22"/>
        </w:rPr>
      </w:pPr>
      <w:r w:rsidRPr="002F344B">
        <w:rPr>
          <w:sz w:val="22"/>
          <w:szCs w:val="22"/>
        </w:rPr>
        <w:t>Fluoxetín (inhibítor CYP2D6), jednorazové dávky antacida (s obsahom hliníka, horčíka) alebo cimetidín, nemali signifikantný vplyv na farmakokinetiku olanzapínu.</w:t>
      </w:r>
    </w:p>
    <w:p w14:paraId="64808364" w14:textId="77777777" w:rsidR="004E012D" w:rsidRPr="002F344B" w:rsidRDefault="004E012D" w:rsidP="002E3165">
      <w:pPr>
        <w:rPr>
          <w:sz w:val="22"/>
          <w:szCs w:val="22"/>
        </w:rPr>
      </w:pPr>
    </w:p>
    <w:p w14:paraId="313D83B9" w14:textId="77777777" w:rsidR="00B00547" w:rsidRPr="00031CE4" w:rsidRDefault="0006216A" w:rsidP="002E3165">
      <w:pPr>
        <w:rPr>
          <w:b/>
          <w:sz w:val="22"/>
          <w:szCs w:val="22"/>
        </w:rPr>
      </w:pPr>
      <w:r w:rsidRPr="00031CE4">
        <w:rPr>
          <w:b/>
          <w:sz w:val="22"/>
          <w:szCs w:val="22"/>
        </w:rPr>
        <w:t xml:space="preserve">Možný vplyv olanzapínu na iné lieky </w:t>
      </w:r>
    </w:p>
    <w:p w14:paraId="1FF3155E" w14:textId="77777777" w:rsidR="007476A0" w:rsidRPr="002F344B" w:rsidRDefault="003C4019" w:rsidP="002E3165">
      <w:pPr>
        <w:rPr>
          <w:sz w:val="22"/>
          <w:szCs w:val="22"/>
        </w:rPr>
      </w:pPr>
      <w:r w:rsidRPr="002F344B">
        <w:rPr>
          <w:sz w:val="22"/>
          <w:szCs w:val="22"/>
        </w:rPr>
        <w:t>Olanzapín môže antagonizovať účinky priamych a nepriamych agonistov dopamínu.</w:t>
      </w:r>
    </w:p>
    <w:p w14:paraId="4B8783BA" w14:textId="77777777" w:rsidR="007476A0" w:rsidRPr="002F344B" w:rsidRDefault="003C4019" w:rsidP="002E3165">
      <w:pPr>
        <w:rPr>
          <w:sz w:val="22"/>
          <w:szCs w:val="22"/>
        </w:rPr>
      </w:pPr>
      <w:r w:rsidRPr="002F344B">
        <w:rPr>
          <w:sz w:val="22"/>
          <w:szCs w:val="22"/>
        </w:rPr>
        <w:t xml:space="preserve">Olanzapín </w:t>
      </w:r>
      <w:r w:rsidRPr="002F344B">
        <w:rPr>
          <w:i/>
          <w:sz w:val="22"/>
          <w:szCs w:val="22"/>
        </w:rPr>
        <w:t>in vitro</w:t>
      </w:r>
      <w:r w:rsidRPr="002F344B">
        <w:rPr>
          <w:sz w:val="22"/>
          <w:szCs w:val="22"/>
        </w:rPr>
        <w:t xml:space="preserve"> neinhibuje hlavné izoenzýmy CYP450 (napr. 1A2, 2D6, 2C9, 2C19, 3A4). Neočakávajú sa preto žiadne osobitné interakcie, čo dokazujú aj </w:t>
      </w:r>
      <w:r w:rsidRPr="002F344B">
        <w:rPr>
          <w:i/>
          <w:sz w:val="22"/>
          <w:szCs w:val="22"/>
        </w:rPr>
        <w:t>in vivo</w:t>
      </w:r>
      <w:r w:rsidRPr="002F344B">
        <w:rPr>
          <w:sz w:val="22"/>
          <w:szCs w:val="22"/>
        </w:rPr>
        <w:t xml:space="preserve"> štúdie, ktoré nepreukázali inhibíciu metabolizmu nasledovných aktívnych látok: tricyklických antidepresív (reprezentujúcich prevažne CYP2D6 cestu metabolizácie), warfarínu (CYP2C9), teofylínu (CYP1A2) alebo diazepamu (CYP3A4 a 2C19).</w:t>
      </w:r>
    </w:p>
    <w:p w14:paraId="28D54279" w14:textId="77777777" w:rsidR="00154171" w:rsidRPr="002F344B" w:rsidRDefault="00154171" w:rsidP="002E3165">
      <w:pPr>
        <w:rPr>
          <w:sz w:val="22"/>
          <w:szCs w:val="22"/>
        </w:rPr>
      </w:pPr>
    </w:p>
    <w:p w14:paraId="1863F5E0" w14:textId="77777777" w:rsidR="007476A0" w:rsidRPr="002F344B" w:rsidRDefault="003C4019" w:rsidP="002E3165">
      <w:pPr>
        <w:rPr>
          <w:sz w:val="22"/>
          <w:szCs w:val="22"/>
        </w:rPr>
      </w:pPr>
      <w:r w:rsidRPr="002F344B">
        <w:rPr>
          <w:sz w:val="22"/>
          <w:szCs w:val="22"/>
        </w:rPr>
        <w:t>Olanzapín nevykazoval žiadnu interakciu so súbežne podávaným lítiom alebo biperidenom.</w:t>
      </w:r>
    </w:p>
    <w:p w14:paraId="4DDC44A7" w14:textId="77777777" w:rsidR="00154171" w:rsidRPr="002F344B" w:rsidRDefault="00154171" w:rsidP="002E3165">
      <w:pPr>
        <w:rPr>
          <w:sz w:val="22"/>
          <w:szCs w:val="22"/>
        </w:rPr>
      </w:pPr>
    </w:p>
    <w:p w14:paraId="16428FF0" w14:textId="77777777" w:rsidR="007476A0" w:rsidRPr="002F344B" w:rsidRDefault="003C4019" w:rsidP="002E3165">
      <w:pPr>
        <w:rPr>
          <w:sz w:val="22"/>
          <w:szCs w:val="22"/>
        </w:rPr>
      </w:pPr>
      <w:r w:rsidRPr="002F344B">
        <w:rPr>
          <w:sz w:val="22"/>
          <w:szCs w:val="22"/>
        </w:rPr>
        <w:t>Monitorovanie terapeutických plazmatických hladín valproátu neukázalo, že by pri zahájení prídavnej medikácie olanzapínom bola požadovaná úprava dávkovania valproátu.</w:t>
      </w:r>
    </w:p>
    <w:p w14:paraId="1298B8CA" w14:textId="77777777" w:rsidR="004E012D" w:rsidRPr="002F344B" w:rsidRDefault="004E012D" w:rsidP="002E3165">
      <w:pPr>
        <w:rPr>
          <w:sz w:val="22"/>
          <w:szCs w:val="22"/>
        </w:rPr>
      </w:pPr>
    </w:p>
    <w:p w14:paraId="07F5E59E" w14:textId="77777777" w:rsidR="007476A0" w:rsidRPr="00031CE4" w:rsidRDefault="007056E0" w:rsidP="002E3165">
      <w:pPr>
        <w:rPr>
          <w:b/>
          <w:sz w:val="22"/>
          <w:szCs w:val="22"/>
        </w:rPr>
      </w:pPr>
      <w:r w:rsidRPr="00031CE4">
        <w:rPr>
          <w:b/>
          <w:sz w:val="22"/>
          <w:szCs w:val="22"/>
        </w:rPr>
        <w:t>Všeobecná</w:t>
      </w:r>
      <w:r w:rsidR="003C4019" w:rsidRPr="00031CE4">
        <w:rPr>
          <w:b/>
          <w:sz w:val="22"/>
          <w:szCs w:val="22"/>
        </w:rPr>
        <w:t xml:space="preserve"> CNS aktivita</w:t>
      </w:r>
    </w:p>
    <w:p w14:paraId="7F7695C4" w14:textId="77777777" w:rsidR="007476A0" w:rsidRPr="002F344B" w:rsidRDefault="003C4019" w:rsidP="002E3165">
      <w:pPr>
        <w:rPr>
          <w:sz w:val="22"/>
          <w:szCs w:val="22"/>
        </w:rPr>
      </w:pPr>
      <w:r w:rsidRPr="002F344B">
        <w:rPr>
          <w:sz w:val="22"/>
          <w:szCs w:val="22"/>
        </w:rPr>
        <w:t>Opatrnosť je potrebná u pacientov konzumujúcich alkohol alebo užívajúcich lieky, ktoré môžu spôsobiť depresiu centrálneho nervového systému.</w:t>
      </w:r>
    </w:p>
    <w:p w14:paraId="035C8953" w14:textId="77777777" w:rsidR="00154171" w:rsidRPr="002F344B" w:rsidRDefault="00154171" w:rsidP="002E3165">
      <w:pPr>
        <w:rPr>
          <w:sz w:val="22"/>
          <w:szCs w:val="22"/>
        </w:rPr>
      </w:pPr>
    </w:p>
    <w:p w14:paraId="100CF837" w14:textId="77777777" w:rsidR="003C4019" w:rsidRPr="002F344B" w:rsidRDefault="003C4019" w:rsidP="002E3165">
      <w:pPr>
        <w:rPr>
          <w:sz w:val="22"/>
          <w:szCs w:val="22"/>
        </w:rPr>
      </w:pPr>
      <w:r w:rsidRPr="002F344B">
        <w:rPr>
          <w:sz w:val="22"/>
          <w:szCs w:val="22"/>
        </w:rPr>
        <w:t>Súbežné užívanie olanzapínu s antiparkinsonikami u pacientov s Parkinsonovou chorobou a demenciou sa neodporúča (pozri časť 4.4).</w:t>
      </w:r>
    </w:p>
    <w:p w14:paraId="5C9B1F42" w14:textId="77777777" w:rsidR="004E012D" w:rsidRPr="00031CE4" w:rsidRDefault="004E012D" w:rsidP="002E3165">
      <w:pPr>
        <w:rPr>
          <w:b/>
          <w:sz w:val="22"/>
          <w:szCs w:val="22"/>
        </w:rPr>
      </w:pPr>
    </w:p>
    <w:p w14:paraId="460B198B" w14:textId="77777777" w:rsidR="007476A0" w:rsidRPr="00031CE4" w:rsidRDefault="003C4019" w:rsidP="002E3165">
      <w:pPr>
        <w:rPr>
          <w:b/>
          <w:sz w:val="22"/>
          <w:szCs w:val="22"/>
        </w:rPr>
      </w:pPr>
      <w:r w:rsidRPr="00031CE4">
        <w:rPr>
          <w:b/>
          <w:sz w:val="22"/>
          <w:szCs w:val="22"/>
        </w:rPr>
        <w:t>QTc interval</w:t>
      </w:r>
    </w:p>
    <w:p w14:paraId="32DFB8EC" w14:textId="77777777" w:rsidR="007476A0" w:rsidRPr="002F344B" w:rsidRDefault="003C4019" w:rsidP="002E3165">
      <w:pPr>
        <w:rPr>
          <w:sz w:val="22"/>
          <w:szCs w:val="22"/>
        </w:rPr>
      </w:pPr>
      <w:r w:rsidRPr="002F344B">
        <w:rPr>
          <w:sz w:val="22"/>
          <w:szCs w:val="22"/>
        </w:rPr>
        <w:t>Opatrnosť je potrebná, ak sa olanzapín podáva súbežne s liekmi, ktoré predlžujú QTc interval (pozri časť 4.4).</w:t>
      </w:r>
    </w:p>
    <w:p w14:paraId="4BC5FDE4" w14:textId="77777777" w:rsidR="004E012D" w:rsidRPr="002F344B" w:rsidRDefault="004E012D" w:rsidP="002E3165">
      <w:pPr>
        <w:rPr>
          <w:sz w:val="22"/>
          <w:szCs w:val="22"/>
        </w:rPr>
      </w:pPr>
    </w:p>
    <w:p w14:paraId="05A9EA99" w14:textId="77777777" w:rsidR="007476A0" w:rsidRPr="00031CE4" w:rsidRDefault="00894D8C" w:rsidP="002E3165">
      <w:pPr>
        <w:rPr>
          <w:b/>
        </w:rPr>
      </w:pPr>
      <w:r w:rsidRPr="00031CE4">
        <w:rPr>
          <w:b/>
        </w:rPr>
        <w:t>4.6</w:t>
      </w:r>
      <w:r w:rsidRPr="00031CE4">
        <w:rPr>
          <w:b/>
        </w:rPr>
        <w:tab/>
        <w:t>Fertilita, g</w:t>
      </w:r>
      <w:r w:rsidR="003C4019" w:rsidRPr="00031CE4">
        <w:rPr>
          <w:b/>
        </w:rPr>
        <w:t>ravidita a</w:t>
      </w:r>
      <w:r w:rsidRPr="00031CE4">
        <w:rPr>
          <w:b/>
        </w:rPr>
        <w:t> </w:t>
      </w:r>
      <w:r w:rsidR="003C4019" w:rsidRPr="00031CE4">
        <w:rPr>
          <w:b/>
        </w:rPr>
        <w:t>laktácia</w:t>
      </w:r>
    </w:p>
    <w:p w14:paraId="6299B018" w14:textId="77777777" w:rsidR="006C39C9" w:rsidRPr="002E3165" w:rsidRDefault="006C39C9" w:rsidP="002E3165">
      <w:pPr>
        <w:rPr>
          <w:u w:val="single"/>
        </w:rPr>
      </w:pPr>
    </w:p>
    <w:p w14:paraId="3D05719E" w14:textId="77777777" w:rsidR="005D4C62" w:rsidRPr="00C34969" w:rsidRDefault="00894D8C" w:rsidP="002E3165">
      <w:pPr>
        <w:rPr>
          <w:sz w:val="22"/>
          <w:szCs w:val="22"/>
          <w:u w:val="single"/>
        </w:rPr>
      </w:pPr>
      <w:r w:rsidRPr="00C34969">
        <w:rPr>
          <w:sz w:val="22"/>
          <w:szCs w:val="22"/>
          <w:u w:val="single"/>
        </w:rPr>
        <w:t>Gravidita</w:t>
      </w:r>
    </w:p>
    <w:p w14:paraId="14E49FA1" w14:textId="77777777" w:rsidR="007476A0" w:rsidRPr="00C34969" w:rsidRDefault="003C4019" w:rsidP="002E3165">
      <w:pPr>
        <w:rPr>
          <w:sz w:val="22"/>
          <w:szCs w:val="22"/>
        </w:rPr>
      </w:pPr>
      <w:r w:rsidRPr="00C34969">
        <w:rPr>
          <w:sz w:val="22"/>
          <w:szCs w:val="22"/>
        </w:rPr>
        <w:t>U gravidných žien sa nevykonali žiadne primerané a dobre kontrolované štúdie. Pacientky musia byť poučené o nutnosti informovania svojich lekárov vtedy, ak počas liečby olanzapínom otehotnejú alebo plánujú tehotenstvo. Avšak, vzhľadom na obmedzené skúsenosti u človeka sa má olanzapín podávať počas gravidity len vtedy, ak jeho potenciálny prínos pre matku prevýši možné riziko pre plod.</w:t>
      </w:r>
    </w:p>
    <w:p w14:paraId="21CCA62D" w14:textId="77777777" w:rsidR="006C39C9" w:rsidRPr="00C34969" w:rsidRDefault="006C39C9" w:rsidP="002E3165">
      <w:pPr>
        <w:rPr>
          <w:sz w:val="22"/>
          <w:szCs w:val="22"/>
        </w:rPr>
      </w:pPr>
    </w:p>
    <w:p w14:paraId="430FD926" w14:textId="77777777" w:rsidR="00894D8C" w:rsidRPr="00C34969" w:rsidRDefault="00894D8C" w:rsidP="002E3165">
      <w:pPr>
        <w:rPr>
          <w:sz w:val="22"/>
          <w:szCs w:val="22"/>
        </w:rPr>
      </w:pPr>
      <w:r w:rsidRPr="00C34969">
        <w:rPr>
          <w:sz w:val="22"/>
          <w:szCs w:val="22"/>
        </w:rPr>
        <w:t>Novorodenci, ktorí boli vystavení pôsobeniu antipsychotík (vrátane olanzapínu) počas tretieho</w:t>
      </w:r>
    </w:p>
    <w:p w14:paraId="520A679C" w14:textId="77777777" w:rsidR="00894D8C" w:rsidRPr="00C34969" w:rsidRDefault="00894D8C" w:rsidP="002E3165">
      <w:pPr>
        <w:rPr>
          <w:sz w:val="22"/>
          <w:szCs w:val="22"/>
        </w:rPr>
      </w:pPr>
      <w:r w:rsidRPr="00C34969">
        <w:rPr>
          <w:sz w:val="22"/>
          <w:szCs w:val="22"/>
        </w:rPr>
        <w:t>trimestra gravidity matky</w:t>
      </w:r>
      <w:r w:rsidR="00A44D3D" w:rsidRPr="00C34969">
        <w:rPr>
          <w:sz w:val="22"/>
          <w:szCs w:val="22"/>
        </w:rPr>
        <w:t>,</w:t>
      </w:r>
      <w:r w:rsidRPr="00C34969">
        <w:rPr>
          <w:sz w:val="22"/>
          <w:szCs w:val="22"/>
        </w:rPr>
        <w:t xml:space="preserve"> sú vystavení riziku vedľajších reakcií vrátane extrapyramidálnych príznakov</w:t>
      </w:r>
    </w:p>
    <w:p w14:paraId="7435BF95" w14:textId="77777777" w:rsidR="00894D8C" w:rsidRPr="00C34969" w:rsidRDefault="00894D8C" w:rsidP="002E3165">
      <w:pPr>
        <w:rPr>
          <w:sz w:val="22"/>
          <w:szCs w:val="22"/>
        </w:rPr>
      </w:pPr>
      <w:r w:rsidRPr="00C34969">
        <w:rPr>
          <w:sz w:val="22"/>
          <w:szCs w:val="22"/>
        </w:rPr>
        <w:t>a/alebo príznakov z vysadenia, ktoré môžu byť premenlivé čo sa týka závažnosti a dĺžky trvania od</w:t>
      </w:r>
    </w:p>
    <w:p w14:paraId="4D03B741" w14:textId="77777777" w:rsidR="00894D8C" w:rsidRPr="00C34969" w:rsidRDefault="00894D8C" w:rsidP="002E3165">
      <w:pPr>
        <w:rPr>
          <w:sz w:val="22"/>
          <w:szCs w:val="22"/>
        </w:rPr>
      </w:pPr>
      <w:r w:rsidRPr="00C34969">
        <w:rPr>
          <w:sz w:val="22"/>
          <w:szCs w:val="22"/>
        </w:rPr>
        <w:t>pôrodu. Boli hlásené prípady agitácie, hypertónie, hypotónie, trasu, ospalosti, dýchacích ťažkostí alebo</w:t>
      </w:r>
    </w:p>
    <w:p w14:paraId="229A29D5" w14:textId="77777777" w:rsidR="00894D8C" w:rsidRPr="00C34969" w:rsidRDefault="00894D8C" w:rsidP="002E3165">
      <w:pPr>
        <w:rPr>
          <w:sz w:val="22"/>
          <w:szCs w:val="22"/>
        </w:rPr>
      </w:pPr>
      <w:r w:rsidRPr="00C34969">
        <w:rPr>
          <w:sz w:val="22"/>
          <w:szCs w:val="22"/>
        </w:rPr>
        <w:t>porúch dojčenia. Novorodenci majú byť preto dôsledne sledovaní.</w:t>
      </w:r>
    </w:p>
    <w:p w14:paraId="0F439577" w14:textId="77777777" w:rsidR="00894D8C" w:rsidRPr="00C34969" w:rsidRDefault="00894D8C" w:rsidP="002E3165">
      <w:pPr>
        <w:rPr>
          <w:sz w:val="22"/>
          <w:szCs w:val="22"/>
        </w:rPr>
      </w:pPr>
    </w:p>
    <w:p w14:paraId="2EC9BBD7" w14:textId="77777777" w:rsidR="00894D8C" w:rsidRPr="00C34969" w:rsidRDefault="00B222E5" w:rsidP="002E3165">
      <w:pPr>
        <w:rPr>
          <w:sz w:val="22"/>
          <w:szCs w:val="22"/>
          <w:u w:val="single"/>
        </w:rPr>
      </w:pPr>
      <w:r w:rsidRPr="00C34969">
        <w:rPr>
          <w:sz w:val="22"/>
          <w:szCs w:val="22"/>
          <w:u w:val="single"/>
        </w:rPr>
        <w:t xml:space="preserve">Dojčenie </w:t>
      </w:r>
    </w:p>
    <w:p w14:paraId="0C37F722" w14:textId="77777777" w:rsidR="005D4C62" w:rsidRPr="00C34969" w:rsidRDefault="003C4019" w:rsidP="002E3165">
      <w:pPr>
        <w:rPr>
          <w:sz w:val="22"/>
          <w:szCs w:val="22"/>
        </w:rPr>
      </w:pPr>
      <w:r w:rsidRPr="00C34969">
        <w:rPr>
          <w:sz w:val="22"/>
          <w:szCs w:val="22"/>
        </w:rPr>
        <w:t>V štúdii sa u zdravých dojčiacich žien olanzapín vylučoval do materského mlieka. Priemerná expozícia dieťaťa (mg/kg) v rovnovážnom stave bola odhadnutá na 1,8</w:t>
      </w:r>
      <w:r w:rsidR="008B2444" w:rsidRPr="00C34969">
        <w:rPr>
          <w:sz w:val="22"/>
          <w:szCs w:val="22"/>
        </w:rPr>
        <w:t xml:space="preserve"> </w:t>
      </w:r>
      <w:r w:rsidRPr="00C34969">
        <w:rPr>
          <w:sz w:val="22"/>
          <w:szCs w:val="22"/>
        </w:rPr>
        <w:t>% z dávky olanzapínu podanej matke (mg/kg). Pacientky je potrebné poučiť o tom, že počas liečby olanzapínom nesmú dojčiť svoje dieťa.</w:t>
      </w:r>
    </w:p>
    <w:p w14:paraId="5A108687" w14:textId="77777777" w:rsidR="0090325B" w:rsidRPr="00C34969" w:rsidRDefault="0090325B" w:rsidP="002E3165">
      <w:pPr>
        <w:rPr>
          <w:sz w:val="22"/>
          <w:szCs w:val="22"/>
          <w:u w:val="single"/>
        </w:rPr>
      </w:pPr>
    </w:p>
    <w:p w14:paraId="4705C534" w14:textId="77777777" w:rsidR="00894D8C" w:rsidRPr="00C34969" w:rsidRDefault="00894D8C" w:rsidP="002E3165">
      <w:pPr>
        <w:rPr>
          <w:sz w:val="22"/>
          <w:szCs w:val="22"/>
          <w:u w:val="single"/>
        </w:rPr>
      </w:pPr>
      <w:r w:rsidRPr="00C34969">
        <w:rPr>
          <w:sz w:val="22"/>
          <w:szCs w:val="22"/>
          <w:u w:val="single"/>
        </w:rPr>
        <w:t>Fertilita</w:t>
      </w:r>
    </w:p>
    <w:p w14:paraId="436B45C4" w14:textId="77777777" w:rsidR="00894D8C" w:rsidRPr="00C34969" w:rsidRDefault="00894D8C" w:rsidP="002E3165">
      <w:pPr>
        <w:rPr>
          <w:sz w:val="22"/>
          <w:szCs w:val="22"/>
        </w:rPr>
      </w:pPr>
      <w:r w:rsidRPr="00C34969">
        <w:rPr>
          <w:sz w:val="22"/>
          <w:szCs w:val="22"/>
        </w:rPr>
        <w:t>Účinky na fertilitu nie sú známe (pozri časť 5.3 s predklinickými infomáciami)</w:t>
      </w:r>
    </w:p>
    <w:p w14:paraId="05603CEF" w14:textId="77777777" w:rsidR="004E012D" w:rsidRPr="002E3165" w:rsidRDefault="004E012D" w:rsidP="002E3165"/>
    <w:p w14:paraId="580E504C" w14:textId="77777777" w:rsidR="007476A0" w:rsidRPr="005055CA" w:rsidRDefault="00894D8C" w:rsidP="002E3165">
      <w:pPr>
        <w:rPr>
          <w:b/>
        </w:rPr>
      </w:pPr>
      <w:r w:rsidRPr="005055CA">
        <w:rPr>
          <w:b/>
        </w:rPr>
        <w:t>4.7</w:t>
      </w:r>
      <w:r w:rsidRPr="005055CA">
        <w:rPr>
          <w:b/>
        </w:rPr>
        <w:tab/>
      </w:r>
      <w:r w:rsidR="003C4019" w:rsidRPr="005055CA">
        <w:rPr>
          <w:b/>
        </w:rPr>
        <w:t>Ovplyvnenie schopnosti viesť vozidlá a obsluhovať stroje</w:t>
      </w:r>
    </w:p>
    <w:p w14:paraId="382B6BA5" w14:textId="77777777" w:rsidR="00B3593C" w:rsidRPr="002E3165" w:rsidRDefault="00B3593C" w:rsidP="002E3165"/>
    <w:p w14:paraId="74CD7254" w14:textId="77777777" w:rsidR="007476A0" w:rsidRPr="005055CA" w:rsidRDefault="003C4019" w:rsidP="002E3165">
      <w:pPr>
        <w:rPr>
          <w:sz w:val="22"/>
          <w:szCs w:val="22"/>
        </w:rPr>
      </w:pPr>
      <w:r w:rsidRPr="005055CA">
        <w:rPr>
          <w:sz w:val="22"/>
          <w:szCs w:val="22"/>
        </w:rPr>
        <w:t>Neuskutočnili sa žiadne štúdie o účinkoch na schopnosť viesť vozidlá a obsluhovať stroje. Nakoľko olanzapín môže spôsobiť ospalosť a závraty, pacienti musia byť opatrní pri obsluhe strojov, vrátane vedenia motorových vozidiel.</w:t>
      </w:r>
    </w:p>
    <w:p w14:paraId="08A7F51C" w14:textId="77777777" w:rsidR="004E012D" w:rsidRPr="002E3165" w:rsidRDefault="004E012D" w:rsidP="002E3165"/>
    <w:p w14:paraId="2E72D890" w14:textId="77777777" w:rsidR="007476A0" w:rsidRPr="005055CA" w:rsidRDefault="00894D8C" w:rsidP="002E3165">
      <w:pPr>
        <w:rPr>
          <w:b/>
        </w:rPr>
      </w:pPr>
      <w:r w:rsidRPr="005055CA">
        <w:rPr>
          <w:b/>
        </w:rPr>
        <w:t>4.8</w:t>
      </w:r>
      <w:r w:rsidRPr="005055CA">
        <w:rPr>
          <w:b/>
        </w:rPr>
        <w:tab/>
      </w:r>
      <w:r w:rsidR="003C4019" w:rsidRPr="005055CA">
        <w:rPr>
          <w:b/>
        </w:rPr>
        <w:t>Nežiaduce účinky</w:t>
      </w:r>
    </w:p>
    <w:p w14:paraId="06EAD84B" w14:textId="77777777" w:rsidR="00895FCF" w:rsidRPr="005055CA" w:rsidRDefault="00895FCF" w:rsidP="002E3165">
      <w:pPr>
        <w:rPr>
          <w:b/>
        </w:rPr>
      </w:pPr>
    </w:p>
    <w:p w14:paraId="7A786FC3" w14:textId="77777777" w:rsidR="008E412D" w:rsidRPr="005055CA" w:rsidRDefault="008E412D" w:rsidP="002E3165">
      <w:pPr>
        <w:rPr>
          <w:sz w:val="22"/>
          <w:szCs w:val="22"/>
          <w:u w:val="single"/>
        </w:rPr>
      </w:pPr>
      <w:r w:rsidRPr="005055CA">
        <w:rPr>
          <w:sz w:val="22"/>
          <w:szCs w:val="22"/>
          <w:u w:val="single"/>
        </w:rPr>
        <w:t>Súhrn bezpečnostného profilu</w:t>
      </w:r>
    </w:p>
    <w:p w14:paraId="796486B8" w14:textId="77777777" w:rsidR="00354925" w:rsidRPr="005055CA" w:rsidRDefault="00354925" w:rsidP="002E3165">
      <w:pPr>
        <w:rPr>
          <w:sz w:val="22"/>
          <w:szCs w:val="22"/>
          <w:u w:val="single"/>
        </w:rPr>
      </w:pPr>
    </w:p>
    <w:p w14:paraId="20913CDA" w14:textId="77777777" w:rsidR="007476A0" w:rsidRPr="00031CE4" w:rsidRDefault="003C4019" w:rsidP="002E3165">
      <w:pPr>
        <w:rPr>
          <w:i/>
          <w:sz w:val="22"/>
          <w:szCs w:val="22"/>
        </w:rPr>
      </w:pPr>
      <w:r w:rsidRPr="00031CE4">
        <w:rPr>
          <w:i/>
          <w:sz w:val="22"/>
          <w:szCs w:val="22"/>
        </w:rPr>
        <w:t>Dospelí</w:t>
      </w:r>
    </w:p>
    <w:p w14:paraId="7ED84258" w14:textId="77777777" w:rsidR="008E412D" w:rsidRPr="005055CA" w:rsidRDefault="003C4019" w:rsidP="002E3165">
      <w:pPr>
        <w:rPr>
          <w:sz w:val="22"/>
          <w:szCs w:val="22"/>
        </w:rPr>
      </w:pPr>
      <w:r w:rsidRPr="005055CA">
        <w:rPr>
          <w:sz w:val="22"/>
          <w:szCs w:val="22"/>
        </w:rPr>
        <w:t>Najčastejšie hlásené nežiaduce reakcie (pozorované u ≥ 1</w:t>
      </w:r>
      <w:r w:rsidR="00CC4768" w:rsidRPr="005055CA">
        <w:rPr>
          <w:sz w:val="22"/>
          <w:szCs w:val="22"/>
        </w:rPr>
        <w:t xml:space="preserve"> </w:t>
      </w:r>
      <w:r w:rsidRPr="005055CA">
        <w:rPr>
          <w:sz w:val="22"/>
          <w:szCs w:val="22"/>
        </w:rPr>
        <w:t>% pacientov) spojené s užívaním olanzapínu v klinických štúdiách boli ospalosť, nárast telesnej hmotnosti, eozinofília, zvýšenie hladiny prolaktínu, cholesterolu, glukózy a triglyceridov (pozri časť 4.4), glukozúria, zvýšená chuť do jedla, závrat, akatízia, parkinsonizmus</w:t>
      </w:r>
      <w:r w:rsidR="008E412D" w:rsidRPr="005055CA">
        <w:rPr>
          <w:sz w:val="22"/>
          <w:szCs w:val="22"/>
        </w:rPr>
        <w:t>,</w:t>
      </w:r>
      <w:r w:rsidRPr="005055CA">
        <w:rPr>
          <w:sz w:val="22"/>
          <w:szCs w:val="22"/>
        </w:rPr>
        <w:t xml:space="preserve"> </w:t>
      </w:r>
      <w:r w:rsidR="008E412D" w:rsidRPr="005055CA">
        <w:rPr>
          <w:sz w:val="22"/>
          <w:szCs w:val="22"/>
        </w:rPr>
        <w:t xml:space="preserve">leukopénia, neutropénia </w:t>
      </w:r>
      <w:r w:rsidRPr="005055CA">
        <w:rPr>
          <w:sz w:val="22"/>
          <w:szCs w:val="22"/>
        </w:rPr>
        <w:t>(pozri časť 4.4), dyskinéza, ortostatická hypotenzia, anticholinergné účinky, prechodné asymptomatické zvýšenie</w:t>
      </w:r>
      <w:r w:rsidR="009F7B97" w:rsidRPr="005055CA">
        <w:rPr>
          <w:sz w:val="22"/>
          <w:szCs w:val="22"/>
        </w:rPr>
        <w:t xml:space="preserve"> </w:t>
      </w:r>
      <w:r w:rsidRPr="005055CA">
        <w:rPr>
          <w:sz w:val="22"/>
          <w:szCs w:val="22"/>
        </w:rPr>
        <w:t xml:space="preserve">pečeňových </w:t>
      </w:r>
      <w:r w:rsidR="008E412D" w:rsidRPr="005055CA">
        <w:rPr>
          <w:sz w:val="22"/>
          <w:szCs w:val="22"/>
        </w:rPr>
        <w:t xml:space="preserve">aminotransferáz </w:t>
      </w:r>
      <w:r w:rsidRPr="005055CA">
        <w:rPr>
          <w:sz w:val="22"/>
          <w:szCs w:val="22"/>
        </w:rPr>
        <w:t>(pozri časť 4.4), vyrážka, asténia, únava</w:t>
      </w:r>
      <w:r w:rsidR="008E412D" w:rsidRPr="005055CA">
        <w:rPr>
          <w:sz w:val="22"/>
          <w:szCs w:val="22"/>
        </w:rPr>
        <w:t>,</w:t>
      </w:r>
      <w:r w:rsidRPr="005055CA">
        <w:rPr>
          <w:sz w:val="22"/>
          <w:szCs w:val="22"/>
        </w:rPr>
        <w:t xml:space="preserve"> </w:t>
      </w:r>
      <w:r w:rsidR="009F7B97" w:rsidRPr="005055CA">
        <w:rPr>
          <w:sz w:val="22"/>
          <w:szCs w:val="22"/>
        </w:rPr>
        <w:t>pyrexia</w:t>
      </w:r>
      <w:r w:rsidR="008E412D" w:rsidRPr="005055CA">
        <w:rPr>
          <w:sz w:val="22"/>
          <w:szCs w:val="22"/>
        </w:rPr>
        <w:t xml:space="preserve">, artralgia, zvýšená hladina alkalickej fosfatázy,vysoká hladina gama glutamyltransferázy, vysoká hladina kyseliny močovej, vysoká hladina kreatínfosfokinázy </w:t>
      </w:r>
      <w:r w:rsidRPr="005055CA">
        <w:rPr>
          <w:sz w:val="22"/>
          <w:szCs w:val="22"/>
        </w:rPr>
        <w:t>a</w:t>
      </w:r>
      <w:r w:rsidR="008E412D" w:rsidRPr="005055CA">
        <w:rPr>
          <w:sz w:val="22"/>
          <w:szCs w:val="22"/>
        </w:rPr>
        <w:t> </w:t>
      </w:r>
      <w:r w:rsidRPr="005055CA">
        <w:rPr>
          <w:sz w:val="22"/>
          <w:szCs w:val="22"/>
        </w:rPr>
        <w:t>edém</w:t>
      </w:r>
      <w:r w:rsidR="008E412D" w:rsidRPr="005055CA">
        <w:rPr>
          <w:sz w:val="22"/>
          <w:szCs w:val="22"/>
        </w:rPr>
        <w:t>.</w:t>
      </w:r>
    </w:p>
    <w:p w14:paraId="4976314A" w14:textId="77777777" w:rsidR="008E412D" w:rsidRPr="005055CA" w:rsidRDefault="008E412D" w:rsidP="002E3165">
      <w:pPr>
        <w:rPr>
          <w:sz w:val="22"/>
          <w:szCs w:val="22"/>
        </w:rPr>
      </w:pPr>
    </w:p>
    <w:p w14:paraId="564DBF85" w14:textId="77777777" w:rsidR="007476A0" w:rsidRPr="005055CA" w:rsidRDefault="008E412D" w:rsidP="002E3165">
      <w:pPr>
        <w:rPr>
          <w:sz w:val="22"/>
          <w:szCs w:val="22"/>
          <w:u w:val="single"/>
        </w:rPr>
      </w:pPr>
      <w:r w:rsidRPr="005055CA">
        <w:rPr>
          <w:sz w:val="22"/>
          <w:szCs w:val="22"/>
          <w:u w:val="single"/>
        </w:rPr>
        <w:t>Tabuľka nežiaducich reakcií</w:t>
      </w:r>
    </w:p>
    <w:p w14:paraId="7FB930C6" w14:textId="77777777" w:rsidR="007476A0" w:rsidRPr="005055CA" w:rsidRDefault="003C4019" w:rsidP="002E3165">
      <w:pPr>
        <w:rPr>
          <w:sz w:val="22"/>
          <w:szCs w:val="22"/>
        </w:rPr>
      </w:pPr>
      <w:r w:rsidRPr="005055CA">
        <w:rPr>
          <w:sz w:val="22"/>
          <w:szCs w:val="22"/>
        </w:rPr>
        <w:t xml:space="preserve">V nasledujúcej tabuľke sú uvedené nežiaduce </w:t>
      </w:r>
      <w:r w:rsidR="00FA7A90" w:rsidRPr="005055CA">
        <w:rPr>
          <w:sz w:val="22"/>
          <w:szCs w:val="22"/>
        </w:rPr>
        <w:t xml:space="preserve">účinky </w:t>
      </w:r>
      <w:r w:rsidRPr="005055CA">
        <w:rPr>
          <w:sz w:val="22"/>
          <w:szCs w:val="22"/>
        </w:rPr>
        <w:t>a laboratórne vyšetrenia získané zo spontánnych hlásení a z klinických štúdií. V rámci jednotlivých skupín frekvencií sú nežiaduce účinky usporiadané v poradí klesajúcej závažnosti. Frekvencia je definovaná nasledovne: Veľmi časté (≥</w:t>
      </w:r>
      <w:r w:rsidR="00C131F7" w:rsidRPr="005055CA">
        <w:rPr>
          <w:noProof/>
          <w:sz w:val="22"/>
          <w:szCs w:val="22"/>
        </w:rPr>
        <w:t>1/10</w:t>
      </w:r>
      <w:r w:rsidRPr="005055CA">
        <w:rPr>
          <w:sz w:val="22"/>
          <w:szCs w:val="22"/>
        </w:rPr>
        <w:t>), časté (≥</w:t>
      </w:r>
      <w:r w:rsidR="00C131F7" w:rsidRPr="005055CA">
        <w:rPr>
          <w:noProof/>
          <w:sz w:val="22"/>
          <w:szCs w:val="22"/>
        </w:rPr>
        <w:t xml:space="preserve">1/100 až  </w:t>
      </w:r>
      <w:r w:rsidR="00C131F7" w:rsidRPr="005055CA">
        <w:rPr>
          <w:noProof/>
          <w:sz w:val="22"/>
          <w:szCs w:val="22"/>
        </w:rPr>
        <w:lastRenderedPageBreak/>
        <w:t>&lt;1/10</w:t>
      </w:r>
      <w:r w:rsidRPr="005055CA">
        <w:rPr>
          <w:sz w:val="22"/>
          <w:szCs w:val="22"/>
        </w:rPr>
        <w:t>), menej časté (≥</w:t>
      </w:r>
      <w:r w:rsidR="00C131F7" w:rsidRPr="005055CA">
        <w:rPr>
          <w:noProof/>
          <w:sz w:val="22"/>
          <w:szCs w:val="22"/>
        </w:rPr>
        <w:t>1/1 000 to &lt;1/100</w:t>
      </w:r>
      <w:r w:rsidR="00C131F7" w:rsidRPr="005055CA">
        <w:rPr>
          <w:sz w:val="22"/>
          <w:szCs w:val="22"/>
        </w:rPr>
        <w:t>)</w:t>
      </w:r>
      <w:r w:rsidRPr="005055CA">
        <w:rPr>
          <w:sz w:val="22"/>
          <w:szCs w:val="22"/>
        </w:rPr>
        <w:t>, zriedkavé (≥</w:t>
      </w:r>
      <w:r w:rsidR="00DC19F4" w:rsidRPr="005055CA">
        <w:rPr>
          <w:noProof/>
          <w:sz w:val="22"/>
          <w:szCs w:val="22"/>
        </w:rPr>
        <w:t>1/10 000 to &lt;1/1 000</w:t>
      </w:r>
      <w:r w:rsidR="00DC19F4" w:rsidRPr="005055CA">
        <w:rPr>
          <w:sz w:val="22"/>
          <w:szCs w:val="22"/>
        </w:rPr>
        <w:t>)</w:t>
      </w:r>
      <w:r w:rsidRPr="005055CA">
        <w:rPr>
          <w:sz w:val="22"/>
          <w:szCs w:val="22"/>
        </w:rPr>
        <w:t>, veľmi zriedkavé (&lt;</w:t>
      </w:r>
      <w:r w:rsidR="00DC19F4" w:rsidRPr="005055CA">
        <w:rPr>
          <w:noProof/>
          <w:sz w:val="22"/>
          <w:szCs w:val="22"/>
        </w:rPr>
        <w:t>1/10 000</w:t>
      </w:r>
      <w:r w:rsidRPr="005055CA">
        <w:rPr>
          <w:sz w:val="22"/>
          <w:szCs w:val="22"/>
        </w:rPr>
        <w:t>), neznáme (nemožno odhadnúť z dostupných údajov).</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6781"/>
      </w:tblGrid>
      <w:tr w:rsidR="006E1744" w:rsidRPr="005055CA" w14:paraId="67D8B288" w14:textId="77777777" w:rsidTr="001A71DA">
        <w:tc>
          <w:tcPr>
            <w:tcW w:w="3227" w:type="dxa"/>
          </w:tcPr>
          <w:p w14:paraId="7E910580" w14:textId="77777777" w:rsidR="006E1744" w:rsidRPr="005055CA" w:rsidRDefault="006E1744" w:rsidP="002E3165">
            <w:pPr>
              <w:rPr>
                <w:sz w:val="22"/>
                <w:szCs w:val="22"/>
              </w:rPr>
            </w:pPr>
            <w:r w:rsidRPr="005055CA">
              <w:rPr>
                <w:sz w:val="22"/>
                <w:szCs w:val="22"/>
              </w:rPr>
              <w:t>Tried</w:t>
            </w:r>
            <w:r w:rsidR="00C24392" w:rsidRPr="005055CA">
              <w:rPr>
                <w:sz w:val="22"/>
                <w:szCs w:val="22"/>
              </w:rPr>
              <w:t>y</w:t>
            </w:r>
            <w:r w:rsidRPr="005055CA">
              <w:rPr>
                <w:sz w:val="22"/>
                <w:szCs w:val="22"/>
              </w:rPr>
              <w:t xml:space="preserve"> orgánových systémov</w:t>
            </w:r>
          </w:p>
        </w:tc>
        <w:tc>
          <w:tcPr>
            <w:tcW w:w="6781" w:type="dxa"/>
          </w:tcPr>
          <w:p w14:paraId="1C8CFD28" w14:textId="77777777" w:rsidR="006E1744" w:rsidRPr="005055CA" w:rsidRDefault="006E1744" w:rsidP="002E3165">
            <w:pPr>
              <w:rPr>
                <w:sz w:val="22"/>
                <w:szCs w:val="22"/>
              </w:rPr>
            </w:pPr>
            <w:r w:rsidRPr="005055CA">
              <w:rPr>
                <w:sz w:val="22"/>
                <w:szCs w:val="22"/>
              </w:rPr>
              <w:t>Skupina frekvencií</w:t>
            </w:r>
          </w:p>
        </w:tc>
      </w:tr>
      <w:tr w:rsidR="006E1744" w:rsidRPr="005055CA" w14:paraId="3C329D1D" w14:textId="77777777" w:rsidTr="001A71DA">
        <w:tc>
          <w:tcPr>
            <w:tcW w:w="10008" w:type="dxa"/>
            <w:gridSpan w:val="2"/>
          </w:tcPr>
          <w:p w14:paraId="7F4604C9" w14:textId="77777777" w:rsidR="006E1744" w:rsidRPr="005055CA" w:rsidRDefault="006E1744" w:rsidP="002E3165">
            <w:pPr>
              <w:rPr>
                <w:b/>
                <w:sz w:val="22"/>
                <w:szCs w:val="22"/>
                <w:lang w:val="en-GB"/>
              </w:rPr>
            </w:pPr>
            <w:r w:rsidRPr="005055CA">
              <w:rPr>
                <w:b/>
                <w:sz w:val="22"/>
                <w:szCs w:val="22"/>
              </w:rPr>
              <w:t>Poruchy krvi a lymfatického systému</w:t>
            </w:r>
          </w:p>
        </w:tc>
      </w:tr>
      <w:tr w:rsidR="006E1744" w:rsidRPr="005055CA" w14:paraId="7DF24792" w14:textId="77777777" w:rsidTr="001A71DA">
        <w:tc>
          <w:tcPr>
            <w:tcW w:w="3227" w:type="dxa"/>
          </w:tcPr>
          <w:p w14:paraId="7CC23261" w14:textId="77777777" w:rsidR="006E1744" w:rsidRPr="005055CA" w:rsidRDefault="006E1744" w:rsidP="002E3165">
            <w:pPr>
              <w:rPr>
                <w:sz w:val="22"/>
                <w:szCs w:val="22"/>
                <w:lang w:val="en-US"/>
              </w:rPr>
            </w:pPr>
            <w:r w:rsidRPr="005055CA">
              <w:rPr>
                <w:sz w:val="22"/>
                <w:szCs w:val="22"/>
              </w:rPr>
              <w:t>Časté</w:t>
            </w:r>
          </w:p>
        </w:tc>
        <w:tc>
          <w:tcPr>
            <w:tcW w:w="6781" w:type="dxa"/>
          </w:tcPr>
          <w:p w14:paraId="4113B311" w14:textId="77777777" w:rsidR="008E412D" w:rsidRPr="005055CA" w:rsidRDefault="006E1744" w:rsidP="002E3165">
            <w:pPr>
              <w:rPr>
                <w:sz w:val="22"/>
                <w:szCs w:val="22"/>
                <w:lang w:val="en-US"/>
              </w:rPr>
            </w:pPr>
            <w:r w:rsidRPr="005055CA">
              <w:rPr>
                <w:sz w:val="22"/>
                <w:szCs w:val="22"/>
              </w:rPr>
              <w:t>Eozinofília</w:t>
            </w:r>
            <w:r w:rsidRPr="005055CA">
              <w:rPr>
                <w:sz w:val="22"/>
                <w:szCs w:val="22"/>
                <w:lang w:val="en-US"/>
              </w:rPr>
              <w:t xml:space="preserve"> </w:t>
            </w:r>
          </w:p>
          <w:p w14:paraId="2BC96885" w14:textId="77777777" w:rsidR="008E412D" w:rsidRPr="005055CA" w:rsidRDefault="008E412D" w:rsidP="002E3165">
            <w:pPr>
              <w:rPr>
                <w:sz w:val="22"/>
                <w:szCs w:val="22"/>
              </w:rPr>
            </w:pPr>
            <w:r w:rsidRPr="005055CA">
              <w:rPr>
                <w:sz w:val="22"/>
                <w:szCs w:val="22"/>
              </w:rPr>
              <w:t>Leukopénia</w:t>
            </w:r>
            <w:r w:rsidR="006504AC" w:rsidRPr="005055CA">
              <w:rPr>
                <w:sz w:val="22"/>
                <w:szCs w:val="22"/>
                <w:vertAlign w:val="superscript"/>
              </w:rPr>
              <w:t>10</w:t>
            </w:r>
          </w:p>
          <w:p w14:paraId="68BB8BE2" w14:textId="77777777" w:rsidR="006E1744" w:rsidRPr="005055CA" w:rsidRDefault="008E412D" w:rsidP="002E3165">
            <w:pPr>
              <w:rPr>
                <w:sz w:val="22"/>
                <w:szCs w:val="22"/>
                <w:lang w:val="en-US"/>
              </w:rPr>
            </w:pPr>
            <w:r w:rsidRPr="005055CA">
              <w:rPr>
                <w:sz w:val="22"/>
                <w:szCs w:val="22"/>
              </w:rPr>
              <w:t>Neutropénia</w:t>
            </w:r>
            <w:r w:rsidR="006504AC" w:rsidRPr="005055CA">
              <w:rPr>
                <w:sz w:val="22"/>
                <w:szCs w:val="22"/>
                <w:vertAlign w:val="superscript"/>
              </w:rPr>
              <w:t>10</w:t>
            </w:r>
          </w:p>
        </w:tc>
      </w:tr>
      <w:tr w:rsidR="006E1744" w:rsidRPr="005055CA" w14:paraId="77A52351" w14:textId="77777777" w:rsidTr="001A71DA">
        <w:tc>
          <w:tcPr>
            <w:tcW w:w="3227" w:type="dxa"/>
          </w:tcPr>
          <w:p w14:paraId="52B0B083" w14:textId="77777777" w:rsidR="006E1744" w:rsidRPr="005055CA" w:rsidRDefault="008E412D" w:rsidP="002E3165">
            <w:pPr>
              <w:rPr>
                <w:sz w:val="22"/>
                <w:szCs w:val="22"/>
                <w:lang w:val="en-US"/>
              </w:rPr>
            </w:pPr>
            <w:r w:rsidRPr="005055CA">
              <w:rPr>
                <w:sz w:val="22"/>
                <w:szCs w:val="22"/>
              </w:rPr>
              <w:t>Zriedkavé</w:t>
            </w:r>
          </w:p>
        </w:tc>
        <w:tc>
          <w:tcPr>
            <w:tcW w:w="6781" w:type="dxa"/>
          </w:tcPr>
          <w:p w14:paraId="5F7070D2" w14:textId="77777777" w:rsidR="006E1744" w:rsidRPr="005055CA" w:rsidRDefault="006E1744" w:rsidP="002E3165">
            <w:pPr>
              <w:rPr>
                <w:sz w:val="22"/>
                <w:szCs w:val="22"/>
                <w:lang w:val="en-GB"/>
              </w:rPr>
            </w:pPr>
            <w:r w:rsidRPr="005055CA">
              <w:rPr>
                <w:sz w:val="22"/>
                <w:szCs w:val="22"/>
              </w:rPr>
              <w:t>Trombocytopénia</w:t>
            </w:r>
            <w:r w:rsidR="006504AC" w:rsidRPr="005055CA">
              <w:rPr>
                <w:sz w:val="22"/>
                <w:szCs w:val="22"/>
                <w:vertAlign w:val="superscript"/>
              </w:rPr>
              <w:t>11</w:t>
            </w:r>
          </w:p>
        </w:tc>
      </w:tr>
      <w:tr w:rsidR="006E1744" w:rsidRPr="005055CA" w14:paraId="286DD36D" w14:textId="77777777" w:rsidTr="001A71DA">
        <w:tc>
          <w:tcPr>
            <w:tcW w:w="10008" w:type="dxa"/>
            <w:gridSpan w:val="2"/>
          </w:tcPr>
          <w:p w14:paraId="1548E45F" w14:textId="77777777" w:rsidR="006E1744" w:rsidRPr="005055CA" w:rsidRDefault="006E1744" w:rsidP="002E3165">
            <w:pPr>
              <w:rPr>
                <w:b/>
                <w:sz w:val="22"/>
                <w:szCs w:val="22"/>
                <w:lang w:val="en-GB"/>
              </w:rPr>
            </w:pPr>
            <w:r w:rsidRPr="005055CA">
              <w:rPr>
                <w:b/>
                <w:sz w:val="22"/>
                <w:szCs w:val="22"/>
              </w:rPr>
              <w:t>Poruchy imunitného systému</w:t>
            </w:r>
          </w:p>
        </w:tc>
      </w:tr>
      <w:tr w:rsidR="006E1744" w:rsidRPr="005055CA" w14:paraId="6E5F414F" w14:textId="77777777" w:rsidTr="001A71DA">
        <w:tc>
          <w:tcPr>
            <w:tcW w:w="3227" w:type="dxa"/>
          </w:tcPr>
          <w:p w14:paraId="1854B7F2" w14:textId="77777777" w:rsidR="006E1744" w:rsidRPr="005055CA" w:rsidRDefault="006504AC" w:rsidP="002E3165">
            <w:pPr>
              <w:rPr>
                <w:b/>
                <w:sz w:val="22"/>
                <w:szCs w:val="22"/>
                <w:lang w:val="en-GB"/>
              </w:rPr>
            </w:pPr>
            <w:r w:rsidRPr="005055CA">
              <w:rPr>
                <w:sz w:val="22"/>
                <w:szCs w:val="22"/>
              </w:rPr>
              <w:t>Menej časté</w:t>
            </w:r>
          </w:p>
        </w:tc>
        <w:tc>
          <w:tcPr>
            <w:tcW w:w="6781" w:type="dxa"/>
          </w:tcPr>
          <w:p w14:paraId="05216D00" w14:textId="77777777" w:rsidR="006E1744" w:rsidRPr="005055CA" w:rsidRDefault="006E1744" w:rsidP="002E3165">
            <w:pPr>
              <w:rPr>
                <w:b/>
                <w:sz w:val="22"/>
                <w:szCs w:val="22"/>
                <w:lang w:val="en-GB"/>
              </w:rPr>
            </w:pPr>
            <w:r w:rsidRPr="005055CA">
              <w:rPr>
                <w:sz w:val="22"/>
                <w:szCs w:val="22"/>
              </w:rPr>
              <w:t>Alergická reakcia</w:t>
            </w:r>
            <w:r w:rsidR="006504AC" w:rsidRPr="005055CA">
              <w:rPr>
                <w:sz w:val="22"/>
                <w:szCs w:val="22"/>
                <w:vertAlign w:val="superscript"/>
              </w:rPr>
              <w:t>11</w:t>
            </w:r>
          </w:p>
        </w:tc>
      </w:tr>
      <w:tr w:rsidR="006E1744" w:rsidRPr="005055CA" w14:paraId="1C280908" w14:textId="77777777" w:rsidTr="001A71DA">
        <w:tc>
          <w:tcPr>
            <w:tcW w:w="10008" w:type="dxa"/>
            <w:gridSpan w:val="2"/>
          </w:tcPr>
          <w:p w14:paraId="57596943" w14:textId="77777777" w:rsidR="006E1744" w:rsidRPr="005055CA" w:rsidRDefault="006E1744" w:rsidP="002E3165">
            <w:pPr>
              <w:rPr>
                <w:b/>
                <w:sz w:val="22"/>
                <w:szCs w:val="22"/>
                <w:lang w:val="en-GB"/>
              </w:rPr>
            </w:pPr>
            <w:r w:rsidRPr="005055CA">
              <w:rPr>
                <w:b/>
                <w:sz w:val="22"/>
                <w:szCs w:val="22"/>
              </w:rPr>
              <w:t>Poruchy metabolizmu a výživy</w:t>
            </w:r>
          </w:p>
        </w:tc>
      </w:tr>
      <w:tr w:rsidR="006E1744" w:rsidRPr="005055CA" w14:paraId="5C72B917" w14:textId="77777777" w:rsidTr="001A71DA">
        <w:tc>
          <w:tcPr>
            <w:tcW w:w="3227" w:type="dxa"/>
          </w:tcPr>
          <w:p w14:paraId="46EF3BA4" w14:textId="77777777" w:rsidR="006E1744" w:rsidRPr="005055CA" w:rsidRDefault="006E1744" w:rsidP="002E3165">
            <w:pPr>
              <w:rPr>
                <w:sz w:val="22"/>
                <w:szCs w:val="22"/>
                <w:lang w:val="en-US"/>
              </w:rPr>
            </w:pPr>
            <w:r w:rsidRPr="005055CA">
              <w:rPr>
                <w:sz w:val="22"/>
                <w:szCs w:val="22"/>
                <w:lang w:val="en-US"/>
              </w:rPr>
              <w:t>Veľmi časté</w:t>
            </w:r>
          </w:p>
        </w:tc>
        <w:tc>
          <w:tcPr>
            <w:tcW w:w="6781" w:type="dxa"/>
          </w:tcPr>
          <w:p w14:paraId="62CFE435" w14:textId="77777777" w:rsidR="006E1744" w:rsidRPr="005055CA" w:rsidRDefault="006E1744" w:rsidP="002E3165">
            <w:pPr>
              <w:rPr>
                <w:sz w:val="22"/>
                <w:szCs w:val="22"/>
                <w:lang w:val="en-US"/>
              </w:rPr>
            </w:pPr>
            <w:r w:rsidRPr="005055CA">
              <w:rPr>
                <w:sz w:val="22"/>
                <w:szCs w:val="22"/>
              </w:rPr>
              <w:t>Zvýšenie telesnej hmotnosti</w:t>
            </w:r>
            <w:r w:rsidRPr="005055CA">
              <w:rPr>
                <w:sz w:val="22"/>
                <w:szCs w:val="22"/>
                <w:vertAlign w:val="superscript"/>
              </w:rPr>
              <w:t>1</w:t>
            </w:r>
          </w:p>
        </w:tc>
      </w:tr>
      <w:tr w:rsidR="006E1744" w:rsidRPr="005055CA" w14:paraId="70AF06B0" w14:textId="77777777" w:rsidTr="001A71DA">
        <w:tc>
          <w:tcPr>
            <w:tcW w:w="3227" w:type="dxa"/>
          </w:tcPr>
          <w:p w14:paraId="3833A084" w14:textId="77777777" w:rsidR="006E1744" w:rsidRPr="005055CA" w:rsidRDefault="006E1744" w:rsidP="002E3165">
            <w:pPr>
              <w:rPr>
                <w:sz w:val="22"/>
                <w:szCs w:val="22"/>
                <w:lang w:val="en-GB"/>
              </w:rPr>
            </w:pPr>
            <w:r w:rsidRPr="005055CA">
              <w:rPr>
                <w:sz w:val="22"/>
                <w:szCs w:val="22"/>
                <w:lang w:val="en-GB"/>
              </w:rPr>
              <w:t>Časté</w:t>
            </w:r>
          </w:p>
        </w:tc>
        <w:tc>
          <w:tcPr>
            <w:tcW w:w="6781" w:type="dxa"/>
          </w:tcPr>
          <w:p w14:paraId="2FA1B6C7" w14:textId="77777777" w:rsidR="006E1744" w:rsidRPr="005055CA" w:rsidRDefault="006E1744" w:rsidP="002E3165">
            <w:pPr>
              <w:rPr>
                <w:sz w:val="22"/>
                <w:szCs w:val="22"/>
              </w:rPr>
            </w:pPr>
            <w:r w:rsidRPr="005055CA">
              <w:rPr>
                <w:sz w:val="22"/>
                <w:szCs w:val="22"/>
              </w:rPr>
              <w:t xml:space="preserve">Zvýšené hladiny cholesterolu </w:t>
            </w:r>
            <w:r w:rsidRPr="005055CA">
              <w:rPr>
                <w:sz w:val="22"/>
                <w:szCs w:val="22"/>
                <w:vertAlign w:val="superscript"/>
              </w:rPr>
              <w:t>2,3</w:t>
            </w:r>
          </w:p>
          <w:p w14:paraId="69EDCD6D" w14:textId="77777777" w:rsidR="006E1744" w:rsidRPr="005055CA" w:rsidRDefault="006E1744" w:rsidP="002E3165">
            <w:pPr>
              <w:rPr>
                <w:sz w:val="22"/>
                <w:szCs w:val="22"/>
              </w:rPr>
            </w:pPr>
            <w:r w:rsidRPr="005055CA">
              <w:rPr>
                <w:sz w:val="22"/>
                <w:szCs w:val="22"/>
              </w:rPr>
              <w:t xml:space="preserve">Zvýšené hladiny glukózy </w:t>
            </w:r>
            <w:r w:rsidRPr="005055CA">
              <w:rPr>
                <w:sz w:val="22"/>
                <w:szCs w:val="22"/>
                <w:vertAlign w:val="superscript"/>
              </w:rPr>
              <w:t>4</w:t>
            </w:r>
          </w:p>
          <w:p w14:paraId="62EEC655" w14:textId="77777777" w:rsidR="006E1744" w:rsidRPr="005055CA" w:rsidRDefault="006E1744" w:rsidP="002E3165">
            <w:pPr>
              <w:rPr>
                <w:sz w:val="22"/>
                <w:szCs w:val="22"/>
              </w:rPr>
            </w:pPr>
            <w:r w:rsidRPr="005055CA">
              <w:rPr>
                <w:sz w:val="22"/>
                <w:szCs w:val="22"/>
              </w:rPr>
              <w:t xml:space="preserve">Zvýšené hladiny triglyceridov </w:t>
            </w:r>
            <w:r w:rsidRPr="005055CA">
              <w:rPr>
                <w:sz w:val="22"/>
                <w:szCs w:val="22"/>
                <w:vertAlign w:val="superscript"/>
              </w:rPr>
              <w:t>2,5</w:t>
            </w:r>
          </w:p>
          <w:p w14:paraId="7D3B8EC1" w14:textId="77777777" w:rsidR="006E1744" w:rsidRPr="005055CA" w:rsidRDefault="006E1744" w:rsidP="002E3165">
            <w:pPr>
              <w:rPr>
                <w:sz w:val="22"/>
                <w:szCs w:val="22"/>
              </w:rPr>
            </w:pPr>
            <w:r w:rsidRPr="005055CA">
              <w:rPr>
                <w:sz w:val="22"/>
                <w:szCs w:val="22"/>
              </w:rPr>
              <w:t>Glukozúria</w:t>
            </w:r>
          </w:p>
          <w:p w14:paraId="70E0872F" w14:textId="77777777" w:rsidR="006E1744" w:rsidRPr="005055CA" w:rsidRDefault="006E1744" w:rsidP="002E3165">
            <w:pPr>
              <w:rPr>
                <w:sz w:val="22"/>
                <w:szCs w:val="22"/>
              </w:rPr>
            </w:pPr>
            <w:r w:rsidRPr="005055CA">
              <w:rPr>
                <w:sz w:val="22"/>
                <w:szCs w:val="22"/>
              </w:rPr>
              <w:t>Zvýšená chuť do jedla</w:t>
            </w:r>
          </w:p>
        </w:tc>
      </w:tr>
      <w:tr w:rsidR="006E1744" w:rsidRPr="005055CA" w14:paraId="347FCD28" w14:textId="77777777" w:rsidTr="001A71DA">
        <w:tc>
          <w:tcPr>
            <w:tcW w:w="3227" w:type="dxa"/>
          </w:tcPr>
          <w:p w14:paraId="05A08E72" w14:textId="77777777" w:rsidR="006E1744" w:rsidRPr="005055CA" w:rsidRDefault="006F5EB0" w:rsidP="002E3165">
            <w:pPr>
              <w:rPr>
                <w:sz w:val="22"/>
                <w:szCs w:val="22"/>
                <w:lang w:val="en-GB"/>
              </w:rPr>
            </w:pPr>
            <w:r w:rsidRPr="005055CA">
              <w:rPr>
                <w:sz w:val="22"/>
                <w:szCs w:val="22"/>
              </w:rPr>
              <w:t>Menej časté</w:t>
            </w:r>
            <w:r w:rsidRPr="005055CA">
              <w:rPr>
                <w:sz w:val="22"/>
                <w:szCs w:val="22"/>
                <w:lang w:val="en-GB"/>
              </w:rPr>
              <w:t xml:space="preserve"> </w:t>
            </w:r>
          </w:p>
        </w:tc>
        <w:tc>
          <w:tcPr>
            <w:tcW w:w="6781" w:type="dxa"/>
          </w:tcPr>
          <w:p w14:paraId="7B854C4E" w14:textId="77777777" w:rsidR="006E1744" w:rsidRPr="005055CA" w:rsidRDefault="006E1744" w:rsidP="002E3165">
            <w:pPr>
              <w:rPr>
                <w:sz w:val="22"/>
                <w:szCs w:val="22"/>
              </w:rPr>
            </w:pPr>
            <w:r w:rsidRPr="005055CA">
              <w:rPr>
                <w:sz w:val="22"/>
                <w:szCs w:val="22"/>
              </w:rPr>
              <w:t>Vznik alebo exacerbácia diabetu príležitostne spojená s ketoacidózou alebo kómou, vrátane niekoľkých fatálnych prípadov (</w:t>
            </w:r>
            <w:r w:rsidR="00AE10BC" w:rsidRPr="005055CA">
              <w:rPr>
                <w:sz w:val="22"/>
                <w:szCs w:val="22"/>
              </w:rPr>
              <w:t xml:space="preserve">pozri časť </w:t>
            </w:r>
            <w:r w:rsidR="00AE10BC" w:rsidRPr="005055CA">
              <w:rPr>
                <w:sz w:val="22"/>
                <w:szCs w:val="22"/>
                <w:lang w:val="en-US"/>
              </w:rPr>
              <w:t>4.4)</w:t>
            </w:r>
            <w:r w:rsidR="00AE10BC" w:rsidRPr="005055CA">
              <w:rPr>
                <w:sz w:val="22"/>
                <w:szCs w:val="22"/>
                <w:vertAlign w:val="superscript"/>
                <w:lang w:val="en-US"/>
              </w:rPr>
              <w:t>11</w:t>
            </w:r>
          </w:p>
          <w:p w14:paraId="43CD4293" w14:textId="77777777" w:rsidR="006E1744" w:rsidRPr="005055CA" w:rsidRDefault="006E1744" w:rsidP="002E3165">
            <w:pPr>
              <w:rPr>
                <w:sz w:val="22"/>
                <w:szCs w:val="22"/>
              </w:rPr>
            </w:pPr>
          </w:p>
        </w:tc>
      </w:tr>
      <w:tr w:rsidR="006F5EB0" w:rsidRPr="005055CA" w14:paraId="70040DB0" w14:textId="77777777" w:rsidTr="001A71DA">
        <w:tc>
          <w:tcPr>
            <w:tcW w:w="3227" w:type="dxa"/>
          </w:tcPr>
          <w:p w14:paraId="25EE4383" w14:textId="77777777" w:rsidR="006F5EB0" w:rsidRPr="005055CA" w:rsidDel="006F5EB0" w:rsidRDefault="006F5EB0" w:rsidP="002E3165">
            <w:pPr>
              <w:rPr>
                <w:sz w:val="22"/>
                <w:szCs w:val="22"/>
              </w:rPr>
            </w:pPr>
            <w:r w:rsidRPr="005055CA">
              <w:rPr>
                <w:sz w:val="22"/>
                <w:szCs w:val="22"/>
              </w:rPr>
              <w:t>Zriedkavé</w:t>
            </w:r>
          </w:p>
        </w:tc>
        <w:tc>
          <w:tcPr>
            <w:tcW w:w="6781" w:type="dxa"/>
          </w:tcPr>
          <w:p w14:paraId="40A0B31C" w14:textId="77777777" w:rsidR="006F5EB0" w:rsidRPr="005055CA" w:rsidRDefault="006F5EB0" w:rsidP="002E3165">
            <w:pPr>
              <w:rPr>
                <w:sz w:val="22"/>
                <w:szCs w:val="22"/>
              </w:rPr>
            </w:pPr>
            <w:r w:rsidRPr="005055CA">
              <w:rPr>
                <w:sz w:val="22"/>
                <w:szCs w:val="22"/>
              </w:rPr>
              <w:t>Hypotermia</w:t>
            </w:r>
            <w:r w:rsidRPr="005055CA">
              <w:rPr>
                <w:sz w:val="22"/>
                <w:szCs w:val="22"/>
                <w:vertAlign w:val="superscript"/>
              </w:rPr>
              <w:t>12</w:t>
            </w:r>
          </w:p>
        </w:tc>
      </w:tr>
      <w:tr w:rsidR="006E1744" w:rsidRPr="005055CA" w14:paraId="73C65310" w14:textId="77777777" w:rsidTr="001A71DA">
        <w:tc>
          <w:tcPr>
            <w:tcW w:w="10008" w:type="dxa"/>
            <w:gridSpan w:val="2"/>
          </w:tcPr>
          <w:p w14:paraId="668E14F1" w14:textId="77777777" w:rsidR="006E1744" w:rsidRPr="005055CA" w:rsidRDefault="006E1744" w:rsidP="002E3165">
            <w:pPr>
              <w:rPr>
                <w:b/>
                <w:sz w:val="22"/>
                <w:szCs w:val="22"/>
                <w:lang w:val="en-GB"/>
              </w:rPr>
            </w:pPr>
            <w:r w:rsidRPr="005055CA">
              <w:rPr>
                <w:b/>
                <w:sz w:val="22"/>
                <w:szCs w:val="22"/>
              </w:rPr>
              <w:t>Poruchy nervového systému</w:t>
            </w:r>
          </w:p>
        </w:tc>
      </w:tr>
      <w:tr w:rsidR="006E1744" w:rsidRPr="005055CA" w14:paraId="2D17445F" w14:textId="77777777" w:rsidTr="001A71DA">
        <w:tc>
          <w:tcPr>
            <w:tcW w:w="3227" w:type="dxa"/>
          </w:tcPr>
          <w:p w14:paraId="1A6D9423" w14:textId="77777777" w:rsidR="006E1744" w:rsidRPr="005055CA" w:rsidRDefault="006E1744" w:rsidP="002E3165">
            <w:pPr>
              <w:rPr>
                <w:sz w:val="22"/>
                <w:szCs w:val="22"/>
                <w:lang w:val="en-US"/>
              </w:rPr>
            </w:pPr>
            <w:r w:rsidRPr="005055CA">
              <w:rPr>
                <w:sz w:val="22"/>
                <w:szCs w:val="22"/>
                <w:lang w:val="en-US"/>
              </w:rPr>
              <w:t>Veľmi časté</w:t>
            </w:r>
          </w:p>
        </w:tc>
        <w:tc>
          <w:tcPr>
            <w:tcW w:w="6781" w:type="dxa"/>
          </w:tcPr>
          <w:p w14:paraId="78D8B7FC" w14:textId="77777777" w:rsidR="006E1744" w:rsidRPr="005055CA" w:rsidRDefault="006E1744" w:rsidP="002E3165">
            <w:pPr>
              <w:rPr>
                <w:sz w:val="22"/>
                <w:szCs w:val="22"/>
                <w:lang w:val="en-GB"/>
              </w:rPr>
            </w:pPr>
            <w:r w:rsidRPr="005055CA">
              <w:rPr>
                <w:sz w:val="22"/>
                <w:szCs w:val="22"/>
              </w:rPr>
              <w:t>Ospalosť</w:t>
            </w:r>
          </w:p>
        </w:tc>
      </w:tr>
      <w:tr w:rsidR="006E1744" w:rsidRPr="005055CA" w14:paraId="36535A9E" w14:textId="77777777" w:rsidTr="001A71DA">
        <w:tc>
          <w:tcPr>
            <w:tcW w:w="3227" w:type="dxa"/>
          </w:tcPr>
          <w:p w14:paraId="70A6B3DF" w14:textId="77777777" w:rsidR="006E1744" w:rsidRPr="005055CA" w:rsidRDefault="006E1744" w:rsidP="002E3165">
            <w:pPr>
              <w:rPr>
                <w:sz w:val="22"/>
                <w:szCs w:val="22"/>
                <w:lang w:val="en-GB"/>
              </w:rPr>
            </w:pPr>
            <w:r w:rsidRPr="005055CA">
              <w:rPr>
                <w:sz w:val="22"/>
                <w:szCs w:val="22"/>
                <w:lang w:val="en-GB"/>
              </w:rPr>
              <w:t>Časté</w:t>
            </w:r>
          </w:p>
        </w:tc>
        <w:tc>
          <w:tcPr>
            <w:tcW w:w="6781" w:type="dxa"/>
          </w:tcPr>
          <w:p w14:paraId="464F572A" w14:textId="77777777" w:rsidR="006E1744" w:rsidRPr="005055CA" w:rsidRDefault="006E1744" w:rsidP="002E3165">
            <w:pPr>
              <w:rPr>
                <w:sz w:val="22"/>
                <w:szCs w:val="22"/>
              </w:rPr>
            </w:pPr>
            <w:r w:rsidRPr="005055CA">
              <w:rPr>
                <w:sz w:val="22"/>
                <w:szCs w:val="22"/>
              </w:rPr>
              <w:t>Závrat</w:t>
            </w:r>
          </w:p>
          <w:p w14:paraId="6CCFC87D" w14:textId="77777777" w:rsidR="006E1744" w:rsidRPr="005055CA" w:rsidRDefault="006E1744" w:rsidP="002E3165">
            <w:pPr>
              <w:rPr>
                <w:sz w:val="22"/>
                <w:szCs w:val="22"/>
              </w:rPr>
            </w:pPr>
            <w:r w:rsidRPr="005055CA">
              <w:rPr>
                <w:sz w:val="22"/>
                <w:szCs w:val="22"/>
              </w:rPr>
              <w:t>Akatízia</w:t>
            </w:r>
            <w:r w:rsidRPr="005055CA">
              <w:rPr>
                <w:sz w:val="22"/>
                <w:szCs w:val="22"/>
                <w:vertAlign w:val="superscript"/>
              </w:rPr>
              <w:t>6</w:t>
            </w:r>
          </w:p>
          <w:p w14:paraId="7A4B4244" w14:textId="77777777" w:rsidR="006F5EB0" w:rsidRPr="005055CA" w:rsidRDefault="006E1744" w:rsidP="002E3165">
            <w:pPr>
              <w:rPr>
                <w:sz w:val="22"/>
                <w:szCs w:val="22"/>
              </w:rPr>
            </w:pPr>
            <w:r w:rsidRPr="005055CA">
              <w:rPr>
                <w:sz w:val="22"/>
                <w:szCs w:val="22"/>
              </w:rPr>
              <w:t>Parkinsonizmus</w:t>
            </w:r>
            <w:r w:rsidRPr="005055CA">
              <w:rPr>
                <w:sz w:val="22"/>
                <w:szCs w:val="22"/>
                <w:vertAlign w:val="superscript"/>
              </w:rPr>
              <w:t>6</w:t>
            </w:r>
            <w:r w:rsidRPr="005055CA">
              <w:rPr>
                <w:sz w:val="22"/>
                <w:szCs w:val="22"/>
              </w:rPr>
              <w:t xml:space="preserve"> </w:t>
            </w:r>
          </w:p>
          <w:p w14:paraId="343A2968" w14:textId="77777777" w:rsidR="006E1744" w:rsidRPr="005055CA" w:rsidRDefault="006E1744" w:rsidP="002E3165">
            <w:pPr>
              <w:rPr>
                <w:sz w:val="22"/>
                <w:szCs w:val="22"/>
                <w:lang w:val="en-GB"/>
              </w:rPr>
            </w:pPr>
            <w:r w:rsidRPr="005055CA">
              <w:rPr>
                <w:sz w:val="22"/>
                <w:szCs w:val="22"/>
              </w:rPr>
              <w:t>Dyskinéza</w:t>
            </w:r>
            <w:r w:rsidRPr="005055CA">
              <w:rPr>
                <w:sz w:val="22"/>
                <w:szCs w:val="22"/>
                <w:vertAlign w:val="superscript"/>
              </w:rPr>
              <w:t>6</w:t>
            </w:r>
          </w:p>
        </w:tc>
      </w:tr>
      <w:tr w:rsidR="006E1744" w:rsidRPr="005055CA" w14:paraId="3127F43F" w14:textId="77777777" w:rsidTr="001A71DA">
        <w:tc>
          <w:tcPr>
            <w:tcW w:w="3227" w:type="dxa"/>
          </w:tcPr>
          <w:p w14:paraId="36C81F17" w14:textId="77777777" w:rsidR="006E1744" w:rsidRPr="005055CA" w:rsidRDefault="006F5EB0" w:rsidP="002E3165">
            <w:pPr>
              <w:rPr>
                <w:sz w:val="22"/>
                <w:szCs w:val="22"/>
                <w:lang w:val="en-GB"/>
              </w:rPr>
            </w:pPr>
            <w:r w:rsidRPr="005055CA">
              <w:rPr>
                <w:sz w:val="22"/>
                <w:szCs w:val="22"/>
              </w:rPr>
              <w:t>Menej časté</w:t>
            </w:r>
          </w:p>
        </w:tc>
        <w:tc>
          <w:tcPr>
            <w:tcW w:w="6781" w:type="dxa"/>
          </w:tcPr>
          <w:p w14:paraId="365D77F8" w14:textId="77777777" w:rsidR="006E1744" w:rsidRPr="005055CA" w:rsidRDefault="006E1744" w:rsidP="002E3165">
            <w:pPr>
              <w:rPr>
                <w:sz w:val="22"/>
                <w:szCs w:val="22"/>
              </w:rPr>
            </w:pPr>
            <w:r w:rsidRPr="005055CA">
              <w:rPr>
                <w:sz w:val="22"/>
                <w:szCs w:val="22"/>
              </w:rPr>
              <w:t>Záchvaty, pričom väčšinou bol hlásený ich výskyt v anamnéze alebo rizikové faktory pre ich vznik</w:t>
            </w:r>
            <w:r w:rsidR="002A7B07" w:rsidRPr="005055CA">
              <w:rPr>
                <w:sz w:val="22"/>
                <w:szCs w:val="22"/>
                <w:vertAlign w:val="superscript"/>
                <w:lang w:val="en-US"/>
              </w:rPr>
              <w:t>11</w:t>
            </w:r>
          </w:p>
          <w:p w14:paraId="3AD02AED" w14:textId="77777777" w:rsidR="006E1744" w:rsidRPr="005055CA" w:rsidRDefault="006E1744" w:rsidP="002E3165">
            <w:pPr>
              <w:rPr>
                <w:sz w:val="22"/>
                <w:szCs w:val="22"/>
              </w:rPr>
            </w:pPr>
            <w:r w:rsidRPr="005055CA">
              <w:rPr>
                <w:sz w:val="22"/>
                <w:szCs w:val="22"/>
              </w:rPr>
              <w:t>Dystónia (vrátane kruhových pohybov očných gúľ)</w:t>
            </w:r>
            <w:r w:rsidR="00095833" w:rsidRPr="005055CA">
              <w:rPr>
                <w:sz w:val="22"/>
                <w:szCs w:val="22"/>
                <w:vertAlign w:val="superscript"/>
              </w:rPr>
              <w:t xml:space="preserve"> 11</w:t>
            </w:r>
          </w:p>
          <w:p w14:paraId="5F0BAB06" w14:textId="77777777" w:rsidR="006E1744" w:rsidRPr="005055CA" w:rsidRDefault="006E1744" w:rsidP="002E3165">
            <w:pPr>
              <w:rPr>
                <w:sz w:val="22"/>
                <w:szCs w:val="22"/>
              </w:rPr>
            </w:pPr>
            <w:r w:rsidRPr="005055CA">
              <w:rPr>
                <w:sz w:val="22"/>
                <w:szCs w:val="22"/>
              </w:rPr>
              <w:t>Tardívna dyskinéza</w:t>
            </w:r>
            <w:r w:rsidR="00095833" w:rsidRPr="00746DD7">
              <w:rPr>
                <w:sz w:val="22"/>
                <w:vertAlign w:val="superscript"/>
              </w:rPr>
              <w:t>11</w:t>
            </w:r>
          </w:p>
          <w:p w14:paraId="5DACF8B8" w14:textId="77777777" w:rsidR="002A7B07" w:rsidRPr="00746DD7" w:rsidRDefault="00C10FE3" w:rsidP="002E3165">
            <w:pPr>
              <w:rPr>
                <w:sz w:val="22"/>
                <w:vertAlign w:val="superscript"/>
              </w:rPr>
            </w:pPr>
            <w:r w:rsidRPr="005055CA">
              <w:rPr>
                <w:sz w:val="22"/>
                <w:szCs w:val="22"/>
              </w:rPr>
              <w:t>Amnézia</w:t>
            </w:r>
            <w:r w:rsidR="002A7B07" w:rsidRPr="00746DD7">
              <w:rPr>
                <w:sz w:val="22"/>
                <w:vertAlign w:val="superscript"/>
              </w:rPr>
              <w:t>9</w:t>
            </w:r>
          </w:p>
          <w:p w14:paraId="4FCE8821" w14:textId="77777777" w:rsidR="00C10FE3" w:rsidRPr="005055CA" w:rsidRDefault="007E000A" w:rsidP="002E3165">
            <w:pPr>
              <w:rPr>
                <w:sz w:val="22"/>
                <w:szCs w:val="22"/>
              </w:rPr>
            </w:pPr>
            <w:r w:rsidRPr="005055CA">
              <w:rPr>
                <w:sz w:val="22"/>
                <w:szCs w:val="22"/>
              </w:rPr>
              <w:t>Dyzartria</w:t>
            </w:r>
            <w:r w:rsidR="00C10FE3" w:rsidRPr="005055CA">
              <w:rPr>
                <w:sz w:val="22"/>
                <w:szCs w:val="22"/>
              </w:rPr>
              <w:t xml:space="preserve"> </w:t>
            </w:r>
          </w:p>
          <w:p w14:paraId="4149394C" w14:textId="06DBFC8C" w:rsidR="006E1744" w:rsidRPr="00746DD7" w:rsidRDefault="0059785B" w:rsidP="002E3165">
            <w:pPr>
              <w:rPr>
                <w:sz w:val="22"/>
              </w:rPr>
            </w:pPr>
            <w:r w:rsidRPr="004457DB">
              <w:rPr>
                <w:sz w:val="22"/>
                <w:szCs w:val="22"/>
              </w:rPr>
              <w:t>Syndróm nepokojných nôh</w:t>
            </w:r>
          </w:p>
        </w:tc>
      </w:tr>
      <w:tr w:rsidR="006F5EB0" w:rsidRPr="005055CA" w14:paraId="4371B471" w14:textId="77777777" w:rsidTr="001A71DA">
        <w:tc>
          <w:tcPr>
            <w:tcW w:w="3227" w:type="dxa"/>
          </w:tcPr>
          <w:p w14:paraId="64D1F458" w14:textId="77777777" w:rsidR="006F5EB0" w:rsidRPr="005055CA" w:rsidDel="006F5EB0" w:rsidRDefault="006F5EB0" w:rsidP="002E3165">
            <w:pPr>
              <w:rPr>
                <w:sz w:val="22"/>
                <w:szCs w:val="22"/>
              </w:rPr>
            </w:pPr>
            <w:r w:rsidRPr="005055CA">
              <w:rPr>
                <w:sz w:val="22"/>
                <w:szCs w:val="22"/>
              </w:rPr>
              <w:t>Zriedkavé</w:t>
            </w:r>
          </w:p>
        </w:tc>
        <w:tc>
          <w:tcPr>
            <w:tcW w:w="6781" w:type="dxa"/>
          </w:tcPr>
          <w:p w14:paraId="6597BD8A" w14:textId="77777777" w:rsidR="006F5EB0" w:rsidRPr="005055CA" w:rsidRDefault="006F5EB0" w:rsidP="002E3165">
            <w:pPr>
              <w:rPr>
                <w:sz w:val="22"/>
                <w:szCs w:val="22"/>
              </w:rPr>
            </w:pPr>
            <w:r w:rsidRPr="005055CA">
              <w:rPr>
                <w:sz w:val="22"/>
                <w:szCs w:val="22"/>
              </w:rPr>
              <w:t>Neuroleptický malígny syndróm (pozri časť 4.4)</w:t>
            </w:r>
            <w:r w:rsidRPr="005055CA">
              <w:rPr>
                <w:sz w:val="22"/>
                <w:szCs w:val="22"/>
                <w:vertAlign w:val="superscript"/>
              </w:rPr>
              <w:t>12</w:t>
            </w:r>
          </w:p>
          <w:p w14:paraId="094F54B7" w14:textId="77777777" w:rsidR="006F5EB0" w:rsidRPr="005055CA" w:rsidRDefault="006F5EB0" w:rsidP="002E3165">
            <w:pPr>
              <w:rPr>
                <w:sz w:val="22"/>
                <w:szCs w:val="22"/>
              </w:rPr>
            </w:pPr>
            <w:r w:rsidRPr="005055CA">
              <w:rPr>
                <w:sz w:val="22"/>
                <w:szCs w:val="22"/>
              </w:rPr>
              <w:t>Symptómy z vysadenia</w:t>
            </w:r>
            <w:r w:rsidRPr="005055CA">
              <w:rPr>
                <w:sz w:val="22"/>
                <w:szCs w:val="22"/>
                <w:vertAlign w:val="superscript"/>
              </w:rPr>
              <w:t>7,12</w:t>
            </w:r>
          </w:p>
        </w:tc>
      </w:tr>
      <w:tr w:rsidR="006E1744" w:rsidRPr="005055CA" w14:paraId="11682930" w14:textId="77777777" w:rsidTr="001A71DA">
        <w:tc>
          <w:tcPr>
            <w:tcW w:w="10008" w:type="dxa"/>
            <w:gridSpan w:val="2"/>
          </w:tcPr>
          <w:p w14:paraId="7C242339" w14:textId="77777777" w:rsidR="006E1744" w:rsidRPr="005055CA" w:rsidRDefault="006E1744" w:rsidP="002E3165">
            <w:pPr>
              <w:rPr>
                <w:b/>
                <w:sz w:val="22"/>
                <w:szCs w:val="22"/>
                <w:lang w:val="pl-PL"/>
              </w:rPr>
            </w:pPr>
            <w:r w:rsidRPr="005055CA">
              <w:rPr>
                <w:b/>
                <w:sz w:val="22"/>
                <w:szCs w:val="22"/>
              </w:rPr>
              <w:t>Poruchy srdca a srdcovej činnosti</w:t>
            </w:r>
          </w:p>
        </w:tc>
      </w:tr>
      <w:tr w:rsidR="006E1744" w:rsidRPr="005055CA" w14:paraId="4A8D8D5B" w14:textId="77777777" w:rsidTr="001A71DA">
        <w:tc>
          <w:tcPr>
            <w:tcW w:w="3227" w:type="dxa"/>
          </w:tcPr>
          <w:p w14:paraId="6400C411" w14:textId="77777777" w:rsidR="006E1744" w:rsidRPr="005055CA" w:rsidRDefault="006E1744" w:rsidP="002E3165">
            <w:pPr>
              <w:rPr>
                <w:sz w:val="22"/>
                <w:szCs w:val="22"/>
                <w:lang w:val="en-GB"/>
              </w:rPr>
            </w:pPr>
            <w:r w:rsidRPr="005055CA">
              <w:rPr>
                <w:sz w:val="22"/>
                <w:szCs w:val="22"/>
                <w:lang w:val="en-GB"/>
              </w:rPr>
              <w:t>Menej časté</w:t>
            </w:r>
          </w:p>
        </w:tc>
        <w:tc>
          <w:tcPr>
            <w:tcW w:w="6781" w:type="dxa"/>
          </w:tcPr>
          <w:p w14:paraId="0C6EB1C5" w14:textId="77777777" w:rsidR="006E1744" w:rsidRPr="005055CA" w:rsidRDefault="006E1744" w:rsidP="002E3165">
            <w:pPr>
              <w:rPr>
                <w:sz w:val="22"/>
                <w:szCs w:val="22"/>
              </w:rPr>
            </w:pPr>
            <w:r w:rsidRPr="005055CA">
              <w:rPr>
                <w:sz w:val="22"/>
                <w:szCs w:val="22"/>
              </w:rPr>
              <w:t>Bradykardia</w:t>
            </w:r>
          </w:p>
          <w:p w14:paraId="0DA69422" w14:textId="77777777" w:rsidR="006E1744" w:rsidRPr="005055CA" w:rsidRDefault="006E1744" w:rsidP="002E3165">
            <w:pPr>
              <w:rPr>
                <w:sz w:val="22"/>
                <w:szCs w:val="22"/>
              </w:rPr>
            </w:pPr>
            <w:r w:rsidRPr="005055CA">
              <w:rPr>
                <w:sz w:val="22"/>
                <w:szCs w:val="22"/>
              </w:rPr>
              <w:t>Predĺženie QTc (pozri časť 4.4)</w:t>
            </w:r>
          </w:p>
        </w:tc>
      </w:tr>
      <w:tr w:rsidR="006E1744" w:rsidRPr="005055CA" w14:paraId="7234540C" w14:textId="77777777" w:rsidTr="001A71DA">
        <w:tc>
          <w:tcPr>
            <w:tcW w:w="3227" w:type="dxa"/>
          </w:tcPr>
          <w:p w14:paraId="3374ADF5" w14:textId="77777777" w:rsidR="006E1744" w:rsidRPr="005055CA" w:rsidRDefault="006F5EB0" w:rsidP="002E3165">
            <w:pPr>
              <w:rPr>
                <w:sz w:val="22"/>
                <w:szCs w:val="22"/>
              </w:rPr>
            </w:pPr>
            <w:r w:rsidRPr="005055CA">
              <w:rPr>
                <w:sz w:val="22"/>
                <w:szCs w:val="22"/>
              </w:rPr>
              <w:t>Zriedkavé</w:t>
            </w:r>
          </w:p>
        </w:tc>
        <w:tc>
          <w:tcPr>
            <w:tcW w:w="6781" w:type="dxa"/>
          </w:tcPr>
          <w:p w14:paraId="1E4257F0" w14:textId="77777777" w:rsidR="006E1744" w:rsidRPr="005055CA" w:rsidRDefault="006E1744" w:rsidP="002E3165">
            <w:pPr>
              <w:rPr>
                <w:sz w:val="22"/>
                <w:szCs w:val="22"/>
              </w:rPr>
            </w:pPr>
            <w:r w:rsidRPr="005055CA">
              <w:rPr>
                <w:sz w:val="22"/>
                <w:szCs w:val="22"/>
              </w:rPr>
              <w:t>Ventrikulárna tachykardia/fibrilácia, náhle úmrtie (pozri časť 4.4)</w:t>
            </w:r>
            <w:r w:rsidR="006F5EB0" w:rsidRPr="005055CA">
              <w:rPr>
                <w:sz w:val="22"/>
                <w:szCs w:val="22"/>
                <w:vertAlign w:val="superscript"/>
              </w:rPr>
              <w:t>11</w:t>
            </w:r>
          </w:p>
        </w:tc>
      </w:tr>
      <w:tr w:rsidR="006E1744" w:rsidRPr="005055CA" w14:paraId="18F32C83" w14:textId="77777777" w:rsidTr="001A71DA">
        <w:tc>
          <w:tcPr>
            <w:tcW w:w="10008" w:type="dxa"/>
            <w:gridSpan w:val="2"/>
          </w:tcPr>
          <w:p w14:paraId="5C894399" w14:textId="77777777" w:rsidR="006E1744" w:rsidRPr="005055CA" w:rsidRDefault="00E07CAE" w:rsidP="002E3165">
            <w:pPr>
              <w:rPr>
                <w:b/>
                <w:sz w:val="22"/>
                <w:szCs w:val="22"/>
                <w:lang w:val="en-GB"/>
              </w:rPr>
            </w:pPr>
            <w:r w:rsidRPr="005055CA">
              <w:rPr>
                <w:b/>
                <w:sz w:val="22"/>
                <w:szCs w:val="22"/>
              </w:rPr>
              <w:t>Poruchy ciev</w:t>
            </w:r>
          </w:p>
        </w:tc>
      </w:tr>
      <w:tr w:rsidR="006E1744" w:rsidRPr="005055CA" w14:paraId="51C019D4" w14:textId="77777777" w:rsidTr="001A71DA">
        <w:tc>
          <w:tcPr>
            <w:tcW w:w="3227" w:type="dxa"/>
            <w:tcBorders>
              <w:bottom w:val="single" w:sz="4" w:space="0" w:color="auto"/>
            </w:tcBorders>
          </w:tcPr>
          <w:p w14:paraId="43FF4E98" w14:textId="77777777" w:rsidR="006E1744" w:rsidRPr="005055CA" w:rsidRDefault="006F5EB0" w:rsidP="002E3165">
            <w:pPr>
              <w:rPr>
                <w:sz w:val="22"/>
                <w:szCs w:val="22"/>
                <w:lang w:val="en-GB"/>
              </w:rPr>
            </w:pPr>
            <w:r w:rsidRPr="005055CA">
              <w:rPr>
                <w:sz w:val="22"/>
                <w:szCs w:val="22"/>
                <w:lang w:val="en-GB"/>
              </w:rPr>
              <w:t>Ve</w:t>
            </w:r>
            <w:r w:rsidR="00354F70" w:rsidRPr="005055CA">
              <w:rPr>
                <w:sz w:val="22"/>
                <w:szCs w:val="22"/>
                <w:lang w:val="en-GB"/>
              </w:rPr>
              <w:t>ľ</w:t>
            </w:r>
            <w:r w:rsidRPr="005055CA">
              <w:rPr>
                <w:sz w:val="22"/>
                <w:szCs w:val="22"/>
                <w:lang w:val="en-GB"/>
              </w:rPr>
              <w:t>mi č</w:t>
            </w:r>
            <w:r w:rsidR="006E1744" w:rsidRPr="005055CA">
              <w:rPr>
                <w:sz w:val="22"/>
                <w:szCs w:val="22"/>
                <w:lang w:val="en-GB"/>
              </w:rPr>
              <w:t>asté</w:t>
            </w:r>
          </w:p>
        </w:tc>
        <w:tc>
          <w:tcPr>
            <w:tcW w:w="6781" w:type="dxa"/>
          </w:tcPr>
          <w:p w14:paraId="3476EF1E" w14:textId="77777777" w:rsidR="006E1744" w:rsidRPr="005055CA" w:rsidRDefault="006E1744" w:rsidP="002E3165">
            <w:pPr>
              <w:rPr>
                <w:sz w:val="22"/>
                <w:szCs w:val="22"/>
                <w:lang w:val="en-GB"/>
              </w:rPr>
            </w:pPr>
            <w:r w:rsidRPr="005055CA">
              <w:rPr>
                <w:sz w:val="22"/>
                <w:szCs w:val="22"/>
              </w:rPr>
              <w:t>Ortostatická hypotenzia</w:t>
            </w:r>
            <w:r w:rsidR="006F5EB0" w:rsidRPr="005055CA">
              <w:rPr>
                <w:sz w:val="22"/>
                <w:szCs w:val="22"/>
                <w:vertAlign w:val="superscript"/>
              </w:rPr>
              <w:t>10</w:t>
            </w:r>
          </w:p>
        </w:tc>
      </w:tr>
      <w:tr w:rsidR="006E1744" w:rsidRPr="005055CA" w14:paraId="65A1DDD4" w14:textId="77777777" w:rsidTr="001A71DA">
        <w:tc>
          <w:tcPr>
            <w:tcW w:w="3227" w:type="dxa"/>
            <w:tcBorders>
              <w:top w:val="single" w:sz="4" w:space="0" w:color="auto"/>
              <w:left w:val="single" w:sz="4" w:space="0" w:color="auto"/>
              <w:bottom w:val="single" w:sz="4" w:space="0" w:color="auto"/>
              <w:right w:val="single" w:sz="4" w:space="0" w:color="auto"/>
            </w:tcBorders>
          </w:tcPr>
          <w:p w14:paraId="51ABC23D" w14:textId="77777777" w:rsidR="006E1744" w:rsidRPr="005055CA" w:rsidRDefault="006F5EB0" w:rsidP="002E3165">
            <w:pPr>
              <w:rPr>
                <w:sz w:val="22"/>
                <w:szCs w:val="22"/>
                <w:lang w:val="en-US"/>
              </w:rPr>
            </w:pPr>
            <w:r w:rsidRPr="005055CA">
              <w:rPr>
                <w:sz w:val="22"/>
                <w:szCs w:val="22"/>
              </w:rPr>
              <w:t>Menej časté</w:t>
            </w:r>
          </w:p>
        </w:tc>
        <w:tc>
          <w:tcPr>
            <w:tcW w:w="6781" w:type="dxa"/>
            <w:tcBorders>
              <w:left w:val="single" w:sz="4" w:space="0" w:color="auto"/>
            </w:tcBorders>
          </w:tcPr>
          <w:p w14:paraId="45479166" w14:textId="77777777" w:rsidR="006E1744" w:rsidRPr="005055CA" w:rsidRDefault="006E1744" w:rsidP="002E3165">
            <w:pPr>
              <w:rPr>
                <w:sz w:val="22"/>
                <w:szCs w:val="22"/>
                <w:lang w:val="en-GB"/>
              </w:rPr>
            </w:pPr>
            <w:r w:rsidRPr="005055CA">
              <w:rPr>
                <w:sz w:val="22"/>
                <w:szCs w:val="22"/>
              </w:rPr>
              <w:t>Trombembólia (vrátane pľúcnej embólie a hlbokej žilovej trombózy)</w:t>
            </w:r>
            <w:r w:rsidR="006F5EB0" w:rsidRPr="005055CA">
              <w:rPr>
                <w:sz w:val="22"/>
                <w:szCs w:val="22"/>
              </w:rPr>
              <w:t xml:space="preserve"> (pozri časť </w:t>
            </w:r>
            <w:r w:rsidR="003D6ECB" w:rsidRPr="005055CA">
              <w:rPr>
                <w:sz w:val="22"/>
                <w:szCs w:val="22"/>
              </w:rPr>
              <w:t xml:space="preserve">pozri časť </w:t>
            </w:r>
            <w:r w:rsidR="006F5EB0" w:rsidRPr="005055CA">
              <w:rPr>
                <w:sz w:val="22"/>
                <w:szCs w:val="22"/>
              </w:rPr>
              <w:t>4.4)</w:t>
            </w:r>
          </w:p>
        </w:tc>
      </w:tr>
      <w:tr w:rsidR="00D65D80" w:rsidRPr="005055CA" w14:paraId="4C60C856" w14:textId="77777777" w:rsidTr="001A71DA">
        <w:tc>
          <w:tcPr>
            <w:tcW w:w="10008" w:type="dxa"/>
            <w:gridSpan w:val="2"/>
            <w:tcBorders>
              <w:top w:val="single" w:sz="4" w:space="0" w:color="auto"/>
              <w:left w:val="single" w:sz="4" w:space="0" w:color="auto"/>
              <w:bottom w:val="single" w:sz="4" w:space="0" w:color="auto"/>
            </w:tcBorders>
          </w:tcPr>
          <w:p w14:paraId="0DC7FDD0" w14:textId="77777777" w:rsidR="00D65D80" w:rsidRPr="005055CA" w:rsidRDefault="00D65D80" w:rsidP="002E3165">
            <w:pPr>
              <w:rPr>
                <w:sz w:val="22"/>
                <w:szCs w:val="22"/>
              </w:rPr>
            </w:pPr>
            <w:r w:rsidRPr="005055CA">
              <w:rPr>
                <w:b/>
                <w:bCs/>
                <w:sz w:val="22"/>
                <w:szCs w:val="22"/>
              </w:rPr>
              <w:t>Poruchy dýchacej sústavy, hrudníka a mediastína</w:t>
            </w:r>
          </w:p>
        </w:tc>
      </w:tr>
      <w:tr w:rsidR="006F5EB0" w:rsidRPr="005055CA" w14:paraId="55C8349B" w14:textId="77777777" w:rsidTr="001A71DA">
        <w:tc>
          <w:tcPr>
            <w:tcW w:w="3227" w:type="dxa"/>
            <w:tcBorders>
              <w:top w:val="single" w:sz="4" w:space="0" w:color="auto"/>
              <w:left w:val="single" w:sz="4" w:space="0" w:color="auto"/>
              <w:bottom w:val="single" w:sz="4" w:space="0" w:color="auto"/>
              <w:right w:val="single" w:sz="4" w:space="0" w:color="auto"/>
            </w:tcBorders>
          </w:tcPr>
          <w:p w14:paraId="37F278CA" w14:textId="77777777" w:rsidR="006F5EB0" w:rsidRPr="005055CA" w:rsidDel="006F5EB0" w:rsidRDefault="006F5EB0" w:rsidP="002E3165">
            <w:pPr>
              <w:rPr>
                <w:sz w:val="22"/>
                <w:szCs w:val="22"/>
              </w:rPr>
            </w:pPr>
            <w:r w:rsidRPr="005055CA">
              <w:rPr>
                <w:sz w:val="22"/>
                <w:szCs w:val="22"/>
              </w:rPr>
              <w:t>Menej časté</w:t>
            </w:r>
          </w:p>
        </w:tc>
        <w:tc>
          <w:tcPr>
            <w:tcW w:w="6781" w:type="dxa"/>
            <w:tcBorders>
              <w:left w:val="single" w:sz="4" w:space="0" w:color="auto"/>
            </w:tcBorders>
          </w:tcPr>
          <w:p w14:paraId="6C10A649" w14:textId="77777777" w:rsidR="006F5EB0" w:rsidRPr="005055CA" w:rsidRDefault="006F5EB0" w:rsidP="002E3165">
            <w:pPr>
              <w:rPr>
                <w:sz w:val="22"/>
                <w:szCs w:val="22"/>
              </w:rPr>
            </w:pPr>
            <w:r w:rsidRPr="005055CA">
              <w:rPr>
                <w:sz w:val="22"/>
                <w:szCs w:val="22"/>
              </w:rPr>
              <w:t>Epistaxa</w:t>
            </w:r>
            <w:r w:rsidRPr="005055CA">
              <w:rPr>
                <w:sz w:val="22"/>
                <w:szCs w:val="22"/>
                <w:vertAlign w:val="superscript"/>
              </w:rPr>
              <w:t>9</w:t>
            </w:r>
          </w:p>
        </w:tc>
      </w:tr>
      <w:tr w:rsidR="006E1744" w:rsidRPr="005055CA" w14:paraId="484189E3" w14:textId="77777777" w:rsidTr="001A71DA">
        <w:tc>
          <w:tcPr>
            <w:tcW w:w="10008" w:type="dxa"/>
            <w:gridSpan w:val="2"/>
          </w:tcPr>
          <w:p w14:paraId="7C970256" w14:textId="77777777" w:rsidR="006E1744" w:rsidRPr="005055CA" w:rsidRDefault="006E1744" w:rsidP="002E3165">
            <w:pPr>
              <w:rPr>
                <w:b/>
                <w:sz w:val="22"/>
                <w:szCs w:val="22"/>
                <w:lang w:val="en-GB"/>
              </w:rPr>
            </w:pPr>
            <w:r w:rsidRPr="005055CA">
              <w:rPr>
                <w:b/>
                <w:sz w:val="22"/>
                <w:szCs w:val="22"/>
              </w:rPr>
              <w:t>Poruchy gastrointestinálneho traktu</w:t>
            </w:r>
          </w:p>
        </w:tc>
      </w:tr>
      <w:tr w:rsidR="006E1744" w:rsidRPr="005055CA" w14:paraId="601BC3DD" w14:textId="77777777" w:rsidTr="001A71DA">
        <w:tc>
          <w:tcPr>
            <w:tcW w:w="3227" w:type="dxa"/>
          </w:tcPr>
          <w:p w14:paraId="1553B1FE" w14:textId="77777777" w:rsidR="006E1744" w:rsidRPr="005055CA" w:rsidRDefault="006E1744" w:rsidP="002E3165">
            <w:pPr>
              <w:rPr>
                <w:sz w:val="22"/>
                <w:szCs w:val="22"/>
                <w:lang w:val="en-GB"/>
              </w:rPr>
            </w:pPr>
            <w:r w:rsidRPr="005055CA">
              <w:rPr>
                <w:sz w:val="22"/>
                <w:szCs w:val="22"/>
                <w:lang w:val="en-GB"/>
              </w:rPr>
              <w:t>Časté</w:t>
            </w:r>
          </w:p>
        </w:tc>
        <w:tc>
          <w:tcPr>
            <w:tcW w:w="6781" w:type="dxa"/>
          </w:tcPr>
          <w:p w14:paraId="46E01FA9" w14:textId="77777777" w:rsidR="004C51EA" w:rsidRPr="005055CA" w:rsidRDefault="006E1744" w:rsidP="002E3165">
            <w:pPr>
              <w:rPr>
                <w:sz w:val="22"/>
                <w:szCs w:val="22"/>
              </w:rPr>
            </w:pPr>
            <w:r w:rsidRPr="005055CA">
              <w:rPr>
                <w:sz w:val="22"/>
                <w:szCs w:val="22"/>
              </w:rPr>
              <w:t xml:space="preserve">Mierne, prechodné anticholinergné účinky vrátane zápchy a </w:t>
            </w:r>
          </w:p>
          <w:p w14:paraId="1F2B6DB0" w14:textId="77777777" w:rsidR="006E1744" w:rsidRPr="005055CA" w:rsidRDefault="006E1744" w:rsidP="002E3165">
            <w:pPr>
              <w:rPr>
                <w:sz w:val="22"/>
                <w:szCs w:val="22"/>
                <w:highlight w:val="yellow"/>
                <w:lang w:val="pl-PL"/>
              </w:rPr>
            </w:pPr>
            <w:r w:rsidRPr="005055CA">
              <w:rPr>
                <w:sz w:val="22"/>
                <w:szCs w:val="22"/>
              </w:rPr>
              <w:t>sucha v ústach</w:t>
            </w:r>
          </w:p>
        </w:tc>
      </w:tr>
      <w:tr w:rsidR="00354F70" w:rsidRPr="005055CA" w14:paraId="71167922" w14:textId="77777777" w:rsidTr="001A71DA">
        <w:tc>
          <w:tcPr>
            <w:tcW w:w="3227" w:type="dxa"/>
          </w:tcPr>
          <w:p w14:paraId="2435E7B4" w14:textId="77777777" w:rsidR="00354F70" w:rsidRPr="005055CA" w:rsidDel="00843FF1" w:rsidRDefault="00354F70" w:rsidP="002E3165">
            <w:pPr>
              <w:rPr>
                <w:sz w:val="22"/>
                <w:szCs w:val="22"/>
              </w:rPr>
            </w:pPr>
            <w:r w:rsidRPr="005055CA">
              <w:rPr>
                <w:sz w:val="22"/>
                <w:szCs w:val="22"/>
              </w:rPr>
              <w:t>Menej časté</w:t>
            </w:r>
          </w:p>
        </w:tc>
        <w:tc>
          <w:tcPr>
            <w:tcW w:w="6781" w:type="dxa"/>
          </w:tcPr>
          <w:p w14:paraId="4306A5E1" w14:textId="77777777" w:rsidR="00354F70" w:rsidRPr="005055CA" w:rsidRDefault="00354F70" w:rsidP="002E3165">
            <w:pPr>
              <w:rPr>
                <w:sz w:val="22"/>
                <w:szCs w:val="22"/>
              </w:rPr>
            </w:pPr>
            <w:r w:rsidRPr="005055CA">
              <w:rPr>
                <w:sz w:val="22"/>
                <w:szCs w:val="22"/>
              </w:rPr>
              <w:t>Abdominálna distenzia</w:t>
            </w:r>
            <w:r w:rsidRPr="005055CA">
              <w:rPr>
                <w:color w:val="000000"/>
                <w:sz w:val="22"/>
                <w:szCs w:val="22"/>
                <w:vertAlign w:val="superscript"/>
              </w:rPr>
              <w:t>9</w:t>
            </w:r>
            <w:r w:rsidRPr="005055CA">
              <w:rPr>
                <w:sz w:val="22"/>
                <w:szCs w:val="22"/>
              </w:rPr>
              <w:t xml:space="preserve"> </w:t>
            </w:r>
          </w:p>
        </w:tc>
      </w:tr>
      <w:tr w:rsidR="006E1744" w:rsidRPr="005055CA" w14:paraId="120DEEF2" w14:textId="77777777" w:rsidTr="001A71DA">
        <w:tc>
          <w:tcPr>
            <w:tcW w:w="3227" w:type="dxa"/>
          </w:tcPr>
          <w:p w14:paraId="063209BD" w14:textId="77777777" w:rsidR="006E1744" w:rsidRPr="005055CA" w:rsidRDefault="00843FF1" w:rsidP="002E3165">
            <w:pPr>
              <w:rPr>
                <w:sz w:val="22"/>
                <w:szCs w:val="22"/>
                <w:lang w:val="en-US"/>
              </w:rPr>
            </w:pPr>
            <w:r w:rsidRPr="005055CA">
              <w:rPr>
                <w:sz w:val="22"/>
                <w:szCs w:val="22"/>
              </w:rPr>
              <w:lastRenderedPageBreak/>
              <w:t>Zriedkavé</w:t>
            </w:r>
          </w:p>
        </w:tc>
        <w:tc>
          <w:tcPr>
            <w:tcW w:w="6781" w:type="dxa"/>
          </w:tcPr>
          <w:p w14:paraId="48AC38DA" w14:textId="77777777" w:rsidR="006E1744" w:rsidRPr="005055CA" w:rsidRDefault="006E1744" w:rsidP="002E3165">
            <w:pPr>
              <w:rPr>
                <w:sz w:val="22"/>
                <w:szCs w:val="22"/>
                <w:lang w:val="en-GB"/>
              </w:rPr>
            </w:pPr>
            <w:r w:rsidRPr="005055CA">
              <w:rPr>
                <w:sz w:val="22"/>
                <w:szCs w:val="22"/>
              </w:rPr>
              <w:t>Pankreatitída</w:t>
            </w:r>
            <w:r w:rsidR="00843FF1" w:rsidRPr="005055CA">
              <w:rPr>
                <w:sz w:val="22"/>
                <w:szCs w:val="22"/>
                <w:vertAlign w:val="superscript"/>
              </w:rPr>
              <w:t>11</w:t>
            </w:r>
          </w:p>
        </w:tc>
      </w:tr>
      <w:tr w:rsidR="00843FF1" w:rsidRPr="005055CA" w14:paraId="33CB753D" w14:textId="77777777" w:rsidTr="001A71DA">
        <w:tc>
          <w:tcPr>
            <w:tcW w:w="3227" w:type="dxa"/>
          </w:tcPr>
          <w:p w14:paraId="3B947508" w14:textId="77777777" w:rsidR="00843FF1" w:rsidRPr="005055CA" w:rsidRDefault="00843FF1" w:rsidP="002E3165">
            <w:pPr>
              <w:rPr>
                <w:sz w:val="22"/>
                <w:szCs w:val="22"/>
              </w:rPr>
            </w:pPr>
          </w:p>
        </w:tc>
        <w:tc>
          <w:tcPr>
            <w:tcW w:w="6781" w:type="dxa"/>
          </w:tcPr>
          <w:p w14:paraId="495A99CF" w14:textId="77777777" w:rsidR="00843FF1" w:rsidRPr="005055CA" w:rsidRDefault="00843FF1" w:rsidP="002E3165">
            <w:pPr>
              <w:rPr>
                <w:sz w:val="22"/>
                <w:szCs w:val="22"/>
              </w:rPr>
            </w:pPr>
          </w:p>
        </w:tc>
      </w:tr>
      <w:tr w:rsidR="006E1744" w:rsidRPr="005055CA" w14:paraId="5F1AA8F9" w14:textId="77777777" w:rsidTr="001A71DA">
        <w:tc>
          <w:tcPr>
            <w:tcW w:w="10008" w:type="dxa"/>
            <w:gridSpan w:val="2"/>
          </w:tcPr>
          <w:p w14:paraId="1F5D733D" w14:textId="77777777" w:rsidR="006E1744" w:rsidRPr="005055CA" w:rsidRDefault="006E1744" w:rsidP="002E3165">
            <w:pPr>
              <w:rPr>
                <w:b/>
                <w:sz w:val="22"/>
                <w:szCs w:val="22"/>
                <w:lang w:val="pl-PL"/>
              </w:rPr>
            </w:pPr>
            <w:r w:rsidRPr="005055CA">
              <w:rPr>
                <w:b/>
                <w:sz w:val="22"/>
                <w:szCs w:val="22"/>
              </w:rPr>
              <w:t>Poruchy pečene a žlčových ciest</w:t>
            </w:r>
          </w:p>
        </w:tc>
      </w:tr>
      <w:tr w:rsidR="006E1744" w:rsidRPr="005055CA" w14:paraId="7B777FB1" w14:textId="77777777" w:rsidTr="001A71DA">
        <w:tc>
          <w:tcPr>
            <w:tcW w:w="3227" w:type="dxa"/>
          </w:tcPr>
          <w:p w14:paraId="1CD1530B" w14:textId="77777777" w:rsidR="006E1744" w:rsidRPr="005055CA" w:rsidRDefault="006E1744" w:rsidP="002E3165">
            <w:pPr>
              <w:rPr>
                <w:sz w:val="22"/>
                <w:szCs w:val="22"/>
                <w:lang w:val="en-GB"/>
              </w:rPr>
            </w:pPr>
            <w:r w:rsidRPr="005055CA">
              <w:rPr>
                <w:sz w:val="22"/>
                <w:szCs w:val="22"/>
                <w:lang w:val="en-GB"/>
              </w:rPr>
              <w:t>Časté</w:t>
            </w:r>
          </w:p>
        </w:tc>
        <w:tc>
          <w:tcPr>
            <w:tcW w:w="6781" w:type="dxa"/>
          </w:tcPr>
          <w:p w14:paraId="256B86C5" w14:textId="77777777" w:rsidR="004C51EA" w:rsidRPr="005055CA" w:rsidRDefault="006E1744" w:rsidP="002E3165">
            <w:pPr>
              <w:rPr>
                <w:sz w:val="22"/>
                <w:szCs w:val="22"/>
              </w:rPr>
            </w:pPr>
            <w:r w:rsidRPr="005055CA">
              <w:rPr>
                <w:sz w:val="22"/>
                <w:szCs w:val="22"/>
              </w:rPr>
              <w:t xml:space="preserve">Prechodné, asymptomatické zvýšenie pečeňových </w:t>
            </w:r>
            <w:r w:rsidR="00843FF1" w:rsidRPr="005055CA">
              <w:rPr>
                <w:sz w:val="22"/>
                <w:szCs w:val="22"/>
              </w:rPr>
              <w:t>amino</w:t>
            </w:r>
            <w:r w:rsidRPr="005055CA">
              <w:rPr>
                <w:sz w:val="22"/>
                <w:szCs w:val="22"/>
              </w:rPr>
              <w:t>trans</w:t>
            </w:r>
            <w:r w:rsidR="00843FF1" w:rsidRPr="005055CA">
              <w:rPr>
                <w:sz w:val="22"/>
                <w:szCs w:val="22"/>
              </w:rPr>
              <w:t>feráz</w:t>
            </w:r>
            <w:r w:rsidRPr="005055CA">
              <w:rPr>
                <w:sz w:val="22"/>
                <w:szCs w:val="22"/>
              </w:rPr>
              <w:t xml:space="preserve"> </w:t>
            </w:r>
          </w:p>
          <w:p w14:paraId="291DE8C4" w14:textId="77777777" w:rsidR="006E1744" w:rsidRPr="005055CA" w:rsidRDefault="006E1744" w:rsidP="002E3165">
            <w:pPr>
              <w:rPr>
                <w:sz w:val="22"/>
                <w:szCs w:val="22"/>
                <w:lang w:val="en-GB"/>
              </w:rPr>
            </w:pPr>
            <w:r w:rsidRPr="005055CA">
              <w:rPr>
                <w:sz w:val="22"/>
                <w:szCs w:val="22"/>
              </w:rPr>
              <w:t>(ALT, AST), hlavne na začiatku liečby (pozri časť 4.4)</w:t>
            </w:r>
          </w:p>
        </w:tc>
      </w:tr>
      <w:tr w:rsidR="006E1744" w:rsidRPr="005055CA" w14:paraId="4106B52A" w14:textId="77777777" w:rsidTr="001A71DA">
        <w:tc>
          <w:tcPr>
            <w:tcW w:w="3227" w:type="dxa"/>
          </w:tcPr>
          <w:p w14:paraId="326A96FF" w14:textId="77777777" w:rsidR="006E1744" w:rsidRPr="005055CA" w:rsidRDefault="00843FF1" w:rsidP="002E3165">
            <w:pPr>
              <w:rPr>
                <w:sz w:val="22"/>
                <w:szCs w:val="22"/>
                <w:lang w:val="en-GB"/>
              </w:rPr>
            </w:pPr>
            <w:r w:rsidRPr="005055CA">
              <w:rPr>
                <w:sz w:val="22"/>
                <w:szCs w:val="22"/>
              </w:rPr>
              <w:t>Zriedkavé</w:t>
            </w:r>
          </w:p>
        </w:tc>
        <w:tc>
          <w:tcPr>
            <w:tcW w:w="6781" w:type="dxa"/>
          </w:tcPr>
          <w:p w14:paraId="3E2F8B7B" w14:textId="77777777" w:rsidR="006E1744" w:rsidRPr="005055CA" w:rsidRDefault="006E1744" w:rsidP="002E3165">
            <w:pPr>
              <w:rPr>
                <w:sz w:val="22"/>
                <w:szCs w:val="22"/>
                <w:lang w:val="en-US"/>
              </w:rPr>
            </w:pPr>
            <w:r w:rsidRPr="005055CA">
              <w:rPr>
                <w:sz w:val="22"/>
                <w:szCs w:val="22"/>
              </w:rPr>
              <w:t>Hepatitída (vrátane hepatocelulárneho, cholestatického alebo zmiešaného poškodenia pečene)</w:t>
            </w:r>
            <w:r w:rsidR="00843FF1" w:rsidRPr="005055CA">
              <w:rPr>
                <w:sz w:val="22"/>
                <w:szCs w:val="22"/>
                <w:vertAlign w:val="superscript"/>
                <w:lang w:val="en-US"/>
              </w:rPr>
              <w:t xml:space="preserve"> 11</w:t>
            </w:r>
          </w:p>
        </w:tc>
      </w:tr>
      <w:tr w:rsidR="006E1744" w:rsidRPr="005055CA" w14:paraId="570BCBDF" w14:textId="77777777" w:rsidTr="001A71DA">
        <w:tc>
          <w:tcPr>
            <w:tcW w:w="10008" w:type="dxa"/>
            <w:gridSpan w:val="2"/>
          </w:tcPr>
          <w:p w14:paraId="3960F109" w14:textId="77777777" w:rsidR="006E1744" w:rsidRPr="005055CA" w:rsidRDefault="006E1744" w:rsidP="002E3165">
            <w:pPr>
              <w:rPr>
                <w:b/>
                <w:sz w:val="22"/>
                <w:szCs w:val="22"/>
                <w:lang w:val="pl-PL"/>
              </w:rPr>
            </w:pPr>
            <w:r w:rsidRPr="005055CA">
              <w:rPr>
                <w:b/>
                <w:sz w:val="22"/>
                <w:szCs w:val="22"/>
              </w:rPr>
              <w:t>Poruchy kože a podkožného tkaniva</w:t>
            </w:r>
          </w:p>
        </w:tc>
      </w:tr>
      <w:tr w:rsidR="006E1744" w:rsidRPr="005055CA" w14:paraId="645F0C21" w14:textId="77777777" w:rsidTr="001A71DA">
        <w:tc>
          <w:tcPr>
            <w:tcW w:w="3227" w:type="dxa"/>
          </w:tcPr>
          <w:p w14:paraId="7A990F89" w14:textId="77777777" w:rsidR="006E1744" w:rsidRPr="005055CA" w:rsidRDefault="006E1744" w:rsidP="002E3165">
            <w:pPr>
              <w:rPr>
                <w:sz w:val="22"/>
                <w:szCs w:val="22"/>
                <w:lang w:val="en-GB"/>
              </w:rPr>
            </w:pPr>
            <w:r w:rsidRPr="005055CA">
              <w:rPr>
                <w:sz w:val="22"/>
                <w:szCs w:val="22"/>
                <w:lang w:val="en-GB"/>
              </w:rPr>
              <w:t>Časté</w:t>
            </w:r>
          </w:p>
        </w:tc>
        <w:tc>
          <w:tcPr>
            <w:tcW w:w="6781" w:type="dxa"/>
          </w:tcPr>
          <w:p w14:paraId="5CF5FFB1" w14:textId="77777777" w:rsidR="006E1744" w:rsidRPr="005055CA" w:rsidRDefault="006E1744" w:rsidP="002E3165">
            <w:pPr>
              <w:rPr>
                <w:sz w:val="22"/>
                <w:szCs w:val="22"/>
                <w:lang w:val="en-GB"/>
              </w:rPr>
            </w:pPr>
            <w:r w:rsidRPr="005055CA">
              <w:rPr>
                <w:sz w:val="22"/>
                <w:szCs w:val="22"/>
              </w:rPr>
              <w:t>Vyrážka</w:t>
            </w:r>
          </w:p>
        </w:tc>
      </w:tr>
      <w:tr w:rsidR="006E1744" w:rsidRPr="005055CA" w14:paraId="3E0E4F5E" w14:textId="77777777" w:rsidTr="001A71DA">
        <w:tc>
          <w:tcPr>
            <w:tcW w:w="3227" w:type="dxa"/>
          </w:tcPr>
          <w:p w14:paraId="2D613E3B" w14:textId="77777777" w:rsidR="006E1744" w:rsidRPr="005055CA" w:rsidRDefault="006E1744" w:rsidP="002E3165">
            <w:pPr>
              <w:rPr>
                <w:sz w:val="22"/>
                <w:szCs w:val="22"/>
                <w:lang w:val="en-GB"/>
              </w:rPr>
            </w:pPr>
            <w:r w:rsidRPr="005055CA">
              <w:rPr>
                <w:sz w:val="22"/>
                <w:szCs w:val="22"/>
                <w:lang w:val="en-GB"/>
              </w:rPr>
              <w:t>Menej časté</w:t>
            </w:r>
          </w:p>
        </w:tc>
        <w:tc>
          <w:tcPr>
            <w:tcW w:w="6781" w:type="dxa"/>
          </w:tcPr>
          <w:p w14:paraId="069D3B06" w14:textId="77777777" w:rsidR="006E1744" w:rsidRPr="005055CA" w:rsidRDefault="006E1744" w:rsidP="002E3165">
            <w:pPr>
              <w:rPr>
                <w:sz w:val="22"/>
                <w:szCs w:val="22"/>
              </w:rPr>
            </w:pPr>
            <w:r w:rsidRPr="005055CA">
              <w:rPr>
                <w:sz w:val="22"/>
                <w:szCs w:val="22"/>
              </w:rPr>
              <w:t>Fotosenzitívna reakcia</w:t>
            </w:r>
          </w:p>
          <w:p w14:paraId="58EE03A2" w14:textId="77777777" w:rsidR="006E1744" w:rsidRPr="005055CA" w:rsidRDefault="006E1744" w:rsidP="002E3165">
            <w:pPr>
              <w:rPr>
                <w:sz w:val="22"/>
                <w:szCs w:val="22"/>
                <w:lang w:val="en-GB"/>
              </w:rPr>
            </w:pPr>
            <w:r w:rsidRPr="005055CA">
              <w:rPr>
                <w:sz w:val="22"/>
                <w:szCs w:val="22"/>
              </w:rPr>
              <w:t>Alopécia</w:t>
            </w:r>
          </w:p>
        </w:tc>
      </w:tr>
      <w:tr w:rsidR="00BD259C" w:rsidRPr="008260EF" w14:paraId="6D0C9A21" w14:textId="77777777" w:rsidTr="001A71DA">
        <w:tc>
          <w:tcPr>
            <w:tcW w:w="3227" w:type="dxa"/>
          </w:tcPr>
          <w:p w14:paraId="4607AA1B" w14:textId="77777777" w:rsidR="00BD259C" w:rsidRPr="005055CA" w:rsidRDefault="00BD259C" w:rsidP="002E3165">
            <w:pPr>
              <w:rPr>
                <w:sz w:val="22"/>
                <w:szCs w:val="22"/>
                <w:lang w:val="en-GB"/>
              </w:rPr>
            </w:pPr>
            <w:r w:rsidRPr="00BD259C">
              <w:rPr>
                <w:sz w:val="22"/>
                <w:szCs w:val="22"/>
                <w:lang w:val="en-GB"/>
              </w:rPr>
              <w:t>Neznáme</w:t>
            </w:r>
          </w:p>
        </w:tc>
        <w:tc>
          <w:tcPr>
            <w:tcW w:w="6781" w:type="dxa"/>
          </w:tcPr>
          <w:p w14:paraId="2F15A94C" w14:textId="77777777" w:rsidR="00BD259C" w:rsidRPr="005055CA" w:rsidRDefault="00BD259C" w:rsidP="002E3165">
            <w:pPr>
              <w:rPr>
                <w:sz w:val="22"/>
                <w:szCs w:val="22"/>
              </w:rPr>
            </w:pPr>
            <w:r w:rsidRPr="00BD259C">
              <w:rPr>
                <w:sz w:val="22"/>
                <w:szCs w:val="22"/>
              </w:rPr>
              <w:t>Reakcia na liek s eozinofíliou a systémovými príznakmi (DRESS)</w:t>
            </w:r>
          </w:p>
        </w:tc>
      </w:tr>
      <w:tr w:rsidR="006E1744" w:rsidRPr="008260EF" w14:paraId="6AF41660" w14:textId="77777777" w:rsidTr="001A71DA">
        <w:tc>
          <w:tcPr>
            <w:tcW w:w="10008" w:type="dxa"/>
            <w:gridSpan w:val="2"/>
          </w:tcPr>
          <w:p w14:paraId="1781D5CF" w14:textId="77777777" w:rsidR="006E1744" w:rsidRPr="00054A7B" w:rsidRDefault="006E1744" w:rsidP="002E3165">
            <w:pPr>
              <w:rPr>
                <w:b/>
                <w:sz w:val="22"/>
                <w:lang w:val="pl-PL"/>
              </w:rPr>
            </w:pPr>
            <w:r w:rsidRPr="005055CA">
              <w:rPr>
                <w:b/>
                <w:sz w:val="22"/>
                <w:szCs w:val="22"/>
              </w:rPr>
              <w:t>Poruchy kostrovej a svalovej sústavy a spojivového tkaniva</w:t>
            </w:r>
          </w:p>
        </w:tc>
      </w:tr>
      <w:tr w:rsidR="00843FF1" w:rsidRPr="005055CA" w14:paraId="24F9AF7C" w14:textId="77777777" w:rsidTr="001A71DA">
        <w:tc>
          <w:tcPr>
            <w:tcW w:w="3227" w:type="dxa"/>
          </w:tcPr>
          <w:p w14:paraId="310B5936" w14:textId="77777777" w:rsidR="00843FF1" w:rsidRPr="005055CA" w:rsidRDefault="00843FF1" w:rsidP="002E3165">
            <w:pPr>
              <w:rPr>
                <w:sz w:val="22"/>
                <w:szCs w:val="22"/>
              </w:rPr>
            </w:pPr>
            <w:r w:rsidRPr="005055CA">
              <w:rPr>
                <w:sz w:val="22"/>
                <w:szCs w:val="22"/>
              </w:rPr>
              <w:t>Časté</w:t>
            </w:r>
          </w:p>
        </w:tc>
        <w:tc>
          <w:tcPr>
            <w:tcW w:w="6781" w:type="dxa"/>
          </w:tcPr>
          <w:p w14:paraId="1B6A3BAB" w14:textId="77777777" w:rsidR="00843FF1" w:rsidRPr="005055CA" w:rsidRDefault="00843FF1" w:rsidP="002E3165">
            <w:pPr>
              <w:rPr>
                <w:sz w:val="22"/>
                <w:szCs w:val="22"/>
              </w:rPr>
            </w:pPr>
            <w:r w:rsidRPr="005055CA">
              <w:rPr>
                <w:sz w:val="22"/>
                <w:szCs w:val="22"/>
              </w:rPr>
              <w:t>Artralgia</w:t>
            </w:r>
            <w:r w:rsidR="00731DDB" w:rsidRPr="005055CA">
              <w:rPr>
                <w:color w:val="000000"/>
                <w:sz w:val="22"/>
                <w:szCs w:val="22"/>
                <w:vertAlign w:val="superscript"/>
              </w:rPr>
              <w:t>9</w:t>
            </w:r>
          </w:p>
          <w:p w14:paraId="557FDACC" w14:textId="77777777" w:rsidR="00843FF1" w:rsidRPr="005055CA" w:rsidRDefault="00843FF1" w:rsidP="002E3165">
            <w:pPr>
              <w:rPr>
                <w:sz w:val="22"/>
                <w:szCs w:val="22"/>
              </w:rPr>
            </w:pPr>
          </w:p>
        </w:tc>
      </w:tr>
      <w:tr w:rsidR="006E1744" w:rsidRPr="005055CA" w14:paraId="297D78CC" w14:textId="77777777" w:rsidTr="001A71DA">
        <w:tc>
          <w:tcPr>
            <w:tcW w:w="3227" w:type="dxa"/>
          </w:tcPr>
          <w:p w14:paraId="19CDE6B1" w14:textId="77777777" w:rsidR="006E1744" w:rsidRPr="005055CA" w:rsidRDefault="00843FF1" w:rsidP="002E3165">
            <w:pPr>
              <w:rPr>
                <w:sz w:val="22"/>
                <w:szCs w:val="22"/>
              </w:rPr>
            </w:pPr>
            <w:r w:rsidRPr="005055CA">
              <w:rPr>
                <w:sz w:val="22"/>
                <w:szCs w:val="22"/>
              </w:rPr>
              <w:t>Zriedkavé</w:t>
            </w:r>
          </w:p>
        </w:tc>
        <w:tc>
          <w:tcPr>
            <w:tcW w:w="6781" w:type="dxa"/>
          </w:tcPr>
          <w:p w14:paraId="0B17C216" w14:textId="77777777" w:rsidR="006E1744" w:rsidRPr="005055CA" w:rsidRDefault="006E1744" w:rsidP="002E3165">
            <w:pPr>
              <w:rPr>
                <w:sz w:val="22"/>
                <w:szCs w:val="22"/>
                <w:lang w:val="en-GB"/>
              </w:rPr>
            </w:pPr>
            <w:r w:rsidRPr="005055CA">
              <w:rPr>
                <w:sz w:val="22"/>
                <w:szCs w:val="22"/>
              </w:rPr>
              <w:t>Rabdomyolýza</w:t>
            </w:r>
          </w:p>
        </w:tc>
      </w:tr>
      <w:tr w:rsidR="006E1744" w:rsidRPr="005055CA" w14:paraId="2414CB14" w14:textId="77777777" w:rsidTr="001A71DA">
        <w:tc>
          <w:tcPr>
            <w:tcW w:w="10008" w:type="dxa"/>
            <w:gridSpan w:val="2"/>
          </w:tcPr>
          <w:p w14:paraId="4D8FE36E" w14:textId="77777777" w:rsidR="006E1744" w:rsidRPr="005055CA" w:rsidRDefault="006E1744" w:rsidP="002E3165">
            <w:pPr>
              <w:rPr>
                <w:b/>
                <w:sz w:val="22"/>
                <w:szCs w:val="22"/>
                <w:lang w:val="pl-PL"/>
              </w:rPr>
            </w:pPr>
            <w:r w:rsidRPr="005055CA">
              <w:rPr>
                <w:b/>
                <w:sz w:val="22"/>
                <w:szCs w:val="22"/>
              </w:rPr>
              <w:t>Poruchy obličiek a močovej sústavy</w:t>
            </w:r>
          </w:p>
        </w:tc>
      </w:tr>
      <w:tr w:rsidR="006E1744" w:rsidRPr="004F7577" w14:paraId="3A2BBE9B" w14:textId="77777777" w:rsidTr="001A71DA">
        <w:tc>
          <w:tcPr>
            <w:tcW w:w="3227" w:type="dxa"/>
          </w:tcPr>
          <w:p w14:paraId="4CBF891E" w14:textId="77777777" w:rsidR="006E1744" w:rsidRPr="005055CA" w:rsidRDefault="00843FF1" w:rsidP="002E3165">
            <w:pPr>
              <w:rPr>
                <w:sz w:val="22"/>
                <w:szCs w:val="22"/>
              </w:rPr>
            </w:pPr>
            <w:r w:rsidRPr="005055CA">
              <w:rPr>
                <w:sz w:val="22"/>
                <w:szCs w:val="22"/>
              </w:rPr>
              <w:t>Menej časté</w:t>
            </w:r>
          </w:p>
        </w:tc>
        <w:tc>
          <w:tcPr>
            <w:tcW w:w="6781" w:type="dxa"/>
          </w:tcPr>
          <w:p w14:paraId="6AFC2F58" w14:textId="77777777" w:rsidR="00843FF1" w:rsidRPr="005055CA" w:rsidRDefault="00843FF1" w:rsidP="002E3165">
            <w:pPr>
              <w:rPr>
                <w:sz w:val="22"/>
                <w:szCs w:val="22"/>
              </w:rPr>
            </w:pPr>
            <w:r w:rsidRPr="005055CA">
              <w:rPr>
                <w:sz w:val="22"/>
                <w:szCs w:val="22"/>
              </w:rPr>
              <w:t>Inkontinencia moču,</w:t>
            </w:r>
          </w:p>
          <w:p w14:paraId="67B12EF0" w14:textId="77777777" w:rsidR="00843FF1" w:rsidRPr="005055CA" w:rsidRDefault="00590835" w:rsidP="002E3165">
            <w:pPr>
              <w:rPr>
                <w:sz w:val="22"/>
                <w:szCs w:val="22"/>
              </w:rPr>
            </w:pPr>
            <w:r w:rsidRPr="005055CA">
              <w:rPr>
                <w:sz w:val="22"/>
                <w:szCs w:val="22"/>
              </w:rPr>
              <w:t>R</w:t>
            </w:r>
            <w:r w:rsidR="00843FF1" w:rsidRPr="005055CA">
              <w:rPr>
                <w:sz w:val="22"/>
                <w:szCs w:val="22"/>
              </w:rPr>
              <w:t>etencia moču</w:t>
            </w:r>
          </w:p>
          <w:p w14:paraId="1362A3A7" w14:textId="77777777" w:rsidR="00843FF1" w:rsidRPr="005055CA" w:rsidRDefault="00843FF1" w:rsidP="002E3165">
            <w:pPr>
              <w:rPr>
                <w:sz w:val="22"/>
                <w:szCs w:val="22"/>
              </w:rPr>
            </w:pPr>
            <w:r w:rsidRPr="005055CA">
              <w:rPr>
                <w:sz w:val="22"/>
                <w:szCs w:val="22"/>
              </w:rPr>
              <w:t>Oneskorené</w:t>
            </w:r>
            <w:r w:rsidR="00590835" w:rsidRPr="005055CA">
              <w:rPr>
                <w:sz w:val="22"/>
                <w:szCs w:val="22"/>
              </w:rPr>
              <w:t xml:space="preserve"> m</w:t>
            </w:r>
            <w:r w:rsidRPr="005055CA">
              <w:rPr>
                <w:sz w:val="22"/>
                <w:szCs w:val="22"/>
              </w:rPr>
              <w:t>očenie</w:t>
            </w:r>
            <w:r w:rsidR="00590835" w:rsidRPr="005055CA">
              <w:rPr>
                <w:color w:val="000000"/>
                <w:sz w:val="22"/>
                <w:szCs w:val="22"/>
                <w:vertAlign w:val="superscript"/>
              </w:rPr>
              <w:t>11</w:t>
            </w:r>
          </w:p>
          <w:p w14:paraId="4A2CF7D0" w14:textId="77777777" w:rsidR="006E1744" w:rsidRPr="004F7577" w:rsidRDefault="006E1744" w:rsidP="002E3165">
            <w:pPr>
              <w:rPr>
                <w:sz w:val="22"/>
                <w:szCs w:val="22"/>
                <w:lang w:val="es-ES_tradnl"/>
              </w:rPr>
            </w:pPr>
          </w:p>
        </w:tc>
      </w:tr>
      <w:tr w:rsidR="00843FF1" w:rsidRPr="005055CA" w14:paraId="4115F0BF" w14:textId="77777777" w:rsidTr="001A71DA">
        <w:tc>
          <w:tcPr>
            <w:tcW w:w="10008" w:type="dxa"/>
            <w:gridSpan w:val="2"/>
          </w:tcPr>
          <w:p w14:paraId="3B3C0432" w14:textId="77777777" w:rsidR="00843FF1" w:rsidRPr="005055CA" w:rsidRDefault="00843FF1" w:rsidP="002E3165">
            <w:pPr>
              <w:rPr>
                <w:sz w:val="22"/>
                <w:szCs w:val="22"/>
              </w:rPr>
            </w:pPr>
            <w:r w:rsidRPr="005055CA">
              <w:rPr>
                <w:b/>
                <w:bCs/>
                <w:sz w:val="22"/>
                <w:szCs w:val="22"/>
              </w:rPr>
              <w:t>Stavy v gravidite, v šestonedelí a perinatálnom období</w:t>
            </w:r>
          </w:p>
          <w:p w14:paraId="0879BB5F" w14:textId="77777777" w:rsidR="00843FF1" w:rsidRPr="005055CA" w:rsidRDefault="00843FF1" w:rsidP="002E3165">
            <w:pPr>
              <w:rPr>
                <w:b/>
                <w:sz w:val="22"/>
                <w:szCs w:val="22"/>
              </w:rPr>
            </w:pPr>
          </w:p>
        </w:tc>
      </w:tr>
      <w:tr w:rsidR="00843FF1" w:rsidRPr="005055CA" w14:paraId="48EE9FB4" w14:textId="77777777" w:rsidTr="001A71DA">
        <w:tc>
          <w:tcPr>
            <w:tcW w:w="3227" w:type="dxa"/>
          </w:tcPr>
          <w:p w14:paraId="01C1A2F0" w14:textId="77777777" w:rsidR="00843FF1" w:rsidRPr="005055CA" w:rsidRDefault="00843FF1" w:rsidP="002E3165">
            <w:pPr>
              <w:rPr>
                <w:sz w:val="22"/>
                <w:szCs w:val="22"/>
              </w:rPr>
            </w:pPr>
            <w:r w:rsidRPr="005055CA">
              <w:rPr>
                <w:sz w:val="22"/>
                <w:szCs w:val="22"/>
              </w:rPr>
              <w:t>Neznáme</w:t>
            </w:r>
          </w:p>
        </w:tc>
        <w:tc>
          <w:tcPr>
            <w:tcW w:w="6781" w:type="dxa"/>
          </w:tcPr>
          <w:p w14:paraId="7C94729A" w14:textId="77777777" w:rsidR="00843FF1" w:rsidRPr="005055CA" w:rsidRDefault="00843FF1" w:rsidP="002E3165">
            <w:pPr>
              <w:rPr>
                <w:sz w:val="22"/>
                <w:szCs w:val="22"/>
              </w:rPr>
            </w:pPr>
            <w:r w:rsidRPr="005055CA">
              <w:rPr>
                <w:sz w:val="22"/>
                <w:szCs w:val="22"/>
              </w:rPr>
              <w:t>Novorodenecký</w:t>
            </w:r>
            <w:r w:rsidR="00A04E88" w:rsidRPr="005055CA">
              <w:rPr>
                <w:sz w:val="22"/>
                <w:szCs w:val="22"/>
              </w:rPr>
              <w:t xml:space="preserve"> </w:t>
            </w:r>
            <w:r w:rsidRPr="005055CA">
              <w:rPr>
                <w:sz w:val="22"/>
                <w:szCs w:val="22"/>
              </w:rPr>
              <w:t>syndróm z</w:t>
            </w:r>
            <w:r w:rsidR="00A04E88" w:rsidRPr="005055CA">
              <w:rPr>
                <w:sz w:val="22"/>
                <w:szCs w:val="22"/>
              </w:rPr>
              <w:t xml:space="preserve">  </w:t>
            </w:r>
            <w:r w:rsidRPr="005055CA">
              <w:rPr>
                <w:sz w:val="22"/>
                <w:szCs w:val="22"/>
              </w:rPr>
              <w:t>vysadenia</w:t>
            </w:r>
            <w:r w:rsidR="00A04E88" w:rsidRPr="005055CA">
              <w:rPr>
                <w:sz w:val="22"/>
                <w:szCs w:val="22"/>
              </w:rPr>
              <w:t xml:space="preserve"> </w:t>
            </w:r>
            <w:r w:rsidRPr="005055CA">
              <w:rPr>
                <w:sz w:val="22"/>
                <w:szCs w:val="22"/>
              </w:rPr>
              <w:t>(pozri časť 4.6)</w:t>
            </w:r>
          </w:p>
          <w:p w14:paraId="65FD7E99" w14:textId="77777777" w:rsidR="00843FF1" w:rsidRPr="005055CA" w:rsidRDefault="00843FF1" w:rsidP="002E3165">
            <w:pPr>
              <w:rPr>
                <w:sz w:val="22"/>
                <w:szCs w:val="22"/>
              </w:rPr>
            </w:pPr>
          </w:p>
        </w:tc>
      </w:tr>
      <w:tr w:rsidR="006E1744" w:rsidRPr="005055CA" w14:paraId="723B3FFD" w14:textId="77777777" w:rsidTr="001A71DA">
        <w:tc>
          <w:tcPr>
            <w:tcW w:w="10008" w:type="dxa"/>
            <w:gridSpan w:val="2"/>
          </w:tcPr>
          <w:p w14:paraId="05719A5B" w14:textId="77777777" w:rsidR="006E1744" w:rsidRPr="005055CA" w:rsidRDefault="006E1744" w:rsidP="002E3165">
            <w:pPr>
              <w:rPr>
                <w:b/>
                <w:sz w:val="22"/>
                <w:szCs w:val="22"/>
                <w:lang w:val="pl-PL"/>
              </w:rPr>
            </w:pPr>
            <w:r w:rsidRPr="005055CA">
              <w:rPr>
                <w:b/>
                <w:sz w:val="22"/>
                <w:szCs w:val="22"/>
              </w:rPr>
              <w:t>Poruchy reprodukčného systému a prsníkov</w:t>
            </w:r>
          </w:p>
        </w:tc>
      </w:tr>
      <w:tr w:rsidR="00843FF1" w:rsidRPr="005055CA" w14:paraId="001CAC3F" w14:textId="77777777" w:rsidTr="001A71DA">
        <w:tc>
          <w:tcPr>
            <w:tcW w:w="3227" w:type="dxa"/>
          </w:tcPr>
          <w:p w14:paraId="6612D02F" w14:textId="77777777" w:rsidR="00843FF1" w:rsidRPr="005055CA" w:rsidRDefault="00380783" w:rsidP="002E3165">
            <w:pPr>
              <w:rPr>
                <w:sz w:val="22"/>
                <w:szCs w:val="22"/>
              </w:rPr>
            </w:pPr>
            <w:r w:rsidRPr="005055CA">
              <w:rPr>
                <w:sz w:val="22"/>
                <w:szCs w:val="22"/>
              </w:rPr>
              <w:t>Časté</w:t>
            </w:r>
          </w:p>
        </w:tc>
        <w:tc>
          <w:tcPr>
            <w:tcW w:w="6781" w:type="dxa"/>
          </w:tcPr>
          <w:p w14:paraId="7AC97DE7" w14:textId="77777777" w:rsidR="00380783" w:rsidRPr="005055CA" w:rsidRDefault="00380783" w:rsidP="002E3165">
            <w:pPr>
              <w:rPr>
                <w:sz w:val="22"/>
                <w:szCs w:val="22"/>
              </w:rPr>
            </w:pPr>
            <w:r w:rsidRPr="005055CA">
              <w:rPr>
                <w:sz w:val="22"/>
                <w:szCs w:val="22"/>
              </w:rPr>
              <w:t>Erektilná dysfunkcia</w:t>
            </w:r>
            <w:r w:rsidR="004A2CC4" w:rsidRPr="005055CA">
              <w:rPr>
                <w:sz w:val="22"/>
                <w:szCs w:val="22"/>
              </w:rPr>
              <w:t xml:space="preserve"> </w:t>
            </w:r>
            <w:r w:rsidRPr="005055CA">
              <w:rPr>
                <w:sz w:val="22"/>
                <w:szCs w:val="22"/>
              </w:rPr>
              <w:t>u mužov</w:t>
            </w:r>
          </w:p>
          <w:p w14:paraId="1EEFF72A" w14:textId="77777777" w:rsidR="00380783" w:rsidRPr="005055CA" w:rsidRDefault="00380783" w:rsidP="002E3165">
            <w:pPr>
              <w:rPr>
                <w:sz w:val="22"/>
                <w:szCs w:val="22"/>
              </w:rPr>
            </w:pPr>
            <w:r w:rsidRPr="005055CA">
              <w:rPr>
                <w:sz w:val="22"/>
                <w:szCs w:val="22"/>
              </w:rPr>
              <w:t>Znížené libido</w:t>
            </w:r>
            <w:r w:rsidR="004A2CC4" w:rsidRPr="005055CA">
              <w:rPr>
                <w:sz w:val="22"/>
                <w:szCs w:val="22"/>
              </w:rPr>
              <w:t xml:space="preserve"> </w:t>
            </w:r>
            <w:r w:rsidRPr="005055CA">
              <w:rPr>
                <w:sz w:val="22"/>
                <w:szCs w:val="22"/>
              </w:rPr>
              <w:t>u mužov a žien</w:t>
            </w:r>
          </w:p>
          <w:p w14:paraId="76E9BDA0" w14:textId="77777777" w:rsidR="00843FF1" w:rsidRPr="005055CA" w:rsidRDefault="00843FF1" w:rsidP="002E3165">
            <w:pPr>
              <w:rPr>
                <w:sz w:val="22"/>
                <w:szCs w:val="22"/>
              </w:rPr>
            </w:pPr>
          </w:p>
        </w:tc>
      </w:tr>
      <w:tr w:rsidR="00843FF1" w:rsidRPr="005055CA" w14:paraId="23C4E84E" w14:textId="77777777" w:rsidTr="001A71DA">
        <w:tc>
          <w:tcPr>
            <w:tcW w:w="3227" w:type="dxa"/>
          </w:tcPr>
          <w:p w14:paraId="6708AFF2" w14:textId="77777777" w:rsidR="00843FF1" w:rsidRPr="005055CA" w:rsidRDefault="00380783" w:rsidP="002E3165">
            <w:pPr>
              <w:rPr>
                <w:sz w:val="22"/>
                <w:szCs w:val="22"/>
              </w:rPr>
            </w:pPr>
            <w:r w:rsidRPr="005055CA">
              <w:rPr>
                <w:sz w:val="22"/>
                <w:szCs w:val="22"/>
              </w:rPr>
              <w:t>Menej časté</w:t>
            </w:r>
          </w:p>
        </w:tc>
        <w:tc>
          <w:tcPr>
            <w:tcW w:w="6781" w:type="dxa"/>
          </w:tcPr>
          <w:p w14:paraId="5352C68F" w14:textId="77777777" w:rsidR="00380783" w:rsidRPr="005055CA" w:rsidRDefault="00380783" w:rsidP="002E3165">
            <w:pPr>
              <w:rPr>
                <w:sz w:val="22"/>
                <w:szCs w:val="22"/>
              </w:rPr>
            </w:pPr>
            <w:r w:rsidRPr="005055CA">
              <w:rPr>
                <w:sz w:val="22"/>
                <w:szCs w:val="22"/>
              </w:rPr>
              <w:t>Amenorea</w:t>
            </w:r>
          </w:p>
          <w:p w14:paraId="2998368A" w14:textId="77777777" w:rsidR="00380783" w:rsidRPr="005055CA" w:rsidRDefault="00380783" w:rsidP="002E3165">
            <w:pPr>
              <w:rPr>
                <w:sz w:val="22"/>
                <w:szCs w:val="22"/>
              </w:rPr>
            </w:pPr>
            <w:r w:rsidRPr="005055CA">
              <w:rPr>
                <w:sz w:val="22"/>
                <w:szCs w:val="22"/>
              </w:rPr>
              <w:t>Zväčšenie prsníkov</w:t>
            </w:r>
          </w:p>
          <w:p w14:paraId="4F7116C3" w14:textId="77777777" w:rsidR="00380783" w:rsidRPr="005055CA" w:rsidRDefault="00380783" w:rsidP="002E3165">
            <w:pPr>
              <w:rPr>
                <w:sz w:val="22"/>
                <w:szCs w:val="22"/>
              </w:rPr>
            </w:pPr>
            <w:r w:rsidRPr="005055CA">
              <w:rPr>
                <w:sz w:val="22"/>
                <w:szCs w:val="22"/>
              </w:rPr>
              <w:t>Galaktorea u žien</w:t>
            </w:r>
          </w:p>
          <w:p w14:paraId="40830D62" w14:textId="77777777" w:rsidR="00380783" w:rsidRPr="005055CA" w:rsidRDefault="00380783" w:rsidP="002E3165">
            <w:pPr>
              <w:rPr>
                <w:sz w:val="22"/>
                <w:szCs w:val="22"/>
              </w:rPr>
            </w:pPr>
            <w:r w:rsidRPr="005055CA">
              <w:rPr>
                <w:sz w:val="22"/>
                <w:szCs w:val="22"/>
              </w:rPr>
              <w:t>Gynekomastia /zväčšenie prsníkov u</w:t>
            </w:r>
            <w:r w:rsidR="00DD51E4" w:rsidRPr="005055CA">
              <w:rPr>
                <w:sz w:val="22"/>
                <w:szCs w:val="22"/>
              </w:rPr>
              <w:t xml:space="preserve"> </w:t>
            </w:r>
            <w:r w:rsidRPr="005055CA">
              <w:rPr>
                <w:sz w:val="22"/>
                <w:szCs w:val="22"/>
              </w:rPr>
              <w:t>mužov</w:t>
            </w:r>
          </w:p>
          <w:p w14:paraId="7EA53A92" w14:textId="77777777" w:rsidR="00843FF1" w:rsidRPr="005055CA" w:rsidRDefault="00843FF1" w:rsidP="002E3165">
            <w:pPr>
              <w:rPr>
                <w:sz w:val="22"/>
                <w:szCs w:val="22"/>
              </w:rPr>
            </w:pPr>
          </w:p>
        </w:tc>
      </w:tr>
      <w:tr w:rsidR="006E1744" w:rsidRPr="005055CA" w14:paraId="57E91819" w14:textId="77777777" w:rsidTr="001A71DA">
        <w:tc>
          <w:tcPr>
            <w:tcW w:w="3227" w:type="dxa"/>
          </w:tcPr>
          <w:p w14:paraId="5410B627" w14:textId="77777777" w:rsidR="006E1744" w:rsidRPr="005055CA" w:rsidRDefault="00380783" w:rsidP="002E3165">
            <w:pPr>
              <w:rPr>
                <w:sz w:val="22"/>
                <w:szCs w:val="22"/>
              </w:rPr>
            </w:pPr>
            <w:r w:rsidRPr="005055CA">
              <w:rPr>
                <w:sz w:val="22"/>
                <w:szCs w:val="22"/>
              </w:rPr>
              <w:t>Zriedkavé</w:t>
            </w:r>
          </w:p>
        </w:tc>
        <w:tc>
          <w:tcPr>
            <w:tcW w:w="6781" w:type="dxa"/>
          </w:tcPr>
          <w:p w14:paraId="2028CA64" w14:textId="77777777" w:rsidR="006E1744" w:rsidRPr="005055CA" w:rsidRDefault="006E1744" w:rsidP="002E3165">
            <w:pPr>
              <w:rPr>
                <w:sz w:val="22"/>
                <w:szCs w:val="22"/>
                <w:lang w:val="en-GB"/>
              </w:rPr>
            </w:pPr>
            <w:r w:rsidRPr="005055CA">
              <w:rPr>
                <w:sz w:val="22"/>
                <w:szCs w:val="22"/>
              </w:rPr>
              <w:t>Priapism</w:t>
            </w:r>
            <w:r w:rsidR="00FA7A90" w:rsidRPr="005055CA">
              <w:rPr>
                <w:sz w:val="22"/>
                <w:szCs w:val="22"/>
              </w:rPr>
              <w:t>us</w:t>
            </w:r>
            <w:r w:rsidR="00380783" w:rsidRPr="005055CA">
              <w:rPr>
                <w:sz w:val="22"/>
                <w:szCs w:val="22"/>
                <w:vertAlign w:val="superscript"/>
              </w:rPr>
              <w:t>12</w:t>
            </w:r>
          </w:p>
        </w:tc>
      </w:tr>
      <w:tr w:rsidR="006E1744" w:rsidRPr="005055CA" w14:paraId="6BC55C6E" w14:textId="77777777" w:rsidTr="001A71DA">
        <w:tc>
          <w:tcPr>
            <w:tcW w:w="10008" w:type="dxa"/>
            <w:gridSpan w:val="2"/>
          </w:tcPr>
          <w:p w14:paraId="244E52A5" w14:textId="77777777" w:rsidR="006E1744" w:rsidRPr="005055CA" w:rsidRDefault="00504810" w:rsidP="002E3165">
            <w:pPr>
              <w:rPr>
                <w:b/>
                <w:sz w:val="22"/>
                <w:szCs w:val="22"/>
                <w:lang w:val="pl-PL"/>
              </w:rPr>
            </w:pPr>
            <w:r w:rsidRPr="005055CA">
              <w:rPr>
                <w:b/>
                <w:bCs/>
                <w:color w:val="000000"/>
                <w:sz w:val="22"/>
                <w:szCs w:val="22"/>
                <w:lang w:val="pl-PL"/>
              </w:rPr>
              <w:t>Celkové poruchy a reakcie v mieste podania</w:t>
            </w:r>
          </w:p>
        </w:tc>
      </w:tr>
      <w:tr w:rsidR="006E1744" w:rsidRPr="005055CA" w14:paraId="7FBE2DFE" w14:textId="77777777" w:rsidTr="001A71DA">
        <w:tc>
          <w:tcPr>
            <w:tcW w:w="3227" w:type="dxa"/>
          </w:tcPr>
          <w:p w14:paraId="0D77D5A9" w14:textId="77777777" w:rsidR="006E1744" w:rsidRPr="005055CA" w:rsidRDefault="006E1744" w:rsidP="002E3165">
            <w:pPr>
              <w:rPr>
                <w:sz w:val="22"/>
                <w:szCs w:val="22"/>
                <w:lang w:val="en-GB"/>
              </w:rPr>
            </w:pPr>
            <w:r w:rsidRPr="005055CA">
              <w:rPr>
                <w:sz w:val="22"/>
                <w:szCs w:val="22"/>
                <w:lang w:val="en-GB"/>
              </w:rPr>
              <w:t>Časté</w:t>
            </w:r>
          </w:p>
        </w:tc>
        <w:tc>
          <w:tcPr>
            <w:tcW w:w="6781" w:type="dxa"/>
          </w:tcPr>
          <w:p w14:paraId="494C64DF" w14:textId="77777777" w:rsidR="006E1744" w:rsidRPr="005055CA" w:rsidRDefault="006E1744" w:rsidP="002E3165">
            <w:pPr>
              <w:rPr>
                <w:sz w:val="22"/>
                <w:szCs w:val="22"/>
              </w:rPr>
            </w:pPr>
            <w:r w:rsidRPr="005055CA">
              <w:rPr>
                <w:sz w:val="22"/>
                <w:szCs w:val="22"/>
              </w:rPr>
              <w:t>Asténia</w:t>
            </w:r>
          </w:p>
          <w:p w14:paraId="12C6ACDC" w14:textId="77777777" w:rsidR="006E1744" w:rsidRPr="005055CA" w:rsidRDefault="006E1744" w:rsidP="002E3165">
            <w:pPr>
              <w:rPr>
                <w:sz w:val="22"/>
                <w:szCs w:val="22"/>
              </w:rPr>
            </w:pPr>
            <w:r w:rsidRPr="005055CA">
              <w:rPr>
                <w:sz w:val="22"/>
                <w:szCs w:val="22"/>
              </w:rPr>
              <w:t>Únava</w:t>
            </w:r>
          </w:p>
          <w:p w14:paraId="6AE23256" w14:textId="77777777" w:rsidR="006E1744" w:rsidRPr="005055CA" w:rsidRDefault="006E1744" w:rsidP="002E3165">
            <w:pPr>
              <w:rPr>
                <w:sz w:val="22"/>
                <w:szCs w:val="22"/>
              </w:rPr>
            </w:pPr>
            <w:r w:rsidRPr="005055CA">
              <w:rPr>
                <w:sz w:val="22"/>
                <w:szCs w:val="22"/>
              </w:rPr>
              <w:t>Edém</w:t>
            </w:r>
          </w:p>
          <w:p w14:paraId="02B1F2D9" w14:textId="77777777" w:rsidR="00380783" w:rsidRPr="005055CA" w:rsidRDefault="00DD51E4" w:rsidP="002E3165">
            <w:pPr>
              <w:rPr>
                <w:sz w:val="22"/>
                <w:szCs w:val="22"/>
                <w:lang w:val="en-GB"/>
              </w:rPr>
            </w:pPr>
            <w:r w:rsidRPr="005055CA">
              <w:rPr>
                <w:sz w:val="22"/>
                <w:szCs w:val="22"/>
              </w:rPr>
              <w:t>Pyrexia</w:t>
            </w:r>
            <w:r w:rsidR="00380783" w:rsidRPr="005055CA">
              <w:rPr>
                <w:sz w:val="22"/>
                <w:szCs w:val="22"/>
                <w:vertAlign w:val="superscript"/>
              </w:rPr>
              <w:t>10</w:t>
            </w:r>
          </w:p>
        </w:tc>
      </w:tr>
      <w:tr w:rsidR="006E1744" w:rsidRPr="005055CA" w14:paraId="584B6DEC" w14:textId="77777777" w:rsidTr="001A71DA">
        <w:tc>
          <w:tcPr>
            <w:tcW w:w="10008" w:type="dxa"/>
            <w:gridSpan w:val="2"/>
          </w:tcPr>
          <w:p w14:paraId="3DF76E33" w14:textId="77777777" w:rsidR="006E1744" w:rsidRPr="005055CA" w:rsidRDefault="006E1744" w:rsidP="002E3165">
            <w:pPr>
              <w:rPr>
                <w:b/>
                <w:sz w:val="22"/>
                <w:szCs w:val="22"/>
                <w:lang w:val="en-GB"/>
              </w:rPr>
            </w:pPr>
            <w:r w:rsidRPr="005055CA">
              <w:rPr>
                <w:b/>
                <w:sz w:val="22"/>
                <w:szCs w:val="22"/>
              </w:rPr>
              <w:t>Laboratórne a funkčné vyšetrenia</w:t>
            </w:r>
          </w:p>
        </w:tc>
      </w:tr>
      <w:tr w:rsidR="006E1744" w:rsidRPr="005055CA" w14:paraId="38670000" w14:textId="77777777" w:rsidTr="001A71DA">
        <w:tc>
          <w:tcPr>
            <w:tcW w:w="3227" w:type="dxa"/>
          </w:tcPr>
          <w:p w14:paraId="60C4D6F1" w14:textId="77777777" w:rsidR="006E1744" w:rsidRPr="005055CA" w:rsidRDefault="006E1744" w:rsidP="002E3165">
            <w:pPr>
              <w:rPr>
                <w:sz w:val="22"/>
                <w:szCs w:val="22"/>
              </w:rPr>
            </w:pPr>
            <w:r w:rsidRPr="005055CA">
              <w:rPr>
                <w:sz w:val="22"/>
                <w:szCs w:val="22"/>
                <w:lang w:val="en-US"/>
              </w:rPr>
              <w:t>Veľmi časté</w:t>
            </w:r>
            <w:r w:rsidRPr="005055CA">
              <w:rPr>
                <w:sz w:val="22"/>
                <w:szCs w:val="22"/>
              </w:rPr>
              <w:t>:</w:t>
            </w:r>
          </w:p>
        </w:tc>
        <w:tc>
          <w:tcPr>
            <w:tcW w:w="6781" w:type="dxa"/>
          </w:tcPr>
          <w:p w14:paraId="7A76BE14" w14:textId="77777777" w:rsidR="006E1744" w:rsidRPr="005055CA" w:rsidRDefault="006E1744" w:rsidP="002E3165">
            <w:pPr>
              <w:rPr>
                <w:sz w:val="22"/>
                <w:szCs w:val="22"/>
              </w:rPr>
            </w:pPr>
            <w:r w:rsidRPr="005055CA">
              <w:rPr>
                <w:sz w:val="22"/>
                <w:szCs w:val="22"/>
              </w:rPr>
              <w:t>Zvýšené hladiny prolaktínu</w:t>
            </w:r>
            <w:r w:rsidRPr="005055CA">
              <w:rPr>
                <w:sz w:val="22"/>
                <w:szCs w:val="22"/>
                <w:vertAlign w:val="superscript"/>
              </w:rPr>
              <w:t>8</w:t>
            </w:r>
          </w:p>
        </w:tc>
      </w:tr>
      <w:tr w:rsidR="006E1744" w:rsidRPr="005055CA" w14:paraId="518DCB93" w14:textId="77777777" w:rsidTr="001A71DA">
        <w:tc>
          <w:tcPr>
            <w:tcW w:w="3227" w:type="dxa"/>
          </w:tcPr>
          <w:p w14:paraId="6277C7DB" w14:textId="77777777" w:rsidR="006E1744" w:rsidRPr="005055CA" w:rsidRDefault="00380783" w:rsidP="002E3165">
            <w:pPr>
              <w:rPr>
                <w:sz w:val="22"/>
                <w:szCs w:val="22"/>
                <w:lang w:val="en-GB"/>
              </w:rPr>
            </w:pPr>
            <w:r w:rsidRPr="005055CA">
              <w:rPr>
                <w:sz w:val="22"/>
                <w:szCs w:val="22"/>
                <w:lang w:val="en-GB"/>
              </w:rPr>
              <w:t>Č</w:t>
            </w:r>
            <w:r w:rsidR="006E1744" w:rsidRPr="005055CA">
              <w:rPr>
                <w:sz w:val="22"/>
                <w:szCs w:val="22"/>
                <w:lang w:val="en-GB"/>
              </w:rPr>
              <w:t>asté</w:t>
            </w:r>
          </w:p>
        </w:tc>
        <w:tc>
          <w:tcPr>
            <w:tcW w:w="6781" w:type="dxa"/>
          </w:tcPr>
          <w:p w14:paraId="283AFDD1" w14:textId="77777777" w:rsidR="00D66150" w:rsidRPr="005055CA" w:rsidRDefault="00D66150" w:rsidP="002E3165">
            <w:pPr>
              <w:rPr>
                <w:sz w:val="22"/>
                <w:szCs w:val="22"/>
              </w:rPr>
            </w:pPr>
            <w:r w:rsidRPr="005055CA">
              <w:rPr>
                <w:sz w:val="22"/>
                <w:szCs w:val="22"/>
              </w:rPr>
              <w:t>Zvýšená hladina</w:t>
            </w:r>
            <w:r w:rsidR="00152C06" w:rsidRPr="005055CA">
              <w:rPr>
                <w:sz w:val="22"/>
                <w:szCs w:val="22"/>
              </w:rPr>
              <w:t xml:space="preserve"> </w:t>
            </w:r>
            <w:r w:rsidRPr="005055CA">
              <w:rPr>
                <w:sz w:val="22"/>
                <w:szCs w:val="22"/>
              </w:rPr>
              <w:t>alkalickej fosfatázy</w:t>
            </w:r>
            <w:r w:rsidR="00152C06" w:rsidRPr="005055CA">
              <w:rPr>
                <w:color w:val="000000"/>
                <w:sz w:val="22"/>
                <w:szCs w:val="22"/>
                <w:vertAlign w:val="superscript"/>
              </w:rPr>
              <w:t>10</w:t>
            </w:r>
          </w:p>
          <w:p w14:paraId="7A280BEC" w14:textId="77777777" w:rsidR="00D66150" w:rsidRPr="005055CA" w:rsidRDefault="00D66150" w:rsidP="002E3165">
            <w:pPr>
              <w:rPr>
                <w:sz w:val="22"/>
                <w:szCs w:val="22"/>
              </w:rPr>
            </w:pPr>
            <w:r w:rsidRPr="005055CA">
              <w:rPr>
                <w:sz w:val="22"/>
                <w:szCs w:val="22"/>
              </w:rPr>
              <w:t>Vysoká hladina</w:t>
            </w:r>
            <w:r w:rsidR="00152C06" w:rsidRPr="005055CA">
              <w:rPr>
                <w:sz w:val="22"/>
                <w:szCs w:val="22"/>
              </w:rPr>
              <w:t xml:space="preserve"> </w:t>
            </w:r>
            <w:r w:rsidRPr="005055CA">
              <w:rPr>
                <w:sz w:val="22"/>
                <w:szCs w:val="22"/>
              </w:rPr>
              <w:t>kreatín-fosfokinázy</w:t>
            </w:r>
            <w:r w:rsidR="00152C06" w:rsidRPr="005055CA">
              <w:rPr>
                <w:color w:val="000000"/>
                <w:sz w:val="22"/>
                <w:szCs w:val="22"/>
                <w:vertAlign w:val="superscript"/>
              </w:rPr>
              <w:t>11</w:t>
            </w:r>
          </w:p>
          <w:p w14:paraId="6D5E4422" w14:textId="77777777" w:rsidR="00D66150" w:rsidRPr="005055CA" w:rsidRDefault="00D66150" w:rsidP="002E3165">
            <w:pPr>
              <w:rPr>
                <w:sz w:val="22"/>
                <w:szCs w:val="22"/>
              </w:rPr>
            </w:pPr>
            <w:r w:rsidRPr="005055CA">
              <w:rPr>
                <w:sz w:val="22"/>
                <w:szCs w:val="22"/>
              </w:rPr>
              <w:t>Vysoká hladina gama</w:t>
            </w:r>
            <w:r w:rsidR="00152C06" w:rsidRPr="005055CA">
              <w:rPr>
                <w:sz w:val="22"/>
                <w:szCs w:val="22"/>
              </w:rPr>
              <w:t>g</w:t>
            </w:r>
            <w:r w:rsidRPr="005055CA">
              <w:rPr>
                <w:sz w:val="22"/>
                <w:szCs w:val="22"/>
              </w:rPr>
              <w:t>lutamyltransferázy</w:t>
            </w:r>
            <w:r w:rsidR="00152C06" w:rsidRPr="005055CA">
              <w:rPr>
                <w:color w:val="000000"/>
                <w:sz w:val="22"/>
                <w:szCs w:val="22"/>
                <w:vertAlign w:val="superscript"/>
              </w:rPr>
              <w:t>10</w:t>
            </w:r>
          </w:p>
          <w:p w14:paraId="5468BFAA" w14:textId="77777777" w:rsidR="006E1744" w:rsidRPr="005055CA" w:rsidRDefault="00D66150" w:rsidP="002E3165">
            <w:pPr>
              <w:rPr>
                <w:sz w:val="22"/>
                <w:szCs w:val="22"/>
              </w:rPr>
            </w:pPr>
            <w:r w:rsidRPr="005055CA">
              <w:rPr>
                <w:sz w:val="22"/>
                <w:szCs w:val="22"/>
              </w:rPr>
              <w:t>Vysoká hladina</w:t>
            </w:r>
            <w:r w:rsidR="00152C06" w:rsidRPr="005055CA">
              <w:rPr>
                <w:sz w:val="22"/>
                <w:szCs w:val="22"/>
              </w:rPr>
              <w:t xml:space="preserve"> </w:t>
            </w:r>
            <w:r w:rsidRPr="005055CA">
              <w:rPr>
                <w:sz w:val="22"/>
                <w:szCs w:val="22"/>
              </w:rPr>
              <w:t>kyseliny močovej</w:t>
            </w:r>
          </w:p>
        </w:tc>
      </w:tr>
      <w:tr w:rsidR="006E1744" w:rsidRPr="005055CA" w14:paraId="6C2C0D5C" w14:textId="77777777" w:rsidTr="001A71DA">
        <w:tc>
          <w:tcPr>
            <w:tcW w:w="3227" w:type="dxa"/>
          </w:tcPr>
          <w:p w14:paraId="47C7B90B" w14:textId="77777777" w:rsidR="006E1744" w:rsidRPr="005055CA" w:rsidRDefault="00380783" w:rsidP="002E3165">
            <w:pPr>
              <w:rPr>
                <w:sz w:val="22"/>
                <w:szCs w:val="22"/>
                <w:lang w:val="en-GB"/>
              </w:rPr>
            </w:pPr>
            <w:r w:rsidRPr="005055CA">
              <w:rPr>
                <w:sz w:val="22"/>
                <w:szCs w:val="22"/>
              </w:rPr>
              <w:t>Zriedkavé</w:t>
            </w:r>
          </w:p>
        </w:tc>
        <w:tc>
          <w:tcPr>
            <w:tcW w:w="6781" w:type="dxa"/>
          </w:tcPr>
          <w:p w14:paraId="5412B163" w14:textId="77777777" w:rsidR="006E1744" w:rsidRPr="005055CA" w:rsidRDefault="00380783" w:rsidP="002E3165">
            <w:pPr>
              <w:rPr>
                <w:sz w:val="22"/>
                <w:szCs w:val="22"/>
                <w:lang w:val="en-US"/>
              </w:rPr>
            </w:pPr>
            <w:r w:rsidRPr="005055CA">
              <w:rPr>
                <w:sz w:val="22"/>
                <w:szCs w:val="22"/>
              </w:rPr>
              <w:t xml:space="preserve">Zvýšený celkový bilirubín </w:t>
            </w:r>
          </w:p>
        </w:tc>
      </w:tr>
    </w:tbl>
    <w:p w14:paraId="71097FED" w14:textId="77777777" w:rsidR="006E1744" w:rsidRPr="005055CA" w:rsidRDefault="006E1744" w:rsidP="002E3165">
      <w:pPr>
        <w:rPr>
          <w:bCs/>
          <w:sz w:val="22"/>
          <w:szCs w:val="22"/>
          <w:lang w:val="en-GB"/>
        </w:rPr>
      </w:pPr>
    </w:p>
    <w:p w14:paraId="147D8A88" w14:textId="77777777" w:rsidR="00D66150" w:rsidRPr="005055CA" w:rsidRDefault="00D66150" w:rsidP="002E3165">
      <w:pPr>
        <w:rPr>
          <w:sz w:val="22"/>
          <w:szCs w:val="22"/>
        </w:rPr>
      </w:pPr>
      <w:r w:rsidRPr="005055CA">
        <w:rPr>
          <w:sz w:val="22"/>
          <w:szCs w:val="22"/>
        </w:rPr>
        <w:t xml:space="preserve"> </w:t>
      </w:r>
      <w:r w:rsidR="00021A5C" w:rsidRPr="005055CA">
        <w:rPr>
          <w:color w:val="000000"/>
          <w:sz w:val="22"/>
          <w:szCs w:val="22"/>
          <w:vertAlign w:val="superscript"/>
        </w:rPr>
        <w:t xml:space="preserve">1 </w:t>
      </w:r>
      <w:r w:rsidRPr="005055CA">
        <w:rPr>
          <w:sz w:val="22"/>
          <w:szCs w:val="22"/>
        </w:rPr>
        <w:t>Klinicky signifikantný nárast telesnej hmotnosti sa pozoroval vo všetkých kategóriách východiskovej</w:t>
      </w:r>
    </w:p>
    <w:p w14:paraId="2F383862" w14:textId="77777777" w:rsidR="00D66150" w:rsidRPr="005055CA" w:rsidRDefault="00D66150" w:rsidP="002E3165">
      <w:pPr>
        <w:rPr>
          <w:sz w:val="22"/>
          <w:szCs w:val="22"/>
        </w:rPr>
      </w:pPr>
      <w:r w:rsidRPr="005055CA">
        <w:rPr>
          <w:sz w:val="22"/>
          <w:szCs w:val="22"/>
        </w:rPr>
        <w:t>hodnoty indexu telesnej hmotnosti (Body Mass Index - BMI). Po krátkodobej liečbe (medián trvania</w:t>
      </w:r>
    </w:p>
    <w:p w14:paraId="1AD7CB31" w14:textId="77777777" w:rsidR="00D66150" w:rsidRPr="005055CA" w:rsidRDefault="00D66150" w:rsidP="002E3165">
      <w:pPr>
        <w:rPr>
          <w:sz w:val="22"/>
          <w:szCs w:val="22"/>
        </w:rPr>
      </w:pPr>
      <w:r w:rsidRPr="005055CA">
        <w:rPr>
          <w:sz w:val="22"/>
          <w:szCs w:val="22"/>
        </w:rPr>
        <w:lastRenderedPageBreak/>
        <w:t>47 dní) bol nárast telesnej hmotnosti ≥ 7</w:t>
      </w:r>
      <w:r w:rsidR="00021A5C" w:rsidRPr="005055CA">
        <w:rPr>
          <w:sz w:val="22"/>
          <w:szCs w:val="22"/>
        </w:rPr>
        <w:t xml:space="preserve"> </w:t>
      </w:r>
      <w:r w:rsidRPr="005055CA">
        <w:rPr>
          <w:sz w:val="22"/>
          <w:szCs w:val="22"/>
        </w:rPr>
        <w:t>% pôvodnej telesnej hmotnosti veľmi častý (22,2 %)</w:t>
      </w:r>
      <w:r w:rsidR="004D229C" w:rsidRPr="005055CA">
        <w:rPr>
          <w:sz w:val="22"/>
          <w:szCs w:val="22"/>
        </w:rPr>
        <w:t>;</w:t>
      </w:r>
      <w:r w:rsidRPr="005055CA">
        <w:rPr>
          <w:sz w:val="22"/>
          <w:szCs w:val="22"/>
        </w:rPr>
        <w:t>≥ 15 %</w:t>
      </w:r>
      <w:r w:rsidR="004D229C" w:rsidRPr="005055CA">
        <w:rPr>
          <w:sz w:val="22"/>
          <w:szCs w:val="22"/>
        </w:rPr>
        <w:t xml:space="preserve"> </w:t>
      </w:r>
      <w:r w:rsidRPr="005055CA">
        <w:rPr>
          <w:sz w:val="22"/>
          <w:szCs w:val="22"/>
        </w:rPr>
        <w:t>častý (4,2 %)</w:t>
      </w:r>
      <w:r w:rsidR="004D229C" w:rsidRPr="005055CA">
        <w:rPr>
          <w:sz w:val="22"/>
          <w:szCs w:val="22"/>
        </w:rPr>
        <w:t>;</w:t>
      </w:r>
      <w:r w:rsidRPr="005055CA">
        <w:rPr>
          <w:sz w:val="22"/>
          <w:szCs w:val="22"/>
        </w:rPr>
        <w:t xml:space="preserve"> a ≥ 25 % menej častý (0,8 %). Zvýšenie telesnej hmotnosti o ≥ 7 %, ≥ 15 % a ≥ 25 %</w:t>
      </w:r>
    </w:p>
    <w:p w14:paraId="639AC421" w14:textId="77777777" w:rsidR="00D66150" w:rsidRPr="005055CA" w:rsidRDefault="00D66150" w:rsidP="002E3165">
      <w:pPr>
        <w:rPr>
          <w:sz w:val="22"/>
          <w:szCs w:val="22"/>
        </w:rPr>
      </w:pPr>
      <w:r w:rsidRPr="005055CA">
        <w:rPr>
          <w:sz w:val="22"/>
          <w:szCs w:val="22"/>
        </w:rPr>
        <w:t>pôvodnej telesnej hmotnosti bolo veľmi časté (64,4 %, 31,7 % a 12,3 %) u pacientov s dlhodobou</w:t>
      </w:r>
    </w:p>
    <w:p w14:paraId="43632212" w14:textId="77777777" w:rsidR="00D66150" w:rsidRPr="005055CA" w:rsidRDefault="00D66150" w:rsidP="002E3165">
      <w:pPr>
        <w:rPr>
          <w:sz w:val="22"/>
          <w:szCs w:val="22"/>
        </w:rPr>
      </w:pPr>
      <w:r w:rsidRPr="005055CA">
        <w:rPr>
          <w:sz w:val="22"/>
          <w:szCs w:val="22"/>
        </w:rPr>
        <w:t>expozíciou (minimálne 48 týždňov).</w:t>
      </w:r>
    </w:p>
    <w:p w14:paraId="4D1EDE96" w14:textId="77777777" w:rsidR="00D66150" w:rsidRPr="005055CA" w:rsidRDefault="00D66150" w:rsidP="002E3165">
      <w:pPr>
        <w:rPr>
          <w:sz w:val="22"/>
          <w:szCs w:val="22"/>
        </w:rPr>
      </w:pPr>
    </w:p>
    <w:p w14:paraId="344DF65C" w14:textId="77777777" w:rsidR="007476A0" w:rsidRPr="005055CA" w:rsidRDefault="003C4019" w:rsidP="002E3165">
      <w:pPr>
        <w:rPr>
          <w:sz w:val="22"/>
          <w:szCs w:val="22"/>
        </w:rPr>
      </w:pPr>
      <w:r w:rsidRPr="005055CA">
        <w:rPr>
          <w:sz w:val="22"/>
          <w:szCs w:val="22"/>
          <w:vertAlign w:val="superscript"/>
        </w:rPr>
        <w:t>2</w:t>
      </w:r>
      <w:r w:rsidRPr="005055CA">
        <w:rPr>
          <w:sz w:val="22"/>
          <w:szCs w:val="22"/>
        </w:rPr>
        <w:t xml:space="preserve"> Priemerné zvýšenia lipidových hodnôt nalačno (celkový cholesterol, LDL cholesterol a triglyceridy) boli vyššie u pacientov bez predtým dokázanej lipidovej dysregulácie.</w:t>
      </w:r>
    </w:p>
    <w:p w14:paraId="2DF10768" w14:textId="77777777" w:rsidR="007476A0" w:rsidRPr="005055CA" w:rsidRDefault="003C4019" w:rsidP="002E3165">
      <w:pPr>
        <w:rPr>
          <w:sz w:val="22"/>
          <w:szCs w:val="22"/>
        </w:rPr>
      </w:pPr>
      <w:r w:rsidRPr="005055CA">
        <w:rPr>
          <w:sz w:val="22"/>
          <w:szCs w:val="22"/>
          <w:vertAlign w:val="superscript"/>
        </w:rPr>
        <w:t>3</w:t>
      </w:r>
      <w:r w:rsidRPr="005055CA">
        <w:rPr>
          <w:sz w:val="22"/>
          <w:szCs w:val="22"/>
        </w:rPr>
        <w:t xml:space="preserve"> Pozorované pri normálnych hladinách nalačno na začiatku (&lt; 5,17 mmol/l), ktoré sa zvýšili na hladinu vysokú (≥ 6,2 mmol/l). Zmeny celkového cholesterolu nalačno z východiskovej hraničnej hodnoty (≥ 5,17</w:t>
      </w:r>
      <w:r w:rsidR="001046ED" w:rsidRPr="005055CA">
        <w:rPr>
          <w:sz w:val="22"/>
          <w:szCs w:val="22"/>
        </w:rPr>
        <w:t xml:space="preserve"> – </w:t>
      </w:r>
      <w:r w:rsidRPr="005055CA">
        <w:rPr>
          <w:sz w:val="22"/>
          <w:szCs w:val="22"/>
        </w:rPr>
        <w:t xml:space="preserve"> &lt; 6,2 mmol/l) na hodnotu vysokú (≥ 6,2 mmol/l) boli veľmi časté.</w:t>
      </w:r>
    </w:p>
    <w:p w14:paraId="12B5EE69" w14:textId="77777777" w:rsidR="007476A0" w:rsidRPr="005055CA" w:rsidRDefault="003C4019" w:rsidP="002E3165">
      <w:pPr>
        <w:rPr>
          <w:sz w:val="22"/>
          <w:szCs w:val="22"/>
        </w:rPr>
      </w:pPr>
      <w:r w:rsidRPr="005055CA">
        <w:rPr>
          <w:sz w:val="22"/>
          <w:szCs w:val="22"/>
          <w:vertAlign w:val="superscript"/>
        </w:rPr>
        <w:t>4</w:t>
      </w:r>
      <w:r w:rsidRPr="005055CA">
        <w:rPr>
          <w:sz w:val="22"/>
          <w:szCs w:val="22"/>
        </w:rPr>
        <w:t xml:space="preserve"> Pozorované pri normálnych východiskových hladinách nalačno (&lt; 5,56 mmol/l), ktoré sa zvýšili na hladinu vysokú (≥ 7 mmol/l). Zmeny glukózy nalačno z východiskovej hraničnej hodnoty (≥ 5,56</w:t>
      </w:r>
      <w:r w:rsidR="001046ED" w:rsidRPr="005055CA">
        <w:rPr>
          <w:sz w:val="22"/>
          <w:szCs w:val="22"/>
        </w:rPr>
        <w:t xml:space="preserve"> – </w:t>
      </w:r>
      <w:r w:rsidRPr="005055CA">
        <w:rPr>
          <w:sz w:val="22"/>
          <w:szCs w:val="22"/>
        </w:rPr>
        <w:t>&lt; 7 mmol/l) na hodnotu vysokú (≥ 7 mmol/l) boli veľmi časté.</w:t>
      </w:r>
    </w:p>
    <w:p w14:paraId="6887EC83" w14:textId="77777777" w:rsidR="007476A0" w:rsidRPr="005055CA" w:rsidRDefault="003C4019" w:rsidP="002E3165">
      <w:pPr>
        <w:rPr>
          <w:sz w:val="22"/>
          <w:szCs w:val="22"/>
        </w:rPr>
      </w:pPr>
      <w:r w:rsidRPr="005055CA">
        <w:rPr>
          <w:sz w:val="22"/>
          <w:szCs w:val="22"/>
          <w:vertAlign w:val="superscript"/>
        </w:rPr>
        <w:t>5</w:t>
      </w:r>
      <w:r w:rsidRPr="005055CA">
        <w:rPr>
          <w:sz w:val="22"/>
          <w:szCs w:val="22"/>
        </w:rPr>
        <w:t xml:space="preserve"> Pozorované pri normálnych hladinách nalačno na začiatku (&lt; 1,69 mmol/l), ktoré sa zvýšili na hladinu vysokú (≥ 2,26 mmol/l). Zmeny triglyceridov nalačno z východiskovej hraničnej hodnoty (≥ 1,69 mmol/l </w:t>
      </w:r>
      <w:r w:rsidR="006B2E2D" w:rsidRPr="005055CA">
        <w:rPr>
          <w:sz w:val="22"/>
          <w:szCs w:val="22"/>
        </w:rPr>
        <w:t xml:space="preserve"> – </w:t>
      </w:r>
      <w:r w:rsidRPr="005055CA">
        <w:rPr>
          <w:sz w:val="22"/>
          <w:szCs w:val="22"/>
        </w:rPr>
        <w:t>&lt; 2,26 mmol/l) na hodnotu vysokú (≥ 2,26 mmol/l) boli veľmi časté.</w:t>
      </w:r>
    </w:p>
    <w:p w14:paraId="41894A89" w14:textId="77777777" w:rsidR="007476A0" w:rsidRPr="005055CA" w:rsidRDefault="003C4019" w:rsidP="002E3165">
      <w:pPr>
        <w:rPr>
          <w:sz w:val="22"/>
          <w:szCs w:val="22"/>
        </w:rPr>
      </w:pPr>
      <w:r w:rsidRPr="005055CA">
        <w:rPr>
          <w:sz w:val="22"/>
          <w:szCs w:val="22"/>
          <w:vertAlign w:val="superscript"/>
        </w:rPr>
        <w:t>6</w:t>
      </w:r>
      <w:r w:rsidRPr="005055CA">
        <w:rPr>
          <w:sz w:val="22"/>
          <w:szCs w:val="22"/>
        </w:rPr>
        <w:t xml:space="preserve"> V klinických štúdiách bol výskyt parkinsonizmu a dystónie u pacientov liečených olanzapínom početne vyšší, ale štatisticky sa signifikantne nelíšil od placeba. U pacientov užívajúcich olanzapín bola, v porovnaní s titrovanými dávkami haloperidolu, menšia incidencia parkinsonizmu, akatízie a dystónie. Vzhľadom na nedostatok podrobných informácií o akútnych a neskorých extrapyramídových príznakoch v osobnej anamnéze, nie je možné v súčasnosti dôjsť k záveru, či olanzapín spôsobuje menej často tardívne dyskinézy a/alebo ďalšie neskoré extrapyramídové syndrómy.</w:t>
      </w:r>
    </w:p>
    <w:p w14:paraId="4AFD47A8" w14:textId="77777777" w:rsidR="007476A0" w:rsidRPr="005055CA" w:rsidRDefault="003C4019" w:rsidP="002E3165">
      <w:pPr>
        <w:rPr>
          <w:sz w:val="22"/>
          <w:szCs w:val="22"/>
        </w:rPr>
      </w:pPr>
      <w:r w:rsidRPr="005055CA">
        <w:rPr>
          <w:sz w:val="22"/>
          <w:szCs w:val="22"/>
          <w:vertAlign w:val="superscript"/>
        </w:rPr>
        <w:t>7</w:t>
      </w:r>
      <w:r w:rsidRPr="005055CA">
        <w:rPr>
          <w:sz w:val="22"/>
          <w:szCs w:val="22"/>
        </w:rPr>
        <w:t xml:space="preserve"> Akútne symptómy, ako sú potenie, nespavosť, tremor, úzkosť, nauzea a vracanie, boli hlásené po náhlom skončení liečby olanzapínom.</w:t>
      </w:r>
    </w:p>
    <w:p w14:paraId="71B2C25B" w14:textId="77777777" w:rsidR="00D66150" w:rsidRPr="005055CA" w:rsidRDefault="003C4019" w:rsidP="002E3165">
      <w:pPr>
        <w:rPr>
          <w:sz w:val="22"/>
          <w:szCs w:val="22"/>
        </w:rPr>
      </w:pPr>
      <w:r w:rsidRPr="005055CA">
        <w:rPr>
          <w:sz w:val="22"/>
          <w:szCs w:val="22"/>
          <w:vertAlign w:val="superscript"/>
        </w:rPr>
        <w:t>8</w:t>
      </w:r>
      <w:r w:rsidRPr="005055CA">
        <w:rPr>
          <w:sz w:val="22"/>
          <w:szCs w:val="22"/>
        </w:rPr>
        <w:t xml:space="preserve"> </w:t>
      </w:r>
      <w:r w:rsidR="00D66150" w:rsidRPr="005055CA">
        <w:rPr>
          <w:sz w:val="22"/>
          <w:szCs w:val="22"/>
        </w:rPr>
        <w:t>V klinických štúdiách trvajúcich do 12 týždňov prekročili koncentrácie plazmatického prolaktínu</w:t>
      </w:r>
    </w:p>
    <w:p w14:paraId="71D72474" w14:textId="77777777" w:rsidR="00D66150" w:rsidRPr="005055CA" w:rsidRDefault="00D66150" w:rsidP="002E3165">
      <w:pPr>
        <w:rPr>
          <w:sz w:val="22"/>
          <w:szCs w:val="22"/>
        </w:rPr>
      </w:pPr>
      <w:r w:rsidRPr="005055CA">
        <w:rPr>
          <w:sz w:val="22"/>
          <w:szCs w:val="22"/>
        </w:rPr>
        <w:t>hornú hranicu normálneho rozmedzia u približne 30 % pacientov liečených olanzapínom s normálnou</w:t>
      </w:r>
    </w:p>
    <w:p w14:paraId="659E58AB" w14:textId="77777777" w:rsidR="00D66150" w:rsidRPr="005055CA" w:rsidRDefault="00D66150" w:rsidP="002E3165">
      <w:pPr>
        <w:rPr>
          <w:sz w:val="22"/>
          <w:szCs w:val="22"/>
        </w:rPr>
      </w:pPr>
      <w:r w:rsidRPr="005055CA">
        <w:rPr>
          <w:sz w:val="22"/>
          <w:szCs w:val="22"/>
        </w:rPr>
        <w:t>počiatočnou hladinou prolaktínu. U väčšiny týchto pacientov boli zvýšenia väčšinou mierne a ostali</w:t>
      </w:r>
    </w:p>
    <w:p w14:paraId="06BC92EF" w14:textId="77777777" w:rsidR="00D66150" w:rsidRPr="005055CA" w:rsidRDefault="00D66150" w:rsidP="002E3165">
      <w:pPr>
        <w:rPr>
          <w:sz w:val="22"/>
          <w:szCs w:val="22"/>
        </w:rPr>
      </w:pPr>
      <w:r w:rsidRPr="005055CA">
        <w:rPr>
          <w:sz w:val="22"/>
          <w:szCs w:val="22"/>
        </w:rPr>
        <w:t>pod dvojnásobkom hornej hranice normálneho rozmedzia.</w:t>
      </w:r>
    </w:p>
    <w:p w14:paraId="0B5D8324" w14:textId="77777777" w:rsidR="00D66150" w:rsidRPr="005055CA" w:rsidRDefault="00D66150" w:rsidP="002E3165">
      <w:pPr>
        <w:rPr>
          <w:sz w:val="22"/>
          <w:szCs w:val="22"/>
        </w:rPr>
      </w:pPr>
    </w:p>
    <w:p w14:paraId="1D7CA4EB" w14:textId="77777777" w:rsidR="00D66150" w:rsidRPr="005055CA" w:rsidRDefault="0083497E" w:rsidP="002E3165">
      <w:pPr>
        <w:rPr>
          <w:sz w:val="22"/>
          <w:szCs w:val="22"/>
        </w:rPr>
      </w:pPr>
      <w:r w:rsidRPr="005055CA">
        <w:rPr>
          <w:color w:val="000000"/>
          <w:sz w:val="22"/>
          <w:szCs w:val="22"/>
          <w:vertAlign w:val="superscript"/>
        </w:rPr>
        <w:t>9</w:t>
      </w:r>
      <w:r w:rsidR="00D66150" w:rsidRPr="005055CA">
        <w:rPr>
          <w:sz w:val="22"/>
          <w:szCs w:val="22"/>
        </w:rPr>
        <w:t>Nežiaduca príhoda, pozorovaná v klinických skúšaniach v Integrovanej olanzapínovej databáze.</w:t>
      </w:r>
    </w:p>
    <w:p w14:paraId="51CF7E9F" w14:textId="77777777" w:rsidR="0083497E" w:rsidRPr="005055CA" w:rsidRDefault="0083497E" w:rsidP="002E3165">
      <w:pPr>
        <w:rPr>
          <w:sz w:val="22"/>
          <w:szCs w:val="22"/>
        </w:rPr>
      </w:pPr>
    </w:p>
    <w:p w14:paraId="20397CE5" w14:textId="77777777" w:rsidR="00D66150" w:rsidRPr="005055CA" w:rsidRDefault="00E24836" w:rsidP="002E3165">
      <w:pPr>
        <w:rPr>
          <w:sz w:val="22"/>
          <w:szCs w:val="22"/>
        </w:rPr>
      </w:pPr>
      <w:r w:rsidRPr="005055CA">
        <w:rPr>
          <w:color w:val="000000"/>
          <w:sz w:val="22"/>
          <w:szCs w:val="22"/>
          <w:vertAlign w:val="superscript"/>
        </w:rPr>
        <w:t>10</w:t>
      </w:r>
      <w:r w:rsidR="00D66150" w:rsidRPr="005055CA">
        <w:rPr>
          <w:sz w:val="22"/>
          <w:szCs w:val="22"/>
        </w:rPr>
        <w:t xml:space="preserve"> Vyhodnotené na základe nameraných hodnôt z klinických skúšaní v Integrovanej olanzapínovej</w:t>
      </w:r>
    </w:p>
    <w:p w14:paraId="58791C94" w14:textId="77777777" w:rsidR="00D66150" w:rsidRPr="005055CA" w:rsidRDefault="00D66150" w:rsidP="002E3165">
      <w:pPr>
        <w:rPr>
          <w:sz w:val="22"/>
          <w:szCs w:val="22"/>
        </w:rPr>
      </w:pPr>
      <w:r w:rsidRPr="005055CA">
        <w:rPr>
          <w:sz w:val="22"/>
          <w:szCs w:val="22"/>
        </w:rPr>
        <w:t>databáze.</w:t>
      </w:r>
    </w:p>
    <w:p w14:paraId="394A4D3B" w14:textId="77777777" w:rsidR="0083497E" w:rsidRPr="005055CA" w:rsidRDefault="0083497E" w:rsidP="002E3165">
      <w:pPr>
        <w:rPr>
          <w:sz w:val="22"/>
          <w:szCs w:val="22"/>
        </w:rPr>
      </w:pPr>
    </w:p>
    <w:p w14:paraId="7281A6C0" w14:textId="77777777" w:rsidR="00D66150" w:rsidRPr="005055CA" w:rsidRDefault="003E77CB" w:rsidP="002E3165">
      <w:pPr>
        <w:rPr>
          <w:sz w:val="22"/>
          <w:szCs w:val="22"/>
        </w:rPr>
      </w:pPr>
      <w:r w:rsidRPr="005055CA">
        <w:rPr>
          <w:color w:val="000000"/>
          <w:sz w:val="22"/>
          <w:szCs w:val="22"/>
          <w:vertAlign w:val="superscript"/>
        </w:rPr>
        <w:t>11</w:t>
      </w:r>
      <w:r w:rsidR="00D66150" w:rsidRPr="005055CA">
        <w:rPr>
          <w:sz w:val="22"/>
          <w:szCs w:val="22"/>
        </w:rPr>
        <w:t xml:space="preserve"> Nežiaduca príhoda pozorovaná zo spontánnych </w:t>
      </w:r>
      <w:r w:rsidR="002F74B7" w:rsidRPr="005055CA">
        <w:rPr>
          <w:sz w:val="22"/>
          <w:szCs w:val="22"/>
        </w:rPr>
        <w:t xml:space="preserve">hlásení po uvedení lieku na trh </w:t>
      </w:r>
      <w:r w:rsidR="00D66150" w:rsidRPr="005055CA">
        <w:rPr>
          <w:sz w:val="22"/>
          <w:szCs w:val="22"/>
        </w:rPr>
        <w:t>s frekvenciou určenou</w:t>
      </w:r>
    </w:p>
    <w:p w14:paraId="72E6F72D" w14:textId="77777777" w:rsidR="00D66150" w:rsidRPr="005055CA" w:rsidRDefault="00D66150" w:rsidP="002E3165">
      <w:pPr>
        <w:rPr>
          <w:sz w:val="22"/>
          <w:szCs w:val="22"/>
        </w:rPr>
      </w:pPr>
      <w:r w:rsidRPr="005055CA">
        <w:rPr>
          <w:sz w:val="22"/>
          <w:szCs w:val="22"/>
        </w:rPr>
        <w:t>pomocou Integrovanej olanzapínovej databázy.</w:t>
      </w:r>
    </w:p>
    <w:p w14:paraId="21A57B0D" w14:textId="77777777" w:rsidR="0083497E" w:rsidRPr="005055CA" w:rsidRDefault="0083497E" w:rsidP="002E3165">
      <w:pPr>
        <w:rPr>
          <w:sz w:val="22"/>
          <w:szCs w:val="22"/>
        </w:rPr>
      </w:pPr>
    </w:p>
    <w:p w14:paraId="646E6562" w14:textId="77777777" w:rsidR="00D66150" w:rsidRPr="005055CA" w:rsidRDefault="003E77CB" w:rsidP="002E3165">
      <w:pPr>
        <w:rPr>
          <w:sz w:val="22"/>
          <w:szCs w:val="22"/>
        </w:rPr>
      </w:pPr>
      <w:r w:rsidRPr="005055CA">
        <w:rPr>
          <w:color w:val="000000"/>
          <w:sz w:val="22"/>
          <w:szCs w:val="22"/>
          <w:vertAlign w:val="superscript"/>
        </w:rPr>
        <w:t>12</w:t>
      </w:r>
      <w:r w:rsidR="00D66150" w:rsidRPr="005055CA">
        <w:rPr>
          <w:sz w:val="22"/>
          <w:szCs w:val="22"/>
        </w:rPr>
        <w:t xml:space="preserve">Nežiaduca príhoda pozorovaná zo spontánnych </w:t>
      </w:r>
      <w:r w:rsidR="00C94810" w:rsidRPr="005055CA">
        <w:rPr>
          <w:sz w:val="22"/>
          <w:szCs w:val="22"/>
        </w:rPr>
        <w:t xml:space="preserve">hlásení po uvedení lieku na trh </w:t>
      </w:r>
      <w:r w:rsidR="00D66150" w:rsidRPr="005055CA">
        <w:rPr>
          <w:sz w:val="22"/>
          <w:szCs w:val="22"/>
        </w:rPr>
        <w:t>s frekvenciou</w:t>
      </w:r>
    </w:p>
    <w:p w14:paraId="7A343B43" w14:textId="77777777" w:rsidR="00D66150" w:rsidRPr="005055CA" w:rsidRDefault="00D66150" w:rsidP="002E3165">
      <w:pPr>
        <w:rPr>
          <w:sz w:val="22"/>
          <w:szCs w:val="22"/>
        </w:rPr>
      </w:pPr>
      <w:r w:rsidRPr="005055CA">
        <w:rPr>
          <w:sz w:val="22"/>
          <w:szCs w:val="22"/>
        </w:rPr>
        <w:t>odhadnutou pri hornom limite 95 % intervalu spoľahlivosti pomocou Integrovanej olanzapínovej</w:t>
      </w:r>
    </w:p>
    <w:p w14:paraId="40D2714D" w14:textId="77777777" w:rsidR="00D66150" w:rsidRPr="005055CA" w:rsidRDefault="00D66150" w:rsidP="002E3165">
      <w:pPr>
        <w:rPr>
          <w:sz w:val="22"/>
          <w:szCs w:val="22"/>
        </w:rPr>
      </w:pPr>
      <w:r w:rsidRPr="005055CA">
        <w:rPr>
          <w:sz w:val="22"/>
          <w:szCs w:val="22"/>
        </w:rPr>
        <w:t>databázy.</w:t>
      </w:r>
    </w:p>
    <w:p w14:paraId="64516978" w14:textId="77777777" w:rsidR="00D66150" w:rsidRPr="005055CA" w:rsidRDefault="00D66150" w:rsidP="002E3165">
      <w:pPr>
        <w:rPr>
          <w:sz w:val="22"/>
          <w:szCs w:val="22"/>
        </w:rPr>
      </w:pPr>
    </w:p>
    <w:p w14:paraId="2247F9E9" w14:textId="77777777" w:rsidR="007476A0" w:rsidRPr="005055CA" w:rsidRDefault="003C4019" w:rsidP="002E3165">
      <w:pPr>
        <w:rPr>
          <w:sz w:val="22"/>
          <w:szCs w:val="22"/>
          <w:u w:val="single"/>
        </w:rPr>
      </w:pPr>
      <w:r w:rsidRPr="005055CA">
        <w:rPr>
          <w:sz w:val="22"/>
          <w:szCs w:val="22"/>
          <w:u w:val="single"/>
        </w:rPr>
        <w:t>Dlhodobá expozícia (aspoň 48 týždňov)</w:t>
      </w:r>
    </w:p>
    <w:p w14:paraId="3E4B26E7" w14:textId="77777777" w:rsidR="007476A0" w:rsidRPr="005055CA" w:rsidRDefault="003C4019" w:rsidP="0014256C">
      <w:pPr>
        <w:spacing w:line="260" w:lineRule="exact"/>
        <w:rPr>
          <w:sz w:val="22"/>
          <w:szCs w:val="22"/>
        </w:rPr>
      </w:pPr>
      <w:r w:rsidRPr="005055CA">
        <w:rPr>
          <w:sz w:val="22"/>
          <w:szCs w:val="22"/>
        </w:rPr>
        <w:t>Pomer pacientov, u ktorých sa vyskytli nežiaduce, klinicky signifikantné zmeny týkajúce sa hmotnostného prírastku, glukózy, celkového LDL/HDL cholesterolu alebo triglyceridov sa časom zvýšil. U dospelých pacientov, ktorí absolvovali 9</w:t>
      </w:r>
      <w:r w:rsidR="001F4F20" w:rsidRPr="005055CA">
        <w:rPr>
          <w:sz w:val="22"/>
          <w:szCs w:val="22"/>
        </w:rPr>
        <w:t xml:space="preserve"> – </w:t>
      </w:r>
      <w:r w:rsidRPr="005055CA">
        <w:rPr>
          <w:sz w:val="22"/>
          <w:szCs w:val="22"/>
        </w:rPr>
        <w:t>12 mesačnú terapiu, sa rýchlosť zvýšenia priemernej hladiny krvnej glukózy spomalila približne po 6 mesiacoch.</w:t>
      </w:r>
    </w:p>
    <w:p w14:paraId="64203BCA" w14:textId="77777777" w:rsidR="007476A0" w:rsidRPr="005055CA" w:rsidRDefault="003C4019" w:rsidP="0014256C">
      <w:pPr>
        <w:spacing w:line="260" w:lineRule="exact"/>
        <w:rPr>
          <w:sz w:val="22"/>
          <w:szCs w:val="22"/>
        </w:rPr>
      </w:pPr>
      <w:r w:rsidRPr="005055CA">
        <w:rPr>
          <w:sz w:val="22"/>
          <w:szCs w:val="22"/>
        </w:rPr>
        <w:t xml:space="preserve">Ďalšie informácie o </w:t>
      </w:r>
      <w:r w:rsidR="00FD31B5" w:rsidRPr="005055CA">
        <w:rPr>
          <w:sz w:val="22"/>
          <w:szCs w:val="22"/>
        </w:rPr>
        <w:t xml:space="preserve">osobitných </w:t>
      </w:r>
      <w:r w:rsidR="00CB546E" w:rsidRPr="005055CA">
        <w:rPr>
          <w:sz w:val="22"/>
          <w:szCs w:val="22"/>
        </w:rPr>
        <w:t xml:space="preserve">skupinách pacientov </w:t>
      </w:r>
    </w:p>
    <w:p w14:paraId="43A2A659" w14:textId="77777777" w:rsidR="007476A0" w:rsidRPr="005055CA" w:rsidRDefault="003C4019" w:rsidP="0014256C">
      <w:pPr>
        <w:spacing w:line="260" w:lineRule="exact"/>
        <w:rPr>
          <w:sz w:val="22"/>
          <w:szCs w:val="22"/>
        </w:rPr>
      </w:pPr>
      <w:r w:rsidRPr="005055CA">
        <w:rPr>
          <w:sz w:val="22"/>
          <w:szCs w:val="22"/>
        </w:rPr>
        <w:t xml:space="preserve">V klinických štúdiách u starších pacientov s demenciou bola pri liečbe olanzapínom v porovnaní s placebom vyššia incidencia úmrtí a cerebrovaskulárnych nežiaducich reakcií (pozri tiež časť 4.4). Veľmi časté nežiaduce reakcie pri užívaní olanzapínu u tejto skupiny pacientov boli abnormálna chôdza a pády. </w:t>
      </w:r>
      <w:r w:rsidRPr="005055CA">
        <w:rPr>
          <w:sz w:val="22"/>
          <w:szCs w:val="22"/>
        </w:rPr>
        <w:lastRenderedPageBreak/>
        <w:t>Často boli pozorované pneumónia, zvýšená telesná teplota, letargia, erytém, zrakové halucinácie a inkontinencia moču.</w:t>
      </w:r>
    </w:p>
    <w:p w14:paraId="51D488BC" w14:textId="77777777" w:rsidR="007476A0" w:rsidRPr="005055CA" w:rsidRDefault="003C4019" w:rsidP="0014256C">
      <w:pPr>
        <w:spacing w:line="260" w:lineRule="exact"/>
        <w:rPr>
          <w:sz w:val="22"/>
          <w:szCs w:val="22"/>
        </w:rPr>
      </w:pPr>
      <w:r w:rsidRPr="005055CA">
        <w:rPr>
          <w:sz w:val="22"/>
          <w:szCs w:val="22"/>
        </w:rPr>
        <w:t xml:space="preserve">V klinických štúdiách u pacientov s liekmi vyvolanou psychózou (dopamínovým agonistom) súvisiacou s Parkinsonovou chorobou, boli veľmi často a s vyššou frekvenciou ako u placeba zaznamenané zhoršenie parkinsonovskej </w:t>
      </w:r>
      <w:r w:rsidR="0006216A" w:rsidRPr="005055CA">
        <w:rPr>
          <w:sz w:val="22"/>
          <w:szCs w:val="22"/>
        </w:rPr>
        <w:t xml:space="preserve">symptomatológie </w:t>
      </w:r>
      <w:r w:rsidRPr="005055CA">
        <w:rPr>
          <w:sz w:val="22"/>
          <w:szCs w:val="22"/>
        </w:rPr>
        <w:t>a halucinácie.</w:t>
      </w:r>
    </w:p>
    <w:p w14:paraId="618E7D6B" w14:textId="77777777" w:rsidR="007476A0" w:rsidRDefault="003C4019" w:rsidP="0014256C">
      <w:pPr>
        <w:spacing w:line="260" w:lineRule="exact"/>
        <w:rPr>
          <w:sz w:val="22"/>
          <w:szCs w:val="22"/>
        </w:rPr>
      </w:pPr>
      <w:r w:rsidRPr="005055CA">
        <w:rPr>
          <w:sz w:val="22"/>
          <w:szCs w:val="22"/>
        </w:rPr>
        <w:t>V jednej klinickej štúdii u pacientov v manickej fáze bipolárnej poruchy bola pri liečbe valproátom v kombinácii s olanzapínom incidencia neutropénie 4,1</w:t>
      </w:r>
      <w:r w:rsidR="008F09D4" w:rsidRPr="005055CA">
        <w:rPr>
          <w:sz w:val="22"/>
          <w:szCs w:val="22"/>
        </w:rPr>
        <w:t xml:space="preserve"> </w:t>
      </w:r>
      <w:r w:rsidRPr="005055CA">
        <w:rPr>
          <w:sz w:val="22"/>
          <w:szCs w:val="22"/>
        </w:rPr>
        <w:t xml:space="preserve">%; potenciálne prispievajúcim faktorom by mohli byť vysoké plazmatické hladiny valproátu. Súbežné </w:t>
      </w:r>
      <w:r w:rsidR="00504810" w:rsidRPr="005055CA">
        <w:rPr>
          <w:sz w:val="22"/>
          <w:szCs w:val="22"/>
        </w:rPr>
        <w:t xml:space="preserve">podávanie </w:t>
      </w:r>
      <w:r w:rsidRPr="005055CA">
        <w:rPr>
          <w:sz w:val="22"/>
          <w:szCs w:val="22"/>
        </w:rPr>
        <w:t>olanzapínu s lítiom alebo valproátom viedlo ku zvýšeniu výskytu (≥ 10</w:t>
      </w:r>
      <w:r w:rsidR="00A87DFF" w:rsidRPr="005055CA">
        <w:rPr>
          <w:sz w:val="22"/>
          <w:szCs w:val="22"/>
        </w:rPr>
        <w:t xml:space="preserve"> </w:t>
      </w:r>
      <w:r w:rsidRPr="005055CA">
        <w:rPr>
          <w:sz w:val="22"/>
          <w:szCs w:val="22"/>
        </w:rPr>
        <w:t>%) tremoru, suchosti v ústach, zvýšenej chuti do jedla a k nárastu telesnej hmotnosti. Často boli zaznamenané aj poruchy reči. Počas liečby olanzapínom v kombinácii s lítiom alebo divalproexom došlo v akútnej fáze liečby (do 6 týždňov) k nárastu telesnej hmotnosti o ≥ 7</w:t>
      </w:r>
      <w:r w:rsidR="00D14084" w:rsidRPr="005055CA">
        <w:rPr>
          <w:sz w:val="22"/>
          <w:szCs w:val="22"/>
        </w:rPr>
        <w:t xml:space="preserve"> </w:t>
      </w:r>
      <w:r w:rsidRPr="005055CA">
        <w:rPr>
          <w:sz w:val="22"/>
          <w:szCs w:val="22"/>
        </w:rPr>
        <w:t>% v porovnaní s počiatočnou hodnotou u 17,4</w:t>
      </w:r>
      <w:r w:rsidR="0067248F" w:rsidRPr="005055CA">
        <w:rPr>
          <w:sz w:val="22"/>
          <w:szCs w:val="22"/>
        </w:rPr>
        <w:t xml:space="preserve"> </w:t>
      </w:r>
      <w:r w:rsidRPr="005055CA">
        <w:rPr>
          <w:sz w:val="22"/>
          <w:szCs w:val="22"/>
        </w:rPr>
        <w:t>% pacientov. Dlhodobá liečba olanzapínom (do 12 mesiacov) na prevenciu rekurencie u pacientov s bipolárnou poruchou bola spojená so zvýšením telesnej hmotnosti o ≥ 7</w:t>
      </w:r>
      <w:r w:rsidR="00897144" w:rsidRPr="005055CA">
        <w:rPr>
          <w:sz w:val="22"/>
          <w:szCs w:val="22"/>
        </w:rPr>
        <w:t xml:space="preserve"> </w:t>
      </w:r>
      <w:r w:rsidRPr="005055CA">
        <w:rPr>
          <w:sz w:val="22"/>
          <w:szCs w:val="22"/>
        </w:rPr>
        <w:t>% v porovnaní s počiatočnou hodnotou u 39,9</w:t>
      </w:r>
      <w:r w:rsidR="008B5776" w:rsidRPr="005055CA">
        <w:rPr>
          <w:sz w:val="22"/>
          <w:szCs w:val="22"/>
        </w:rPr>
        <w:t xml:space="preserve"> </w:t>
      </w:r>
      <w:r w:rsidRPr="005055CA">
        <w:rPr>
          <w:sz w:val="22"/>
          <w:szCs w:val="22"/>
        </w:rPr>
        <w:t>% pacientov.</w:t>
      </w:r>
    </w:p>
    <w:p w14:paraId="326E6C01" w14:textId="77777777" w:rsidR="00031CE4" w:rsidRPr="005055CA" w:rsidRDefault="00031CE4" w:rsidP="0014256C">
      <w:pPr>
        <w:spacing w:line="260" w:lineRule="exact"/>
        <w:rPr>
          <w:sz w:val="22"/>
          <w:szCs w:val="22"/>
        </w:rPr>
      </w:pPr>
    </w:p>
    <w:p w14:paraId="51323F0D" w14:textId="77777777" w:rsidR="00D66150" w:rsidRPr="00031CE4" w:rsidRDefault="00D66150" w:rsidP="002E3165">
      <w:pPr>
        <w:rPr>
          <w:i/>
          <w:sz w:val="22"/>
          <w:szCs w:val="22"/>
          <w:u w:val="single"/>
        </w:rPr>
      </w:pPr>
      <w:r w:rsidRPr="00031CE4">
        <w:rPr>
          <w:i/>
          <w:sz w:val="22"/>
          <w:szCs w:val="22"/>
          <w:u w:val="single"/>
        </w:rPr>
        <w:t>Pediatrická populácia</w:t>
      </w:r>
    </w:p>
    <w:p w14:paraId="0FA9A3A7" w14:textId="77777777" w:rsidR="007476A0" w:rsidRPr="005055CA" w:rsidRDefault="003C4019" w:rsidP="002E3165">
      <w:pPr>
        <w:rPr>
          <w:sz w:val="22"/>
          <w:szCs w:val="22"/>
        </w:rPr>
      </w:pPr>
      <w:r w:rsidRPr="005055CA">
        <w:rPr>
          <w:sz w:val="22"/>
          <w:szCs w:val="22"/>
        </w:rPr>
        <w:t xml:space="preserve">Olanzapín nie je indikovaný na liečbu detí a </w:t>
      </w:r>
      <w:r w:rsidR="00504810" w:rsidRPr="005055CA">
        <w:rPr>
          <w:sz w:val="22"/>
          <w:szCs w:val="22"/>
        </w:rPr>
        <w:t>dospievajúcich mladších ako</w:t>
      </w:r>
      <w:r w:rsidRPr="005055CA">
        <w:rPr>
          <w:sz w:val="22"/>
          <w:szCs w:val="22"/>
        </w:rPr>
        <w:t xml:space="preserve"> 18 rokov. Hoci sa neuskutočnili žiadne klinické štúdie porovnávajúce </w:t>
      </w:r>
      <w:r w:rsidR="00504810" w:rsidRPr="005055CA">
        <w:rPr>
          <w:sz w:val="22"/>
          <w:szCs w:val="22"/>
        </w:rPr>
        <w:t xml:space="preserve">dospievajúcich </w:t>
      </w:r>
      <w:r w:rsidRPr="005055CA">
        <w:rPr>
          <w:sz w:val="22"/>
          <w:szCs w:val="22"/>
        </w:rPr>
        <w:t xml:space="preserve">pacientov s dospelými, údaje získané zo štúdií s </w:t>
      </w:r>
      <w:r w:rsidR="00504810" w:rsidRPr="005055CA">
        <w:rPr>
          <w:sz w:val="22"/>
          <w:szCs w:val="22"/>
        </w:rPr>
        <w:t xml:space="preserve">dospievajúcimi </w:t>
      </w:r>
      <w:r w:rsidRPr="005055CA">
        <w:rPr>
          <w:sz w:val="22"/>
          <w:szCs w:val="22"/>
        </w:rPr>
        <w:t xml:space="preserve">pacientmi boli porovnané s údajmi získanými zo štúdií s dospelými </w:t>
      </w:r>
      <w:r w:rsidR="00084D07" w:rsidRPr="005055CA">
        <w:rPr>
          <w:sz w:val="22"/>
          <w:szCs w:val="22"/>
        </w:rPr>
        <w:t>pacientmi</w:t>
      </w:r>
      <w:r w:rsidRPr="005055CA">
        <w:rPr>
          <w:sz w:val="22"/>
          <w:szCs w:val="22"/>
        </w:rPr>
        <w:t>.</w:t>
      </w:r>
    </w:p>
    <w:p w14:paraId="79F7ED8B" w14:textId="77777777" w:rsidR="007476A0" w:rsidRPr="005055CA" w:rsidRDefault="003C4019" w:rsidP="002E3165">
      <w:pPr>
        <w:rPr>
          <w:sz w:val="22"/>
          <w:szCs w:val="22"/>
        </w:rPr>
      </w:pPr>
      <w:r w:rsidRPr="005055CA">
        <w:rPr>
          <w:sz w:val="22"/>
          <w:szCs w:val="22"/>
        </w:rPr>
        <w:t xml:space="preserve">V nasledujúcej tabuľke sú uvedené nežiaduce reakcie hlásené s vyššou frekvenciou u </w:t>
      </w:r>
      <w:r w:rsidR="00504810" w:rsidRPr="005055CA">
        <w:rPr>
          <w:sz w:val="22"/>
          <w:szCs w:val="22"/>
        </w:rPr>
        <w:t xml:space="preserve">dospievajúcich </w:t>
      </w:r>
      <w:r w:rsidRPr="005055CA">
        <w:rPr>
          <w:sz w:val="22"/>
          <w:szCs w:val="22"/>
        </w:rPr>
        <w:t xml:space="preserve">pacientov (vo veku 13 – 17 rokov) ako u dospelých pacientov alebo nežiaduce reakcie, ktoré boli zistené len počas krátkodobých klinických štúdií u </w:t>
      </w:r>
      <w:r w:rsidR="00504810" w:rsidRPr="005055CA">
        <w:rPr>
          <w:sz w:val="22"/>
          <w:szCs w:val="22"/>
        </w:rPr>
        <w:t xml:space="preserve">dospievajúcich </w:t>
      </w:r>
      <w:r w:rsidRPr="005055CA">
        <w:rPr>
          <w:sz w:val="22"/>
          <w:szCs w:val="22"/>
        </w:rPr>
        <w:t>pacientov. Zdá sa, že klinicky významný prírastok na hmotnosti (≥ 7</w:t>
      </w:r>
      <w:r w:rsidR="001D1D47" w:rsidRPr="005055CA">
        <w:rPr>
          <w:sz w:val="22"/>
          <w:szCs w:val="22"/>
        </w:rPr>
        <w:t xml:space="preserve"> </w:t>
      </w:r>
      <w:r w:rsidRPr="005055CA">
        <w:rPr>
          <w:sz w:val="22"/>
          <w:szCs w:val="22"/>
        </w:rPr>
        <w:t xml:space="preserve">%) sa vyskytuje častejšie u </w:t>
      </w:r>
      <w:r w:rsidR="00504810" w:rsidRPr="005055CA">
        <w:rPr>
          <w:sz w:val="22"/>
          <w:szCs w:val="22"/>
        </w:rPr>
        <w:t xml:space="preserve">dospievajúcich </w:t>
      </w:r>
      <w:r w:rsidRPr="005055CA">
        <w:rPr>
          <w:sz w:val="22"/>
          <w:szCs w:val="22"/>
        </w:rPr>
        <w:t>v porovnaní s dospelými pri porovnateľných expozíciách. Výška hmotnostného prírastku a pomer adolescentných pacientov, u ktorých bol klinicky signifikantný hmotnostný prírastok, bol vyšší pri dlhodobej expozícii (aspoň 24 týždňov) ako pri krátkodobej expozícii.</w:t>
      </w:r>
    </w:p>
    <w:p w14:paraId="3760F052" w14:textId="77777777" w:rsidR="00D66150" w:rsidRPr="005055CA" w:rsidRDefault="00D66150" w:rsidP="002E3165">
      <w:pPr>
        <w:rPr>
          <w:sz w:val="22"/>
          <w:szCs w:val="22"/>
        </w:rPr>
      </w:pPr>
      <w:r w:rsidRPr="005055CA">
        <w:rPr>
          <w:sz w:val="22"/>
          <w:szCs w:val="22"/>
        </w:rPr>
        <w:t>V rámci jednotlivých skupín frekvencií sú nežiaduce účinky usporiadané v poradí klesajúcej</w:t>
      </w:r>
    </w:p>
    <w:p w14:paraId="1CF05953" w14:textId="77777777" w:rsidR="00D66150" w:rsidRPr="005055CA" w:rsidRDefault="00D66150" w:rsidP="002E3165">
      <w:pPr>
        <w:rPr>
          <w:sz w:val="22"/>
          <w:szCs w:val="22"/>
        </w:rPr>
      </w:pPr>
      <w:r w:rsidRPr="005055CA">
        <w:rPr>
          <w:sz w:val="22"/>
          <w:szCs w:val="22"/>
        </w:rPr>
        <w:t>závažnosti. Frekvencia je definovaná nasledovne: Veľmi časté (≥ 1/10), časté (≥ 1/100 až &lt; 1/10).</w:t>
      </w:r>
    </w:p>
    <w:p w14:paraId="4B9F8F55" w14:textId="77777777" w:rsidR="00D66150" w:rsidRPr="005055CA" w:rsidRDefault="00D66150" w:rsidP="002E3165">
      <w:pPr>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1"/>
        <w:gridCol w:w="6519"/>
      </w:tblGrid>
      <w:tr w:rsidR="00C24392" w:rsidRPr="005055CA" w14:paraId="468E4C2F" w14:textId="77777777" w:rsidTr="001A71DA">
        <w:tc>
          <w:tcPr>
            <w:tcW w:w="1612" w:type="pct"/>
          </w:tcPr>
          <w:p w14:paraId="434A82F9" w14:textId="77777777" w:rsidR="00C24392" w:rsidRPr="005055CA" w:rsidRDefault="00C24392" w:rsidP="002E3165">
            <w:pPr>
              <w:rPr>
                <w:sz w:val="22"/>
                <w:szCs w:val="22"/>
              </w:rPr>
            </w:pPr>
            <w:r w:rsidRPr="005055CA">
              <w:rPr>
                <w:sz w:val="22"/>
                <w:szCs w:val="22"/>
              </w:rPr>
              <w:t>Triedy orgánových systémov</w:t>
            </w:r>
          </w:p>
        </w:tc>
        <w:tc>
          <w:tcPr>
            <w:tcW w:w="3388" w:type="pct"/>
          </w:tcPr>
          <w:p w14:paraId="1C8F7528" w14:textId="77777777" w:rsidR="00C24392" w:rsidRPr="005055CA" w:rsidRDefault="00C24392" w:rsidP="002E3165">
            <w:pPr>
              <w:rPr>
                <w:sz w:val="22"/>
                <w:szCs w:val="22"/>
              </w:rPr>
            </w:pPr>
            <w:r w:rsidRPr="005055CA">
              <w:rPr>
                <w:sz w:val="22"/>
                <w:szCs w:val="22"/>
              </w:rPr>
              <w:t>Skupina frekvencií</w:t>
            </w:r>
          </w:p>
        </w:tc>
      </w:tr>
      <w:tr w:rsidR="00C24392" w:rsidRPr="005055CA" w14:paraId="0C0C0EB6" w14:textId="77777777" w:rsidTr="001A71DA">
        <w:tc>
          <w:tcPr>
            <w:tcW w:w="5000" w:type="pct"/>
            <w:gridSpan w:val="2"/>
          </w:tcPr>
          <w:p w14:paraId="5C0D79F2" w14:textId="77777777" w:rsidR="00C24392" w:rsidRPr="005055CA" w:rsidRDefault="00C24392" w:rsidP="002E3165">
            <w:pPr>
              <w:rPr>
                <w:sz w:val="22"/>
                <w:szCs w:val="22"/>
              </w:rPr>
            </w:pPr>
            <w:r w:rsidRPr="005055CA">
              <w:rPr>
                <w:sz w:val="22"/>
                <w:szCs w:val="22"/>
              </w:rPr>
              <w:t>Poruchy metabolizmu a výživy</w:t>
            </w:r>
          </w:p>
        </w:tc>
      </w:tr>
      <w:tr w:rsidR="00C24392" w:rsidRPr="005055CA" w14:paraId="500A766B" w14:textId="77777777" w:rsidTr="001A71DA">
        <w:tc>
          <w:tcPr>
            <w:tcW w:w="1612" w:type="pct"/>
          </w:tcPr>
          <w:p w14:paraId="459D0EC5" w14:textId="77777777" w:rsidR="00C24392" w:rsidRPr="005055CA" w:rsidRDefault="00C24392" w:rsidP="002E3165">
            <w:pPr>
              <w:rPr>
                <w:sz w:val="22"/>
                <w:szCs w:val="22"/>
                <w:lang w:val="en-US"/>
              </w:rPr>
            </w:pPr>
            <w:r w:rsidRPr="005055CA">
              <w:rPr>
                <w:sz w:val="22"/>
                <w:szCs w:val="22"/>
              </w:rPr>
              <w:t>Veľmi časté</w:t>
            </w:r>
          </w:p>
        </w:tc>
        <w:tc>
          <w:tcPr>
            <w:tcW w:w="3388" w:type="pct"/>
          </w:tcPr>
          <w:p w14:paraId="354C6D50" w14:textId="77777777" w:rsidR="00C24392" w:rsidRPr="005055CA" w:rsidRDefault="00C24392" w:rsidP="002E3165">
            <w:pPr>
              <w:rPr>
                <w:sz w:val="22"/>
                <w:szCs w:val="22"/>
                <w:lang w:val="en-US"/>
              </w:rPr>
            </w:pPr>
            <w:r w:rsidRPr="005055CA">
              <w:rPr>
                <w:sz w:val="22"/>
                <w:szCs w:val="22"/>
              </w:rPr>
              <w:t xml:space="preserve">Hmotnostný </w:t>
            </w:r>
            <w:r w:rsidR="00D66150" w:rsidRPr="005055CA">
              <w:rPr>
                <w:sz w:val="22"/>
                <w:szCs w:val="22"/>
              </w:rPr>
              <w:t>prírastok</w:t>
            </w:r>
            <w:r w:rsidR="00D66150" w:rsidRPr="005055CA">
              <w:rPr>
                <w:sz w:val="22"/>
                <w:szCs w:val="22"/>
                <w:vertAlign w:val="superscript"/>
              </w:rPr>
              <w:t>13</w:t>
            </w:r>
            <w:r w:rsidRPr="005055CA">
              <w:rPr>
                <w:sz w:val="22"/>
                <w:szCs w:val="22"/>
              </w:rPr>
              <w:t>, zvýšená hladina triglyceridov</w:t>
            </w:r>
            <w:r w:rsidRPr="005055CA">
              <w:rPr>
                <w:sz w:val="22"/>
                <w:szCs w:val="22"/>
                <w:vertAlign w:val="superscript"/>
              </w:rPr>
              <w:t>1</w:t>
            </w:r>
            <w:r w:rsidR="00D66150" w:rsidRPr="005055CA">
              <w:rPr>
                <w:sz w:val="22"/>
                <w:szCs w:val="22"/>
                <w:vertAlign w:val="superscript"/>
              </w:rPr>
              <w:t>4</w:t>
            </w:r>
            <w:r w:rsidRPr="005055CA">
              <w:rPr>
                <w:sz w:val="22"/>
                <w:szCs w:val="22"/>
              </w:rPr>
              <w:t>, zvýšená chuť do jedla.</w:t>
            </w:r>
          </w:p>
        </w:tc>
      </w:tr>
      <w:tr w:rsidR="00C24392" w:rsidRPr="005055CA" w14:paraId="3C2224C1" w14:textId="77777777" w:rsidTr="001A71DA">
        <w:tc>
          <w:tcPr>
            <w:tcW w:w="1612" w:type="pct"/>
          </w:tcPr>
          <w:p w14:paraId="3C6DD757" w14:textId="77777777" w:rsidR="00C24392" w:rsidRPr="005055CA" w:rsidRDefault="00C24392" w:rsidP="002E3165">
            <w:pPr>
              <w:rPr>
                <w:sz w:val="22"/>
                <w:szCs w:val="22"/>
                <w:lang w:val="en-GB"/>
              </w:rPr>
            </w:pPr>
            <w:r w:rsidRPr="005055CA">
              <w:rPr>
                <w:sz w:val="22"/>
                <w:szCs w:val="22"/>
              </w:rPr>
              <w:t>Časté:</w:t>
            </w:r>
          </w:p>
        </w:tc>
        <w:tc>
          <w:tcPr>
            <w:tcW w:w="3388" w:type="pct"/>
          </w:tcPr>
          <w:p w14:paraId="5CEAF0BB" w14:textId="77777777" w:rsidR="00C24392" w:rsidRPr="005055CA" w:rsidRDefault="00C24392" w:rsidP="002E3165">
            <w:pPr>
              <w:rPr>
                <w:sz w:val="22"/>
                <w:szCs w:val="22"/>
                <w:lang w:val="en-GB"/>
              </w:rPr>
            </w:pPr>
            <w:r w:rsidRPr="005055CA">
              <w:rPr>
                <w:sz w:val="22"/>
                <w:szCs w:val="22"/>
              </w:rPr>
              <w:t xml:space="preserve">Zvýšená hladina </w:t>
            </w:r>
            <w:r w:rsidR="00D66150" w:rsidRPr="005055CA">
              <w:rPr>
                <w:sz w:val="22"/>
                <w:szCs w:val="22"/>
              </w:rPr>
              <w:t>cholesterolu</w:t>
            </w:r>
            <w:r w:rsidR="00D66150" w:rsidRPr="005055CA">
              <w:rPr>
                <w:sz w:val="22"/>
                <w:szCs w:val="22"/>
                <w:vertAlign w:val="superscript"/>
              </w:rPr>
              <w:t>15</w:t>
            </w:r>
          </w:p>
        </w:tc>
      </w:tr>
      <w:tr w:rsidR="00C24392" w:rsidRPr="005055CA" w14:paraId="71F5EEB8" w14:textId="77777777" w:rsidTr="001A71DA">
        <w:tc>
          <w:tcPr>
            <w:tcW w:w="5000" w:type="pct"/>
            <w:gridSpan w:val="2"/>
          </w:tcPr>
          <w:p w14:paraId="04E8CC65" w14:textId="77777777" w:rsidR="00C24392" w:rsidRPr="005055CA" w:rsidRDefault="00C24392" w:rsidP="002E3165">
            <w:pPr>
              <w:rPr>
                <w:sz w:val="22"/>
                <w:szCs w:val="22"/>
              </w:rPr>
            </w:pPr>
            <w:r w:rsidRPr="005055CA">
              <w:rPr>
                <w:sz w:val="22"/>
                <w:szCs w:val="22"/>
              </w:rPr>
              <w:t>Poruchy nervového systému</w:t>
            </w:r>
          </w:p>
        </w:tc>
      </w:tr>
      <w:tr w:rsidR="00C24392" w:rsidRPr="005055CA" w14:paraId="3AE7251E" w14:textId="77777777" w:rsidTr="001A71DA">
        <w:tc>
          <w:tcPr>
            <w:tcW w:w="1612" w:type="pct"/>
          </w:tcPr>
          <w:p w14:paraId="02D3F33F" w14:textId="77777777" w:rsidR="00C24392" w:rsidRPr="005055CA" w:rsidRDefault="00C24392" w:rsidP="002E3165">
            <w:pPr>
              <w:rPr>
                <w:sz w:val="22"/>
                <w:szCs w:val="22"/>
                <w:lang w:val="en-US"/>
              </w:rPr>
            </w:pPr>
            <w:r w:rsidRPr="005055CA">
              <w:rPr>
                <w:sz w:val="22"/>
                <w:szCs w:val="22"/>
              </w:rPr>
              <w:t>Veľmi časté</w:t>
            </w:r>
            <w:r w:rsidRPr="005055CA">
              <w:rPr>
                <w:sz w:val="22"/>
                <w:szCs w:val="22"/>
                <w:lang w:val="en-US"/>
              </w:rPr>
              <w:t xml:space="preserve">: </w:t>
            </w:r>
          </w:p>
        </w:tc>
        <w:tc>
          <w:tcPr>
            <w:tcW w:w="3388" w:type="pct"/>
          </w:tcPr>
          <w:p w14:paraId="182768AB" w14:textId="77777777" w:rsidR="00C24392" w:rsidRPr="005055CA" w:rsidRDefault="00C24392" w:rsidP="002E3165">
            <w:pPr>
              <w:rPr>
                <w:sz w:val="22"/>
                <w:szCs w:val="22"/>
                <w:lang w:val="pl-PL"/>
              </w:rPr>
            </w:pPr>
            <w:r w:rsidRPr="005055CA">
              <w:rPr>
                <w:sz w:val="22"/>
                <w:szCs w:val="22"/>
              </w:rPr>
              <w:t>Útlm (vrátane: hypersomnie, letargie, somnolencie).</w:t>
            </w:r>
          </w:p>
        </w:tc>
      </w:tr>
      <w:tr w:rsidR="00C24392" w:rsidRPr="005055CA" w14:paraId="56A813C6" w14:textId="77777777" w:rsidTr="001A71DA">
        <w:tc>
          <w:tcPr>
            <w:tcW w:w="5000" w:type="pct"/>
            <w:gridSpan w:val="2"/>
          </w:tcPr>
          <w:p w14:paraId="5087B4D5" w14:textId="77777777" w:rsidR="00504810" w:rsidRPr="005055CA" w:rsidRDefault="00504810" w:rsidP="002E3165">
            <w:pPr>
              <w:rPr>
                <w:color w:val="000000"/>
                <w:sz w:val="22"/>
                <w:szCs w:val="22"/>
              </w:rPr>
            </w:pPr>
            <w:r w:rsidRPr="005055CA">
              <w:rPr>
                <w:b/>
                <w:bCs/>
                <w:color w:val="000000"/>
                <w:sz w:val="22"/>
                <w:szCs w:val="22"/>
              </w:rPr>
              <w:t>Poruchy gastrointestinálneho traktu</w:t>
            </w:r>
          </w:p>
          <w:p w14:paraId="01312D6B" w14:textId="77777777" w:rsidR="00C24392" w:rsidRPr="005055CA" w:rsidRDefault="00C24392" w:rsidP="002E3165">
            <w:pPr>
              <w:rPr>
                <w:b/>
                <w:sz w:val="22"/>
                <w:szCs w:val="22"/>
                <w:lang w:val="en-GB"/>
              </w:rPr>
            </w:pPr>
          </w:p>
        </w:tc>
      </w:tr>
      <w:tr w:rsidR="00C24392" w:rsidRPr="005055CA" w14:paraId="58F3664B" w14:textId="77777777" w:rsidTr="001A71DA">
        <w:tc>
          <w:tcPr>
            <w:tcW w:w="1612" w:type="pct"/>
          </w:tcPr>
          <w:p w14:paraId="090B6BB9" w14:textId="77777777" w:rsidR="00C24392" w:rsidRPr="005055CA" w:rsidRDefault="00C24392" w:rsidP="002E3165">
            <w:pPr>
              <w:rPr>
                <w:sz w:val="22"/>
                <w:szCs w:val="22"/>
                <w:lang w:val="en-GB"/>
              </w:rPr>
            </w:pPr>
            <w:r w:rsidRPr="005055CA">
              <w:rPr>
                <w:sz w:val="22"/>
                <w:szCs w:val="22"/>
              </w:rPr>
              <w:t>Časté:</w:t>
            </w:r>
          </w:p>
        </w:tc>
        <w:tc>
          <w:tcPr>
            <w:tcW w:w="3388" w:type="pct"/>
          </w:tcPr>
          <w:p w14:paraId="16306084" w14:textId="77777777" w:rsidR="00C24392" w:rsidRPr="005055CA" w:rsidRDefault="00C24392" w:rsidP="002E3165">
            <w:pPr>
              <w:rPr>
                <w:sz w:val="22"/>
                <w:szCs w:val="22"/>
                <w:lang w:val="en-GB"/>
              </w:rPr>
            </w:pPr>
            <w:r w:rsidRPr="005055CA">
              <w:rPr>
                <w:sz w:val="22"/>
                <w:szCs w:val="22"/>
              </w:rPr>
              <w:t>Suchosť v ústach.</w:t>
            </w:r>
          </w:p>
        </w:tc>
      </w:tr>
      <w:tr w:rsidR="00C24392" w:rsidRPr="005055CA" w14:paraId="2A5B8664" w14:textId="77777777" w:rsidTr="001A71DA">
        <w:tc>
          <w:tcPr>
            <w:tcW w:w="5000" w:type="pct"/>
            <w:gridSpan w:val="2"/>
          </w:tcPr>
          <w:p w14:paraId="0CA829E2" w14:textId="77777777" w:rsidR="00C24392" w:rsidRPr="005055CA" w:rsidRDefault="00C24392" w:rsidP="002E3165">
            <w:pPr>
              <w:rPr>
                <w:sz w:val="22"/>
                <w:szCs w:val="22"/>
              </w:rPr>
            </w:pPr>
            <w:r w:rsidRPr="005055CA">
              <w:rPr>
                <w:sz w:val="22"/>
                <w:szCs w:val="22"/>
              </w:rPr>
              <w:t>Poruchy pečene a žlčových ciest</w:t>
            </w:r>
          </w:p>
        </w:tc>
      </w:tr>
      <w:tr w:rsidR="00C24392" w:rsidRPr="005055CA" w14:paraId="027C4747" w14:textId="77777777" w:rsidTr="001A71DA">
        <w:tc>
          <w:tcPr>
            <w:tcW w:w="1612" w:type="pct"/>
          </w:tcPr>
          <w:p w14:paraId="143F6227" w14:textId="77777777" w:rsidR="00C24392" w:rsidRPr="005055CA" w:rsidRDefault="00C24392" w:rsidP="002E3165">
            <w:pPr>
              <w:rPr>
                <w:sz w:val="22"/>
                <w:szCs w:val="22"/>
                <w:lang w:val="en-GB"/>
              </w:rPr>
            </w:pPr>
            <w:r w:rsidRPr="005055CA">
              <w:rPr>
                <w:sz w:val="22"/>
                <w:szCs w:val="22"/>
              </w:rPr>
              <w:t>Veľmi časté</w:t>
            </w:r>
            <w:r w:rsidRPr="005055CA">
              <w:rPr>
                <w:sz w:val="22"/>
                <w:szCs w:val="22"/>
                <w:lang w:val="en-GB"/>
              </w:rPr>
              <w:t>:</w:t>
            </w:r>
          </w:p>
        </w:tc>
        <w:tc>
          <w:tcPr>
            <w:tcW w:w="3388" w:type="pct"/>
          </w:tcPr>
          <w:p w14:paraId="5EA53201" w14:textId="77777777" w:rsidR="00C24392" w:rsidRPr="005055CA" w:rsidRDefault="00C24392" w:rsidP="002E3165">
            <w:pPr>
              <w:rPr>
                <w:sz w:val="22"/>
                <w:szCs w:val="22"/>
                <w:lang w:val="en-GB"/>
              </w:rPr>
            </w:pPr>
            <w:r w:rsidRPr="005055CA">
              <w:rPr>
                <w:sz w:val="22"/>
                <w:szCs w:val="22"/>
              </w:rPr>
              <w:t xml:space="preserve">Zvýšenie pečeňových </w:t>
            </w:r>
            <w:r w:rsidR="00D66150" w:rsidRPr="005055CA">
              <w:rPr>
                <w:sz w:val="22"/>
                <w:szCs w:val="22"/>
              </w:rPr>
              <w:t>aminotransferáz</w:t>
            </w:r>
            <w:r w:rsidRPr="005055CA">
              <w:rPr>
                <w:sz w:val="22"/>
                <w:szCs w:val="22"/>
              </w:rPr>
              <w:t xml:space="preserve"> (ALT/AST; pozri časť 4.4).</w:t>
            </w:r>
          </w:p>
        </w:tc>
      </w:tr>
      <w:tr w:rsidR="00C24392" w:rsidRPr="005055CA" w14:paraId="1C18544B" w14:textId="77777777" w:rsidTr="001A71DA">
        <w:tc>
          <w:tcPr>
            <w:tcW w:w="5000" w:type="pct"/>
            <w:gridSpan w:val="2"/>
          </w:tcPr>
          <w:p w14:paraId="74C72C62" w14:textId="77777777" w:rsidR="00504810" w:rsidRPr="005055CA" w:rsidRDefault="00504810" w:rsidP="002E3165">
            <w:pPr>
              <w:rPr>
                <w:color w:val="000000"/>
                <w:sz w:val="22"/>
                <w:szCs w:val="22"/>
              </w:rPr>
            </w:pPr>
            <w:r w:rsidRPr="005055CA">
              <w:rPr>
                <w:b/>
                <w:bCs/>
                <w:color w:val="000000"/>
                <w:sz w:val="22"/>
                <w:szCs w:val="22"/>
              </w:rPr>
              <w:t xml:space="preserve">Laboratórne a funkčné vyšetrenia </w:t>
            </w:r>
          </w:p>
          <w:p w14:paraId="17FE9149" w14:textId="77777777" w:rsidR="00C24392" w:rsidRPr="005055CA" w:rsidRDefault="00C24392" w:rsidP="002E3165">
            <w:pPr>
              <w:rPr>
                <w:sz w:val="22"/>
                <w:szCs w:val="22"/>
              </w:rPr>
            </w:pPr>
          </w:p>
        </w:tc>
      </w:tr>
      <w:tr w:rsidR="00C24392" w:rsidRPr="005055CA" w14:paraId="2938D194" w14:textId="77777777" w:rsidTr="001A71DA">
        <w:tc>
          <w:tcPr>
            <w:tcW w:w="1612" w:type="pct"/>
          </w:tcPr>
          <w:p w14:paraId="6C66929E" w14:textId="77777777" w:rsidR="00C24392" w:rsidRPr="005055CA" w:rsidRDefault="00C24392" w:rsidP="002E3165">
            <w:pPr>
              <w:rPr>
                <w:sz w:val="22"/>
                <w:szCs w:val="22"/>
              </w:rPr>
            </w:pPr>
            <w:r w:rsidRPr="005055CA">
              <w:rPr>
                <w:sz w:val="22"/>
                <w:szCs w:val="22"/>
              </w:rPr>
              <w:t>Veľmi časté:</w:t>
            </w:r>
          </w:p>
        </w:tc>
        <w:tc>
          <w:tcPr>
            <w:tcW w:w="3388" w:type="pct"/>
          </w:tcPr>
          <w:p w14:paraId="36139B47" w14:textId="77777777" w:rsidR="00C24392" w:rsidRPr="005055CA" w:rsidRDefault="00C24392" w:rsidP="002E3165">
            <w:pPr>
              <w:rPr>
                <w:sz w:val="22"/>
                <w:szCs w:val="22"/>
              </w:rPr>
            </w:pPr>
            <w:r w:rsidRPr="005055CA">
              <w:rPr>
                <w:sz w:val="22"/>
                <w:szCs w:val="22"/>
              </w:rPr>
              <w:t>Zníženie celkového bilirubínu, zvýšenie GMT, zvýšenie plazmatickej hladiny prolaktínu</w:t>
            </w:r>
            <w:r w:rsidRPr="005055CA">
              <w:rPr>
                <w:sz w:val="22"/>
                <w:szCs w:val="22"/>
                <w:vertAlign w:val="superscript"/>
              </w:rPr>
              <w:t>1</w:t>
            </w:r>
            <w:r w:rsidR="00D66150" w:rsidRPr="005055CA">
              <w:rPr>
                <w:sz w:val="22"/>
                <w:szCs w:val="22"/>
                <w:vertAlign w:val="superscript"/>
              </w:rPr>
              <w:t>6</w:t>
            </w:r>
            <w:r w:rsidRPr="005055CA">
              <w:rPr>
                <w:sz w:val="22"/>
                <w:szCs w:val="22"/>
              </w:rPr>
              <w:t>.</w:t>
            </w:r>
          </w:p>
        </w:tc>
      </w:tr>
    </w:tbl>
    <w:p w14:paraId="03CCEBFE" w14:textId="77777777" w:rsidR="003C4019" w:rsidRPr="005055CA" w:rsidRDefault="003C4019" w:rsidP="002E3165">
      <w:pPr>
        <w:rPr>
          <w:sz w:val="22"/>
          <w:szCs w:val="22"/>
        </w:rPr>
      </w:pPr>
    </w:p>
    <w:p w14:paraId="67861EDA" w14:textId="77777777" w:rsidR="00D66150" w:rsidRPr="005055CA" w:rsidRDefault="005A03F5" w:rsidP="002E3165">
      <w:pPr>
        <w:rPr>
          <w:sz w:val="22"/>
          <w:szCs w:val="22"/>
        </w:rPr>
      </w:pPr>
      <w:r w:rsidRPr="005055CA">
        <w:rPr>
          <w:sz w:val="22"/>
          <w:szCs w:val="22"/>
          <w:vertAlign w:val="superscript"/>
        </w:rPr>
        <w:t>13</w:t>
      </w:r>
      <w:r w:rsidR="00D66150" w:rsidRPr="005055CA">
        <w:rPr>
          <w:sz w:val="22"/>
          <w:szCs w:val="22"/>
        </w:rPr>
        <w:t xml:space="preserve"> Po krátkodobej liečbe (medián trvania 22 dní) sa nárast hmotnosti o ≥ 7</w:t>
      </w:r>
      <w:r w:rsidR="0057483B" w:rsidRPr="005055CA">
        <w:rPr>
          <w:sz w:val="22"/>
          <w:szCs w:val="22"/>
        </w:rPr>
        <w:t xml:space="preserve"> </w:t>
      </w:r>
      <w:r w:rsidR="00D66150" w:rsidRPr="005055CA">
        <w:rPr>
          <w:sz w:val="22"/>
          <w:szCs w:val="22"/>
        </w:rPr>
        <w:t>% v porovnaní s počiatočnou</w:t>
      </w:r>
    </w:p>
    <w:p w14:paraId="1F5A7826" w14:textId="77777777" w:rsidR="00D66150" w:rsidRPr="005055CA" w:rsidRDefault="00D66150" w:rsidP="002E3165">
      <w:pPr>
        <w:rPr>
          <w:sz w:val="22"/>
          <w:szCs w:val="22"/>
        </w:rPr>
      </w:pPr>
      <w:r w:rsidRPr="005055CA">
        <w:rPr>
          <w:sz w:val="22"/>
          <w:szCs w:val="22"/>
        </w:rPr>
        <w:t>telesnou hmotnosťou (kg) vyskytoval veľmi často (40,6</w:t>
      </w:r>
      <w:r w:rsidR="0057483B" w:rsidRPr="005055CA">
        <w:rPr>
          <w:sz w:val="22"/>
          <w:szCs w:val="22"/>
        </w:rPr>
        <w:t xml:space="preserve"> </w:t>
      </w:r>
      <w:r w:rsidRPr="005055CA">
        <w:rPr>
          <w:sz w:val="22"/>
          <w:szCs w:val="22"/>
        </w:rPr>
        <w:t>%), o ≥ 15</w:t>
      </w:r>
      <w:r w:rsidR="0057483B" w:rsidRPr="005055CA">
        <w:rPr>
          <w:sz w:val="22"/>
          <w:szCs w:val="22"/>
        </w:rPr>
        <w:t xml:space="preserve"> </w:t>
      </w:r>
      <w:r w:rsidRPr="005055CA">
        <w:rPr>
          <w:sz w:val="22"/>
          <w:szCs w:val="22"/>
        </w:rPr>
        <w:t>% v porovnaní s počiatočnou</w:t>
      </w:r>
    </w:p>
    <w:p w14:paraId="6CC0134F" w14:textId="77777777" w:rsidR="00D66150" w:rsidRPr="005055CA" w:rsidRDefault="00D66150" w:rsidP="002E3165">
      <w:pPr>
        <w:rPr>
          <w:sz w:val="22"/>
          <w:szCs w:val="22"/>
        </w:rPr>
      </w:pPr>
      <w:r w:rsidRPr="005055CA">
        <w:rPr>
          <w:sz w:val="22"/>
          <w:szCs w:val="22"/>
        </w:rPr>
        <w:t>telesnou hmotnosťou často (7,1</w:t>
      </w:r>
      <w:r w:rsidR="0057483B" w:rsidRPr="005055CA">
        <w:rPr>
          <w:sz w:val="22"/>
          <w:szCs w:val="22"/>
        </w:rPr>
        <w:t xml:space="preserve"> </w:t>
      </w:r>
      <w:r w:rsidRPr="005055CA">
        <w:rPr>
          <w:sz w:val="22"/>
          <w:szCs w:val="22"/>
        </w:rPr>
        <w:t>%) a ≥ 25</w:t>
      </w:r>
      <w:r w:rsidR="0057483B" w:rsidRPr="005055CA">
        <w:rPr>
          <w:sz w:val="22"/>
          <w:szCs w:val="22"/>
        </w:rPr>
        <w:t xml:space="preserve"> </w:t>
      </w:r>
      <w:r w:rsidRPr="005055CA">
        <w:rPr>
          <w:sz w:val="22"/>
          <w:szCs w:val="22"/>
        </w:rPr>
        <w:t>% často (2,5</w:t>
      </w:r>
      <w:r w:rsidR="0057483B" w:rsidRPr="005055CA">
        <w:rPr>
          <w:sz w:val="22"/>
          <w:szCs w:val="22"/>
        </w:rPr>
        <w:t xml:space="preserve"> </w:t>
      </w:r>
      <w:r w:rsidRPr="005055CA">
        <w:rPr>
          <w:sz w:val="22"/>
          <w:szCs w:val="22"/>
        </w:rPr>
        <w:t>%). Pri dlhodobej expozícii (aspoň 24 týždňov)</w:t>
      </w:r>
    </w:p>
    <w:p w14:paraId="1FB19ECF" w14:textId="77777777" w:rsidR="00D66150" w:rsidRPr="005055CA" w:rsidRDefault="00D66150" w:rsidP="002E3165">
      <w:pPr>
        <w:rPr>
          <w:sz w:val="22"/>
          <w:szCs w:val="22"/>
        </w:rPr>
      </w:pPr>
      <w:r w:rsidRPr="005055CA">
        <w:rPr>
          <w:sz w:val="22"/>
          <w:szCs w:val="22"/>
        </w:rPr>
        <w:t>89,4</w:t>
      </w:r>
      <w:r w:rsidR="0057483B" w:rsidRPr="005055CA">
        <w:rPr>
          <w:sz w:val="22"/>
          <w:szCs w:val="22"/>
        </w:rPr>
        <w:t xml:space="preserve"> </w:t>
      </w:r>
      <w:r w:rsidRPr="005055CA">
        <w:rPr>
          <w:sz w:val="22"/>
          <w:szCs w:val="22"/>
        </w:rPr>
        <w:t>% pribralo ≥ 7</w:t>
      </w:r>
      <w:r w:rsidR="0057483B" w:rsidRPr="005055CA">
        <w:rPr>
          <w:sz w:val="22"/>
          <w:szCs w:val="22"/>
        </w:rPr>
        <w:t xml:space="preserve"> </w:t>
      </w:r>
      <w:r w:rsidRPr="005055CA">
        <w:rPr>
          <w:sz w:val="22"/>
          <w:szCs w:val="22"/>
        </w:rPr>
        <w:t>%, 55,3</w:t>
      </w:r>
      <w:r w:rsidR="0057483B" w:rsidRPr="005055CA">
        <w:rPr>
          <w:sz w:val="22"/>
          <w:szCs w:val="22"/>
        </w:rPr>
        <w:t xml:space="preserve"> </w:t>
      </w:r>
      <w:r w:rsidRPr="005055CA">
        <w:rPr>
          <w:sz w:val="22"/>
          <w:szCs w:val="22"/>
        </w:rPr>
        <w:t>% pribralo ≥ 15</w:t>
      </w:r>
      <w:r w:rsidR="0057483B" w:rsidRPr="005055CA">
        <w:rPr>
          <w:sz w:val="22"/>
          <w:szCs w:val="22"/>
        </w:rPr>
        <w:t xml:space="preserve"> </w:t>
      </w:r>
      <w:r w:rsidRPr="005055CA">
        <w:rPr>
          <w:sz w:val="22"/>
          <w:szCs w:val="22"/>
        </w:rPr>
        <w:t>% a 29,1</w:t>
      </w:r>
      <w:r w:rsidR="0057483B" w:rsidRPr="005055CA">
        <w:rPr>
          <w:sz w:val="22"/>
          <w:szCs w:val="22"/>
        </w:rPr>
        <w:t xml:space="preserve"> </w:t>
      </w:r>
      <w:r w:rsidRPr="005055CA">
        <w:rPr>
          <w:sz w:val="22"/>
          <w:szCs w:val="22"/>
        </w:rPr>
        <w:t>% pribralo ≥ 25</w:t>
      </w:r>
      <w:r w:rsidR="0057483B" w:rsidRPr="005055CA">
        <w:rPr>
          <w:sz w:val="22"/>
          <w:szCs w:val="22"/>
        </w:rPr>
        <w:t xml:space="preserve"> </w:t>
      </w:r>
      <w:r w:rsidRPr="005055CA">
        <w:rPr>
          <w:sz w:val="22"/>
          <w:szCs w:val="22"/>
        </w:rPr>
        <w:t>% pôvodnej telesnej hmotnosti.</w:t>
      </w:r>
    </w:p>
    <w:p w14:paraId="7C262E42" w14:textId="77777777" w:rsidR="00D66150" w:rsidRPr="005055CA" w:rsidRDefault="00D66150" w:rsidP="002E3165">
      <w:pPr>
        <w:rPr>
          <w:sz w:val="22"/>
          <w:szCs w:val="22"/>
          <w:vertAlign w:val="superscript"/>
        </w:rPr>
      </w:pPr>
    </w:p>
    <w:p w14:paraId="5FC9899E" w14:textId="77777777" w:rsidR="007476A0" w:rsidRPr="005055CA" w:rsidRDefault="003C4019" w:rsidP="002E3165">
      <w:pPr>
        <w:rPr>
          <w:sz w:val="22"/>
          <w:szCs w:val="22"/>
        </w:rPr>
      </w:pPr>
      <w:r w:rsidRPr="005055CA">
        <w:rPr>
          <w:sz w:val="22"/>
          <w:szCs w:val="22"/>
          <w:vertAlign w:val="superscript"/>
        </w:rPr>
        <w:t>1</w:t>
      </w:r>
      <w:r w:rsidR="00D66150" w:rsidRPr="005055CA">
        <w:rPr>
          <w:sz w:val="22"/>
          <w:szCs w:val="22"/>
          <w:vertAlign w:val="superscript"/>
        </w:rPr>
        <w:t>4</w:t>
      </w:r>
      <w:r w:rsidRPr="005055CA">
        <w:rPr>
          <w:sz w:val="22"/>
          <w:szCs w:val="22"/>
        </w:rPr>
        <w:t xml:space="preserve"> Pozorované pri normálnych počiatočných hladinách nalačno (&lt; 1,016 mmol/l), ktoré sa zvýšili na ≥ 1,467 mmol/l a zmeny triglyceridov nalačno z hraničnej počiatočnej hodnoty (≥ 1,016 mmol/l</w:t>
      </w:r>
      <w:r w:rsidR="00EB3AFE" w:rsidRPr="005055CA">
        <w:rPr>
          <w:sz w:val="22"/>
          <w:szCs w:val="22"/>
        </w:rPr>
        <w:t xml:space="preserve"> – </w:t>
      </w:r>
      <w:r w:rsidRPr="005055CA">
        <w:rPr>
          <w:sz w:val="22"/>
          <w:szCs w:val="22"/>
        </w:rPr>
        <w:t xml:space="preserve"> &lt; 1,467 mmol/l) na ≥ 1,467 mmol/l.</w:t>
      </w:r>
    </w:p>
    <w:p w14:paraId="51B1651D" w14:textId="77777777" w:rsidR="00084D07" w:rsidRPr="005055CA" w:rsidRDefault="00D66150" w:rsidP="002E3165">
      <w:pPr>
        <w:rPr>
          <w:sz w:val="22"/>
          <w:szCs w:val="22"/>
        </w:rPr>
      </w:pPr>
      <w:r w:rsidRPr="005055CA">
        <w:rPr>
          <w:sz w:val="22"/>
          <w:szCs w:val="22"/>
          <w:vertAlign w:val="superscript"/>
        </w:rPr>
        <w:t>15</w:t>
      </w:r>
      <w:r w:rsidRPr="005055CA">
        <w:rPr>
          <w:sz w:val="22"/>
          <w:szCs w:val="22"/>
        </w:rPr>
        <w:t xml:space="preserve"> </w:t>
      </w:r>
      <w:r w:rsidR="003C4019" w:rsidRPr="005055CA">
        <w:rPr>
          <w:sz w:val="22"/>
          <w:szCs w:val="22"/>
        </w:rPr>
        <w:t>Zmeny hladín celkového cholesterolu nalačno z normálnej počiatočnej hodnoty (&lt; 4,39 mmol/l) na ≥ 5,17 mmol/l sa vyskytovali často. Zmeny hladín celkového cholesterolu nalačno z hraničnej počiatočnej hodnoty (≥ 4,39</w:t>
      </w:r>
      <w:r w:rsidR="00C7412C" w:rsidRPr="005055CA">
        <w:rPr>
          <w:sz w:val="22"/>
          <w:szCs w:val="22"/>
        </w:rPr>
        <w:t xml:space="preserve"> –</w:t>
      </w:r>
      <w:r w:rsidR="003C4019" w:rsidRPr="005055CA">
        <w:rPr>
          <w:sz w:val="22"/>
          <w:szCs w:val="22"/>
        </w:rPr>
        <w:t xml:space="preserve"> &lt; 5,17 mmol/l) na ≥ 5,17 mmol/l sa vyskytovali veľmi často.</w:t>
      </w:r>
    </w:p>
    <w:p w14:paraId="1D80E6E6" w14:textId="77777777" w:rsidR="007476A0" w:rsidRDefault="003C4019" w:rsidP="002E3165">
      <w:pPr>
        <w:rPr>
          <w:sz w:val="22"/>
          <w:szCs w:val="22"/>
        </w:rPr>
      </w:pPr>
      <w:r w:rsidRPr="005055CA">
        <w:rPr>
          <w:sz w:val="22"/>
          <w:szCs w:val="22"/>
          <w:vertAlign w:val="superscript"/>
        </w:rPr>
        <w:t>1</w:t>
      </w:r>
      <w:r w:rsidR="00D66150" w:rsidRPr="005055CA">
        <w:rPr>
          <w:sz w:val="22"/>
          <w:szCs w:val="22"/>
          <w:vertAlign w:val="superscript"/>
        </w:rPr>
        <w:t>6</w:t>
      </w:r>
      <w:r w:rsidRPr="005055CA">
        <w:rPr>
          <w:sz w:val="22"/>
          <w:szCs w:val="22"/>
        </w:rPr>
        <w:t xml:space="preserve"> Zvýšenie plazmatickej hladiny prolaktínu bolo hlásené u 47,4</w:t>
      </w:r>
      <w:r w:rsidR="004A7DDC" w:rsidRPr="005055CA">
        <w:rPr>
          <w:sz w:val="22"/>
          <w:szCs w:val="22"/>
        </w:rPr>
        <w:t xml:space="preserve"> </w:t>
      </w:r>
      <w:r w:rsidRPr="005055CA">
        <w:rPr>
          <w:sz w:val="22"/>
          <w:szCs w:val="22"/>
        </w:rPr>
        <w:t>% mladistvých pacientov.</w:t>
      </w:r>
    </w:p>
    <w:p w14:paraId="7526C577" w14:textId="77777777" w:rsidR="00DD3ACE" w:rsidRPr="005055CA" w:rsidRDefault="00DD3ACE" w:rsidP="002E3165">
      <w:pPr>
        <w:rPr>
          <w:sz w:val="22"/>
          <w:szCs w:val="22"/>
        </w:rPr>
      </w:pPr>
    </w:p>
    <w:p w14:paraId="6B72641C" w14:textId="77777777" w:rsidR="001C2B29" w:rsidRPr="005055CA" w:rsidRDefault="001C2B29" w:rsidP="002E3165">
      <w:pPr>
        <w:rPr>
          <w:sz w:val="22"/>
          <w:szCs w:val="22"/>
          <w:u w:val="single"/>
        </w:rPr>
      </w:pPr>
      <w:r w:rsidRPr="005055CA">
        <w:rPr>
          <w:noProof/>
          <w:sz w:val="22"/>
          <w:szCs w:val="22"/>
          <w:u w:val="single"/>
        </w:rPr>
        <w:t>Hlásenie podozrení na nežiaduce reakcie</w:t>
      </w:r>
    </w:p>
    <w:p w14:paraId="1E776602" w14:textId="47F852AF" w:rsidR="001C2B29" w:rsidRPr="005055CA" w:rsidRDefault="001C2B29" w:rsidP="002E3165">
      <w:pPr>
        <w:rPr>
          <w:noProof/>
          <w:sz w:val="22"/>
          <w:szCs w:val="22"/>
        </w:rPr>
      </w:pPr>
      <w:r w:rsidRPr="005055CA">
        <w:rPr>
          <w:noProof/>
          <w:sz w:val="22"/>
          <w:szCs w:val="22"/>
        </w:rPr>
        <w:t>Hlásenie podozrení na nežiaduce reakcie po registrácii lieku je dôležité.</w:t>
      </w:r>
      <w:r w:rsidRPr="005055CA">
        <w:rPr>
          <w:sz w:val="22"/>
          <w:szCs w:val="22"/>
        </w:rPr>
        <w:t xml:space="preserve"> </w:t>
      </w:r>
      <w:r w:rsidRPr="005055CA">
        <w:rPr>
          <w:noProof/>
          <w:sz w:val="22"/>
          <w:szCs w:val="22"/>
        </w:rPr>
        <w:t>Umožňuje priebežné monitorovanie pomeru prínosu a rizika lieku.</w:t>
      </w:r>
      <w:r w:rsidRPr="005055CA">
        <w:rPr>
          <w:sz w:val="22"/>
          <w:szCs w:val="22"/>
        </w:rPr>
        <w:t xml:space="preserve"> Od </w:t>
      </w:r>
      <w:r w:rsidRPr="005055CA">
        <w:rPr>
          <w:noProof/>
          <w:sz w:val="22"/>
          <w:szCs w:val="22"/>
        </w:rPr>
        <w:t xml:space="preserve">zdravotníckych pracovníkov sa vyžaduje, aby hlásili akékoľvek podozrenia na nežiaduce reakcie prostredníctvom </w:t>
      </w:r>
      <w:r w:rsidRPr="00746DD7">
        <w:rPr>
          <w:sz w:val="22"/>
          <w:highlight w:val="lightGray"/>
        </w:rPr>
        <w:t>národného systému hlásenia uvedeného v </w:t>
      </w:r>
      <w:hyperlink r:id="rId7" w:history="1">
        <w:r w:rsidRPr="005055CA">
          <w:rPr>
            <w:rStyle w:val="Hypertextovprepojenie"/>
            <w:noProof/>
            <w:sz w:val="22"/>
            <w:szCs w:val="22"/>
            <w:highlight w:val="lightGray"/>
          </w:rPr>
          <w:t>Prílohe V</w:t>
        </w:r>
      </w:hyperlink>
      <w:r w:rsidRPr="005055CA">
        <w:rPr>
          <w:noProof/>
          <w:sz w:val="22"/>
          <w:szCs w:val="22"/>
        </w:rPr>
        <w:t>.</w:t>
      </w:r>
    </w:p>
    <w:p w14:paraId="65911A7D" w14:textId="77777777" w:rsidR="006C0593" w:rsidRPr="002E3165" w:rsidRDefault="006C0593" w:rsidP="002E3165"/>
    <w:p w14:paraId="0AB21D5B" w14:textId="77777777" w:rsidR="007476A0" w:rsidRPr="005055CA" w:rsidRDefault="005F7279" w:rsidP="005055CA">
      <w:pPr>
        <w:keepNext/>
        <w:rPr>
          <w:b/>
        </w:rPr>
      </w:pPr>
      <w:r w:rsidRPr="005055CA">
        <w:rPr>
          <w:b/>
        </w:rPr>
        <w:t>4.9</w:t>
      </w:r>
      <w:r w:rsidRPr="005055CA">
        <w:rPr>
          <w:b/>
        </w:rPr>
        <w:tab/>
      </w:r>
      <w:r w:rsidR="003C4019" w:rsidRPr="005055CA">
        <w:rPr>
          <w:b/>
        </w:rPr>
        <w:t>Predávkovanie</w:t>
      </w:r>
    </w:p>
    <w:p w14:paraId="6E1CEDC5" w14:textId="77777777" w:rsidR="00B1283A" w:rsidRPr="002E3165" w:rsidRDefault="00B1283A" w:rsidP="005055CA">
      <w:pPr>
        <w:keepNext/>
      </w:pPr>
    </w:p>
    <w:p w14:paraId="66DA83DE" w14:textId="77777777" w:rsidR="007476A0" w:rsidRPr="00031CE4" w:rsidRDefault="003C4019" w:rsidP="005055CA">
      <w:pPr>
        <w:keepNext/>
        <w:rPr>
          <w:sz w:val="22"/>
          <w:szCs w:val="22"/>
          <w:u w:val="single"/>
        </w:rPr>
      </w:pPr>
      <w:r w:rsidRPr="00031CE4">
        <w:rPr>
          <w:sz w:val="22"/>
          <w:szCs w:val="22"/>
          <w:u w:val="single"/>
        </w:rPr>
        <w:t>Príznaky a symptómy</w:t>
      </w:r>
    </w:p>
    <w:p w14:paraId="6801CBAA" w14:textId="77777777" w:rsidR="007476A0" w:rsidRPr="005055CA" w:rsidRDefault="003C4019" w:rsidP="005055CA">
      <w:pPr>
        <w:keepNext/>
        <w:rPr>
          <w:sz w:val="22"/>
          <w:szCs w:val="22"/>
        </w:rPr>
      </w:pPr>
      <w:r w:rsidRPr="005055CA">
        <w:rPr>
          <w:sz w:val="22"/>
          <w:szCs w:val="22"/>
        </w:rPr>
        <w:t>Medzi veľmi časté príznaky predávkovania (výskyt &gt;10</w:t>
      </w:r>
      <w:r w:rsidR="005F7279" w:rsidRPr="005055CA">
        <w:rPr>
          <w:sz w:val="22"/>
          <w:szCs w:val="22"/>
        </w:rPr>
        <w:t xml:space="preserve"> </w:t>
      </w:r>
      <w:r w:rsidRPr="005055CA">
        <w:rPr>
          <w:sz w:val="22"/>
          <w:szCs w:val="22"/>
        </w:rPr>
        <w:t>%) patrí tachykardia,</w:t>
      </w:r>
      <w:r w:rsidR="00BF6C09" w:rsidRPr="005055CA">
        <w:rPr>
          <w:sz w:val="22"/>
          <w:szCs w:val="22"/>
        </w:rPr>
        <w:t xml:space="preserve"> </w:t>
      </w:r>
      <w:r w:rsidRPr="005055CA">
        <w:rPr>
          <w:sz w:val="22"/>
          <w:szCs w:val="22"/>
        </w:rPr>
        <w:t>agitácia/agresivita, dyzartria, rôzne extrapyramídové príznaky a nižší stupeň vedomia od útlmu až po kómu.</w:t>
      </w:r>
    </w:p>
    <w:p w14:paraId="27EF27CE" w14:textId="77777777" w:rsidR="00B1283A" w:rsidRPr="005055CA" w:rsidRDefault="00B1283A" w:rsidP="005055CA">
      <w:pPr>
        <w:keepNext/>
        <w:rPr>
          <w:sz w:val="22"/>
          <w:szCs w:val="22"/>
        </w:rPr>
      </w:pPr>
    </w:p>
    <w:p w14:paraId="1CD6C4A8" w14:textId="77777777" w:rsidR="00854BC6" w:rsidRPr="005055CA" w:rsidRDefault="003C4019" w:rsidP="002E3165">
      <w:pPr>
        <w:rPr>
          <w:sz w:val="22"/>
          <w:szCs w:val="22"/>
        </w:rPr>
      </w:pPr>
      <w:r w:rsidRPr="005055CA">
        <w:rPr>
          <w:sz w:val="22"/>
          <w:szCs w:val="22"/>
        </w:rPr>
        <w:t>K ďalším zdravotne významným dôsledkom predávkovania patria delírium, kŕče, kóma, možný neuroleptický malígny syndróm, útlm dýchania, aspirácia, hypertenzia alebo hypotenzia, srdcová arytmia (&lt; 2</w:t>
      </w:r>
      <w:r w:rsidR="00BF6C09" w:rsidRPr="005055CA">
        <w:rPr>
          <w:sz w:val="22"/>
          <w:szCs w:val="22"/>
        </w:rPr>
        <w:t xml:space="preserve"> </w:t>
      </w:r>
      <w:r w:rsidRPr="005055CA">
        <w:rPr>
          <w:sz w:val="22"/>
          <w:szCs w:val="22"/>
        </w:rPr>
        <w:t xml:space="preserve">% prípadov predávkovania) a zástava dýchania a činnosti srdca. Smrteľné prípady sa vyskytli už po akútnom predávkovaní dávkou 450 mg, ale takisto bolo popísané prežitie po akútnom predávkovaní dávkou približne </w:t>
      </w:r>
      <w:smartTag w:uri="urn:schemas-microsoft-com:office:smarttags" w:element="metricconverter">
        <w:smartTagPr>
          <w:attr w:name="ProductID" w:val="2 g"/>
        </w:smartTagPr>
        <w:r w:rsidR="00854BC6" w:rsidRPr="005055CA">
          <w:rPr>
            <w:sz w:val="22"/>
            <w:szCs w:val="22"/>
          </w:rPr>
          <w:t>2 g</w:t>
        </w:r>
      </w:smartTag>
      <w:r w:rsidR="00854BC6" w:rsidRPr="005055CA">
        <w:rPr>
          <w:sz w:val="22"/>
          <w:szCs w:val="22"/>
        </w:rPr>
        <w:t xml:space="preserve"> perorálneho olanzapínu.</w:t>
      </w:r>
    </w:p>
    <w:p w14:paraId="76432B0F" w14:textId="77777777" w:rsidR="00854BC6" w:rsidRPr="005055CA" w:rsidRDefault="00854BC6" w:rsidP="002E3165">
      <w:pPr>
        <w:rPr>
          <w:sz w:val="22"/>
          <w:szCs w:val="22"/>
        </w:rPr>
      </w:pPr>
    </w:p>
    <w:p w14:paraId="09D7C9FA" w14:textId="77777777" w:rsidR="007476A0" w:rsidRPr="005055CA" w:rsidRDefault="003C4019" w:rsidP="002E3165">
      <w:pPr>
        <w:rPr>
          <w:sz w:val="22"/>
          <w:szCs w:val="22"/>
          <w:u w:val="single"/>
        </w:rPr>
      </w:pPr>
      <w:r w:rsidRPr="005055CA">
        <w:rPr>
          <w:sz w:val="22"/>
          <w:szCs w:val="22"/>
          <w:u w:val="single"/>
        </w:rPr>
        <w:t>Liečba predávkovania</w:t>
      </w:r>
    </w:p>
    <w:p w14:paraId="366C221C" w14:textId="77777777" w:rsidR="007476A0" w:rsidRPr="005055CA" w:rsidRDefault="003C4019" w:rsidP="002E3165">
      <w:pPr>
        <w:rPr>
          <w:sz w:val="22"/>
          <w:szCs w:val="22"/>
        </w:rPr>
      </w:pPr>
      <w:r w:rsidRPr="005055CA">
        <w:rPr>
          <w:sz w:val="22"/>
          <w:szCs w:val="22"/>
        </w:rPr>
        <w:t>Pre olanzapín neexistuje žiadne špecifické antidotum. Neodporúča sa vyvolávanie vracania. Môžu byť indikované štandardné postupy používané pri liečbe predávkovania (tj. výplach žalúdka, podanie aktívneho uhlia). Ukázalo sa, že súbežné podanie aktívneho uhlia znižuje biologickú dostupnosť olanzapínu po perorálnom podaní o</w:t>
      </w:r>
      <w:r w:rsidR="00D92475" w:rsidRPr="005055CA">
        <w:rPr>
          <w:sz w:val="22"/>
          <w:szCs w:val="22"/>
        </w:rPr>
        <w:t> </w:t>
      </w:r>
      <w:r w:rsidRPr="005055CA">
        <w:rPr>
          <w:sz w:val="22"/>
          <w:szCs w:val="22"/>
        </w:rPr>
        <w:t>50</w:t>
      </w:r>
      <w:r w:rsidR="00D92475" w:rsidRPr="005055CA">
        <w:rPr>
          <w:sz w:val="22"/>
          <w:szCs w:val="22"/>
        </w:rPr>
        <w:t xml:space="preserve"> – </w:t>
      </w:r>
      <w:r w:rsidRPr="005055CA">
        <w:rPr>
          <w:sz w:val="22"/>
          <w:szCs w:val="22"/>
        </w:rPr>
        <w:t>60</w:t>
      </w:r>
      <w:r w:rsidR="00D92475" w:rsidRPr="005055CA">
        <w:rPr>
          <w:sz w:val="22"/>
          <w:szCs w:val="22"/>
        </w:rPr>
        <w:t xml:space="preserve"> </w:t>
      </w:r>
      <w:r w:rsidRPr="005055CA">
        <w:rPr>
          <w:sz w:val="22"/>
          <w:szCs w:val="22"/>
        </w:rPr>
        <w:t>%.</w:t>
      </w:r>
    </w:p>
    <w:p w14:paraId="6D655F0A" w14:textId="77777777" w:rsidR="00B1283A" w:rsidRPr="005055CA" w:rsidRDefault="00B1283A" w:rsidP="002E3165">
      <w:pPr>
        <w:rPr>
          <w:sz w:val="22"/>
          <w:szCs w:val="22"/>
        </w:rPr>
      </w:pPr>
    </w:p>
    <w:p w14:paraId="64FBFEC9" w14:textId="77777777" w:rsidR="007476A0" w:rsidRPr="005055CA" w:rsidRDefault="003C4019" w:rsidP="002E3165">
      <w:pPr>
        <w:rPr>
          <w:sz w:val="22"/>
          <w:szCs w:val="22"/>
        </w:rPr>
      </w:pPr>
      <w:r w:rsidRPr="005055CA">
        <w:rPr>
          <w:sz w:val="22"/>
          <w:szCs w:val="22"/>
        </w:rPr>
        <w:t>Podľa klinického stavu je potrebné zahájiť symptomatickú liečbu a monitorovanie vitálnych funkcií, vrátane liečby hypotenzie, cirkulačného šoku a podpory respiračných funkcií. Nepoužívajte adrenalín, dopamín či iné sympatomimetiká s agonistickou aktivitou na β-receptoroch, keďže beta stimulácia môže viesť ku zhoršeniu hypotenzie. Monitorovanie kardiovaskulárnych parametrov je nevyhnutné kvôli diagnostike možných porúch srdcového rytmu. Pacient má byť až do zotavenia pod stálou lekárskou kontrolou</w:t>
      </w:r>
      <w:r w:rsidR="00C24392" w:rsidRPr="005055CA">
        <w:rPr>
          <w:sz w:val="22"/>
          <w:szCs w:val="22"/>
        </w:rPr>
        <w:t>.</w:t>
      </w:r>
    </w:p>
    <w:p w14:paraId="326A6479" w14:textId="77777777" w:rsidR="006C0593" w:rsidRPr="005055CA" w:rsidRDefault="006C0593" w:rsidP="002E3165">
      <w:pPr>
        <w:rPr>
          <w:sz w:val="22"/>
          <w:szCs w:val="22"/>
        </w:rPr>
      </w:pPr>
    </w:p>
    <w:p w14:paraId="369D4EAC" w14:textId="77777777" w:rsidR="00877EF8" w:rsidRPr="002E3165" w:rsidRDefault="00877EF8" w:rsidP="002E3165"/>
    <w:p w14:paraId="4BDFF8B9" w14:textId="77777777" w:rsidR="007476A0" w:rsidRPr="005055CA" w:rsidRDefault="00854BC6" w:rsidP="002E3165">
      <w:pPr>
        <w:rPr>
          <w:b/>
        </w:rPr>
      </w:pPr>
      <w:r w:rsidRPr="005055CA">
        <w:rPr>
          <w:b/>
        </w:rPr>
        <w:t>5.</w:t>
      </w:r>
      <w:r w:rsidRPr="005055CA">
        <w:rPr>
          <w:b/>
        </w:rPr>
        <w:tab/>
      </w:r>
      <w:r w:rsidR="003C4019" w:rsidRPr="005055CA">
        <w:rPr>
          <w:b/>
        </w:rPr>
        <w:t>FARMAKOLOGICKÉ VLASTNOSTI</w:t>
      </w:r>
    </w:p>
    <w:p w14:paraId="6A559BAF" w14:textId="77777777" w:rsidR="00877EF8" w:rsidRPr="005055CA" w:rsidRDefault="00877EF8" w:rsidP="002E3165">
      <w:pPr>
        <w:rPr>
          <w:b/>
        </w:rPr>
      </w:pPr>
    </w:p>
    <w:p w14:paraId="7142778A" w14:textId="77777777" w:rsidR="007476A0" w:rsidRPr="005055CA" w:rsidRDefault="00854BC6" w:rsidP="002E3165">
      <w:pPr>
        <w:rPr>
          <w:b/>
        </w:rPr>
      </w:pPr>
      <w:r w:rsidRPr="005055CA">
        <w:rPr>
          <w:b/>
        </w:rPr>
        <w:t>5.1</w:t>
      </w:r>
      <w:r w:rsidRPr="005055CA">
        <w:rPr>
          <w:b/>
        </w:rPr>
        <w:tab/>
      </w:r>
      <w:r w:rsidR="003C4019" w:rsidRPr="005055CA">
        <w:rPr>
          <w:b/>
        </w:rPr>
        <w:t>Farmakodynamické vlastnosti</w:t>
      </w:r>
    </w:p>
    <w:p w14:paraId="1DF0E9B6" w14:textId="77777777" w:rsidR="0043395D" w:rsidRPr="002E3165" w:rsidRDefault="0043395D" w:rsidP="002E3165"/>
    <w:p w14:paraId="3E42B945" w14:textId="77777777" w:rsidR="00C24392" w:rsidRPr="005055CA" w:rsidRDefault="003C4019" w:rsidP="002E3165">
      <w:pPr>
        <w:rPr>
          <w:sz w:val="22"/>
          <w:szCs w:val="22"/>
        </w:rPr>
      </w:pPr>
      <w:r w:rsidRPr="005055CA">
        <w:rPr>
          <w:i/>
          <w:sz w:val="22"/>
          <w:szCs w:val="22"/>
        </w:rPr>
        <w:t>Farmakoterapeutická skupina</w:t>
      </w:r>
      <w:r w:rsidRPr="005055CA">
        <w:rPr>
          <w:sz w:val="22"/>
          <w:szCs w:val="22"/>
        </w:rPr>
        <w:t xml:space="preserve">: </w:t>
      </w:r>
      <w:r w:rsidR="00854BC6" w:rsidRPr="005055CA">
        <w:rPr>
          <w:sz w:val="22"/>
          <w:szCs w:val="22"/>
        </w:rPr>
        <w:t>psycholeptiká, diazepíny, oxazepíny, tiazepíny a oxepíny</w:t>
      </w:r>
    </w:p>
    <w:p w14:paraId="20CA50DA" w14:textId="77777777" w:rsidR="007476A0" w:rsidRDefault="003C4019" w:rsidP="002E3165">
      <w:pPr>
        <w:rPr>
          <w:sz w:val="22"/>
          <w:szCs w:val="22"/>
        </w:rPr>
      </w:pPr>
      <w:r w:rsidRPr="005055CA">
        <w:rPr>
          <w:sz w:val="22"/>
          <w:szCs w:val="22"/>
        </w:rPr>
        <w:t>ATC kód: N05A H03.</w:t>
      </w:r>
    </w:p>
    <w:p w14:paraId="0C8C8B4C" w14:textId="77777777" w:rsidR="00031CE4" w:rsidRDefault="00031CE4" w:rsidP="002E3165">
      <w:pPr>
        <w:rPr>
          <w:sz w:val="22"/>
          <w:szCs w:val="22"/>
        </w:rPr>
      </w:pPr>
    </w:p>
    <w:p w14:paraId="06C89CC2" w14:textId="77777777" w:rsidR="00031CE4" w:rsidRDefault="00031CE4" w:rsidP="002E3165">
      <w:pPr>
        <w:rPr>
          <w:sz w:val="22"/>
          <w:szCs w:val="22"/>
        </w:rPr>
      </w:pPr>
    </w:p>
    <w:p w14:paraId="59327027" w14:textId="77777777" w:rsidR="00031CE4" w:rsidRPr="005055CA" w:rsidRDefault="00031CE4" w:rsidP="002E3165">
      <w:pPr>
        <w:rPr>
          <w:sz w:val="22"/>
          <w:szCs w:val="22"/>
        </w:rPr>
      </w:pPr>
    </w:p>
    <w:p w14:paraId="7F05726A" w14:textId="77777777" w:rsidR="00854BC6" w:rsidRPr="005055CA" w:rsidRDefault="00854BC6" w:rsidP="002E3165">
      <w:pPr>
        <w:rPr>
          <w:sz w:val="22"/>
          <w:szCs w:val="22"/>
          <w:u w:val="single"/>
        </w:rPr>
      </w:pPr>
      <w:r w:rsidRPr="005055CA">
        <w:rPr>
          <w:sz w:val="22"/>
          <w:szCs w:val="22"/>
          <w:u w:val="single"/>
        </w:rPr>
        <w:lastRenderedPageBreak/>
        <w:t>Farmakodynamické účinky</w:t>
      </w:r>
    </w:p>
    <w:p w14:paraId="0F033C14" w14:textId="77777777" w:rsidR="007476A0" w:rsidRPr="005055CA" w:rsidRDefault="003C4019" w:rsidP="002E3165">
      <w:pPr>
        <w:rPr>
          <w:sz w:val="22"/>
          <w:szCs w:val="22"/>
        </w:rPr>
      </w:pPr>
      <w:r w:rsidRPr="005055CA">
        <w:rPr>
          <w:sz w:val="22"/>
          <w:szCs w:val="22"/>
        </w:rPr>
        <w:t>Olanzapín je antipsychotická, antimanická a náladu stabilizujúca látka, ktorá vykazuje široký profil farmakologických účinkov na viaceré receptorové systémy.</w:t>
      </w:r>
    </w:p>
    <w:p w14:paraId="0A249094" w14:textId="77777777" w:rsidR="007476A0" w:rsidRPr="005055CA" w:rsidRDefault="003C4019" w:rsidP="002E3165">
      <w:pPr>
        <w:rPr>
          <w:sz w:val="22"/>
          <w:szCs w:val="22"/>
        </w:rPr>
      </w:pPr>
      <w:r w:rsidRPr="005055CA">
        <w:rPr>
          <w:sz w:val="22"/>
          <w:szCs w:val="22"/>
        </w:rPr>
        <w:t>V predklinických štúdiách preukázal olanzapín afinitu k radu receptorov (Ki; &lt; 100 nM) - k serotonínovým 5HT</w:t>
      </w:r>
      <w:r w:rsidR="00183F63" w:rsidRPr="005055CA">
        <w:rPr>
          <w:sz w:val="22"/>
          <w:szCs w:val="22"/>
          <w:vertAlign w:val="subscript"/>
        </w:rPr>
        <w:t>2A/2C</w:t>
      </w:r>
      <w:r w:rsidR="00183F63" w:rsidRPr="005055CA">
        <w:rPr>
          <w:sz w:val="22"/>
          <w:szCs w:val="22"/>
        </w:rPr>
        <w:t xml:space="preserve">, </w:t>
      </w:r>
      <w:r w:rsidRPr="005055CA">
        <w:rPr>
          <w:sz w:val="22"/>
          <w:szCs w:val="22"/>
        </w:rPr>
        <w:t>5HT</w:t>
      </w:r>
      <w:r w:rsidR="00335B7D" w:rsidRPr="005055CA">
        <w:rPr>
          <w:sz w:val="22"/>
          <w:szCs w:val="22"/>
          <w:vertAlign w:val="subscript"/>
        </w:rPr>
        <w:t>3,</w:t>
      </w:r>
      <w:r w:rsidRPr="005055CA">
        <w:rPr>
          <w:sz w:val="22"/>
          <w:szCs w:val="22"/>
        </w:rPr>
        <w:t xml:space="preserve"> 5HT</w:t>
      </w:r>
      <w:r w:rsidR="00335B7D" w:rsidRPr="005055CA">
        <w:rPr>
          <w:sz w:val="22"/>
          <w:szCs w:val="22"/>
          <w:vertAlign w:val="subscript"/>
        </w:rPr>
        <w:t xml:space="preserve">6, </w:t>
      </w:r>
      <w:r w:rsidRPr="005055CA">
        <w:rPr>
          <w:sz w:val="22"/>
          <w:szCs w:val="22"/>
        </w:rPr>
        <w:t xml:space="preserve"> dopamínovým D</w:t>
      </w:r>
      <w:r w:rsidR="00335B7D" w:rsidRPr="005055CA">
        <w:rPr>
          <w:sz w:val="22"/>
          <w:szCs w:val="22"/>
          <w:vertAlign w:val="subscript"/>
        </w:rPr>
        <w:t>1</w:t>
      </w:r>
      <w:r w:rsidRPr="005055CA">
        <w:rPr>
          <w:sz w:val="22"/>
          <w:szCs w:val="22"/>
        </w:rPr>
        <w:t>, D</w:t>
      </w:r>
      <w:r w:rsidR="00335B7D" w:rsidRPr="005055CA">
        <w:rPr>
          <w:sz w:val="22"/>
          <w:szCs w:val="22"/>
          <w:vertAlign w:val="subscript"/>
        </w:rPr>
        <w:t>2</w:t>
      </w:r>
      <w:r w:rsidRPr="005055CA">
        <w:rPr>
          <w:sz w:val="22"/>
          <w:szCs w:val="22"/>
        </w:rPr>
        <w:t>, D</w:t>
      </w:r>
      <w:r w:rsidR="00335B7D" w:rsidRPr="005055CA">
        <w:rPr>
          <w:sz w:val="22"/>
          <w:szCs w:val="22"/>
          <w:vertAlign w:val="subscript"/>
        </w:rPr>
        <w:t>3</w:t>
      </w:r>
      <w:r w:rsidRPr="005055CA">
        <w:rPr>
          <w:sz w:val="22"/>
          <w:szCs w:val="22"/>
        </w:rPr>
        <w:t>, D</w:t>
      </w:r>
      <w:r w:rsidR="00335B7D" w:rsidRPr="005055CA">
        <w:rPr>
          <w:sz w:val="22"/>
          <w:szCs w:val="22"/>
          <w:vertAlign w:val="subscript"/>
        </w:rPr>
        <w:t>4</w:t>
      </w:r>
      <w:r w:rsidRPr="005055CA">
        <w:rPr>
          <w:sz w:val="22"/>
          <w:szCs w:val="22"/>
        </w:rPr>
        <w:t>, D; cholinergným muskarínovým M</w:t>
      </w:r>
      <w:r w:rsidRPr="005055CA">
        <w:rPr>
          <w:sz w:val="22"/>
          <w:szCs w:val="22"/>
          <w:vertAlign w:val="subscript"/>
        </w:rPr>
        <w:t>1</w:t>
      </w:r>
      <w:r w:rsidRPr="005055CA">
        <w:rPr>
          <w:sz w:val="22"/>
          <w:szCs w:val="22"/>
        </w:rPr>
        <w:t>-M</w:t>
      </w:r>
      <w:r w:rsidRPr="005055CA">
        <w:rPr>
          <w:sz w:val="22"/>
          <w:szCs w:val="22"/>
          <w:vertAlign w:val="subscript"/>
        </w:rPr>
        <w:t>5</w:t>
      </w:r>
      <w:r w:rsidRPr="005055CA">
        <w:rPr>
          <w:sz w:val="22"/>
          <w:szCs w:val="22"/>
        </w:rPr>
        <w:t>; α</w:t>
      </w:r>
      <w:r w:rsidR="00335B7D" w:rsidRPr="005055CA">
        <w:rPr>
          <w:sz w:val="22"/>
          <w:szCs w:val="22"/>
          <w:vertAlign w:val="subscript"/>
        </w:rPr>
        <w:t>1</w:t>
      </w:r>
      <w:r w:rsidRPr="005055CA">
        <w:rPr>
          <w:sz w:val="22"/>
          <w:szCs w:val="22"/>
        </w:rPr>
        <w:t>-adrenergným; a histamínovým H</w:t>
      </w:r>
      <w:r w:rsidR="00335B7D" w:rsidRPr="005055CA">
        <w:rPr>
          <w:sz w:val="22"/>
          <w:szCs w:val="22"/>
          <w:vertAlign w:val="subscript"/>
        </w:rPr>
        <w:t xml:space="preserve">1 </w:t>
      </w:r>
      <w:r w:rsidRPr="005055CA">
        <w:rPr>
          <w:sz w:val="22"/>
          <w:szCs w:val="22"/>
        </w:rPr>
        <w:t xml:space="preserve">receptorom. Behaviorálne štúdie na zvieratách preukázali antagonistické pôsobenie olanzapínu na 5HT, dopamínové a cholínergné receptory, čo je v súlade s väzbovým profilom látky. Olanzapín vykazoval </w:t>
      </w:r>
      <w:r w:rsidRPr="005055CA">
        <w:rPr>
          <w:i/>
          <w:sz w:val="22"/>
          <w:szCs w:val="22"/>
        </w:rPr>
        <w:t xml:space="preserve">in vitro </w:t>
      </w:r>
      <w:r w:rsidRPr="005055CA">
        <w:rPr>
          <w:sz w:val="22"/>
          <w:szCs w:val="22"/>
        </w:rPr>
        <w:t>väčšiu afinitu k serotonínovým 5HT</w:t>
      </w:r>
      <w:r w:rsidR="000F145B" w:rsidRPr="005055CA">
        <w:rPr>
          <w:sz w:val="22"/>
          <w:szCs w:val="22"/>
          <w:vertAlign w:val="subscript"/>
        </w:rPr>
        <w:t>2</w:t>
      </w:r>
      <w:r w:rsidRPr="005055CA">
        <w:rPr>
          <w:sz w:val="22"/>
          <w:szCs w:val="22"/>
        </w:rPr>
        <w:t xml:space="preserve"> receptorom než k dopamínovým D</w:t>
      </w:r>
      <w:r w:rsidR="000F145B" w:rsidRPr="005055CA">
        <w:rPr>
          <w:sz w:val="22"/>
          <w:szCs w:val="22"/>
          <w:vertAlign w:val="subscript"/>
        </w:rPr>
        <w:t xml:space="preserve">2 </w:t>
      </w:r>
      <w:r w:rsidRPr="005055CA">
        <w:rPr>
          <w:sz w:val="22"/>
          <w:szCs w:val="22"/>
        </w:rPr>
        <w:t>a vyššiu 5HT</w:t>
      </w:r>
      <w:r w:rsidR="00965323" w:rsidRPr="005055CA">
        <w:rPr>
          <w:sz w:val="22"/>
          <w:szCs w:val="22"/>
          <w:vertAlign w:val="subscript"/>
        </w:rPr>
        <w:t>2</w:t>
      </w:r>
      <w:r w:rsidRPr="005055CA">
        <w:rPr>
          <w:sz w:val="22"/>
          <w:szCs w:val="22"/>
        </w:rPr>
        <w:t xml:space="preserve"> ako D</w:t>
      </w:r>
      <w:r w:rsidR="00965323" w:rsidRPr="005055CA">
        <w:rPr>
          <w:sz w:val="22"/>
          <w:szCs w:val="22"/>
          <w:vertAlign w:val="subscript"/>
        </w:rPr>
        <w:t>2</w:t>
      </w:r>
      <w:r w:rsidRPr="005055CA">
        <w:rPr>
          <w:sz w:val="22"/>
          <w:szCs w:val="22"/>
        </w:rPr>
        <w:t xml:space="preserve"> aktivitu na </w:t>
      </w:r>
      <w:r w:rsidRPr="005055CA">
        <w:rPr>
          <w:i/>
          <w:sz w:val="22"/>
          <w:szCs w:val="22"/>
        </w:rPr>
        <w:t>in vivo</w:t>
      </w:r>
      <w:r w:rsidRPr="005055CA">
        <w:rPr>
          <w:sz w:val="22"/>
          <w:szCs w:val="22"/>
        </w:rPr>
        <w:t xml:space="preserve"> modeloch. Elektrofyziologické štúdie ukázali, že olanzapín selektívne znižuje aktivitu mezolimbických (A10) dopaminergných neurónov bez výraznejšej interakcie so striatálnymi (A9) dráhami ovládajúcimi motoriku. Olanzapín znižoval podmienenú reakciu úniku, čo je test na zistenie antipsychotického účinku, v dávkach, ktoré ešte nevyvolávajú katalepsiu, účinok naznačujúci motorické </w:t>
      </w:r>
      <w:r w:rsidR="00921A6B" w:rsidRPr="005055CA">
        <w:rPr>
          <w:sz w:val="22"/>
          <w:szCs w:val="22"/>
        </w:rPr>
        <w:t xml:space="preserve">nežiaduce </w:t>
      </w:r>
      <w:r w:rsidRPr="005055CA">
        <w:rPr>
          <w:sz w:val="22"/>
          <w:szCs w:val="22"/>
        </w:rPr>
        <w:t>účinky. Na rozdiel od niektorých iných antipsychotík, olanzapín zvyšuje reaktivitu v „anxiolytickom“ teste.</w:t>
      </w:r>
    </w:p>
    <w:p w14:paraId="37CB31EB" w14:textId="77777777" w:rsidR="00854BC6" w:rsidRDefault="003C4019" w:rsidP="002E3165">
      <w:pPr>
        <w:rPr>
          <w:sz w:val="22"/>
          <w:szCs w:val="22"/>
        </w:rPr>
      </w:pPr>
      <w:r w:rsidRPr="005055CA">
        <w:rPr>
          <w:sz w:val="22"/>
          <w:szCs w:val="22"/>
        </w:rPr>
        <w:t>V štúdii s jednorazovou perorálnou dávkou (10 mg) a sledovaním pomocou pozitrónovej emisnej tomografie (PET) u zdravých dobrovoľníkov obsadzoval olanzapín viac 5HT</w:t>
      </w:r>
      <w:r w:rsidR="00ED70B7" w:rsidRPr="005055CA">
        <w:rPr>
          <w:sz w:val="22"/>
          <w:szCs w:val="22"/>
          <w:vertAlign w:val="subscript"/>
        </w:rPr>
        <w:t>2A</w:t>
      </w:r>
      <w:r w:rsidRPr="005055CA">
        <w:rPr>
          <w:sz w:val="22"/>
          <w:szCs w:val="22"/>
        </w:rPr>
        <w:t xml:space="preserve"> receptory ako dopamínové D</w:t>
      </w:r>
      <w:r w:rsidR="005005B1" w:rsidRPr="005055CA">
        <w:rPr>
          <w:sz w:val="22"/>
          <w:szCs w:val="22"/>
          <w:vertAlign w:val="subscript"/>
        </w:rPr>
        <w:t>2</w:t>
      </w:r>
      <w:r w:rsidRPr="005055CA">
        <w:rPr>
          <w:sz w:val="22"/>
          <w:szCs w:val="22"/>
        </w:rPr>
        <w:t xml:space="preserve"> receptory. Navyše, </w:t>
      </w:r>
      <w:r w:rsidR="00603806" w:rsidRPr="005055CA">
        <w:rPr>
          <w:sz w:val="22"/>
          <w:szCs w:val="22"/>
        </w:rPr>
        <w:t xml:space="preserve">štúdia využívajúca zobrazovanie pomocou jednofotónovej emisnej počítačovej tomografie (SPECT) </w:t>
      </w:r>
      <w:r w:rsidRPr="005055CA">
        <w:rPr>
          <w:sz w:val="22"/>
          <w:szCs w:val="22"/>
        </w:rPr>
        <w:t>bola miera obsadzovania D</w:t>
      </w:r>
      <w:r w:rsidR="00435912" w:rsidRPr="005055CA">
        <w:rPr>
          <w:sz w:val="22"/>
          <w:szCs w:val="22"/>
          <w:vertAlign w:val="subscript"/>
        </w:rPr>
        <w:t>2</w:t>
      </w:r>
      <w:r w:rsidRPr="005055CA">
        <w:rPr>
          <w:sz w:val="22"/>
          <w:szCs w:val="22"/>
        </w:rPr>
        <w:t xml:space="preserve"> receptorov u schizofrenických pacientov odpovedajúcich na olanzapín nižšia ako u pacientov odpovedajúcich na iné antipsychotiká a risperidón, zatiaľ čo u pacientov odpovedajúcich</w:t>
      </w:r>
      <w:r w:rsidR="00C04600" w:rsidRPr="005055CA">
        <w:rPr>
          <w:sz w:val="22"/>
          <w:szCs w:val="22"/>
        </w:rPr>
        <w:t xml:space="preserve"> na klozapín bola porovnateľná.</w:t>
      </w:r>
      <w:r w:rsidR="00C24392" w:rsidRPr="005055CA">
        <w:rPr>
          <w:sz w:val="22"/>
          <w:szCs w:val="22"/>
        </w:rPr>
        <w:t xml:space="preserve"> </w:t>
      </w:r>
    </w:p>
    <w:p w14:paraId="0946C809" w14:textId="77777777" w:rsidR="00031CE4" w:rsidRPr="005055CA" w:rsidRDefault="00031CE4" w:rsidP="002E3165">
      <w:pPr>
        <w:rPr>
          <w:sz w:val="22"/>
          <w:szCs w:val="22"/>
        </w:rPr>
      </w:pPr>
    </w:p>
    <w:p w14:paraId="7B74B591" w14:textId="77777777" w:rsidR="00854BC6" w:rsidRPr="005055CA" w:rsidRDefault="00854BC6" w:rsidP="002E3165">
      <w:pPr>
        <w:rPr>
          <w:sz w:val="22"/>
          <w:szCs w:val="22"/>
          <w:u w:val="single"/>
        </w:rPr>
      </w:pPr>
      <w:r w:rsidRPr="005055CA">
        <w:rPr>
          <w:sz w:val="22"/>
          <w:szCs w:val="22"/>
          <w:u w:val="single"/>
        </w:rPr>
        <w:t>Klinická účinnosť</w:t>
      </w:r>
    </w:p>
    <w:p w14:paraId="476673A3" w14:textId="77777777" w:rsidR="007476A0" w:rsidRPr="005055CA" w:rsidRDefault="003C4019" w:rsidP="002E3165">
      <w:pPr>
        <w:rPr>
          <w:sz w:val="22"/>
          <w:szCs w:val="22"/>
        </w:rPr>
      </w:pPr>
      <w:r w:rsidRPr="005055CA">
        <w:rPr>
          <w:sz w:val="22"/>
          <w:szCs w:val="22"/>
        </w:rPr>
        <w:t xml:space="preserve">V dvoch z dvoch placebo kontrolovaných a dvoch z troch porovnávacích kontrolovaných štúdií s viac ako 2 900 schizofrenickými </w:t>
      </w:r>
      <w:r w:rsidR="00C50E4E" w:rsidRPr="005055CA">
        <w:rPr>
          <w:sz w:val="22"/>
          <w:szCs w:val="22"/>
        </w:rPr>
        <w:t>pacientmi</w:t>
      </w:r>
      <w:r w:rsidRPr="005055CA">
        <w:rPr>
          <w:sz w:val="22"/>
          <w:szCs w:val="22"/>
        </w:rPr>
        <w:t xml:space="preserve"> s pozitívnymi i negatívnymi symptómami vykazoval olanzapín štatisticky významne väčšie zlepšenie ako u negatívnych, tak aj u pozitívnych symptómov.</w:t>
      </w:r>
    </w:p>
    <w:p w14:paraId="406F06B6" w14:textId="77777777" w:rsidR="007476A0" w:rsidRPr="005055CA" w:rsidRDefault="003C4019" w:rsidP="002E3165">
      <w:pPr>
        <w:rPr>
          <w:sz w:val="22"/>
          <w:szCs w:val="22"/>
        </w:rPr>
      </w:pPr>
      <w:r w:rsidRPr="005055CA">
        <w:rPr>
          <w:sz w:val="22"/>
          <w:szCs w:val="22"/>
        </w:rPr>
        <w:t xml:space="preserve">V medzinárodnej, dvojito zaslepenej, porovnávacej štúdii zahŕňajúcej 1 481 pacientov so schizofréniou, schizoafektívnymi a príbuznými poruchami a s rôznymi stupňami pridružených depresívnych symptómov (priemerné východiskové skóre 16,6 škály </w:t>
      </w:r>
      <w:r w:rsidR="0041020A" w:rsidRPr="005055CA">
        <w:rPr>
          <w:sz w:val="22"/>
          <w:szCs w:val="22"/>
        </w:rPr>
        <w:t>na Montgomery-Asbergovej škále hodnotiacej depresiu</w:t>
      </w:r>
      <w:r w:rsidRPr="005055CA">
        <w:rPr>
          <w:sz w:val="22"/>
          <w:szCs w:val="22"/>
        </w:rPr>
        <w:t>) preukázala prospektívna sekundárna analýza zmenu skóre od východiskovej po konečnú hodnotu štatisticky významné zlepšenie (p=0,001) v prospech olanzapínu (-6,0) oproti haloperidolu (-3,1).</w:t>
      </w:r>
    </w:p>
    <w:p w14:paraId="7E614D6E" w14:textId="77777777" w:rsidR="007476A0" w:rsidRDefault="003C4019" w:rsidP="002E3165">
      <w:pPr>
        <w:rPr>
          <w:sz w:val="22"/>
          <w:szCs w:val="22"/>
        </w:rPr>
      </w:pPr>
      <w:r w:rsidRPr="005055CA">
        <w:rPr>
          <w:sz w:val="22"/>
          <w:szCs w:val="22"/>
        </w:rPr>
        <w:t xml:space="preserve">U pacientov s manickou alebo zmiešanou epizódou bipolárnej poruchy preukázal olanzapín v znížení manických symptómov za 3 týždne vyššiu účinnosť ako placebo a valproát semisodium (divalproex). Olanzapín taktiež preukázal porovnateľnú účinnosť s haloperidolom v zmysle podielu pacientov v symptomatickej remisii mánie a depresie po </w:t>
      </w:r>
      <w:smartTag w:uri="urn:schemas-microsoft-com:office:smarttags" w:element="metricconverter">
        <w:smartTagPr>
          <w:attr w:name="ProductID" w:val="6 a"/>
        </w:smartTagPr>
        <w:r w:rsidRPr="005055CA">
          <w:rPr>
            <w:sz w:val="22"/>
            <w:szCs w:val="22"/>
          </w:rPr>
          <w:t>6 a</w:t>
        </w:r>
      </w:smartTag>
      <w:r w:rsidRPr="005055CA">
        <w:rPr>
          <w:sz w:val="22"/>
          <w:szCs w:val="22"/>
        </w:rPr>
        <w:t xml:space="preserve"> 12 týždňoch. V štúdii kombinovanej terapie u pacientov liečených lítiom alebo valproátom po dobu minimálne 2 týždne viedlo pridanie olanzapínu v dávke 10 mg (v kombinácii s lítiom alebo valproátom) ku väčšej redukcii symptómov mánie ako tomu bolo pri liečbe lítiom alebo valproátom v rámci monoterapie za 6 týždňov.</w:t>
      </w:r>
    </w:p>
    <w:p w14:paraId="75E46294" w14:textId="77777777" w:rsidR="00031CE4" w:rsidRPr="005055CA" w:rsidRDefault="00031CE4" w:rsidP="002E3165">
      <w:pPr>
        <w:rPr>
          <w:sz w:val="22"/>
          <w:szCs w:val="22"/>
        </w:rPr>
      </w:pPr>
    </w:p>
    <w:p w14:paraId="55A6BE14" w14:textId="77777777" w:rsidR="007476A0" w:rsidRPr="005055CA" w:rsidRDefault="003C4019" w:rsidP="002E3165">
      <w:pPr>
        <w:rPr>
          <w:sz w:val="22"/>
          <w:szCs w:val="22"/>
        </w:rPr>
      </w:pPr>
      <w:r w:rsidRPr="005055CA">
        <w:rPr>
          <w:sz w:val="22"/>
          <w:szCs w:val="22"/>
        </w:rPr>
        <w:t>V 12-mesačnej štúdii prevencie rekurencie u pacientov s manickou epizódou, ktorí dosiahli remisiu pri liečbe olanzapínom a boli potom randomizovaní na užívanie olanzapínu alebo placeba, preukázal olanzapín voči placebu v primárnom koncovom bode rekurencie bipolárnej poruchy štatisticky významnú nadradenosť. Olanzapín taktiež vykázal v porovnaní s placebom štatisticky významnú výhodu buď z hľadiska prevencie rekurencie mánie alebo prevencie rekurencie depresie.</w:t>
      </w:r>
    </w:p>
    <w:p w14:paraId="78D6D7E9" w14:textId="77777777" w:rsidR="007476A0" w:rsidRDefault="003C4019" w:rsidP="002E3165">
      <w:pPr>
        <w:rPr>
          <w:sz w:val="22"/>
          <w:szCs w:val="22"/>
        </w:rPr>
      </w:pPr>
      <w:r w:rsidRPr="005055CA">
        <w:rPr>
          <w:sz w:val="22"/>
          <w:szCs w:val="22"/>
        </w:rPr>
        <w:t>V druhej 12-mesačnej štúdii prevencie rekurencie u pacientov s manickou epizódou, ktorí dosiahli remisiu pri liečbe kombináciou olanzapínu a lítia a boli potom randomizovaní na užívanie samotného olanzapínu alebo lítia, nebol olanzapín v primárnom koncovom bode rekurencie bipolárnej poruchy štatisticky podradený voči lítiu (olanzapín 30,0%, lítium 38,3%; p = 0,055).</w:t>
      </w:r>
    </w:p>
    <w:p w14:paraId="6525ECE5" w14:textId="77777777" w:rsidR="00031CE4" w:rsidRPr="005055CA" w:rsidRDefault="00031CE4" w:rsidP="002E3165">
      <w:pPr>
        <w:rPr>
          <w:sz w:val="22"/>
          <w:szCs w:val="22"/>
        </w:rPr>
      </w:pPr>
    </w:p>
    <w:p w14:paraId="7AFDF2B7" w14:textId="77777777" w:rsidR="007476A0" w:rsidRDefault="003C4019" w:rsidP="002E3165">
      <w:pPr>
        <w:rPr>
          <w:sz w:val="22"/>
          <w:szCs w:val="22"/>
        </w:rPr>
      </w:pPr>
      <w:r w:rsidRPr="005055CA">
        <w:rPr>
          <w:sz w:val="22"/>
          <w:szCs w:val="22"/>
        </w:rPr>
        <w:t xml:space="preserve">V 18-mesačnej štúdii s kombinovanou terapiou u pacientov s manickou alebo zmiešanou epizódou, ktorí boli stabilizovaní pri liečbe olanzapínom spolu so stabilizátorom nálady (lítium alebo valproát), nebola dlhodobá kombinovaná terapia olanzapínom spolu s lítiom alebo valproátom štatisticky významne </w:t>
      </w:r>
      <w:r w:rsidRPr="005055CA">
        <w:rPr>
          <w:sz w:val="22"/>
          <w:szCs w:val="22"/>
        </w:rPr>
        <w:lastRenderedPageBreak/>
        <w:t>superiorná voči liečbe samotným lítiom alebo valproátom v predĺžení doby do rekurencie bipolárnej poruchy definovanej podľa syndrómových (diagnostických) kritérií.</w:t>
      </w:r>
    </w:p>
    <w:p w14:paraId="7B555B66" w14:textId="77777777" w:rsidR="00031CE4" w:rsidRPr="005055CA" w:rsidRDefault="00031CE4" w:rsidP="002E3165">
      <w:pPr>
        <w:rPr>
          <w:sz w:val="22"/>
          <w:szCs w:val="22"/>
        </w:rPr>
      </w:pPr>
    </w:p>
    <w:p w14:paraId="14A06140" w14:textId="77777777" w:rsidR="007476A0" w:rsidRPr="00031CE4" w:rsidRDefault="003C4019" w:rsidP="002E3165">
      <w:pPr>
        <w:rPr>
          <w:b/>
          <w:i/>
          <w:sz w:val="22"/>
          <w:szCs w:val="22"/>
        </w:rPr>
      </w:pPr>
      <w:r w:rsidRPr="00031CE4">
        <w:rPr>
          <w:b/>
          <w:i/>
          <w:sz w:val="22"/>
          <w:szCs w:val="22"/>
        </w:rPr>
        <w:t>Pediatrická populácia</w:t>
      </w:r>
    </w:p>
    <w:p w14:paraId="67BF9E34" w14:textId="77777777" w:rsidR="00854BC6" w:rsidRPr="005055CA" w:rsidRDefault="00854BC6" w:rsidP="002E3165">
      <w:pPr>
        <w:rPr>
          <w:sz w:val="22"/>
          <w:szCs w:val="22"/>
        </w:rPr>
      </w:pPr>
      <w:r w:rsidRPr="005055CA">
        <w:rPr>
          <w:sz w:val="22"/>
          <w:szCs w:val="22"/>
        </w:rPr>
        <w:t>Kontrolované údaje o účinnosti s dospievajúcimi</w:t>
      </w:r>
      <w:r w:rsidRPr="005055CA" w:rsidDel="00854BC6">
        <w:rPr>
          <w:sz w:val="22"/>
          <w:szCs w:val="22"/>
        </w:rPr>
        <w:t xml:space="preserve"> </w:t>
      </w:r>
      <w:r w:rsidR="003C4019" w:rsidRPr="005055CA">
        <w:rPr>
          <w:sz w:val="22"/>
          <w:szCs w:val="22"/>
        </w:rPr>
        <w:t xml:space="preserve">(vo veku 13 až 17 rokov) sú obmedzené na </w:t>
      </w:r>
      <w:r w:rsidRPr="005055CA">
        <w:rPr>
          <w:sz w:val="22"/>
          <w:szCs w:val="22"/>
        </w:rPr>
        <w:t xml:space="preserve">štúdie </w:t>
      </w:r>
      <w:r w:rsidR="003C4019" w:rsidRPr="005055CA">
        <w:rPr>
          <w:sz w:val="22"/>
          <w:szCs w:val="22"/>
        </w:rPr>
        <w:t xml:space="preserve">o krátkodobej účinnosti v prípade schizofrénie (6 týždňov) a mánie v súvislosti s bipolárnou poruchou I (3 týždne), ktoré zahŕňali menej ako 200 </w:t>
      </w:r>
      <w:r w:rsidR="0041020A" w:rsidRPr="005055CA">
        <w:rPr>
          <w:sz w:val="22"/>
          <w:szCs w:val="22"/>
        </w:rPr>
        <w:t>dospievajúcich</w:t>
      </w:r>
      <w:r w:rsidR="003C4019" w:rsidRPr="005055CA">
        <w:rPr>
          <w:sz w:val="22"/>
          <w:szCs w:val="22"/>
        </w:rPr>
        <w:t xml:space="preserve">. Olanzapín sa podával vo flexibilnej dávke od 2,5 mg až do 20 mg denne. Počas liečby olanzapínom sa zvýšila hmotnosť u </w:t>
      </w:r>
      <w:r w:rsidR="0041020A" w:rsidRPr="005055CA">
        <w:rPr>
          <w:sz w:val="22"/>
          <w:szCs w:val="22"/>
        </w:rPr>
        <w:t xml:space="preserve">dospievajúcich </w:t>
      </w:r>
      <w:r w:rsidR="003C4019" w:rsidRPr="005055CA">
        <w:rPr>
          <w:sz w:val="22"/>
          <w:szCs w:val="22"/>
        </w:rPr>
        <w:t xml:space="preserve">podstatne viac ako u dospelých. Rozsah zmien celkového cholesterolu, LDL cholesterolu, triglyceridov a prolaktínu nalačno (pozri časť </w:t>
      </w:r>
      <w:smartTag w:uri="urn:schemas-microsoft-com:office:smarttags" w:element="metricconverter">
        <w:smartTagPr>
          <w:attr w:name="ProductID" w:val="4.4 a"/>
        </w:smartTagPr>
        <w:r w:rsidR="003C4019" w:rsidRPr="005055CA">
          <w:rPr>
            <w:sz w:val="22"/>
            <w:szCs w:val="22"/>
          </w:rPr>
          <w:t>4.4 a</w:t>
        </w:r>
      </w:smartTag>
      <w:r w:rsidR="003C4019" w:rsidRPr="005055CA">
        <w:rPr>
          <w:sz w:val="22"/>
          <w:szCs w:val="22"/>
        </w:rPr>
        <w:t xml:space="preserve"> 4.8) bol väčší u </w:t>
      </w:r>
      <w:r w:rsidR="0041020A" w:rsidRPr="005055CA">
        <w:rPr>
          <w:sz w:val="22"/>
          <w:szCs w:val="22"/>
        </w:rPr>
        <w:t xml:space="preserve">dospievajúcich </w:t>
      </w:r>
      <w:r w:rsidR="003C4019" w:rsidRPr="005055CA">
        <w:rPr>
          <w:sz w:val="22"/>
          <w:szCs w:val="22"/>
        </w:rPr>
        <w:t xml:space="preserve">ako u dospelých. Nie sú k dispozícii </w:t>
      </w:r>
      <w:r w:rsidRPr="005055CA">
        <w:rPr>
          <w:sz w:val="22"/>
          <w:szCs w:val="22"/>
        </w:rPr>
        <w:t xml:space="preserve">kontrolované </w:t>
      </w:r>
      <w:r w:rsidR="003C4019" w:rsidRPr="005055CA">
        <w:rPr>
          <w:sz w:val="22"/>
          <w:szCs w:val="22"/>
        </w:rPr>
        <w:t>údaje o pretrvávaní účinku a</w:t>
      </w:r>
      <w:r w:rsidRPr="005055CA">
        <w:rPr>
          <w:sz w:val="22"/>
          <w:szCs w:val="22"/>
        </w:rPr>
        <w:t>lebo</w:t>
      </w:r>
      <w:r w:rsidR="003C4019" w:rsidRPr="005055CA">
        <w:rPr>
          <w:sz w:val="22"/>
          <w:szCs w:val="22"/>
        </w:rPr>
        <w:t xml:space="preserve"> údaje o dlhodobej bezpečnosti sú obmedzené (pozri časti </w:t>
      </w:r>
      <w:smartTag w:uri="urn:schemas-microsoft-com:office:smarttags" w:element="metricconverter">
        <w:smartTagPr>
          <w:attr w:name="ProductID" w:val="4.4 a"/>
        </w:smartTagPr>
        <w:r w:rsidR="003C4019" w:rsidRPr="005055CA">
          <w:rPr>
            <w:sz w:val="22"/>
            <w:szCs w:val="22"/>
          </w:rPr>
          <w:t>4.4 a</w:t>
        </w:r>
      </w:smartTag>
      <w:r w:rsidR="003C4019" w:rsidRPr="005055CA">
        <w:rPr>
          <w:sz w:val="22"/>
          <w:szCs w:val="22"/>
        </w:rPr>
        <w:t xml:space="preserve"> 4.8).</w:t>
      </w:r>
      <w:r w:rsidRPr="005055CA">
        <w:rPr>
          <w:sz w:val="22"/>
          <w:szCs w:val="22"/>
        </w:rPr>
        <w:t xml:space="preserve"> Informácie o dlhodobej bezpečnosti sú primárne obmedzené na</w:t>
      </w:r>
      <w:r w:rsidR="00FB3F0E" w:rsidRPr="005055CA">
        <w:rPr>
          <w:sz w:val="22"/>
          <w:szCs w:val="22"/>
        </w:rPr>
        <w:t xml:space="preserve"> </w:t>
      </w:r>
      <w:r w:rsidRPr="005055CA">
        <w:rPr>
          <w:sz w:val="22"/>
          <w:szCs w:val="22"/>
        </w:rPr>
        <w:t>otvorené nekontrolované dáta.</w:t>
      </w:r>
    </w:p>
    <w:p w14:paraId="3D251572" w14:textId="77777777" w:rsidR="007476A0" w:rsidRPr="005055CA" w:rsidRDefault="007476A0" w:rsidP="002E3165">
      <w:pPr>
        <w:rPr>
          <w:sz w:val="22"/>
          <w:szCs w:val="22"/>
        </w:rPr>
      </w:pPr>
    </w:p>
    <w:p w14:paraId="52B4871C" w14:textId="77777777" w:rsidR="007476A0" w:rsidRPr="0014256C" w:rsidRDefault="00942A0B" w:rsidP="002E3165">
      <w:pPr>
        <w:rPr>
          <w:b/>
          <w:sz w:val="22"/>
          <w:szCs w:val="22"/>
        </w:rPr>
      </w:pPr>
      <w:r w:rsidRPr="0014256C">
        <w:rPr>
          <w:b/>
          <w:sz w:val="22"/>
          <w:szCs w:val="22"/>
        </w:rPr>
        <w:t>5.2</w:t>
      </w:r>
      <w:r w:rsidRPr="0014256C">
        <w:rPr>
          <w:b/>
          <w:sz w:val="22"/>
          <w:szCs w:val="22"/>
        </w:rPr>
        <w:tab/>
      </w:r>
      <w:r w:rsidR="003C4019" w:rsidRPr="0014256C">
        <w:rPr>
          <w:b/>
          <w:sz w:val="22"/>
          <w:szCs w:val="22"/>
        </w:rPr>
        <w:t>Farmakokinetické vlastnosti</w:t>
      </w:r>
    </w:p>
    <w:p w14:paraId="72B02F0F" w14:textId="77777777" w:rsidR="00CE4BE9" w:rsidRPr="005055CA" w:rsidRDefault="00CE4BE9" w:rsidP="002E3165">
      <w:pPr>
        <w:rPr>
          <w:sz w:val="22"/>
          <w:szCs w:val="22"/>
        </w:rPr>
      </w:pPr>
    </w:p>
    <w:p w14:paraId="6C0A563F" w14:textId="77777777" w:rsidR="00942A0B" w:rsidRPr="005055CA" w:rsidRDefault="00942A0B" w:rsidP="002E3165">
      <w:pPr>
        <w:rPr>
          <w:sz w:val="22"/>
          <w:szCs w:val="22"/>
          <w:u w:val="single"/>
        </w:rPr>
      </w:pPr>
      <w:r w:rsidRPr="005055CA">
        <w:rPr>
          <w:sz w:val="22"/>
          <w:szCs w:val="22"/>
          <w:u w:val="single"/>
        </w:rPr>
        <w:t>Absorpcia</w:t>
      </w:r>
    </w:p>
    <w:p w14:paraId="639B9C35" w14:textId="77777777" w:rsidR="007476A0" w:rsidRPr="005055CA" w:rsidRDefault="003C4019" w:rsidP="002E3165">
      <w:pPr>
        <w:rPr>
          <w:sz w:val="22"/>
          <w:szCs w:val="22"/>
        </w:rPr>
      </w:pPr>
      <w:r w:rsidRPr="005055CA">
        <w:rPr>
          <w:sz w:val="22"/>
          <w:szCs w:val="22"/>
        </w:rPr>
        <w:t>Olanzapín sa po perorálnom podaní dobre vstrebáva a dosahuje maximálne plazmatické koncentrácie za 5 až 8 hodín. Vstrebávanie nie je ovplyvnené jedlom. Absolútna perorálna biologická dostupnosť vo vzťahu k intravenóznemu podaniu nebola stanovená.</w:t>
      </w:r>
    </w:p>
    <w:p w14:paraId="63C477B1" w14:textId="77777777" w:rsidR="00CE4BE9" w:rsidRPr="005055CA" w:rsidRDefault="00CE4BE9" w:rsidP="002E3165">
      <w:pPr>
        <w:rPr>
          <w:sz w:val="22"/>
          <w:szCs w:val="22"/>
        </w:rPr>
      </w:pPr>
    </w:p>
    <w:p w14:paraId="0330A45C" w14:textId="77777777" w:rsidR="00942A0B" w:rsidRPr="005055CA" w:rsidRDefault="00942A0B" w:rsidP="002E3165">
      <w:pPr>
        <w:rPr>
          <w:sz w:val="22"/>
          <w:szCs w:val="22"/>
          <w:u w:val="single"/>
        </w:rPr>
      </w:pPr>
      <w:r w:rsidRPr="005055CA">
        <w:rPr>
          <w:sz w:val="22"/>
          <w:szCs w:val="22"/>
          <w:u w:val="single"/>
        </w:rPr>
        <w:t>Distribúcia</w:t>
      </w:r>
    </w:p>
    <w:p w14:paraId="7C1E15D7" w14:textId="77777777" w:rsidR="00942A0B" w:rsidRPr="005055CA" w:rsidRDefault="00942A0B" w:rsidP="002E3165">
      <w:pPr>
        <w:rPr>
          <w:sz w:val="22"/>
          <w:szCs w:val="22"/>
        </w:rPr>
      </w:pPr>
      <w:r w:rsidRPr="005055CA">
        <w:rPr>
          <w:sz w:val="22"/>
          <w:szCs w:val="22"/>
        </w:rPr>
        <w:t>Pri plazmatickej koncentrácii 7 až približne 1 000 ng/ml sa olanzapín viaže približne z 93 % na</w:t>
      </w:r>
    </w:p>
    <w:p w14:paraId="2938D0B2" w14:textId="77777777" w:rsidR="00942A0B" w:rsidRPr="005055CA" w:rsidRDefault="00942A0B" w:rsidP="002E3165">
      <w:pPr>
        <w:rPr>
          <w:sz w:val="22"/>
          <w:szCs w:val="22"/>
        </w:rPr>
      </w:pPr>
      <w:r w:rsidRPr="005055CA">
        <w:rPr>
          <w:sz w:val="22"/>
          <w:szCs w:val="22"/>
        </w:rPr>
        <w:t>plazmatické bielkoviny, predovšetkým na albumín a α</w:t>
      </w:r>
      <w:r w:rsidR="002F3121" w:rsidRPr="005055CA">
        <w:rPr>
          <w:sz w:val="22"/>
          <w:szCs w:val="22"/>
          <w:vertAlign w:val="subscript"/>
        </w:rPr>
        <w:t>1</w:t>
      </w:r>
      <w:r w:rsidRPr="005055CA">
        <w:rPr>
          <w:sz w:val="22"/>
          <w:szCs w:val="22"/>
        </w:rPr>
        <w:t>-kyslý-glykoproteín.</w:t>
      </w:r>
    </w:p>
    <w:p w14:paraId="03AB0353" w14:textId="77777777" w:rsidR="00942A0B" w:rsidRPr="005055CA" w:rsidRDefault="00942A0B" w:rsidP="002E3165">
      <w:pPr>
        <w:rPr>
          <w:sz w:val="22"/>
          <w:szCs w:val="22"/>
        </w:rPr>
      </w:pPr>
    </w:p>
    <w:p w14:paraId="52AB45A4" w14:textId="77777777" w:rsidR="00942A0B" w:rsidRPr="005055CA" w:rsidRDefault="00942A0B" w:rsidP="002E3165">
      <w:pPr>
        <w:rPr>
          <w:sz w:val="22"/>
          <w:szCs w:val="22"/>
          <w:u w:val="single"/>
        </w:rPr>
      </w:pPr>
      <w:r w:rsidRPr="005055CA">
        <w:rPr>
          <w:sz w:val="22"/>
          <w:szCs w:val="22"/>
          <w:u w:val="single"/>
        </w:rPr>
        <w:t>Biotransformácia</w:t>
      </w:r>
    </w:p>
    <w:p w14:paraId="0F9B9127" w14:textId="77777777" w:rsidR="00942A0B" w:rsidRPr="005055CA" w:rsidRDefault="003C4019" w:rsidP="002E3165">
      <w:pPr>
        <w:rPr>
          <w:sz w:val="22"/>
          <w:szCs w:val="22"/>
        </w:rPr>
      </w:pPr>
      <w:r w:rsidRPr="005055CA">
        <w:rPr>
          <w:sz w:val="22"/>
          <w:szCs w:val="22"/>
        </w:rPr>
        <w:t xml:space="preserve">Olanzapín sa metabolizuje v pečeni konjugáciou a oxidáciou. Hlavným metabolitom v obehu je 10-N-glukuronid, ktorý neprestupuje hematoencefalickou bariérou. Cytochrómy P450-CYP1A2 a P450-CYP2D6 prispievajú k tvorbe metabolitov N-desmetylu a 2-hydroxymetylu, vykazujúcich in vivo významne nižšiu farmakologickú aktivitu ako olanzapín v štúdiách na zvieratách. Prevažná časť </w:t>
      </w:r>
      <w:r w:rsidR="00BC0EF5" w:rsidRPr="005055CA">
        <w:rPr>
          <w:sz w:val="22"/>
          <w:szCs w:val="22"/>
        </w:rPr>
        <w:t>farmakologickej</w:t>
      </w:r>
      <w:r w:rsidRPr="005055CA">
        <w:rPr>
          <w:sz w:val="22"/>
          <w:szCs w:val="22"/>
        </w:rPr>
        <w:t xml:space="preserve"> aktivity je spôsobená pôvodným olanzapínom. </w:t>
      </w:r>
    </w:p>
    <w:p w14:paraId="5E1C4036" w14:textId="77777777" w:rsidR="00CE4BE9" w:rsidRPr="005055CA" w:rsidRDefault="00CE4BE9" w:rsidP="002E3165">
      <w:pPr>
        <w:rPr>
          <w:sz w:val="22"/>
          <w:szCs w:val="22"/>
        </w:rPr>
      </w:pPr>
    </w:p>
    <w:p w14:paraId="7CD8368C" w14:textId="77777777" w:rsidR="00942A0B" w:rsidRPr="005055CA" w:rsidRDefault="00942A0B" w:rsidP="002E3165">
      <w:pPr>
        <w:rPr>
          <w:sz w:val="22"/>
          <w:szCs w:val="22"/>
          <w:u w:val="single"/>
        </w:rPr>
      </w:pPr>
      <w:r w:rsidRPr="005055CA">
        <w:rPr>
          <w:sz w:val="22"/>
          <w:szCs w:val="22"/>
          <w:u w:val="single"/>
        </w:rPr>
        <w:t>Eliminácia</w:t>
      </w:r>
    </w:p>
    <w:p w14:paraId="0DB19E63" w14:textId="77777777" w:rsidR="007476A0" w:rsidRPr="005055CA" w:rsidRDefault="003C4019" w:rsidP="002E3165">
      <w:pPr>
        <w:rPr>
          <w:sz w:val="22"/>
          <w:szCs w:val="22"/>
        </w:rPr>
      </w:pPr>
      <w:r w:rsidRPr="005055CA">
        <w:rPr>
          <w:sz w:val="22"/>
          <w:szCs w:val="22"/>
        </w:rPr>
        <w:t>Po perorálnom podaní, priemerný terminálny polčas vylučovania olanzapínu sa u zdravých jedincov líšil podľa veku a pohlavia.</w:t>
      </w:r>
    </w:p>
    <w:p w14:paraId="7215E373" w14:textId="77777777" w:rsidR="007476A0" w:rsidRPr="005055CA" w:rsidRDefault="003C4019" w:rsidP="002E3165">
      <w:pPr>
        <w:rPr>
          <w:sz w:val="22"/>
          <w:szCs w:val="22"/>
        </w:rPr>
      </w:pPr>
      <w:r w:rsidRPr="005055CA">
        <w:rPr>
          <w:sz w:val="22"/>
          <w:szCs w:val="22"/>
        </w:rPr>
        <w:t>U zdravých starších jedincov (nad 65 rokov) sa v porovnaní s mladšími jedincami priemerný polčas vylučovania predĺžil (51,8 oproti 33,8 h) a klírens sa znížil (17,5 oproti 18,2 l/h). Farmakokinetické odchýlky pozorované u starších jedincov sú v medziach odchýlok mladších jedincov. U 44 schizofrenických pacientov starších ako 65 rokov sa pri dávkach 5</w:t>
      </w:r>
      <w:r w:rsidR="00ED4A9F" w:rsidRPr="005055CA">
        <w:rPr>
          <w:sz w:val="22"/>
          <w:szCs w:val="22"/>
        </w:rPr>
        <w:t xml:space="preserve"> – </w:t>
      </w:r>
      <w:r w:rsidRPr="005055CA">
        <w:rPr>
          <w:sz w:val="22"/>
          <w:szCs w:val="22"/>
        </w:rPr>
        <w:t>20 mg/deň nepozoroval zvýšený výskyt nežiaducich účinkov.</w:t>
      </w:r>
    </w:p>
    <w:p w14:paraId="4CC3A86A" w14:textId="77777777" w:rsidR="007476A0" w:rsidRPr="005055CA" w:rsidRDefault="003C4019" w:rsidP="002E3165">
      <w:pPr>
        <w:rPr>
          <w:sz w:val="22"/>
          <w:szCs w:val="22"/>
        </w:rPr>
      </w:pPr>
      <w:r w:rsidRPr="005055CA">
        <w:rPr>
          <w:sz w:val="22"/>
          <w:szCs w:val="22"/>
        </w:rPr>
        <w:t>Priemerný polčas vylučovania u žien sa oproti mužom predĺžil (36,7 oproti 32,3 h) a klírens sa znížil (18,9 oproti 27,3 l/h). Napriek tomu vykazoval olanzapín (5</w:t>
      </w:r>
      <w:r w:rsidR="003160A5" w:rsidRPr="005055CA">
        <w:rPr>
          <w:sz w:val="22"/>
          <w:szCs w:val="22"/>
        </w:rPr>
        <w:t xml:space="preserve"> – </w:t>
      </w:r>
      <w:r w:rsidRPr="005055CA">
        <w:rPr>
          <w:sz w:val="22"/>
          <w:szCs w:val="22"/>
        </w:rPr>
        <w:t>20 mg) porovnateľný bezpečnostný profil tak u žien (n=467) ako aj u mužov (n=869).</w:t>
      </w:r>
    </w:p>
    <w:p w14:paraId="0920CB3E" w14:textId="77777777" w:rsidR="00942A0B" w:rsidRPr="005055CA" w:rsidRDefault="00942A0B" w:rsidP="002E3165">
      <w:pPr>
        <w:rPr>
          <w:sz w:val="22"/>
          <w:szCs w:val="22"/>
        </w:rPr>
      </w:pPr>
    </w:p>
    <w:p w14:paraId="4A21D01B" w14:textId="77777777" w:rsidR="00942A0B" w:rsidRPr="005055CA" w:rsidRDefault="00DE2A8E" w:rsidP="002E3165">
      <w:pPr>
        <w:rPr>
          <w:sz w:val="22"/>
          <w:szCs w:val="22"/>
          <w:u w:val="single"/>
        </w:rPr>
      </w:pPr>
      <w:r w:rsidRPr="005055CA">
        <w:rPr>
          <w:sz w:val="22"/>
          <w:szCs w:val="22"/>
          <w:u w:val="single"/>
        </w:rPr>
        <w:t>Porucha</w:t>
      </w:r>
      <w:r w:rsidR="00942A0B" w:rsidRPr="005055CA">
        <w:rPr>
          <w:sz w:val="22"/>
          <w:szCs w:val="22"/>
          <w:u w:val="single"/>
        </w:rPr>
        <w:t xml:space="preserve"> funkcie obličiek</w:t>
      </w:r>
    </w:p>
    <w:p w14:paraId="0E3979B2" w14:textId="77777777" w:rsidR="007476A0" w:rsidRPr="005055CA" w:rsidRDefault="003C4019" w:rsidP="002E3165">
      <w:pPr>
        <w:rPr>
          <w:sz w:val="22"/>
          <w:szCs w:val="22"/>
        </w:rPr>
      </w:pPr>
      <w:r w:rsidRPr="005055CA">
        <w:rPr>
          <w:sz w:val="22"/>
          <w:szCs w:val="22"/>
        </w:rPr>
        <w:t>U pacientov s poškodením funkcie obličiek (klírens kreatinínu &lt;10 ml/min) v porovnaní so zdravými jedincami nespôsoboval významný rozdiel priemerného polčasu eliminácie (37,7 oproti 32,4 h) alebo klírensu (21,2 oproti 25,0 l/h). Štúdia rovnováhy ukázala, že približne 57</w:t>
      </w:r>
      <w:r w:rsidR="0047168F" w:rsidRPr="005055CA">
        <w:rPr>
          <w:sz w:val="22"/>
          <w:szCs w:val="22"/>
        </w:rPr>
        <w:t xml:space="preserve"> </w:t>
      </w:r>
      <w:r w:rsidRPr="005055CA">
        <w:rPr>
          <w:sz w:val="22"/>
          <w:szCs w:val="22"/>
        </w:rPr>
        <w:t>% olanzapínu označeného rádioaktívnym izotopom sa vylučuje do moča vo forme metabolitov.</w:t>
      </w:r>
    </w:p>
    <w:p w14:paraId="4DFE6BFE" w14:textId="77777777" w:rsidR="00D51996" w:rsidRPr="005055CA" w:rsidRDefault="00D51996" w:rsidP="002E3165">
      <w:pPr>
        <w:rPr>
          <w:sz w:val="22"/>
          <w:szCs w:val="22"/>
        </w:rPr>
      </w:pPr>
    </w:p>
    <w:p w14:paraId="3481D04E" w14:textId="77777777" w:rsidR="00942A0B" w:rsidRPr="005055CA" w:rsidRDefault="00942A0B" w:rsidP="002E3165">
      <w:pPr>
        <w:rPr>
          <w:sz w:val="22"/>
          <w:szCs w:val="22"/>
          <w:u w:val="single"/>
        </w:rPr>
      </w:pPr>
      <w:r w:rsidRPr="005055CA">
        <w:rPr>
          <w:sz w:val="22"/>
          <w:szCs w:val="22"/>
          <w:u w:val="single"/>
        </w:rPr>
        <w:t>Fajčiari</w:t>
      </w:r>
    </w:p>
    <w:p w14:paraId="732122CA" w14:textId="77777777" w:rsidR="007476A0" w:rsidRPr="005055CA" w:rsidRDefault="003C4019" w:rsidP="002E3165">
      <w:pPr>
        <w:rPr>
          <w:sz w:val="22"/>
          <w:szCs w:val="22"/>
        </w:rPr>
      </w:pPr>
      <w:r w:rsidRPr="005055CA">
        <w:rPr>
          <w:sz w:val="22"/>
          <w:szCs w:val="22"/>
        </w:rPr>
        <w:lastRenderedPageBreak/>
        <w:t>U fajčiarov s miernym poškodením pečene, v porovnaní so zdravými nefajčiarmi, sa priemerný polčas vylučovania (39,3 h) predĺžil a klírens (18,0 l/h) sa znížil (48,8 hod resp. 14,1 l/h).</w:t>
      </w:r>
    </w:p>
    <w:p w14:paraId="59409325" w14:textId="77777777" w:rsidR="007476A0" w:rsidRPr="005055CA" w:rsidRDefault="003C4019" w:rsidP="002E3165">
      <w:pPr>
        <w:rPr>
          <w:sz w:val="22"/>
          <w:szCs w:val="22"/>
        </w:rPr>
      </w:pPr>
      <w:r w:rsidRPr="005055CA">
        <w:rPr>
          <w:sz w:val="22"/>
          <w:szCs w:val="22"/>
        </w:rPr>
        <w:t>U nefajčiarov oproti fajčiarom (ženy i muži) sa priemerný polčas vylučovania predĺžil (38,6 oproti 30,4 hod) a klírens znížil (18,6 oproti 27,7 l/h).</w:t>
      </w:r>
    </w:p>
    <w:p w14:paraId="1D59E4B6" w14:textId="77777777" w:rsidR="007476A0" w:rsidRPr="005055CA" w:rsidRDefault="003C4019" w:rsidP="002E3165">
      <w:pPr>
        <w:rPr>
          <w:sz w:val="22"/>
          <w:szCs w:val="22"/>
        </w:rPr>
      </w:pPr>
      <w:r w:rsidRPr="005055CA">
        <w:rPr>
          <w:sz w:val="22"/>
          <w:szCs w:val="22"/>
        </w:rPr>
        <w:t>Plazmatický klírens olanzapínu je nižší u starších ako u mladších jedincov, u žien ako u mužov a u nefajčiarov oproti fajčiarom. Avšak závažnosť vplyvu veku, pohlavia alebo fajčenia na klírens a polčas vylučovania olanzapínu sú malé v porovnaní s celkovou variabilitou medzi jednotlivcami.</w:t>
      </w:r>
    </w:p>
    <w:p w14:paraId="1CA7CDAC" w14:textId="77777777" w:rsidR="007476A0" w:rsidRPr="005055CA" w:rsidRDefault="003C4019" w:rsidP="002E3165">
      <w:pPr>
        <w:rPr>
          <w:sz w:val="22"/>
          <w:szCs w:val="22"/>
        </w:rPr>
      </w:pPr>
      <w:r w:rsidRPr="005055CA">
        <w:rPr>
          <w:sz w:val="22"/>
          <w:szCs w:val="22"/>
        </w:rPr>
        <w:t>V klinickej štúdii neboli žiadne rozdiely farmakokinetických parametrov medzi belochmi, Japoncami a Číňanmi.</w:t>
      </w:r>
    </w:p>
    <w:p w14:paraId="6C89F1C2" w14:textId="77777777" w:rsidR="00D51996" w:rsidRPr="005055CA" w:rsidRDefault="00D51996" w:rsidP="002E3165">
      <w:pPr>
        <w:rPr>
          <w:sz w:val="22"/>
          <w:szCs w:val="22"/>
        </w:rPr>
      </w:pPr>
    </w:p>
    <w:p w14:paraId="030C9B1D" w14:textId="77777777" w:rsidR="007476A0" w:rsidRPr="00031CE4" w:rsidRDefault="003C4019" w:rsidP="002E3165">
      <w:pPr>
        <w:rPr>
          <w:b/>
          <w:i/>
          <w:sz w:val="22"/>
          <w:szCs w:val="22"/>
        </w:rPr>
      </w:pPr>
      <w:r w:rsidRPr="00031CE4">
        <w:rPr>
          <w:b/>
          <w:i/>
          <w:sz w:val="22"/>
          <w:szCs w:val="22"/>
        </w:rPr>
        <w:t>Pediatrická populácia</w:t>
      </w:r>
    </w:p>
    <w:p w14:paraId="15A74FED" w14:textId="77777777" w:rsidR="007476A0" w:rsidRPr="005055CA" w:rsidRDefault="00603806" w:rsidP="002E3165">
      <w:pPr>
        <w:rPr>
          <w:sz w:val="22"/>
          <w:szCs w:val="22"/>
        </w:rPr>
      </w:pPr>
      <w:r w:rsidRPr="005055CA">
        <w:rPr>
          <w:sz w:val="22"/>
          <w:szCs w:val="22"/>
        </w:rPr>
        <w:t xml:space="preserve">Dospievajúci </w:t>
      </w:r>
      <w:r w:rsidR="003C4019" w:rsidRPr="005055CA">
        <w:rPr>
          <w:sz w:val="22"/>
          <w:szCs w:val="22"/>
        </w:rPr>
        <w:t xml:space="preserve">(vek 13 až 17 rokov): Farmakokinetika olanzapínu je podobná u </w:t>
      </w:r>
      <w:r w:rsidRPr="005055CA">
        <w:rPr>
          <w:sz w:val="22"/>
          <w:szCs w:val="22"/>
        </w:rPr>
        <w:t xml:space="preserve">dospievajúcich </w:t>
      </w:r>
      <w:r w:rsidR="003C4019" w:rsidRPr="005055CA">
        <w:rPr>
          <w:sz w:val="22"/>
          <w:szCs w:val="22"/>
        </w:rPr>
        <w:t>a dospelých. V klinických štúdiách bola priemerná expozícia olanzapínu približne o</w:t>
      </w:r>
      <w:r w:rsidR="00D31CDE" w:rsidRPr="005055CA">
        <w:rPr>
          <w:sz w:val="22"/>
          <w:szCs w:val="22"/>
        </w:rPr>
        <w:t> </w:t>
      </w:r>
      <w:r w:rsidR="003C4019" w:rsidRPr="005055CA">
        <w:rPr>
          <w:sz w:val="22"/>
          <w:szCs w:val="22"/>
        </w:rPr>
        <w:t>27</w:t>
      </w:r>
      <w:r w:rsidR="00D31CDE" w:rsidRPr="005055CA">
        <w:rPr>
          <w:sz w:val="22"/>
          <w:szCs w:val="22"/>
        </w:rPr>
        <w:t xml:space="preserve"> </w:t>
      </w:r>
      <w:r w:rsidR="003C4019" w:rsidRPr="005055CA">
        <w:rPr>
          <w:sz w:val="22"/>
          <w:szCs w:val="22"/>
        </w:rPr>
        <w:t xml:space="preserve">% vyššia u </w:t>
      </w:r>
      <w:r w:rsidRPr="005055CA">
        <w:rPr>
          <w:sz w:val="22"/>
          <w:szCs w:val="22"/>
        </w:rPr>
        <w:t>dospievajúcich</w:t>
      </w:r>
      <w:r w:rsidR="003C4019" w:rsidRPr="005055CA">
        <w:rPr>
          <w:sz w:val="22"/>
          <w:szCs w:val="22"/>
        </w:rPr>
        <w:t xml:space="preserve">. Demografické rozdiely medzi </w:t>
      </w:r>
      <w:r w:rsidRPr="005055CA">
        <w:rPr>
          <w:sz w:val="22"/>
          <w:szCs w:val="22"/>
        </w:rPr>
        <w:t xml:space="preserve">dospievajúcich </w:t>
      </w:r>
      <w:r w:rsidR="003C4019" w:rsidRPr="005055CA">
        <w:rPr>
          <w:sz w:val="22"/>
          <w:szCs w:val="22"/>
        </w:rPr>
        <w:t xml:space="preserve">a dospelými zahŕňali nižšiu priemernú telesnú hmotnosť a menší počet fajčiarov medzi </w:t>
      </w:r>
      <w:r w:rsidR="00697B34" w:rsidRPr="005055CA">
        <w:rPr>
          <w:sz w:val="22"/>
          <w:szCs w:val="22"/>
        </w:rPr>
        <w:t>dospievajúcimi</w:t>
      </w:r>
      <w:r w:rsidR="003C4019" w:rsidRPr="005055CA">
        <w:rPr>
          <w:sz w:val="22"/>
          <w:szCs w:val="22"/>
        </w:rPr>
        <w:t xml:space="preserve">. Tieto faktory možno prispeli k vyššej priemernej expozícii pozorovanej u </w:t>
      </w:r>
      <w:r w:rsidRPr="005055CA">
        <w:rPr>
          <w:sz w:val="22"/>
          <w:szCs w:val="22"/>
        </w:rPr>
        <w:t>dospievajúcich</w:t>
      </w:r>
      <w:r w:rsidR="003C4019" w:rsidRPr="005055CA">
        <w:rPr>
          <w:sz w:val="22"/>
          <w:szCs w:val="22"/>
        </w:rPr>
        <w:t>.</w:t>
      </w:r>
    </w:p>
    <w:p w14:paraId="4EB1E6E7" w14:textId="77777777" w:rsidR="006C0593" w:rsidRPr="005055CA" w:rsidRDefault="006C0593" w:rsidP="002E3165">
      <w:pPr>
        <w:rPr>
          <w:sz w:val="22"/>
          <w:szCs w:val="22"/>
        </w:rPr>
      </w:pPr>
    </w:p>
    <w:p w14:paraId="19F4186B" w14:textId="77777777" w:rsidR="007476A0" w:rsidRPr="005055CA" w:rsidRDefault="00942A0B" w:rsidP="002E3165">
      <w:pPr>
        <w:rPr>
          <w:b/>
        </w:rPr>
      </w:pPr>
      <w:r w:rsidRPr="005055CA">
        <w:rPr>
          <w:b/>
        </w:rPr>
        <w:t>5.3</w:t>
      </w:r>
      <w:r w:rsidRPr="005055CA">
        <w:rPr>
          <w:b/>
        </w:rPr>
        <w:tab/>
      </w:r>
      <w:r w:rsidR="003C4019" w:rsidRPr="005055CA">
        <w:rPr>
          <w:b/>
        </w:rPr>
        <w:t>Predklinické údaje o bezpečnosti</w:t>
      </w:r>
    </w:p>
    <w:p w14:paraId="445974F2" w14:textId="77777777" w:rsidR="00055FE9" w:rsidRPr="005055CA" w:rsidRDefault="00055FE9" w:rsidP="002E3165">
      <w:pPr>
        <w:rPr>
          <w:b/>
        </w:rPr>
      </w:pPr>
    </w:p>
    <w:p w14:paraId="36E84AF8" w14:textId="77777777" w:rsidR="007476A0" w:rsidRPr="00031CE4" w:rsidRDefault="003C4019" w:rsidP="005055CA">
      <w:pPr>
        <w:tabs>
          <w:tab w:val="left" w:pos="900"/>
        </w:tabs>
        <w:rPr>
          <w:b/>
          <w:sz w:val="22"/>
          <w:szCs w:val="22"/>
        </w:rPr>
      </w:pPr>
      <w:r w:rsidRPr="00031CE4">
        <w:rPr>
          <w:b/>
          <w:sz w:val="22"/>
          <w:szCs w:val="22"/>
        </w:rPr>
        <w:t>Akútna toxicita (po jednorazovom podaní)</w:t>
      </w:r>
    </w:p>
    <w:p w14:paraId="0890EAE2" w14:textId="77777777" w:rsidR="00055FE9" w:rsidRPr="005055CA" w:rsidRDefault="003C4019" w:rsidP="005055CA">
      <w:pPr>
        <w:tabs>
          <w:tab w:val="left" w:pos="900"/>
        </w:tabs>
        <w:rPr>
          <w:sz w:val="22"/>
          <w:szCs w:val="22"/>
        </w:rPr>
      </w:pPr>
      <w:r w:rsidRPr="005055CA">
        <w:rPr>
          <w:sz w:val="22"/>
          <w:szCs w:val="22"/>
        </w:rPr>
        <w:t xml:space="preserve">Príznaky toxicity po perorálnom podaní hlodavcom obsahovali silnú neuroleptickú zložku: hypoaktivitu, kómu, </w:t>
      </w:r>
      <w:r w:rsidR="00524F67" w:rsidRPr="005055CA">
        <w:rPr>
          <w:sz w:val="22"/>
          <w:szCs w:val="22"/>
        </w:rPr>
        <w:t>tremor</w:t>
      </w:r>
      <w:r w:rsidRPr="005055CA">
        <w:rPr>
          <w:sz w:val="22"/>
          <w:szCs w:val="22"/>
        </w:rPr>
        <w:t xml:space="preserve">, klonické kŕče, slinenie a pokles telesnej hmotnosti. Stredná letálna dávka u myší bola 210 mg/kg a u krýs 175 mg/kg. </w:t>
      </w:r>
      <w:r w:rsidR="00964434" w:rsidRPr="005055CA">
        <w:rPr>
          <w:sz w:val="22"/>
          <w:szCs w:val="22"/>
        </w:rPr>
        <w:t xml:space="preserve">Psy </w:t>
      </w:r>
      <w:r w:rsidRPr="005055CA">
        <w:rPr>
          <w:sz w:val="22"/>
          <w:szCs w:val="22"/>
        </w:rPr>
        <w:t>tolerovali jednorazovú dávku až do 100 mg/kg s nulovou mortalitou. Medzi klinické príznaky patril útlm, ataxia, tras, zrýchlený pulz, sťažené dýchanie, mióza a anorexia. U opíc vyvolala jednorazová perorálna dávka do 100 mg/kg vyčerpanosť a vyššie dávky čiastočné bezvedomie</w:t>
      </w:r>
      <w:r w:rsidR="00055FE9" w:rsidRPr="005055CA">
        <w:rPr>
          <w:sz w:val="22"/>
          <w:szCs w:val="22"/>
        </w:rPr>
        <w:t>.</w:t>
      </w:r>
    </w:p>
    <w:p w14:paraId="3A8F8AF6" w14:textId="77777777" w:rsidR="007476A0" w:rsidRPr="00031CE4" w:rsidRDefault="007476A0" w:rsidP="005055CA">
      <w:pPr>
        <w:tabs>
          <w:tab w:val="left" w:pos="900"/>
        </w:tabs>
        <w:rPr>
          <w:b/>
          <w:sz w:val="22"/>
          <w:szCs w:val="22"/>
        </w:rPr>
      </w:pPr>
    </w:p>
    <w:p w14:paraId="2FD2D550" w14:textId="77777777" w:rsidR="006D73AC" w:rsidRPr="005055CA" w:rsidRDefault="003C4019" w:rsidP="005055CA">
      <w:pPr>
        <w:tabs>
          <w:tab w:val="left" w:pos="900"/>
        </w:tabs>
        <w:rPr>
          <w:sz w:val="22"/>
          <w:szCs w:val="22"/>
        </w:rPr>
      </w:pPr>
      <w:r w:rsidRPr="00031CE4">
        <w:rPr>
          <w:b/>
          <w:sz w:val="22"/>
          <w:szCs w:val="22"/>
        </w:rPr>
        <w:t>Toxicita po opakovanom podaní</w:t>
      </w:r>
    </w:p>
    <w:p w14:paraId="464E1EA7" w14:textId="77777777" w:rsidR="007476A0" w:rsidRPr="005055CA" w:rsidRDefault="003C4019" w:rsidP="005055CA">
      <w:pPr>
        <w:tabs>
          <w:tab w:val="left" w:pos="900"/>
        </w:tabs>
        <w:rPr>
          <w:sz w:val="22"/>
          <w:szCs w:val="22"/>
        </w:rPr>
      </w:pPr>
      <w:r w:rsidRPr="005055CA">
        <w:rPr>
          <w:sz w:val="22"/>
          <w:szCs w:val="22"/>
        </w:rPr>
        <w:t xml:space="preserve">Medzi hlavné prejavy toxicity pozorované v 3-mesačnej štúdii u myší a 1-ročnej štúdii u potkanov a psov patril útlm CNS, anticholínergné účinky a ochorenia periférnej krvi. Na útlm CNS sa vyvinula tolerancia. Pri vysokých dávkach poklesli parametre rastu. Reverzibilné účinky spojené so zvýšenou hladinou prolaktínu u krýs zahŕňali pokles hmotnosti ovárií a uteru a morfologické zmeny vaginálneho epitelu a </w:t>
      </w:r>
      <w:r w:rsidR="00964434" w:rsidRPr="005055CA">
        <w:rPr>
          <w:sz w:val="22"/>
          <w:szCs w:val="22"/>
        </w:rPr>
        <w:t>mliečnej žľazy</w:t>
      </w:r>
      <w:r w:rsidRPr="005055CA">
        <w:rPr>
          <w:sz w:val="22"/>
          <w:szCs w:val="22"/>
        </w:rPr>
        <w:t>.</w:t>
      </w:r>
    </w:p>
    <w:p w14:paraId="3DFAB62C" w14:textId="77777777" w:rsidR="004968C7" w:rsidRPr="005055CA" w:rsidRDefault="004968C7" w:rsidP="005055CA">
      <w:pPr>
        <w:tabs>
          <w:tab w:val="left" w:pos="900"/>
        </w:tabs>
        <w:rPr>
          <w:sz w:val="22"/>
          <w:szCs w:val="22"/>
        </w:rPr>
      </w:pPr>
    </w:p>
    <w:p w14:paraId="562B9717" w14:textId="77777777" w:rsidR="00C04600" w:rsidRPr="00031CE4" w:rsidRDefault="003C4019" w:rsidP="005055CA">
      <w:pPr>
        <w:tabs>
          <w:tab w:val="left" w:pos="900"/>
        </w:tabs>
        <w:rPr>
          <w:b/>
          <w:sz w:val="22"/>
          <w:szCs w:val="22"/>
        </w:rPr>
      </w:pPr>
      <w:r w:rsidRPr="00031CE4">
        <w:rPr>
          <w:b/>
          <w:sz w:val="22"/>
          <w:szCs w:val="22"/>
        </w:rPr>
        <w:t>Hematologická toxicita</w:t>
      </w:r>
    </w:p>
    <w:p w14:paraId="615036C7" w14:textId="77777777" w:rsidR="007476A0" w:rsidRPr="005055CA" w:rsidRDefault="003C4019" w:rsidP="005055CA">
      <w:pPr>
        <w:tabs>
          <w:tab w:val="left" w:pos="900"/>
        </w:tabs>
        <w:rPr>
          <w:sz w:val="22"/>
          <w:szCs w:val="22"/>
        </w:rPr>
      </w:pPr>
      <w:r w:rsidRPr="005055CA">
        <w:rPr>
          <w:sz w:val="22"/>
          <w:szCs w:val="22"/>
        </w:rPr>
        <w:t>U všetkých druhov boli pozorované účinky na hematologické ukazovatele, vrátane na dávke závislom poklese počtu leukocytov v krvi u myší a nešpecifickom poklese leukocytov v krvi u krýs; cytotoxický účinok na kostnú dreň sa však nedokázal. U niekoľkých psov, ktorým sa podávalo 8 alebo 10 mg/kg/deň (celková expozícia olanzapínu [AUC] je 12- až 15-krát vyššia než pri podaní dávky 12 mg človeku), sa vyvinula reverzibilná neutropénia, trombocytopénia alebo anémia. U psov s cytopéniou sa nepozorovali žiadne nepriaznivé účinky na progenitorové a proliferujúce bunky kostnej drene.</w:t>
      </w:r>
    </w:p>
    <w:p w14:paraId="5D525FEF" w14:textId="77777777" w:rsidR="006E2EDB" w:rsidRPr="00031CE4" w:rsidRDefault="006E2EDB" w:rsidP="005055CA">
      <w:pPr>
        <w:tabs>
          <w:tab w:val="left" w:pos="900"/>
        </w:tabs>
        <w:rPr>
          <w:b/>
          <w:sz w:val="22"/>
          <w:szCs w:val="22"/>
        </w:rPr>
      </w:pPr>
    </w:p>
    <w:p w14:paraId="3C374664" w14:textId="77777777" w:rsidR="007476A0" w:rsidRPr="00031CE4" w:rsidRDefault="003C4019" w:rsidP="005055CA">
      <w:pPr>
        <w:tabs>
          <w:tab w:val="left" w:pos="900"/>
        </w:tabs>
        <w:rPr>
          <w:b/>
          <w:sz w:val="22"/>
          <w:szCs w:val="22"/>
        </w:rPr>
      </w:pPr>
      <w:r w:rsidRPr="00031CE4">
        <w:rPr>
          <w:b/>
          <w:sz w:val="22"/>
          <w:szCs w:val="22"/>
        </w:rPr>
        <w:t>Reprodukčná toxicita</w:t>
      </w:r>
    </w:p>
    <w:p w14:paraId="2F9439C1" w14:textId="77777777" w:rsidR="007476A0" w:rsidRPr="005055CA" w:rsidRDefault="003C4019" w:rsidP="005055CA">
      <w:pPr>
        <w:tabs>
          <w:tab w:val="left" w:pos="900"/>
        </w:tabs>
        <w:rPr>
          <w:sz w:val="22"/>
          <w:szCs w:val="22"/>
        </w:rPr>
      </w:pPr>
      <w:r w:rsidRPr="005055CA">
        <w:rPr>
          <w:sz w:val="22"/>
          <w:szCs w:val="22"/>
        </w:rPr>
        <w:t>Olanzapín nemá žiadne teratogénne účinky. U samcov potkanov sa pozoroval pokles libida ako dôsledok sedácie. Estrálne cykly boli ovplyvnené dávkou 1,1 mg/kg (čo je 3-násobok maximálnej dávky u človeka) a reprodukčné parametre boli u potkanov ovplyvnené dávkou 3 mg/kg (čo je 9-násobok maximálnej dávky u človeka). U potomstva potkanov, ktorým sa podával olanzapín, sa pozorovalo oneskorenie fetálneho vývoja a prechodný pokles aktivity.</w:t>
      </w:r>
    </w:p>
    <w:p w14:paraId="64786944" w14:textId="77777777" w:rsidR="006E2EDB" w:rsidRPr="00031CE4" w:rsidRDefault="006E2EDB" w:rsidP="005055CA">
      <w:pPr>
        <w:tabs>
          <w:tab w:val="left" w:pos="900"/>
        </w:tabs>
        <w:rPr>
          <w:b/>
          <w:sz w:val="22"/>
          <w:szCs w:val="22"/>
        </w:rPr>
      </w:pPr>
    </w:p>
    <w:p w14:paraId="7A6B52D5" w14:textId="77777777" w:rsidR="007476A0" w:rsidRPr="00031CE4" w:rsidRDefault="003C4019" w:rsidP="005055CA">
      <w:pPr>
        <w:tabs>
          <w:tab w:val="left" w:pos="900"/>
        </w:tabs>
        <w:rPr>
          <w:b/>
          <w:sz w:val="22"/>
          <w:szCs w:val="22"/>
        </w:rPr>
      </w:pPr>
      <w:r w:rsidRPr="00031CE4">
        <w:rPr>
          <w:b/>
          <w:sz w:val="22"/>
          <w:szCs w:val="22"/>
        </w:rPr>
        <w:t>Mutagenita</w:t>
      </w:r>
    </w:p>
    <w:p w14:paraId="02559C42" w14:textId="77777777" w:rsidR="007476A0" w:rsidRPr="005055CA" w:rsidRDefault="003C4019" w:rsidP="005055CA">
      <w:pPr>
        <w:tabs>
          <w:tab w:val="left" w:pos="900"/>
        </w:tabs>
        <w:rPr>
          <w:sz w:val="22"/>
          <w:szCs w:val="22"/>
        </w:rPr>
      </w:pPr>
      <w:r w:rsidRPr="005055CA">
        <w:rPr>
          <w:sz w:val="22"/>
          <w:szCs w:val="22"/>
        </w:rPr>
        <w:lastRenderedPageBreak/>
        <w:t xml:space="preserve">Olanzapín nemal mutanogénne ani klastogénne účinky v žiadnom zo štandardných testov, vrátane testov bakteriálnych mutácií </w:t>
      </w:r>
      <w:r w:rsidRPr="005055CA">
        <w:rPr>
          <w:i/>
          <w:sz w:val="22"/>
          <w:szCs w:val="22"/>
        </w:rPr>
        <w:t>in vivo</w:t>
      </w:r>
      <w:r w:rsidRPr="005055CA">
        <w:rPr>
          <w:sz w:val="22"/>
          <w:szCs w:val="22"/>
        </w:rPr>
        <w:t xml:space="preserve"> a </w:t>
      </w:r>
      <w:r w:rsidRPr="005055CA">
        <w:rPr>
          <w:i/>
          <w:sz w:val="22"/>
          <w:szCs w:val="22"/>
        </w:rPr>
        <w:t>in vitro</w:t>
      </w:r>
      <w:r w:rsidRPr="005055CA">
        <w:rPr>
          <w:sz w:val="22"/>
          <w:szCs w:val="22"/>
        </w:rPr>
        <w:t xml:space="preserve"> testov na cicavcoch.</w:t>
      </w:r>
    </w:p>
    <w:p w14:paraId="29585297" w14:textId="77777777" w:rsidR="006E2EDB" w:rsidRPr="005055CA" w:rsidRDefault="006E2EDB" w:rsidP="005055CA">
      <w:pPr>
        <w:tabs>
          <w:tab w:val="left" w:pos="900"/>
        </w:tabs>
        <w:rPr>
          <w:sz w:val="22"/>
          <w:szCs w:val="22"/>
        </w:rPr>
      </w:pPr>
    </w:p>
    <w:p w14:paraId="3C6530B1" w14:textId="77777777" w:rsidR="007476A0" w:rsidRPr="00031CE4" w:rsidRDefault="003C4019" w:rsidP="005055CA">
      <w:pPr>
        <w:tabs>
          <w:tab w:val="left" w:pos="900"/>
        </w:tabs>
        <w:rPr>
          <w:b/>
          <w:sz w:val="22"/>
          <w:szCs w:val="22"/>
        </w:rPr>
      </w:pPr>
      <w:r w:rsidRPr="00031CE4">
        <w:rPr>
          <w:b/>
          <w:sz w:val="22"/>
          <w:szCs w:val="22"/>
        </w:rPr>
        <w:t>Karcinogenita</w:t>
      </w:r>
    </w:p>
    <w:p w14:paraId="1109CBDF" w14:textId="77777777" w:rsidR="007476A0" w:rsidRDefault="003C4019" w:rsidP="005055CA">
      <w:pPr>
        <w:tabs>
          <w:tab w:val="left" w:pos="900"/>
        </w:tabs>
        <w:rPr>
          <w:sz w:val="22"/>
          <w:szCs w:val="22"/>
        </w:rPr>
      </w:pPr>
      <w:r w:rsidRPr="005055CA">
        <w:rPr>
          <w:sz w:val="22"/>
          <w:szCs w:val="22"/>
        </w:rPr>
        <w:t>Na základe výsledkov štúdií na myšiach a potkanoch sa zistilo, že olanzapín nie je karcinogénny.</w:t>
      </w:r>
    </w:p>
    <w:p w14:paraId="3FDEEE1F" w14:textId="77777777" w:rsidR="00031CE4" w:rsidRPr="005055CA" w:rsidRDefault="00031CE4" w:rsidP="005055CA">
      <w:pPr>
        <w:tabs>
          <w:tab w:val="left" w:pos="900"/>
        </w:tabs>
        <w:rPr>
          <w:sz w:val="22"/>
          <w:szCs w:val="22"/>
        </w:rPr>
      </w:pPr>
    </w:p>
    <w:p w14:paraId="6661F95F" w14:textId="77777777" w:rsidR="006C0593" w:rsidRPr="002E3165" w:rsidRDefault="006C0593" w:rsidP="002E3165"/>
    <w:p w14:paraId="57A890BF" w14:textId="77777777" w:rsidR="007476A0" w:rsidRPr="005055CA" w:rsidRDefault="00942A0B" w:rsidP="002E3165">
      <w:pPr>
        <w:rPr>
          <w:b/>
        </w:rPr>
      </w:pPr>
      <w:r w:rsidRPr="005055CA">
        <w:rPr>
          <w:b/>
        </w:rPr>
        <w:t>6.</w:t>
      </w:r>
      <w:r w:rsidRPr="005055CA">
        <w:rPr>
          <w:b/>
        </w:rPr>
        <w:tab/>
      </w:r>
      <w:r w:rsidR="003C4019" w:rsidRPr="005055CA">
        <w:rPr>
          <w:b/>
        </w:rPr>
        <w:t>FARMACEUTICKÉ INFORMÁCIE</w:t>
      </w:r>
    </w:p>
    <w:p w14:paraId="78C5C40D" w14:textId="77777777" w:rsidR="000E4FAE" w:rsidRPr="002E3165" w:rsidRDefault="000E4FAE" w:rsidP="002E3165"/>
    <w:p w14:paraId="55FF30AA" w14:textId="77777777" w:rsidR="007476A0" w:rsidRPr="005055CA" w:rsidRDefault="00942A0B" w:rsidP="002E3165">
      <w:pPr>
        <w:rPr>
          <w:b/>
        </w:rPr>
      </w:pPr>
      <w:r w:rsidRPr="005055CA">
        <w:rPr>
          <w:b/>
        </w:rPr>
        <w:t>6.1</w:t>
      </w:r>
      <w:r w:rsidRPr="005055CA">
        <w:rPr>
          <w:b/>
        </w:rPr>
        <w:tab/>
      </w:r>
      <w:r w:rsidR="003C4019" w:rsidRPr="005055CA">
        <w:rPr>
          <w:b/>
        </w:rPr>
        <w:t>Zoznam pomocných látok</w:t>
      </w:r>
    </w:p>
    <w:p w14:paraId="39FAD308" w14:textId="77777777" w:rsidR="000E4FAE" w:rsidRPr="002E3165" w:rsidRDefault="000E4FAE" w:rsidP="002E3165"/>
    <w:p w14:paraId="667EBB9C" w14:textId="77777777" w:rsidR="007476A0" w:rsidRPr="004F7577" w:rsidRDefault="003C4019" w:rsidP="002E3165">
      <w:pPr>
        <w:rPr>
          <w:sz w:val="22"/>
          <w:szCs w:val="22"/>
          <w:u w:val="single"/>
        </w:rPr>
      </w:pPr>
      <w:r w:rsidRPr="004F7577">
        <w:rPr>
          <w:sz w:val="22"/>
          <w:szCs w:val="22"/>
          <w:u w:val="single"/>
        </w:rPr>
        <w:t>Jadro tabl</w:t>
      </w:r>
      <w:r w:rsidR="002D04A6" w:rsidRPr="004F7577">
        <w:rPr>
          <w:sz w:val="22"/>
          <w:szCs w:val="22"/>
          <w:u w:val="single"/>
        </w:rPr>
        <w:t>ety</w:t>
      </w:r>
    </w:p>
    <w:p w14:paraId="26F04A7B" w14:textId="77777777" w:rsidR="007476A0" w:rsidRPr="004F7577" w:rsidRDefault="006D73AC" w:rsidP="002E3165">
      <w:pPr>
        <w:rPr>
          <w:sz w:val="22"/>
          <w:szCs w:val="22"/>
        </w:rPr>
      </w:pPr>
      <w:r w:rsidRPr="004F7577">
        <w:rPr>
          <w:sz w:val="22"/>
          <w:szCs w:val="22"/>
        </w:rPr>
        <w:t>m</w:t>
      </w:r>
      <w:r w:rsidR="003C4019" w:rsidRPr="004F7577">
        <w:rPr>
          <w:sz w:val="22"/>
          <w:szCs w:val="22"/>
        </w:rPr>
        <w:t>onohydrát laktózy</w:t>
      </w:r>
    </w:p>
    <w:p w14:paraId="6B661F5B" w14:textId="77777777" w:rsidR="00C22206" w:rsidRPr="004F7577" w:rsidRDefault="006D73AC" w:rsidP="002E3165">
      <w:pPr>
        <w:rPr>
          <w:sz w:val="22"/>
          <w:szCs w:val="22"/>
        </w:rPr>
      </w:pPr>
      <w:r w:rsidRPr="004F7577">
        <w:rPr>
          <w:sz w:val="22"/>
          <w:szCs w:val="22"/>
        </w:rPr>
        <w:t>p</w:t>
      </w:r>
      <w:r w:rsidR="000F18E3" w:rsidRPr="004F7577">
        <w:rPr>
          <w:sz w:val="22"/>
          <w:szCs w:val="22"/>
        </w:rPr>
        <w:t>ovidón K30</w:t>
      </w:r>
    </w:p>
    <w:p w14:paraId="47CDDB9F" w14:textId="77777777" w:rsidR="009E462B" w:rsidRPr="004F7577" w:rsidRDefault="006D73AC" w:rsidP="002E3165">
      <w:pPr>
        <w:rPr>
          <w:color w:val="000000"/>
          <w:sz w:val="22"/>
          <w:szCs w:val="22"/>
        </w:rPr>
      </w:pPr>
      <w:r w:rsidRPr="004F7577">
        <w:rPr>
          <w:color w:val="000000"/>
          <w:sz w:val="22"/>
          <w:szCs w:val="22"/>
        </w:rPr>
        <w:t>k</w:t>
      </w:r>
      <w:r w:rsidR="009E462B" w:rsidRPr="004F7577">
        <w:rPr>
          <w:color w:val="000000"/>
          <w:sz w:val="22"/>
          <w:szCs w:val="22"/>
        </w:rPr>
        <w:t>rospovidón</w:t>
      </w:r>
    </w:p>
    <w:p w14:paraId="3F6F3C74" w14:textId="77777777" w:rsidR="00256D31" w:rsidRPr="004F7577" w:rsidRDefault="006D73AC" w:rsidP="002E3165">
      <w:pPr>
        <w:rPr>
          <w:sz w:val="22"/>
          <w:szCs w:val="22"/>
        </w:rPr>
      </w:pPr>
      <w:r w:rsidRPr="004F7577">
        <w:rPr>
          <w:sz w:val="22"/>
          <w:szCs w:val="22"/>
        </w:rPr>
        <w:t>k</w:t>
      </w:r>
      <w:r w:rsidR="00256D31" w:rsidRPr="004F7577">
        <w:rPr>
          <w:sz w:val="22"/>
          <w:szCs w:val="22"/>
        </w:rPr>
        <w:t>opovidón</w:t>
      </w:r>
    </w:p>
    <w:p w14:paraId="296EF1E1" w14:textId="77777777" w:rsidR="000F18E3" w:rsidRPr="004F7577" w:rsidRDefault="006D73AC" w:rsidP="002E3165">
      <w:pPr>
        <w:rPr>
          <w:color w:val="000000"/>
          <w:sz w:val="22"/>
          <w:szCs w:val="22"/>
        </w:rPr>
      </w:pPr>
      <w:r w:rsidRPr="004F7577">
        <w:rPr>
          <w:color w:val="000000"/>
          <w:sz w:val="22"/>
          <w:szCs w:val="22"/>
        </w:rPr>
        <w:t>k</w:t>
      </w:r>
      <w:r w:rsidR="000F18E3" w:rsidRPr="004F7577">
        <w:rPr>
          <w:color w:val="000000"/>
          <w:sz w:val="22"/>
          <w:szCs w:val="22"/>
        </w:rPr>
        <w:t xml:space="preserve">oloidný oxid kremičitý </w:t>
      </w:r>
    </w:p>
    <w:p w14:paraId="20420002" w14:textId="77777777" w:rsidR="007476A0" w:rsidRPr="004F7577" w:rsidRDefault="006D73AC" w:rsidP="002E3165">
      <w:pPr>
        <w:rPr>
          <w:sz w:val="22"/>
          <w:szCs w:val="22"/>
        </w:rPr>
      </w:pPr>
      <w:r w:rsidRPr="004F7577">
        <w:rPr>
          <w:sz w:val="22"/>
          <w:szCs w:val="22"/>
        </w:rPr>
        <w:t>m</w:t>
      </w:r>
      <w:r w:rsidR="003C4019" w:rsidRPr="004F7577">
        <w:rPr>
          <w:sz w:val="22"/>
          <w:szCs w:val="22"/>
        </w:rPr>
        <w:t>agnéziumstearát</w:t>
      </w:r>
    </w:p>
    <w:p w14:paraId="1F071A34" w14:textId="77777777" w:rsidR="000F18E3" w:rsidRPr="002E3165" w:rsidRDefault="000F18E3" w:rsidP="002E3165"/>
    <w:p w14:paraId="6E850FAF" w14:textId="77777777" w:rsidR="007476A0" w:rsidRPr="004F7577" w:rsidRDefault="003C4019" w:rsidP="002E3165">
      <w:pPr>
        <w:rPr>
          <w:sz w:val="22"/>
          <w:szCs w:val="22"/>
          <w:u w:val="single"/>
        </w:rPr>
      </w:pPr>
      <w:r w:rsidRPr="004F7577">
        <w:rPr>
          <w:sz w:val="22"/>
          <w:szCs w:val="22"/>
          <w:u w:val="single"/>
        </w:rPr>
        <w:t>Obal tabl</w:t>
      </w:r>
      <w:r w:rsidR="002D04A6" w:rsidRPr="004F7577">
        <w:rPr>
          <w:sz w:val="22"/>
          <w:szCs w:val="22"/>
          <w:u w:val="single"/>
        </w:rPr>
        <w:t>ety</w:t>
      </w:r>
    </w:p>
    <w:p w14:paraId="01B7A1C4" w14:textId="77777777" w:rsidR="000F18E3" w:rsidRPr="004F7577" w:rsidRDefault="006D73AC" w:rsidP="002E3165">
      <w:pPr>
        <w:rPr>
          <w:sz w:val="22"/>
          <w:szCs w:val="22"/>
        </w:rPr>
      </w:pPr>
      <w:r w:rsidRPr="004F7577">
        <w:rPr>
          <w:sz w:val="22"/>
          <w:szCs w:val="22"/>
        </w:rPr>
        <w:t>o</w:t>
      </w:r>
      <w:r w:rsidR="000F18E3" w:rsidRPr="004F7577">
        <w:rPr>
          <w:sz w:val="22"/>
          <w:szCs w:val="22"/>
        </w:rPr>
        <w:t>xid titaničitý (E171)</w:t>
      </w:r>
    </w:p>
    <w:p w14:paraId="7CC592F9" w14:textId="77777777" w:rsidR="000F18E3" w:rsidRPr="004F7577" w:rsidRDefault="006D73AC" w:rsidP="002E3165">
      <w:pPr>
        <w:rPr>
          <w:color w:val="000000"/>
          <w:sz w:val="22"/>
          <w:szCs w:val="22"/>
        </w:rPr>
      </w:pPr>
      <w:r w:rsidRPr="004F7577">
        <w:rPr>
          <w:color w:val="000000"/>
          <w:sz w:val="22"/>
          <w:szCs w:val="22"/>
        </w:rPr>
        <w:t>p</w:t>
      </w:r>
      <w:r w:rsidR="000F18E3" w:rsidRPr="004F7577">
        <w:rPr>
          <w:color w:val="000000"/>
          <w:sz w:val="22"/>
          <w:szCs w:val="22"/>
        </w:rPr>
        <w:t>olyvinylalkohol</w:t>
      </w:r>
    </w:p>
    <w:p w14:paraId="42A45232" w14:textId="77777777" w:rsidR="000F18E3" w:rsidRPr="004F7577" w:rsidRDefault="006D73AC" w:rsidP="002E3165">
      <w:pPr>
        <w:rPr>
          <w:color w:val="000000"/>
          <w:sz w:val="22"/>
          <w:szCs w:val="22"/>
        </w:rPr>
      </w:pPr>
      <w:r w:rsidRPr="004F7577">
        <w:rPr>
          <w:color w:val="000000"/>
          <w:sz w:val="22"/>
          <w:szCs w:val="22"/>
        </w:rPr>
        <w:t>m</w:t>
      </w:r>
      <w:r w:rsidR="000F18E3" w:rsidRPr="004F7577">
        <w:rPr>
          <w:color w:val="000000"/>
          <w:sz w:val="22"/>
          <w:szCs w:val="22"/>
        </w:rPr>
        <w:t>astenec</w:t>
      </w:r>
    </w:p>
    <w:p w14:paraId="34F21CC2" w14:textId="77777777" w:rsidR="000F18E3" w:rsidRPr="004F7577" w:rsidRDefault="006D73AC" w:rsidP="002E3165">
      <w:pPr>
        <w:rPr>
          <w:color w:val="000000"/>
          <w:sz w:val="22"/>
          <w:szCs w:val="22"/>
        </w:rPr>
      </w:pPr>
      <w:r w:rsidRPr="004F7577">
        <w:rPr>
          <w:color w:val="000000"/>
          <w:sz w:val="22"/>
          <w:szCs w:val="22"/>
        </w:rPr>
        <w:t>x</w:t>
      </w:r>
      <w:r w:rsidR="000F18E3" w:rsidRPr="004F7577">
        <w:rPr>
          <w:color w:val="000000"/>
          <w:sz w:val="22"/>
          <w:szCs w:val="22"/>
        </w:rPr>
        <w:t>antanová guma</w:t>
      </w:r>
    </w:p>
    <w:p w14:paraId="47461B16" w14:textId="77777777" w:rsidR="001A7335" w:rsidRPr="004F7577" w:rsidRDefault="006D73AC" w:rsidP="002E3165">
      <w:pPr>
        <w:rPr>
          <w:color w:val="000000"/>
          <w:sz w:val="22"/>
          <w:szCs w:val="22"/>
        </w:rPr>
      </w:pPr>
      <w:r w:rsidRPr="004F7577">
        <w:rPr>
          <w:color w:val="000000"/>
          <w:sz w:val="22"/>
          <w:szCs w:val="22"/>
        </w:rPr>
        <w:t>s</w:t>
      </w:r>
      <w:r w:rsidR="001A7335" w:rsidRPr="004F7577">
        <w:rPr>
          <w:color w:val="000000"/>
          <w:sz w:val="22"/>
          <w:szCs w:val="22"/>
        </w:rPr>
        <w:t>ójový lecitín</w:t>
      </w:r>
    </w:p>
    <w:p w14:paraId="678A084F" w14:textId="77777777" w:rsidR="001A7335" w:rsidRPr="002E3165" w:rsidRDefault="00256D31" w:rsidP="002E3165">
      <w:r w:rsidRPr="002E3165">
        <w:rPr>
          <w:color w:val="000000"/>
        </w:rPr>
        <w:t xml:space="preserve"> </w:t>
      </w:r>
    </w:p>
    <w:p w14:paraId="356DBF6D" w14:textId="77777777" w:rsidR="007476A0" w:rsidRPr="005055CA" w:rsidRDefault="00942A0B" w:rsidP="002E3165">
      <w:pPr>
        <w:rPr>
          <w:b/>
        </w:rPr>
      </w:pPr>
      <w:r w:rsidRPr="005055CA">
        <w:rPr>
          <w:b/>
        </w:rPr>
        <w:t>6.2</w:t>
      </w:r>
      <w:r w:rsidRPr="005055CA">
        <w:rPr>
          <w:b/>
        </w:rPr>
        <w:tab/>
      </w:r>
      <w:r w:rsidR="003C4019" w:rsidRPr="005055CA">
        <w:rPr>
          <w:b/>
        </w:rPr>
        <w:t>Inkompatibility</w:t>
      </w:r>
    </w:p>
    <w:p w14:paraId="4E5594AF" w14:textId="77777777" w:rsidR="005658C3" w:rsidRPr="004F7577" w:rsidRDefault="005658C3" w:rsidP="002E3165">
      <w:pPr>
        <w:rPr>
          <w:sz w:val="22"/>
          <w:szCs w:val="22"/>
        </w:rPr>
      </w:pPr>
    </w:p>
    <w:p w14:paraId="4435E07B" w14:textId="77777777" w:rsidR="007476A0" w:rsidRPr="004F7577" w:rsidRDefault="003C4019" w:rsidP="002E3165">
      <w:pPr>
        <w:rPr>
          <w:sz w:val="22"/>
          <w:szCs w:val="22"/>
        </w:rPr>
      </w:pPr>
      <w:r w:rsidRPr="004F7577">
        <w:rPr>
          <w:sz w:val="22"/>
          <w:szCs w:val="22"/>
        </w:rPr>
        <w:t>Neaplikovateľné.</w:t>
      </w:r>
    </w:p>
    <w:p w14:paraId="61F19F88" w14:textId="77777777" w:rsidR="006C0593" w:rsidRPr="002E3165" w:rsidRDefault="006C0593" w:rsidP="002E3165"/>
    <w:p w14:paraId="0D81FDE0" w14:textId="77777777" w:rsidR="007476A0" w:rsidRPr="005055CA" w:rsidRDefault="00942A0B" w:rsidP="002E3165">
      <w:pPr>
        <w:rPr>
          <w:b/>
        </w:rPr>
      </w:pPr>
      <w:r w:rsidRPr="005055CA">
        <w:rPr>
          <w:b/>
        </w:rPr>
        <w:t>6.3</w:t>
      </w:r>
      <w:r w:rsidRPr="005055CA">
        <w:rPr>
          <w:b/>
        </w:rPr>
        <w:tab/>
      </w:r>
      <w:r w:rsidR="003C4019" w:rsidRPr="005055CA">
        <w:rPr>
          <w:b/>
        </w:rPr>
        <w:t>Čas použiteľnosti</w:t>
      </w:r>
    </w:p>
    <w:p w14:paraId="4EF52934" w14:textId="77777777" w:rsidR="005658C3" w:rsidRPr="004F7577" w:rsidRDefault="005658C3" w:rsidP="002E3165">
      <w:pPr>
        <w:rPr>
          <w:sz w:val="22"/>
          <w:szCs w:val="22"/>
        </w:rPr>
      </w:pPr>
    </w:p>
    <w:p w14:paraId="2E3A9DE3" w14:textId="77777777" w:rsidR="007476A0" w:rsidRPr="004F7577" w:rsidRDefault="00B366B0" w:rsidP="002E3165">
      <w:pPr>
        <w:rPr>
          <w:sz w:val="22"/>
          <w:szCs w:val="22"/>
        </w:rPr>
      </w:pPr>
      <w:r w:rsidRPr="004F7577">
        <w:rPr>
          <w:sz w:val="22"/>
          <w:szCs w:val="22"/>
        </w:rPr>
        <w:t xml:space="preserve">3 </w:t>
      </w:r>
      <w:r w:rsidR="003C4019" w:rsidRPr="004F7577">
        <w:rPr>
          <w:sz w:val="22"/>
          <w:szCs w:val="22"/>
        </w:rPr>
        <w:t>roky</w:t>
      </w:r>
    </w:p>
    <w:p w14:paraId="19C7D9D2" w14:textId="77777777" w:rsidR="006C0593" w:rsidRPr="002E3165" w:rsidRDefault="006C0593" w:rsidP="002E3165"/>
    <w:p w14:paraId="22FC044A" w14:textId="77777777" w:rsidR="007476A0" w:rsidRPr="005055CA" w:rsidRDefault="00942A0B" w:rsidP="002E3165">
      <w:pPr>
        <w:rPr>
          <w:b/>
        </w:rPr>
      </w:pPr>
      <w:r w:rsidRPr="005055CA">
        <w:rPr>
          <w:b/>
        </w:rPr>
        <w:t>6.4</w:t>
      </w:r>
      <w:r w:rsidRPr="005055CA">
        <w:rPr>
          <w:b/>
        </w:rPr>
        <w:tab/>
      </w:r>
      <w:r w:rsidR="003C4019" w:rsidRPr="005055CA">
        <w:rPr>
          <w:b/>
        </w:rPr>
        <w:t>Špeciálne upozornenia na uchovávanie</w:t>
      </w:r>
    </w:p>
    <w:p w14:paraId="393D4ACC" w14:textId="77777777" w:rsidR="005658C3" w:rsidRPr="002E3165" w:rsidRDefault="005658C3" w:rsidP="002E3165"/>
    <w:p w14:paraId="7F6B4B9F" w14:textId="77777777" w:rsidR="007476A0" w:rsidRPr="004F7577" w:rsidRDefault="003C4019" w:rsidP="002E3165">
      <w:pPr>
        <w:rPr>
          <w:sz w:val="22"/>
          <w:szCs w:val="22"/>
        </w:rPr>
      </w:pPr>
      <w:r w:rsidRPr="004F7577">
        <w:rPr>
          <w:sz w:val="22"/>
          <w:szCs w:val="22"/>
        </w:rPr>
        <w:t>Uchovávajte v pôvodnom obale na ochranu pred svetlom.</w:t>
      </w:r>
    </w:p>
    <w:p w14:paraId="524118F5" w14:textId="77777777" w:rsidR="00256D31" w:rsidRPr="002E3165" w:rsidRDefault="00256D31" w:rsidP="002E3165"/>
    <w:p w14:paraId="26675522" w14:textId="77777777" w:rsidR="007476A0" w:rsidRPr="005055CA" w:rsidRDefault="00942A0B" w:rsidP="002E3165">
      <w:pPr>
        <w:rPr>
          <w:b/>
        </w:rPr>
      </w:pPr>
      <w:r w:rsidRPr="005055CA">
        <w:rPr>
          <w:b/>
        </w:rPr>
        <w:t>6.5</w:t>
      </w:r>
      <w:r w:rsidRPr="005055CA">
        <w:rPr>
          <w:b/>
        </w:rPr>
        <w:tab/>
      </w:r>
      <w:r w:rsidR="003C4019" w:rsidRPr="005055CA">
        <w:rPr>
          <w:b/>
        </w:rPr>
        <w:t>Druh obalu a obsah balenia</w:t>
      </w:r>
    </w:p>
    <w:p w14:paraId="6539C2EE" w14:textId="77777777" w:rsidR="00167A6C" w:rsidRPr="004F7577" w:rsidRDefault="00167A6C" w:rsidP="002E3165">
      <w:pPr>
        <w:rPr>
          <w:sz w:val="22"/>
          <w:szCs w:val="22"/>
        </w:rPr>
      </w:pPr>
    </w:p>
    <w:p w14:paraId="73F80C89" w14:textId="77777777" w:rsidR="003C4019" w:rsidRPr="004F7577" w:rsidRDefault="00256D31" w:rsidP="002E3165">
      <w:pPr>
        <w:rPr>
          <w:sz w:val="22"/>
          <w:szCs w:val="22"/>
        </w:rPr>
      </w:pPr>
      <w:r w:rsidRPr="004F7577">
        <w:rPr>
          <w:sz w:val="22"/>
          <w:szCs w:val="22"/>
        </w:rPr>
        <w:t>OPA/Al/PVC/Al blister.</w:t>
      </w:r>
    </w:p>
    <w:p w14:paraId="0E05C913" w14:textId="77777777" w:rsidR="00167A6C" w:rsidRPr="004F7577" w:rsidRDefault="00167A6C" w:rsidP="002E3165">
      <w:pPr>
        <w:rPr>
          <w:sz w:val="22"/>
          <w:szCs w:val="22"/>
        </w:rPr>
      </w:pPr>
    </w:p>
    <w:p w14:paraId="0EFFA78F" w14:textId="4B0A4D03" w:rsidR="00256D31" w:rsidRPr="004F7577" w:rsidRDefault="00256D31" w:rsidP="002E3165">
      <w:pPr>
        <w:rPr>
          <w:sz w:val="22"/>
          <w:szCs w:val="22"/>
        </w:rPr>
      </w:pPr>
      <w:r w:rsidRPr="004F7577">
        <w:rPr>
          <w:sz w:val="22"/>
          <w:szCs w:val="22"/>
        </w:rPr>
        <w:t>28</w:t>
      </w:r>
      <w:r w:rsidR="00521029">
        <w:rPr>
          <w:sz w:val="22"/>
          <w:szCs w:val="22"/>
        </w:rPr>
        <w:t xml:space="preserve">, 30, </w:t>
      </w:r>
      <w:r w:rsidR="00DE049E">
        <w:rPr>
          <w:sz w:val="22"/>
          <w:szCs w:val="22"/>
        </w:rPr>
        <w:t xml:space="preserve">42, 49 </w:t>
      </w:r>
      <w:r w:rsidRPr="004F7577">
        <w:rPr>
          <w:sz w:val="22"/>
          <w:szCs w:val="22"/>
        </w:rPr>
        <w:t>alebo 56 filmom obalených tabliet v škatuli.</w:t>
      </w:r>
    </w:p>
    <w:p w14:paraId="00CBE1A2" w14:textId="77777777" w:rsidR="007476A0" w:rsidRPr="004F7577" w:rsidRDefault="00167A6C" w:rsidP="002E3165">
      <w:pPr>
        <w:rPr>
          <w:sz w:val="22"/>
          <w:szCs w:val="22"/>
        </w:rPr>
      </w:pPr>
      <w:r w:rsidRPr="004F7577">
        <w:rPr>
          <w:sz w:val="22"/>
          <w:szCs w:val="22"/>
        </w:rPr>
        <w:t>Na trh nemusia byť uvedené</w:t>
      </w:r>
      <w:r w:rsidRPr="004F7577">
        <w:rPr>
          <w:sz w:val="22"/>
          <w:lang w:val="en-GB"/>
        </w:rPr>
        <w:t xml:space="preserve"> </w:t>
      </w:r>
      <w:r w:rsidRPr="004F7577">
        <w:rPr>
          <w:sz w:val="22"/>
          <w:szCs w:val="22"/>
        </w:rPr>
        <w:t>všetky veľkosti balenia.</w:t>
      </w:r>
    </w:p>
    <w:p w14:paraId="289BBEAC" w14:textId="77777777" w:rsidR="00256D31" w:rsidRPr="002E3165" w:rsidRDefault="00256D31" w:rsidP="002E3165"/>
    <w:p w14:paraId="79EE9683" w14:textId="77777777" w:rsidR="007476A0" w:rsidRPr="005055CA" w:rsidRDefault="00942A0B" w:rsidP="00031CE4">
      <w:pPr>
        <w:keepNext/>
        <w:rPr>
          <w:b/>
        </w:rPr>
      </w:pPr>
      <w:r w:rsidRPr="005055CA">
        <w:rPr>
          <w:b/>
        </w:rPr>
        <w:t>6.6</w:t>
      </w:r>
      <w:r w:rsidRPr="005055CA">
        <w:rPr>
          <w:b/>
        </w:rPr>
        <w:tab/>
      </w:r>
      <w:r w:rsidR="003C4019" w:rsidRPr="005055CA">
        <w:rPr>
          <w:b/>
        </w:rPr>
        <w:t>Špeciálne opatrenia na likvidáciu</w:t>
      </w:r>
    </w:p>
    <w:p w14:paraId="5111169D" w14:textId="77777777" w:rsidR="00167A6C" w:rsidRPr="002E3165" w:rsidRDefault="00167A6C" w:rsidP="00031CE4">
      <w:pPr>
        <w:keepNext/>
      </w:pPr>
    </w:p>
    <w:p w14:paraId="179D6060" w14:textId="77777777" w:rsidR="00167A6C" w:rsidRPr="002E3165" w:rsidRDefault="00256D31" w:rsidP="00031CE4">
      <w:pPr>
        <w:keepNext/>
      </w:pPr>
      <w:r w:rsidRPr="002E3165">
        <w:t>Žiadne zvláštne požiadavky.</w:t>
      </w:r>
    </w:p>
    <w:p w14:paraId="0B870677" w14:textId="77777777" w:rsidR="006C0593" w:rsidRPr="002E3165" w:rsidRDefault="006C0593" w:rsidP="002E3165"/>
    <w:p w14:paraId="560FB090" w14:textId="77777777" w:rsidR="00167A6C" w:rsidRPr="002E3165" w:rsidRDefault="00167A6C" w:rsidP="002E3165"/>
    <w:p w14:paraId="32F55A08" w14:textId="77777777" w:rsidR="007476A0" w:rsidRPr="005055CA" w:rsidRDefault="00942A0B" w:rsidP="002E3165">
      <w:pPr>
        <w:rPr>
          <w:b/>
        </w:rPr>
      </w:pPr>
      <w:r w:rsidRPr="005055CA">
        <w:rPr>
          <w:b/>
        </w:rPr>
        <w:t>7.</w:t>
      </w:r>
      <w:r w:rsidRPr="005055CA">
        <w:rPr>
          <w:b/>
        </w:rPr>
        <w:tab/>
      </w:r>
      <w:r w:rsidR="003C4019" w:rsidRPr="005055CA">
        <w:rPr>
          <w:b/>
        </w:rPr>
        <w:t>DRŽITEĽ ROZHODNUTIA O</w:t>
      </w:r>
      <w:r w:rsidR="009F71BE" w:rsidRPr="005055CA">
        <w:rPr>
          <w:b/>
        </w:rPr>
        <w:t> </w:t>
      </w:r>
      <w:r w:rsidR="003C4019" w:rsidRPr="005055CA">
        <w:rPr>
          <w:b/>
        </w:rPr>
        <w:t>REGISTRÁCII</w:t>
      </w:r>
    </w:p>
    <w:p w14:paraId="098BB6F5" w14:textId="77777777" w:rsidR="0002281C" w:rsidRPr="002E3165" w:rsidRDefault="0002281C" w:rsidP="002E3165"/>
    <w:p w14:paraId="4FF68482" w14:textId="77777777" w:rsidR="007355BE" w:rsidRPr="002E3165" w:rsidRDefault="009F71BE" w:rsidP="002E3165">
      <w:pPr>
        <w:rPr>
          <w:lang w:val="cs-CZ"/>
        </w:rPr>
      </w:pPr>
      <w:r w:rsidRPr="002E3165">
        <w:rPr>
          <w:lang w:val="cs-CZ"/>
        </w:rPr>
        <w:t>V</w:t>
      </w:r>
      <w:r w:rsidR="00817EAC" w:rsidRPr="002E3165">
        <w:rPr>
          <w:lang w:val="cs-CZ"/>
        </w:rPr>
        <w:t>ipharm S.A</w:t>
      </w:r>
      <w:r w:rsidRPr="002E3165">
        <w:rPr>
          <w:lang w:val="cs-CZ"/>
        </w:rPr>
        <w:t>.</w:t>
      </w:r>
    </w:p>
    <w:p w14:paraId="3F464F36" w14:textId="77777777" w:rsidR="007355BE" w:rsidRPr="002E3165" w:rsidRDefault="007355BE" w:rsidP="002E3165">
      <w:r w:rsidRPr="002E3165">
        <w:t>ul. A. i F. Radziwiłłów 9</w:t>
      </w:r>
    </w:p>
    <w:p w14:paraId="0759983F" w14:textId="77777777" w:rsidR="007355BE" w:rsidRPr="004F7577" w:rsidRDefault="007355BE" w:rsidP="002E3165">
      <w:pPr>
        <w:rPr>
          <w:lang w:val="pl-PL"/>
        </w:rPr>
      </w:pPr>
      <w:r w:rsidRPr="004F7577">
        <w:rPr>
          <w:lang w:val="pl-PL"/>
        </w:rPr>
        <w:t>05-850 Ożarów Mazowiecki</w:t>
      </w:r>
    </w:p>
    <w:p w14:paraId="13326342" w14:textId="77777777" w:rsidR="009F71BE" w:rsidRPr="002E3165" w:rsidRDefault="009F71BE" w:rsidP="002E3165">
      <w:r w:rsidRPr="002E3165">
        <w:t>Poľsko</w:t>
      </w:r>
    </w:p>
    <w:p w14:paraId="0F16A190" w14:textId="77777777" w:rsidR="0002281C" w:rsidRPr="002E3165" w:rsidRDefault="0002281C" w:rsidP="002E3165"/>
    <w:p w14:paraId="7240C8D5" w14:textId="77777777" w:rsidR="0002281C" w:rsidRPr="002E3165" w:rsidRDefault="0002281C" w:rsidP="002E3165"/>
    <w:p w14:paraId="3A658412" w14:textId="77777777" w:rsidR="009B5673" w:rsidRPr="005055CA" w:rsidRDefault="00942A0B" w:rsidP="002E3165">
      <w:pPr>
        <w:rPr>
          <w:b/>
        </w:rPr>
      </w:pPr>
      <w:r w:rsidRPr="005055CA">
        <w:rPr>
          <w:b/>
        </w:rPr>
        <w:t>8.</w:t>
      </w:r>
      <w:r w:rsidRPr="005055CA">
        <w:rPr>
          <w:b/>
        </w:rPr>
        <w:tab/>
      </w:r>
      <w:r w:rsidR="009B5673" w:rsidRPr="005055CA">
        <w:rPr>
          <w:b/>
        </w:rPr>
        <w:t>REGISTRAČNÉ ČÍSLA</w:t>
      </w:r>
    </w:p>
    <w:p w14:paraId="63888792" w14:textId="77777777" w:rsidR="005D356B" w:rsidRPr="002E3165" w:rsidRDefault="005D356B" w:rsidP="002E3165"/>
    <w:p w14:paraId="07C5CE80" w14:textId="77777777" w:rsidR="009B5673" w:rsidRPr="002E3165" w:rsidRDefault="009B5673" w:rsidP="002E3165">
      <w:r w:rsidRPr="002E3165">
        <w:t>OLPINAT 5 mg: 68/0232/10-S</w:t>
      </w:r>
    </w:p>
    <w:p w14:paraId="4A8FAB8A" w14:textId="77777777" w:rsidR="009B5673" w:rsidRPr="002E3165" w:rsidRDefault="009B5673" w:rsidP="002E3165">
      <w:r w:rsidRPr="002E3165">
        <w:t>OLPINAT 10 mg</w:t>
      </w:r>
      <w:r w:rsidRPr="002E3165">
        <w:rPr>
          <w:caps/>
        </w:rPr>
        <w:t>:</w:t>
      </w:r>
      <w:r w:rsidRPr="002E3165">
        <w:t xml:space="preserve"> 68/0233/10-S</w:t>
      </w:r>
    </w:p>
    <w:p w14:paraId="04B498F7" w14:textId="77777777" w:rsidR="005D356B" w:rsidRPr="002E3165" w:rsidRDefault="005D356B" w:rsidP="002E3165"/>
    <w:p w14:paraId="1F5CE851" w14:textId="77777777" w:rsidR="005D356B" w:rsidRPr="005055CA" w:rsidRDefault="005D356B" w:rsidP="002E3165">
      <w:pPr>
        <w:rPr>
          <w:b/>
        </w:rPr>
      </w:pPr>
    </w:p>
    <w:p w14:paraId="4A4921D3" w14:textId="77777777" w:rsidR="000C7246" w:rsidRPr="005055CA" w:rsidRDefault="00942A0B" w:rsidP="0014256C">
      <w:pPr>
        <w:keepNext/>
        <w:rPr>
          <w:b/>
        </w:rPr>
      </w:pPr>
      <w:r w:rsidRPr="005055CA">
        <w:rPr>
          <w:b/>
        </w:rPr>
        <w:t>9.</w:t>
      </w:r>
      <w:r w:rsidRPr="005055CA">
        <w:rPr>
          <w:b/>
        </w:rPr>
        <w:tab/>
      </w:r>
      <w:r w:rsidR="009B5673" w:rsidRPr="005055CA">
        <w:rPr>
          <w:b/>
        </w:rPr>
        <w:t>DÁTUM PRVEJ REGISTRÁCIE/PREDĹŽENIA REGISTRÁCIE</w:t>
      </w:r>
    </w:p>
    <w:p w14:paraId="72A3708B" w14:textId="77777777" w:rsidR="005D356B" w:rsidRPr="002E3165" w:rsidRDefault="005D356B" w:rsidP="0014256C">
      <w:pPr>
        <w:keepNext/>
      </w:pPr>
    </w:p>
    <w:p w14:paraId="03217CFC" w14:textId="77777777" w:rsidR="00EC46DB" w:rsidRPr="002E3165" w:rsidRDefault="00EC46DB" w:rsidP="0014256C">
      <w:pPr>
        <w:keepNext/>
      </w:pPr>
      <w:r w:rsidRPr="002E3165">
        <w:rPr>
          <w:lang w:val="en-GB"/>
        </w:rPr>
        <w:t xml:space="preserve">Dátum prvej registrácie: </w:t>
      </w:r>
      <w:r w:rsidRPr="002E3165">
        <w:t>29. apríla 2010</w:t>
      </w:r>
    </w:p>
    <w:p w14:paraId="36C48605" w14:textId="1CD86D22" w:rsidR="00EC46DB" w:rsidRPr="002E3165" w:rsidRDefault="00EC46DB" w:rsidP="0014256C">
      <w:pPr>
        <w:keepNext/>
      </w:pPr>
      <w:r w:rsidRPr="002E3165">
        <w:rPr>
          <w:lang w:val="en-GB"/>
        </w:rPr>
        <w:t>Dátum posledného predĺženia registrácie:</w:t>
      </w:r>
      <w:r w:rsidR="0053325A">
        <w:rPr>
          <w:lang w:val="en-GB"/>
        </w:rPr>
        <w:t xml:space="preserve"> </w:t>
      </w:r>
      <w:r w:rsidR="00EE6159">
        <w:rPr>
          <w:lang w:val="en-GB"/>
        </w:rPr>
        <w:t>1</w:t>
      </w:r>
      <w:r w:rsidR="0053325A">
        <w:rPr>
          <w:lang w:val="en-GB"/>
        </w:rPr>
        <w:t>8.</w:t>
      </w:r>
      <w:r w:rsidR="00460C89">
        <w:rPr>
          <w:lang w:val="en-GB"/>
        </w:rPr>
        <w:t xml:space="preserve"> </w:t>
      </w:r>
      <w:r w:rsidR="0053325A">
        <w:rPr>
          <w:lang w:val="en-GB"/>
        </w:rPr>
        <w:t>septembra 2015</w:t>
      </w:r>
    </w:p>
    <w:p w14:paraId="2C5649AF" w14:textId="77777777" w:rsidR="00EC46DB" w:rsidRPr="002E3165" w:rsidRDefault="00EC46DB" w:rsidP="002E3165"/>
    <w:p w14:paraId="05557D38" w14:textId="77777777" w:rsidR="005D356B" w:rsidRPr="002E3165" w:rsidRDefault="005D356B" w:rsidP="002E3165"/>
    <w:p w14:paraId="3BB17B20" w14:textId="77777777" w:rsidR="009B5673" w:rsidRPr="005055CA" w:rsidRDefault="00942A0B" w:rsidP="002E3165">
      <w:pPr>
        <w:rPr>
          <w:b/>
        </w:rPr>
      </w:pPr>
      <w:r w:rsidRPr="005055CA">
        <w:rPr>
          <w:b/>
        </w:rPr>
        <w:t>10.</w:t>
      </w:r>
      <w:r w:rsidRPr="005055CA">
        <w:rPr>
          <w:b/>
        </w:rPr>
        <w:tab/>
      </w:r>
      <w:r w:rsidR="009B5673" w:rsidRPr="005055CA">
        <w:rPr>
          <w:b/>
        </w:rPr>
        <w:t>DÁTUM REVÍZIE TEXTU</w:t>
      </w:r>
    </w:p>
    <w:p w14:paraId="22CD53CB" w14:textId="77777777" w:rsidR="005D356B" w:rsidRPr="002E3165" w:rsidRDefault="005D356B" w:rsidP="002E3165"/>
    <w:p w14:paraId="3A144C11" w14:textId="5C75A2CE" w:rsidR="007476A0" w:rsidRPr="00A805F5" w:rsidRDefault="00F006C5" w:rsidP="002E3165">
      <w:r>
        <w:t>01/2019</w:t>
      </w:r>
    </w:p>
    <w:sectPr w:rsidR="007476A0" w:rsidRPr="00A805F5" w:rsidSect="001A71DA">
      <w:headerReference w:type="default" r:id="rId8"/>
      <w:footerReference w:type="even" r:id="rId9"/>
      <w:footerReference w:type="default" r:id="rId10"/>
      <w:headerReference w:type="first" r:id="rId11"/>
      <w:footerReference w:type="first" r:id="rId12"/>
      <w:type w:val="continuous"/>
      <w:pgSz w:w="12240" w:h="15840" w:code="1"/>
      <w:pgMar w:top="1418" w:right="1418" w:bottom="1418" w:left="1418"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A7D33" w14:textId="77777777" w:rsidR="00AF57A0" w:rsidRDefault="00AF57A0">
      <w:r>
        <w:separator/>
      </w:r>
    </w:p>
  </w:endnote>
  <w:endnote w:type="continuationSeparator" w:id="0">
    <w:p w14:paraId="2B21DAFC" w14:textId="77777777" w:rsidR="00AF57A0" w:rsidRDefault="00AF57A0">
      <w:r>
        <w:continuationSeparator/>
      </w:r>
    </w:p>
  </w:endnote>
  <w:endnote w:type="continuationNotice" w:id="1">
    <w:p w14:paraId="00EB5F4C" w14:textId="77777777" w:rsidR="00AF57A0" w:rsidRDefault="00AF5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mericana L2">
    <w:altName w:val="Times New Roman"/>
    <w:charset w:val="EE"/>
    <w:family w:val="roman"/>
    <w:pitch w:val="variable"/>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7004B" w14:textId="77777777" w:rsidR="009B7331" w:rsidRDefault="009B7331" w:rsidP="008E05B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293081B" w14:textId="77777777" w:rsidR="009B7331" w:rsidRDefault="009B7331" w:rsidP="0024366C">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43104" w14:textId="77777777" w:rsidR="009B7331" w:rsidRPr="008E05B5" w:rsidRDefault="009B7331" w:rsidP="007E053F">
    <w:pPr>
      <w:pStyle w:val="Pta"/>
      <w:framePr w:wrap="around" w:vAnchor="text" w:hAnchor="margin" w:xAlign="center" w:y="1"/>
      <w:rPr>
        <w:rStyle w:val="slostrany"/>
        <w:sz w:val="18"/>
        <w:szCs w:val="18"/>
      </w:rPr>
    </w:pPr>
    <w:r w:rsidRPr="008E05B5">
      <w:rPr>
        <w:rStyle w:val="slostrany"/>
        <w:sz w:val="18"/>
        <w:szCs w:val="18"/>
      </w:rPr>
      <w:fldChar w:fldCharType="begin"/>
    </w:r>
    <w:r w:rsidRPr="008E05B5">
      <w:rPr>
        <w:rStyle w:val="slostrany"/>
        <w:sz w:val="18"/>
        <w:szCs w:val="18"/>
      </w:rPr>
      <w:instrText xml:space="preserve">PAGE  </w:instrText>
    </w:r>
    <w:r w:rsidRPr="008E05B5">
      <w:rPr>
        <w:rStyle w:val="slostrany"/>
        <w:sz w:val="18"/>
        <w:szCs w:val="18"/>
      </w:rPr>
      <w:fldChar w:fldCharType="separate"/>
    </w:r>
    <w:r w:rsidR="001A71DA">
      <w:rPr>
        <w:rStyle w:val="slostrany"/>
        <w:noProof/>
        <w:sz w:val="18"/>
        <w:szCs w:val="18"/>
      </w:rPr>
      <w:t>4</w:t>
    </w:r>
    <w:r w:rsidRPr="008E05B5">
      <w:rPr>
        <w:rStyle w:val="slostrany"/>
        <w:sz w:val="18"/>
        <w:szCs w:val="18"/>
      </w:rPr>
      <w:fldChar w:fldCharType="end"/>
    </w:r>
  </w:p>
  <w:p w14:paraId="48994D7B" w14:textId="77777777" w:rsidR="009B7331" w:rsidRPr="007167BE" w:rsidRDefault="009B7331" w:rsidP="008E05B5">
    <w:pPr>
      <w:pStyle w:val="Pta"/>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C24EF" w14:textId="77777777" w:rsidR="009B7331" w:rsidRPr="008E05B5" w:rsidRDefault="009B7331" w:rsidP="00A60A6F">
    <w:pPr>
      <w:pStyle w:val="Pta"/>
      <w:jc w:val="center"/>
      <w:rPr>
        <w:sz w:val="18"/>
        <w:szCs w:val="18"/>
      </w:rPr>
    </w:pPr>
    <w:r w:rsidRPr="008E05B5">
      <w:rPr>
        <w:rStyle w:val="slostrany"/>
        <w:sz w:val="18"/>
        <w:szCs w:val="18"/>
      </w:rPr>
      <w:fldChar w:fldCharType="begin"/>
    </w:r>
    <w:r w:rsidRPr="008E05B5">
      <w:rPr>
        <w:rStyle w:val="slostrany"/>
        <w:sz w:val="18"/>
        <w:szCs w:val="18"/>
      </w:rPr>
      <w:instrText xml:space="preserve"> PAGE </w:instrText>
    </w:r>
    <w:r w:rsidRPr="008E05B5">
      <w:rPr>
        <w:rStyle w:val="slostrany"/>
        <w:sz w:val="18"/>
        <w:szCs w:val="18"/>
      </w:rPr>
      <w:fldChar w:fldCharType="separate"/>
    </w:r>
    <w:r w:rsidR="00A262A0">
      <w:rPr>
        <w:rStyle w:val="slostrany"/>
        <w:noProof/>
        <w:sz w:val="18"/>
        <w:szCs w:val="18"/>
      </w:rPr>
      <w:t>1</w:t>
    </w:r>
    <w:r w:rsidRPr="008E05B5">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A861A" w14:textId="77777777" w:rsidR="00AF57A0" w:rsidRDefault="00AF57A0">
      <w:r>
        <w:separator/>
      </w:r>
    </w:p>
  </w:footnote>
  <w:footnote w:type="continuationSeparator" w:id="0">
    <w:p w14:paraId="4F14EE63" w14:textId="77777777" w:rsidR="00AF57A0" w:rsidRDefault="00AF57A0">
      <w:r>
        <w:continuationSeparator/>
      </w:r>
    </w:p>
  </w:footnote>
  <w:footnote w:type="continuationNotice" w:id="1">
    <w:p w14:paraId="2F616A1A" w14:textId="77777777" w:rsidR="00AF57A0" w:rsidRDefault="00AF57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545E1" w14:textId="77777777" w:rsidR="00A262A0" w:rsidRDefault="00A262A0" w:rsidP="00A262A0">
    <w:pPr>
      <w:outlineLvl w:val="0"/>
      <w:rPr>
        <w:noProof/>
        <w:sz w:val="18"/>
        <w:szCs w:val="18"/>
        <w:lang w:eastAsia="en-GB"/>
      </w:rPr>
    </w:pPr>
    <w:r>
      <w:rPr>
        <w:noProof/>
        <w:sz w:val="18"/>
        <w:szCs w:val="18"/>
        <w:lang w:eastAsia="en-GB"/>
      </w:rPr>
      <w:t>Príloha č. 1 k notifikácii o zmene, ev. č.: 2016/04859-Z1A</w:t>
    </w:r>
  </w:p>
  <w:p w14:paraId="2C56BCE1" w14:textId="77777777" w:rsidR="00A262A0" w:rsidRDefault="00A262A0" w:rsidP="00A262A0">
    <w:pPr>
      <w:outlineLvl w:val="0"/>
      <w:rPr>
        <w:noProof/>
        <w:sz w:val="18"/>
        <w:szCs w:val="18"/>
        <w:lang w:eastAsia="en-GB"/>
      </w:rPr>
    </w:pPr>
    <w:r>
      <w:rPr>
        <w:noProof/>
        <w:sz w:val="18"/>
        <w:szCs w:val="18"/>
        <w:lang w:eastAsia="en-GB"/>
      </w:rPr>
      <w:t>Príloha č. 1 k notifikácii o zmene, ev. č.: 2017/00831-Z1A</w:t>
    </w:r>
  </w:p>
  <w:p w14:paraId="233A0785" w14:textId="1215CE0A" w:rsidR="00A262A0" w:rsidRDefault="00F006C5" w:rsidP="001A71DA">
    <w:pPr>
      <w:outlineLvl w:val="0"/>
    </w:pPr>
    <w:r>
      <w:rPr>
        <w:noProof/>
        <w:sz w:val="18"/>
        <w:szCs w:val="18"/>
        <w:lang w:eastAsia="en-GB"/>
      </w:rPr>
      <w:t>Príloha č. 2</w:t>
    </w:r>
    <w:r w:rsidR="00A262A0">
      <w:rPr>
        <w:noProof/>
        <w:sz w:val="18"/>
        <w:szCs w:val="18"/>
        <w:lang w:eastAsia="en-GB"/>
      </w:rPr>
      <w:t xml:space="preserve"> k notifikácii o zmene, ev. č.: 2017/05689-Z1A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0E60E" w14:textId="77777777" w:rsidR="00A262A0" w:rsidRDefault="00A262A0" w:rsidP="00FE5A9B">
    <w:pPr>
      <w:outlineLvl w:val="0"/>
      <w:rPr>
        <w:noProof/>
        <w:sz w:val="18"/>
        <w:szCs w:val="18"/>
        <w:lang w:eastAsia="en-GB"/>
      </w:rPr>
    </w:pPr>
    <w:r>
      <w:rPr>
        <w:noProof/>
        <w:sz w:val="18"/>
        <w:szCs w:val="18"/>
        <w:lang w:eastAsia="en-GB"/>
      </w:rPr>
      <w:t>Príloha č. 1 k notifikácii o zmene, ev. č.: 2016/04859-Z1A</w:t>
    </w:r>
  </w:p>
  <w:p w14:paraId="00668840" w14:textId="77777777" w:rsidR="00A262A0" w:rsidRDefault="00A262A0" w:rsidP="00FE5A9B">
    <w:pPr>
      <w:outlineLvl w:val="0"/>
      <w:rPr>
        <w:noProof/>
        <w:sz w:val="18"/>
        <w:szCs w:val="18"/>
        <w:lang w:eastAsia="en-GB"/>
      </w:rPr>
    </w:pPr>
    <w:r>
      <w:rPr>
        <w:noProof/>
        <w:sz w:val="18"/>
        <w:szCs w:val="18"/>
        <w:lang w:eastAsia="en-GB"/>
      </w:rPr>
      <w:t>Príloha č. 1 k notifikácii o zmene, ev. č.: 2017/00831-Z1A</w:t>
    </w:r>
  </w:p>
  <w:p w14:paraId="295C6558" w14:textId="71C18B12" w:rsidR="009B7331" w:rsidRDefault="00A262A0" w:rsidP="00FE5A9B">
    <w:pPr>
      <w:outlineLvl w:val="0"/>
    </w:pPr>
    <w:r>
      <w:rPr>
        <w:noProof/>
        <w:sz w:val="18"/>
        <w:szCs w:val="18"/>
        <w:lang w:eastAsia="en-GB"/>
      </w:rPr>
      <w:t>Príloha č. 1 k notifikácii o zmene, ev. č.: 2017/05689-Z1A</w:t>
    </w:r>
  </w:p>
  <w:p w14:paraId="58A89DA9" w14:textId="77777777" w:rsidR="009B7331" w:rsidRPr="00AC7805" w:rsidRDefault="009B7331" w:rsidP="00712683">
    <w:pPr>
      <w:outlineLvl w:val="0"/>
      <w:rPr>
        <w:noProof/>
        <w:sz w:val="20"/>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4DEF1B"/>
    <w:multiLevelType w:val="hybridMultilevel"/>
    <w:tmpl w:val="8D42589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8C0117"/>
    <w:multiLevelType w:val="hybridMultilevel"/>
    <w:tmpl w:val="7E337D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B2C8FB"/>
    <w:multiLevelType w:val="hybridMultilevel"/>
    <w:tmpl w:val="FB39F1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E8DD76"/>
    <w:multiLevelType w:val="hybridMultilevel"/>
    <w:tmpl w:val="0BBFFBA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DF2409C"/>
    <w:multiLevelType w:val="hybridMultilevel"/>
    <w:tmpl w:val="43A2579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1E943DF"/>
    <w:multiLevelType w:val="hybridMultilevel"/>
    <w:tmpl w:val="E92FC56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5E9DC03"/>
    <w:multiLevelType w:val="hybridMultilevel"/>
    <w:tmpl w:val="0BF8A2C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16368F3"/>
    <w:multiLevelType w:val="hybridMultilevel"/>
    <w:tmpl w:val="1D3E0D9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CA70AAF"/>
    <w:multiLevelType w:val="hybridMultilevel"/>
    <w:tmpl w:val="189D3CE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D33C310"/>
    <w:multiLevelType w:val="hybridMultilevel"/>
    <w:tmpl w:val="DFC9F39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2485B41"/>
    <w:multiLevelType w:val="hybridMultilevel"/>
    <w:tmpl w:val="11D04A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302DF24"/>
    <w:multiLevelType w:val="hybridMultilevel"/>
    <w:tmpl w:val="33FBA81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DCA060F"/>
    <w:multiLevelType w:val="hybridMultilevel"/>
    <w:tmpl w:val="B9C692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DD33BA8"/>
    <w:multiLevelType w:val="hybridMultilevel"/>
    <w:tmpl w:val="7A05767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FB11550"/>
    <w:multiLevelType w:val="hybridMultilevel"/>
    <w:tmpl w:val="760366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490EC70"/>
    <w:multiLevelType w:val="hybridMultilevel"/>
    <w:tmpl w:val="E3A3A69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5957AA9"/>
    <w:multiLevelType w:val="hybridMultilevel"/>
    <w:tmpl w:val="35ECDE2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1AF18E5"/>
    <w:multiLevelType w:val="hybridMultilevel"/>
    <w:tmpl w:val="DD00CD7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639A8EF"/>
    <w:multiLevelType w:val="hybridMultilevel"/>
    <w:tmpl w:val="27BCB50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7391103"/>
    <w:multiLevelType w:val="hybridMultilevel"/>
    <w:tmpl w:val="72BB03E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EABC0E27"/>
    <w:multiLevelType w:val="hybridMultilevel"/>
    <w:tmpl w:val="38D1575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EFC905A3"/>
    <w:multiLevelType w:val="hybridMultilevel"/>
    <w:tmpl w:val="5BF1E5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F14F943E"/>
    <w:multiLevelType w:val="hybridMultilevel"/>
    <w:tmpl w:val="35C2B23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1775E83"/>
    <w:multiLevelType w:val="hybridMultilevel"/>
    <w:tmpl w:val="EA4E6A1E"/>
    <w:lvl w:ilvl="0" w:tplc="93D4B298">
      <w:start w:val="1"/>
      <w:numFmt w:val="bullet"/>
      <w:pStyle w:val="Normlndoblokusodrkami"/>
      <w:lvlText w:val=""/>
      <w:lvlJc w:val="left"/>
      <w:pPr>
        <w:tabs>
          <w:tab w:val="num" w:pos="1077"/>
        </w:tabs>
        <w:ind w:left="1077" w:hanging="360"/>
      </w:pPr>
      <w:rPr>
        <w:rFonts w:ascii="Symbol" w:hAnsi="Symbol" w:hint="default"/>
      </w:rPr>
    </w:lvl>
    <w:lvl w:ilvl="1" w:tplc="041B0003" w:tentative="1">
      <w:start w:val="1"/>
      <w:numFmt w:val="bullet"/>
      <w:lvlText w:val="o"/>
      <w:lvlJc w:val="left"/>
      <w:pPr>
        <w:tabs>
          <w:tab w:val="num" w:pos="1797"/>
        </w:tabs>
        <w:ind w:left="1797" w:hanging="360"/>
      </w:pPr>
      <w:rPr>
        <w:rFonts w:ascii="Courier New" w:hAnsi="Courier New" w:cs="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cs="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cs="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03E77F80"/>
    <w:multiLevelType w:val="hybridMultilevel"/>
    <w:tmpl w:val="A257DD4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6216BCD"/>
    <w:multiLevelType w:val="hybridMultilevel"/>
    <w:tmpl w:val="0816A5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792D503"/>
    <w:multiLevelType w:val="hybridMultilevel"/>
    <w:tmpl w:val="9432CF8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8EA9FBA"/>
    <w:multiLevelType w:val="hybridMultilevel"/>
    <w:tmpl w:val="532F7B9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AA342EC"/>
    <w:multiLevelType w:val="hybridMultilevel"/>
    <w:tmpl w:val="D1A291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BFCBB45"/>
    <w:multiLevelType w:val="hybridMultilevel"/>
    <w:tmpl w:val="D75BDE4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1598126"/>
    <w:multiLevelType w:val="hybridMultilevel"/>
    <w:tmpl w:val="324213D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182CA6A"/>
    <w:multiLevelType w:val="hybridMultilevel"/>
    <w:tmpl w:val="19920C0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E100421"/>
    <w:multiLevelType w:val="hybridMultilevel"/>
    <w:tmpl w:val="D3B4133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2EFDEA43"/>
    <w:multiLevelType w:val="hybridMultilevel"/>
    <w:tmpl w:val="B26A366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36B5276"/>
    <w:multiLevelType w:val="hybridMultilevel"/>
    <w:tmpl w:val="24F96FB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49CA48C"/>
    <w:multiLevelType w:val="hybridMultilevel"/>
    <w:tmpl w:val="E630B97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639E302"/>
    <w:multiLevelType w:val="hybridMultilevel"/>
    <w:tmpl w:val="6FDB0C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3B38CB55"/>
    <w:multiLevelType w:val="hybridMultilevel"/>
    <w:tmpl w:val="B659C12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B8B0919"/>
    <w:multiLevelType w:val="hybridMultilevel"/>
    <w:tmpl w:val="98128A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DB58665"/>
    <w:multiLevelType w:val="hybridMultilevel"/>
    <w:tmpl w:val="7DBE263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06709A4"/>
    <w:multiLevelType w:val="hybridMultilevel"/>
    <w:tmpl w:val="0743A7D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AD99836"/>
    <w:multiLevelType w:val="hybridMultilevel"/>
    <w:tmpl w:val="C7AED2D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DC870B5"/>
    <w:multiLevelType w:val="hybridMultilevel"/>
    <w:tmpl w:val="41A5C80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9001E54"/>
    <w:multiLevelType w:val="hybridMultilevel"/>
    <w:tmpl w:val="79F16D4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A33B0B9"/>
    <w:multiLevelType w:val="hybridMultilevel"/>
    <w:tmpl w:val="9A751CF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5BA3DA07"/>
    <w:multiLevelType w:val="hybridMultilevel"/>
    <w:tmpl w:val="2220B67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1CE5EF6"/>
    <w:multiLevelType w:val="multilevel"/>
    <w:tmpl w:val="5AB0A838"/>
    <w:lvl w:ilvl="0">
      <w:start w:val="1"/>
      <w:numFmt w:val="decimal"/>
      <w:lvlText w:val="%1."/>
      <w:lvlJc w:val="left"/>
      <w:pPr>
        <w:tabs>
          <w:tab w:val="num" w:pos="720"/>
        </w:tabs>
        <w:ind w:left="720" w:hanging="360"/>
      </w:pPr>
      <w:rPr>
        <w:rFonts w:hint="default"/>
      </w:rPr>
    </w:lvl>
    <w:lvl w:ilvl="1">
      <w:start w:val="1"/>
      <w:numFmt w:val="decimal"/>
      <w:pStyle w:val="tlViacrovov14ptTun"/>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5400"/>
        </w:tabs>
        <w:ind w:left="5400" w:hanging="2160"/>
      </w:pPr>
      <w:rPr>
        <w:rFonts w:hint="default"/>
      </w:rPr>
    </w:lvl>
  </w:abstractNum>
  <w:abstractNum w:abstractNumId="47" w15:restartNumberingAfterBreak="0">
    <w:nsid w:val="63F572B3"/>
    <w:multiLevelType w:val="hybridMultilevel"/>
    <w:tmpl w:val="0C7073C8"/>
    <w:lvl w:ilvl="0" w:tplc="EECA4E36">
      <w:start w:val="1"/>
      <w:numFmt w:val="bullet"/>
      <w:pStyle w:val="Normlnedoblokusodrkami"/>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AAD4AA7"/>
    <w:multiLevelType w:val="multilevel"/>
    <w:tmpl w:val="8B746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E7C4F1B"/>
    <w:multiLevelType w:val="hybridMultilevel"/>
    <w:tmpl w:val="CE1C1AA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EC9770D"/>
    <w:multiLevelType w:val="hybridMultilevel"/>
    <w:tmpl w:val="BDDD33C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7"/>
  </w:num>
  <w:num w:numId="2">
    <w:abstractNumId w:val="23"/>
  </w:num>
  <w:num w:numId="3">
    <w:abstractNumId w:val="46"/>
  </w:num>
  <w:num w:numId="4">
    <w:abstractNumId w:val="11"/>
  </w:num>
  <w:num w:numId="5">
    <w:abstractNumId w:val="2"/>
  </w:num>
  <w:num w:numId="6">
    <w:abstractNumId w:val="10"/>
  </w:num>
  <w:num w:numId="7">
    <w:abstractNumId w:val="44"/>
  </w:num>
  <w:num w:numId="8">
    <w:abstractNumId w:val="35"/>
  </w:num>
  <w:num w:numId="9">
    <w:abstractNumId w:val="45"/>
  </w:num>
  <w:num w:numId="10">
    <w:abstractNumId w:val="17"/>
  </w:num>
  <w:num w:numId="11">
    <w:abstractNumId w:val="24"/>
  </w:num>
  <w:num w:numId="12">
    <w:abstractNumId w:val="18"/>
  </w:num>
  <w:num w:numId="13">
    <w:abstractNumId w:val="31"/>
  </w:num>
  <w:num w:numId="14">
    <w:abstractNumId w:val="8"/>
  </w:num>
  <w:num w:numId="15">
    <w:abstractNumId w:val="34"/>
  </w:num>
  <w:num w:numId="16">
    <w:abstractNumId w:val="33"/>
  </w:num>
  <w:num w:numId="17">
    <w:abstractNumId w:val="27"/>
  </w:num>
  <w:num w:numId="18">
    <w:abstractNumId w:val="22"/>
  </w:num>
  <w:num w:numId="19">
    <w:abstractNumId w:val="5"/>
  </w:num>
  <w:num w:numId="20">
    <w:abstractNumId w:val="26"/>
  </w:num>
  <w:num w:numId="21">
    <w:abstractNumId w:val="21"/>
  </w:num>
  <w:num w:numId="22">
    <w:abstractNumId w:val="30"/>
  </w:num>
  <w:num w:numId="23">
    <w:abstractNumId w:val="38"/>
  </w:num>
  <w:num w:numId="24">
    <w:abstractNumId w:val="50"/>
  </w:num>
  <w:num w:numId="25">
    <w:abstractNumId w:val="0"/>
  </w:num>
  <w:num w:numId="26">
    <w:abstractNumId w:val="6"/>
  </w:num>
  <w:num w:numId="27">
    <w:abstractNumId w:val="14"/>
  </w:num>
  <w:num w:numId="28">
    <w:abstractNumId w:val="12"/>
  </w:num>
  <w:num w:numId="29">
    <w:abstractNumId w:val="39"/>
  </w:num>
  <w:num w:numId="30">
    <w:abstractNumId w:val="9"/>
  </w:num>
  <w:num w:numId="31">
    <w:abstractNumId w:val="43"/>
  </w:num>
  <w:num w:numId="32">
    <w:abstractNumId w:val="1"/>
  </w:num>
  <w:num w:numId="33">
    <w:abstractNumId w:val="16"/>
  </w:num>
  <w:num w:numId="34">
    <w:abstractNumId w:val="7"/>
  </w:num>
  <w:num w:numId="35">
    <w:abstractNumId w:val="13"/>
  </w:num>
  <w:num w:numId="36">
    <w:abstractNumId w:val="49"/>
  </w:num>
  <w:num w:numId="37">
    <w:abstractNumId w:val="37"/>
  </w:num>
  <w:num w:numId="38">
    <w:abstractNumId w:val="32"/>
  </w:num>
  <w:num w:numId="39">
    <w:abstractNumId w:val="29"/>
  </w:num>
  <w:num w:numId="40">
    <w:abstractNumId w:val="42"/>
  </w:num>
  <w:num w:numId="41">
    <w:abstractNumId w:val="36"/>
  </w:num>
  <w:num w:numId="42">
    <w:abstractNumId w:val="15"/>
  </w:num>
  <w:num w:numId="43">
    <w:abstractNumId w:val="28"/>
  </w:num>
  <w:num w:numId="44">
    <w:abstractNumId w:val="41"/>
  </w:num>
  <w:num w:numId="45">
    <w:abstractNumId w:val="40"/>
  </w:num>
  <w:num w:numId="46">
    <w:abstractNumId w:val="20"/>
  </w:num>
  <w:num w:numId="47">
    <w:abstractNumId w:val="19"/>
  </w:num>
  <w:num w:numId="48">
    <w:abstractNumId w:val="4"/>
  </w:num>
  <w:num w:numId="49">
    <w:abstractNumId w:val="25"/>
  </w:num>
  <w:num w:numId="50">
    <w:abstractNumId w:val="3"/>
  </w:num>
  <w:num w:numId="51">
    <w:abstractNumId w:val="48"/>
  </w:num>
  <w:num w:numId="52">
    <w:abstractNumId w:val="48"/>
  </w:num>
  <w:num w:numId="53">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19"/>
    <w:rsid w:val="000149CC"/>
    <w:rsid w:val="00021A5C"/>
    <w:rsid w:val="0002281C"/>
    <w:rsid w:val="00023B1B"/>
    <w:rsid w:val="00031CE4"/>
    <w:rsid w:val="000357E1"/>
    <w:rsid w:val="00035EDB"/>
    <w:rsid w:val="00036193"/>
    <w:rsid w:val="00043E64"/>
    <w:rsid w:val="00044169"/>
    <w:rsid w:val="0004572E"/>
    <w:rsid w:val="000478C7"/>
    <w:rsid w:val="0005254E"/>
    <w:rsid w:val="00054A7B"/>
    <w:rsid w:val="00055FE9"/>
    <w:rsid w:val="000607F2"/>
    <w:rsid w:val="0006216A"/>
    <w:rsid w:val="00066B3C"/>
    <w:rsid w:val="0007390F"/>
    <w:rsid w:val="00073A6B"/>
    <w:rsid w:val="00076133"/>
    <w:rsid w:val="000765F3"/>
    <w:rsid w:val="00077989"/>
    <w:rsid w:val="000843EF"/>
    <w:rsid w:val="00084D07"/>
    <w:rsid w:val="0008620F"/>
    <w:rsid w:val="00095162"/>
    <w:rsid w:val="00095833"/>
    <w:rsid w:val="0009626D"/>
    <w:rsid w:val="000B5780"/>
    <w:rsid w:val="000B692B"/>
    <w:rsid w:val="000C1B48"/>
    <w:rsid w:val="000C7246"/>
    <w:rsid w:val="000C755F"/>
    <w:rsid w:val="000D0D37"/>
    <w:rsid w:val="000D2846"/>
    <w:rsid w:val="000D495D"/>
    <w:rsid w:val="000E4FAE"/>
    <w:rsid w:val="000E5CF2"/>
    <w:rsid w:val="000F145B"/>
    <w:rsid w:val="000F18E3"/>
    <w:rsid w:val="00101EC9"/>
    <w:rsid w:val="001020D4"/>
    <w:rsid w:val="00103970"/>
    <w:rsid w:val="001046ED"/>
    <w:rsid w:val="00106994"/>
    <w:rsid w:val="00111FC8"/>
    <w:rsid w:val="00115225"/>
    <w:rsid w:val="0012565A"/>
    <w:rsid w:val="00141DE7"/>
    <w:rsid w:val="00142528"/>
    <w:rsid w:val="0014256C"/>
    <w:rsid w:val="00144B50"/>
    <w:rsid w:val="00152C06"/>
    <w:rsid w:val="00154171"/>
    <w:rsid w:val="00160AAC"/>
    <w:rsid w:val="00161442"/>
    <w:rsid w:val="00164D4B"/>
    <w:rsid w:val="00166CB5"/>
    <w:rsid w:val="00167A6C"/>
    <w:rsid w:val="001726DD"/>
    <w:rsid w:val="00176DE9"/>
    <w:rsid w:val="00183F63"/>
    <w:rsid w:val="00184094"/>
    <w:rsid w:val="00184F6A"/>
    <w:rsid w:val="001870D0"/>
    <w:rsid w:val="001901C9"/>
    <w:rsid w:val="001A1CBE"/>
    <w:rsid w:val="001A3FDC"/>
    <w:rsid w:val="001A69F9"/>
    <w:rsid w:val="001A71DA"/>
    <w:rsid w:val="001A7335"/>
    <w:rsid w:val="001B1A46"/>
    <w:rsid w:val="001C2B29"/>
    <w:rsid w:val="001C394F"/>
    <w:rsid w:val="001C3D04"/>
    <w:rsid w:val="001D1D47"/>
    <w:rsid w:val="001D2038"/>
    <w:rsid w:val="001D68FB"/>
    <w:rsid w:val="001D7710"/>
    <w:rsid w:val="001E0B63"/>
    <w:rsid w:val="001E65EA"/>
    <w:rsid w:val="001F4F20"/>
    <w:rsid w:val="002029B8"/>
    <w:rsid w:val="00214A3C"/>
    <w:rsid w:val="002275B9"/>
    <w:rsid w:val="00237448"/>
    <w:rsid w:val="002419BC"/>
    <w:rsid w:val="0024366C"/>
    <w:rsid w:val="00244050"/>
    <w:rsid w:val="0024759D"/>
    <w:rsid w:val="00256402"/>
    <w:rsid w:val="00256D31"/>
    <w:rsid w:val="002661CF"/>
    <w:rsid w:val="00267958"/>
    <w:rsid w:val="002736E9"/>
    <w:rsid w:val="00274236"/>
    <w:rsid w:val="00274C82"/>
    <w:rsid w:val="00275134"/>
    <w:rsid w:val="00276057"/>
    <w:rsid w:val="00281297"/>
    <w:rsid w:val="00282D3D"/>
    <w:rsid w:val="00284E00"/>
    <w:rsid w:val="002850D7"/>
    <w:rsid w:val="00295B04"/>
    <w:rsid w:val="00295BC4"/>
    <w:rsid w:val="00296D11"/>
    <w:rsid w:val="00297DD9"/>
    <w:rsid w:val="002A02F7"/>
    <w:rsid w:val="002A35B9"/>
    <w:rsid w:val="002A7B07"/>
    <w:rsid w:val="002B0552"/>
    <w:rsid w:val="002B12F2"/>
    <w:rsid w:val="002B1C6B"/>
    <w:rsid w:val="002B4828"/>
    <w:rsid w:val="002C13A4"/>
    <w:rsid w:val="002C4A06"/>
    <w:rsid w:val="002C5AD0"/>
    <w:rsid w:val="002C6EE1"/>
    <w:rsid w:val="002D04A6"/>
    <w:rsid w:val="002D27F2"/>
    <w:rsid w:val="002D35D4"/>
    <w:rsid w:val="002E096C"/>
    <w:rsid w:val="002E3165"/>
    <w:rsid w:val="002E39D0"/>
    <w:rsid w:val="002E4932"/>
    <w:rsid w:val="002F0A24"/>
    <w:rsid w:val="002F2C85"/>
    <w:rsid w:val="002F3121"/>
    <w:rsid w:val="002F344B"/>
    <w:rsid w:val="002F74B7"/>
    <w:rsid w:val="00306AE8"/>
    <w:rsid w:val="003134B5"/>
    <w:rsid w:val="00313E36"/>
    <w:rsid w:val="003160A5"/>
    <w:rsid w:val="00317BDD"/>
    <w:rsid w:val="00325AA7"/>
    <w:rsid w:val="003354DE"/>
    <w:rsid w:val="00335B7D"/>
    <w:rsid w:val="00337BD6"/>
    <w:rsid w:val="00345916"/>
    <w:rsid w:val="003466FE"/>
    <w:rsid w:val="00346A9F"/>
    <w:rsid w:val="00354925"/>
    <w:rsid w:val="00354F70"/>
    <w:rsid w:val="00357386"/>
    <w:rsid w:val="00360BDC"/>
    <w:rsid w:val="00362CFD"/>
    <w:rsid w:val="0036426C"/>
    <w:rsid w:val="00364B91"/>
    <w:rsid w:val="003669E7"/>
    <w:rsid w:val="00367804"/>
    <w:rsid w:val="00371933"/>
    <w:rsid w:val="0037360E"/>
    <w:rsid w:val="003751EC"/>
    <w:rsid w:val="00380783"/>
    <w:rsid w:val="0038798B"/>
    <w:rsid w:val="00390729"/>
    <w:rsid w:val="00390F82"/>
    <w:rsid w:val="00397C1A"/>
    <w:rsid w:val="003A1534"/>
    <w:rsid w:val="003B1C68"/>
    <w:rsid w:val="003B4788"/>
    <w:rsid w:val="003B6C07"/>
    <w:rsid w:val="003C2CD2"/>
    <w:rsid w:val="003C3177"/>
    <w:rsid w:val="003C4019"/>
    <w:rsid w:val="003C6BA4"/>
    <w:rsid w:val="003D6ECB"/>
    <w:rsid w:val="003D7167"/>
    <w:rsid w:val="003E1495"/>
    <w:rsid w:val="003E77CB"/>
    <w:rsid w:val="0041020A"/>
    <w:rsid w:val="00411A9F"/>
    <w:rsid w:val="00412014"/>
    <w:rsid w:val="0042263B"/>
    <w:rsid w:val="004251B8"/>
    <w:rsid w:val="00430FCA"/>
    <w:rsid w:val="0043395D"/>
    <w:rsid w:val="00435912"/>
    <w:rsid w:val="00440C90"/>
    <w:rsid w:val="00440E8C"/>
    <w:rsid w:val="004457DB"/>
    <w:rsid w:val="00446FB2"/>
    <w:rsid w:val="004602FC"/>
    <w:rsid w:val="00460C89"/>
    <w:rsid w:val="00470662"/>
    <w:rsid w:val="004706E9"/>
    <w:rsid w:val="0047168F"/>
    <w:rsid w:val="00481B22"/>
    <w:rsid w:val="00484088"/>
    <w:rsid w:val="00485CA2"/>
    <w:rsid w:val="004946F8"/>
    <w:rsid w:val="004968C7"/>
    <w:rsid w:val="004971ED"/>
    <w:rsid w:val="004A2CC4"/>
    <w:rsid w:val="004A40F7"/>
    <w:rsid w:val="004A5BA9"/>
    <w:rsid w:val="004A5E76"/>
    <w:rsid w:val="004A7DDC"/>
    <w:rsid w:val="004B11CB"/>
    <w:rsid w:val="004B5A9E"/>
    <w:rsid w:val="004C0B6C"/>
    <w:rsid w:val="004C51EA"/>
    <w:rsid w:val="004D229C"/>
    <w:rsid w:val="004D7D61"/>
    <w:rsid w:val="004E012D"/>
    <w:rsid w:val="004E0410"/>
    <w:rsid w:val="004E5A7C"/>
    <w:rsid w:val="004F1D6E"/>
    <w:rsid w:val="004F558E"/>
    <w:rsid w:val="004F7577"/>
    <w:rsid w:val="005005B1"/>
    <w:rsid w:val="00504810"/>
    <w:rsid w:val="005055CA"/>
    <w:rsid w:val="00511CBA"/>
    <w:rsid w:val="00515C93"/>
    <w:rsid w:val="00517B5D"/>
    <w:rsid w:val="00521029"/>
    <w:rsid w:val="00523720"/>
    <w:rsid w:val="00524F67"/>
    <w:rsid w:val="00525F7C"/>
    <w:rsid w:val="0053325A"/>
    <w:rsid w:val="00535DF5"/>
    <w:rsid w:val="00551E87"/>
    <w:rsid w:val="00554F49"/>
    <w:rsid w:val="00560266"/>
    <w:rsid w:val="00564907"/>
    <w:rsid w:val="005658C3"/>
    <w:rsid w:val="0057001E"/>
    <w:rsid w:val="005702D9"/>
    <w:rsid w:val="005729C1"/>
    <w:rsid w:val="00573A69"/>
    <w:rsid w:val="0057483B"/>
    <w:rsid w:val="005755C6"/>
    <w:rsid w:val="00576260"/>
    <w:rsid w:val="00577C60"/>
    <w:rsid w:val="00583F7A"/>
    <w:rsid w:val="00590835"/>
    <w:rsid w:val="0059497C"/>
    <w:rsid w:val="00597077"/>
    <w:rsid w:val="0059785B"/>
    <w:rsid w:val="00597CB3"/>
    <w:rsid w:val="005A0237"/>
    <w:rsid w:val="005A03F5"/>
    <w:rsid w:val="005B4096"/>
    <w:rsid w:val="005B675B"/>
    <w:rsid w:val="005B74CE"/>
    <w:rsid w:val="005C7B14"/>
    <w:rsid w:val="005D356B"/>
    <w:rsid w:val="005D4C62"/>
    <w:rsid w:val="005D6014"/>
    <w:rsid w:val="005D73C6"/>
    <w:rsid w:val="005D74C9"/>
    <w:rsid w:val="005F3A4E"/>
    <w:rsid w:val="005F7279"/>
    <w:rsid w:val="00600A40"/>
    <w:rsid w:val="00600BF8"/>
    <w:rsid w:val="00603806"/>
    <w:rsid w:val="00604CE2"/>
    <w:rsid w:val="006058E5"/>
    <w:rsid w:val="006066B4"/>
    <w:rsid w:val="006132DA"/>
    <w:rsid w:val="00615EF0"/>
    <w:rsid w:val="0061676C"/>
    <w:rsid w:val="006227B9"/>
    <w:rsid w:val="00624CDB"/>
    <w:rsid w:val="00627712"/>
    <w:rsid w:val="00634934"/>
    <w:rsid w:val="00634E6C"/>
    <w:rsid w:val="006403B9"/>
    <w:rsid w:val="00640FE3"/>
    <w:rsid w:val="00647218"/>
    <w:rsid w:val="006504AC"/>
    <w:rsid w:val="00651B10"/>
    <w:rsid w:val="00660DC2"/>
    <w:rsid w:val="006654C7"/>
    <w:rsid w:val="00665E8C"/>
    <w:rsid w:val="00667AAB"/>
    <w:rsid w:val="0067248F"/>
    <w:rsid w:val="00676ABB"/>
    <w:rsid w:val="006826D9"/>
    <w:rsid w:val="00685488"/>
    <w:rsid w:val="00697B34"/>
    <w:rsid w:val="006A0611"/>
    <w:rsid w:val="006A2F7D"/>
    <w:rsid w:val="006A5CDA"/>
    <w:rsid w:val="006A637F"/>
    <w:rsid w:val="006A7CF7"/>
    <w:rsid w:val="006B043F"/>
    <w:rsid w:val="006B255A"/>
    <w:rsid w:val="006B2E2D"/>
    <w:rsid w:val="006C0593"/>
    <w:rsid w:val="006C39C9"/>
    <w:rsid w:val="006C5736"/>
    <w:rsid w:val="006D5848"/>
    <w:rsid w:val="006D73AC"/>
    <w:rsid w:val="006E16BC"/>
    <w:rsid w:val="006E1744"/>
    <w:rsid w:val="006E1CA7"/>
    <w:rsid w:val="006E2EDB"/>
    <w:rsid w:val="006E3BFC"/>
    <w:rsid w:val="006F2791"/>
    <w:rsid w:val="006F5EB0"/>
    <w:rsid w:val="006F5F3A"/>
    <w:rsid w:val="006F6712"/>
    <w:rsid w:val="006F7061"/>
    <w:rsid w:val="00701DB1"/>
    <w:rsid w:val="007056E0"/>
    <w:rsid w:val="00706838"/>
    <w:rsid w:val="00712683"/>
    <w:rsid w:val="00714235"/>
    <w:rsid w:val="007167BE"/>
    <w:rsid w:val="00717BC3"/>
    <w:rsid w:val="007201E7"/>
    <w:rsid w:val="00731DDB"/>
    <w:rsid w:val="00732B32"/>
    <w:rsid w:val="00735135"/>
    <w:rsid w:val="007355BE"/>
    <w:rsid w:val="007459BA"/>
    <w:rsid w:val="00746DD7"/>
    <w:rsid w:val="007476A0"/>
    <w:rsid w:val="00750410"/>
    <w:rsid w:val="00750A8E"/>
    <w:rsid w:val="00751158"/>
    <w:rsid w:val="00755E9D"/>
    <w:rsid w:val="007579F3"/>
    <w:rsid w:val="007610CD"/>
    <w:rsid w:val="00762710"/>
    <w:rsid w:val="00766E02"/>
    <w:rsid w:val="00770E67"/>
    <w:rsid w:val="007712E4"/>
    <w:rsid w:val="007714D5"/>
    <w:rsid w:val="00774BAC"/>
    <w:rsid w:val="007760A4"/>
    <w:rsid w:val="00777BB3"/>
    <w:rsid w:val="007846E4"/>
    <w:rsid w:val="00785BA2"/>
    <w:rsid w:val="00785F2B"/>
    <w:rsid w:val="007870CE"/>
    <w:rsid w:val="0079022A"/>
    <w:rsid w:val="007936C1"/>
    <w:rsid w:val="0079684B"/>
    <w:rsid w:val="007976BC"/>
    <w:rsid w:val="007A63E7"/>
    <w:rsid w:val="007A7A4A"/>
    <w:rsid w:val="007D33DE"/>
    <w:rsid w:val="007D7465"/>
    <w:rsid w:val="007D7F14"/>
    <w:rsid w:val="007E000A"/>
    <w:rsid w:val="007E053F"/>
    <w:rsid w:val="007E589B"/>
    <w:rsid w:val="007E7C97"/>
    <w:rsid w:val="007F16F9"/>
    <w:rsid w:val="007F626E"/>
    <w:rsid w:val="00800D04"/>
    <w:rsid w:val="00802E05"/>
    <w:rsid w:val="00803116"/>
    <w:rsid w:val="008074DC"/>
    <w:rsid w:val="00814DE0"/>
    <w:rsid w:val="0081704B"/>
    <w:rsid w:val="00817EAC"/>
    <w:rsid w:val="008243FB"/>
    <w:rsid w:val="008260EF"/>
    <w:rsid w:val="00827C3B"/>
    <w:rsid w:val="0083497E"/>
    <w:rsid w:val="00835352"/>
    <w:rsid w:val="0083791B"/>
    <w:rsid w:val="0084295A"/>
    <w:rsid w:val="00843FF1"/>
    <w:rsid w:val="0085068B"/>
    <w:rsid w:val="00854BC6"/>
    <w:rsid w:val="008550CF"/>
    <w:rsid w:val="00856EE5"/>
    <w:rsid w:val="0086146C"/>
    <w:rsid w:val="00861659"/>
    <w:rsid w:val="0086683D"/>
    <w:rsid w:val="008739E2"/>
    <w:rsid w:val="0087539A"/>
    <w:rsid w:val="00875CC5"/>
    <w:rsid w:val="00877EF8"/>
    <w:rsid w:val="008823A2"/>
    <w:rsid w:val="00894D8C"/>
    <w:rsid w:val="00895FCF"/>
    <w:rsid w:val="00897144"/>
    <w:rsid w:val="008A4BC2"/>
    <w:rsid w:val="008B2444"/>
    <w:rsid w:val="008B5776"/>
    <w:rsid w:val="008B74EC"/>
    <w:rsid w:val="008E05B5"/>
    <w:rsid w:val="008E08D6"/>
    <w:rsid w:val="008E0EE6"/>
    <w:rsid w:val="008E3816"/>
    <w:rsid w:val="008E412D"/>
    <w:rsid w:val="008F09D4"/>
    <w:rsid w:val="00901023"/>
    <w:rsid w:val="0090325B"/>
    <w:rsid w:val="00915ED1"/>
    <w:rsid w:val="00921A6B"/>
    <w:rsid w:val="009231E8"/>
    <w:rsid w:val="00942A0B"/>
    <w:rsid w:val="00951023"/>
    <w:rsid w:val="009560C6"/>
    <w:rsid w:val="00962CC6"/>
    <w:rsid w:val="00964434"/>
    <w:rsid w:val="00965323"/>
    <w:rsid w:val="00966889"/>
    <w:rsid w:val="00966D27"/>
    <w:rsid w:val="00967BA2"/>
    <w:rsid w:val="00972039"/>
    <w:rsid w:val="00972D9B"/>
    <w:rsid w:val="00974F95"/>
    <w:rsid w:val="0098510F"/>
    <w:rsid w:val="009A149C"/>
    <w:rsid w:val="009B5673"/>
    <w:rsid w:val="009B7331"/>
    <w:rsid w:val="009C20A5"/>
    <w:rsid w:val="009C44E5"/>
    <w:rsid w:val="009D0B24"/>
    <w:rsid w:val="009D6BA0"/>
    <w:rsid w:val="009E2291"/>
    <w:rsid w:val="009E462B"/>
    <w:rsid w:val="009E645B"/>
    <w:rsid w:val="009E6BB4"/>
    <w:rsid w:val="009F08D5"/>
    <w:rsid w:val="009F5F44"/>
    <w:rsid w:val="009F71BE"/>
    <w:rsid w:val="009F7B97"/>
    <w:rsid w:val="00A02E10"/>
    <w:rsid w:val="00A03397"/>
    <w:rsid w:val="00A04E88"/>
    <w:rsid w:val="00A05DD1"/>
    <w:rsid w:val="00A06148"/>
    <w:rsid w:val="00A1245B"/>
    <w:rsid w:val="00A130CF"/>
    <w:rsid w:val="00A242F4"/>
    <w:rsid w:val="00A24432"/>
    <w:rsid w:val="00A262A0"/>
    <w:rsid w:val="00A26E5B"/>
    <w:rsid w:val="00A314D8"/>
    <w:rsid w:val="00A320B6"/>
    <w:rsid w:val="00A3332B"/>
    <w:rsid w:val="00A3768A"/>
    <w:rsid w:val="00A4347E"/>
    <w:rsid w:val="00A44D3D"/>
    <w:rsid w:val="00A4657F"/>
    <w:rsid w:val="00A47004"/>
    <w:rsid w:val="00A60A6F"/>
    <w:rsid w:val="00A629F3"/>
    <w:rsid w:val="00A6334C"/>
    <w:rsid w:val="00A72148"/>
    <w:rsid w:val="00A722BC"/>
    <w:rsid w:val="00A740FC"/>
    <w:rsid w:val="00A74A5C"/>
    <w:rsid w:val="00A8051C"/>
    <w:rsid w:val="00A805F5"/>
    <w:rsid w:val="00A81EAA"/>
    <w:rsid w:val="00A83405"/>
    <w:rsid w:val="00A87DFF"/>
    <w:rsid w:val="00A924CE"/>
    <w:rsid w:val="00A95BDC"/>
    <w:rsid w:val="00A95E5F"/>
    <w:rsid w:val="00AA25AD"/>
    <w:rsid w:val="00AA3541"/>
    <w:rsid w:val="00AA3ABA"/>
    <w:rsid w:val="00AA6F28"/>
    <w:rsid w:val="00AB1B3C"/>
    <w:rsid w:val="00AB75EE"/>
    <w:rsid w:val="00AC1923"/>
    <w:rsid w:val="00AC4E91"/>
    <w:rsid w:val="00AD3392"/>
    <w:rsid w:val="00AE048E"/>
    <w:rsid w:val="00AE10BC"/>
    <w:rsid w:val="00AE26F0"/>
    <w:rsid w:val="00AE30B6"/>
    <w:rsid w:val="00AE3308"/>
    <w:rsid w:val="00AE37CE"/>
    <w:rsid w:val="00AF57A0"/>
    <w:rsid w:val="00B00547"/>
    <w:rsid w:val="00B00A24"/>
    <w:rsid w:val="00B01AC9"/>
    <w:rsid w:val="00B05A52"/>
    <w:rsid w:val="00B10BB6"/>
    <w:rsid w:val="00B1193E"/>
    <w:rsid w:val="00B1283A"/>
    <w:rsid w:val="00B155D7"/>
    <w:rsid w:val="00B222E5"/>
    <w:rsid w:val="00B35925"/>
    <w:rsid w:val="00B3593C"/>
    <w:rsid w:val="00B366B0"/>
    <w:rsid w:val="00B41AAE"/>
    <w:rsid w:val="00B438A8"/>
    <w:rsid w:val="00B47675"/>
    <w:rsid w:val="00B5169E"/>
    <w:rsid w:val="00B53B6B"/>
    <w:rsid w:val="00B54033"/>
    <w:rsid w:val="00B54F95"/>
    <w:rsid w:val="00B55464"/>
    <w:rsid w:val="00B554D1"/>
    <w:rsid w:val="00B556D1"/>
    <w:rsid w:val="00B579A0"/>
    <w:rsid w:val="00B64A5A"/>
    <w:rsid w:val="00B65560"/>
    <w:rsid w:val="00B659D9"/>
    <w:rsid w:val="00B73BA9"/>
    <w:rsid w:val="00B8292B"/>
    <w:rsid w:val="00B84B29"/>
    <w:rsid w:val="00B8654B"/>
    <w:rsid w:val="00BA3DEA"/>
    <w:rsid w:val="00BA738B"/>
    <w:rsid w:val="00BB0DF2"/>
    <w:rsid w:val="00BB4272"/>
    <w:rsid w:val="00BB639D"/>
    <w:rsid w:val="00BC0EF5"/>
    <w:rsid w:val="00BC181E"/>
    <w:rsid w:val="00BC1B59"/>
    <w:rsid w:val="00BC3908"/>
    <w:rsid w:val="00BC5E75"/>
    <w:rsid w:val="00BD0382"/>
    <w:rsid w:val="00BD259C"/>
    <w:rsid w:val="00BD7868"/>
    <w:rsid w:val="00BE2379"/>
    <w:rsid w:val="00BF1A33"/>
    <w:rsid w:val="00BF6C09"/>
    <w:rsid w:val="00C0271E"/>
    <w:rsid w:val="00C04600"/>
    <w:rsid w:val="00C10FE3"/>
    <w:rsid w:val="00C131F7"/>
    <w:rsid w:val="00C22206"/>
    <w:rsid w:val="00C23F57"/>
    <w:rsid w:val="00C24392"/>
    <w:rsid w:val="00C34969"/>
    <w:rsid w:val="00C354AD"/>
    <w:rsid w:val="00C35B08"/>
    <w:rsid w:val="00C360D4"/>
    <w:rsid w:val="00C4481C"/>
    <w:rsid w:val="00C50E4E"/>
    <w:rsid w:val="00C61940"/>
    <w:rsid w:val="00C6370A"/>
    <w:rsid w:val="00C673B3"/>
    <w:rsid w:val="00C67ABE"/>
    <w:rsid w:val="00C7412C"/>
    <w:rsid w:val="00C75A0E"/>
    <w:rsid w:val="00C9338F"/>
    <w:rsid w:val="00C94810"/>
    <w:rsid w:val="00CA38E9"/>
    <w:rsid w:val="00CA69B7"/>
    <w:rsid w:val="00CB2E18"/>
    <w:rsid w:val="00CB342C"/>
    <w:rsid w:val="00CB546E"/>
    <w:rsid w:val="00CC0440"/>
    <w:rsid w:val="00CC18F7"/>
    <w:rsid w:val="00CC4768"/>
    <w:rsid w:val="00CD329D"/>
    <w:rsid w:val="00CE3418"/>
    <w:rsid w:val="00CE4BE9"/>
    <w:rsid w:val="00CF4BF1"/>
    <w:rsid w:val="00D1335A"/>
    <w:rsid w:val="00D14084"/>
    <w:rsid w:val="00D31CDE"/>
    <w:rsid w:val="00D35013"/>
    <w:rsid w:val="00D37F05"/>
    <w:rsid w:val="00D4061D"/>
    <w:rsid w:val="00D430CD"/>
    <w:rsid w:val="00D46318"/>
    <w:rsid w:val="00D51996"/>
    <w:rsid w:val="00D52050"/>
    <w:rsid w:val="00D61D40"/>
    <w:rsid w:val="00D6260F"/>
    <w:rsid w:val="00D65D80"/>
    <w:rsid w:val="00D66150"/>
    <w:rsid w:val="00D6644F"/>
    <w:rsid w:val="00D728B4"/>
    <w:rsid w:val="00D77B81"/>
    <w:rsid w:val="00D827E0"/>
    <w:rsid w:val="00D82DBA"/>
    <w:rsid w:val="00D92475"/>
    <w:rsid w:val="00D95284"/>
    <w:rsid w:val="00DA24D0"/>
    <w:rsid w:val="00DA66DF"/>
    <w:rsid w:val="00DB31FB"/>
    <w:rsid w:val="00DB4559"/>
    <w:rsid w:val="00DB7278"/>
    <w:rsid w:val="00DC19F4"/>
    <w:rsid w:val="00DC6F5D"/>
    <w:rsid w:val="00DD05AA"/>
    <w:rsid w:val="00DD3ACE"/>
    <w:rsid w:val="00DD3CB4"/>
    <w:rsid w:val="00DD51E4"/>
    <w:rsid w:val="00DE049E"/>
    <w:rsid w:val="00DE1478"/>
    <w:rsid w:val="00DE1BEC"/>
    <w:rsid w:val="00DE2A8E"/>
    <w:rsid w:val="00DE34A3"/>
    <w:rsid w:val="00DE3A2C"/>
    <w:rsid w:val="00DE7D20"/>
    <w:rsid w:val="00DE7E40"/>
    <w:rsid w:val="00DF4571"/>
    <w:rsid w:val="00E008F5"/>
    <w:rsid w:val="00E02AB5"/>
    <w:rsid w:val="00E02CCD"/>
    <w:rsid w:val="00E0444C"/>
    <w:rsid w:val="00E05F74"/>
    <w:rsid w:val="00E07CAE"/>
    <w:rsid w:val="00E12E42"/>
    <w:rsid w:val="00E14CBE"/>
    <w:rsid w:val="00E207A4"/>
    <w:rsid w:val="00E24144"/>
    <w:rsid w:val="00E24836"/>
    <w:rsid w:val="00E33EC0"/>
    <w:rsid w:val="00E35EFF"/>
    <w:rsid w:val="00E37310"/>
    <w:rsid w:val="00E40CF7"/>
    <w:rsid w:val="00E41682"/>
    <w:rsid w:val="00E440A6"/>
    <w:rsid w:val="00E4685A"/>
    <w:rsid w:val="00E541E6"/>
    <w:rsid w:val="00E70877"/>
    <w:rsid w:val="00E81426"/>
    <w:rsid w:val="00E82E20"/>
    <w:rsid w:val="00E8341A"/>
    <w:rsid w:val="00EB0519"/>
    <w:rsid w:val="00EB3AFE"/>
    <w:rsid w:val="00EB418B"/>
    <w:rsid w:val="00EB5351"/>
    <w:rsid w:val="00EC0BA3"/>
    <w:rsid w:val="00EC27C4"/>
    <w:rsid w:val="00EC46DB"/>
    <w:rsid w:val="00EC4F37"/>
    <w:rsid w:val="00EC5C2A"/>
    <w:rsid w:val="00EC626E"/>
    <w:rsid w:val="00EC6BFE"/>
    <w:rsid w:val="00ED4A9F"/>
    <w:rsid w:val="00ED4E5D"/>
    <w:rsid w:val="00ED5FAE"/>
    <w:rsid w:val="00ED70B7"/>
    <w:rsid w:val="00ED70D9"/>
    <w:rsid w:val="00EE0B6C"/>
    <w:rsid w:val="00EE6159"/>
    <w:rsid w:val="00EF1E91"/>
    <w:rsid w:val="00EF7B1F"/>
    <w:rsid w:val="00F006C5"/>
    <w:rsid w:val="00F07EE8"/>
    <w:rsid w:val="00F107C0"/>
    <w:rsid w:val="00F11318"/>
    <w:rsid w:val="00F11BE6"/>
    <w:rsid w:val="00F13D2F"/>
    <w:rsid w:val="00F1507D"/>
    <w:rsid w:val="00F178C2"/>
    <w:rsid w:val="00F228AB"/>
    <w:rsid w:val="00F26017"/>
    <w:rsid w:val="00F307D7"/>
    <w:rsid w:val="00F4012D"/>
    <w:rsid w:val="00F40ACA"/>
    <w:rsid w:val="00F511D6"/>
    <w:rsid w:val="00F61949"/>
    <w:rsid w:val="00F6762B"/>
    <w:rsid w:val="00F7203B"/>
    <w:rsid w:val="00F72C8C"/>
    <w:rsid w:val="00F805E0"/>
    <w:rsid w:val="00F90C9E"/>
    <w:rsid w:val="00F95C5F"/>
    <w:rsid w:val="00FA7A90"/>
    <w:rsid w:val="00FB1809"/>
    <w:rsid w:val="00FB1981"/>
    <w:rsid w:val="00FB3F0E"/>
    <w:rsid w:val="00FB5BF4"/>
    <w:rsid w:val="00FB6999"/>
    <w:rsid w:val="00FC1875"/>
    <w:rsid w:val="00FC42C8"/>
    <w:rsid w:val="00FC6D24"/>
    <w:rsid w:val="00FD0AEA"/>
    <w:rsid w:val="00FD31B5"/>
    <w:rsid w:val="00FD40FE"/>
    <w:rsid w:val="00FD528E"/>
    <w:rsid w:val="00FD6CDC"/>
    <w:rsid w:val="00FE1B32"/>
    <w:rsid w:val="00FE2517"/>
    <w:rsid w:val="00FE5A9B"/>
    <w:rsid w:val="00FF2A8D"/>
    <w:rsid w:val="00FF6067"/>
    <w:rsid w:val="00FF764E"/>
    <w:rsid w:val="00FF7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35592295"/>
  <w15:chartTrackingRefBased/>
  <w15:docId w15:val="{10A93CCD-A2A9-4EB5-9295-F6E0DDBF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3720"/>
    <w:rPr>
      <w:sz w:val="24"/>
      <w:szCs w:val="24"/>
      <w:lang w:val="sk-SK" w:eastAsia="sk-SK"/>
    </w:rPr>
  </w:style>
  <w:style w:type="paragraph" w:styleId="Nadpis1">
    <w:name w:val="heading 1"/>
    <w:basedOn w:val="Normlny"/>
    <w:next w:val="Normlny"/>
    <w:qFormat/>
    <w:rsid w:val="009E2291"/>
    <w:pPr>
      <w:keepNext/>
      <w:spacing w:before="240" w:after="60"/>
      <w:outlineLvl w:val="0"/>
    </w:pPr>
    <w:rPr>
      <w:rFonts w:ascii="Arial" w:hAnsi="Arial"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edobloku">
    <w:name w:val="Normálne do bloku"/>
    <w:basedOn w:val="Normlny"/>
    <w:rsid w:val="00E14CBE"/>
    <w:pPr>
      <w:spacing w:after="120"/>
      <w:jc w:val="both"/>
    </w:pPr>
    <w:rPr>
      <w:rFonts w:ascii="TimesNewRoman" w:hAnsi="TimesNewRoman" w:cs="TimesNewRoman"/>
      <w:sz w:val="22"/>
      <w:szCs w:val="22"/>
    </w:rPr>
  </w:style>
  <w:style w:type="paragraph" w:customStyle="1" w:styleId="Normlnedoblokusodrkami">
    <w:name w:val="Normálne do bloku s odrážkami"/>
    <w:basedOn w:val="Normlny"/>
    <w:autoRedefine/>
    <w:rsid w:val="00746DD7"/>
    <w:pPr>
      <w:numPr>
        <w:numId w:val="1"/>
      </w:numPr>
      <w:autoSpaceDE w:val="0"/>
      <w:autoSpaceDN w:val="0"/>
      <w:adjustRightInd w:val="0"/>
    </w:pPr>
    <w:rPr>
      <w:rFonts w:ascii="TimesNewRoman" w:hAnsi="TimesNewRoman" w:cs="TimesNewRoman"/>
      <w:sz w:val="22"/>
      <w:szCs w:val="22"/>
    </w:rPr>
  </w:style>
  <w:style w:type="paragraph" w:customStyle="1" w:styleId="Dobloku">
    <w:name w:val="Do bloku"/>
    <w:basedOn w:val="Nadpis1"/>
    <w:rsid w:val="009E2291"/>
    <w:pPr>
      <w:spacing w:before="0" w:after="0"/>
      <w:jc w:val="center"/>
    </w:pPr>
    <w:rPr>
      <w:rFonts w:ascii="Times New Roman" w:hAnsi="Times New Roman" w:cs="Times New Roman"/>
      <w:bCs w:val="0"/>
      <w:caps/>
      <w:kern w:val="0"/>
      <w:sz w:val="22"/>
      <w:szCs w:val="20"/>
    </w:rPr>
  </w:style>
  <w:style w:type="paragraph" w:customStyle="1" w:styleId="Normlnydoblokusodrkami">
    <w:name w:val="Normálny do bloku s odrážkami"/>
    <w:basedOn w:val="Normlny"/>
    <w:rsid w:val="009E2291"/>
    <w:pPr>
      <w:ind w:left="357" w:firstLine="357"/>
    </w:pPr>
    <w:rPr>
      <w:caps/>
      <w:sz w:val="22"/>
      <w:szCs w:val="20"/>
      <w:lang w:val="en-GB"/>
    </w:rPr>
  </w:style>
  <w:style w:type="paragraph" w:customStyle="1" w:styleId="tlTunPodaokraja">
    <w:name w:val="Štýl Tučné Podľa okraja"/>
    <w:basedOn w:val="Normlny"/>
    <w:autoRedefine/>
    <w:rsid w:val="00972039"/>
    <w:pPr>
      <w:spacing w:after="120"/>
      <w:jc w:val="both"/>
    </w:pPr>
    <w:rPr>
      <w:b/>
      <w:bCs/>
      <w:sz w:val="22"/>
      <w:szCs w:val="20"/>
      <w:lang w:val="en-GB"/>
    </w:rPr>
  </w:style>
  <w:style w:type="character" w:customStyle="1" w:styleId="tlTun">
    <w:name w:val="Štýl Tučné"/>
    <w:rsid w:val="00974F95"/>
    <w:rPr>
      <w:b/>
      <w:bCs/>
      <w:sz w:val="22"/>
    </w:rPr>
  </w:style>
  <w:style w:type="paragraph" w:customStyle="1" w:styleId="tlDoblokuVavo">
    <w:name w:val="Štýl Do bloku + Vľavo"/>
    <w:basedOn w:val="Dobloku"/>
    <w:rsid w:val="00972039"/>
    <w:pPr>
      <w:spacing w:after="120"/>
      <w:jc w:val="left"/>
    </w:pPr>
    <w:rPr>
      <w:bCs/>
    </w:rPr>
  </w:style>
  <w:style w:type="paragraph" w:customStyle="1" w:styleId="tlViacrovov14ptTun">
    <w:name w:val="Štýl Viacúrovňové 14 pt Tučné"/>
    <w:basedOn w:val="Normlny"/>
    <w:rsid w:val="00BB639D"/>
    <w:pPr>
      <w:numPr>
        <w:ilvl w:val="1"/>
        <w:numId w:val="3"/>
      </w:numPr>
      <w:spacing w:before="60" w:after="120"/>
    </w:pPr>
    <w:rPr>
      <w:rFonts w:ascii="TimesNewRoman,Bold" w:hAnsi="TimesNewRoman,Bold"/>
      <w:b/>
      <w:bCs/>
      <w:sz w:val="22"/>
      <w:szCs w:val="20"/>
      <w:lang w:eastAsia="cs-CZ"/>
    </w:rPr>
  </w:style>
  <w:style w:type="paragraph" w:customStyle="1" w:styleId="SPCnadpis">
    <w:name w:val="SPC nadpis"/>
    <w:basedOn w:val="Nadpis1"/>
    <w:rsid w:val="00E41682"/>
    <w:pPr>
      <w:spacing w:after="120"/>
      <w:jc w:val="center"/>
    </w:pPr>
    <w:rPr>
      <w:rFonts w:ascii="Times New Roman" w:hAnsi="Times New Roman"/>
      <w:sz w:val="22"/>
    </w:rPr>
  </w:style>
  <w:style w:type="paragraph" w:customStyle="1" w:styleId="1STYL1">
    <w:name w:val="1 STYL1"/>
    <w:basedOn w:val="Normlny"/>
    <w:rsid w:val="002F2C85"/>
    <w:pPr>
      <w:ind w:left="357" w:hanging="357"/>
    </w:pPr>
  </w:style>
  <w:style w:type="paragraph" w:customStyle="1" w:styleId="Normlndobloku">
    <w:name w:val="Normální do bloku"/>
    <w:basedOn w:val="Normlny"/>
    <w:link w:val="NormlndoblokuChar"/>
    <w:rsid w:val="00E41682"/>
    <w:pPr>
      <w:spacing w:after="120"/>
      <w:jc w:val="both"/>
    </w:pPr>
    <w:rPr>
      <w:sz w:val="22"/>
    </w:rPr>
  </w:style>
  <w:style w:type="character" w:customStyle="1" w:styleId="NormlndoblokuChar">
    <w:name w:val="Normální do bloku Char"/>
    <w:link w:val="Normlndobloku"/>
    <w:rsid w:val="00FD528E"/>
    <w:rPr>
      <w:sz w:val="22"/>
      <w:szCs w:val="24"/>
      <w:lang w:val="sk-SK" w:eastAsia="sk-SK" w:bidi="ar-SA"/>
    </w:rPr>
  </w:style>
  <w:style w:type="paragraph" w:customStyle="1" w:styleId="11styl2">
    <w:name w:val="1.1 styl2"/>
    <w:basedOn w:val="Normlndobloku"/>
    <w:rsid w:val="002F2C85"/>
    <w:rPr>
      <w:b/>
    </w:rPr>
  </w:style>
  <w:style w:type="paragraph" w:customStyle="1" w:styleId="styl3">
    <w:name w:val="styl3"/>
    <w:basedOn w:val="styl2"/>
    <w:link w:val="styl3Char"/>
    <w:rsid w:val="00E41682"/>
    <w:rPr>
      <w:u w:val="single"/>
    </w:rPr>
  </w:style>
  <w:style w:type="paragraph" w:customStyle="1" w:styleId="styl2">
    <w:name w:val="styl2"/>
    <w:basedOn w:val="STYL1"/>
    <w:link w:val="styl2Char"/>
    <w:rsid w:val="00746DD7"/>
    <w:pPr>
      <w:spacing w:before="0"/>
    </w:pPr>
  </w:style>
  <w:style w:type="paragraph" w:customStyle="1" w:styleId="STYL1">
    <w:name w:val="STYL1"/>
    <w:basedOn w:val="Normlndoblokusodrkami"/>
    <w:link w:val="STYL1Char"/>
    <w:autoRedefine/>
    <w:rsid w:val="00746DD7"/>
    <w:pPr>
      <w:numPr>
        <w:numId w:val="0"/>
      </w:numPr>
      <w:spacing w:before="240"/>
      <w:jc w:val="left"/>
    </w:pPr>
    <w:rPr>
      <w:b/>
    </w:rPr>
  </w:style>
  <w:style w:type="paragraph" w:customStyle="1" w:styleId="Normlndoblokusodrkami">
    <w:name w:val="Normální do bloku s odrážkami"/>
    <w:basedOn w:val="Normlndobloku"/>
    <w:next w:val="Normlndobloku"/>
    <w:link w:val="NormlndoblokusodrkamiChar"/>
    <w:rsid w:val="00746DD7"/>
    <w:pPr>
      <w:numPr>
        <w:numId w:val="2"/>
      </w:numPr>
    </w:pPr>
  </w:style>
  <w:style w:type="character" w:customStyle="1" w:styleId="NormlndoblokusodrkamiChar">
    <w:name w:val="Normální do bloku s odrážkami Char"/>
    <w:basedOn w:val="NormlndoblokuChar"/>
    <w:link w:val="Normlndoblokusodrkami"/>
    <w:rsid w:val="0024366C"/>
    <w:rPr>
      <w:sz w:val="22"/>
      <w:szCs w:val="24"/>
      <w:lang w:val="sk-SK" w:eastAsia="sk-SK" w:bidi="ar-SA"/>
    </w:rPr>
  </w:style>
  <w:style w:type="character" w:customStyle="1" w:styleId="STYL1Char">
    <w:name w:val="STYL1 Char"/>
    <w:link w:val="STYL1"/>
    <w:rsid w:val="0024366C"/>
    <w:rPr>
      <w:b/>
      <w:sz w:val="22"/>
      <w:szCs w:val="24"/>
      <w:lang w:val="sk-SK" w:eastAsia="sk-SK"/>
    </w:rPr>
  </w:style>
  <w:style w:type="character" w:customStyle="1" w:styleId="styl2Char">
    <w:name w:val="styl2 Char"/>
    <w:basedOn w:val="STYL1Char"/>
    <w:link w:val="styl2"/>
    <w:rsid w:val="0024366C"/>
    <w:rPr>
      <w:b/>
      <w:sz w:val="22"/>
      <w:szCs w:val="24"/>
      <w:lang w:val="sk-SK" w:eastAsia="sk-SK"/>
    </w:rPr>
  </w:style>
  <w:style w:type="character" w:customStyle="1" w:styleId="styl3Char">
    <w:name w:val="styl3 Char"/>
    <w:link w:val="styl3"/>
    <w:rsid w:val="0024366C"/>
    <w:rPr>
      <w:b/>
      <w:sz w:val="22"/>
      <w:szCs w:val="24"/>
      <w:u w:val="single"/>
      <w:lang w:val="sk-SK" w:eastAsia="sk-SK" w:bidi="ar-SA"/>
    </w:rPr>
  </w:style>
  <w:style w:type="paragraph" w:customStyle="1" w:styleId="1STYL10">
    <w:name w:val="1. STYL1"/>
    <w:basedOn w:val="Normlndoblokusodrkami"/>
    <w:rsid w:val="00746DD7"/>
    <w:pPr>
      <w:numPr>
        <w:numId w:val="0"/>
      </w:numPr>
      <w:spacing w:before="240"/>
      <w:jc w:val="left"/>
    </w:pPr>
    <w:rPr>
      <w:b/>
    </w:rPr>
  </w:style>
  <w:style w:type="paragraph" w:customStyle="1" w:styleId="Default">
    <w:name w:val="Default"/>
    <w:rsid w:val="003C4019"/>
    <w:pPr>
      <w:autoSpaceDE w:val="0"/>
      <w:autoSpaceDN w:val="0"/>
      <w:adjustRightInd w:val="0"/>
    </w:pPr>
    <w:rPr>
      <w:color w:val="000000"/>
      <w:sz w:val="24"/>
      <w:szCs w:val="24"/>
      <w:lang w:val="sk-SK" w:eastAsia="sk-SK"/>
    </w:rPr>
  </w:style>
  <w:style w:type="paragraph" w:customStyle="1" w:styleId="LillyA">
    <w:name w:val="Lilly A"/>
    <w:basedOn w:val="Default"/>
    <w:next w:val="Default"/>
    <w:rsid w:val="003C4019"/>
    <w:rPr>
      <w:color w:val="auto"/>
    </w:rPr>
  </w:style>
  <w:style w:type="paragraph" w:styleId="Zarkazkladnhotextu">
    <w:name w:val="Body Text Indent"/>
    <w:basedOn w:val="Default"/>
    <w:next w:val="Default"/>
    <w:rsid w:val="003C4019"/>
    <w:rPr>
      <w:color w:val="auto"/>
    </w:rPr>
  </w:style>
  <w:style w:type="paragraph" w:styleId="Zkladntext">
    <w:name w:val="Body Text"/>
    <w:basedOn w:val="Default"/>
    <w:next w:val="Default"/>
    <w:rsid w:val="003C4019"/>
    <w:rPr>
      <w:color w:val="auto"/>
    </w:rPr>
  </w:style>
  <w:style w:type="paragraph" w:styleId="Zkladntext3">
    <w:name w:val="Body Text 3"/>
    <w:basedOn w:val="Default"/>
    <w:next w:val="Default"/>
    <w:rsid w:val="003C4019"/>
    <w:rPr>
      <w:color w:val="auto"/>
    </w:rPr>
  </w:style>
  <w:style w:type="paragraph" w:customStyle="1" w:styleId="Text">
    <w:name w:val="Text"/>
    <w:basedOn w:val="Default"/>
    <w:next w:val="Default"/>
    <w:rsid w:val="003C4019"/>
    <w:rPr>
      <w:color w:val="auto"/>
    </w:rPr>
  </w:style>
  <w:style w:type="paragraph" w:customStyle="1" w:styleId="LillyB">
    <w:name w:val="Lilly B"/>
    <w:basedOn w:val="Default"/>
    <w:next w:val="Default"/>
    <w:rsid w:val="003C4019"/>
    <w:rPr>
      <w:color w:val="auto"/>
    </w:rPr>
  </w:style>
  <w:style w:type="paragraph" w:styleId="Pta">
    <w:name w:val="footer"/>
    <w:basedOn w:val="Normlny"/>
    <w:rsid w:val="0024366C"/>
    <w:pPr>
      <w:tabs>
        <w:tab w:val="center" w:pos="4536"/>
        <w:tab w:val="right" w:pos="9072"/>
      </w:tabs>
    </w:pPr>
  </w:style>
  <w:style w:type="character" w:styleId="slostrany">
    <w:name w:val="page number"/>
    <w:basedOn w:val="Predvolenpsmoodseku"/>
    <w:rsid w:val="0024366C"/>
  </w:style>
  <w:style w:type="table" w:styleId="Mriekatabuky">
    <w:name w:val="Table Grid"/>
    <w:basedOn w:val="Normlnatabuka"/>
    <w:rsid w:val="00A72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rsid w:val="00E70877"/>
    <w:pPr>
      <w:tabs>
        <w:tab w:val="center" w:pos="4536"/>
        <w:tab w:val="right" w:pos="9072"/>
      </w:tabs>
    </w:pPr>
  </w:style>
  <w:style w:type="character" w:styleId="Odkaznakomentr">
    <w:name w:val="annotation reference"/>
    <w:semiHidden/>
    <w:rsid w:val="00E70877"/>
    <w:rPr>
      <w:sz w:val="16"/>
      <w:szCs w:val="16"/>
    </w:rPr>
  </w:style>
  <w:style w:type="paragraph" w:styleId="Textkomentra">
    <w:name w:val="annotation text"/>
    <w:basedOn w:val="Normlny"/>
    <w:semiHidden/>
    <w:rsid w:val="00E70877"/>
    <w:rPr>
      <w:sz w:val="20"/>
      <w:szCs w:val="20"/>
    </w:rPr>
  </w:style>
  <w:style w:type="paragraph" w:styleId="Predmetkomentra">
    <w:name w:val="annotation subject"/>
    <w:basedOn w:val="Textkomentra"/>
    <w:next w:val="Textkomentra"/>
    <w:semiHidden/>
    <w:rsid w:val="00E70877"/>
    <w:rPr>
      <w:b/>
      <w:bCs/>
    </w:rPr>
  </w:style>
  <w:style w:type="paragraph" w:styleId="Textbubliny">
    <w:name w:val="Balloon Text"/>
    <w:basedOn w:val="Normlny"/>
    <w:semiHidden/>
    <w:rsid w:val="00E70877"/>
    <w:rPr>
      <w:rFonts w:ascii="Tahoma" w:hAnsi="Tahoma" w:cs="Tahoma"/>
      <w:sz w:val="16"/>
      <w:szCs w:val="16"/>
    </w:rPr>
  </w:style>
  <w:style w:type="paragraph" w:styleId="truktradokumentu">
    <w:name w:val="Document Map"/>
    <w:basedOn w:val="Normlny"/>
    <w:semiHidden/>
    <w:rsid w:val="00D1335A"/>
    <w:pPr>
      <w:shd w:val="clear" w:color="auto" w:fill="000080"/>
    </w:pPr>
    <w:rPr>
      <w:rFonts w:ascii="Tahoma" w:hAnsi="Tahoma" w:cs="Tahoma"/>
      <w:lang w:val="en-GB" w:eastAsia="fr-FR"/>
    </w:rPr>
  </w:style>
  <w:style w:type="paragraph" w:customStyle="1" w:styleId="Styl10">
    <w:name w:val="Styl1"/>
    <w:basedOn w:val="Normlny"/>
    <w:autoRedefine/>
    <w:rsid w:val="00A242F4"/>
    <w:pPr>
      <w:keepNext/>
      <w:tabs>
        <w:tab w:val="left" w:pos="567"/>
        <w:tab w:val="left" w:pos="709"/>
      </w:tabs>
    </w:pPr>
    <w:rPr>
      <w:b/>
      <w:bCs/>
      <w:caps/>
      <w:sz w:val="22"/>
      <w:szCs w:val="22"/>
      <w:lang w:val="cs-CZ" w:eastAsia="en-US"/>
    </w:rPr>
  </w:style>
  <w:style w:type="paragraph" w:customStyle="1" w:styleId="Styl20">
    <w:name w:val="Styl2"/>
    <w:basedOn w:val="Normlny"/>
    <w:autoRedefine/>
    <w:rsid w:val="00E35EFF"/>
    <w:pPr>
      <w:widowControl w:val="0"/>
      <w:tabs>
        <w:tab w:val="left" w:pos="567"/>
      </w:tabs>
    </w:pPr>
    <w:rPr>
      <w:b/>
      <w:bCs/>
      <w:sz w:val="22"/>
      <w:szCs w:val="22"/>
      <w:lang w:val="cs-CZ" w:eastAsia="en-US"/>
    </w:rPr>
  </w:style>
  <w:style w:type="paragraph" w:customStyle="1" w:styleId="Styl30">
    <w:name w:val="Styl3"/>
    <w:basedOn w:val="Normlny"/>
    <w:autoRedefine/>
    <w:rsid w:val="00055FE9"/>
    <w:pPr>
      <w:suppressAutoHyphens/>
    </w:pPr>
    <w:rPr>
      <w:rFonts w:ascii="TimesNewRoman" w:hAnsi="TimesNewRoman" w:cs="TimesNewRoman"/>
      <w:sz w:val="22"/>
      <w:u w:val="single"/>
      <w:lang w:eastAsia="cs-CZ"/>
    </w:rPr>
  </w:style>
  <w:style w:type="paragraph" w:customStyle="1" w:styleId="NormlndoblokuTunDoleva">
    <w:name w:val="Normální do bloku + Tučné Doleva"/>
    <w:basedOn w:val="Normlndobloku"/>
    <w:rsid w:val="007A7A4A"/>
    <w:pPr>
      <w:jc w:val="left"/>
    </w:pPr>
    <w:rPr>
      <w:b/>
      <w:bCs/>
      <w:szCs w:val="20"/>
    </w:rPr>
  </w:style>
  <w:style w:type="paragraph" w:styleId="Nzov">
    <w:name w:val="Title"/>
    <w:basedOn w:val="Normlny"/>
    <w:link w:val="NzovChar"/>
    <w:qFormat/>
    <w:rsid w:val="006C0593"/>
    <w:pPr>
      <w:jc w:val="center"/>
    </w:pPr>
    <w:rPr>
      <w:b/>
      <w:sz w:val="28"/>
      <w:szCs w:val="20"/>
      <w:lang w:val="x-none" w:eastAsia="x-none"/>
    </w:rPr>
  </w:style>
  <w:style w:type="character" w:customStyle="1" w:styleId="NzovChar">
    <w:name w:val="Názov Char"/>
    <w:link w:val="Nzov"/>
    <w:rsid w:val="006C0593"/>
    <w:rPr>
      <w:b/>
      <w:sz w:val="28"/>
    </w:rPr>
  </w:style>
  <w:style w:type="paragraph" w:customStyle="1" w:styleId="Americana">
    <w:name w:val="Americana"/>
    <w:basedOn w:val="Normlny"/>
    <w:rsid w:val="007355BE"/>
    <w:pPr>
      <w:spacing w:line="360" w:lineRule="auto"/>
      <w:jc w:val="both"/>
    </w:pPr>
    <w:rPr>
      <w:rFonts w:ascii="Americana L2" w:hAnsi="Americana L2"/>
      <w:szCs w:val="20"/>
      <w:lang w:val="pl-PL" w:eastAsia="pl-PL"/>
    </w:rPr>
  </w:style>
  <w:style w:type="character" w:styleId="Hypertextovprepojenie">
    <w:name w:val="Hyperlink"/>
    <w:rsid w:val="001C2B29"/>
    <w:rPr>
      <w:color w:val="0000FF"/>
      <w:u w:val="single"/>
    </w:rPr>
  </w:style>
  <w:style w:type="paragraph" w:customStyle="1" w:styleId="Revize">
    <w:name w:val="Revize"/>
    <w:hidden/>
    <w:uiPriority w:val="99"/>
    <w:semiHidden/>
    <w:rsid w:val="00B73BA9"/>
    <w:rPr>
      <w:sz w:val="24"/>
      <w:szCs w:val="24"/>
      <w:lang w:val="sk-SK" w:eastAsia="sk-SK"/>
    </w:rPr>
  </w:style>
  <w:style w:type="paragraph" w:styleId="Revzia">
    <w:name w:val="Revision"/>
    <w:hidden/>
    <w:uiPriority w:val="99"/>
    <w:semiHidden/>
    <w:rsid w:val="00054A7B"/>
    <w:rPr>
      <w:sz w:val="24"/>
      <w:szCs w:val="24"/>
      <w:lang w:val="sk-SK" w:eastAsia="sk-SK"/>
    </w:rPr>
  </w:style>
  <w:style w:type="character" w:styleId="PouitHypertextovPrepojenie">
    <w:name w:val="FollowedHyperlink"/>
    <w:basedOn w:val="Predvolenpsmoodseku"/>
    <w:rsid w:val="00A262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453475">
      <w:bodyDiv w:val="1"/>
      <w:marLeft w:val="0"/>
      <w:marRight w:val="0"/>
      <w:marTop w:val="0"/>
      <w:marBottom w:val="0"/>
      <w:divBdr>
        <w:top w:val="none" w:sz="0" w:space="0" w:color="auto"/>
        <w:left w:val="none" w:sz="0" w:space="0" w:color="auto"/>
        <w:bottom w:val="none" w:sz="0" w:space="0" w:color="auto"/>
        <w:right w:val="none" w:sz="0" w:space="0" w:color="auto"/>
      </w:divBdr>
    </w:div>
    <w:div w:id="730423599">
      <w:bodyDiv w:val="1"/>
      <w:marLeft w:val="0"/>
      <w:marRight w:val="0"/>
      <w:marTop w:val="0"/>
      <w:marBottom w:val="0"/>
      <w:divBdr>
        <w:top w:val="none" w:sz="0" w:space="0" w:color="auto"/>
        <w:left w:val="none" w:sz="0" w:space="0" w:color="auto"/>
        <w:bottom w:val="none" w:sz="0" w:space="0" w:color="auto"/>
        <w:right w:val="none" w:sz="0" w:space="0" w:color="auto"/>
      </w:divBdr>
    </w:div>
    <w:div w:id="174287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6730</Words>
  <Characters>38365</Characters>
  <Application>Microsoft Office Word</Application>
  <DocSecurity>0</DocSecurity>
  <Lines>319</Lines>
  <Paragraphs>90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PRÍLOHA I</vt:lpstr>
      <vt:lpstr>PRÍLOHA I</vt:lpstr>
    </vt:vector>
  </TitlesOfParts>
  <Company/>
  <LinksUpToDate>false</LinksUpToDate>
  <CharactersWithSpaces>45005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I</dc:title>
  <dc:subject/>
  <dc:creator>katarinaj</dc:creator>
  <cp:keywords/>
  <cp:lastModifiedBy>Medvecká, Patrícia</cp:lastModifiedBy>
  <cp:revision>2</cp:revision>
  <cp:lastPrinted>2019-01-15T12:13:00Z</cp:lastPrinted>
  <dcterms:created xsi:type="dcterms:W3CDTF">2019-01-15T12:14:00Z</dcterms:created>
  <dcterms:modified xsi:type="dcterms:W3CDTF">2019-01-15T12:14:00Z</dcterms:modified>
</cp:coreProperties>
</file>