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D6" w:rsidRPr="00FD4924" w:rsidRDefault="00C93ED6" w:rsidP="000132B4">
      <w:pPr>
        <w:tabs>
          <w:tab w:val="clear" w:pos="567"/>
          <w:tab w:val="left" w:pos="-1440"/>
          <w:tab w:val="left" w:pos="-720"/>
        </w:tabs>
        <w:spacing w:line="240" w:lineRule="auto"/>
        <w:jc w:val="both"/>
        <w:rPr>
          <w:b/>
          <w:noProof/>
          <w:szCs w:val="22"/>
          <w:lang w:val="sk-SK"/>
        </w:rPr>
      </w:pPr>
    </w:p>
    <w:p w:rsidR="006330A8" w:rsidRPr="00FD4924" w:rsidRDefault="006330A8" w:rsidP="0071110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sk-SK"/>
        </w:rPr>
      </w:pPr>
    </w:p>
    <w:p w:rsidR="00FD4924" w:rsidRPr="00FD4924" w:rsidRDefault="00FD4924" w:rsidP="00FD4924">
      <w:pPr>
        <w:tabs>
          <w:tab w:val="left" w:pos="2020"/>
        </w:tabs>
        <w:rPr>
          <w:b/>
          <w:bCs/>
          <w:szCs w:val="22"/>
          <w:lang w:val="sk-SK"/>
        </w:rPr>
      </w:pPr>
      <w:r w:rsidRPr="00FD4924">
        <w:rPr>
          <w:b/>
          <w:bCs/>
          <w:szCs w:val="22"/>
          <w:lang w:val="sk-SK"/>
        </w:rPr>
        <w:tab/>
      </w:r>
    </w:p>
    <w:p w:rsidR="00E453C3" w:rsidRPr="00261BCD" w:rsidRDefault="005C6C35" w:rsidP="00E453C3">
      <w:pPr>
        <w:jc w:val="center"/>
        <w:rPr>
          <w:b/>
          <w:szCs w:val="22"/>
          <w:lang w:val="sk-SK"/>
        </w:rPr>
      </w:pPr>
      <w:r w:rsidRPr="005C6C35">
        <w:rPr>
          <w:b/>
          <w:lang w:val="sk-SK"/>
        </w:rPr>
        <w:t>SÚHRN CHARAKTERISTICKÝCH VLASTNOSTÍ LIEKU</w:t>
      </w:r>
    </w:p>
    <w:p w:rsidR="006330A8" w:rsidRPr="00FD4924" w:rsidRDefault="006330A8" w:rsidP="00711104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1.</w:t>
      </w:r>
      <w:r w:rsidRPr="00FD4924">
        <w:rPr>
          <w:b/>
          <w:lang w:val="sk-SK"/>
        </w:rPr>
        <w:tab/>
        <w:t>NÁZOV LIEKU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:rsidR="006330A8" w:rsidRPr="00FD4924" w:rsidRDefault="0023271E" w:rsidP="00702178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23271E">
        <w:rPr>
          <w:lang w:val="sk-SK"/>
        </w:rPr>
        <w:t>Met</w:t>
      </w:r>
      <w:r w:rsidR="00E453C3">
        <w:rPr>
          <w:lang w:val="sk-SK"/>
        </w:rPr>
        <w:t>h</w:t>
      </w:r>
      <w:r w:rsidRPr="0023271E">
        <w:rPr>
          <w:lang w:val="sk-SK"/>
        </w:rPr>
        <w:t>otrex</w:t>
      </w:r>
      <w:r w:rsidR="00E453C3">
        <w:rPr>
          <w:lang w:val="sk-SK"/>
        </w:rPr>
        <w:t>a</w:t>
      </w:r>
      <w:r w:rsidRPr="0023271E">
        <w:rPr>
          <w:lang w:val="sk-SK"/>
        </w:rPr>
        <w:t>t Accord</w:t>
      </w:r>
      <w:r w:rsidR="00EA2E57">
        <w:rPr>
          <w:lang w:val="sk-SK"/>
        </w:rPr>
        <w:t xml:space="preserve"> </w:t>
      </w:r>
      <w:r w:rsidR="00C82733">
        <w:rPr>
          <w:lang w:val="sk-SK"/>
        </w:rPr>
        <w:t>100</w:t>
      </w:r>
      <w:r w:rsidR="00C82733"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mg/ml </w:t>
      </w:r>
      <w:r w:rsidR="003C3C07">
        <w:rPr>
          <w:lang w:val="sk-SK"/>
        </w:rPr>
        <w:t xml:space="preserve">infúzny </w:t>
      </w:r>
      <w:r w:rsidR="00C82733">
        <w:rPr>
          <w:lang w:val="sk-SK"/>
        </w:rPr>
        <w:t xml:space="preserve">koncentrát </w:t>
      </w:r>
      <w:r w:rsidR="00C82733" w:rsidRPr="00FD4924">
        <w:rPr>
          <w:lang w:val="sk-SK"/>
        </w:rPr>
        <w:t xml:space="preserve">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6330A8" w:rsidRPr="00FD4924" w:rsidRDefault="006330A8" w:rsidP="00C27FE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2.</w:t>
      </w:r>
      <w:r w:rsidRPr="00FD4924">
        <w:rPr>
          <w:b/>
          <w:lang w:val="sk-SK"/>
        </w:rPr>
        <w:tab/>
        <w:t>KVALITATÍVNE A KVANTITATÍVNE ZLOŽENIE</w:t>
      </w:r>
    </w:p>
    <w:p w:rsidR="006330A8" w:rsidRPr="00FD4924" w:rsidRDefault="006330A8" w:rsidP="00CE6EE2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Každý</w:t>
      </w:r>
      <w:r w:rsidR="006330A8" w:rsidRPr="00FD4924">
        <w:rPr>
          <w:lang w:val="sk-SK"/>
        </w:rPr>
        <w:t> ml roztoku obsahuj</w:t>
      </w:r>
      <w:r w:rsidR="00BF505F">
        <w:rPr>
          <w:lang w:val="sk-SK"/>
        </w:rPr>
        <w:t>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100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mg metotrexátu.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ml roztoku obsahuje 500 mg metotrexátu.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</w:t>
      </w:r>
      <w:r w:rsidR="00A05F2B">
        <w:rPr>
          <w:lang w:val="sk-SK"/>
        </w:rPr>
        <w:t>1</w:t>
      </w:r>
      <w:r>
        <w:rPr>
          <w:lang w:val="sk-SK"/>
        </w:rPr>
        <w:t>00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mg metotrexátu.</w:t>
      </w:r>
    </w:p>
    <w:p w:rsidR="00A05F2B" w:rsidRPr="00FD4924" w:rsidRDefault="00A05F2B" w:rsidP="00A05F2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50</w:t>
      </w:r>
      <w:r w:rsidRPr="00FD4924">
        <w:rPr>
          <w:lang w:val="sk-SK"/>
        </w:rPr>
        <w:t xml:space="preserve"> ml roztoku obsahuje </w:t>
      </w:r>
      <w:r>
        <w:rPr>
          <w:lang w:val="sk-SK"/>
        </w:rPr>
        <w:t>500</w:t>
      </w:r>
      <w:r w:rsidRPr="00FD4924">
        <w:rPr>
          <w:lang w:val="sk-SK"/>
        </w:rPr>
        <w:t>0 mg metotrexátu.</w:t>
      </w:r>
    </w:p>
    <w:p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6330A8" w:rsidRPr="00080F8C" w:rsidRDefault="006330A8" w:rsidP="00702178">
      <w:pPr>
        <w:pStyle w:val="EMEAEnBodyText"/>
        <w:autoSpaceDE w:val="0"/>
        <w:autoSpaceDN w:val="0"/>
        <w:adjustRightInd w:val="0"/>
        <w:spacing w:before="0"/>
        <w:jc w:val="left"/>
        <w:rPr>
          <w:bCs/>
          <w:noProof/>
          <w:szCs w:val="22"/>
          <w:lang w:val="sk-SK"/>
        </w:rPr>
      </w:pPr>
      <w:r w:rsidRPr="00080F8C">
        <w:rPr>
          <w:lang w:val="sk-SK"/>
        </w:rPr>
        <w:t xml:space="preserve">Pomocné látky so známym účinkom: 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10,60</w:t>
      </w:r>
      <w:r w:rsidR="006330A8" w:rsidRPr="00FD4924">
        <w:rPr>
          <w:lang w:val="sk-SK"/>
        </w:rPr>
        <w:t> mg/ml (0,</w:t>
      </w:r>
      <w:r>
        <w:rPr>
          <w:lang w:val="sk-SK"/>
        </w:rPr>
        <w:t>461</w:t>
      </w:r>
      <w:r w:rsidR="006330A8" w:rsidRPr="00FD4924">
        <w:rPr>
          <w:lang w:val="sk-SK"/>
        </w:rPr>
        <w:t> mmol/ml) sodíka.</w:t>
      </w:r>
    </w:p>
    <w:p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Úplný zoznam pomocných látok, pozri časť 6.1.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lang w:val="sk-SK"/>
        </w:rPr>
        <w:t>3.</w:t>
      </w:r>
      <w:r w:rsidRPr="00FD4924">
        <w:rPr>
          <w:b/>
          <w:lang w:val="sk-SK"/>
        </w:rPr>
        <w:tab/>
        <w:t>LIEKOVÁ FORMA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3C3C0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Infúzny koncentrát</w:t>
      </w:r>
    </w:p>
    <w:p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CE6EE2">
      <w:pPr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Číry, žltý roztok</w:t>
      </w:r>
      <w:r w:rsidR="00C82733">
        <w:rPr>
          <w:lang w:val="sk-SK"/>
        </w:rPr>
        <w:t xml:space="preserve"> s pH 7,0 až 9,0.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caps/>
          <w:lang w:val="sk-SK"/>
        </w:rPr>
        <w:t>4.</w:t>
      </w:r>
      <w:r w:rsidRPr="00FD4924">
        <w:rPr>
          <w:b/>
          <w:caps/>
          <w:lang w:val="sk-SK"/>
        </w:rPr>
        <w:tab/>
        <w:t>KLINICKÉ ÚDAJE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4.1</w:t>
      </w:r>
      <w:r w:rsidRPr="00FD4924">
        <w:rPr>
          <w:b/>
          <w:lang w:val="sk-SK"/>
        </w:rPr>
        <w:tab/>
        <w:t>Terapeutické indikácie</w:t>
      </w:r>
    </w:p>
    <w:p w:rsidR="006330A8" w:rsidRPr="00FD4924" w:rsidRDefault="006330A8" w:rsidP="00844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Akútna </w:t>
      </w:r>
      <w:r w:rsidR="005C6C35" w:rsidRPr="005C6C35">
        <w:rPr>
          <w:lang w:val="sk-SK"/>
        </w:rPr>
        <w:t>lymfoblastová</w:t>
      </w:r>
      <w:r w:rsidRPr="00FD4924">
        <w:rPr>
          <w:lang w:val="sk-SK"/>
        </w:rPr>
        <w:t xml:space="preserve"> leukémia, non</w:t>
      </w:r>
      <w:r w:rsidRPr="00FD4924">
        <w:rPr>
          <w:lang w:val="sk-SK"/>
        </w:rPr>
        <w:noBreakHyphen/>
        <w:t xml:space="preserve">Hodgkinov lymfóm, osteosarkóm, </w:t>
      </w:r>
      <w:r w:rsidR="005A63BC" w:rsidRPr="00FD4924">
        <w:rPr>
          <w:lang w:val="sk-SK"/>
        </w:rPr>
        <w:t>adjuvan</w:t>
      </w:r>
      <w:r w:rsidR="005A63BC">
        <w:rPr>
          <w:lang w:val="sk-SK"/>
        </w:rPr>
        <w:t>tná liečba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 </w:t>
      </w:r>
      <w:r w:rsidR="005A63BC">
        <w:rPr>
          <w:lang w:val="sk-SK"/>
        </w:rPr>
        <w:t>liečba</w:t>
      </w:r>
      <w:r w:rsidR="005A63BC" w:rsidRPr="00FD4924">
        <w:rPr>
          <w:lang w:val="sk-SK"/>
        </w:rPr>
        <w:t xml:space="preserve"> pokročil</w:t>
      </w:r>
      <w:r w:rsidR="005A63BC">
        <w:rPr>
          <w:lang w:val="sk-SK"/>
        </w:rPr>
        <w:t>ého</w:t>
      </w:r>
      <w:r w:rsidR="005A63BC" w:rsidRPr="00FD4924">
        <w:rPr>
          <w:lang w:val="sk-SK"/>
        </w:rPr>
        <w:t xml:space="preserve"> stav</w:t>
      </w:r>
      <w:r w:rsidR="005A63BC">
        <w:rPr>
          <w:lang w:val="sk-SK"/>
        </w:rPr>
        <w:t>u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karcinómu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prsníka, </w:t>
      </w:r>
      <w:r w:rsidR="005A63BC" w:rsidRPr="00FD4924">
        <w:rPr>
          <w:lang w:val="sk-SK"/>
        </w:rPr>
        <w:t>metastatick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</w:t>
      </w:r>
      <w:r w:rsidR="005A63BC" w:rsidRPr="00FD4924">
        <w:rPr>
          <w:lang w:val="sk-SK"/>
        </w:rPr>
        <w:t>rekurentn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hlavy alebo krku, choriokarcinóm a podobné </w:t>
      </w:r>
      <w:r w:rsidR="009A5BAB" w:rsidRPr="00FD4924">
        <w:rPr>
          <w:lang w:val="sk-SK"/>
        </w:rPr>
        <w:t>tro</w:t>
      </w:r>
      <w:r w:rsidR="009A5BAB">
        <w:rPr>
          <w:lang w:val="sk-SK"/>
        </w:rPr>
        <w:t>fob</w:t>
      </w:r>
      <w:r w:rsidR="009A5BAB" w:rsidRPr="00FD4924">
        <w:rPr>
          <w:lang w:val="sk-SK"/>
        </w:rPr>
        <w:t xml:space="preserve">lastické </w:t>
      </w:r>
      <w:r w:rsidRPr="00FD4924">
        <w:rPr>
          <w:lang w:val="sk-SK"/>
        </w:rPr>
        <w:t xml:space="preserve">choroby, </w:t>
      </w:r>
      <w:r w:rsidR="005A63BC" w:rsidRPr="00FD4924">
        <w:rPr>
          <w:lang w:val="sk-SK"/>
        </w:rPr>
        <w:t>pokročil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>močového mechúra.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C27FE2">
      <w:pPr>
        <w:numPr>
          <w:ilvl w:val="1"/>
          <w:numId w:val="26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Dávkovanie a spôsob podávania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330A8" w:rsidRPr="00FD4924" w:rsidTr="00AD483B">
        <w:tc>
          <w:tcPr>
            <w:tcW w:w="9287" w:type="dxa"/>
          </w:tcPr>
          <w:p w:rsidR="006330A8" w:rsidRPr="00FD4924" w:rsidRDefault="006330A8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UPOZORNENIE</w:t>
            </w:r>
          </w:p>
          <w:p w:rsidR="006330A8" w:rsidRPr="00FD4924" w:rsidRDefault="007E7D99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lang w:val="sk-SK"/>
              </w:rPr>
              <w:t>Ak sa metotrexát používa</w:t>
            </w:r>
            <w:r w:rsidR="006330A8" w:rsidRPr="00FD4924">
              <w:rPr>
                <w:lang w:val="sk-SK"/>
              </w:rPr>
              <w:t xml:space="preserve"> na liečbu </w:t>
            </w:r>
            <w:r w:rsidR="006330A8" w:rsidRPr="00FD4924">
              <w:rPr>
                <w:b/>
                <w:lang w:val="sk-SK"/>
              </w:rPr>
              <w:t>nádorových chorôb</w:t>
            </w:r>
            <w:r w:rsidRPr="00FD4924">
              <w:rPr>
                <w:b/>
                <w:lang w:val="sk-SK"/>
              </w:rPr>
              <w:t>,</w:t>
            </w:r>
            <w:r w:rsidR="006330A8" w:rsidRPr="00FD4924">
              <w:rPr>
                <w:b/>
                <w:lang w:val="sk-SK"/>
              </w:rPr>
              <w:t xml:space="preserve"> </w:t>
            </w:r>
            <w:r w:rsidRPr="00FD4924">
              <w:rPr>
                <w:b/>
                <w:lang w:val="sk-SK"/>
              </w:rPr>
              <w:t>dávka sa musí starostlivo upraviť</w:t>
            </w:r>
            <w:r w:rsidR="006330A8" w:rsidRPr="00FD4924">
              <w:rPr>
                <w:lang w:val="sk-SK"/>
              </w:rPr>
              <w:t xml:space="preserve"> v závislosti od plochy povrchu tela.</w:t>
            </w:r>
          </w:p>
          <w:p w:rsidR="006330A8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FD4924">
              <w:rPr>
                <w:lang w:val="sk-SK"/>
              </w:rPr>
              <w:t xml:space="preserve">Po podaní </w:t>
            </w:r>
            <w:r w:rsidRPr="00FD4924">
              <w:rPr>
                <w:b/>
                <w:lang w:val="sk-SK"/>
              </w:rPr>
              <w:t xml:space="preserve">nesprávne vypočítaných </w:t>
            </w:r>
            <w:r w:rsidRPr="00FD4924">
              <w:rPr>
                <w:lang w:val="sk-SK"/>
              </w:rPr>
              <w:t xml:space="preserve">dávok boli zaznamenané fatálne prípady intoxikácie. </w:t>
            </w:r>
            <w:r w:rsidR="007E7D99" w:rsidRPr="00FD4924">
              <w:rPr>
                <w:lang w:val="sk-SK"/>
              </w:rPr>
              <w:t xml:space="preserve">Zdravotnícki </w:t>
            </w:r>
            <w:r w:rsidRPr="00FD4924">
              <w:rPr>
                <w:lang w:val="sk-SK"/>
              </w:rPr>
              <w:t xml:space="preserve">pracovníci a pacienti </w:t>
            </w:r>
            <w:r w:rsidR="00BC5F30" w:rsidRPr="00FD4924">
              <w:rPr>
                <w:lang w:val="sk-SK"/>
              </w:rPr>
              <w:t>majú</w:t>
            </w:r>
            <w:r w:rsidRPr="00FD4924">
              <w:rPr>
                <w:lang w:val="sk-SK"/>
              </w:rPr>
              <w:t xml:space="preserve"> byť vždy v plnej miere informovaní o toxických účinkoch.</w:t>
            </w:r>
          </w:p>
          <w:p w:rsidR="00C82733" w:rsidRDefault="00C82733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</w:p>
          <w:p w:rsidR="00C82733" w:rsidRPr="00FD4924" w:rsidRDefault="00E90007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lang w:val="sk-SK"/>
              </w:rPr>
              <w:t>Methotrexat Accord</w:t>
            </w:r>
            <w:r w:rsidR="00C82733">
              <w:rPr>
                <w:lang w:val="sk-SK"/>
              </w:rPr>
              <w:t xml:space="preserve"> 100 mg/ml je hypertonický a nesmie sa podávať intratekálne.  </w:t>
            </w:r>
          </w:p>
        </w:tc>
      </w:tr>
    </w:tbl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82733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Spôsob podávania</w:t>
      </w:r>
      <w:r w:rsidR="00DC59A8">
        <w:rPr>
          <w:lang w:val="sk-SK"/>
        </w:rPr>
        <w:t xml:space="preserve">: </w:t>
      </w:r>
    </w:p>
    <w:p w:rsidR="00C82733" w:rsidRDefault="00C8273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Liečbu </w:t>
      </w:r>
      <w:r w:rsidR="00BC5F30" w:rsidRPr="00FD4924">
        <w:rPr>
          <w:lang w:val="sk-SK"/>
        </w:rPr>
        <w:t>má</w:t>
      </w:r>
      <w:r w:rsidRPr="00FD4924">
        <w:rPr>
          <w:lang w:val="sk-SK"/>
        </w:rPr>
        <w:t xml:space="preserve"> iniciovať alebo konzultovať lekár so širokou skúsenosťou v liečbe cytostatikami.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môže podávať intramuskulárne, intravenózne</w:t>
      </w:r>
      <w:r w:rsidR="00DC59A8">
        <w:rPr>
          <w:lang w:val="sk-SK"/>
        </w:rPr>
        <w:t xml:space="preserve"> alebo</w:t>
      </w:r>
      <w:r w:rsidRPr="00FD4924">
        <w:rPr>
          <w:lang w:val="sk-SK"/>
        </w:rPr>
        <w:t xml:space="preserve"> intraarteriálne</w:t>
      </w:r>
      <w:r w:rsidR="00DC59A8">
        <w:rPr>
          <w:lang w:val="sk-SK"/>
        </w:rPr>
        <w:t>.</w:t>
      </w:r>
      <w:r w:rsidR="003E2500">
        <w:rPr>
          <w:lang w:val="sk-SK"/>
        </w:rPr>
        <w:t xml:space="preserve"> </w:t>
      </w:r>
      <w:r w:rsidR="00E90007">
        <w:rPr>
          <w:lang w:val="sk-SK"/>
        </w:rPr>
        <w:t>Methotrexat Accord</w:t>
      </w:r>
      <w:r w:rsidR="00DC59A8">
        <w:rPr>
          <w:lang w:val="sk-SK"/>
        </w:rPr>
        <w:t xml:space="preserve"> 100 mg/ml je hypertonický a nesmie sa podávať </w:t>
      </w:r>
      <w:r w:rsidRPr="00FD4924">
        <w:rPr>
          <w:lang w:val="sk-SK"/>
        </w:rPr>
        <w:t>intratekálne. Dávkovanie sa obvykle vypočíta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alebo </w:t>
      </w:r>
      <w:r w:rsidR="00187DBD" w:rsidRPr="00FD4924">
        <w:rPr>
          <w:lang w:val="sk-SK"/>
        </w:rPr>
        <w:t xml:space="preserve">podľa </w:t>
      </w:r>
      <w:r w:rsidRPr="00FD4924">
        <w:rPr>
          <w:lang w:val="sk-SK"/>
        </w:rPr>
        <w:t xml:space="preserve">telesnej hmotnosti. Dávky vyššie ako 100 mg metotrexátu si vždy vyžadujú následné podanie kyseliny folinovej (pozri </w:t>
      </w:r>
      <w:r w:rsidR="00F704AB">
        <w:rPr>
          <w:lang w:val="sk-SK"/>
        </w:rPr>
        <w:t xml:space="preserve">záchrannú liečbu </w:t>
      </w:r>
      <w:r w:rsidR="0026168E">
        <w:rPr>
          <w:lang w:val="sk-SK"/>
        </w:rPr>
        <w:t>kalcium</w:t>
      </w:r>
      <w:r w:rsidR="00F704AB">
        <w:rPr>
          <w:lang w:val="sk-SK"/>
        </w:rPr>
        <w:t>folinátom</w:t>
      </w:r>
      <w:r w:rsidRPr="00FD4924">
        <w:rPr>
          <w:lang w:val="sk-SK"/>
        </w:rPr>
        <w:t>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Odporúčani</w:t>
      </w:r>
      <w:r w:rsidR="002321FE">
        <w:rPr>
          <w:lang w:val="sk-SK"/>
        </w:rPr>
        <w:t>e</w:t>
      </w:r>
      <w:r w:rsidRPr="00FD4924">
        <w:rPr>
          <w:lang w:val="sk-SK"/>
        </w:rPr>
        <w:t xml:space="preserve"> týkajúce sa aplikácie a dávkovania metotrexátu u rôznych indikácií sa veľmi líšia. Niektoré bežné dávkovania, ktoré boli použité u rôznych indikácií, sú uvedené nižšie. Žiadne z týchto dávkovaní sa nemôže v súčasnosti charakterizovať ako štandardná terapia. Keďže odporúčania týkajúce sa aplikácie a dávkovania pri liečbe metotrexátom sa pri vysokých a nízkych dávkovaniach rozchádzajú, uvádzame tu len najčastejšie používané predlohy. Dávky, spôsob a postupnosť podania sa musia konzultovať s aktuálne publikovanými protokolmi.</w:t>
      </w:r>
    </w:p>
    <w:p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Pokyny týkajúce sa nariedenia</w:t>
      </w:r>
      <w:r w:rsidR="00180A86">
        <w:rPr>
          <w:lang w:val="sk-SK"/>
        </w:rPr>
        <w:t xml:space="preserve"> lieku sú uvedené v</w:t>
      </w:r>
      <w:r>
        <w:rPr>
          <w:lang w:val="sk-SK"/>
        </w:rPr>
        <w:t xml:space="preserve"> </w:t>
      </w:r>
      <w:r w:rsidRPr="00FD4924">
        <w:rPr>
          <w:lang w:val="sk-SK"/>
        </w:rPr>
        <w:t>čas</w:t>
      </w:r>
      <w:r w:rsidR="00180A86">
        <w:rPr>
          <w:lang w:val="sk-SK"/>
        </w:rPr>
        <w:t>ti</w:t>
      </w:r>
      <w:r w:rsidRPr="00FD4924">
        <w:rPr>
          <w:lang w:val="sk-SK"/>
        </w:rPr>
        <w:t> 6.</w:t>
      </w:r>
      <w:r w:rsidR="00180A86">
        <w:rPr>
          <w:lang w:val="sk-SK"/>
        </w:rPr>
        <w:t>6.</w:t>
      </w:r>
    </w:p>
    <w:p w:rsidR="00180A86" w:rsidRDefault="00180A86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80A86" w:rsidRPr="00E453C3" w:rsidRDefault="005C6C35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6C35">
        <w:rPr>
          <w:u w:val="single"/>
          <w:lang w:val="sk-SK"/>
        </w:rPr>
        <w:t xml:space="preserve">Dávkovanie: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môže podávať ako konvenčná liečba nízkymi dávkami, liečba strednými dávkami</w:t>
      </w:r>
      <w:r w:rsidR="00180A86">
        <w:rPr>
          <w:lang w:val="sk-SK"/>
        </w:rPr>
        <w:t xml:space="preserve"> a</w:t>
      </w:r>
      <w:r w:rsidRPr="00FD4924">
        <w:rPr>
          <w:lang w:val="sk-SK"/>
        </w:rPr>
        <w:t xml:space="preserve"> liečba vysokými dávkami.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Obvyklá liečba nízkymi dávkami: </w:t>
      </w:r>
      <w:r w:rsidRPr="00FD4924">
        <w:rPr>
          <w:lang w:val="sk-SK"/>
        </w:rPr>
        <w:t>15</w:t>
      </w:r>
      <w:r w:rsidRPr="00FD4924">
        <w:rPr>
          <w:lang w:val="sk-SK"/>
        </w:rPr>
        <w:noBreakHyphen/>
        <w:t>50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raz týždenne intravenózne alebo intramuskulárne v jednej alebo viacerých dávkach. 40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(u rakoviny hlavy alebo krku) raz týždenne ako intravenózna bolusová injekcia.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 xml:space="preserve">Liečba strednou dávkou: </w:t>
      </w:r>
      <w:r w:rsidRPr="00FD4924">
        <w:rPr>
          <w:lang w:val="sk-SK"/>
        </w:rPr>
        <w:t>Medzi 100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až 1 000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v </w:t>
      </w:r>
      <w:r w:rsidR="007B208C" w:rsidRPr="00FD4924">
        <w:rPr>
          <w:lang w:val="sk-SK"/>
        </w:rPr>
        <w:t>jednorazovej</w:t>
      </w:r>
      <w:r w:rsidR="00187DBD" w:rsidRPr="00FD4924">
        <w:rPr>
          <w:lang w:val="sk-SK"/>
        </w:rPr>
        <w:t xml:space="preserve"> </w:t>
      </w:r>
      <w:r w:rsidRPr="00FD4924">
        <w:rPr>
          <w:lang w:val="sk-SK"/>
        </w:rPr>
        <w:t>dávke. U pokročilej skvamóznej epiteliálnej rakoviny alebo rakoviny močového mechúra možno podať intermediálne dávky metotrexátu až do 100</w:t>
      </w:r>
      <w:r w:rsidRPr="00FD4924">
        <w:rPr>
          <w:lang w:val="sk-SK"/>
        </w:rPr>
        <w:noBreakHyphen/>
        <w:t>200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(pozri </w:t>
      </w:r>
      <w:r w:rsidR="00F704AB">
        <w:rPr>
          <w:lang w:val="sk-SK"/>
        </w:rPr>
        <w:t>záchrannú liečbu folinátom vápenatým</w:t>
      </w:r>
      <w:r w:rsidRPr="00FD4924">
        <w:rPr>
          <w:lang w:val="sk-SK"/>
        </w:rPr>
        <w:t>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Liečba vysokou dávkou: </w:t>
      </w:r>
      <w:r w:rsidRPr="00FD4924">
        <w:rPr>
          <w:lang w:val="sk-SK"/>
        </w:rPr>
        <w:t>U rôznych malígnych chorôb</w:t>
      </w:r>
      <w:r w:rsidR="00187DBD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malígneho lymfómu, akútnej lymfatickej leukémie, osteosarkómu a metastatického choriokarcinómu možno nasadiť dávky 1 000 mg metotrexátu alebo viac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podávané v priebehu 24</w:t>
      </w:r>
      <w:r w:rsidR="00180A86">
        <w:rPr>
          <w:lang w:val="sk-SK"/>
        </w:rPr>
        <w:t xml:space="preserve"> </w:t>
      </w:r>
      <w:r w:rsidRPr="00FD4924">
        <w:rPr>
          <w:lang w:val="sk-SK"/>
        </w:rPr>
        <w:t>hod</w:t>
      </w:r>
      <w:r w:rsidR="00180A86">
        <w:rPr>
          <w:lang w:val="sk-SK"/>
        </w:rPr>
        <w:t>ín</w:t>
      </w:r>
      <w:r w:rsidRPr="00FD4924">
        <w:rPr>
          <w:lang w:val="sk-SK"/>
        </w:rPr>
        <w:t xml:space="preserve">. </w:t>
      </w:r>
      <w:r w:rsidR="00180A86">
        <w:rPr>
          <w:lang w:val="sk-SK"/>
        </w:rPr>
        <w:t xml:space="preserve">Po liečbe vysokými dávkami </w:t>
      </w:r>
      <w:r w:rsidRPr="00FD4924">
        <w:rPr>
          <w:lang w:val="sk-SK"/>
        </w:rPr>
        <w:t>metotrexát</w:t>
      </w:r>
      <w:r w:rsidR="00180A86">
        <w:rPr>
          <w:lang w:val="sk-SK"/>
        </w:rPr>
        <w:t xml:space="preserve">u musí nasledovať </w:t>
      </w:r>
      <w:r w:rsidR="00D22779">
        <w:rPr>
          <w:lang w:val="sk-SK"/>
        </w:rPr>
        <w:t xml:space="preserve">záchranná </w:t>
      </w:r>
      <w:r w:rsidR="00180A86">
        <w:rPr>
          <w:lang w:val="sk-SK"/>
        </w:rPr>
        <w:t>liečba</w:t>
      </w:r>
      <w:r w:rsidRPr="00FD4924">
        <w:rPr>
          <w:lang w:val="sk-SK"/>
        </w:rPr>
        <w:t xml:space="preserve"> vo forme podania folinátu vápenatého</w:t>
      </w:r>
      <w:r w:rsidR="00D22779">
        <w:rPr>
          <w:lang w:val="sk-SK"/>
        </w:rPr>
        <w:t xml:space="preserve"> (ďalšie </w:t>
      </w:r>
      <w:r w:rsidR="00C72968">
        <w:rPr>
          <w:lang w:val="sk-SK"/>
        </w:rPr>
        <w:t>informácie sú uvedené v liečebnom protokole, pozri záchrannú liečbu folinátom vápenatým</w:t>
      </w:r>
      <w:r w:rsidRPr="00FD4924">
        <w:rPr>
          <w:lang w:val="sk-SK"/>
        </w:rPr>
        <w:t xml:space="preserve">). </w:t>
      </w:r>
    </w:p>
    <w:p w:rsidR="006330A8" w:rsidRPr="00FD4924" w:rsidRDefault="00F704AB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lang w:val="sk-SK"/>
        </w:rPr>
        <w:t>Záchranná liečba folinátom vápenatým</w:t>
      </w:r>
      <w:r w:rsidR="006330A8"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Keďže dávkovací režim pri </w:t>
      </w:r>
      <w:r w:rsidR="00F704AB">
        <w:rPr>
          <w:lang w:val="sk-SK"/>
        </w:rPr>
        <w:t>záchrannej liečbe folinátom vápenatým</w:t>
      </w:r>
      <w:r w:rsidRPr="00FD4924">
        <w:rPr>
          <w:lang w:val="sk-SK"/>
        </w:rPr>
        <w:t xml:space="preserve"> veľmi závisí od dávkovania a spôsobu podania stredných alebo vysokých dávok metotrexátu, </w:t>
      </w:r>
      <w:r w:rsidR="00F704AB">
        <w:rPr>
          <w:lang w:val="sk-SK"/>
        </w:rPr>
        <w:t xml:space="preserve">dávkovací </w:t>
      </w:r>
      <w:r w:rsidRPr="00FD4924">
        <w:rPr>
          <w:lang w:val="sk-SK"/>
        </w:rPr>
        <w:t xml:space="preserve">protokol metotrexátu </w:t>
      </w:r>
      <w:r w:rsidR="00F704AB">
        <w:rPr>
          <w:lang w:val="sk-SK"/>
        </w:rPr>
        <w:t xml:space="preserve">určuje </w:t>
      </w:r>
      <w:r w:rsidRPr="00FD4924">
        <w:rPr>
          <w:lang w:val="sk-SK"/>
        </w:rPr>
        <w:t xml:space="preserve">dávkovací režim terapie folinátom vápenatým. Preto je najlepšie preštudovať si k aplikovanej strednej alebo vysokej dávke metotrexátu protokol o dávkovaní a spôsobe podávania folinátu vápenatého.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  <w:r w:rsidRPr="00FD4924">
        <w:rPr>
          <w:lang w:val="sk-SK"/>
        </w:rPr>
        <w:t>Okrem podania folinátu vápenatého sú integrálnou súčasťou terapie folinátom vápenatým opatrenia na zabezpečenie rýchlej exkrécie metotrexátu (udržanie vysokej diurézy a alkalizácia moču). Obličkové funkcie sa musia monitorovať denným meraním sérového kreatinínu.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szCs w:val="22"/>
          <w:highlight w:val="yellow"/>
          <w:lang w:val="sk-SK"/>
        </w:rPr>
      </w:pPr>
      <w:r w:rsidRPr="00FD4924">
        <w:rPr>
          <w:b/>
          <w:lang w:val="sk-SK"/>
        </w:rPr>
        <w:t>Dospelí</w:t>
      </w:r>
    </w:p>
    <w:p w:rsidR="006330A8" w:rsidRPr="00FD4924" w:rsidRDefault="006330A8" w:rsidP="00702178">
      <w:pPr>
        <w:rPr>
          <w:b/>
          <w:bCs/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 xml:space="preserve">Akútna </w:t>
      </w:r>
      <w:r w:rsidR="001D522E" w:rsidRPr="00FD4924">
        <w:rPr>
          <w:b/>
          <w:lang w:val="sk-SK"/>
        </w:rPr>
        <w:t>lymfo</w:t>
      </w:r>
      <w:r w:rsidR="001D522E">
        <w:rPr>
          <w:b/>
          <w:lang w:val="sk-SK"/>
        </w:rPr>
        <w:t>blastová</w:t>
      </w:r>
      <w:r w:rsidR="001D522E" w:rsidRPr="00FD4924">
        <w:rPr>
          <w:b/>
          <w:lang w:val="sk-SK"/>
        </w:rPr>
        <w:t xml:space="preserve"> </w:t>
      </w:r>
      <w:r w:rsidRPr="00FD4924">
        <w:rPr>
          <w:b/>
          <w:lang w:val="sk-SK"/>
        </w:rPr>
        <w:t>leukémia (ALL)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V nízkych dávkach sa metotrexát aplikuje v rozsahu komplexných liečebných protokolov pre udržanie remisie u dospelých s akútnou </w:t>
      </w:r>
      <w:r w:rsidR="001D522E" w:rsidRPr="00FD4924">
        <w:rPr>
          <w:lang w:val="sk-SK"/>
        </w:rPr>
        <w:t>lymfo</w:t>
      </w:r>
      <w:r w:rsidR="001D522E">
        <w:rPr>
          <w:lang w:val="sk-SK"/>
        </w:rPr>
        <w:t>blastov</w:t>
      </w:r>
      <w:r w:rsidR="001D522E" w:rsidRPr="00FD4924">
        <w:rPr>
          <w:lang w:val="sk-SK"/>
        </w:rPr>
        <w:t xml:space="preserve">ou </w:t>
      </w:r>
      <w:r w:rsidRPr="00FD4924">
        <w:rPr>
          <w:lang w:val="sk-SK"/>
        </w:rPr>
        <w:t xml:space="preserve">leukémiou. Normálne </w:t>
      </w:r>
      <w:r w:rsidR="001E3A18" w:rsidRPr="00FD4924">
        <w:rPr>
          <w:lang w:val="sk-SK"/>
        </w:rPr>
        <w:t xml:space="preserve">jednorazové </w:t>
      </w:r>
      <w:r w:rsidRPr="00FD4924">
        <w:rPr>
          <w:lang w:val="sk-SK"/>
        </w:rPr>
        <w:t>dávky sa nachádzajú v rozpätí 20</w:t>
      </w:r>
      <w:r w:rsidRPr="00FD4924">
        <w:rPr>
          <w:lang w:val="sk-SK"/>
        </w:rPr>
        <w:noBreakHyphen/>
        <w:t>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metotrexátu. Udržiavacia dávka u ALL je 15</w:t>
      </w:r>
      <w:r w:rsidRPr="00FD4924">
        <w:rPr>
          <w:lang w:val="sk-SK"/>
        </w:rPr>
        <w:noBreakHyphen/>
        <w:t>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raz alebo dva razy týždenne.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Iné príklady: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3,3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cytostatickou látkou </w:t>
      </w:r>
      <w:r w:rsidRPr="00FD4924">
        <w:rPr>
          <w:lang w:val="sk-SK"/>
        </w:rPr>
        <w:t>raz denne po dobu 4</w:t>
      </w:r>
      <w:r w:rsidRPr="00FD4924">
        <w:rPr>
          <w:lang w:val="sk-SK"/>
        </w:rPr>
        <w:noBreakHyphen/>
        <w:t>6 týždňov.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2,5 mg/kg každý týždeň.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Režim vysokých dávok medzi 1 až 12 g/m2 (i. v. 1</w:t>
      </w:r>
      <w:r w:rsidRPr="00FD4924">
        <w:rPr>
          <w:lang w:val="sk-SK"/>
        </w:rPr>
        <w:noBreakHyphen/>
        <w:t>6 h) opakovaných každý 1</w:t>
      </w:r>
      <w:r w:rsidRPr="00FD4924">
        <w:rPr>
          <w:lang w:val="sk-SK"/>
        </w:rPr>
        <w:noBreakHyphen/>
        <w:t>3 týždne.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cytostatickou látkou </w:t>
      </w:r>
      <w:r w:rsidRPr="00FD4924">
        <w:rPr>
          <w:lang w:val="sk-SK"/>
        </w:rPr>
        <w:t>raz týždenne.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Karcinóm prsníka</w:t>
      </w: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lang w:val="sk-SK"/>
        </w:rPr>
        <w:t xml:space="preserve">Cyklická kombinácia s cyklofosfamidom, metotrexátom a fluorouracilom sa používa ako adjuvantná liečba po radikálnej mastektómii u primárnej rakoviny prsníka s pozitívnymi lymfatickými uzlinami v </w:t>
      </w:r>
      <w:r w:rsidRPr="00FD4924">
        <w:rPr>
          <w:lang w:val="sk-SK"/>
        </w:rPr>
        <w:lastRenderedPageBreak/>
        <w:t>podpazuší. Dávka metotrexátu je 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intravenózne v prvý a ôsmy deň cyklu. Liečba sa opakuje v trojtýždňových intervaloch. Metotrexát v intravenóznych dávkach 10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môže byť zahrnutý do cyklických združených režimov s inými cytotoxickými liekmi pri liečbe pokročilej rakoviny prsníka. </w:t>
      </w:r>
    </w:p>
    <w:p w:rsidR="006330A8" w:rsidRPr="00FD4924" w:rsidRDefault="006330A8" w:rsidP="00702178">
      <w:pPr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Osteosarkóm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Efektívna adjuvantná chemoterapia si vyžaduje podávanie rôznych cytotoxických chemoterapeutických liekov. Okrem vysokej dávky metotrexátu s</w:t>
      </w:r>
      <w:r w:rsidR="001D522E">
        <w:rPr>
          <w:lang w:val="sk-SK"/>
        </w:rPr>
        <w:t>o</w:t>
      </w:r>
      <w:r w:rsidRPr="00FD4924">
        <w:rPr>
          <w:lang w:val="sk-SK"/>
        </w:rPr>
        <w:t xml:space="preserve"> </w:t>
      </w:r>
      <w:r w:rsidR="001D522E">
        <w:rPr>
          <w:lang w:val="sk-SK"/>
        </w:rPr>
        <w:t>záchrannou liečbou</w:t>
      </w:r>
      <w:r w:rsidRPr="00FD4924">
        <w:rPr>
          <w:lang w:val="sk-SK"/>
        </w:rPr>
        <w:t xml:space="preserve"> </w:t>
      </w:r>
      <w:r w:rsidR="001D522E" w:rsidRPr="00FD4924">
        <w:rPr>
          <w:lang w:val="sk-SK"/>
        </w:rPr>
        <w:t>folinát</w:t>
      </w:r>
      <w:r w:rsidR="001D522E">
        <w:rPr>
          <w:lang w:val="sk-SK"/>
        </w:rPr>
        <w:t>om</w:t>
      </w:r>
      <w:r w:rsidR="001D522E" w:rsidRPr="00FD4924">
        <w:rPr>
          <w:lang w:val="sk-SK"/>
        </w:rPr>
        <w:t xml:space="preserve"> vápenat</w:t>
      </w:r>
      <w:r w:rsidR="001D522E">
        <w:rPr>
          <w:lang w:val="sk-SK"/>
        </w:rPr>
        <w:t>ým</w:t>
      </w:r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>sa môže podať doxorubicín, cisplatina a kombinácia bleomycínu, cyklofosfamidu a daktinomycínu (BCD). Metotrexát sa používa vo vysokých dávkach (8 000</w:t>
      </w:r>
      <w:r w:rsidRPr="00FD4924">
        <w:rPr>
          <w:lang w:val="sk-SK"/>
        </w:rPr>
        <w:noBreakHyphen/>
        <w:t>12 000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>) raz týždenne. Ak dávka nepostačuje na to, aby sa na konci infúzie dosiahla reálna sérová koncentrácia 10</w:t>
      </w:r>
      <w:r w:rsidRPr="00FD4924">
        <w:rPr>
          <w:vertAlign w:val="superscript"/>
          <w:lang w:val="sk-SK"/>
        </w:rPr>
        <w:noBreakHyphen/>
        <w:t>3</w:t>
      </w:r>
      <w:r w:rsidRPr="00FD4924">
        <w:rPr>
          <w:lang w:val="sk-SK"/>
        </w:rPr>
        <w:t> mol/L, dávka sa môže zvýšiť pri následnej liečbe na 15 g/m</w:t>
      </w:r>
      <w:r w:rsidR="005C6C35" w:rsidRPr="005C6C35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  <w:r w:rsidR="004434D4" w:rsidRPr="00FD4924">
        <w:rPr>
          <w:lang w:val="sk-SK"/>
        </w:rPr>
        <w:t>Nutn</w:t>
      </w:r>
      <w:r w:rsidR="004434D4">
        <w:rPr>
          <w:lang w:val="sk-SK"/>
        </w:rPr>
        <w:t>á</w:t>
      </w:r>
      <w:r w:rsidR="004434D4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je </w:t>
      </w:r>
      <w:r w:rsidR="004434D4">
        <w:rPr>
          <w:lang w:val="sk-SK"/>
        </w:rPr>
        <w:t>záchranná liečba</w:t>
      </w:r>
      <w:r w:rsidRPr="00FD4924">
        <w:rPr>
          <w:lang w:val="sk-SK"/>
        </w:rPr>
        <w:t xml:space="preserve"> </w:t>
      </w:r>
      <w:r w:rsidR="004434D4" w:rsidRPr="00FD4924">
        <w:rPr>
          <w:lang w:val="sk-SK"/>
        </w:rPr>
        <w:t>folinát</w:t>
      </w:r>
      <w:r w:rsidR="004434D4">
        <w:rPr>
          <w:lang w:val="sk-SK"/>
        </w:rPr>
        <w:t>om</w:t>
      </w:r>
      <w:r w:rsidR="004434D4" w:rsidRPr="00FD4924">
        <w:rPr>
          <w:lang w:val="sk-SK"/>
        </w:rPr>
        <w:t xml:space="preserve"> vápenat</w:t>
      </w:r>
      <w:r w:rsidR="004434D4">
        <w:rPr>
          <w:lang w:val="sk-SK"/>
        </w:rPr>
        <w:t>ým</w:t>
      </w:r>
      <w:r w:rsidRPr="00FD4924">
        <w:rPr>
          <w:lang w:val="sk-SK"/>
        </w:rPr>
        <w:t>. Metotrexát sa tiež používal ako samostatná liečba v metastatických prípadoch osteosarkómu.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u w:val="single"/>
          <w:lang w:val="sk-SK"/>
        </w:rPr>
        <w:t>Starší pacienti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FD4924">
        <w:rPr>
          <w:lang w:val="sk-SK"/>
        </w:rPr>
        <w:t xml:space="preserve">O znížení dávky </w:t>
      </w:r>
      <w:r w:rsidR="001E3A18" w:rsidRPr="00FD4924">
        <w:rPr>
          <w:lang w:val="sk-SK"/>
        </w:rPr>
        <w:t>sa má</w:t>
      </w:r>
      <w:r w:rsidRPr="00FD4924">
        <w:rPr>
          <w:lang w:val="sk-SK"/>
        </w:rPr>
        <w:t xml:space="preserve"> uvažovať u starších pacientov kvôli zníženej funkcii pečene a obličiek, ako aj pre nižšie zásoby folátu, ktoré sa vyskytujú vo vyššom veku.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obličiek</w:t>
      </w:r>
    </w:p>
    <w:p w:rsidR="006330A8" w:rsidRPr="00FD4924" w:rsidRDefault="006330A8" w:rsidP="00702178">
      <w:pPr>
        <w:rPr>
          <w:color w:val="000000"/>
          <w:sz w:val="24"/>
          <w:szCs w:val="24"/>
          <w:lang w:val="sk-SK"/>
        </w:rPr>
      </w:pPr>
      <w:r w:rsidRPr="00FD4924">
        <w:rPr>
          <w:lang w:val="sk-SK"/>
        </w:rPr>
        <w:t xml:space="preserve">Metotrexát sa musí opatrne používať u pacientov s poruchou funkcie obličiek. Dávkovacie režimy sa musia upraviť podľa klírensu kreatinínu a sérových koncentrácií metotrexátu. </w:t>
      </w:r>
    </w:p>
    <w:p w:rsidR="006330A8" w:rsidRPr="00FD4924" w:rsidRDefault="006330A8" w:rsidP="00702178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klírens kreatinínu (ml/min) &gt;50, môže sa podať 100 %, dávka MTX. </w:t>
      </w:r>
    </w:p>
    <w:p w:rsidR="006330A8" w:rsidRPr="00FD4924" w:rsidRDefault="006330A8" w:rsidP="00C27FE2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>Ak je klírens kreatinínu (ml/min) 20</w:t>
      </w:r>
      <w:r w:rsidRPr="00FD4924">
        <w:rPr>
          <w:color w:val="000000"/>
          <w:lang w:val="sk-SK"/>
        </w:rPr>
        <w:noBreakHyphen/>
        <w:t xml:space="preserve">50, môže sa podať </w:t>
      </w:r>
      <w:r w:rsidR="001E3A18" w:rsidRPr="00FD4924">
        <w:rPr>
          <w:color w:val="000000"/>
          <w:lang w:val="sk-SK"/>
        </w:rPr>
        <w:t xml:space="preserve">50% </w:t>
      </w:r>
      <w:r w:rsidRPr="00FD4924">
        <w:rPr>
          <w:color w:val="000000"/>
          <w:lang w:val="sk-SK"/>
        </w:rPr>
        <w:t>dávk</w:t>
      </w:r>
      <w:r w:rsidR="001E3A18" w:rsidRPr="00FD4924">
        <w:rPr>
          <w:color w:val="000000"/>
          <w:lang w:val="sk-SK"/>
        </w:rPr>
        <w:t>y</w:t>
      </w:r>
      <w:r w:rsidRPr="00FD4924">
        <w:rPr>
          <w:color w:val="000000"/>
          <w:lang w:val="sk-SK"/>
        </w:rPr>
        <w:t xml:space="preserve"> MTX. </w:t>
      </w:r>
    </w:p>
    <w:p w:rsidR="006330A8" w:rsidRPr="00FD4924" w:rsidRDefault="004434D4" w:rsidP="00702178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lang w:val="sk-SK"/>
        </w:rPr>
        <w:t xml:space="preserve">  </w:t>
      </w:r>
      <w:r w:rsidR="006330A8" w:rsidRPr="00FD4924">
        <w:rPr>
          <w:color w:val="000000"/>
          <w:lang w:val="sk-SK"/>
        </w:rPr>
        <w:t xml:space="preserve"> </w:t>
      </w:r>
      <w:r w:rsidR="006330A8" w:rsidRPr="00FD4924">
        <w:rPr>
          <w:lang w:val="sk-SK"/>
        </w:rPr>
        <w:t xml:space="preserve">Ak je klírens kreatinínu (ml/min) </w:t>
      </w:r>
      <w:r w:rsidR="006330A8" w:rsidRPr="00FD4924">
        <w:rPr>
          <w:color w:val="000000"/>
          <w:lang w:val="sk-SK"/>
        </w:rPr>
        <w:t>&lt;</w:t>
      </w:r>
      <w:r w:rsidR="006330A8" w:rsidRPr="00FD4924">
        <w:rPr>
          <w:lang w:val="sk-SK"/>
        </w:rPr>
        <w:t>20, MTX sa nesmie podať.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:rsidR="006330A8" w:rsidRPr="00FD4924" w:rsidRDefault="006330A8" w:rsidP="00702178">
      <w:pPr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pečene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sa musí podávať </w:t>
      </w:r>
      <w:r w:rsidR="001E3A18" w:rsidRPr="00FD4924">
        <w:rPr>
          <w:lang w:val="sk-SK"/>
        </w:rPr>
        <w:t>s veľ</w:t>
      </w:r>
      <w:r w:rsidR="001B0BE5" w:rsidRPr="00FD4924">
        <w:rPr>
          <w:lang w:val="sk-SK"/>
        </w:rPr>
        <w:t>k</w:t>
      </w:r>
      <w:r w:rsidR="001E3A18" w:rsidRPr="00FD4924">
        <w:rPr>
          <w:lang w:val="sk-SK"/>
        </w:rPr>
        <w:t>ou opatrnosťou</w:t>
      </w:r>
      <w:r w:rsidRPr="00FD4924">
        <w:rPr>
          <w:lang w:val="sk-SK"/>
        </w:rPr>
        <w:t>, ak ho vôbec podať pacientom so signifikantnou aktuálnou alebo predošlou chorobou pečene, najmä ak bola zapríčinená alkoholom. Metotrexát je kontraindikovaný, ak sú hodnoty bilirubínu &gt;5 mg/dl (85,5 μmol/L).</w:t>
      </w:r>
    </w:p>
    <w:p w:rsidR="00DC1E25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prípade trvalého zvýšenia pečeňových enzýmov je treba uvážiť zníženie dávky alebo prerušenie liečby.</w:t>
      </w:r>
    </w:p>
    <w:p w:rsidR="00702178" w:rsidRPr="00FD4924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  </w:t>
      </w:r>
    </w:p>
    <w:p w:rsidR="00702178" w:rsidRPr="00E453C3" w:rsidRDefault="005C6C35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C6C35">
        <w:rPr>
          <w:i/>
          <w:szCs w:val="22"/>
          <w:lang w:val="sk-SK"/>
        </w:rPr>
        <w:t>Pediatrická populácia</w:t>
      </w:r>
    </w:p>
    <w:p w:rsidR="006330A8" w:rsidRPr="00FD4924" w:rsidRDefault="00702178" w:rsidP="00702178">
      <w:pPr>
        <w:autoSpaceDE w:val="0"/>
        <w:autoSpaceDN w:val="0"/>
        <w:adjustRightInd w:val="0"/>
        <w:spacing w:line="240" w:lineRule="auto"/>
        <w:rPr>
          <w:iCs/>
          <w:szCs w:val="22"/>
          <w:highlight w:val="yellow"/>
          <w:lang w:val="sk-SK"/>
        </w:rPr>
      </w:pPr>
      <w:r w:rsidRPr="00FD4924">
        <w:rPr>
          <w:szCs w:val="22"/>
          <w:lang w:val="sk-SK"/>
        </w:rPr>
        <w:t>Metotrexát</w:t>
      </w:r>
      <w:r w:rsidR="001B0BE5" w:rsidRPr="00FD4924">
        <w:rPr>
          <w:szCs w:val="22"/>
          <w:lang w:val="sk-SK"/>
        </w:rPr>
        <w:t xml:space="preserve"> sa musí používať s opatrnosťou u pediatrických pacientov. Liečba by sa mala riadiť aktuálne platnými liečebnými protokolmi pre deti (pozri časť 4.4).</w:t>
      </w:r>
    </w:p>
    <w:p w:rsidR="007034C8" w:rsidRDefault="007034C8" w:rsidP="00702178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4.3</w:t>
      </w:r>
      <w:r w:rsidRPr="00FD4924">
        <w:rPr>
          <w:b/>
          <w:lang w:val="sk-SK"/>
        </w:rPr>
        <w:tab/>
        <w:t>Kontraindikácie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4434D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Precitlivenosť na </w:t>
      </w:r>
      <w:r w:rsidR="00E453C3">
        <w:rPr>
          <w:lang w:val="sk-SK"/>
        </w:rPr>
        <w:t>metotrexát</w:t>
      </w:r>
      <w:r w:rsidR="001B0BE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ktorúkoľvek </w:t>
      </w:r>
      <w:r w:rsidR="00824138" w:rsidRPr="00FD4924">
        <w:rPr>
          <w:lang w:val="sk-SK"/>
        </w:rPr>
        <w:t xml:space="preserve">z </w:t>
      </w:r>
      <w:r w:rsidRPr="00FD4924">
        <w:rPr>
          <w:lang w:val="sk-SK"/>
        </w:rPr>
        <w:t>pomocn</w:t>
      </w:r>
      <w:r w:rsidR="00824138" w:rsidRPr="00FD4924">
        <w:rPr>
          <w:lang w:val="sk-SK"/>
        </w:rPr>
        <w:t>ých</w:t>
      </w:r>
      <w:r w:rsidRPr="00FD4924">
        <w:rPr>
          <w:lang w:val="sk-SK"/>
        </w:rPr>
        <w:t xml:space="preserve"> lát</w:t>
      </w:r>
      <w:r w:rsidR="00824138" w:rsidRPr="00FD4924">
        <w:rPr>
          <w:lang w:val="sk-SK"/>
        </w:rPr>
        <w:t>ok</w:t>
      </w:r>
      <w:r w:rsidR="001B0BE5" w:rsidRPr="00FD4924">
        <w:rPr>
          <w:lang w:val="sk-SK"/>
        </w:rPr>
        <w:t xml:space="preserve"> </w:t>
      </w:r>
      <w:r w:rsidR="001B0BE5" w:rsidRPr="00FD4924">
        <w:rPr>
          <w:noProof/>
          <w:szCs w:val="22"/>
          <w:lang w:val="sk-SK"/>
        </w:rPr>
        <w:t>uvedených v časti 6.1.</w:t>
      </w:r>
    </w:p>
    <w:p w:rsidR="006330A8" w:rsidRPr="00FD4924" w:rsidRDefault="006330A8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r w:rsidR="00824138" w:rsidRPr="00FD4924">
        <w:rPr>
          <w:lang w:val="sk-SK"/>
        </w:rPr>
        <w:t xml:space="preserve">insuficiencia </w:t>
      </w:r>
      <w:r w:rsidRPr="00FD4924">
        <w:rPr>
          <w:lang w:val="sk-SK"/>
        </w:rPr>
        <w:t>pečene (pozri časť 4.2).</w:t>
      </w:r>
    </w:p>
    <w:p w:rsidR="006330A8" w:rsidRPr="00FD4924" w:rsidRDefault="006330A8" w:rsidP="0084409A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Abúzus alkoholu.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r w:rsidR="00824138" w:rsidRPr="00FD4924">
        <w:rPr>
          <w:lang w:val="sk-SK"/>
        </w:rPr>
        <w:t>insuficiencia</w:t>
      </w:r>
      <w:r w:rsidRPr="00FD4924">
        <w:rPr>
          <w:lang w:val="sk-SK"/>
        </w:rPr>
        <w:t xml:space="preserve"> obličiek (klírens kreatinínu menší ako 20 ml/min, pozri časť 4.2).</w:t>
      </w:r>
    </w:p>
    <w:p w:rsidR="006330A8" w:rsidRPr="00FD4924" w:rsidRDefault="0082413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Už existujúca </w:t>
      </w:r>
      <w:r w:rsidR="006330A8" w:rsidRPr="00FD4924">
        <w:rPr>
          <w:lang w:val="sk-SK"/>
        </w:rPr>
        <w:t xml:space="preserve">krvná dyskrázia, ako je hypoplázia kostnej drene, leukopénia, trombocytopénia alebo </w:t>
      </w:r>
      <w:r w:rsidRPr="00FD4924">
        <w:rPr>
          <w:lang w:val="sk-SK"/>
        </w:rPr>
        <w:t xml:space="preserve">signifikantná </w:t>
      </w:r>
      <w:r w:rsidR="006330A8" w:rsidRPr="00FD4924">
        <w:rPr>
          <w:lang w:val="sk-SK"/>
        </w:rPr>
        <w:t>anémia.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Závažné akútne alebo chronické infekcie, ako </w:t>
      </w:r>
      <w:r w:rsidR="00824138" w:rsidRPr="00FD4924">
        <w:rPr>
          <w:lang w:val="sk-SK"/>
        </w:rPr>
        <w:t xml:space="preserve">je </w:t>
      </w:r>
      <w:r w:rsidRPr="00FD4924">
        <w:rPr>
          <w:lang w:val="sk-SK"/>
        </w:rPr>
        <w:t>tuberkulóza a HIV.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Vredy v ústnej dutine a známa aktívna gastrointestinálna vredová choroba.</w:t>
      </w:r>
    </w:p>
    <w:p w:rsidR="00B03851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Tehotenstvo</w:t>
      </w:r>
      <w:r w:rsidR="00B03851">
        <w:rPr>
          <w:lang w:val="sk-SK"/>
        </w:rPr>
        <w:t xml:space="preserve"> a</w:t>
      </w:r>
      <w:r w:rsidRPr="00FD4924">
        <w:rPr>
          <w:lang w:val="sk-SK"/>
        </w:rPr>
        <w:t xml:space="preserve"> dojčenie (pozri časť 4.6).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vakcinácia so živými vakcínami.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4.4</w:t>
      </w:r>
      <w:r w:rsidRPr="00FD4924">
        <w:rPr>
          <w:b/>
          <w:lang w:val="sk-SK"/>
        </w:rPr>
        <w:tab/>
        <w:t>Osobitné upozornenia a opatrenia pri používaní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Bola </w:t>
      </w:r>
      <w:r w:rsidR="00824138" w:rsidRPr="00FD4924">
        <w:rPr>
          <w:lang w:val="sk-SK"/>
        </w:rPr>
        <w:t xml:space="preserve">hlásená </w:t>
      </w:r>
      <w:r w:rsidRPr="00FD4924">
        <w:rPr>
          <w:lang w:val="sk-SK"/>
        </w:rPr>
        <w:t xml:space="preserve">fatálna toxicita v spojitosti s intravenóznym podaním </w:t>
      </w:r>
      <w:r w:rsidR="00824138" w:rsidRPr="00FD4924">
        <w:rPr>
          <w:lang w:val="sk-SK"/>
        </w:rPr>
        <w:t xml:space="preserve">z dôvodu nesprávneho výpočtu </w:t>
      </w:r>
      <w:r w:rsidRPr="00FD4924">
        <w:rPr>
          <w:lang w:val="sk-SK"/>
        </w:rPr>
        <w:t>dávky. Osobitnú pozornosť je treba venovať výpočtu dávky (pozri časť 4.2. Dávkovanie a spôsob podávania).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 xml:space="preserve">Vzhľadom na </w:t>
      </w:r>
      <w:r w:rsidR="00824138" w:rsidRPr="00FD4924">
        <w:rPr>
          <w:lang w:val="sk-SK"/>
        </w:rPr>
        <w:t xml:space="preserve">riziko </w:t>
      </w:r>
      <w:r w:rsidRPr="00FD4924">
        <w:rPr>
          <w:lang w:val="sk-SK"/>
        </w:rPr>
        <w:t xml:space="preserve">ťažkých toxických reakcií (ktoré môžu byť fatálne), smie sa metotrexát používať len pri život ohrozujúcich neoplastických chorobách. Počas liečby malignít metotrexátom boli zaznamenané úmrtia. Lekár musí informovať pacienta o </w:t>
      </w:r>
      <w:r w:rsidR="00824138" w:rsidRPr="00FD4924">
        <w:rPr>
          <w:lang w:val="sk-SK"/>
        </w:rPr>
        <w:t>riziku</w:t>
      </w:r>
      <w:r w:rsidRPr="00FD4924">
        <w:rPr>
          <w:lang w:val="sk-SK"/>
        </w:rPr>
        <w:t xml:space="preserve"> liečb</w:t>
      </w:r>
      <w:r w:rsidR="00824138" w:rsidRPr="00FD4924">
        <w:rPr>
          <w:lang w:val="sk-SK"/>
        </w:rPr>
        <w:t>y</w:t>
      </w:r>
      <w:r w:rsidRPr="00FD4924">
        <w:rPr>
          <w:lang w:val="sk-SK"/>
        </w:rPr>
        <w:t xml:space="preserve"> a musí pacienta neprestajne sledovať.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</w:t>
      </w:r>
      <w:r w:rsidR="00CE5D58" w:rsidRPr="00FD4924">
        <w:rPr>
          <w:lang w:val="sk-SK"/>
        </w:rPr>
        <w:t xml:space="preserve">podľa správ </w:t>
      </w:r>
      <w:r w:rsidRPr="00FD4924">
        <w:rPr>
          <w:lang w:val="sk-SK"/>
        </w:rPr>
        <w:t xml:space="preserve">zapríčinil úmrtie plodu a/alebo kongenitálne malformácie. Liečba neoplastických chorôb sa neodporúča u žien v reprodukčnom veku, pokiaľ nie sú jasné medicínske indikácie, že predpokladaný úžitok z liečby vyváži </w:t>
      </w:r>
      <w:r w:rsidR="00BC4E55">
        <w:rPr>
          <w:lang w:val="sk-SK"/>
        </w:rPr>
        <w:t>možné</w:t>
      </w:r>
      <w:r w:rsidR="00BC4E5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riziká (pozri 4.6. Fertilita, gravidita a laktácia). Metotrexát ovplyvňuje v období podávania spermatogenézu a oogenézu, čo môže mať za následok zníženú plodnosť. Tieto účinky môžu </w:t>
      </w:r>
      <w:r w:rsidR="00CE5D58" w:rsidRPr="00FD4924">
        <w:rPr>
          <w:lang w:val="sk-SK"/>
        </w:rPr>
        <w:t xml:space="preserve">byť </w:t>
      </w:r>
      <w:r w:rsidRPr="00FD4924">
        <w:rPr>
          <w:lang w:val="sk-SK"/>
        </w:rPr>
        <w:t>po prerušení liečby reverzibilné.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Syndróm nádorového rozpadu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Tak ako iné cytotoxické lieky, metotrexát môže vyvolať syndróm nádorového rozpadu u pacientov s rýchlo rastúcimi nádormi. Primeraná podporná liečba a farmakologické opatrenia môžu predísť alebo zmierniť takéto komplikácie.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Metotrexát a nesteroidné protizápalové lieky (NSAID)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Neočakávaná ťažká (</w:t>
      </w:r>
      <w:r w:rsidR="00CE5D58" w:rsidRPr="00FD4924">
        <w:rPr>
          <w:lang w:val="sk-SK"/>
        </w:rPr>
        <w:t>vrátane fatálnej</w:t>
      </w:r>
      <w:r w:rsidRPr="00FD4924">
        <w:rPr>
          <w:lang w:val="sk-SK"/>
        </w:rPr>
        <w:t>) myelosupresia, aplastická anémia a gastrointestinálna toxicita bola zaznamenaná v spojitosti so súčasnou liečbou metotrexátom (obvykle vo vysokej dávke) a nesteroidnými protizápalovými liekmi (NSAID) (pozri</w:t>
      </w:r>
      <w:r w:rsidR="00B73BDE">
        <w:rPr>
          <w:lang w:val="sk-SK"/>
        </w:rPr>
        <w:t xml:space="preserve"> časť</w:t>
      </w:r>
      <w:r w:rsidRPr="00FD4924">
        <w:rPr>
          <w:lang w:val="sk-SK"/>
        </w:rPr>
        <w:t xml:space="preserve"> 4.5 Liekové a iné interakcie).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Súčasná liečba metotrexátom a rádioterapiou môže zvýšiť riziko nekrózy mäkkých tkanív a osteonekrózy.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Intravenózne podanie metotrexátu môže vyústiť do akútnej encefalitídy a akútnej encefalopatie s možným fatálnym výsledkom.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Metotrexát a pleurálny výpotok</w:t>
      </w:r>
      <w:r w:rsidR="001B0BE5" w:rsidRPr="00FD4924">
        <w:rPr>
          <w:b/>
          <w:lang w:val="sk-SK"/>
        </w:rPr>
        <w:t>/</w:t>
      </w:r>
      <w:r w:rsidRPr="00FD4924">
        <w:rPr>
          <w:b/>
          <w:lang w:val="sk-SK"/>
        </w:rPr>
        <w:t xml:space="preserve"> </w:t>
      </w:r>
      <w:r w:rsidR="001B0BE5" w:rsidRPr="00FD4924">
        <w:rPr>
          <w:b/>
          <w:lang w:val="sk-SK"/>
        </w:rPr>
        <w:t>ascites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sa vylučuje z nahromadených tekutín (napr. pleuráln</w:t>
      </w:r>
      <w:r w:rsidR="001272A8" w:rsidRPr="00FD4924">
        <w:rPr>
          <w:lang w:val="sk-SK"/>
        </w:rPr>
        <w:t>y výpotok</w:t>
      </w:r>
      <w:r w:rsidRPr="00FD4924">
        <w:rPr>
          <w:lang w:val="sk-SK"/>
        </w:rPr>
        <w:t xml:space="preserve">, ascites) pomaly. Dôsledkom toho je predĺžený </w:t>
      </w:r>
      <w:r w:rsidR="005A1ACF" w:rsidRPr="00FD4924">
        <w:rPr>
          <w:lang w:val="sk-SK"/>
        </w:rPr>
        <w:t xml:space="preserve">terminálny </w:t>
      </w:r>
      <w:r w:rsidRPr="00FD4924">
        <w:rPr>
          <w:lang w:val="sk-SK"/>
        </w:rPr>
        <w:t xml:space="preserve">polčas a neočakávaná toxicita. U pacientov s významným nahromadením tekutín sa odporúča vykonať pred liečbou drenáž tekutín a monitorovať plazmatické hladiny metotrexátu.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 xml:space="preserve">Ak sa vyskytne stomatitída, </w:t>
      </w:r>
      <w:r w:rsidR="005A1ACF" w:rsidRPr="00FD4924">
        <w:rPr>
          <w:lang w:val="sk-SK"/>
        </w:rPr>
        <w:t>hnačka</w:t>
      </w:r>
      <w:r w:rsidRPr="00FD4924">
        <w:rPr>
          <w:lang w:val="sk-SK"/>
        </w:rPr>
        <w:t>, hemateméza alebo čierna stolica, terapia metotrexát</w:t>
      </w:r>
      <w:r w:rsidR="005A1ACF" w:rsidRPr="00FD4924">
        <w:rPr>
          <w:lang w:val="sk-SK"/>
        </w:rPr>
        <w:t>om</w:t>
      </w:r>
      <w:r w:rsidRPr="00FD4924">
        <w:rPr>
          <w:lang w:val="sk-SK"/>
        </w:rPr>
        <w:t xml:space="preserve"> sa musí prerušiť kvôli nebezpečenstvu hemoragickej enteritídy alebo smrti v dôsledku perforácie intestína alebo dehydratácie (pozri časť 4.8. Nežiaduce účinky). </w:t>
      </w:r>
    </w:p>
    <w:p w:rsidR="006330A8" w:rsidRPr="00FD4924" w:rsidRDefault="006330A8" w:rsidP="00702178">
      <w:pPr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Stavy, </w:t>
      </w:r>
      <w:r w:rsidR="005A1ACF" w:rsidRPr="00FD4924">
        <w:rPr>
          <w:lang w:val="sk-SK"/>
        </w:rPr>
        <w:t xml:space="preserve">pri </w:t>
      </w:r>
      <w:r w:rsidRPr="00FD4924">
        <w:rPr>
          <w:lang w:val="sk-SK"/>
        </w:rPr>
        <w:t xml:space="preserve">ktorých </w:t>
      </w:r>
      <w:r w:rsidR="005A1ACF" w:rsidRPr="00FD4924">
        <w:rPr>
          <w:lang w:val="sk-SK"/>
        </w:rPr>
        <w:t>je</w:t>
      </w:r>
      <w:r w:rsidRPr="00FD4924">
        <w:rPr>
          <w:lang w:val="sk-SK"/>
        </w:rPr>
        <w:t xml:space="preserve"> nedostat</w:t>
      </w:r>
      <w:r w:rsidR="005A1ACF" w:rsidRPr="00FD4924">
        <w:rPr>
          <w:lang w:val="sk-SK"/>
        </w:rPr>
        <w:t>ok</w:t>
      </w:r>
      <w:r w:rsidRPr="00FD4924">
        <w:rPr>
          <w:lang w:val="sk-SK"/>
        </w:rPr>
        <w:t xml:space="preserve">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>, môžu zvýšiť riziko metotrexátovej toxicity.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liečbe vysokými dávkami </w:t>
      </w:r>
      <w:r w:rsidR="00F87CEA">
        <w:rPr>
          <w:lang w:val="sk-SK"/>
        </w:rPr>
        <w:t xml:space="preserve">sa </w:t>
      </w:r>
      <w:r w:rsidRPr="00FD4924">
        <w:rPr>
          <w:lang w:val="sk-SK"/>
        </w:rPr>
        <w:t>nesmie metotrexát miešať s roztokmi, ktoré obsahujú konzervanty (pozri tiež 6.6).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Neodporúča sa používať u dojčiat roztoky metotrexátu, ktoré ako konzervant obsahujú benzylalkohol. U dojčiat, ktorým intravenózne podali roztoky obsahujúce benzylalkohol, bol zaznamenaný syndróm dýchavičnosti s fatálnym </w:t>
      </w:r>
      <w:r w:rsidR="005A1ACF" w:rsidRPr="00FD4924">
        <w:rPr>
          <w:lang w:val="sk-SK"/>
        </w:rPr>
        <w:t>následkom</w:t>
      </w:r>
      <w:r w:rsidRPr="00FD4924">
        <w:rPr>
          <w:lang w:val="sk-SK"/>
        </w:rPr>
        <w:t xml:space="preserve">. </w:t>
      </w:r>
      <w:r w:rsidR="005A1ACF" w:rsidRPr="00FD4924">
        <w:rPr>
          <w:lang w:val="sk-SK"/>
        </w:rPr>
        <w:t>Symptómy zahŕňajú</w:t>
      </w:r>
      <w:r w:rsidRPr="00FD4924">
        <w:rPr>
          <w:lang w:val="sk-SK"/>
        </w:rPr>
        <w:t xml:space="preserve"> rýchly nástup respiračných problémov, hypotenziu, bradykardiu a kardiovaskulárny kolaps.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Infekcie alebo imunologické stavy</w:t>
      </w:r>
    </w:p>
    <w:p w:rsidR="006330A8" w:rsidRPr="00FD4924" w:rsidRDefault="005A1ACF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kou opatrnosťou</w:t>
      </w:r>
      <w:r w:rsidR="006330A8" w:rsidRPr="00FD4924">
        <w:rPr>
          <w:lang w:val="sk-SK"/>
        </w:rPr>
        <w:t xml:space="preserve"> v spojitosti s aktívnou infekciou a je obvykle kontraindikovan</w:t>
      </w:r>
      <w:r w:rsidR="002A17FF" w:rsidRPr="00FD4924">
        <w:rPr>
          <w:lang w:val="sk-SK"/>
        </w:rPr>
        <w:t>ý</w:t>
      </w:r>
      <w:r w:rsidR="006330A8" w:rsidRPr="00FD4924">
        <w:rPr>
          <w:lang w:val="sk-SK"/>
        </w:rPr>
        <w:t xml:space="preserve"> u pacientov s manifestnou imunosupresiou, alebo v prípadoch, kde imunodeficiencia je dokázaná laboratórnymi skúškami.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Môže sa vyskytnúť pneumónia (ktorá v určitých prípadoch môže viesť k zlyhaniu dýchania). V spojitosti s liečbou metotrexátom sa môžu vyskytnúť potenciálne fatálne oportúnne infekcie </w:t>
      </w:r>
      <w:r w:rsidR="002A17FF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 pneumónie </w:t>
      </w:r>
      <w:r w:rsidR="002A17FF" w:rsidRPr="00FD4924">
        <w:rPr>
          <w:lang w:val="sk-SK"/>
        </w:rPr>
        <w:t xml:space="preserve">vyvolanej </w:t>
      </w:r>
      <w:r w:rsidRPr="00FD4924">
        <w:rPr>
          <w:i/>
          <w:lang w:val="sk-SK"/>
        </w:rPr>
        <w:t>Pneumocystits carinii</w:t>
      </w:r>
      <w:r w:rsidRPr="00FD4924">
        <w:rPr>
          <w:lang w:val="sk-SK"/>
        </w:rPr>
        <w:t xml:space="preserve">. Keď sa u pacienta prejavia pulmonárne príznaky, treba vziať do úvahy možnosť pneumónie vyvolanej </w:t>
      </w:r>
      <w:r w:rsidRPr="00FD4924">
        <w:rPr>
          <w:i/>
          <w:lang w:val="sk-SK"/>
        </w:rPr>
        <w:t>Pneumocystis carinii</w:t>
      </w:r>
      <w:r w:rsidRPr="00FD4924">
        <w:rPr>
          <w:lang w:val="sk-SK"/>
        </w:rPr>
        <w:t xml:space="preserve"> (pozri časť 4.8).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Imunizácia</w:t>
      </w:r>
    </w:p>
    <w:p w:rsidR="006330A8" w:rsidRPr="00FD4924" w:rsidRDefault="001272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>Metotrexát</w:t>
      </w:r>
      <w:r w:rsidR="006330A8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môže spôsobiť rušenie výsledkov imunologických testov. Liečba metotrexátom </w:t>
      </w:r>
      <w:r w:rsidR="006330A8" w:rsidRPr="00FD4924">
        <w:rPr>
          <w:lang w:val="sk-SK"/>
        </w:rPr>
        <w:t xml:space="preserve">môže byť spojená s menej efektívnou imunologickou odpoveďou na vakcináciu. Osobitnú opatrnosť si vyžaduje prítomnosť </w:t>
      </w:r>
      <w:r w:rsidR="00AA70C4" w:rsidRPr="00FD4924">
        <w:rPr>
          <w:lang w:val="sk-SK"/>
        </w:rPr>
        <w:t>in</w:t>
      </w:r>
      <w:r w:rsidR="006330A8" w:rsidRPr="00FD4924">
        <w:rPr>
          <w:lang w:val="sk-SK"/>
        </w:rPr>
        <w:t xml:space="preserve">aktívnych chronických infekcií (napr. herpes zoster, tuberkulóza, hepatitída B alebo C), </w:t>
      </w:r>
      <w:r w:rsidR="00AA70C4" w:rsidRPr="00FD4924">
        <w:rPr>
          <w:lang w:val="sk-SK"/>
        </w:rPr>
        <w:t>kvôli možnej aktivácii</w:t>
      </w:r>
      <w:r w:rsidR="006330A8" w:rsidRPr="00FD4924">
        <w:rPr>
          <w:lang w:val="sk-SK"/>
        </w:rPr>
        <w:t xml:space="preserve">. Imunizácia živými vírusmi sa spravidla neodporúča.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i/>
          <w:lang w:val="sk-SK"/>
        </w:rPr>
        <w:t>Kožná toxicita: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Vzhľadom na </w:t>
      </w:r>
      <w:r w:rsidR="00AA70C4" w:rsidRPr="00FD4924">
        <w:rPr>
          <w:lang w:val="sk-SK"/>
        </w:rPr>
        <w:t xml:space="preserve">riziko </w:t>
      </w:r>
      <w:r w:rsidRPr="00FD4924">
        <w:rPr>
          <w:lang w:val="sk-SK"/>
        </w:rPr>
        <w:t>fototoxicity sa pacient musí vyhýbať slnečnému svetlu a soláriu.</w:t>
      </w:r>
    </w:p>
    <w:p w:rsidR="003D5757" w:rsidRDefault="003D575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Sledovanie liečby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Pacienti</w:t>
      </w:r>
      <w:r w:rsidR="00E67527">
        <w:rPr>
          <w:lang w:val="sk-SK"/>
        </w:rPr>
        <w:t>, ktorí zaháji</w:t>
      </w:r>
      <w:r w:rsidRPr="00FD4924">
        <w:rPr>
          <w:lang w:val="sk-SK"/>
        </w:rPr>
        <w:t xml:space="preserve"> lieč</w:t>
      </w:r>
      <w:r w:rsidR="00E67527">
        <w:rPr>
          <w:lang w:val="sk-SK"/>
        </w:rPr>
        <w:t>bu</w:t>
      </w:r>
      <w:r w:rsidRPr="00FD4924">
        <w:rPr>
          <w:lang w:val="sk-SK"/>
        </w:rPr>
        <w:t xml:space="preserve"> metotrexátom</w:t>
      </w:r>
      <w:r w:rsidR="00E67527">
        <w:rPr>
          <w:lang w:val="sk-SK"/>
        </w:rPr>
        <w:t>,</w:t>
      </w:r>
      <w:r w:rsidRPr="00FD4924">
        <w:rPr>
          <w:lang w:val="sk-SK"/>
        </w:rPr>
        <w:t xml:space="preserve"> musia byť starostlivo sledovaní, aby sa toxické účinky aplikovaného liečiva mohli okamžite zistiť. Analýz</w:t>
      </w:r>
      <w:r w:rsidR="00E67527">
        <w:rPr>
          <w:lang w:val="sk-SK"/>
        </w:rPr>
        <w:t>a</w:t>
      </w:r>
      <w:r w:rsidRPr="00FD4924">
        <w:rPr>
          <w:lang w:val="sk-SK"/>
        </w:rPr>
        <w:t xml:space="preserve"> pred liečbou musia zahŕňať diferenciálny krvný obraz s počtom doštičiek, pečeňové enzýmy, testy na infekčnú hepatitídu B a C, funkčné testy obličiek a RTG </w:t>
      </w:r>
      <w:r w:rsidR="00E67527">
        <w:rPr>
          <w:lang w:val="sk-SK"/>
        </w:rPr>
        <w:t>hrudníka</w:t>
      </w:r>
      <w:r w:rsidRPr="00FD4924">
        <w:rPr>
          <w:lang w:val="sk-SK"/>
        </w:rPr>
        <w:t xml:space="preserve">. Toxické účinky metotrexátu sa môžu vyskytnúť dokonca aj pri nízkych dávkach a preto je starostlivé sledovanie liečených pacientov také dôležité. Väčšina nežiaducich účinkov je reverzibilná, ak sú včas </w:t>
      </w:r>
      <w:r w:rsidR="003D5757" w:rsidRPr="00FD4924">
        <w:rPr>
          <w:lang w:val="sk-SK"/>
        </w:rPr>
        <w:t>detegované</w:t>
      </w:r>
      <w:r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Monitoring sa musí vykonať na začiatku liečby alebo keď sa zmení dávka, alebo počas období narast</w:t>
      </w:r>
      <w:r w:rsidR="00B37E60">
        <w:rPr>
          <w:lang w:val="sk-SK"/>
        </w:rPr>
        <w:t>ajúceho</w:t>
      </w:r>
      <w:r w:rsidRPr="00FD4924">
        <w:rPr>
          <w:lang w:val="sk-SK"/>
        </w:rPr>
        <w:t xml:space="preserve"> rizik</w:t>
      </w:r>
      <w:r w:rsidR="00B37E60">
        <w:rPr>
          <w:lang w:val="sk-SK"/>
        </w:rPr>
        <w:t>a</w:t>
      </w:r>
      <w:r w:rsidRPr="00FD4924">
        <w:rPr>
          <w:lang w:val="sk-SK"/>
        </w:rPr>
        <w:t xml:space="preserve"> zvýšených hladín metotrexátu (napr. pri dehydratácii).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 je to nutné, musí sa uskutočniť biopsia kostnej drene.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rPr>
          <w:szCs w:val="22"/>
          <w:lang w:val="sk-SK"/>
        </w:rPr>
      </w:pPr>
      <w:r w:rsidRPr="00FD4924">
        <w:rPr>
          <w:b/>
          <w:lang w:val="sk-SK"/>
        </w:rPr>
        <w:t>Monitorovanie sérovej hladiny metotrexátu</w:t>
      </w:r>
      <w:r w:rsidRPr="00FD4924">
        <w:rPr>
          <w:lang w:val="sk-SK"/>
        </w:rPr>
        <w:t xml:space="preserve"> môže významne zredukovať toxicitu metotrexátu a nutnosť rutinného sledovania sérovej hladiny metotrexátu závisí od dávkovania alebo liečebného protokolu.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 xml:space="preserve">Leukopénia a trombocytopénia </w:t>
      </w:r>
      <w:r w:rsidRPr="00FD4924">
        <w:rPr>
          <w:lang w:val="sk-SK"/>
        </w:rPr>
        <w:t>sa obvykle vyskytujú 4</w:t>
      </w:r>
      <w:r w:rsidRPr="00FD4924">
        <w:rPr>
          <w:lang w:val="sk-SK"/>
        </w:rPr>
        <w:noBreakHyphen/>
        <w:t>14 dní po podaní metotrexátu. Rekurencia leukopénie sa môže v zriedkavých prípadoch vyskytnúť 12</w:t>
      </w:r>
      <w:r w:rsidRPr="00FD4924">
        <w:rPr>
          <w:lang w:val="sk-SK"/>
        </w:rPr>
        <w:noBreakHyphen/>
        <w:t xml:space="preserve">21 dní po podaní metotrexátu. V liečbe metotrexátom sa má pokračovať len vtedy, ak </w:t>
      </w:r>
      <w:r w:rsidR="00AA70C4" w:rsidRPr="00FD4924">
        <w:rPr>
          <w:lang w:val="sk-SK"/>
        </w:rPr>
        <w:t xml:space="preserve">prínos preváži riziko </w:t>
      </w:r>
      <w:r w:rsidRPr="00FD4924">
        <w:rPr>
          <w:lang w:val="sk-SK"/>
        </w:rPr>
        <w:t>ťažkej myelosupresie (pozri časť 4.2).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Hematopoietická supresia</w:t>
      </w:r>
      <w:r w:rsidRPr="00FD4924">
        <w:rPr>
          <w:lang w:val="sk-SK"/>
        </w:rPr>
        <w:t xml:space="preserve"> Hematopoietická supresia vyvolaná metotrexátom sa môže vyskytnúť náhle a pri očividne bezpečných dávkach. V prípade akéhokoľvek signifikantného poklesu leukocytov alebo krvných doštičiek sa musí liečba okamžite prerušiť a nasadiť primeraná podporná liečba. Pacienta je treba inštruovať, aby hlásil všetky znaky a symptómy naznačujúce infekciu. U pacientov, ktorí zároveň užívajú hematotoxické lieky (napr. leflunomid</w:t>
      </w:r>
      <w:r w:rsidR="002C19F7">
        <w:rPr>
          <w:lang w:val="sk-SK"/>
        </w:rPr>
        <w:t>, trimetoprim/co-trimoxazol a cytarabín</w:t>
      </w:r>
      <w:r w:rsidRPr="00FD4924">
        <w:rPr>
          <w:lang w:val="sk-SK"/>
        </w:rPr>
        <w:t>), sa musí starostlivo sledovať krvný obraz a počet krvných doštičiek.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Funkčné pečeňové testy: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Osobitnú pozornosť je treba venovať </w:t>
      </w:r>
      <w:r w:rsidR="00AA70C4" w:rsidRPr="00FD4924">
        <w:rPr>
          <w:lang w:val="sk-SK"/>
        </w:rPr>
        <w:t xml:space="preserve">nástupu </w:t>
      </w:r>
      <w:r w:rsidRPr="00FD4924">
        <w:rPr>
          <w:lang w:val="sk-SK"/>
        </w:rPr>
        <w:t xml:space="preserve">pečeňovej toxicity. Liečba sa </w:t>
      </w:r>
      <w:r w:rsidR="00700930" w:rsidRPr="00FD4924">
        <w:rPr>
          <w:lang w:val="sk-SK"/>
        </w:rPr>
        <w:t xml:space="preserve">nemá </w:t>
      </w:r>
      <w:r w:rsidRPr="00FD4924">
        <w:rPr>
          <w:lang w:val="sk-SK"/>
        </w:rPr>
        <w:t xml:space="preserve">začať alebo sa musí prerušiť, ak sú </w:t>
      </w:r>
      <w:r w:rsidR="00700930" w:rsidRPr="00FD4924">
        <w:rPr>
          <w:lang w:val="sk-SK"/>
        </w:rPr>
        <w:t>akékoľvek abnormality</w:t>
      </w:r>
      <w:r w:rsidRPr="00FD4924">
        <w:rPr>
          <w:lang w:val="sk-SK"/>
        </w:rPr>
        <w:t xml:space="preserve"> vo funkčných pečeňových testoch alebo pečeňových biopsiách, alebo ak sa tieto vyvinú počas terapie. Takéto abnormality sa musia vrátiť k normálu v priebehu dvoch týždňov, po ktorých môže lekár rozhodnúť o pokračovaní liečby. Musí sa uskutočniť ďalší výskum, či sériové chemické testy </w:t>
      </w:r>
      <w:r w:rsidR="007435ED">
        <w:rPr>
          <w:lang w:val="sk-SK"/>
        </w:rPr>
        <w:t xml:space="preserve">funkcie </w:t>
      </w:r>
      <w:r w:rsidRPr="00FD4924">
        <w:rPr>
          <w:lang w:val="sk-SK"/>
        </w:rPr>
        <w:t xml:space="preserve">pečene alebo propeptid kolagénu typu III dokážu adekvátne detegovať hepatotoxicitu. Toto hodnotenie </w:t>
      </w:r>
      <w:r w:rsidR="00700930" w:rsidRPr="00FD4924">
        <w:rPr>
          <w:lang w:val="sk-SK"/>
        </w:rPr>
        <w:t>má</w:t>
      </w:r>
      <w:r w:rsidRPr="00FD4924">
        <w:rPr>
          <w:lang w:val="sk-SK"/>
        </w:rPr>
        <w:t xml:space="preserve"> rozlišovať medzi pacientmi bez akýchkoľvek rizikových faktorov a pacientov s rizikovými faktormi, medzi ktorými je napr. nadmerné pitie alkoholu v minulosti, pretrvávajúce zvýšenie pečeňových enzýmov, anamnéza ochorenia pečene, rodinná anamnéza dedičných porúch pečene, diabetes mellitus, obezita a predchádzajúci kontakt s hepatotoxickými liekmi alebo chemikáliami a predĺžená liečba metotrexátom alebo kumulatívne dávky o veľkosti 1,5 g a viac.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Skríning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</w:t>
      </w:r>
      <w:r w:rsidR="00700930" w:rsidRPr="00FD4924">
        <w:rPr>
          <w:lang w:val="sk-SK"/>
        </w:rPr>
        <w:t xml:space="preserve"> v sére</w:t>
      </w:r>
      <w:r w:rsidRPr="00FD4924">
        <w:rPr>
          <w:b/>
          <w:lang w:val="sk-SK"/>
        </w:rPr>
        <w:t>:</w:t>
      </w:r>
      <w:r w:rsidRPr="00FD4924">
        <w:rPr>
          <w:lang w:val="sk-SK"/>
        </w:rPr>
        <w:t xml:space="preserve"> Bol zaznamenaný 13</w:t>
      </w:r>
      <w:r w:rsidRPr="00FD4924">
        <w:rPr>
          <w:lang w:val="sk-SK"/>
        </w:rPr>
        <w:noBreakHyphen/>
        <w:t>20 % výskyt prechodného zvýšenia hladín transamináz na dvoj</w:t>
      </w:r>
      <w:r w:rsidRPr="00FD4924">
        <w:rPr>
          <w:lang w:val="sk-SK"/>
        </w:rPr>
        <w:noBreakHyphen/>
        <w:t xml:space="preserve"> až trojnásobok hornej hranice normálu. V prípade trvalého zvýšenia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 je nutné uvážiť zníženie dávky alebo prerušenie liečby.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272A8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szCs w:val="22"/>
          <w:lang w:val="sk-SK"/>
        </w:rPr>
        <w:t>Inzulín dependentný diabetes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Pacienti, ktorí trpia </w:t>
      </w:r>
      <w:r w:rsidR="00587115" w:rsidRPr="00FD4924">
        <w:rPr>
          <w:lang w:val="sk-SK"/>
        </w:rPr>
        <w:t>inzulín dependentným diabetom</w:t>
      </w:r>
      <w:r w:rsidRPr="00FD4924">
        <w:rPr>
          <w:lang w:val="sk-SK"/>
        </w:rPr>
        <w:t>, musia byť starostlivo sledovaní</w:t>
      </w:r>
      <w:r w:rsidR="00587115" w:rsidRPr="00FD4924">
        <w:rPr>
          <w:lang w:val="sk-SK"/>
        </w:rPr>
        <w:t>, pretože sa</w:t>
      </w:r>
      <w:r w:rsidRPr="00FD4924">
        <w:rPr>
          <w:lang w:val="sk-SK"/>
        </w:rPr>
        <w:t xml:space="preserve"> môže vyskytnúť cirhóza pečene a zvýšenie transamináz.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Vzhľadom na potenciálny toxický účinok na pečeň nesmú sa počas liečby metotrexátom podávať ďalšie hepatotoxické lieky, </w:t>
      </w:r>
      <w:r w:rsidRPr="00FD4924">
        <w:rPr>
          <w:i/>
          <w:lang w:val="sk-SK"/>
        </w:rPr>
        <w:t>pokiaľ ich podávanie nie je jednoznačne nevyhnutné</w:t>
      </w:r>
      <w:r w:rsidRPr="00FD4924">
        <w:rPr>
          <w:lang w:val="sk-SK"/>
        </w:rPr>
        <w:t xml:space="preserve"> a treba sa vyhýbať </w:t>
      </w:r>
      <w:r w:rsidRPr="00FD4924">
        <w:rPr>
          <w:lang w:val="sk-SK"/>
        </w:rPr>
        <w:lastRenderedPageBreak/>
        <w:t>konzumu alkoholu alebo ho z veľkej miery obmedziť (pozri časť 4.5). U pacientov, ktorí zároveň užívajú iné hepatotoxické lieky (napr. leflunomid)</w:t>
      </w:r>
      <w:r w:rsidR="005D7F20" w:rsidRPr="00FD4924">
        <w:rPr>
          <w:lang w:val="sk-SK"/>
        </w:rPr>
        <w:t>,</w:t>
      </w:r>
      <w:r w:rsidRPr="00FD4924">
        <w:rPr>
          <w:lang w:val="sk-SK"/>
        </w:rPr>
        <w:t xml:space="preserve"> sa musí zaviesť dôslednejšie sledovanie pečeňových enzýmov. To isté je treba mať na pamäti, ak sa pacientovi zároveň podávajú hepatotoxické lieky.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Malígne lymfómy sa môžu vyskytnúť u pacientov, ktorí </w:t>
      </w:r>
      <w:r w:rsidR="005D7F20" w:rsidRPr="00FD4924">
        <w:rPr>
          <w:lang w:val="sk-SK"/>
        </w:rPr>
        <w:t xml:space="preserve">sú liečení </w:t>
      </w:r>
      <w:r w:rsidRPr="00FD4924">
        <w:rPr>
          <w:lang w:val="sk-SK"/>
        </w:rPr>
        <w:t xml:space="preserve">nízkymi dávkami metotrexátu; v takom prípade sa metotrexát musí vysadiť. Ak nedôjde k spontánnemu regresu lymfómov, je nutné nasadiť cytotoxickú liečbu.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Funkcia obličiek: </w:t>
      </w:r>
      <w:r w:rsidRPr="00FD4924">
        <w:rPr>
          <w:lang w:val="sk-SK"/>
        </w:rPr>
        <w:t xml:space="preserve">Liečba metotrexátom sa musí u pacientov s poruchou funkcie obličiek sledovať pomocou funkčných obličkových testov a </w:t>
      </w:r>
      <w:r w:rsidR="005D7F20" w:rsidRPr="00FD4924">
        <w:rPr>
          <w:lang w:val="sk-SK"/>
        </w:rPr>
        <w:t>urinoanalýzou</w:t>
      </w:r>
      <w:r w:rsidRPr="00FD4924">
        <w:rPr>
          <w:lang w:val="sk-SK"/>
        </w:rPr>
        <w:t>, nakoľko funkčná porucha obličiek má za následok zníženie eliminácie metotrexátu, čo môže vyvolať ťažké nežiaduce reakcie.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 </w:t>
      </w:r>
      <w:r w:rsidR="001B5D17" w:rsidRPr="00FD4924">
        <w:rPr>
          <w:lang w:val="sk-SK"/>
        </w:rPr>
        <w:t>možn</w:t>
      </w:r>
      <w:r w:rsidR="001B5D17">
        <w:rPr>
          <w:lang w:val="sk-SK"/>
        </w:rPr>
        <w:t>ej</w:t>
      </w:r>
      <w:r w:rsidR="001B5D17" w:rsidRPr="00FD4924">
        <w:rPr>
          <w:lang w:val="sk-SK"/>
        </w:rPr>
        <w:t xml:space="preserve"> </w:t>
      </w:r>
      <w:r w:rsidR="001B5D17">
        <w:rPr>
          <w:lang w:val="sk-SK"/>
        </w:rPr>
        <w:t>poruchy funkcie</w:t>
      </w:r>
      <w:r w:rsidR="001B5D17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obličiek (napr. u starších pacientov) je nutné dôkladne monitorovať funkciu obličiek. To platí najmä v prípade súčasného podávania liekov, ktoré ovplyvňujú vylučovanie metotrexátu, čo spôsobuje poškodenie obličiek (napr. nesteroidné protizápalové lieky), alebo ktoré môžu viesť k hematopoietickej poruche. Dehydratácia môže tiež </w:t>
      </w:r>
      <w:r w:rsidR="001B5D17" w:rsidRPr="00FD4924">
        <w:rPr>
          <w:lang w:val="sk-SK"/>
        </w:rPr>
        <w:t>potenciovať</w:t>
      </w:r>
      <w:r w:rsidRPr="00FD4924">
        <w:rPr>
          <w:lang w:val="sk-SK"/>
        </w:rPr>
        <w:t xml:space="preserve"> toxicitu metotrexátu. Odporúča sa alkalizácia moču a zvýšenie diurézy.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Dýchací systém: </w:t>
      </w:r>
      <w:r w:rsidRPr="00FD4924">
        <w:rPr>
          <w:lang w:val="sk-SK"/>
        </w:rPr>
        <w:t xml:space="preserve">Môže sa vyskytnúť akútna alebo chronická intersticiálna </w:t>
      </w:r>
      <w:r w:rsidR="00E13970" w:rsidRPr="00FD4924">
        <w:rPr>
          <w:lang w:val="sk-SK"/>
        </w:rPr>
        <w:t>pneumonitída</w:t>
      </w:r>
      <w:r w:rsidRPr="00FD4924">
        <w:rPr>
          <w:lang w:val="sk-SK"/>
        </w:rPr>
        <w:t xml:space="preserve"> často spojená s eozinofíliou v krvi; boli zaznamenané úmrtia. Medzi typické príznaky patria: dyspnoe, kašeľ (najmä suchý neproduktívny kašeľ) a horúčka, kvôli ktorej musia byť pacienti monitorovaní pri každej následnej prehliadke. Pacienti </w:t>
      </w:r>
      <w:r w:rsidR="00E13970" w:rsidRPr="00FD4924">
        <w:rPr>
          <w:lang w:val="sk-SK"/>
        </w:rPr>
        <w:t>majú</w:t>
      </w:r>
      <w:r w:rsidRPr="00FD4924">
        <w:rPr>
          <w:lang w:val="sk-SK"/>
        </w:rPr>
        <w:t xml:space="preserve"> byť informovaní o </w:t>
      </w:r>
      <w:r w:rsidR="00E13970" w:rsidRPr="00FD4924">
        <w:rPr>
          <w:lang w:val="sk-SK"/>
        </w:rPr>
        <w:t xml:space="preserve">riziku </w:t>
      </w:r>
      <w:r w:rsidRPr="00FD4924">
        <w:rPr>
          <w:lang w:val="sk-SK"/>
        </w:rPr>
        <w:t xml:space="preserve">pneumonitídy a dostať odporúčanie, aby sa v prípade, že sa u nich vyvinie perzistujúci kašeľ alebo dyspnoe, okamžite spojili so svojím ošetrujúcim lekárom. </w:t>
      </w:r>
    </w:p>
    <w:p w:rsidR="00651FE2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:rsidR="00651FE2" w:rsidRDefault="00651FE2" w:rsidP="00651F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51FE2">
        <w:rPr>
          <w:lang w:val="sk-SK"/>
        </w:rPr>
        <w:t>Okrem toho bolo hlásené alveolárne krvácanie v pľúcach pri používaní metotrexátu v</w:t>
      </w:r>
      <w:r>
        <w:rPr>
          <w:lang w:val="sk-SK"/>
        </w:rPr>
        <w:t> </w:t>
      </w:r>
      <w:r w:rsidRPr="00651FE2">
        <w:rPr>
          <w:lang w:val="sk-SK"/>
        </w:rPr>
        <w:t>reumatologických</w:t>
      </w:r>
      <w:r>
        <w:rPr>
          <w:lang w:val="sk-SK"/>
        </w:rPr>
        <w:t xml:space="preserve"> </w:t>
      </w:r>
      <w:r w:rsidRPr="00651FE2">
        <w:rPr>
          <w:lang w:val="sk-SK"/>
        </w:rPr>
        <w:t>a súvisiacich indikáciách. Táto príhoda môže tiež súvisieť s vaskulitídou a inými komorbiditami. Pri</w:t>
      </w:r>
      <w:r>
        <w:rPr>
          <w:lang w:val="sk-SK"/>
        </w:rPr>
        <w:t xml:space="preserve"> </w:t>
      </w:r>
      <w:r w:rsidRPr="00651FE2">
        <w:rPr>
          <w:lang w:val="sk-SK"/>
        </w:rPr>
        <w:t>podozrení na alveolárne krvácanie v pľúcach je potrebné zvážiť rýchle vyšetrenie na potvrdenie</w:t>
      </w:r>
      <w:r>
        <w:rPr>
          <w:lang w:val="sk-SK"/>
        </w:rPr>
        <w:t xml:space="preserve"> </w:t>
      </w:r>
      <w:r w:rsidRPr="00651FE2">
        <w:rPr>
          <w:lang w:val="sk-SK"/>
        </w:rPr>
        <w:t>diagnózy.</w:t>
      </w:r>
    </w:p>
    <w:p w:rsidR="00651FE2" w:rsidRPr="00FD4924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sa musí </w:t>
      </w:r>
      <w:r w:rsidR="00E13970" w:rsidRPr="00FD4924">
        <w:rPr>
          <w:lang w:val="sk-SK"/>
        </w:rPr>
        <w:t xml:space="preserve">vysadiť </w:t>
      </w:r>
      <w:r w:rsidRPr="00FD4924">
        <w:rPr>
          <w:lang w:val="sk-SK"/>
        </w:rPr>
        <w:t xml:space="preserve">u pacientov s pulmonárnymi príznakmi a </w:t>
      </w:r>
      <w:r w:rsidR="00E13970" w:rsidRPr="00FD4924">
        <w:rPr>
          <w:lang w:val="sk-SK"/>
        </w:rPr>
        <w:t>musí sa vykonať úplné vyšetrenie</w:t>
      </w:r>
      <w:r w:rsidRPr="00FD4924">
        <w:rPr>
          <w:lang w:val="sk-SK"/>
        </w:rPr>
        <w:t xml:space="preserve"> (</w:t>
      </w:r>
      <w:r w:rsidR="00E13970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RTG hrudníka), aby sa vylúčila infekcia. Pri podozrení na pľúcnu chorobu vyvolanú metotrexátom sa musí nasadiť liečba kortikosteroidmi a liečba metotrexátom sa nesmie obnoviť.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Pulmonárne symptómy si vyžadujú rýchlu diagnózu a prerušenie liečby metotrexátom. Pneumonitída sa môže vyskytnúť pri všetkých dávkach.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 xml:space="preserve">Vitamínové prípravky </w:t>
      </w:r>
      <w:r w:rsidRPr="00FD4924">
        <w:rPr>
          <w:lang w:val="sk-SK"/>
        </w:rPr>
        <w:t xml:space="preserve">alebo iné produkty obsahujúce kyselinu listovú, kyselinu folínovú alebo ich deriváty môžu znížiť účinnosť metotrexátu.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E453C3" w:rsidRDefault="005C6C35" w:rsidP="00702178">
      <w:pPr>
        <w:rPr>
          <w:bCs/>
          <w:iCs/>
          <w:szCs w:val="22"/>
          <w:u w:val="single"/>
          <w:lang w:val="sk-SK"/>
        </w:rPr>
      </w:pPr>
      <w:r w:rsidRPr="005C6C35">
        <w:rPr>
          <w:u w:val="single"/>
          <w:lang w:val="sk-SK"/>
        </w:rPr>
        <w:t>Pediatrická populácia</w:t>
      </w:r>
    </w:p>
    <w:p w:rsidR="006330A8" w:rsidRPr="00FD4924" w:rsidRDefault="00BF116C" w:rsidP="00702178">
      <w:pPr>
        <w:autoSpaceDE w:val="0"/>
        <w:rPr>
          <w:szCs w:val="22"/>
          <w:lang w:val="sk-SK"/>
        </w:rPr>
      </w:pPr>
      <w:r w:rsidRPr="00FD4924">
        <w:rPr>
          <w:lang w:val="sk-SK"/>
        </w:rPr>
        <w:t>Metotrexát sa má používať u pediatrických pacientov s opatrnosťou</w:t>
      </w:r>
      <w:r w:rsidR="006330A8" w:rsidRPr="00FD4924">
        <w:rPr>
          <w:lang w:val="sk-SK"/>
        </w:rPr>
        <w:t xml:space="preserve">. Liečba sa musí pridržiavať aktuálne publikovaných liečebných protokolov pre </w:t>
      </w:r>
      <w:r w:rsidR="002C19F7">
        <w:rPr>
          <w:lang w:val="sk-SK"/>
        </w:rPr>
        <w:t>pediatrickú populáciu</w:t>
      </w:r>
      <w:r w:rsidR="006330A8" w:rsidRPr="00FD4924">
        <w:rPr>
          <w:lang w:val="sk-SK"/>
        </w:rPr>
        <w:t>. Medzi pediatrickými pacientmi s akútnou lymfoblastickou leukémiou, ktorí boli liečení intravenózne podanou strednou dávkou metotrexátu (1 g/m</w:t>
      </w:r>
      <w:r w:rsidR="006330A8" w:rsidRPr="00FD4924">
        <w:rPr>
          <w:vertAlign w:val="superscript"/>
          <w:lang w:val="sk-SK"/>
        </w:rPr>
        <w:t>2</w:t>
      </w:r>
      <w:r w:rsidR="006330A8" w:rsidRPr="00FD4924">
        <w:rPr>
          <w:lang w:val="sk-SK"/>
        </w:rPr>
        <w:t xml:space="preserve">), bola s neočakávane zvýšenou frekvenciou zaznamenaná závažná neurotoxicita, ktorá sa manifestovala generalizovanými alebo fokálnymi záchvatmi. Pri diagnostických zobrazovacích štúdiách bola u symptomatických pacientov často zaznamenaná leukoencefalopatia a/alebo mikroangiopatické kalcifikácie.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>Starší pacienti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Pre zhoršenú funkciu pečene a obličiek ako aj pre znížené zásoby kyseliny listovej je nutné u starších pacientov brať do úvahy pomerne nízke dávky. Títo pacienti musia byť dôkladne sledovaní, aby sa včas zistili príznaky toxicity.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tabs>
          <w:tab w:val="clear" w:pos="567"/>
          <w:tab w:val="left" w:pos="0"/>
        </w:tabs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Sodík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>Injekcia metotrexátu</w:t>
      </w:r>
      <w:r w:rsidR="0055238D">
        <w:rPr>
          <w:lang w:val="sk-SK"/>
        </w:rPr>
        <w:t xml:space="preserve"> 100 mg/ml obsahuje 193,98</w:t>
      </w:r>
      <w:r w:rsidRPr="00FD4924">
        <w:rPr>
          <w:lang w:val="sk-SK"/>
        </w:rPr>
        <w:t xml:space="preserve"> (</w:t>
      </w:r>
      <w:r w:rsidR="0055238D">
        <w:rPr>
          <w:lang w:val="sk-SK"/>
        </w:rPr>
        <w:t>8,436</w:t>
      </w:r>
      <w:r w:rsidRPr="00FD4924">
        <w:rPr>
          <w:lang w:val="sk-SK"/>
        </w:rPr>
        <w:t> mg) sodíka</w:t>
      </w:r>
      <w:r w:rsidR="0055238D">
        <w:rPr>
          <w:lang w:val="sk-SK"/>
        </w:rPr>
        <w:t xml:space="preserve"> maximálnej dennej dávke</w:t>
      </w:r>
      <w:r w:rsidRPr="00FD4924">
        <w:rPr>
          <w:lang w:val="sk-SK"/>
        </w:rPr>
        <w:t>. Tento údaj je treba vziať do úvahy u pacientov, ktorí držia diétu zameranú na kontrolu sodíka.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4.5</w:t>
      </w:r>
      <w:r w:rsidRPr="00FD4924">
        <w:rPr>
          <w:b/>
          <w:lang w:val="sk-SK"/>
        </w:rPr>
        <w:tab/>
        <w:t>Liekové a iné interakcie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1272A8" w:rsidRPr="00FD4924" w:rsidRDefault="001272A8" w:rsidP="00702178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FD4924">
        <w:rPr>
          <w:i/>
          <w:noProof/>
          <w:szCs w:val="22"/>
          <w:lang w:val="sk-SK"/>
        </w:rPr>
        <w:t>Ciproflacín</w:t>
      </w:r>
    </w:p>
    <w:p w:rsidR="004F0640" w:rsidRPr="00FD4924" w:rsidRDefault="004F0640" w:rsidP="004F064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szCs w:val="22"/>
          <w:lang w:val="sk-SK"/>
        </w:rPr>
        <w:t>Možné zníženie vylučovania metotrexátu (zvýšené riziko toxicity).</w:t>
      </w:r>
    </w:p>
    <w:p w:rsidR="001272A8" w:rsidRPr="00FD4924" w:rsidRDefault="001272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D4924">
        <w:rPr>
          <w:i/>
          <w:lang w:val="sk-SK"/>
        </w:rPr>
        <w:t>Nesteroidné protizápalové lieky (NSAID)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NSAID </w:t>
      </w:r>
      <w:r w:rsidR="00BF116C" w:rsidRPr="00FD4924">
        <w:rPr>
          <w:lang w:val="sk-SK"/>
        </w:rPr>
        <w:t xml:space="preserve">lieky </w:t>
      </w:r>
      <w:r w:rsidRPr="00FD4924">
        <w:rPr>
          <w:lang w:val="sk-SK"/>
        </w:rPr>
        <w:t xml:space="preserve">sa </w:t>
      </w:r>
      <w:r w:rsidR="00BF116C" w:rsidRPr="00FD4924">
        <w:rPr>
          <w:lang w:val="sk-SK"/>
        </w:rPr>
        <w:t xml:space="preserve">nesmú </w:t>
      </w:r>
      <w:r w:rsidRPr="00FD4924">
        <w:rPr>
          <w:lang w:val="sk-SK"/>
        </w:rPr>
        <w:t>podať pred alebo súčasne s vysokými dávkami metotrexátu používanými pri liečbe takých stavov, ako je osteosarkóm. Pri súčasnom podávaní nesteroidných protizápalových liekov (NSAID) a metotrexátu vo vysokých dávkach boli zaznamenané zvýšené a predĺžené sérové hladiny metotrexátu, ktoré mali za následok smrť v dôsledku ťažkej hematologickej a gastrointestinálnej toxicity. Podľa publikovaných hlásení prípravky NSAIDS a salicyláty znížili tubulárnu sekréciu metotrexátu u zvieracích modelov a môžu zvýšiť jeho toxicitu zvýšením hladín metotrexátu. Súčasná liečba prípravkami NSAID a nízkymi dávkami metotrexátu si z týchto dôvodov vyžaduje opatrnosť.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Leflunomid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v kombinácii s leflunomidom môže zvýšiť riziko pancytopénie.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Probenecid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Probenecid znižuje renálny tubulárny transport, a preto je nutné vyhnúť sa jeho použitiu spolu s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Penicilíny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Penicilíny môžu obmedziť renálny klírens metotrexátu. Pri kombinácii s vysokými a nízkymi dávkami metotrexátu bola pozorovaná hematologická a gastrointestinálna toxicita.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Perorálne antibiotiká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Perorálne antibiotiká, ako tetracyklín, chloramfenikol a neabsorbovateľné širokospektrálne antibiotiká môžu znížiť intestinálnu absorpciu metotrexátu alebo interferovať s enterohepatálnym obehom inhibíciou črevnej flóry, a tým znížiť aj metabolizmus metotrexátu baktériami. V izolovaných prípadoch, ako u trimetoprim/sulfametoxazolu bola hlásená zvýšená myelosupresia u pacientov liečených metotrexátom, pravdepodobne v dôsledku zníženej tubulárnej sekrécie a/alebo zvýšeného antifolátového účinku.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Chemoterapeutické lieky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Zvýšenie renálnej toxicity možno pozorovať pri podávaní vysokých dávok metotrexátu v kombinácii s potenciálne nefrotoxickými chemoterapeutickými látkami (napr. cisplatinou).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Rádioterapia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liečba metotrexátom a rádioterapiou môže zvýšiť riziko nekrózy mäkkých tkanív a osteonekrózy.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D4924">
        <w:rPr>
          <w:i/>
          <w:lang w:val="sk-SK"/>
        </w:rPr>
        <w:t>Cytarabín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Súčasná liečba cytarabínom a metotrexátom môže zvýšiť riziko ťažkých neurologických vedľajších účinkov siahajúcich od bolesti hlavy až po paralýzu, kómu a epizódy podobné mozgovej mŕtvici.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Hepatotoxické lieky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Riziko zvýšenej hepatotoxicity, keď sa metotrexát podáva súčasne s inými hepatotoxickými liekmi, zatiaľ nebolo preskúmané. No hepatotoxicita bola v takýchto prípadoch zaznamenaná. Pacienti, ktorí sú súčasne liečení liekmi so známym hepatotoxickým účinkom (napr. leflunomid, azatioprín, sulfasalazín, retinoidy), musia byť dôkladne monitorovaní na príznaky akéhokoľvek zvýšenia hepatotoxicity.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Teofylín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>Metotrexát môže znížiť klírens teofylínu. Preto sa hladiny teofylínu musia monitorovať počas súčasnej liečby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Merkaptopurín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>Metotrexát zvyšuje obsah merkaptopurínu v plazme. Preto si kombinácia metotrexátu a merkaptopurínu môže vyžadovať úpravu dávky.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Liečivá s vysokou väzbou na plazmatické proteíny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čiastočne viaže na sérový albumín. Vytesňovaním z väzobných miest môžu liečivá s vysokou väzobnou afinitou, ako salicyláty, fenylbutazón, fenytoín a sulfónamidy, zvýšiť toxicitu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Furosemid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Kvôli kompetitívnej inhibícii tubulárnej sekrécie môže pri súčasnom podávaní furosemidu a metotrexátu dôjsť k zvýšeniu hladín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Vitamíny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>Vitamínové prípravky obsahujúce kyselinu listovú alebo jej deriváty môžu zapríčiniť obmedzenú odpoveď na systémovo podaný metotrexát, no stavy, v ktorých je nedostatok kyseliny listovej, môžu zvýšiť riziko toxicity metotrexátu.</w:t>
      </w:r>
    </w:p>
    <w:p w:rsidR="00C27FE2" w:rsidRPr="00FD4924" w:rsidRDefault="00C27FE2" w:rsidP="00702178">
      <w:pPr>
        <w:tabs>
          <w:tab w:val="clear" w:pos="567"/>
        </w:tabs>
        <w:spacing w:line="240" w:lineRule="auto"/>
        <w:rPr>
          <w:lang w:val="sk-SK"/>
        </w:rPr>
      </w:pPr>
    </w:p>
    <w:p w:rsidR="00C27FE2" w:rsidRPr="00FD4924" w:rsidRDefault="00C27FE2" w:rsidP="00C27FE2">
      <w:pPr>
        <w:rPr>
          <w:rFonts w:cs="Calibri"/>
          <w:i/>
          <w:szCs w:val="22"/>
          <w:lang w:val="sk-SK"/>
        </w:rPr>
      </w:pPr>
      <w:r w:rsidRPr="00FD4924">
        <w:rPr>
          <w:rFonts w:cs="Calibri"/>
          <w:i/>
          <w:szCs w:val="22"/>
          <w:lang w:val="sk-SK"/>
        </w:rPr>
        <w:t>Inhibítory protónovej pumpy</w:t>
      </w:r>
    </w:p>
    <w:p w:rsidR="006330A8" w:rsidRDefault="00C27FE2" w:rsidP="00702178">
      <w:pPr>
        <w:tabs>
          <w:tab w:val="clear" w:pos="567"/>
        </w:tabs>
        <w:spacing w:line="240" w:lineRule="auto"/>
        <w:rPr>
          <w:rFonts w:cs="Calibri"/>
          <w:szCs w:val="22"/>
          <w:lang w:val="sk-SK"/>
        </w:rPr>
      </w:pPr>
      <w:r w:rsidRPr="00FD4924">
        <w:rPr>
          <w:rFonts w:cs="Calibri"/>
          <w:szCs w:val="22"/>
          <w:lang w:val="sk-SK"/>
        </w:rPr>
        <w:t>Údaje z vedeckej literatúry ukazujú, že súčasné</w:t>
      </w:r>
      <w:r w:rsidR="003450A5" w:rsidRPr="00FD4924">
        <w:rPr>
          <w:rFonts w:cs="Calibri"/>
          <w:szCs w:val="22"/>
          <w:lang w:val="sk-SK"/>
        </w:rPr>
        <w:t xml:space="preserve"> podávanie inhi</w:t>
      </w:r>
      <w:r w:rsidRPr="00FD4924">
        <w:rPr>
          <w:rFonts w:cs="Calibri"/>
          <w:szCs w:val="22"/>
          <w:lang w:val="sk-SK"/>
        </w:rPr>
        <w:t>bítorov prot</w:t>
      </w:r>
      <w:r w:rsidR="003450A5" w:rsidRPr="00FD4924">
        <w:rPr>
          <w:rFonts w:cs="Calibri"/>
          <w:szCs w:val="22"/>
          <w:lang w:val="sk-SK"/>
        </w:rPr>
        <w:t>ónovej pumpy a meto</w:t>
      </w:r>
      <w:r w:rsidRPr="00FD4924">
        <w:rPr>
          <w:rFonts w:cs="Calibri"/>
          <w:szCs w:val="22"/>
          <w:lang w:val="sk-SK"/>
        </w:rPr>
        <w:t>trexátu môže mať najmä pri vyšších dávkach za následok zvýšené a predĺžené plazmatické hladiny metotrexátu a/ alebo jeho metabolitu</w:t>
      </w:r>
      <w:r w:rsidR="003450A5" w:rsidRPr="00FD4924">
        <w:rPr>
          <w:rFonts w:cs="Calibri"/>
          <w:szCs w:val="22"/>
          <w:lang w:val="sk-SK"/>
        </w:rPr>
        <w:t>, čo môže viesť k metotrexátovej toxicite.</w:t>
      </w:r>
    </w:p>
    <w:p w:rsidR="00B825BE" w:rsidRPr="00FD4924" w:rsidRDefault="00B825BE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4.6.</w:t>
      </w:r>
      <w:r w:rsidRPr="00FD4924">
        <w:rPr>
          <w:b/>
          <w:lang w:val="sk-SK"/>
        </w:rPr>
        <w:tab/>
        <w:t>Fertilita, gravidita a laktácia</w:t>
      </w:r>
    </w:p>
    <w:p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3450A5" w:rsidRPr="00FD4924" w:rsidRDefault="003450A5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Gravidita</w:t>
      </w:r>
      <w:r w:rsidR="00B825BE">
        <w:rPr>
          <w:u w:val="single"/>
          <w:lang w:val="sk-SK"/>
        </w:rPr>
        <w:t>:</w:t>
      </w:r>
    </w:p>
    <w:p w:rsidR="006330A8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Metotrexát je kontraindikovaný v priebehu tehotenstva (pozri časť 4.3). </w:t>
      </w:r>
      <w:r w:rsidR="006330A8" w:rsidRPr="00FD4924">
        <w:rPr>
          <w:lang w:val="sk-SK"/>
        </w:rPr>
        <w:t>Keď sa metotrexát podáva gravidným ženám, môže zapríčiniť smrť plodu, embryotoxicitu, potrat alebo pôsobiť teratogénne</w:t>
      </w:r>
      <w:r>
        <w:rPr>
          <w:lang w:val="sk-SK"/>
        </w:rPr>
        <w:t xml:space="preserve"> (pozri časť 5.3)</w:t>
      </w:r>
      <w:r w:rsidR="006330A8" w:rsidRPr="00FD4924">
        <w:rPr>
          <w:lang w:val="sk-SK"/>
        </w:rPr>
        <w:t xml:space="preserve">. Cytotoxické lieky sa smú podať počas gravidity, zvlášť počas prvého trimestra len vtedy, ak sú presne indikované, pričom sa musia zvážiť potreby matky </w:t>
      </w:r>
      <w:r w:rsidR="00FA2FAB">
        <w:rPr>
          <w:lang w:val="sk-SK"/>
        </w:rPr>
        <w:t>o</w:t>
      </w:r>
      <w:r w:rsidR="006330A8" w:rsidRPr="00FD4924">
        <w:rPr>
          <w:lang w:val="sk-SK"/>
        </w:rPr>
        <w:t xml:space="preserve">proti riziku </w:t>
      </w:r>
      <w:r w:rsidR="00FA2FAB">
        <w:rPr>
          <w:lang w:val="sk-SK"/>
        </w:rPr>
        <w:t xml:space="preserve">pre </w:t>
      </w:r>
      <w:r w:rsidR="006330A8" w:rsidRPr="00FD4924">
        <w:rPr>
          <w:lang w:val="sk-SK"/>
        </w:rPr>
        <w:t>plod. Liečba metotrexátom počas prvého trimestra viedla k vysokému riziku malformácií (najmä kraniálnej malformácie a malformácie končatín).</w:t>
      </w:r>
    </w:p>
    <w:p w:rsidR="00B825BE" w:rsidRPr="00FD4924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Dojčenie</w:t>
      </w:r>
      <w:r w:rsidR="00B825BE">
        <w:rPr>
          <w:u w:val="single"/>
          <w:lang w:val="sk-SK"/>
        </w:rPr>
        <w:t>: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prechádza do materského mlieka v takých množstvách, že je rizikom pre dieťa dokonca aj pri terapeutických dávkach. Preto sa musí dojčenie v priebehu liečby metotrexátom prerušiť</w:t>
      </w:r>
      <w:r w:rsidR="00B825BE">
        <w:rPr>
          <w:lang w:val="sk-SK"/>
        </w:rPr>
        <w:t xml:space="preserve"> (pozri časť4.3)</w:t>
      </w:r>
      <w:r w:rsidRPr="00FD4924">
        <w:rPr>
          <w:lang w:val="sk-SK"/>
        </w:rPr>
        <w:t xml:space="preserve">. </w:t>
      </w: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Fertilita</w:t>
      </w:r>
      <w:r w:rsidR="00B825BE">
        <w:rPr>
          <w:u w:val="single"/>
          <w:lang w:val="sk-SK"/>
        </w:rPr>
        <w:t>:</w:t>
      </w:r>
    </w:p>
    <w:p w:rsidR="00CE6EE2" w:rsidRPr="00FD4924" w:rsidRDefault="00CE6EE2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noProof/>
          <w:szCs w:val="22"/>
          <w:lang w:val="sk-SK"/>
        </w:rPr>
        <w:t xml:space="preserve">Metotrexát môže byť genotoxický. </w:t>
      </w:r>
      <w:r w:rsidRPr="00FD4924">
        <w:rPr>
          <w:lang w:val="sk-SK"/>
        </w:rPr>
        <w:t>Ženy v plodnom veku nesmú byť liečené metotrexátom, pokiaľ nie je gravidita vylúčená. Keďže metotrexát môže ovplyvniť spermatogenézu u mužov, je treba sa vyhnúť gravidite, keď jeden z partnerov dostáva metotrexát. Optimálny interval medzi prerušením liečby metotrexátom jedného z partnerov a graviditou zatiaľ nebol stanovený.</w:t>
      </w:r>
      <w:r w:rsidR="00555BE3">
        <w:rPr>
          <w:lang w:val="sk-SK"/>
        </w:rPr>
        <w:t xml:space="preserve"> Rozsah </w:t>
      </w:r>
      <w:r w:rsidRPr="00FD4924">
        <w:rPr>
          <w:lang w:val="sk-SK"/>
        </w:rPr>
        <w:t xml:space="preserve"> </w:t>
      </w:r>
      <w:r w:rsidR="00555BE3">
        <w:rPr>
          <w:lang w:val="sk-SK"/>
        </w:rPr>
        <w:t>o</w:t>
      </w:r>
      <w:r w:rsidRPr="00FD4924">
        <w:rPr>
          <w:lang w:val="sk-SK"/>
        </w:rPr>
        <w:t>dporúčan</w:t>
      </w:r>
      <w:r w:rsidR="00555BE3">
        <w:rPr>
          <w:lang w:val="sk-SK"/>
        </w:rPr>
        <w:t>ého</w:t>
      </w:r>
      <w:r w:rsidRPr="00FD4924">
        <w:rPr>
          <w:lang w:val="sk-SK"/>
        </w:rPr>
        <w:t xml:space="preserve"> interval</w:t>
      </w:r>
      <w:r w:rsidR="00555BE3">
        <w:rPr>
          <w:lang w:val="sk-SK"/>
        </w:rPr>
        <w:t>u</w:t>
      </w:r>
      <w:r w:rsidRPr="00FD4924">
        <w:rPr>
          <w:lang w:val="sk-SK"/>
        </w:rPr>
        <w:t xml:space="preserve"> </w:t>
      </w:r>
      <w:r w:rsidR="00555BE3" w:rsidRPr="00FD4924">
        <w:rPr>
          <w:lang w:val="sk-SK"/>
        </w:rPr>
        <w:t>publikovan</w:t>
      </w:r>
      <w:r w:rsidR="00555BE3">
        <w:rPr>
          <w:lang w:val="sk-SK"/>
        </w:rPr>
        <w:t>ého</w:t>
      </w:r>
      <w:r w:rsidR="00555BE3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v literatúre </w:t>
      </w:r>
      <w:r w:rsidR="00555BE3">
        <w:rPr>
          <w:lang w:val="sk-SK"/>
        </w:rPr>
        <w:t>je</w:t>
      </w:r>
      <w:r w:rsidR="00555BE3" w:rsidRPr="00FD4924">
        <w:rPr>
          <w:lang w:val="sk-SK"/>
        </w:rPr>
        <w:t xml:space="preserve"> </w:t>
      </w:r>
      <w:r w:rsidRPr="00FD4924">
        <w:rPr>
          <w:lang w:val="sk-SK"/>
        </w:rPr>
        <w:t>medzi tromi mesiacmi a jedným rokom. Muži aj ženy, ktorým je podávaný metotrexát, musia byť informovaní o potenciálnych rizikách nepriaznivých účinkov na reprodukciu. Ženy v plodnom veku musia byť plne informované o potenciálnom nebezpečenstve pre plod v prípade, že otehotnejú počas liečby metotrexátom.</w:t>
      </w:r>
      <w:r w:rsidR="00B825BE">
        <w:rPr>
          <w:lang w:val="sk-SK"/>
        </w:rPr>
        <w:t xml:space="preserve"> </w:t>
      </w:r>
      <w:r w:rsidR="00B825BE" w:rsidRPr="00054B4E">
        <w:rPr>
          <w:szCs w:val="22"/>
          <w:lang w:val="sk-SK"/>
        </w:rPr>
        <w:t>Mužom sa odporúča vyhľadať odbornú radu ohľadom konzervácie spermií pred začatím liečby.</w:t>
      </w:r>
    </w:p>
    <w:p w:rsidR="00CE6EE2" w:rsidRPr="00FD4924" w:rsidRDefault="00CE6EE2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4.7</w:t>
      </w:r>
      <w:r w:rsidRPr="00FD4924">
        <w:rPr>
          <w:b/>
          <w:lang w:val="sk-SK"/>
        </w:rPr>
        <w:tab/>
        <w:t>Ovplyvnenie schopnosti viesť vozidlá a obsluhovať stroje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Keďže únava a závrat</w:t>
      </w:r>
      <w:r w:rsidR="00C5297E" w:rsidRPr="00FD4924">
        <w:rPr>
          <w:lang w:val="sk-SK"/>
        </w:rPr>
        <w:t xml:space="preserve"> sa môžu vyskytnúť ako nežiaduci účinok</w:t>
      </w:r>
      <w:r w:rsidRPr="00FD4924">
        <w:rPr>
          <w:lang w:val="sk-SK"/>
        </w:rPr>
        <w:t xml:space="preserve">, môže byť narušená reakčná schopnosť a úsudok, čo je treba vziať do úvahy napríklad pri riadení vozidla alebo pri výkone práce vyžadujúcej vysoký stupeň presnosti. 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4.8</w:t>
      </w:r>
      <w:r w:rsidRPr="00FD4924">
        <w:rPr>
          <w:b/>
          <w:lang w:val="sk-SK"/>
        </w:rPr>
        <w:tab/>
        <w:t>Nežiaduce účinky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FD4924">
        <w:rPr>
          <w:i/>
          <w:lang w:val="sk-SK"/>
        </w:rPr>
        <w:t>Liečba obvyklými a vysokými dávkami</w:t>
      </w:r>
    </w:p>
    <w:p w:rsidR="00732682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Výskyt a stupeň závažnosti nežiaducich účinkov závisí od podanej dávky, trvania expozície a spôsobu podania, no vedľajšie účinky boli pozorované pri všetkých dávkach a môžu sa vyskytnúť kedykoľvek počas liečby. Väčšina nežiaducich účinkov je reverzibilná, ak sú </w:t>
      </w:r>
      <w:r w:rsidR="00FA2FAB" w:rsidRPr="00FD4924">
        <w:rPr>
          <w:lang w:val="sk-SK"/>
        </w:rPr>
        <w:t>detegované</w:t>
      </w:r>
      <w:r w:rsidR="00FA2FAB">
        <w:rPr>
          <w:lang w:val="sk-SK"/>
        </w:rPr>
        <w:t xml:space="preserve"> </w:t>
      </w:r>
      <w:r w:rsidR="00FA2FAB" w:rsidRPr="00FD4924">
        <w:rPr>
          <w:lang w:val="sk-SK"/>
        </w:rPr>
        <w:t>v</w:t>
      </w:r>
      <w:r w:rsidR="00FA2FAB">
        <w:rPr>
          <w:lang w:val="sk-SK"/>
        </w:rPr>
        <w:t> počiatočnom štádiu</w:t>
      </w:r>
      <w:r w:rsidRPr="00FD4924">
        <w:rPr>
          <w:lang w:val="sk-SK"/>
        </w:rPr>
        <w:t xml:space="preserve">. Keď sa vyskytnú závažné reakcie, musí sa znížiť dávka alebo prerušiť liečba a musia sa inicializovať primerané opatrenia (pozri </w:t>
      </w:r>
      <w:r w:rsidR="00C34C68">
        <w:rPr>
          <w:lang w:val="sk-SK"/>
        </w:rPr>
        <w:t xml:space="preserve">časť </w:t>
      </w:r>
      <w:r w:rsidRPr="00FD4924">
        <w:rPr>
          <w:lang w:val="sk-SK"/>
        </w:rPr>
        <w:t xml:space="preserve">4.9). Ak sa pokračuje v liečbe metotrexátom, musí sa to robiť opatrne po primeranej úvahe, či pacient potrebuje tento liek aj naďalej. </w:t>
      </w:r>
      <w:r w:rsidR="00732682" w:rsidRPr="00FD4924">
        <w:rPr>
          <w:lang w:val="sk-SK"/>
        </w:rPr>
        <w:t xml:space="preserve">Vyžaduje sa zvýšená bdelosť s ohľadom na akýkoľvek opätovný výskyt toxicity.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Najčastejšie hlásen</w:t>
      </w:r>
      <w:r w:rsidR="00732682" w:rsidRPr="00FD4924">
        <w:rPr>
          <w:lang w:val="sk-SK"/>
        </w:rPr>
        <w:t>é</w:t>
      </w:r>
      <w:r w:rsidRPr="00FD4924">
        <w:rPr>
          <w:lang w:val="sk-SK"/>
        </w:rPr>
        <w:t xml:space="preserve"> nežiaduc</w:t>
      </w:r>
      <w:r w:rsidR="00732682" w:rsidRPr="00FD4924">
        <w:rPr>
          <w:lang w:val="sk-SK"/>
        </w:rPr>
        <w:t>e</w:t>
      </w:r>
      <w:r w:rsidRPr="00FD4924">
        <w:rPr>
          <w:lang w:val="sk-SK"/>
        </w:rPr>
        <w:t xml:space="preserve"> účink</w:t>
      </w:r>
      <w:r w:rsidR="00732682" w:rsidRPr="00FD4924">
        <w:rPr>
          <w:lang w:val="sk-SK"/>
        </w:rPr>
        <w:t>y</w:t>
      </w:r>
      <w:r w:rsidRPr="00FD4924">
        <w:rPr>
          <w:lang w:val="sk-SK"/>
        </w:rPr>
        <w:t xml:space="preserve"> zahŕňa</w:t>
      </w:r>
      <w:r w:rsidR="00732682" w:rsidRPr="00FD4924">
        <w:rPr>
          <w:lang w:val="sk-SK"/>
        </w:rPr>
        <w:t>jú</w:t>
      </w:r>
      <w:r w:rsidRPr="00FD4924">
        <w:rPr>
          <w:lang w:val="sk-SK"/>
        </w:rPr>
        <w:t xml:space="preserve"> ulceratívnu stomatitídu, leukopéniu, nauzeu a nadúvanie</w:t>
      </w:r>
      <w:r w:rsidR="006E1A92" w:rsidRPr="00FD4924">
        <w:rPr>
          <w:lang w:val="sk-SK"/>
        </w:rPr>
        <w:t>/opuch</w:t>
      </w:r>
      <w:r w:rsidRPr="00FD4924">
        <w:rPr>
          <w:lang w:val="sk-SK"/>
        </w:rPr>
        <w:t>. Iné často hlásené nežiaduce účinky sú: pocit indispozície, neobvyklá unavenosť, zimnica a horúčka, závrat, znížená odolnosť proti infekciám. Liečba kyselinou folínovou počas liečby vysokými dávkami môže rušiť alebo zmierniť rad nežiaducich účinkov. V prípade, že sa objavia príznaky leukopénie, odporúča sa dočasné prerušenie liečby.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005"/>
        <w:gridCol w:w="1212"/>
        <w:gridCol w:w="1292"/>
        <w:gridCol w:w="1514"/>
        <w:gridCol w:w="1738"/>
        <w:gridCol w:w="1013"/>
      </w:tblGrid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lang w:val="sk-SK"/>
              </w:rPr>
              <w:t xml:space="preserve">Trieda orgánových systémov </w:t>
            </w:r>
          </w:p>
        </w:tc>
        <w:tc>
          <w:tcPr>
            <w:tcW w:w="1005" w:type="dxa"/>
          </w:tcPr>
          <w:p w:rsidR="006330A8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 xml:space="preserve">Veľmi časté </w:t>
            </w:r>
          </w:p>
          <w:p w:rsidR="00243A42" w:rsidRPr="00FD4924" w:rsidRDefault="00243A42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bCs/>
                <w:sz w:val="18"/>
                <w:szCs w:val="18"/>
                <w:lang w:val="sk-SK"/>
              </w:rPr>
            </w:pPr>
            <w:r w:rsidRPr="00243A42">
              <w:rPr>
                <w:b/>
                <w:bCs/>
                <w:sz w:val="18"/>
                <w:szCs w:val="18"/>
                <w:lang w:val="en-US"/>
              </w:rPr>
              <w:t>(</w:t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t>1/10)</w:t>
            </w:r>
          </w:p>
        </w:tc>
        <w:tc>
          <w:tcPr>
            <w:tcW w:w="1212" w:type="dxa"/>
          </w:tcPr>
          <w:p w:rsidR="00243A42" w:rsidRDefault="006330A8" w:rsidP="00C27FE2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Časté</w:t>
            </w:r>
          </w:p>
          <w:p w:rsidR="006330A8" w:rsidRPr="00FD4924" w:rsidRDefault="00243A42" w:rsidP="00C27F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243A42">
              <w:rPr>
                <w:sz w:val="18"/>
                <w:szCs w:val="18"/>
                <w:lang w:val="en-US"/>
              </w:rPr>
              <w:t xml:space="preserve"> &lt;1/10 )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Menej časté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243A42" w:rsidRPr="00FD4924" w:rsidRDefault="00243A42" w:rsidP="00243A4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1/1,000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243A42">
              <w:rPr>
                <w:sz w:val="18"/>
                <w:szCs w:val="18"/>
                <w:lang w:val="en-US"/>
              </w:rPr>
              <w:t xml:space="preserve"> &lt;1/100)</w:t>
            </w:r>
          </w:p>
        </w:tc>
        <w:tc>
          <w:tcPr>
            <w:tcW w:w="1514" w:type="dxa"/>
          </w:tcPr>
          <w:p w:rsidR="006330A8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Zriedkavé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6D790A" w:rsidRPr="00FD4924" w:rsidRDefault="006D790A" w:rsidP="006D790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</w:t>
            </w:r>
            <w:r w:rsidRPr="006D790A">
              <w:rPr>
                <w:sz w:val="18"/>
                <w:szCs w:val="18"/>
                <w:lang w:val="en-US"/>
              </w:rPr>
              <w:sym w:font="Symbol" w:char="F0B3"/>
            </w:r>
            <w:r w:rsidRPr="006D790A">
              <w:rPr>
                <w:sz w:val="18"/>
                <w:szCs w:val="18"/>
                <w:lang w:val="en-US"/>
              </w:rPr>
              <w:t xml:space="preserve">1/10,000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6D790A">
              <w:rPr>
                <w:sz w:val="18"/>
                <w:szCs w:val="18"/>
                <w:lang w:val="en-US"/>
              </w:rPr>
              <w:t xml:space="preserve"> &lt;1/1,000)</w:t>
            </w:r>
          </w:p>
        </w:tc>
        <w:tc>
          <w:tcPr>
            <w:tcW w:w="1738" w:type="dxa"/>
          </w:tcPr>
          <w:p w:rsidR="006D790A" w:rsidRDefault="006330A8" w:rsidP="0084409A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Veľmi zriedkavé</w:t>
            </w:r>
          </w:p>
          <w:p w:rsidR="006330A8" w:rsidRPr="00FD4924" w:rsidRDefault="006D790A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(&lt;1/10,000)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:rsidR="006330A8" w:rsidRPr="00080F8C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ind w:left="-108"/>
              <w:rPr>
                <w:bCs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Neznáme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(z</w:t>
            </w:r>
            <w:r w:rsidR="006D790A">
              <w:rPr>
                <w:bCs/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dostupných údajov)</w:t>
            </w: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a nákazy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8C148B" w:rsidRDefault="005C6C35" w:rsidP="00CE6EE2">
            <w:pPr>
              <w:pStyle w:val="Default"/>
              <w:tabs>
                <w:tab w:val="left" w:pos="567"/>
              </w:tabs>
              <w:rPr>
                <w:i/>
                <w:color w:val="auto"/>
                <w:sz w:val="18"/>
                <w:szCs w:val="18"/>
                <w:lang w:val="sk-SK"/>
              </w:rPr>
            </w:pPr>
            <w:r w:rsidRPr="005C6C35">
              <w:rPr>
                <w:i/>
                <w:sz w:val="18"/>
                <w:lang w:val="sk-SK"/>
              </w:rPr>
              <w:t>Herpes zoster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Sepsa, oportúnn</w:t>
            </w:r>
            <w:r w:rsidR="001D27E2" w:rsidRPr="00FD4924">
              <w:rPr>
                <w:sz w:val="18"/>
                <w:lang w:val="sk-SK"/>
              </w:rPr>
              <w:t>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(v niektorých prípadoch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 fatálne)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 spôsobené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cytomegalovírusom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srdca a srdcovej činnosti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Del="00381F2B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385DD6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>erikardiálna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efúzia,</w:t>
            </w:r>
            <w:r w:rsidR="00385DD6">
              <w:rPr>
                <w:sz w:val="18"/>
                <w:lang w:val="sk-SK"/>
              </w:rPr>
              <w:t xml:space="preserve"> perikarditída,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perikardiálna</w:t>
            </w:r>
          </w:p>
          <w:p w:rsidR="006330A8" w:rsidRPr="00FD4924" w:rsidDel="00381F2B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tamponáda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krvi a lymfatického systému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261BCD">
            <w:pPr>
              <w:pStyle w:val="Default"/>
              <w:tabs>
                <w:tab w:val="left" w:pos="567"/>
              </w:tabs>
              <w:ind w:left="-108" w:right="-108" w:firstLine="6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leukocytopénia, trombocytopénia a anémia 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Pancytopénia,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agranulocytóza,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hematopoietické</w:t>
            </w:r>
          </w:p>
          <w:p w:rsidR="006330A8" w:rsidRPr="00FD4924" w:rsidRDefault="008C148B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poruchy</w:t>
            </w:r>
          </w:p>
        </w:tc>
        <w:tc>
          <w:tcPr>
            <w:tcW w:w="1514" w:type="dxa"/>
          </w:tcPr>
          <w:p w:rsidR="006330A8" w:rsidRPr="00FD4924" w:rsidRDefault="001D27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Megaloblastová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anémia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priebehy </w:t>
            </w:r>
            <w:r w:rsidR="001D27E2" w:rsidRPr="00FD4924">
              <w:rPr>
                <w:sz w:val="18"/>
                <w:lang w:val="sk-SK"/>
              </w:rPr>
              <w:t>útlmu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kostnej drene,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aplastická anémia.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Lymfadenopatia,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lymfoproliferatívne</w:t>
            </w:r>
          </w:p>
          <w:p w:rsidR="006330A8" w:rsidRPr="00FD4924" w:rsidRDefault="00E703C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</w:t>
            </w:r>
            <w:r w:rsidRPr="00FD4924">
              <w:rPr>
                <w:sz w:val="18"/>
                <w:lang w:val="sk-SK"/>
              </w:rPr>
              <w:t xml:space="preserve">y </w:t>
            </w:r>
            <w:r w:rsidR="006330A8" w:rsidRPr="00FD4924">
              <w:rPr>
                <w:sz w:val="18"/>
                <w:lang w:val="sk-SK"/>
              </w:rPr>
              <w:t>(sčasti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reverzibilné), eozinofília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neutropénia 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  <w:r w:rsidRPr="00FD4924">
              <w:rPr>
                <w:sz w:val="18"/>
                <w:lang w:val="sk-SK"/>
              </w:rPr>
              <w:t>Hemorágie, hematóm</w:t>
            </w:r>
          </w:p>
          <w:p w:rsidR="00CE6EE2" w:rsidRPr="00FD4924" w:rsidDel="00EA366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imunitného systému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Anafylaktoidné reakcie, alergická vaskulitída</w:t>
            </w: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738" w:type="dxa"/>
          </w:tcPr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Imunosupresia,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hypogamaglobulinémia</w:t>
            </w:r>
          </w:p>
        </w:tc>
        <w:tc>
          <w:tcPr>
            <w:tcW w:w="1013" w:type="dxa"/>
          </w:tcPr>
          <w:p w:rsidR="006330A8" w:rsidRPr="00FD4924" w:rsidDel="00AB7F58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980FAF" w:rsidRPr="00FD4924" w:rsidTr="00261BCD">
        <w:tc>
          <w:tcPr>
            <w:tcW w:w="1513" w:type="dxa"/>
          </w:tcPr>
          <w:p w:rsidR="00980FAF" w:rsidRPr="00FD4924" w:rsidRDefault="00980FAF" w:rsidP="00702178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980FAF">
              <w:rPr>
                <w:sz w:val="18"/>
                <w:lang w:val="sk-SK"/>
              </w:rPr>
              <w:t>Poruchy metabolizmu a výživy</w:t>
            </w:r>
          </w:p>
        </w:tc>
        <w:tc>
          <w:tcPr>
            <w:tcW w:w="1005" w:type="dxa"/>
          </w:tcPr>
          <w:p w:rsidR="00980FAF" w:rsidRPr="00FD4924" w:rsidRDefault="00980FAF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980FAF" w:rsidRPr="00FD4924" w:rsidRDefault="00980FAF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980FAF" w:rsidRPr="00FD4924" w:rsidDel="00980FAF" w:rsidRDefault="00980FAF" w:rsidP="00CE6EE2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</w:p>
        </w:tc>
        <w:tc>
          <w:tcPr>
            <w:tcW w:w="1514" w:type="dxa"/>
          </w:tcPr>
          <w:p w:rsidR="00980FAF" w:rsidRPr="00FD4924" w:rsidRDefault="00980FAF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color w:val="auto"/>
                <w:sz w:val="18"/>
                <w:szCs w:val="18"/>
                <w:lang w:val="sk-SK"/>
              </w:rPr>
              <w:t>Diabetes mellitus</w:t>
            </w:r>
          </w:p>
        </w:tc>
        <w:tc>
          <w:tcPr>
            <w:tcW w:w="1738" w:type="dxa"/>
          </w:tcPr>
          <w:p w:rsidR="00980FAF" w:rsidRPr="00FD4924" w:rsidRDefault="00980FAF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</w:p>
        </w:tc>
        <w:tc>
          <w:tcPr>
            <w:tcW w:w="1013" w:type="dxa"/>
          </w:tcPr>
          <w:p w:rsidR="00980FAF" w:rsidRPr="00FD4924" w:rsidDel="00AB7F58" w:rsidRDefault="00980FA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Psychické poruchy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Nespavosť</w:t>
            </w:r>
            <w:r w:rsidR="00CE6EE2" w:rsidRPr="00FD4924">
              <w:rPr>
                <w:color w:val="auto"/>
                <w:sz w:val="18"/>
                <w:lang w:val="sk-SK"/>
              </w:rPr>
              <w:t>, kognitívna dysfunkcia</w:t>
            </w:r>
          </w:p>
        </w:tc>
        <w:tc>
          <w:tcPr>
            <w:tcW w:w="1013" w:type="dxa"/>
          </w:tcPr>
          <w:p w:rsidR="006330A8" w:rsidRPr="00FD4924" w:rsidRDefault="00CE6EE2" w:rsidP="00702178">
            <w:pPr>
              <w:pStyle w:val="Default"/>
              <w:tabs>
                <w:tab w:val="left" w:pos="567"/>
              </w:tabs>
              <w:spacing w:line="260" w:lineRule="exact"/>
              <w:ind w:hanging="108"/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P</w:t>
            </w:r>
            <w:r w:rsidR="006330A8" w:rsidRPr="00FD4924">
              <w:rPr>
                <w:color w:val="auto"/>
                <w:sz w:val="18"/>
                <w:lang w:val="sk-SK"/>
              </w:rPr>
              <w:t>sychóza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nervového systému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hlavy, závrat,</w:t>
            </w:r>
          </w:p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ospalosť</w:t>
            </w:r>
          </w:p>
        </w:tc>
        <w:tc>
          <w:tcPr>
            <w:tcW w:w="1292" w:type="dxa"/>
          </w:tcPr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Vertigo,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zmätenosť,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depresia,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záchvaty, kŕče, encefalopatia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Ťažko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poškodený zrak,</w:t>
            </w:r>
          </w:p>
          <w:p w:rsidR="006330A8" w:rsidRPr="00FD4924" w:rsidRDefault="006330A8" w:rsidP="00157A9D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zmeny nálady, paréza, </w:t>
            </w:r>
            <w:r w:rsidR="00157A9D">
              <w:rPr>
                <w:sz w:val="18"/>
                <w:lang w:val="sk-SK"/>
              </w:rPr>
              <w:t>porucha reči</w:t>
            </w:r>
            <w:r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vrátane </w:t>
            </w:r>
            <w:r w:rsidRPr="00FD4924">
              <w:rPr>
                <w:sz w:val="18"/>
                <w:lang w:val="sk-SK"/>
              </w:rPr>
              <w:t xml:space="preserve">dysartrie a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t>afázie, myelopatia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Bolesť, svalová asténia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alebo parestézia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končatín, myasténia, zmeny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chuťového zmyslu (kovová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chuť), meningizmus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(paralýza, vracanie),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aseptická meningitída</w:t>
            </w:r>
          </w:p>
        </w:tc>
        <w:tc>
          <w:tcPr>
            <w:tcW w:w="1013" w:type="dxa"/>
          </w:tcPr>
          <w:p w:rsidR="006330A8" w:rsidRPr="00FD4924" w:rsidDel="00697E0E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Poruchy oka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CE6EE2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 xml:space="preserve">oruchy videnia, zastreté videnie 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Konjunktivitída,</w:t>
            </w:r>
          </w:p>
          <w:p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Retinopatia, prechodná slepota/strata zraku, periorbitálny edém,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t>blefaritída, epifora, fotofóbia</w:t>
            </w:r>
          </w:p>
        </w:tc>
        <w:tc>
          <w:tcPr>
            <w:tcW w:w="1013" w:type="dxa"/>
          </w:tcPr>
          <w:p w:rsidR="006330A8" w:rsidRPr="00FD4924" w:rsidDel="002B68D0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5C6C35" w:rsidP="00080F8C">
            <w:pPr>
              <w:pStyle w:val="Default"/>
              <w:tabs>
                <w:tab w:val="center" w:pos="781"/>
              </w:tabs>
              <w:rPr>
                <w:b/>
                <w:sz w:val="18"/>
                <w:szCs w:val="18"/>
                <w:lang w:val="sk-SK"/>
              </w:rPr>
            </w:pPr>
            <w:r w:rsidRPr="005C6C35">
              <w:rPr>
                <w:sz w:val="18"/>
                <w:lang w:val="it-IT"/>
              </w:rPr>
              <w:t>Benígne a malígne nádory, vrátane nešpecifikovaných novotvarov (cysty a polypy)</w:t>
            </w:r>
          </w:p>
        </w:tc>
        <w:tc>
          <w:tcPr>
            <w:tcW w:w="1005" w:type="dxa"/>
          </w:tcPr>
          <w:p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</w:t>
            </w:r>
            <w:r w:rsidR="006330A8" w:rsidRPr="00FD4924">
              <w:rPr>
                <w:sz w:val="18"/>
                <w:lang w:val="sk-SK"/>
              </w:rPr>
              <w:t>ndividuálne prípady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lymfómu,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ktoré sa zmenšili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 počet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prípadov po</w:t>
            </w:r>
            <w:r w:rsidR="001D27E2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 xml:space="preserve">tom, </w:t>
            </w:r>
            <w:r w:rsidR="001D27E2" w:rsidRPr="00FD4924">
              <w:rPr>
                <w:sz w:val="18"/>
                <w:lang w:val="sk-SK"/>
              </w:rPr>
              <w:t>čo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metotrexátová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liečba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prerušená. V nedávnej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štúdii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nebolo možné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potvrdiť, že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zvyšuje výskyt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lymfómov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 nádorového rozpadu</w:t>
            </w:r>
          </w:p>
        </w:tc>
        <w:tc>
          <w:tcPr>
            <w:tcW w:w="1013" w:type="dxa"/>
          </w:tcPr>
          <w:p w:rsidR="006330A8" w:rsidRPr="00FD4924" w:rsidDel="002B68D0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ciev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Vaskulitída</w:t>
            </w:r>
          </w:p>
        </w:tc>
        <w:tc>
          <w:tcPr>
            <w:tcW w:w="1514" w:type="dxa"/>
          </w:tcPr>
          <w:p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6330A8" w:rsidRPr="00FD4924">
              <w:rPr>
                <w:sz w:val="18"/>
                <w:lang w:val="sk-SK"/>
              </w:rPr>
              <w:t>ypotenzia, reakcie vo forme tromboembolických príhod (</w:t>
            </w:r>
            <w:r w:rsidR="001D27E2" w:rsidRPr="00FD4924">
              <w:rPr>
                <w:sz w:val="18"/>
                <w:lang w:val="sk-SK"/>
              </w:rPr>
              <w:t>vrátane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arteriálnej </w:t>
            </w:r>
            <w:r w:rsidR="006330A8" w:rsidRPr="00FD4924">
              <w:rPr>
                <w:sz w:val="18"/>
                <w:lang w:val="sk-SK"/>
              </w:rPr>
              <w:t xml:space="preserve">trombózy, cerebrálnej trombózy, tromboflebitídy, trombózy hlbokých žíl, trombózy retinálnych vén, pľúcny embolizmus) 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Cerebrálny edém, petechie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dýchacej sústavy, hrudníka a mediastína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Pulmonálne 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 spôsobené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intersticiálnou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alveolitídou/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pneumonitídou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súvisiace úmrtia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(nezávisle od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dávky a trvania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metotrexátovej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terapie).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Typické symptómy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byť: celková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choroba; suchý,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dráždivý kašeľ;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progredujúca do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dyspnoe v pokoji,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lastRenderedPageBreak/>
              <w:t>bolesti hrudníka, horúčky.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 sa takéto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predpokladajú,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liečba sa musí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prerušiť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okamžite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sa musia vylúčiť. </w:t>
            </w:r>
          </w:p>
        </w:tc>
        <w:tc>
          <w:tcPr>
            <w:tcW w:w="1292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Pulmonálna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fibróza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Faryngitída,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apnoe,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bronchiálna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astma.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Pneumocystis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carinii pneumonia,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obštrukčná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pľúc. Infekcie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boli tiež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zaznamenané.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Pleuráln</w:t>
            </w:r>
            <w:r w:rsidR="00185F89" w:rsidRPr="00FD4924">
              <w:rPr>
                <w:sz w:val="18"/>
                <w:lang w:val="sk-SK"/>
              </w:rPr>
              <w:t>y výpotok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Akútny pľúcny edém</w:t>
            </w: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gastrointestinálneho traktu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chuti do jedla,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nauzea,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vracanie,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brucha,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ulcerácie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slizničnej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membrány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úst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hltana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(najmä počas prvých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24</w:t>
            </w:r>
            <w:r w:rsidRPr="00FD4924">
              <w:rPr>
                <w:sz w:val="18"/>
                <w:lang w:val="sk-SK"/>
              </w:rPr>
              <w:noBreakHyphen/>
              <w:t>48 hodín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metotrexátu).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Stomatitída,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dyspepsia</w:t>
            </w:r>
          </w:p>
        </w:tc>
        <w:tc>
          <w:tcPr>
            <w:tcW w:w="1212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AE2D03" w:rsidRPr="00FD4924">
              <w:rPr>
                <w:sz w:val="18"/>
                <w:lang w:val="sk-SK"/>
              </w:rPr>
              <w:t xml:space="preserve">načka </w:t>
            </w:r>
            <w:r w:rsidR="006330A8" w:rsidRPr="00FD4924">
              <w:rPr>
                <w:sz w:val="18"/>
                <w:lang w:val="sk-SK"/>
              </w:rPr>
              <w:t>(najmä počas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prvých 24</w:t>
            </w:r>
            <w:r w:rsidRPr="00FD4924">
              <w:rPr>
                <w:sz w:val="18"/>
                <w:lang w:val="sk-SK"/>
              </w:rPr>
              <w:noBreakHyphen/>
              <w:t>48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hodín po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metotrexátu).</w:t>
            </w:r>
          </w:p>
        </w:tc>
        <w:tc>
          <w:tcPr>
            <w:tcW w:w="1292" w:type="dxa"/>
          </w:tcPr>
          <w:p w:rsidR="006330A8" w:rsidRPr="00FD4924" w:rsidRDefault="00CE6EE2" w:rsidP="00080F8C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G</w:t>
            </w:r>
            <w:r w:rsidR="006330A8" w:rsidRPr="00FD4924">
              <w:rPr>
                <w:sz w:val="18"/>
                <w:lang w:val="sk-SK"/>
              </w:rPr>
              <w:t>astrointestinálne krvácanie a vredy, pankreatitída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Gingivitída, enteritída, meléna (krvavá stolica), malabsorpcia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Hemateméza (vracanie krvi), toxický megakolón</w:t>
            </w:r>
          </w:p>
        </w:tc>
        <w:tc>
          <w:tcPr>
            <w:tcW w:w="1013" w:type="dxa"/>
          </w:tcPr>
          <w:p w:rsidR="006330A8" w:rsidRPr="00FD4924" w:rsidRDefault="006330A8" w:rsidP="00702178">
            <w:pPr>
              <w:tabs>
                <w:tab w:val="clear" w:pos="567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-108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pečene a žlčových ciest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enzýmov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(ALAT, ASAT,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alkalickej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fosfatázy 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bilirubínu).</w:t>
            </w:r>
          </w:p>
        </w:tc>
        <w:tc>
          <w:tcPr>
            <w:tcW w:w="1212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Rozvoj hromadenia tuku</w:t>
            </w:r>
          </w:p>
          <w:p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 pečeni</w:t>
            </w:r>
            <w:r w:rsidR="006330A8" w:rsidRPr="00FD4924">
              <w:rPr>
                <w:sz w:val="18"/>
                <w:lang w:val="sk-SK"/>
              </w:rPr>
              <w:t>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fibróza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cirhóza (vyskytuje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sa často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napriek pravidelnému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monitorovaniu,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normálne hodnoty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 enzýmov);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diabetick</w:t>
            </w:r>
            <w:r w:rsidR="007C729D">
              <w:rPr>
                <w:sz w:val="18"/>
                <w:lang w:val="sk-SK"/>
              </w:rPr>
              <w:t>ý metabolizmus</w:t>
            </w:r>
            <w:r w:rsidRPr="00FD4924">
              <w:rPr>
                <w:sz w:val="18"/>
                <w:lang w:val="sk-SK"/>
              </w:rPr>
              <w:t>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pokles sérového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albumínu.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Akútna hepatitída a hepatotoxicita 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Reaktivácia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chronickej hepatitídy,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pečeňová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degenerácia.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Okrem toho bol pozorovaný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herpes simplex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hepatitída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pečeňová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insuficiencia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(pozri tiež poznámky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týkajúce sa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biopsie pečene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 časti 4.4).</w:t>
            </w:r>
          </w:p>
        </w:tc>
        <w:tc>
          <w:tcPr>
            <w:tcW w:w="1013" w:type="dxa"/>
          </w:tcPr>
          <w:p w:rsidR="006330A8" w:rsidRPr="00FD4924" w:rsidDel="006E7243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Metabo</w:t>
            </w:r>
            <w:r w:rsidR="00AE2D03" w:rsidRPr="00FD4924">
              <w:rPr>
                <w:sz w:val="18"/>
                <w:lang w:val="sk-SK"/>
              </w:rPr>
              <w:t>-</w:t>
            </w:r>
            <w:r w:rsidRPr="00FD4924">
              <w:rPr>
                <w:sz w:val="18"/>
                <w:lang w:val="sk-SK"/>
              </w:rPr>
              <w:t>lická porucha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kože a podkožného tkaniva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Exantém, erytém, svrbenie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Žihľavka,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fotosenzitivita,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pigmentácia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strata vlasov,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 xml:space="preserve">reumatoidných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uzlíkov, herpes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zoster, bolestivé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lézie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psoriatického plaku;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ťažké toxické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reakcie: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vaskulitída,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herpetiformná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erupcia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Stevens</w:t>
            </w:r>
            <w:r w:rsidRPr="00FD4924">
              <w:rPr>
                <w:sz w:val="18"/>
                <w:lang w:val="sk-SK"/>
              </w:rPr>
              <w:noBreakHyphen/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Johnsonov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syndróm, toxická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epidermálna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nekrolýza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(Lyellov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syndróm).</w:t>
            </w:r>
          </w:p>
        </w:tc>
        <w:tc>
          <w:tcPr>
            <w:tcW w:w="1514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Z</w:t>
            </w:r>
            <w:r w:rsidR="006330A8" w:rsidRPr="00FD4924">
              <w:rPr>
                <w:sz w:val="18"/>
                <w:lang w:val="sk-SK"/>
              </w:rPr>
              <w:t xml:space="preserve">výšené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pigmentové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zmeny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nechtov, akné,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petechie,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ekchymózy,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erythema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multiforme,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kožné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erytematózne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erupcie.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Furunkulóza, teleangiektáza, akútna paronychia, Okrem toho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nokardióza,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histoplazmóza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cryptococcus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mycosis a</w:t>
            </w:r>
          </w:p>
          <w:p w:rsidR="006330A8" w:rsidRPr="00FD4924" w:rsidRDefault="001F766B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diseminovaný </w:t>
            </w:r>
            <w:r w:rsidR="006330A8" w:rsidRPr="00FD4924">
              <w:rPr>
                <w:sz w:val="18"/>
                <w:lang w:val="sk-SK"/>
              </w:rPr>
              <w:t>herpes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simplex bol</w:t>
            </w:r>
            <w:r w:rsidR="001F766B" w:rsidRPr="00FD4924">
              <w:rPr>
                <w:sz w:val="18"/>
                <w:lang w:val="sk-SK"/>
              </w:rPr>
              <w:t>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hlásen</w:t>
            </w:r>
            <w:r w:rsidR="001F766B" w:rsidRPr="00FD4924">
              <w:rPr>
                <w:sz w:val="18"/>
                <w:lang w:val="sk-SK"/>
              </w:rPr>
              <w:t>é</w:t>
            </w:r>
            <w:r w:rsidRPr="00FD4924">
              <w:rPr>
                <w:sz w:val="18"/>
                <w:lang w:val="sk-SK"/>
              </w:rPr>
              <w:t>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Alergická vaskulitída,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hidradenitída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lastRenderedPageBreak/>
              <w:t>Exfoliatívna dermatitída, nekróza kože,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kostrovej a svalovej sústavy a spojivového tkaniva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Osteoporóza, artralgia, myalgia</w:t>
            </w:r>
          </w:p>
        </w:tc>
        <w:tc>
          <w:tcPr>
            <w:tcW w:w="1514" w:type="dxa"/>
          </w:tcPr>
          <w:p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Ú</w:t>
            </w:r>
            <w:r w:rsidR="006330A8" w:rsidRPr="00FD4924">
              <w:rPr>
                <w:sz w:val="18"/>
                <w:lang w:val="sk-SK"/>
              </w:rPr>
              <w:t>navová zlomenina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obličiek a močových ciest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ulcerácia 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močového mechúra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(možno s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hematúriou),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dyzúria.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Zlyhanie obličiek,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oligúria,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anúria,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azotémia, hyperurikémia, zvýšený sérový kreatinín a hladina urey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Proteinúra</w:t>
            </w: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reprodukčného systému a prsníkov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ulcerácia </w:t>
            </w:r>
          </w:p>
          <w:p w:rsidR="006330A8" w:rsidRPr="00FD4924" w:rsidRDefault="006330A8" w:rsidP="0084409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vagíny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libida,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impotencia,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oligospermia,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menštruácie, vaginálny výtok, neplodnosť, gynekomastia 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Celkové poruchy a reakcie v mieste podania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alergické 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progredujúce do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anafylaktického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šoku;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Horúčka, porucha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hojivosti rán.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</w:tbl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Nasledujúce nežiaduce účinky boli tiež zaznamenané, no ich </w:t>
      </w:r>
      <w:r w:rsidR="001F766B" w:rsidRPr="00FD4924">
        <w:rPr>
          <w:lang w:val="sk-SK"/>
        </w:rPr>
        <w:t xml:space="preserve">frekvencia </w:t>
      </w:r>
      <w:r w:rsidRPr="00FD4924">
        <w:rPr>
          <w:lang w:val="sk-SK"/>
        </w:rPr>
        <w:t>nebol</w:t>
      </w:r>
      <w:r w:rsidR="001F766B" w:rsidRPr="00FD4924">
        <w:rPr>
          <w:lang w:val="sk-SK"/>
        </w:rPr>
        <w:t>a</w:t>
      </w:r>
      <w:r w:rsidRPr="00FD4924">
        <w:rPr>
          <w:lang w:val="sk-SK"/>
        </w:rPr>
        <w:t xml:space="preserve"> stanoven</w:t>
      </w:r>
      <w:r w:rsidR="001F766B" w:rsidRPr="00FD4924">
        <w:rPr>
          <w:lang w:val="sk-SK"/>
        </w:rPr>
        <w:t>á</w:t>
      </w:r>
      <w:r w:rsidRPr="00FD4924">
        <w:rPr>
          <w:lang w:val="sk-SK"/>
        </w:rPr>
        <w:t>: Pneumocystis carinii pneum</w:t>
      </w:r>
      <w:r w:rsidR="001F766B" w:rsidRPr="00FD4924">
        <w:rPr>
          <w:lang w:val="sk-SK"/>
        </w:rPr>
        <w:t>ó</w:t>
      </w:r>
      <w:r w:rsidRPr="00FD4924">
        <w:rPr>
          <w:lang w:val="sk-SK"/>
        </w:rPr>
        <w:t>nia, (</w:t>
      </w:r>
      <w:r w:rsidR="001F766B" w:rsidRPr="00FD4924">
        <w:rPr>
          <w:lang w:val="sk-SK"/>
        </w:rPr>
        <w:t xml:space="preserve">vrátane </w:t>
      </w:r>
      <w:r w:rsidRPr="00FD4924">
        <w:rPr>
          <w:lang w:val="sk-SK"/>
        </w:rPr>
        <w:t>reverzibilných prípadov), úmrtie plodu, poškodenie plodu, potrat.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  <w:r w:rsidRPr="00FD4924">
        <w:rPr>
          <w:b/>
          <w:i/>
          <w:lang w:val="sk-SK"/>
        </w:rPr>
        <w:t>Systémová toxicita orgánov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Lymfóm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Malígny lymfóm, ktorý môže prejsť do remisie po prerušení liečby metotrexátom, sa môže vyskytnúť u pacientov, ktorí dostávajú liečbu nízkymi dávkami, a preto nemusí byť nutná nejaká cytotoxická liečba. Ak lymfóm neustupuje, musí sa prerušiť podávanie metotrexátu a iniciovať primeraná liečba.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Hematologická toxicita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 xml:space="preserve">Metotrexát môže potlačiť hemopoézu a zapríčiniť anémiu, aplastickú anémiu, pancytopéniu, leukopéniu, neutropéniu a/alebo trombocytopéniu. Metotrexát sa musí podávať s opatrnosťou pacientom s malignitami a základnými faktormi ovplyvňujúcimi hematopoézu. Pri liečbe neoplastických </w:t>
      </w:r>
      <w:r w:rsidR="00D234D3" w:rsidRPr="00FD4924">
        <w:rPr>
          <w:lang w:val="sk-SK"/>
        </w:rPr>
        <w:t xml:space="preserve">ochorení sa </w:t>
      </w:r>
      <w:r w:rsidRPr="00FD4924">
        <w:rPr>
          <w:lang w:val="sk-SK"/>
        </w:rPr>
        <w:t xml:space="preserve">smie liečba metotrexátom podávať za predpokladu, že potenciálne výhody </w:t>
      </w:r>
      <w:r w:rsidR="00D234D3" w:rsidRPr="00FD4924">
        <w:rPr>
          <w:lang w:val="sk-SK"/>
        </w:rPr>
        <w:t xml:space="preserve">prevažujú </w:t>
      </w:r>
      <w:r w:rsidRPr="00FD4924">
        <w:rPr>
          <w:lang w:val="sk-SK"/>
        </w:rPr>
        <w:t>riziko myelosupresie.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Pľúca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Pľúcne choroby spôsobené metotrexátom</w:t>
      </w:r>
      <w:r w:rsidR="00D234D3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akútnej alebo chronickej intersticiálnej pneumonitídy, sú potenciálne nebezpečnou komplikáciou, ktorá sa môže vyskytnúť kedykoľvek v priebehu liečby. Tento nežiaduci účinok bol </w:t>
      </w:r>
      <w:r w:rsidR="00D234D3" w:rsidRPr="00FD4924">
        <w:rPr>
          <w:lang w:val="sk-SK"/>
        </w:rPr>
        <w:t xml:space="preserve">hlásený </w:t>
      </w:r>
      <w:r w:rsidRPr="00FD4924">
        <w:rPr>
          <w:lang w:val="sk-SK"/>
        </w:rPr>
        <w:t>pri nízkych dávkach a nie vždy je úplne reverzibilný. Boli zaznamenané úmrtia. Príznaky postihnutia pľúc alebo symptómy ako suchý neproduktívny kašeľ, horúčka, bolesti v hrudi, dyspnoe, hypoxémia a infiltrát na RTG snímku pľúc, alebo nešpecifická pneumonitída, ktoré sa objavujú v súvislosti s metotrexátovou terapiou, môžu indikovať potenciálne závažné poškodenie a vyžadujú si prerušenie liečby a dôkladné vyšetrenie. Zmeny na pľúcach sa môžu vyskytnúť pri všetkých dávkach. Je nutné vylúčiť možnosť infekcie (</w:t>
      </w:r>
      <w:r w:rsidR="00D234D3" w:rsidRPr="00FD4924">
        <w:rPr>
          <w:lang w:val="sk-SK"/>
        </w:rPr>
        <w:t xml:space="preserve">vrátane </w:t>
      </w:r>
      <w:r w:rsidRPr="00FD4924">
        <w:rPr>
          <w:lang w:val="sk-SK"/>
        </w:rPr>
        <w:t>pneumónie).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Gastrointestinálna toxicita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Ak sa dostaví vracanie, </w:t>
      </w:r>
      <w:r w:rsidR="00D234D3" w:rsidRPr="00FD4924">
        <w:rPr>
          <w:lang w:val="sk-SK"/>
        </w:rPr>
        <w:t xml:space="preserve">hnačka </w:t>
      </w:r>
      <w:r w:rsidRPr="00FD4924">
        <w:rPr>
          <w:lang w:val="sk-SK"/>
        </w:rPr>
        <w:t xml:space="preserve">alebo stomatitída s následnou dehydratáciou, musí sa terapia metotrexátom prerušiť, kým sa pacient nezotaví. Môže sa vyskytnúť hemoragická enteritída a úmrtie zapríčinené perforáciou intestína. U pacientov s peptickým vredom alebo ulceratívnou kolitídou sa metotrexát musí používať veľmi opatrne. Stomatitíde možno predísť alebo ju zmierniť ústnymi </w:t>
      </w:r>
      <w:r w:rsidR="00D234D3" w:rsidRPr="00FD4924">
        <w:rPr>
          <w:lang w:val="sk-SK"/>
        </w:rPr>
        <w:t xml:space="preserve">výplachmi </w:t>
      </w:r>
      <w:r w:rsidRPr="00FD4924">
        <w:rPr>
          <w:lang w:val="sk-SK"/>
        </w:rPr>
        <w:t>kyselinou folínovou.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Pečeň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predstavuje potenciálne riziko akútnej hepatitídy a chronickej hepatotoxicity (fibróza a cirhóza). Chronická toxicita je potenciálne fatálna a vyskytuje sa často po dlhodobom používaní (vo všeobecnosti po 2 rokoch a viac) a po celkovej kumulatívnej dávke väčšej ako 1,5 g. V štúdiách psoriatických pacientov sa hepatotoxicita javila ako proporcionálna ku kumulatívnej dávke a bola potencovaná alkoholizmom, nadváhou, diabetom a vekom.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Po liečbe metotrexátom možno často pozorovať prechodné zhoršenie hodnôt pečeňových enzýmov, ktoré si obvykle nevyžaduje prispôsobenie liečby. Existujúce abnormálne pečeňové hodnoty a/alebo zníženie sérového albumínu môže indikovať ťažkú hepatotoxicitu.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vyvolal reaktiváciu infekcií hepatitídy B a nové prepuknutie infekcií hepatitídy C, ktoré v niektorých prípadoch skončili úmrtím. Niektoré prípady reaktivácie hepatitídy B sa vyskytli po prerušení liečby metotrexátom. Je nutné vykonať klinické a laboratórne </w:t>
      </w:r>
      <w:r w:rsidR="00D234D3" w:rsidRPr="00FD4924">
        <w:rPr>
          <w:lang w:val="sk-SK"/>
        </w:rPr>
        <w:t>testy</w:t>
      </w:r>
      <w:r w:rsidRPr="00FD4924">
        <w:rPr>
          <w:lang w:val="sk-SK"/>
        </w:rPr>
        <w:t xml:space="preserve">, aby sa </w:t>
      </w:r>
      <w:r w:rsidR="00D234D3" w:rsidRPr="00FD4924">
        <w:rPr>
          <w:lang w:val="sk-SK"/>
        </w:rPr>
        <w:t xml:space="preserve">výskyt </w:t>
      </w:r>
      <w:r w:rsidRPr="00FD4924">
        <w:rPr>
          <w:lang w:val="sk-SK"/>
        </w:rPr>
        <w:t>akýkoľvek výskyt ochoren</w:t>
      </w:r>
      <w:r w:rsidR="00D234D3" w:rsidRPr="00FD4924">
        <w:rPr>
          <w:lang w:val="sk-SK"/>
        </w:rPr>
        <w:t>ia pečene</w:t>
      </w:r>
      <w:r w:rsidRPr="00FD4924">
        <w:rPr>
          <w:lang w:val="sk-SK"/>
        </w:rPr>
        <w:t xml:space="preserve"> u pacientov s predchádzajúcimi infekciami hepatitídou B alebo C. Na základe týchto vyšetrení sa môže preukázať, že liečba metotrexátom je pre niektorých pacientov nevhodná. </w:t>
      </w:r>
    </w:p>
    <w:p w:rsidR="00D234D3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prípade, že </w:t>
      </w:r>
      <w:r w:rsidR="00D234D3" w:rsidRPr="00FD4924">
        <w:rPr>
          <w:lang w:val="sk-SK"/>
        </w:rPr>
        <w:t xml:space="preserve">funkcia </w:t>
      </w:r>
      <w:r w:rsidRPr="00FD4924">
        <w:rPr>
          <w:lang w:val="sk-SK"/>
        </w:rPr>
        <w:t xml:space="preserve">pečene </w:t>
      </w:r>
      <w:r w:rsidR="00D234D3" w:rsidRPr="00FD4924">
        <w:rPr>
          <w:lang w:val="sk-SK"/>
        </w:rPr>
        <w:t>je poškodená</w:t>
      </w:r>
      <w:r w:rsidRPr="00FD4924">
        <w:rPr>
          <w:lang w:val="sk-SK"/>
        </w:rPr>
        <w:t>, môžu sa nežiaduce účinky metotrexátu (najmä stomatitída) zhoršiť.</w:t>
      </w:r>
      <w:r w:rsidR="00D234D3" w:rsidRPr="00FD4924">
        <w:rPr>
          <w:lang w:val="sk-SK"/>
        </w:rPr>
        <w:t xml:space="preserve"> </w:t>
      </w:r>
    </w:p>
    <w:p w:rsidR="00D234D3" w:rsidRPr="00FD4924" w:rsidRDefault="00D234D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Obličky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môže zapríčiniť poškodenie </w:t>
      </w:r>
      <w:r w:rsidR="003C1C17" w:rsidRPr="00FD4924">
        <w:rPr>
          <w:lang w:val="sk-SK"/>
        </w:rPr>
        <w:t>obličiek</w:t>
      </w:r>
      <w:r w:rsidRPr="00FD4924">
        <w:rPr>
          <w:lang w:val="sk-SK"/>
        </w:rPr>
        <w:t>, ktoré napokon vyústi do akútneho zlyhania obličiek. Funkcia obličiek sa môže po liečbe vysokými dávkami zhoršiť do takej miery, že dôjde k inhibícii vylučovania metotrexátu, čoho dôsledkom môže byť systémová metotrexátová toxicita. Aby sa predišlo zlyhaniu obličiek,</w:t>
      </w:r>
      <w:r w:rsidR="00BB3A29" w:rsidRPr="00FD4924">
        <w:rPr>
          <w:lang w:val="sk-SK"/>
        </w:rPr>
        <w:t xml:space="preserve"> </w:t>
      </w:r>
      <w:r w:rsidRPr="00FD4924">
        <w:rPr>
          <w:lang w:val="sk-SK"/>
        </w:rPr>
        <w:t>odporúča sa alkalizácia moču a primeraný príjem tekutín (najmenej 3 l denne). Odporúča sa meranie sérového metotrexátu a funkcie obličiek.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Koža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Závažné, v niektorých prípadoch fatálne reakcie kože</w:t>
      </w:r>
      <w:r w:rsidR="002603FF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toxickej epidermálnej nekrolýzy (Lyellov syndróm), Stevens</w:t>
      </w:r>
      <w:r w:rsidRPr="00FD4924">
        <w:rPr>
          <w:lang w:val="sk-SK"/>
        </w:rPr>
        <w:noBreakHyphen/>
        <w:t xml:space="preserve">Johnsonov syndróm a multiformný erytém boli zaznamenané v rozpätí niekoľkých dní perorálnej, intramuskulárnej </w:t>
      </w:r>
      <w:r w:rsidR="001666E1">
        <w:rPr>
          <w:lang w:val="sk-SK"/>
        </w:rPr>
        <w:t xml:space="preserve">alebo </w:t>
      </w:r>
      <w:r w:rsidRPr="00FD4924">
        <w:rPr>
          <w:lang w:val="sk-SK"/>
        </w:rPr>
        <w:t>intravenóznej j liečby metotrexátom jednorazovými alebo opakovanými dávkami. Radiačná dermatitída a popálenina od slnka sa môžu po použití metotrexátu zvýrazniť.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CNS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lastRenderedPageBreak/>
        <w:t>U pacientov, ktorí podstúpili kraniospinálnu rádioterapiu, boli po intravenóznej liečbe metotrexátom zaznamenané prípady leukoencefalopatie. Ťažká neurotoxicita často manifestovaná v generalizovanej forme alebo ako fokálne záchvaty bola zaznamenaná s neočakávaným zvýšením výskytu u detí s akútnou lymfoblastickou leukémiou liečenou mierne vysokou dávkou intravenózne podaného metotrexátu (1 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). Pri RTG vyšetreniach symptomatických pacientov bola často zistená leukoencefalopatia a/alebo mikroangiopatické kalcifikácie.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>Chronická leukoencefalopatia bola tiež zaznamenaná u pacientov liečených opakovanými vysokými dávkami metotrexátu spolu s kyselinou folínovou, dokonca bez súčasnej kraniálnej rádioterapie. Prerušenie metotrexátovej liečby neviedlo vždy k plnému zotaveniu pacienta. Leukoencefalopatia bola tiež zaznamenaná u pacientov liečených tabletami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sa podrobili liečbe vysokými dávkami, bol pozorovaný prechodný akútny neurologický syndróm, Manifestácie tohto neurologického syndrómu môžu zahrnovať abnormálne správanie, fokálne senzomotorické symptómy </w:t>
      </w:r>
      <w:r w:rsidR="002603FF" w:rsidRPr="00FD4924">
        <w:rPr>
          <w:lang w:val="sk-SK"/>
        </w:rPr>
        <w:t xml:space="preserve">vrátane </w:t>
      </w:r>
      <w:r w:rsidRPr="00FD4924">
        <w:rPr>
          <w:lang w:val="sk-SK"/>
        </w:rPr>
        <w:t>prechodnej slepoty a abnormálnych reflexov. Presná príčina je nejasná.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Prípady neurologických vedľajších účinkov siahajúcich od bolesti hlavy po paralýzu, kómu až po príhody podobné mozgovej mŕtvici boli </w:t>
      </w:r>
      <w:r w:rsidR="002603FF" w:rsidRPr="00FD4924">
        <w:rPr>
          <w:lang w:val="sk-SK"/>
        </w:rPr>
        <w:t xml:space="preserve">hlásené </w:t>
      </w:r>
      <w:r w:rsidRPr="00FD4924">
        <w:rPr>
          <w:lang w:val="sk-SK"/>
        </w:rPr>
        <w:t>najmä u detí a dospievajúcich, ktorí dostávali súčasnú medikáciu s cytarabínom.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Intratekálna terapia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Subakútna neurotoxicita je obvykle reverzibilná po prerušení podávania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2684"/>
      </w:tblGrid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Trieda orgánových systémov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 xml:space="preserve">Časté (&gt;1/100)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Poruchy centrálneho a periférneho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nervového systému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Bolesť hlavy, chemická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arachnoiditída, subakútna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neurotoxicita, nekrotizujúca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demyelinizujúca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leukoencefalopatia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Poruchy gastrointestinálneho traktu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Nevoľnosť a vracanie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Celkové poruchy 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 xml:space="preserve">a reakcie v mieste 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podania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Horúčka</w:t>
            </w:r>
          </w:p>
        </w:tc>
      </w:tr>
    </w:tbl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Chemická arachnoiditída, </w:t>
      </w:r>
      <w:r w:rsidRPr="00FD4924">
        <w:rPr>
          <w:lang w:val="sk-SK"/>
        </w:rPr>
        <w:t xml:space="preserve">ktorá sa môže vyskytnúť niekoľko hodín po intratekálnom podaní metotrexátu, je charakterizovaná bolesťou hlavy, bolesťou </w:t>
      </w:r>
      <w:r w:rsidR="001F1292">
        <w:rPr>
          <w:lang w:val="sk-SK"/>
        </w:rPr>
        <w:t>chrbta</w:t>
      </w:r>
      <w:r w:rsidRPr="00FD4924">
        <w:rPr>
          <w:lang w:val="sk-SK"/>
        </w:rPr>
        <w:t>, stuhnutým krkom, vracaním, horúčkou, meningizmom a pleocytózou v cerebrospinálnej tekutine podobnej CST u bakteriálnej meningitídy. Arachnoiditída spravidla vymizne v priebehu niekoľkých dní.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>Subakútna neurotoxicita</w:t>
      </w:r>
      <w:r w:rsidRPr="00FD4924">
        <w:rPr>
          <w:lang w:val="sk-SK"/>
        </w:rPr>
        <w:t xml:space="preserve">, obvykle po často opakovanom intratekálnom podaní, najviac ovplyvňuje motorické funkcie v mozgu alebo v mieche. Môže sa objaviť paraparéza/paraplégia so zapojením jedného alebo viacerých spinálnych nervových koreňov, </w:t>
      </w:r>
      <w:r w:rsidR="00160AAC" w:rsidRPr="00FD4924">
        <w:rPr>
          <w:lang w:val="sk-SK"/>
        </w:rPr>
        <w:t xml:space="preserve">tetraplégia, </w:t>
      </w:r>
      <w:r w:rsidRPr="00FD4924">
        <w:rPr>
          <w:lang w:val="sk-SK"/>
        </w:rPr>
        <w:t xml:space="preserve">cerebelárna dysfunkcia, paralýza kraniálneho nervu a epileptické záchvaty.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Nekrotizujúca demyelinizujúca leukoencefalopatia </w:t>
      </w:r>
      <w:r w:rsidRPr="00FD4924">
        <w:rPr>
          <w:lang w:val="sk-SK"/>
        </w:rPr>
        <w:t xml:space="preserve">sa môže objaviť niekoľko mesiacov alebo rokov po začiatku intratekálnej terapie. Stav je charakterizovaný progresívnou neurologickou deterioráciou so </w:t>
      </w:r>
      <w:r w:rsidR="00B50226">
        <w:rPr>
          <w:lang w:val="sk-SK"/>
        </w:rPr>
        <w:t>pozvoľným</w:t>
      </w:r>
      <w:r w:rsidRPr="00FD4924">
        <w:rPr>
          <w:lang w:val="sk-SK"/>
        </w:rPr>
        <w:t xml:space="preserve"> </w:t>
      </w:r>
      <w:r w:rsidR="00E509EF" w:rsidRPr="00FD4924">
        <w:rPr>
          <w:lang w:val="sk-SK"/>
        </w:rPr>
        <w:t>ná</w:t>
      </w:r>
      <w:r w:rsidR="00E509EF">
        <w:rPr>
          <w:lang w:val="sk-SK"/>
        </w:rPr>
        <w:t>stupom</w:t>
      </w:r>
      <w:r w:rsidRPr="00FD4924">
        <w:rPr>
          <w:lang w:val="sk-SK"/>
        </w:rPr>
        <w:t>, zmätenosťou, podráždenosťou a somnolenciou. Napokon sa môže vyskytnúť ťažká demencia, dyzartria, ataxia, spasticita, kŕče a kóma. Stav môže byť fatálny. Leukoencefalopatia sa objavuje predovšetkým u pacientov, ktorí dostali veľké množstvá intratekálne podaného metotrexátu v kombinácii s kraniálnou rádioterapiou a/alebo systémovo podaným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Príznaky neurotoxicity (meningitída, prechodná alebo trvalá paréza, encefalopatia) sa musia sledovať po intratekálnom podaní metotrexátu.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noProof/>
          <w:szCs w:val="22"/>
          <w:u w:val="single"/>
          <w:lang w:val="sk-SK"/>
        </w:rPr>
        <w:t>Hlásenie podozrení na nežiaduce reakcie</w:t>
      </w:r>
    </w:p>
    <w:p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D4924">
        <w:rPr>
          <w:noProof/>
          <w:szCs w:val="22"/>
          <w:lang w:val="sk-SK"/>
        </w:rPr>
        <w:t>Hlásenie podozrení na nežiaduce reakcie po registrácii lieku je dôležité.</w:t>
      </w:r>
      <w:r w:rsidRPr="00FD4924">
        <w:rPr>
          <w:szCs w:val="22"/>
          <w:lang w:val="sk-SK"/>
        </w:rPr>
        <w:t xml:space="preserve"> </w:t>
      </w:r>
      <w:r w:rsidRPr="00FD4924">
        <w:rPr>
          <w:noProof/>
          <w:szCs w:val="22"/>
          <w:lang w:val="sk-SK"/>
        </w:rPr>
        <w:t>Umožňuje priebežné monitorovanie pomeru prínosu</w:t>
      </w:r>
      <w:r w:rsidRPr="00FD4924">
        <w:rPr>
          <w:lang w:val="sk-SK"/>
        </w:rPr>
        <w:t xml:space="preserve"> a</w:t>
      </w:r>
      <w:r w:rsidRPr="00FD4924">
        <w:rPr>
          <w:noProof/>
          <w:szCs w:val="22"/>
          <w:lang w:val="sk-SK"/>
        </w:rPr>
        <w:t> rizika lieku.</w:t>
      </w:r>
      <w:r w:rsidRPr="00FD4924">
        <w:rPr>
          <w:szCs w:val="22"/>
          <w:lang w:val="sk-SK"/>
        </w:rPr>
        <w:t xml:space="preserve"> Od </w:t>
      </w:r>
      <w:r w:rsidRPr="00FD4924">
        <w:rPr>
          <w:noProof/>
          <w:szCs w:val="22"/>
          <w:lang w:val="sk-SK"/>
        </w:rPr>
        <w:t>zdravotníckych pracovníkov sa vyžaduje, aby hlásili akékoľvek podozrenia na nežiaduce reakcie prostredníctvom národného systému hlásenia uvedeného</w:t>
      </w:r>
      <w:r w:rsidR="001516DB" w:rsidRPr="00FD4924">
        <w:rPr>
          <w:noProof/>
          <w:szCs w:val="22"/>
          <w:lang w:val="sk-SK"/>
        </w:rPr>
        <w:t xml:space="preserve"> </w:t>
      </w:r>
      <w:r w:rsidR="005C6C35" w:rsidRPr="00111A81">
        <w:rPr>
          <w:noProof/>
          <w:szCs w:val="22"/>
          <w:highlight w:val="lightGray"/>
          <w:lang w:val="sk-SK"/>
        </w:rPr>
        <w:t>v </w:t>
      </w:r>
      <w:hyperlink r:id="rId7" w:history="1">
        <w:r w:rsidR="005C6C35" w:rsidRPr="00111A8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5C6C35" w:rsidRPr="005C6C35">
        <w:rPr>
          <w:noProof/>
          <w:szCs w:val="22"/>
          <w:lang w:val="sk-SK"/>
        </w:rPr>
        <w:t>.</w:t>
      </w:r>
    </w:p>
    <w:p w:rsidR="00482E9F" w:rsidRPr="00FD4924" w:rsidRDefault="00482E9F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FD4F58" w:rsidRPr="00FD4924" w:rsidRDefault="00FD4F58" w:rsidP="00FD4F58">
      <w:pPr>
        <w:tabs>
          <w:tab w:val="clear" w:pos="567"/>
        </w:tabs>
        <w:spacing w:line="240" w:lineRule="auto"/>
        <w:rPr>
          <w:szCs w:val="22"/>
          <w:lang w:val="sk-SK" w:eastAsia="zh-CN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4.9</w:t>
      </w:r>
      <w:r w:rsidRPr="00FD4924">
        <w:rPr>
          <w:b/>
          <w:lang w:val="sk-SK"/>
        </w:rPr>
        <w:tab/>
        <w:t>Predávkovanie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Skúsenosť s predávkovaním tohto lieku je vo všeobecnosti spojená s perorálnou a intratekálnou liečbou, hoci predávkovanie v spojitosti s intravenóznym a intramuskulárnym podaním bolo tiež zaznamenané.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160AA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Hlásenia p</w:t>
      </w:r>
      <w:r w:rsidR="006330A8" w:rsidRPr="00FD4924">
        <w:rPr>
          <w:lang w:val="sk-SK"/>
        </w:rPr>
        <w:t>erorálne</w:t>
      </w:r>
      <w:r w:rsidRPr="00FD4924">
        <w:rPr>
          <w:lang w:val="sk-SK"/>
        </w:rPr>
        <w:t>ho</w:t>
      </w:r>
      <w:r w:rsidR="006330A8" w:rsidRPr="00FD4924">
        <w:rPr>
          <w:lang w:val="sk-SK"/>
        </w:rPr>
        <w:t xml:space="preserve"> predávkovania boli často zavinené náhodným denným namiesto týždenným užívaním lieku. Najčastejšie </w:t>
      </w:r>
      <w:r w:rsidRPr="00FD4924">
        <w:rPr>
          <w:lang w:val="sk-SK"/>
        </w:rPr>
        <w:t xml:space="preserve">hlásené </w:t>
      </w:r>
      <w:r w:rsidR="006330A8" w:rsidRPr="00FD4924">
        <w:rPr>
          <w:lang w:val="sk-SK"/>
        </w:rPr>
        <w:t>príznaky po perorálnom predávkovaní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 symptómy a príznaky pozorované pri farmakologických dávkach, najmä hematologické a gastrointestinálne reakcie, ako sú: leukopénia, trombocytopénia, anémia, pancytopénia, neutropénia, myelosupresia, mukozitída, stomatitída, perorálna ulcerácia, nauzea, vracanie, gastrointestinálna ulcerácia, gastrointestinálne krvácanie. V </w:t>
      </w:r>
      <w:r w:rsidRPr="00FD4924">
        <w:rPr>
          <w:lang w:val="sk-SK"/>
        </w:rPr>
        <w:t xml:space="preserve">určitých </w:t>
      </w:r>
      <w:r w:rsidR="006330A8" w:rsidRPr="00FD4924">
        <w:rPr>
          <w:lang w:val="sk-SK"/>
        </w:rPr>
        <w:t>prípadoch neboli zaznamenané žiadne symptómy. V spojitosti s predávkovaním boli zaznamenané úmrtia. V týchto prípadoch boli tiež hlásené stavy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>ujúce sepsu alebo septický šok, zlyhanie obličiek a aplastick</w:t>
      </w:r>
      <w:r w:rsidR="00222B7A" w:rsidRPr="00FD4924">
        <w:rPr>
          <w:lang w:val="sk-SK"/>
        </w:rPr>
        <w:t>ú</w:t>
      </w:r>
      <w:r w:rsidR="006330A8" w:rsidRPr="00FD4924">
        <w:rPr>
          <w:lang w:val="sk-SK"/>
        </w:rPr>
        <w:t xml:space="preserve"> anémi</w:t>
      </w:r>
      <w:r w:rsidR="00222B7A" w:rsidRPr="00FD4924">
        <w:rPr>
          <w:lang w:val="sk-SK"/>
        </w:rPr>
        <w:t>u</w:t>
      </w:r>
      <w:r w:rsidR="006330A8"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Najčastejšie symptómy intratekálneho predávkovania sú symptómy CNS, ako bolesť hlavy, nauzea a vracanie, záchvaty alebo kŕče a akútna toxická encefalopatia. V </w:t>
      </w:r>
      <w:r w:rsidR="00222B7A" w:rsidRPr="00FD4924">
        <w:rPr>
          <w:lang w:val="sk-SK"/>
        </w:rPr>
        <w:t xml:space="preserve">určitých </w:t>
      </w:r>
      <w:r w:rsidRPr="00FD4924">
        <w:rPr>
          <w:lang w:val="sk-SK"/>
        </w:rPr>
        <w:t xml:space="preserve">prípadoch neboli </w:t>
      </w:r>
      <w:r w:rsidR="00222B7A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žiadne symptómy. Existujú hlásenia o úmrtiach po intratekálnom predávkovaní. V týchto prípadoch existujú aj hlásenia o cerebelárnej herniácii sprevádzanej zvýšeným intrakraniálnym tlakom a toxickou encefalopatiou.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Odporúčan</w:t>
      </w:r>
      <w:r w:rsidR="00222B7A" w:rsidRPr="00FD4924">
        <w:rPr>
          <w:i/>
          <w:lang w:val="sk-SK"/>
        </w:rPr>
        <w:t>á liečba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Antidotová liečba: </w:t>
      </w:r>
      <w:r w:rsidR="00222B7A" w:rsidRPr="00FD4924">
        <w:rPr>
          <w:lang w:val="sk-SK"/>
        </w:rPr>
        <w:t xml:space="preserve">Kyselina folínová sa má podať parenterálne </w:t>
      </w:r>
      <w:r w:rsidRPr="00FD4924">
        <w:rPr>
          <w:lang w:val="sk-SK"/>
        </w:rPr>
        <w:t>v dávke, ktorá sa rovná prinajmenšom dávke metotrexátu a ktorá by sa mala podať kdekoľvek je to možné v priebehu jednej hodiny. Kyselina folínová je indikovaná, aby minimalizovala toxicitu a pôsobila proti účinku nadmernej dávky metotrexátu. Liečba kyselinou folínovou sa musí iniciovať tak rýchlo, ako je to len možné. Čím dlhší je interval medzi podaním metotrexátu a iniciáciou kyseliny folínovej, o tom menší je účinok kyseliny folínovej pri potláčaní toxického efektu. Monitorovanie sérových koncentrácií metotrexátu je nutné preto, aby lekár bol schopný určiť optimálnu dávku kyseliny folínovej a dĺžku liečby.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 prípade </w:t>
      </w:r>
      <w:r w:rsidR="00222B7A" w:rsidRPr="00FD4924">
        <w:rPr>
          <w:lang w:val="sk-SK"/>
        </w:rPr>
        <w:t>veľkého predávkovania</w:t>
      </w:r>
      <w:r w:rsidRPr="00FD4924">
        <w:rPr>
          <w:lang w:val="sk-SK"/>
        </w:rPr>
        <w:t xml:space="preserve"> môže byť potrebná hydratácia a alkalizácia moču, aby sa predišlo vyzrážaniu metotrexátu a/alebo jeho metabolitov v renálnych tubulách. Ukázalo sa, že ani štandardná hemodialýza, ani peritoneálna dialýza nedokážu urýchliť elimináciu metotrexátu. Pri intoxikácii metotrexátom je možné skúsiť akútnu intermitentnú hemodialýzu s použitím vysoko permeabilného dialyzačného prístroja.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Intratekálne predávkovanie si môže vyžadovať intenzívne systémové podporné opatrenia, ako je systémové podanie vysokých dávok kyseliny folínovej, alkalickej diurézy, akútnej drenáže CSF a ventrikulárnu lumbálnu perfúziu.</w:t>
      </w:r>
    </w:p>
    <w:p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5.</w:t>
      </w:r>
      <w:r w:rsidRPr="00FD4924">
        <w:rPr>
          <w:b/>
          <w:lang w:val="sk-SK"/>
        </w:rPr>
        <w:tab/>
        <w:t>FARMAKOLOGICKÉ VLASTNOSTI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5.1</w:t>
      </w:r>
      <w:r w:rsidRPr="00FD4924">
        <w:rPr>
          <w:b/>
          <w:lang w:val="sk-SK"/>
        </w:rPr>
        <w:tab/>
        <w:t>Farmakodynamické vlastnosti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lang w:val="sk-SK"/>
        </w:rPr>
      </w:pPr>
      <w:r w:rsidRPr="00FD4924">
        <w:rPr>
          <w:lang w:val="sk-SK"/>
        </w:rPr>
        <w:t>Farmakoterapeutická skupina: Cytostatická látka: analóg</w:t>
      </w:r>
      <w:r w:rsidR="00E453C3">
        <w:rPr>
          <w:lang w:val="sk-SK"/>
        </w:rPr>
        <w:t>y</w:t>
      </w:r>
      <w:r w:rsidRPr="00FD4924">
        <w:rPr>
          <w:lang w:val="sk-SK"/>
        </w:rPr>
        <w:t xml:space="preserve"> kyseliny listovej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ATC kód: L01BA01</w:t>
      </w:r>
    </w:p>
    <w:p w:rsidR="006330A8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:rsidR="00595C09" w:rsidRPr="00FD4924" w:rsidRDefault="005C6C35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5C6C35">
        <w:rPr>
          <w:noProof/>
          <w:szCs w:val="22"/>
          <w:u w:val="single"/>
          <w:lang w:val="sk-SK"/>
        </w:rPr>
        <w:t>Mechanizmus účinku</w:t>
      </w:r>
      <w:r w:rsidR="00595C09">
        <w:rPr>
          <w:noProof/>
          <w:szCs w:val="22"/>
          <w:lang w:val="sk-SK"/>
        </w:rPr>
        <w:t>:</w:t>
      </w:r>
    </w:p>
    <w:p w:rsidR="00595C09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je antagonista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 cytostatickým účinkom. Metotrexát inhibuje konverziu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na kyselinu tetrahydrofóliovú, keďže táto zlúčenina má väčšiu afinitu pre enzým dihydrofolátreduktázu ako prirodzený substrát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. V dôsledku toho je inhibovaná syntéza DNA a tvorba nových buniek. Účinok metotrexátu je špecifický </w:t>
      </w:r>
      <w:r w:rsidR="001E7F1B">
        <w:rPr>
          <w:lang w:val="sk-SK"/>
        </w:rPr>
        <w:t>pre</w:t>
      </w:r>
      <w:r w:rsidR="001E7F1B" w:rsidRPr="00FD4924">
        <w:rPr>
          <w:lang w:val="sk-SK"/>
        </w:rPr>
        <w:t xml:space="preserve"> </w:t>
      </w:r>
      <w:r w:rsidRPr="00FD4924">
        <w:rPr>
          <w:lang w:val="sk-SK"/>
        </w:rPr>
        <w:t>S</w:t>
      </w:r>
      <w:r w:rsidRPr="00FD4924">
        <w:rPr>
          <w:lang w:val="sk-SK"/>
        </w:rPr>
        <w:noBreakHyphen/>
        <w:t xml:space="preserve">fázu. </w:t>
      </w:r>
    </w:p>
    <w:p w:rsidR="00595C09" w:rsidRDefault="00595C09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595C09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Klinická účinnosť a bezpečnosť</w:t>
      </w:r>
      <w:r w:rsidR="00595C09">
        <w:rPr>
          <w:lang w:val="sk-SK"/>
        </w:rPr>
        <w:t xml:space="preserve">: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 xml:space="preserve">Aktívne </w:t>
      </w:r>
      <w:r w:rsidR="000E5E6C" w:rsidRPr="00FD4924">
        <w:rPr>
          <w:lang w:val="sk-SK"/>
        </w:rPr>
        <w:t xml:space="preserve">proliferujúce </w:t>
      </w:r>
      <w:r w:rsidRPr="00FD4924">
        <w:rPr>
          <w:lang w:val="sk-SK"/>
        </w:rPr>
        <w:t xml:space="preserve">tkanivá ako malígne bunky, kostná dreň, plodové bunky, epitel a bukálna </w:t>
      </w:r>
      <w:r w:rsidR="000E5E6C" w:rsidRPr="00FD4924">
        <w:rPr>
          <w:lang w:val="sk-SK"/>
        </w:rPr>
        <w:t xml:space="preserve">a </w:t>
      </w:r>
      <w:r w:rsidRPr="00FD4924">
        <w:rPr>
          <w:lang w:val="sk-SK"/>
        </w:rPr>
        <w:t xml:space="preserve">intestinálna mukóza sú vo všeobecnosti najvnímavejšie </w:t>
      </w:r>
      <w:r w:rsidR="000E5E6C" w:rsidRPr="00FD4924">
        <w:rPr>
          <w:lang w:val="sk-SK"/>
        </w:rPr>
        <w:t xml:space="preserve">na </w:t>
      </w:r>
      <w:r w:rsidRPr="00FD4924">
        <w:rPr>
          <w:lang w:val="sk-SK"/>
        </w:rPr>
        <w:t>metotrexát.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5.2</w:t>
      </w:r>
      <w:r w:rsidRPr="00FD4924">
        <w:rPr>
          <w:b/>
          <w:lang w:val="sk-SK"/>
        </w:rPr>
        <w:tab/>
        <w:t>Farmakokinetické vlastnosti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Absorpcia</w:t>
      </w:r>
      <w:r w:rsidR="00893471">
        <w:rPr>
          <w:lang w:val="sk-SK"/>
        </w:rPr>
        <w:t>:</w:t>
      </w:r>
    </w:p>
    <w:p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Po intravenóznom podaní najvyššie sérové koncentrácie metotrexátu sa dosiahnu po približne 0,5</w:t>
      </w:r>
      <w:r w:rsidRPr="00FD4924">
        <w:rPr>
          <w:lang w:val="sk-SK"/>
        </w:rPr>
        <w:noBreakHyphen/>
        <w:t xml:space="preserve">1 hod. Sú tu široké interindividuálne a intraindividuálne výkyvy, najmä pri opakovaných dávkach. </w:t>
      </w:r>
      <w:r w:rsidR="000E5E6C" w:rsidRPr="00FD4924">
        <w:rPr>
          <w:lang w:val="sk-SK"/>
        </w:rPr>
        <w:t>Saturácia</w:t>
      </w:r>
      <w:r w:rsidRPr="00FD4924">
        <w:rPr>
          <w:lang w:val="sk-SK"/>
        </w:rPr>
        <w:t xml:space="preserve"> perorálnej absorpcie </w:t>
      </w:r>
      <w:r w:rsidR="000E5E6C" w:rsidRPr="00FD4924">
        <w:rPr>
          <w:lang w:val="sk-SK"/>
        </w:rPr>
        <w:t xml:space="preserve">sa vyskytuje </w:t>
      </w:r>
      <w:r w:rsidRPr="00FD4924">
        <w:rPr>
          <w:lang w:val="sk-SK"/>
        </w:rPr>
        <w:t>pri dávkach vyšších ako 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</w:p>
    <w:p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Distribúcia</w:t>
      </w:r>
      <w:r w:rsidR="00893471">
        <w:rPr>
          <w:lang w:val="sk-SK"/>
        </w:rPr>
        <w:t xml:space="preserve">: </w:t>
      </w:r>
    </w:p>
    <w:p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Približne polovica absorbovaného metotrexátu je viazaná na plazmatické proteíny, no väzba je reverzibilná a metotrexát sa ľahko difunduje do buniek, pričom najvyššie koncentrácie dosahuje v pečeni, slezine a v obličkách, kde ho možno nájsť vo forme polyglutamátu, ktorý môže byť zadržaný po dobu niekoľkých týždňov alebo mesiacov. Metotrexát tiež prechádza v menšej miere do cerebrospinálnej tekutiny. </w:t>
      </w:r>
    </w:p>
    <w:p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Biotransformácia a eliminácia</w:t>
      </w:r>
      <w:r w:rsidR="00893471">
        <w:rPr>
          <w:lang w:val="sk-SK"/>
        </w:rPr>
        <w:t>: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Polčas je približne 3 až 10 hodín u liečby nízkymi dávkami a približne 8 až 15 hodín pri vysokodávkovej terapii. Eliminácia z plazmy je trojfázová a väčšina metotrexátu sa vylúči nezmenená močom do 24 hodín. </w:t>
      </w:r>
    </w:p>
    <w:p w:rsidR="006330A8" w:rsidRPr="00FD4924" w:rsidRDefault="006330A8" w:rsidP="0070217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5.3 Predklinické údaje o bezpečnosti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Štúdie na zvieratách ukázali, že metotrexát poškodzuje plodnosť a že je embryotoxický, fetotoxický a teratogénny. Metotrexát je mutagénny in vivo a in vitro, no </w:t>
      </w:r>
      <w:r w:rsidR="000E5E6C" w:rsidRPr="00FD4924">
        <w:rPr>
          <w:lang w:val="sk-SK"/>
        </w:rPr>
        <w:t xml:space="preserve">klinický </w:t>
      </w:r>
      <w:r w:rsidRPr="00FD4924">
        <w:rPr>
          <w:lang w:val="sk-SK"/>
        </w:rPr>
        <w:t xml:space="preserve">význam nie je </w:t>
      </w:r>
      <w:r w:rsidR="000E5E6C" w:rsidRPr="00FD4924">
        <w:rPr>
          <w:lang w:val="sk-SK"/>
        </w:rPr>
        <w:t>známy</w:t>
      </w:r>
      <w:r w:rsidRPr="00FD4924">
        <w:rPr>
          <w:lang w:val="sk-SK"/>
        </w:rPr>
        <w:t>, pretože štúdie karcinogenicity na potkanoch priniesli rozdielne výsledky.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6.</w:t>
      </w:r>
      <w:r w:rsidRPr="00FD4924">
        <w:rPr>
          <w:b/>
          <w:lang w:val="sk-SK"/>
        </w:rPr>
        <w:tab/>
        <w:t>FARMACEUTICKÉ INFORMÁCIE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E6E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6.1</w:t>
      </w:r>
      <w:r w:rsidRPr="00FD4924">
        <w:rPr>
          <w:b/>
          <w:lang w:val="sk-SK"/>
        </w:rPr>
        <w:tab/>
        <w:t>Zoznam pomocných látok</w:t>
      </w: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71219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Hydroxid sodný </w:t>
      </w:r>
    </w:p>
    <w:p w:rsidR="006330A8" w:rsidRPr="00FD4924" w:rsidRDefault="000E5E6C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Voda na injekciu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6.2</w:t>
      </w:r>
      <w:r w:rsidRPr="00FD4924">
        <w:rPr>
          <w:b/>
          <w:lang w:val="sk-SK"/>
        </w:rPr>
        <w:tab/>
        <w:t>Inkompatibility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 dôsledku absencie štúdií kompatibility sa tento liek nesmie miešať s inými liekmi s výnimkou tých, ktoré sú uvedené v časti 6.6.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6.3</w:t>
      </w:r>
      <w:r w:rsidRPr="00FD4924">
        <w:rPr>
          <w:b/>
          <w:lang w:val="sk-SK"/>
        </w:rPr>
        <w:tab/>
        <w:t>Čas použiteľnosti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Neotvorené liekovky </w:t>
      </w:r>
      <w:r w:rsidRPr="00FD4924">
        <w:rPr>
          <w:lang w:val="sk-SK"/>
        </w:rPr>
        <w:noBreakHyphen/>
        <w:t xml:space="preserve"> </w:t>
      </w:r>
      <w:r w:rsidR="00917C91">
        <w:rPr>
          <w:lang w:val="sk-SK"/>
        </w:rPr>
        <w:t>24</w:t>
      </w:r>
      <w:r w:rsidR="00917C91" w:rsidRPr="00FD4924">
        <w:rPr>
          <w:lang w:val="sk-SK"/>
        </w:rPr>
        <w:t> </w:t>
      </w:r>
      <w:r w:rsidRPr="00FD4924">
        <w:rPr>
          <w:lang w:val="sk-SK"/>
        </w:rPr>
        <w:t>mesiacov.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Liekovka po prvom otvorení </w:t>
      </w:r>
      <w:r w:rsidRPr="00FD4924">
        <w:rPr>
          <w:lang w:val="sk-SK"/>
        </w:rPr>
        <w:noBreakHyphen/>
        <w:t xml:space="preserve"> liek sa musí použiť ihneď po otvorení.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Po zriedení</w:t>
      </w:r>
    </w:p>
    <w:p w:rsidR="006330A8" w:rsidRPr="00FD4924" w:rsidRDefault="004735E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Chemická a fyzikálna stabilita zriedeného roztoku bola preukázaná v roztoku glukózy (5%) a roztoku chloridu sodného (0,9%) v koncentráciách 5mg/ml a 20 mg/ml po dobu 36 hodín pri teplote 20 až 25 °C a 35 dní pri teplote 2 až 8 °C. Zriedený liek je stabilný v oboch rozpúšťadlách v oboch koncentráciách po dobu 36 hodín pri teplote </w:t>
      </w:r>
      <w:r w:rsidRPr="00E0651E">
        <w:rPr>
          <w:szCs w:val="22"/>
          <w:lang w:val="sk-SK"/>
        </w:rPr>
        <w:t>20 až 25 °C a 35 dní</w:t>
      </w:r>
      <w:r>
        <w:rPr>
          <w:szCs w:val="22"/>
          <w:lang w:val="sk-SK"/>
        </w:rPr>
        <w:t xml:space="preserve"> pri teplote 2</w:t>
      </w:r>
      <w:r w:rsidRPr="00E0651E">
        <w:rPr>
          <w:szCs w:val="22"/>
          <w:lang w:val="sk-SK"/>
        </w:rPr>
        <w:t xml:space="preserve"> až </w:t>
      </w:r>
      <w:r>
        <w:rPr>
          <w:szCs w:val="22"/>
          <w:lang w:val="sk-SK"/>
        </w:rPr>
        <w:t xml:space="preserve">8 °C. </w:t>
      </w:r>
      <w:r w:rsidR="006330A8" w:rsidRPr="00FD4924">
        <w:rPr>
          <w:lang w:val="sk-SK"/>
        </w:rPr>
        <w:t>Z mikrobiologického hľadiska sa nariedený</w:t>
      </w:r>
      <w:r w:rsidR="000E5E6C"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produkt </w:t>
      </w:r>
      <w:r w:rsidR="000E5E6C" w:rsidRPr="00FD4924">
        <w:rPr>
          <w:lang w:val="sk-SK"/>
        </w:rPr>
        <w:t xml:space="preserve">má </w:t>
      </w:r>
      <w:r w:rsidR="006330A8" w:rsidRPr="00FD4924">
        <w:rPr>
          <w:lang w:val="sk-SK"/>
        </w:rPr>
        <w:t>okamžite použiť. Ak sa ihneď nepoužije, za dobu uchovávania roztoku pripraveného na použitie a podmienky pred jeho použitím zodpovedá používateľ.</w:t>
      </w:r>
      <w:r w:rsidRPr="004735E3">
        <w:rPr>
          <w:snapToGrid w:val="0"/>
          <w:szCs w:val="22"/>
          <w:lang w:val="sk-SK"/>
        </w:rPr>
        <w:t xml:space="preserve"> </w:t>
      </w:r>
      <w:r>
        <w:rPr>
          <w:snapToGrid w:val="0"/>
          <w:szCs w:val="22"/>
          <w:lang w:val="sk-SK"/>
        </w:rPr>
        <w:t>Liek sa môže uchovávať pri teplote 2 až 8 °C nie dlhšie ako 24 hodín pred podaním, pokiaľ roztok nebol nariedený za kontrolovaných a validovaných aseptických podmienok.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6.4</w:t>
      </w:r>
      <w:r w:rsidRPr="00FD4924">
        <w:rPr>
          <w:b/>
          <w:lang w:val="sk-SK"/>
        </w:rPr>
        <w:tab/>
        <w:t>Špeciálne upozornenia na uchovávanie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Uchovávajte pri teplote pod </w:t>
      </w:r>
      <w:r w:rsidR="00337DF2">
        <w:rPr>
          <w:lang w:val="sk-SK"/>
        </w:rPr>
        <w:t>30</w:t>
      </w:r>
      <w:r w:rsidR="00337DF2" w:rsidRPr="00FD4924">
        <w:rPr>
          <w:lang w:val="sk-SK"/>
        </w:rPr>
        <w:t> </w:t>
      </w:r>
      <w:r w:rsidRPr="00FD4924">
        <w:rPr>
          <w:lang w:val="sk-SK"/>
        </w:rPr>
        <w:t>°C.</w:t>
      </w:r>
    </w:p>
    <w:p w:rsidR="006330A8" w:rsidRPr="00FD4924" w:rsidRDefault="006330A8" w:rsidP="0084409A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sk-SK"/>
        </w:rPr>
      </w:pPr>
      <w:r w:rsidRPr="00FD4924">
        <w:rPr>
          <w:lang w:val="sk-SK"/>
        </w:rPr>
        <w:t>Podmienky uchovávania po riedení, pozri časť 6.3.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 xml:space="preserve">Druh obalu a obsah balenia 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8335D9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balení: </w:t>
      </w:r>
      <w:r>
        <w:rPr>
          <w:lang w:val="sk-SK"/>
        </w:rPr>
        <w:t>5ml trubičková č</w:t>
      </w:r>
      <w:r w:rsidR="006330A8" w:rsidRPr="00FD4924">
        <w:rPr>
          <w:lang w:val="sk-SK"/>
        </w:rPr>
        <w:t>íra sklená liekovka typ</w:t>
      </w:r>
      <w:r w:rsidR="00620073">
        <w:rPr>
          <w:lang w:val="sk-SK"/>
        </w:rPr>
        <w:t>u</w:t>
      </w:r>
      <w:r w:rsidR="006330A8" w:rsidRPr="00FD4924">
        <w:rPr>
          <w:lang w:val="sk-SK"/>
        </w:rPr>
        <w:t xml:space="preserve"> I, uzavretá šedou butylovou gumovou zátkou a </w:t>
      </w:r>
      <w:r>
        <w:rPr>
          <w:lang w:val="sk-SK"/>
        </w:rPr>
        <w:t>hliníkovým</w:t>
      </w:r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20073">
        <w:rPr>
          <w:lang w:val="sk-SK"/>
        </w:rPr>
        <w:t xml:space="preserve"> kráľovskej modrej farby</w:t>
      </w:r>
      <w:r w:rsidR="006330A8" w:rsidRPr="00FD4924">
        <w:rPr>
          <w:lang w:val="sk-SK"/>
        </w:rPr>
        <w:t xml:space="preserve">. </w:t>
      </w:r>
    </w:p>
    <w:p w:rsidR="006330A8" w:rsidRPr="00FD4924" w:rsidRDefault="0062007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10</w:t>
      </w:r>
      <w:r w:rsidR="006330A8" w:rsidRPr="00FD4924">
        <w:rPr>
          <w:lang w:val="sk-SK"/>
        </w:rPr>
        <w:t xml:space="preserve"> ml balení: </w:t>
      </w:r>
      <w:r>
        <w:rPr>
          <w:lang w:val="sk-SK"/>
        </w:rPr>
        <w:t>10 ml trubičková č</w:t>
      </w:r>
      <w:r w:rsidR="006330A8" w:rsidRPr="00FD4924">
        <w:rPr>
          <w:lang w:val="sk-SK"/>
        </w:rPr>
        <w:t>íra sklená liekovka typ</w:t>
      </w:r>
      <w:r>
        <w:rPr>
          <w:lang w:val="sk-SK"/>
        </w:rPr>
        <w:t>u</w:t>
      </w:r>
      <w:r w:rsidR="006330A8" w:rsidRPr="00FD4924">
        <w:rPr>
          <w:lang w:val="sk-SK"/>
        </w:rPr>
        <w:t xml:space="preserve"> I, uzavretá šedou butylovou gumovou zátkou a </w:t>
      </w:r>
      <w:r w:rsidR="008423B9">
        <w:rPr>
          <w:lang w:val="sk-SK"/>
        </w:rPr>
        <w:t xml:space="preserve">červeným </w:t>
      </w:r>
      <w:r w:rsidR="008125B8">
        <w:rPr>
          <w:lang w:val="sk-SK"/>
        </w:rPr>
        <w:t>hliníkový</w:t>
      </w:r>
      <w:r w:rsidR="008423B9">
        <w:rPr>
          <w:lang w:val="sk-SK"/>
        </w:rPr>
        <w:t>m</w:t>
      </w:r>
      <w:r w:rsidR="008125B8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330A8" w:rsidRPr="00FD4924">
        <w:rPr>
          <w:lang w:val="sk-SK"/>
        </w:rPr>
        <w:t>.</w:t>
      </w:r>
    </w:p>
    <w:p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>50 ml</w:t>
      </w:r>
      <w:r w:rsidR="006330A8" w:rsidRPr="00FD4924">
        <w:rPr>
          <w:lang w:val="sk-SK"/>
        </w:rPr>
        <w:t xml:space="preserve">: </w:t>
      </w:r>
      <w:r>
        <w:rPr>
          <w:lang w:val="sk-SK"/>
        </w:rPr>
        <w:t>50 ml trubičková číra sklená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liekovka</w:t>
      </w:r>
      <w:r>
        <w:rPr>
          <w:lang w:val="sk-SK"/>
        </w:rPr>
        <w:t xml:space="preserve"> typu I, uzavretá šedou butylovou gumovou zátkou a žltým hliníkovým vyklápacím viečkom.</w:t>
      </w:r>
    </w:p>
    <w:p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</w:p>
    <w:p w:rsidR="006330A8" w:rsidRPr="00FD4924" w:rsidRDefault="006330A8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 </w:t>
      </w:r>
      <w:r w:rsidR="00B375CD">
        <w:rPr>
          <w:lang w:val="sk-SK"/>
        </w:rPr>
        <w:t xml:space="preserve">Veľkosť balenia: 1 liekovka </w:t>
      </w:r>
      <w:r w:rsidRPr="00FD4924">
        <w:rPr>
          <w:lang w:val="sk-SK"/>
        </w:rPr>
        <w:t xml:space="preserve">v lepenkovej škatuli pre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ml, </w:t>
      </w:r>
      <w:r w:rsidR="00B375CD">
        <w:rPr>
          <w:lang w:val="sk-SK"/>
        </w:rPr>
        <w:t>10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 a </w:t>
      </w:r>
      <w:r w:rsidR="00B375CD">
        <w:rPr>
          <w:lang w:val="sk-SK"/>
        </w:rPr>
        <w:t>50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>ml balenia.</w:t>
      </w:r>
    </w:p>
    <w:p w:rsidR="006330A8" w:rsidRPr="00FD4924" w:rsidRDefault="00FC7782" w:rsidP="00CE6E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 xml:space="preserve">                            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="006330A8" w:rsidRPr="00FD4924">
        <w:rPr>
          <w:lang w:val="sk-SK"/>
        </w:rPr>
        <w:t xml:space="preserve">liekoviek </w:t>
      </w:r>
      <w:r w:rsidR="00B375CD">
        <w:rPr>
          <w:lang w:val="sk-SK"/>
        </w:rPr>
        <w:t>v lepenkovej škatuli pre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5 ml, 1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ml a </w:t>
      </w:r>
      <w:r>
        <w:rPr>
          <w:lang w:val="sk-SK"/>
        </w:rPr>
        <w:t>5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ml</w:t>
      </w:r>
      <w:r w:rsidR="00B375CD">
        <w:rPr>
          <w:lang w:val="sk-SK"/>
        </w:rPr>
        <w:t xml:space="preserve"> balenia</w:t>
      </w:r>
      <w:r w:rsidR="006330A8" w:rsidRPr="00FD4924">
        <w:rPr>
          <w:lang w:val="sk-SK"/>
        </w:rPr>
        <w:t>.</w:t>
      </w: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</w:p>
    <w:p w:rsidR="00071219" w:rsidRDefault="00071219" w:rsidP="00080F8C">
      <w:pPr>
        <w:tabs>
          <w:tab w:val="clear" w:pos="567"/>
        </w:tabs>
        <w:spacing w:line="240" w:lineRule="auto"/>
        <w:rPr>
          <w:lang w:val="sk-SK"/>
        </w:rPr>
      </w:pPr>
      <w:r w:rsidRPr="00071219">
        <w:rPr>
          <w:lang w:val="sk-SK"/>
        </w:rPr>
        <w:t>Na trh nemusia byť uvedené všetky veľkosti balenia.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0" w:name="OLE_LINK1"/>
      <w:r w:rsidRPr="00FD4924">
        <w:rPr>
          <w:b/>
          <w:lang w:val="sk-SK"/>
        </w:rPr>
        <w:t>6.6</w:t>
      </w:r>
      <w:r w:rsidRPr="00FD4924">
        <w:rPr>
          <w:b/>
          <w:lang w:val="sk-SK"/>
        </w:rPr>
        <w:tab/>
        <w:t>Špeciálne opatrenia na likvidáciu a iné zaobchádzanie s liekom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bookmarkEnd w:id="0"/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Pred použitím sa musí roztok </w:t>
      </w:r>
      <w:r w:rsidR="00C93ED6" w:rsidRPr="00FD4924">
        <w:rPr>
          <w:lang w:val="sk-SK"/>
        </w:rPr>
        <w:t xml:space="preserve">vizuálne </w:t>
      </w:r>
      <w:r w:rsidRPr="00FD4924">
        <w:rPr>
          <w:lang w:val="sk-SK"/>
        </w:rPr>
        <w:t>kontrolovať. Môže sa používať iba číry roztok, ktorý neobsahuje žiadne čiastočky.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Injekcia metotrexátu sa musí ďalej zriediť primeraným médiom bez akéhokoľvek konzervačného prostriedku, ako je roztok glukózy (5 %) alebo roztok chloridu sodného (0,9 %).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manipulácii je treba vziať do úvahy nasledujúce všeobecné odporúčania: Liek </w:t>
      </w:r>
      <w:r w:rsidR="00C93ED6" w:rsidRPr="00FD4924">
        <w:rPr>
          <w:lang w:val="sk-SK"/>
        </w:rPr>
        <w:t>majú</w:t>
      </w:r>
      <w:r w:rsidRPr="00FD4924">
        <w:rPr>
          <w:lang w:val="sk-SK"/>
        </w:rPr>
        <w:t xml:space="preserve"> používať a podávať len zaškolení pracovníci, nariedenie roztoku sa musí uskutočniť v určených priestoroch, ktoré sú upravené tak, aby chránili personál a životné prostredie (napr. bezpečnostné kabíny); pracovníci musia nosiť ochranný odev (včítane rukavíc, ochrany </w:t>
      </w:r>
      <w:r w:rsidR="00C93ED6" w:rsidRPr="00FD4924">
        <w:rPr>
          <w:lang w:val="sk-SK"/>
        </w:rPr>
        <w:t xml:space="preserve">očí </w:t>
      </w:r>
      <w:r w:rsidRPr="00FD4924">
        <w:rPr>
          <w:lang w:val="sk-SK"/>
        </w:rPr>
        <w:t xml:space="preserve">a masiek, ak sú potrebné).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Gravidné pracovníčky zdravotnej starostlivosti nesmú manipulovať alebo podávať </w:t>
      </w:r>
      <w:r w:rsidR="00092E97">
        <w:rPr>
          <w:lang w:val="sk-SK"/>
        </w:rPr>
        <w:t>injekcie m</w:t>
      </w:r>
      <w:r w:rsidRPr="00FD4924">
        <w:rPr>
          <w:lang w:val="sk-SK"/>
        </w:rPr>
        <w:t>etotrex</w:t>
      </w:r>
      <w:r w:rsidR="00092E97">
        <w:rPr>
          <w:lang w:val="sk-SK"/>
        </w:rPr>
        <w:t>á</w:t>
      </w:r>
      <w:r w:rsidRPr="00FD4924">
        <w:rPr>
          <w:lang w:val="sk-SK"/>
        </w:rPr>
        <w:t>t</w:t>
      </w:r>
      <w:r w:rsidR="00092E97">
        <w:rPr>
          <w:lang w:val="sk-SK"/>
        </w:rPr>
        <w:t>u</w:t>
      </w:r>
      <w:r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sa nesmie dostať do styku s kožou alebo sliznicou. V prípade kontaminácie sa musí postihnutá oblasť okamžite opláchnuť výdatným množstvom vody najmenej po dobu 10 minút.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>Len na jedno použitie. Akýkoľvek nepoužitý roztok sa musí zlikvidovať. Odpad sa musí opatrne naložiť do vhodných oddelených kontajnerov, jasne označiť štítkom podľa ich obsahu (</w:t>
      </w:r>
      <w:r w:rsidR="00C93ED6" w:rsidRPr="00FD4924">
        <w:rPr>
          <w:lang w:val="sk-SK"/>
        </w:rPr>
        <w:t xml:space="preserve">keďže </w:t>
      </w:r>
      <w:r w:rsidRPr="00FD4924">
        <w:rPr>
          <w:lang w:val="sk-SK"/>
        </w:rPr>
        <w:t xml:space="preserve">telesné tekutiny pacienta a výlučky </w:t>
      </w:r>
      <w:r w:rsidR="00C80B86" w:rsidRPr="00FD4924">
        <w:rPr>
          <w:lang w:val="sk-SK"/>
        </w:rPr>
        <w:t>môž</w:t>
      </w:r>
      <w:r w:rsidR="00C80B86">
        <w:rPr>
          <w:lang w:val="sk-SK"/>
        </w:rPr>
        <w:t>u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tiež obsahovať značné množstvá antineoplastických </w:t>
      </w:r>
      <w:r w:rsidR="00C93ED6" w:rsidRPr="00FD4924">
        <w:rPr>
          <w:lang w:val="sk-SK"/>
        </w:rPr>
        <w:t xml:space="preserve">látok, </w:t>
      </w:r>
      <w:r w:rsidR="00C80B86">
        <w:rPr>
          <w:lang w:val="sk-SK"/>
        </w:rPr>
        <w:t>od</w:t>
      </w:r>
      <w:r w:rsidR="00C80B86" w:rsidRPr="00FD4924">
        <w:rPr>
          <w:lang w:val="sk-SK"/>
        </w:rPr>
        <w:t>por</w:t>
      </w:r>
      <w:r w:rsidR="00C80B86">
        <w:rPr>
          <w:lang w:val="sk-SK"/>
        </w:rPr>
        <w:t>ú</w:t>
      </w:r>
      <w:r w:rsidR="00C80B86" w:rsidRPr="00FD4924">
        <w:rPr>
          <w:lang w:val="sk-SK"/>
        </w:rPr>
        <w:t>č</w:t>
      </w:r>
      <w:r w:rsidR="00C80B86">
        <w:rPr>
          <w:lang w:val="sk-SK"/>
        </w:rPr>
        <w:t>a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>sa, aby sa s tekutinami a výlučkami a s materiálom, ako je nimi kontaminovaná posteľná bielizeň, nakladalo ako s nebezpečným odpadom) Nepoužitý liek alebo odpad má byť zlikvidovaný v súlade s miestnymi požiadavkami</w:t>
      </w:r>
      <w:r w:rsidR="00EB56E5" w:rsidRPr="00FD4924">
        <w:rPr>
          <w:lang w:val="sk-SK"/>
        </w:rPr>
        <w:t xml:space="preserve"> </w:t>
      </w:r>
      <w:r w:rsidRPr="00FD4924">
        <w:rPr>
          <w:lang w:val="sk-SK"/>
        </w:rPr>
        <w:t>spálením.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Pripravené musia byť primerané postupy pre prípad náhodnej kontaminácie v dôsledku rozliatia; vystavenie personálu antineoplastickým činidlám sa musí zaznamenať a monitorovať.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B56E5" w:rsidRPr="00FD4924" w:rsidRDefault="00EB56E5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EB56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7.</w:t>
      </w:r>
      <w:r w:rsidRPr="00FD4924">
        <w:rPr>
          <w:b/>
          <w:lang w:val="sk-SK"/>
        </w:rPr>
        <w:tab/>
        <w:t>DRŽITEĽ ROZHODNUTIA O REGISTRÁCII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C1E25" w:rsidRDefault="007C1E25" w:rsidP="007C1E25">
      <w:pPr>
        <w:rPr>
          <w:szCs w:val="22"/>
          <w:lang w:val="sk-SK" w:eastAsia="sk-SK"/>
        </w:rPr>
      </w:pPr>
      <w:r>
        <w:rPr>
          <w:szCs w:val="22"/>
        </w:rPr>
        <w:t>Accord Healthcare Polska Sp. z o.o.</w:t>
      </w:r>
    </w:p>
    <w:p w:rsidR="007C1E25" w:rsidRDefault="007C1E25" w:rsidP="007C1E25">
      <w:pPr>
        <w:rPr>
          <w:szCs w:val="22"/>
          <w:lang w:val="en-US" w:eastAsia="cs-CZ"/>
        </w:rPr>
      </w:pPr>
      <w:r>
        <w:rPr>
          <w:szCs w:val="22"/>
        </w:rPr>
        <w:t>Taśmowa 7</w:t>
      </w:r>
    </w:p>
    <w:p w:rsidR="007C1E25" w:rsidRDefault="007C1E25" w:rsidP="007C1E25">
      <w:pPr>
        <w:rPr>
          <w:szCs w:val="22"/>
        </w:rPr>
      </w:pPr>
      <w:r>
        <w:rPr>
          <w:szCs w:val="22"/>
        </w:rPr>
        <w:t>02-677 Varšava</w:t>
      </w:r>
    </w:p>
    <w:p w:rsidR="007C1E25" w:rsidRPr="00BF31BA" w:rsidDel="00BC08B7" w:rsidRDefault="007C1E25" w:rsidP="007C1E25">
      <w:pPr>
        <w:tabs>
          <w:tab w:val="num" w:pos="0"/>
        </w:tabs>
        <w:ind w:right="29"/>
        <w:jc w:val="both"/>
        <w:rPr>
          <w:szCs w:val="22"/>
          <w:lang w:eastAsia="ja-JP"/>
        </w:rPr>
      </w:pPr>
      <w:r>
        <w:rPr>
          <w:szCs w:val="22"/>
        </w:rPr>
        <w:t>Poľsko</w:t>
      </w:r>
    </w:p>
    <w:p w:rsidR="007C1E25" w:rsidRPr="00FD4924" w:rsidRDefault="007C1E25" w:rsidP="007C1E2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lastRenderedPageBreak/>
        <w:t>8.</w:t>
      </w:r>
      <w:r w:rsidRPr="00FD4924">
        <w:rPr>
          <w:b/>
          <w:lang w:val="sk-SK"/>
        </w:rPr>
        <w:tab/>
        <w:t xml:space="preserve">REGISTRAČNÉ ČÍSLO 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BF6624" w:rsidRPr="000A7207" w:rsidRDefault="00BF6624" w:rsidP="00BF6624">
      <w:pPr>
        <w:jc w:val="both"/>
        <w:rPr>
          <w:szCs w:val="22"/>
          <w:lang w:val="sk-SK"/>
        </w:rPr>
      </w:pPr>
      <w:r w:rsidRPr="000A7207">
        <w:rPr>
          <w:szCs w:val="22"/>
          <w:lang w:val="sk-SK"/>
        </w:rPr>
        <w:t xml:space="preserve">Reg. č.: </w:t>
      </w:r>
      <w:r w:rsidR="0042649A" w:rsidRPr="0042649A">
        <w:rPr>
          <w:szCs w:val="22"/>
          <w:lang w:val="sk-SK"/>
        </w:rPr>
        <w:t>44/0420/16-S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EB56E5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9.</w:t>
      </w:r>
      <w:r w:rsidRPr="00FD4924">
        <w:rPr>
          <w:b/>
          <w:lang w:val="sk-SK"/>
        </w:rPr>
        <w:tab/>
        <w:t>DÁTUM PRVEJ REGISTRÁCIE/PREDĹŽENIA REGISTRÁCIE</w:t>
      </w:r>
    </w:p>
    <w:p w:rsidR="006330A8" w:rsidRPr="00FD4924" w:rsidRDefault="006330A8" w:rsidP="00EB56E5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6330A8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Dátum prvej registrácie: </w:t>
      </w:r>
      <w:r w:rsidR="00596995">
        <w:rPr>
          <w:noProof/>
          <w:szCs w:val="22"/>
          <w:lang w:val="sk-SK"/>
        </w:rPr>
        <w:t>28/11/2016</w:t>
      </w:r>
    </w:p>
    <w:p w:rsidR="00596995" w:rsidRDefault="0059699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C1E25" w:rsidRPr="00FD4924" w:rsidRDefault="007C1E2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10.</w:t>
      </w:r>
      <w:r w:rsidRPr="00FD4924">
        <w:rPr>
          <w:b/>
          <w:lang w:val="sk-SK"/>
        </w:rPr>
        <w:tab/>
        <w:t>DÁTUM REVÍZIE TEXTU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B95567" w:rsidRDefault="007C1E25" w:rsidP="007021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 w:rsidRPr="00B95567">
        <w:rPr>
          <w:szCs w:val="22"/>
          <w:lang w:val="sk-SK"/>
        </w:rPr>
        <w:t>01/2019</w:t>
      </w:r>
      <w:bookmarkStart w:id="1" w:name="_GoBack"/>
      <w:bookmarkEnd w:id="1"/>
    </w:p>
    <w:sectPr w:rsidR="006330A8" w:rsidRPr="00B95567" w:rsidSect="0023271E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1D" w:rsidRDefault="001E061D">
      <w:r>
        <w:separator/>
      </w:r>
    </w:p>
  </w:endnote>
  <w:endnote w:type="continuationSeparator" w:id="0">
    <w:p w:rsidR="001E061D" w:rsidRDefault="001E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8E" w:rsidRDefault="005C6C35">
    <w:pPr>
      <w:pStyle w:val="Pta"/>
      <w:jc w:val="center"/>
    </w:pPr>
    <w:r>
      <w:fldChar w:fldCharType="begin"/>
    </w:r>
    <w:r w:rsidR="0026168E">
      <w:instrText xml:space="preserve"> PAGE   \* MERGEFORMAT </w:instrText>
    </w:r>
    <w:r>
      <w:fldChar w:fldCharType="separate"/>
    </w:r>
    <w:r w:rsidR="00B95567">
      <w:rPr>
        <w:noProof/>
      </w:rPr>
      <w:t>18</w:t>
    </w:r>
    <w:r>
      <w:fldChar w:fldCharType="end"/>
    </w:r>
  </w:p>
  <w:p w:rsidR="0026168E" w:rsidRDefault="002616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1D" w:rsidRDefault="001E061D">
      <w:r>
        <w:separator/>
      </w:r>
    </w:p>
  </w:footnote>
  <w:footnote w:type="continuationSeparator" w:id="0">
    <w:p w:rsidR="001E061D" w:rsidRDefault="001E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25" w:rsidDel="00BC08B7" w:rsidRDefault="007C1E25" w:rsidP="007C1E25">
    <w:pPr>
      <w:spacing w:line="276" w:lineRule="auto"/>
      <w:rPr>
        <w:rFonts w:eastAsia="Calibri"/>
        <w:sz w:val="18"/>
        <w:szCs w:val="18"/>
      </w:rPr>
    </w:pPr>
    <w:r w:rsidRPr="00BF31BA">
      <w:rPr>
        <w:sz w:val="18"/>
        <w:szCs w:val="18"/>
      </w:rPr>
      <w:t xml:space="preserve">Schválený text k rozhodnutiu o prevode, ev. č.: </w:t>
    </w:r>
    <w:r>
      <w:rPr>
        <w:sz w:val="18"/>
        <w:szCs w:val="18"/>
      </w:rPr>
      <w:t>2018/07712-TR</w:t>
    </w:r>
  </w:p>
  <w:p w:rsidR="007C1E25" w:rsidRDefault="007C1E2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8E" w:rsidRDefault="007C1E25" w:rsidP="00DA0138">
    <w:pPr>
      <w:spacing w:line="276" w:lineRule="auto"/>
    </w:pPr>
    <w:r w:rsidRPr="00BF31BA">
      <w:rPr>
        <w:sz w:val="18"/>
        <w:szCs w:val="18"/>
      </w:rPr>
      <w:t xml:space="preserve">Schválený text k rozhodnutiu o prevode, ev. č.: </w:t>
    </w:r>
    <w:r>
      <w:rPr>
        <w:sz w:val="18"/>
        <w:szCs w:val="18"/>
      </w:rPr>
      <w:t>2018/07712-TR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86998"/>
    <w:multiLevelType w:val="hybridMultilevel"/>
    <w:tmpl w:val="7814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9662D29"/>
    <w:multiLevelType w:val="hybridMultilevel"/>
    <w:tmpl w:val="277C38E4"/>
    <w:lvl w:ilvl="0" w:tplc="A3880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089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85D56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1CC739DF"/>
    <w:multiLevelType w:val="hybridMultilevel"/>
    <w:tmpl w:val="98F69596"/>
    <w:lvl w:ilvl="0" w:tplc="135E7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488BB26">
      <w:start w:val="16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A7C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5E9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80E8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04A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3B4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F38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62E7C3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9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0675"/>
    <w:multiLevelType w:val="hybridMultilevel"/>
    <w:tmpl w:val="AB600EA0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7F91B6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9472A"/>
    <w:multiLevelType w:val="hybridMultilevel"/>
    <w:tmpl w:val="A0626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4" w15:restartNumberingAfterBreak="0">
    <w:nsid w:val="5DB65E2B"/>
    <w:multiLevelType w:val="hybridMultilevel"/>
    <w:tmpl w:val="65D64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2224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B28D9"/>
    <w:multiLevelType w:val="hybridMultilevel"/>
    <w:tmpl w:val="24786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5" w15:restartNumberingAfterBreak="0">
    <w:nsid w:val="70582B87"/>
    <w:multiLevelType w:val="hybridMultilevel"/>
    <w:tmpl w:val="E33CFF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6"/>
  </w:num>
  <w:num w:numId="6">
    <w:abstractNumId w:val="29"/>
  </w:num>
  <w:num w:numId="7">
    <w:abstractNumId w:val="28"/>
  </w:num>
  <w:num w:numId="8">
    <w:abstractNumId w:val="12"/>
  </w:num>
  <w:num w:numId="9">
    <w:abstractNumId w:val="41"/>
  </w:num>
  <w:num w:numId="10">
    <w:abstractNumId w:val="42"/>
  </w:num>
  <w:num w:numId="11">
    <w:abstractNumId w:val="22"/>
  </w:num>
  <w:num w:numId="12">
    <w:abstractNumId w:val="18"/>
  </w:num>
  <w:num w:numId="13">
    <w:abstractNumId w:val="3"/>
  </w:num>
  <w:num w:numId="14">
    <w:abstractNumId w:val="40"/>
  </w:num>
  <w:num w:numId="15">
    <w:abstractNumId w:val="26"/>
  </w:num>
  <w:num w:numId="16">
    <w:abstractNumId w:val="46"/>
  </w:num>
  <w:num w:numId="17">
    <w:abstractNumId w:val="13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33"/>
  </w:num>
  <w:num w:numId="23">
    <w:abstractNumId w:val="39"/>
  </w:num>
  <w:num w:numId="24">
    <w:abstractNumId w:val="32"/>
  </w:num>
  <w:num w:numId="25">
    <w:abstractNumId w:val="17"/>
  </w:num>
  <w:num w:numId="26">
    <w:abstractNumId w:val="15"/>
  </w:num>
  <w:num w:numId="27">
    <w:abstractNumId w:val="27"/>
  </w:num>
  <w:num w:numId="28">
    <w:abstractNumId w:val="30"/>
  </w:num>
  <w:num w:numId="29">
    <w:abstractNumId w:val="19"/>
  </w:num>
  <w:num w:numId="30">
    <w:abstractNumId w:val="14"/>
  </w:num>
  <w:num w:numId="31">
    <w:abstractNumId w:val="37"/>
  </w:num>
  <w:num w:numId="32">
    <w:abstractNumId w:val="38"/>
  </w:num>
  <w:num w:numId="33">
    <w:abstractNumId w:val="36"/>
  </w:num>
  <w:num w:numId="34">
    <w:abstractNumId w:val="20"/>
  </w:num>
  <w:num w:numId="35">
    <w:abstractNumId w:val="5"/>
  </w:num>
  <w:num w:numId="36">
    <w:abstractNumId w:val="47"/>
  </w:num>
  <w:num w:numId="37">
    <w:abstractNumId w:val="45"/>
  </w:num>
  <w:num w:numId="38">
    <w:abstractNumId w:val="25"/>
  </w:num>
  <w:num w:numId="39">
    <w:abstractNumId w:val="24"/>
  </w:num>
  <w:num w:numId="40">
    <w:abstractNumId w:val="8"/>
  </w:num>
  <w:num w:numId="41">
    <w:abstractNumId w:val="10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11"/>
  </w:num>
  <w:num w:numId="44">
    <w:abstractNumId w:val="21"/>
  </w:num>
  <w:num w:numId="45">
    <w:abstractNumId w:val="6"/>
  </w:num>
  <w:num w:numId="46">
    <w:abstractNumId w:val="7"/>
  </w:num>
  <w:num w:numId="47">
    <w:abstractNumId w:val="35"/>
  </w:num>
  <w:num w:numId="48">
    <w:abstractNumId w:val="34"/>
  </w:num>
  <w:num w:numId="49">
    <w:abstractNumId w:val="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AB2A61"/>
    <w:rsid w:val="00000AF2"/>
    <w:rsid w:val="0000564D"/>
    <w:rsid w:val="00007B27"/>
    <w:rsid w:val="000132B4"/>
    <w:rsid w:val="000137EB"/>
    <w:rsid w:val="000144F4"/>
    <w:rsid w:val="00024A14"/>
    <w:rsid w:val="0003110D"/>
    <w:rsid w:val="00042E98"/>
    <w:rsid w:val="00045023"/>
    <w:rsid w:val="00045FFD"/>
    <w:rsid w:val="000501B3"/>
    <w:rsid w:val="000507D0"/>
    <w:rsid w:val="00054414"/>
    <w:rsid w:val="00054B4E"/>
    <w:rsid w:val="00056513"/>
    <w:rsid w:val="00071219"/>
    <w:rsid w:val="00080F8C"/>
    <w:rsid w:val="00083537"/>
    <w:rsid w:val="00083EB9"/>
    <w:rsid w:val="00085F2C"/>
    <w:rsid w:val="00092AEE"/>
    <w:rsid w:val="00092E97"/>
    <w:rsid w:val="00093533"/>
    <w:rsid w:val="00093778"/>
    <w:rsid w:val="000A13FA"/>
    <w:rsid w:val="000A243F"/>
    <w:rsid w:val="000A7207"/>
    <w:rsid w:val="000B7FCF"/>
    <w:rsid w:val="000C031F"/>
    <w:rsid w:val="000C635D"/>
    <w:rsid w:val="000D1E8C"/>
    <w:rsid w:val="000D2CC1"/>
    <w:rsid w:val="000D326F"/>
    <w:rsid w:val="000E0465"/>
    <w:rsid w:val="000E3648"/>
    <w:rsid w:val="000E5C23"/>
    <w:rsid w:val="000E5E6C"/>
    <w:rsid w:val="000E603D"/>
    <w:rsid w:val="000E62EE"/>
    <w:rsid w:val="000F2CE7"/>
    <w:rsid w:val="0010081D"/>
    <w:rsid w:val="00102AC6"/>
    <w:rsid w:val="00103961"/>
    <w:rsid w:val="00104DC1"/>
    <w:rsid w:val="00111A81"/>
    <w:rsid w:val="00112FC1"/>
    <w:rsid w:val="00113442"/>
    <w:rsid w:val="00114843"/>
    <w:rsid w:val="001164D8"/>
    <w:rsid w:val="001168FE"/>
    <w:rsid w:val="00117032"/>
    <w:rsid w:val="001179A2"/>
    <w:rsid w:val="00121FD8"/>
    <w:rsid w:val="00123688"/>
    <w:rsid w:val="00123E1B"/>
    <w:rsid w:val="001272A8"/>
    <w:rsid w:val="00134FD7"/>
    <w:rsid w:val="001417C3"/>
    <w:rsid w:val="00144738"/>
    <w:rsid w:val="00145657"/>
    <w:rsid w:val="00146D1B"/>
    <w:rsid w:val="00147532"/>
    <w:rsid w:val="001516DB"/>
    <w:rsid w:val="00152A44"/>
    <w:rsid w:val="00155115"/>
    <w:rsid w:val="00157A9D"/>
    <w:rsid w:val="00160AAC"/>
    <w:rsid w:val="0016501E"/>
    <w:rsid w:val="001666E1"/>
    <w:rsid w:val="001802F4"/>
    <w:rsid w:val="00180A86"/>
    <w:rsid w:val="0018187C"/>
    <w:rsid w:val="00185A23"/>
    <w:rsid w:val="00185F89"/>
    <w:rsid w:val="00187DBD"/>
    <w:rsid w:val="001957ED"/>
    <w:rsid w:val="00195C93"/>
    <w:rsid w:val="001B0BE5"/>
    <w:rsid w:val="001B55E7"/>
    <w:rsid w:val="001B58B9"/>
    <w:rsid w:val="001B5D17"/>
    <w:rsid w:val="001B6E1B"/>
    <w:rsid w:val="001B752A"/>
    <w:rsid w:val="001C04D2"/>
    <w:rsid w:val="001C51D7"/>
    <w:rsid w:val="001C7B9B"/>
    <w:rsid w:val="001D27E2"/>
    <w:rsid w:val="001D3B96"/>
    <w:rsid w:val="001D522E"/>
    <w:rsid w:val="001D5E16"/>
    <w:rsid w:val="001E061D"/>
    <w:rsid w:val="001E132F"/>
    <w:rsid w:val="001E3A18"/>
    <w:rsid w:val="001E7F1B"/>
    <w:rsid w:val="001F1292"/>
    <w:rsid w:val="001F1A35"/>
    <w:rsid w:val="001F224C"/>
    <w:rsid w:val="001F5A04"/>
    <w:rsid w:val="001F5B7A"/>
    <w:rsid w:val="001F766B"/>
    <w:rsid w:val="00200966"/>
    <w:rsid w:val="002037AB"/>
    <w:rsid w:val="00206369"/>
    <w:rsid w:val="002119AA"/>
    <w:rsid w:val="002148A6"/>
    <w:rsid w:val="00220ABF"/>
    <w:rsid w:val="00222785"/>
    <w:rsid w:val="00222B7A"/>
    <w:rsid w:val="00223F19"/>
    <w:rsid w:val="00232049"/>
    <w:rsid w:val="002321FE"/>
    <w:rsid w:val="0023271E"/>
    <w:rsid w:val="00234403"/>
    <w:rsid w:val="00237B34"/>
    <w:rsid w:val="00241A82"/>
    <w:rsid w:val="00243A42"/>
    <w:rsid w:val="00247B6F"/>
    <w:rsid w:val="002563C9"/>
    <w:rsid w:val="002603FF"/>
    <w:rsid w:val="0026168E"/>
    <w:rsid w:val="00261BCD"/>
    <w:rsid w:val="00270133"/>
    <w:rsid w:val="002711E0"/>
    <w:rsid w:val="0027714E"/>
    <w:rsid w:val="002807BC"/>
    <w:rsid w:val="00283811"/>
    <w:rsid w:val="002862E8"/>
    <w:rsid w:val="002903A2"/>
    <w:rsid w:val="002917E7"/>
    <w:rsid w:val="00292C26"/>
    <w:rsid w:val="00296635"/>
    <w:rsid w:val="002A161B"/>
    <w:rsid w:val="002A17FF"/>
    <w:rsid w:val="002A389B"/>
    <w:rsid w:val="002A7D05"/>
    <w:rsid w:val="002B0268"/>
    <w:rsid w:val="002B0FD0"/>
    <w:rsid w:val="002B52BE"/>
    <w:rsid w:val="002B5474"/>
    <w:rsid w:val="002B68D0"/>
    <w:rsid w:val="002C19F7"/>
    <w:rsid w:val="002C582A"/>
    <w:rsid w:val="002D20D9"/>
    <w:rsid w:val="002D7FD0"/>
    <w:rsid w:val="002E3D59"/>
    <w:rsid w:val="002E5A73"/>
    <w:rsid w:val="002F4500"/>
    <w:rsid w:val="002F46A6"/>
    <w:rsid w:val="002F57B8"/>
    <w:rsid w:val="002F73A8"/>
    <w:rsid w:val="003008A3"/>
    <w:rsid w:val="00304A52"/>
    <w:rsid w:val="003061DD"/>
    <w:rsid w:val="00306D10"/>
    <w:rsid w:val="00307887"/>
    <w:rsid w:val="00316850"/>
    <w:rsid w:val="003208F7"/>
    <w:rsid w:val="00322AFD"/>
    <w:rsid w:val="003246ED"/>
    <w:rsid w:val="00325491"/>
    <w:rsid w:val="00334DF6"/>
    <w:rsid w:val="00337DF2"/>
    <w:rsid w:val="00342265"/>
    <w:rsid w:val="00342E99"/>
    <w:rsid w:val="003446A9"/>
    <w:rsid w:val="003450A5"/>
    <w:rsid w:val="00345B2F"/>
    <w:rsid w:val="003475DA"/>
    <w:rsid w:val="00352D71"/>
    <w:rsid w:val="00353806"/>
    <w:rsid w:val="003573A8"/>
    <w:rsid w:val="00357864"/>
    <w:rsid w:val="00357F19"/>
    <w:rsid w:val="00366402"/>
    <w:rsid w:val="00366DD1"/>
    <w:rsid w:val="00374A25"/>
    <w:rsid w:val="00380947"/>
    <w:rsid w:val="00381CCC"/>
    <w:rsid w:val="00381F2B"/>
    <w:rsid w:val="00383224"/>
    <w:rsid w:val="00383F7B"/>
    <w:rsid w:val="00384092"/>
    <w:rsid w:val="00385DD6"/>
    <w:rsid w:val="003933BC"/>
    <w:rsid w:val="003935C8"/>
    <w:rsid w:val="00395623"/>
    <w:rsid w:val="00397565"/>
    <w:rsid w:val="003A0946"/>
    <w:rsid w:val="003A3005"/>
    <w:rsid w:val="003A43D8"/>
    <w:rsid w:val="003A56E6"/>
    <w:rsid w:val="003B128A"/>
    <w:rsid w:val="003B2D2F"/>
    <w:rsid w:val="003B4AC2"/>
    <w:rsid w:val="003C1C17"/>
    <w:rsid w:val="003C3C07"/>
    <w:rsid w:val="003C419E"/>
    <w:rsid w:val="003C471D"/>
    <w:rsid w:val="003C4AA2"/>
    <w:rsid w:val="003D142B"/>
    <w:rsid w:val="003D2877"/>
    <w:rsid w:val="003D5757"/>
    <w:rsid w:val="003E2500"/>
    <w:rsid w:val="003E5954"/>
    <w:rsid w:val="003E6B90"/>
    <w:rsid w:val="003E7EB0"/>
    <w:rsid w:val="003F140B"/>
    <w:rsid w:val="003F2A6E"/>
    <w:rsid w:val="003F41FA"/>
    <w:rsid w:val="00401CD9"/>
    <w:rsid w:val="00401E37"/>
    <w:rsid w:val="00407320"/>
    <w:rsid w:val="00411995"/>
    <w:rsid w:val="0041540E"/>
    <w:rsid w:val="00416243"/>
    <w:rsid w:val="00422530"/>
    <w:rsid w:val="004247B2"/>
    <w:rsid w:val="0042649A"/>
    <w:rsid w:val="00430346"/>
    <w:rsid w:val="00433ABB"/>
    <w:rsid w:val="00434B00"/>
    <w:rsid w:val="0044071B"/>
    <w:rsid w:val="004408B6"/>
    <w:rsid w:val="004434D4"/>
    <w:rsid w:val="004442CC"/>
    <w:rsid w:val="00450A1C"/>
    <w:rsid w:val="00450A9C"/>
    <w:rsid w:val="00451E2C"/>
    <w:rsid w:val="00452257"/>
    <w:rsid w:val="00454296"/>
    <w:rsid w:val="004549A8"/>
    <w:rsid w:val="00460633"/>
    <w:rsid w:val="0046207D"/>
    <w:rsid w:val="00462902"/>
    <w:rsid w:val="00462C55"/>
    <w:rsid w:val="0046675F"/>
    <w:rsid w:val="004735E3"/>
    <w:rsid w:val="004811A8"/>
    <w:rsid w:val="00481F52"/>
    <w:rsid w:val="00482E9F"/>
    <w:rsid w:val="004913E1"/>
    <w:rsid w:val="004935AD"/>
    <w:rsid w:val="004937E8"/>
    <w:rsid w:val="00495FF5"/>
    <w:rsid w:val="004A4DD1"/>
    <w:rsid w:val="004B0288"/>
    <w:rsid w:val="004B03F4"/>
    <w:rsid w:val="004B0EA0"/>
    <w:rsid w:val="004B2855"/>
    <w:rsid w:val="004C27A4"/>
    <w:rsid w:val="004D2047"/>
    <w:rsid w:val="004D51EA"/>
    <w:rsid w:val="004D572C"/>
    <w:rsid w:val="004D5D92"/>
    <w:rsid w:val="004E3C87"/>
    <w:rsid w:val="004E3EF4"/>
    <w:rsid w:val="004F0515"/>
    <w:rsid w:val="004F0640"/>
    <w:rsid w:val="004F3540"/>
    <w:rsid w:val="004F4A6A"/>
    <w:rsid w:val="00504B0F"/>
    <w:rsid w:val="00506600"/>
    <w:rsid w:val="005116A8"/>
    <w:rsid w:val="00511DD6"/>
    <w:rsid w:val="005133C1"/>
    <w:rsid w:val="00513763"/>
    <w:rsid w:val="00517131"/>
    <w:rsid w:val="005211F4"/>
    <w:rsid w:val="00522EA7"/>
    <w:rsid w:val="0052532A"/>
    <w:rsid w:val="00530196"/>
    <w:rsid w:val="0053591F"/>
    <w:rsid w:val="00536C29"/>
    <w:rsid w:val="00537AA3"/>
    <w:rsid w:val="00540F56"/>
    <w:rsid w:val="00545B0F"/>
    <w:rsid w:val="00545D05"/>
    <w:rsid w:val="00546794"/>
    <w:rsid w:val="0055238D"/>
    <w:rsid w:val="005530CC"/>
    <w:rsid w:val="00555AC3"/>
    <w:rsid w:val="00555BE3"/>
    <w:rsid w:val="0055688F"/>
    <w:rsid w:val="005571F5"/>
    <w:rsid w:val="005579D3"/>
    <w:rsid w:val="00560D07"/>
    <w:rsid w:val="00561CEA"/>
    <w:rsid w:val="00563399"/>
    <w:rsid w:val="00563B9C"/>
    <w:rsid w:val="005670AC"/>
    <w:rsid w:val="005678B5"/>
    <w:rsid w:val="00567B33"/>
    <w:rsid w:val="00573BCC"/>
    <w:rsid w:val="00573F31"/>
    <w:rsid w:val="00574F3A"/>
    <w:rsid w:val="005776F1"/>
    <w:rsid w:val="00581ED6"/>
    <w:rsid w:val="00587115"/>
    <w:rsid w:val="005908A3"/>
    <w:rsid w:val="00593F37"/>
    <w:rsid w:val="00594B58"/>
    <w:rsid w:val="00595C09"/>
    <w:rsid w:val="00596995"/>
    <w:rsid w:val="005969DF"/>
    <w:rsid w:val="005A1ACF"/>
    <w:rsid w:val="005A21E0"/>
    <w:rsid w:val="005A2725"/>
    <w:rsid w:val="005A5830"/>
    <w:rsid w:val="005A63BC"/>
    <w:rsid w:val="005A73AD"/>
    <w:rsid w:val="005B001D"/>
    <w:rsid w:val="005B7D46"/>
    <w:rsid w:val="005C447F"/>
    <w:rsid w:val="005C6C35"/>
    <w:rsid w:val="005C70E2"/>
    <w:rsid w:val="005D26C8"/>
    <w:rsid w:val="005D2953"/>
    <w:rsid w:val="005D54E7"/>
    <w:rsid w:val="005D7F20"/>
    <w:rsid w:val="005E1F53"/>
    <w:rsid w:val="005E2F59"/>
    <w:rsid w:val="005E4987"/>
    <w:rsid w:val="005E73F9"/>
    <w:rsid w:val="005E7695"/>
    <w:rsid w:val="005F2287"/>
    <w:rsid w:val="005F4C50"/>
    <w:rsid w:val="005F7862"/>
    <w:rsid w:val="0061070B"/>
    <w:rsid w:val="006119FF"/>
    <w:rsid w:val="00620073"/>
    <w:rsid w:val="00621DAD"/>
    <w:rsid w:val="00623B4E"/>
    <w:rsid w:val="00623E9F"/>
    <w:rsid w:val="0062578A"/>
    <w:rsid w:val="006330A8"/>
    <w:rsid w:val="00633757"/>
    <w:rsid w:val="00636B37"/>
    <w:rsid w:val="00636C82"/>
    <w:rsid w:val="00641944"/>
    <w:rsid w:val="00647C77"/>
    <w:rsid w:val="00651FE2"/>
    <w:rsid w:val="00661965"/>
    <w:rsid w:val="006674AD"/>
    <w:rsid w:val="00670AB7"/>
    <w:rsid w:val="00670D82"/>
    <w:rsid w:val="00672B86"/>
    <w:rsid w:val="00673E85"/>
    <w:rsid w:val="00680092"/>
    <w:rsid w:val="00681797"/>
    <w:rsid w:val="00683AA1"/>
    <w:rsid w:val="00686E80"/>
    <w:rsid w:val="0069111D"/>
    <w:rsid w:val="0069567A"/>
    <w:rsid w:val="0069782C"/>
    <w:rsid w:val="00697E0E"/>
    <w:rsid w:val="006B0D2C"/>
    <w:rsid w:val="006B23D2"/>
    <w:rsid w:val="006B6796"/>
    <w:rsid w:val="006C31DD"/>
    <w:rsid w:val="006D24CF"/>
    <w:rsid w:val="006D5044"/>
    <w:rsid w:val="006D790A"/>
    <w:rsid w:val="006E142A"/>
    <w:rsid w:val="006E14E6"/>
    <w:rsid w:val="006E1A92"/>
    <w:rsid w:val="006E5300"/>
    <w:rsid w:val="006E57B5"/>
    <w:rsid w:val="006E7243"/>
    <w:rsid w:val="006F36B1"/>
    <w:rsid w:val="006F6DB6"/>
    <w:rsid w:val="007001AF"/>
    <w:rsid w:val="00700930"/>
    <w:rsid w:val="00702178"/>
    <w:rsid w:val="007034C8"/>
    <w:rsid w:val="00711104"/>
    <w:rsid w:val="007115DC"/>
    <w:rsid w:val="007136AD"/>
    <w:rsid w:val="00715BE3"/>
    <w:rsid w:val="007230F4"/>
    <w:rsid w:val="0072342B"/>
    <w:rsid w:val="00724613"/>
    <w:rsid w:val="00725180"/>
    <w:rsid w:val="0072738F"/>
    <w:rsid w:val="007276F1"/>
    <w:rsid w:val="0073019A"/>
    <w:rsid w:val="00730ABD"/>
    <w:rsid w:val="00731125"/>
    <w:rsid w:val="00732682"/>
    <w:rsid w:val="00733D93"/>
    <w:rsid w:val="00736C88"/>
    <w:rsid w:val="007435ED"/>
    <w:rsid w:val="00745209"/>
    <w:rsid w:val="00750ACC"/>
    <w:rsid w:val="00753196"/>
    <w:rsid w:val="00755C74"/>
    <w:rsid w:val="0076298E"/>
    <w:rsid w:val="00777991"/>
    <w:rsid w:val="0078485B"/>
    <w:rsid w:val="00784CA6"/>
    <w:rsid w:val="0078513C"/>
    <w:rsid w:val="00787CD7"/>
    <w:rsid w:val="00793AA1"/>
    <w:rsid w:val="007A00DE"/>
    <w:rsid w:val="007A0A9B"/>
    <w:rsid w:val="007A33F5"/>
    <w:rsid w:val="007B1DA2"/>
    <w:rsid w:val="007B208C"/>
    <w:rsid w:val="007C14EE"/>
    <w:rsid w:val="007C1E25"/>
    <w:rsid w:val="007C40DF"/>
    <w:rsid w:val="007C729D"/>
    <w:rsid w:val="007D197A"/>
    <w:rsid w:val="007D3972"/>
    <w:rsid w:val="007E1D8A"/>
    <w:rsid w:val="007E51E8"/>
    <w:rsid w:val="007E72CC"/>
    <w:rsid w:val="007E7D99"/>
    <w:rsid w:val="007F0B2F"/>
    <w:rsid w:val="007F3B6D"/>
    <w:rsid w:val="007F3EF3"/>
    <w:rsid w:val="007F7D58"/>
    <w:rsid w:val="00802AA5"/>
    <w:rsid w:val="0080647B"/>
    <w:rsid w:val="008067EC"/>
    <w:rsid w:val="00807A6A"/>
    <w:rsid w:val="00811A49"/>
    <w:rsid w:val="008125B8"/>
    <w:rsid w:val="00813766"/>
    <w:rsid w:val="00813D26"/>
    <w:rsid w:val="008179B3"/>
    <w:rsid w:val="00821F3E"/>
    <w:rsid w:val="00822B27"/>
    <w:rsid w:val="00824138"/>
    <w:rsid w:val="00824EAE"/>
    <w:rsid w:val="008277F8"/>
    <w:rsid w:val="008300A8"/>
    <w:rsid w:val="00832947"/>
    <w:rsid w:val="0083297C"/>
    <w:rsid w:val="008335D9"/>
    <w:rsid w:val="008417BD"/>
    <w:rsid w:val="008423B9"/>
    <w:rsid w:val="00842995"/>
    <w:rsid w:val="0084409A"/>
    <w:rsid w:val="008571DB"/>
    <w:rsid w:val="00857253"/>
    <w:rsid w:val="00861ABD"/>
    <w:rsid w:val="00865705"/>
    <w:rsid w:val="00867861"/>
    <w:rsid w:val="00867E20"/>
    <w:rsid w:val="008745DD"/>
    <w:rsid w:val="008766C1"/>
    <w:rsid w:val="00880E14"/>
    <w:rsid w:val="0088770E"/>
    <w:rsid w:val="00887A3C"/>
    <w:rsid w:val="00892BF2"/>
    <w:rsid w:val="00893471"/>
    <w:rsid w:val="0089716E"/>
    <w:rsid w:val="008A0E37"/>
    <w:rsid w:val="008A2587"/>
    <w:rsid w:val="008A5336"/>
    <w:rsid w:val="008A568F"/>
    <w:rsid w:val="008A61C2"/>
    <w:rsid w:val="008A670B"/>
    <w:rsid w:val="008B1488"/>
    <w:rsid w:val="008B35B0"/>
    <w:rsid w:val="008B3F7F"/>
    <w:rsid w:val="008B6F40"/>
    <w:rsid w:val="008B70B8"/>
    <w:rsid w:val="008C0B67"/>
    <w:rsid w:val="008C0BD7"/>
    <w:rsid w:val="008C148B"/>
    <w:rsid w:val="008C2C7B"/>
    <w:rsid w:val="008D092C"/>
    <w:rsid w:val="008D161A"/>
    <w:rsid w:val="008D5ACC"/>
    <w:rsid w:val="008D7F9C"/>
    <w:rsid w:val="008E2D5C"/>
    <w:rsid w:val="008F158A"/>
    <w:rsid w:val="008F2B15"/>
    <w:rsid w:val="008F2DBB"/>
    <w:rsid w:val="008F4199"/>
    <w:rsid w:val="008F47A8"/>
    <w:rsid w:val="008F58E5"/>
    <w:rsid w:val="009032BB"/>
    <w:rsid w:val="00904FE9"/>
    <w:rsid w:val="009063F9"/>
    <w:rsid w:val="00906EC6"/>
    <w:rsid w:val="00907A28"/>
    <w:rsid w:val="00913406"/>
    <w:rsid w:val="00917434"/>
    <w:rsid w:val="00917C91"/>
    <w:rsid w:val="00923E42"/>
    <w:rsid w:val="00924BD8"/>
    <w:rsid w:val="0092543F"/>
    <w:rsid w:val="009254F5"/>
    <w:rsid w:val="00930E1D"/>
    <w:rsid w:val="0093312E"/>
    <w:rsid w:val="009346B3"/>
    <w:rsid w:val="00936CE7"/>
    <w:rsid w:val="009446C9"/>
    <w:rsid w:val="0094692F"/>
    <w:rsid w:val="00947379"/>
    <w:rsid w:val="009533D1"/>
    <w:rsid w:val="00953EF0"/>
    <w:rsid w:val="00954A4E"/>
    <w:rsid w:val="00955D73"/>
    <w:rsid w:val="00956067"/>
    <w:rsid w:val="00956D38"/>
    <w:rsid w:val="0095789C"/>
    <w:rsid w:val="009631BC"/>
    <w:rsid w:val="0096430E"/>
    <w:rsid w:val="009655EE"/>
    <w:rsid w:val="009658C6"/>
    <w:rsid w:val="00966B1C"/>
    <w:rsid w:val="00967D26"/>
    <w:rsid w:val="00972A46"/>
    <w:rsid w:val="00975615"/>
    <w:rsid w:val="00977F0D"/>
    <w:rsid w:val="00980FAF"/>
    <w:rsid w:val="00985AC2"/>
    <w:rsid w:val="00985C24"/>
    <w:rsid w:val="00986884"/>
    <w:rsid w:val="00991B9D"/>
    <w:rsid w:val="00992828"/>
    <w:rsid w:val="00993C0D"/>
    <w:rsid w:val="009A02A4"/>
    <w:rsid w:val="009A4DF1"/>
    <w:rsid w:val="009A5BAB"/>
    <w:rsid w:val="009B04E1"/>
    <w:rsid w:val="009B0BCC"/>
    <w:rsid w:val="009B3FD4"/>
    <w:rsid w:val="009B7C3B"/>
    <w:rsid w:val="009C01DA"/>
    <w:rsid w:val="009C3230"/>
    <w:rsid w:val="009D3E7A"/>
    <w:rsid w:val="009D666D"/>
    <w:rsid w:val="009E025E"/>
    <w:rsid w:val="009E0A99"/>
    <w:rsid w:val="009E32B2"/>
    <w:rsid w:val="009E6395"/>
    <w:rsid w:val="009E7AE9"/>
    <w:rsid w:val="00A0231C"/>
    <w:rsid w:val="00A03F83"/>
    <w:rsid w:val="00A05EC1"/>
    <w:rsid w:val="00A05F2B"/>
    <w:rsid w:val="00A071EB"/>
    <w:rsid w:val="00A078AE"/>
    <w:rsid w:val="00A110A8"/>
    <w:rsid w:val="00A118D0"/>
    <w:rsid w:val="00A14EB8"/>
    <w:rsid w:val="00A16DF6"/>
    <w:rsid w:val="00A1760C"/>
    <w:rsid w:val="00A23AAA"/>
    <w:rsid w:val="00A23F2F"/>
    <w:rsid w:val="00A32E6F"/>
    <w:rsid w:val="00A3679B"/>
    <w:rsid w:val="00A41737"/>
    <w:rsid w:val="00A50379"/>
    <w:rsid w:val="00A51B0F"/>
    <w:rsid w:val="00A54D6F"/>
    <w:rsid w:val="00A5727F"/>
    <w:rsid w:val="00A6103D"/>
    <w:rsid w:val="00A6771F"/>
    <w:rsid w:val="00A71020"/>
    <w:rsid w:val="00A71F67"/>
    <w:rsid w:val="00A721BF"/>
    <w:rsid w:val="00A76863"/>
    <w:rsid w:val="00A772E6"/>
    <w:rsid w:val="00A812A0"/>
    <w:rsid w:val="00A95D8A"/>
    <w:rsid w:val="00A972CE"/>
    <w:rsid w:val="00AA70C4"/>
    <w:rsid w:val="00AB01DB"/>
    <w:rsid w:val="00AB0804"/>
    <w:rsid w:val="00AB19F8"/>
    <w:rsid w:val="00AB2638"/>
    <w:rsid w:val="00AB2A61"/>
    <w:rsid w:val="00AB62F3"/>
    <w:rsid w:val="00AB6357"/>
    <w:rsid w:val="00AB7F58"/>
    <w:rsid w:val="00AC3777"/>
    <w:rsid w:val="00AC6391"/>
    <w:rsid w:val="00AC71CE"/>
    <w:rsid w:val="00AD0AA3"/>
    <w:rsid w:val="00AD483B"/>
    <w:rsid w:val="00AD5E35"/>
    <w:rsid w:val="00AD774F"/>
    <w:rsid w:val="00AD7915"/>
    <w:rsid w:val="00AD7CAB"/>
    <w:rsid w:val="00AE04D8"/>
    <w:rsid w:val="00AE2D03"/>
    <w:rsid w:val="00AE68B1"/>
    <w:rsid w:val="00AF11DA"/>
    <w:rsid w:val="00AF5252"/>
    <w:rsid w:val="00AF7689"/>
    <w:rsid w:val="00B01D32"/>
    <w:rsid w:val="00B01FFA"/>
    <w:rsid w:val="00B03851"/>
    <w:rsid w:val="00B04828"/>
    <w:rsid w:val="00B06068"/>
    <w:rsid w:val="00B11189"/>
    <w:rsid w:val="00B1209D"/>
    <w:rsid w:val="00B23951"/>
    <w:rsid w:val="00B25858"/>
    <w:rsid w:val="00B27F21"/>
    <w:rsid w:val="00B304A0"/>
    <w:rsid w:val="00B32959"/>
    <w:rsid w:val="00B33169"/>
    <w:rsid w:val="00B36036"/>
    <w:rsid w:val="00B36967"/>
    <w:rsid w:val="00B375CD"/>
    <w:rsid w:val="00B37E60"/>
    <w:rsid w:val="00B50226"/>
    <w:rsid w:val="00B51ED7"/>
    <w:rsid w:val="00B559A4"/>
    <w:rsid w:val="00B57EB2"/>
    <w:rsid w:val="00B60E9D"/>
    <w:rsid w:val="00B60ED6"/>
    <w:rsid w:val="00B635E9"/>
    <w:rsid w:val="00B637E6"/>
    <w:rsid w:val="00B722EA"/>
    <w:rsid w:val="00B73BDE"/>
    <w:rsid w:val="00B825BE"/>
    <w:rsid w:val="00B829B5"/>
    <w:rsid w:val="00B87027"/>
    <w:rsid w:val="00B87894"/>
    <w:rsid w:val="00B90E2B"/>
    <w:rsid w:val="00B93AE5"/>
    <w:rsid w:val="00B95567"/>
    <w:rsid w:val="00BA198D"/>
    <w:rsid w:val="00BA5AD3"/>
    <w:rsid w:val="00BA7CAB"/>
    <w:rsid w:val="00BB06F8"/>
    <w:rsid w:val="00BB223E"/>
    <w:rsid w:val="00BB36E5"/>
    <w:rsid w:val="00BB3A29"/>
    <w:rsid w:val="00BC151F"/>
    <w:rsid w:val="00BC381A"/>
    <w:rsid w:val="00BC4E55"/>
    <w:rsid w:val="00BC5ADB"/>
    <w:rsid w:val="00BC5F30"/>
    <w:rsid w:val="00BD3D56"/>
    <w:rsid w:val="00BD4FFD"/>
    <w:rsid w:val="00BD72E9"/>
    <w:rsid w:val="00BD7D13"/>
    <w:rsid w:val="00BE006A"/>
    <w:rsid w:val="00BE0312"/>
    <w:rsid w:val="00BF116C"/>
    <w:rsid w:val="00BF204C"/>
    <w:rsid w:val="00BF2808"/>
    <w:rsid w:val="00BF3D30"/>
    <w:rsid w:val="00BF505F"/>
    <w:rsid w:val="00BF5C64"/>
    <w:rsid w:val="00BF6197"/>
    <w:rsid w:val="00BF6624"/>
    <w:rsid w:val="00C07A47"/>
    <w:rsid w:val="00C11186"/>
    <w:rsid w:val="00C12A54"/>
    <w:rsid w:val="00C12EC5"/>
    <w:rsid w:val="00C16206"/>
    <w:rsid w:val="00C21299"/>
    <w:rsid w:val="00C27FE2"/>
    <w:rsid w:val="00C32DFF"/>
    <w:rsid w:val="00C34C68"/>
    <w:rsid w:val="00C36F9F"/>
    <w:rsid w:val="00C4101E"/>
    <w:rsid w:val="00C42BCD"/>
    <w:rsid w:val="00C42CEF"/>
    <w:rsid w:val="00C519BC"/>
    <w:rsid w:val="00C527F1"/>
    <w:rsid w:val="00C5297E"/>
    <w:rsid w:val="00C54AAE"/>
    <w:rsid w:val="00C66D05"/>
    <w:rsid w:val="00C701EB"/>
    <w:rsid w:val="00C718D6"/>
    <w:rsid w:val="00C72968"/>
    <w:rsid w:val="00C80B86"/>
    <w:rsid w:val="00C81C5D"/>
    <w:rsid w:val="00C82733"/>
    <w:rsid w:val="00C829E5"/>
    <w:rsid w:val="00C835E9"/>
    <w:rsid w:val="00C84C05"/>
    <w:rsid w:val="00C87B59"/>
    <w:rsid w:val="00C90F9A"/>
    <w:rsid w:val="00C91F3D"/>
    <w:rsid w:val="00C93ED4"/>
    <w:rsid w:val="00C93ED6"/>
    <w:rsid w:val="00C97D96"/>
    <w:rsid w:val="00CA037B"/>
    <w:rsid w:val="00CB11FD"/>
    <w:rsid w:val="00CB5D56"/>
    <w:rsid w:val="00CB6B0C"/>
    <w:rsid w:val="00CC5289"/>
    <w:rsid w:val="00CC5A2F"/>
    <w:rsid w:val="00CD13AB"/>
    <w:rsid w:val="00CD5BA3"/>
    <w:rsid w:val="00CE20C9"/>
    <w:rsid w:val="00CE51EF"/>
    <w:rsid w:val="00CE5D58"/>
    <w:rsid w:val="00CE6EE2"/>
    <w:rsid w:val="00CF1CF0"/>
    <w:rsid w:val="00CF2FE2"/>
    <w:rsid w:val="00CF39EB"/>
    <w:rsid w:val="00D06B09"/>
    <w:rsid w:val="00D11A44"/>
    <w:rsid w:val="00D12019"/>
    <w:rsid w:val="00D127F6"/>
    <w:rsid w:val="00D13681"/>
    <w:rsid w:val="00D137F1"/>
    <w:rsid w:val="00D143B9"/>
    <w:rsid w:val="00D173BF"/>
    <w:rsid w:val="00D2108D"/>
    <w:rsid w:val="00D22779"/>
    <w:rsid w:val="00D234D3"/>
    <w:rsid w:val="00D241D6"/>
    <w:rsid w:val="00D25C13"/>
    <w:rsid w:val="00D26052"/>
    <w:rsid w:val="00D335E1"/>
    <w:rsid w:val="00D40593"/>
    <w:rsid w:val="00D51039"/>
    <w:rsid w:val="00D51781"/>
    <w:rsid w:val="00D6300D"/>
    <w:rsid w:val="00D650EA"/>
    <w:rsid w:val="00D658A1"/>
    <w:rsid w:val="00D65AF8"/>
    <w:rsid w:val="00D72828"/>
    <w:rsid w:val="00D73D90"/>
    <w:rsid w:val="00D82831"/>
    <w:rsid w:val="00D84ACD"/>
    <w:rsid w:val="00D9104A"/>
    <w:rsid w:val="00D94FDA"/>
    <w:rsid w:val="00D9609C"/>
    <w:rsid w:val="00D97CDC"/>
    <w:rsid w:val="00DA0138"/>
    <w:rsid w:val="00DA1C81"/>
    <w:rsid w:val="00DA2E6A"/>
    <w:rsid w:val="00DA6B23"/>
    <w:rsid w:val="00DA6BF7"/>
    <w:rsid w:val="00DB0561"/>
    <w:rsid w:val="00DB1885"/>
    <w:rsid w:val="00DB333D"/>
    <w:rsid w:val="00DC1E25"/>
    <w:rsid w:val="00DC2F05"/>
    <w:rsid w:val="00DC3CD5"/>
    <w:rsid w:val="00DC591E"/>
    <w:rsid w:val="00DC59A8"/>
    <w:rsid w:val="00DC6C4E"/>
    <w:rsid w:val="00DD134C"/>
    <w:rsid w:val="00DD7D78"/>
    <w:rsid w:val="00DD7D83"/>
    <w:rsid w:val="00DE04BF"/>
    <w:rsid w:val="00DE5219"/>
    <w:rsid w:val="00DE6813"/>
    <w:rsid w:val="00DF60DD"/>
    <w:rsid w:val="00DF6A24"/>
    <w:rsid w:val="00DF6D9D"/>
    <w:rsid w:val="00E00200"/>
    <w:rsid w:val="00E00E5A"/>
    <w:rsid w:val="00E024C9"/>
    <w:rsid w:val="00E0651E"/>
    <w:rsid w:val="00E069F4"/>
    <w:rsid w:val="00E125B2"/>
    <w:rsid w:val="00E12B76"/>
    <w:rsid w:val="00E134CA"/>
    <w:rsid w:val="00E1368C"/>
    <w:rsid w:val="00E13970"/>
    <w:rsid w:val="00E15F3D"/>
    <w:rsid w:val="00E2786A"/>
    <w:rsid w:val="00E341B2"/>
    <w:rsid w:val="00E40AFE"/>
    <w:rsid w:val="00E41D74"/>
    <w:rsid w:val="00E4201E"/>
    <w:rsid w:val="00E453C3"/>
    <w:rsid w:val="00E509EF"/>
    <w:rsid w:val="00E514F6"/>
    <w:rsid w:val="00E51933"/>
    <w:rsid w:val="00E52298"/>
    <w:rsid w:val="00E5387C"/>
    <w:rsid w:val="00E56DE5"/>
    <w:rsid w:val="00E6182B"/>
    <w:rsid w:val="00E67073"/>
    <w:rsid w:val="00E67527"/>
    <w:rsid w:val="00E703CF"/>
    <w:rsid w:val="00E70D2D"/>
    <w:rsid w:val="00E77802"/>
    <w:rsid w:val="00E80533"/>
    <w:rsid w:val="00E81988"/>
    <w:rsid w:val="00E90007"/>
    <w:rsid w:val="00E945AE"/>
    <w:rsid w:val="00E96952"/>
    <w:rsid w:val="00EA2E57"/>
    <w:rsid w:val="00EA3664"/>
    <w:rsid w:val="00EA4234"/>
    <w:rsid w:val="00EB0721"/>
    <w:rsid w:val="00EB1625"/>
    <w:rsid w:val="00EB2028"/>
    <w:rsid w:val="00EB56E5"/>
    <w:rsid w:val="00EB65B5"/>
    <w:rsid w:val="00EB6F35"/>
    <w:rsid w:val="00EC1455"/>
    <w:rsid w:val="00EC4729"/>
    <w:rsid w:val="00ED5C42"/>
    <w:rsid w:val="00ED7873"/>
    <w:rsid w:val="00EE0847"/>
    <w:rsid w:val="00EE5177"/>
    <w:rsid w:val="00EF0AD5"/>
    <w:rsid w:val="00EF3328"/>
    <w:rsid w:val="00EF7339"/>
    <w:rsid w:val="00EF7CE4"/>
    <w:rsid w:val="00F04C9B"/>
    <w:rsid w:val="00F07958"/>
    <w:rsid w:val="00F1102D"/>
    <w:rsid w:val="00F12567"/>
    <w:rsid w:val="00F12DFE"/>
    <w:rsid w:val="00F17DA1"/>
    <w:rsid w:val="00F2215A"/>
    <w:rsid w:val="00F22CE3"/>
    <w:rsid w:val="00F30D5F"/>
    <w:rsid w:val="00F3737D"/>
    <w:rsid w:val="00F4263A"/>
    <w:rsid w:val="00F5265F"/>
    <w:rsid w:val="00F652A8"/>
    <w:rsid w:val="00F65444"/>
    <w:rsid w:val="00F668CE"/>
    <w:rsid w:val="00F66DD1"/>
    <w:rsid w:val="00F704AB"/>
    <w:rsid w:val="00F7075C"/>
    <w:rsid w:val="00F70921"/>
    <w:rsid w:val="00F7696E"/>
    <w:rsid w:val="00F80D97"/>
    <w:rsid w:val="00F87CEA"/>
    <w:rsid w:val="00F906B4"/>
    <w:rsid w:val="00F92259"/>
    <w:rsid w:val="00F95FC2"/>
    <w:rsid w:val="00F96AF2"/>
    <w:rsid w:val="00F972DE"/>
    <w:rsid w:val="00FA023B"/>
    <w:rsid w:val="00FA2FAB"/>
    <w:rsid w:val="00FA5972"/>
    <w:rsid w:val="00FA7A30"/>
    <w:rsid w:val="00FB3E63"/>
    <w:rsid w:val="00FC09A9"/>
    <w:rsid w:val="00FC105E"/>
    <w:rsid w:val="00FC150E"/>
    <w:rsid w:val="00FC1852"/>
    <w:rsid w:val="00FC1C26"/>
    <w:rsid w:val="00FC22A5"/>
    <w:rsid w:val="00FC2658"/>
    <w:rsid w:val="00FC4488"/>
    <w:rsid w:val="00FC7782"/>
    <w:rsid w:val="00FD19C1"/>
    <w:rsid w:val="00FD2CE4"/>
    <w:rsid w:val="00FD36FA"/>
    <w:rsid w:val="00FD3E82"/>
    <w:rsid w:val="00FD4924"/>
    <w:rsid w:val="00FD4F58"/>
    <w:rsid w:val="00FD7D25"/>
    <w:rsid w:val="00FE0BA3"/>
    <w:rsid w:val="00FE2C21"/>
    <w:rsid w:val="00FE38DE"/>
    <w:rsid w:val="00FE58C1"/>
    <w:rsid w:val="00FF4279"/>
    <w:rsid w:val="00FF42DE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0E5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0E5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0E5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00E5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00E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0E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0E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0E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0E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0E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87CD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787CD7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787CD7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787CD7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787CD7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787CD7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787CD7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787CD7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E00E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uiPriority w:val="99"/>
    <w:locked/>
    <w:rsid w:val="00787CD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Pta">
    <w:name w:val="footer"/>
    <w:basedOn w:val="Normlny"/>
    <w:link w:val="PtaChar"/>
    <w:uiPriority w:val="99"/>
    <w:rsid w:val="00E00E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HlavikaChar">
    <w:name w:val="Hlavička Char"/>
    <w:link w:val="Hlavika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slostrany">
    <w:name w:val="page number"/>
    <w:uiPriority w:val="99"/>
    <w:rsid w:val="00E00E5A"/>
    <w:rPr>
      <w:rFonts w:cs="Times New Roman"/>
    </w:rPr>
  </w:style>
  <w:style w:type="character" w:customStyle="1" w:styleId="PtaChar">
    <w:name w:val="Päta Char"/>
    <w:link w:val="Pta"/>
    <w:uiPriority w:val="99"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link w:val="Zkladntext3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E00E5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Char">
    <w:name w:val="Základný text Char"/>
    <w:link w:val="Zkladntext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Odkaznakomentr">
    <w:name w:val="annotation reference"/>
    <w:uiPriority w:val="99"/>
    <w:semiHidden/>
    <w:rsid w:val="00E00E5A"/>
    <w:rPr>
      <w:rFonts w:cs="Times New Roman"/>
      <w:sz w:val="16"/>
    </w:rPr>
  </w:style>
  <w:style w:type="character" w:customStyle="1" w:styleId="Zkladntext2Char">
    <w:name w:val="Základný text 2 Char"/>
    <w:link w:val="Zkladntext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E00E5A"/>
    <w:rPr>
      <w:sz w:val="20"/>
    </w:rPr>
  </w:style>
  <w:style w:type="paragraph" w:customStyle="1" w:styleId="EMEAEnBodyText">
    <w:name w:val="EMEA En Body Text"/>
    <w:basedOn w:val="Normlny"/>
    <w:uiPriority w:val="99"/>
    <w:rsid w:val="00E00E5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extkomentraChar">
    <w:name w:val="Text komentára Char"/>
    <w:link w:val="Textkomentra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E00E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E00E5A"/>
    <w:rPr>
      <w:rFonts w:cs="Times New Roman"/>
      <w:color w:val="0000FF"/>
      <w:u w:val="singl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customStyle="1" w:styleId="AHeader1">
    <w:name w:val="AHeader 1"/>
    <w:basedOn w:val="Normlny"/>
    <w:uiPriority w:val="99"/>
    <w:rsid w:val="00E00E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E00E5A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E00E5A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E00E5A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00E5A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E00E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E00E5A"/>
    <w:rPr>
      <w:rFonts w:cs="Times New Roman"/>
      <w:color w:val="800080"/>
      <w:u w:val="singl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Normlnywebov">
    <w:name w:val="Normal (Web)"/>
    <w:basedOn w:val="Normlny"/>
    <w:uiPriority w:val="99"/>
    <w:rsid w:val="00E00E5A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00E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D8283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link w:val="Textbubliny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0E5A"/>
    <w:rPr>
      <w:b/>
      <w:bCs/>
    </w:rPr>
  </w:style>
  <w:style w:type="paragraph" w:customStyle="1" w:styleId="Default">
    <w:name w:val="Default"/>
    <w:uiPriority w:val="99"/>
    <w:rsid w:val="00D8283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87CD7"/>
    <w:rPr>
      <w:rFonts w:cs="Times New Roman"/>
      <w:b/>
      <w:bCs/>
      <w:sz w:val="20"/>
      <w:szCs w:val="20"/>
      <w:lang w:val="en-GB" w:eastAsia="en-US"/>
    </w:rPr>
  </w:style>
  <w:style w:type="character" w:customStyle="1" w:styleId="hps">
    <w:name w:val="hps"/>
    <w:uiPriority w:val="99"/>
    <w:rsid w:val="00D2108D"/>
    <w:rPr>
      <w:rFonts w:cs="Times New Roman"/>
    </w:rPr>
  </w:style>
  <w:style w:type="paragraph" w:styleId="Revzia">
    <w:name w:val="Revision"/>
    <w:hidden/>
    <w:uiPriority w:val="99"/>
    <w:rsid w:val="007034C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7132</Words>
  <Characters>40653</Characters>
  <Application>Microsoft Office Word</Application>
  <DocSecurity>0</DocSecurity>
  <Lines>338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2019-01-21T10:21:00Z</dcterms:created>
  <dcterms:modified xsi:type="dcterms:W3CDTF">2019-01-21T10:21:00Z</dcterms:modified>
</cp:coreProperties>
</file>