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F40" w:rsidRDefault="00306F40" w:rsidP="004731EC">
      <w:pPr>
        <w:jc w:val="center"/>
        <w:rPr>
          <w:rFonts w:ascii="Times New Roman" w:hAnsi="Times New Roman"/>
          <w:b/>
        </w:rPr>
      </w:pPr>
      <w:bookmarkStart w:id="0" w:name="_GoBack"/>
      <w:bookmarkEnd w:id="0"/>
    </w:p>
    <w:p w:rsidR="008811D8" w:rsidRPr="00C267BF" w:rsidRDefault="008811D8" w:rsidP="004731EC">
      <w:pPr>
        <w:jc w:val="center"/>
        <w:rPr>
          <w:rFonts w:ascii="Times New Roman" w:hAnsi="Times New Roman"/>
          <w:b/>
          <w:noProof/>
          <w:lang w:eastAsia="sk-SK"/>
        </w:rPr>
      </w:pPr>
      <w:r w:rsidRPr="00C267BF">
        <w:rPr>
          <w:rFonts w:ascii="Times New Roman" w:hAnsi="Times New Roman"/>
          <w:b/>
        </w:rPr>
        <w:t>SÚHRN CHARAKTERISTICKÝCH VLASTNOSTÍ LIEKU</w:t>
      </w:r>
    </w:p>
    <w:p w:rsidR="00306F40" w:rsidRDefault="00306F40" w:rsidP="00FD2D5B">
      <w:pPr>
        <w:spacing w:after="0" w:line="240" w:lineRule="auto"/>
        <w:ind w:left="567" w:hanging="567"/>
        <w:rPr>
          <w:rFonts w:ascii="Times New Roman" w:hAnsi="Times New Roman"/>
          <w:b/>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1.</w:t>
      </w:r>
      <w:r w:rsidRPr="00C267BF">
        <w:rPr>
          <w:rFonts w:ascii="Times New Roman" w:hAnsi="Times New Roman"/>
          <w:b/>
          <w:noProof/>
          <w:lang w:eastAsia="sk-SK"/>
        </w:rPr>
        <w:tab/>
        <w:t>NÁZOV LIEKU</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2918A4"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M</w:t>
      </w:r>
      <w:r w:rsidR="00B17E64" w:rsidRPr="00B17E64">
        <w:rPr>
          <w:rFonts w:ascii="Times New Roman" w:hAnsi="Times New Roman"/>
          <w:noProof/>
          <w:lang w:eastAsia="sk-SK"/>
        </w:rPr>
        <w:t>ixor</w:t>
      </w:r>
      <w:r w:rsidR="00FD2D5B" w:rsidRPr="00C267BF">
        <w:rPr>
          <w:rFonts w:ascii="Times New Roman" w:hAnsi="Times New Roman"/>
          <w:noProof/>
          <w:lang w:eastAsia="sk-SK"/>
        </w:rPr>
        <w:t xml:space="preserve"> </w:t>
      </w:r>
      <w:r w:rsidRPr="00C267BF">
        <w:rPr>
          <w:rFonts w:ascii="Times New Roman" w:hAnsi="Times New Roman"/>
          <w:noProof/>
          <w:lang w:eastAsia="sk-SK"/>
        </w:rPr>
        <w:t>80</w:t>
      </w:r>
      <w:r w:rsidR="00FD2D5B" w:rsidRPr="00C267BF">
        <w:rPr>
          <w:rFonts w:ascii="Times New Roman" w:hAnsi="Times New Roman"/>
          <w:noProof/>
          <w:lang w:eastAsia="sk-SK"/>
        </w:rPr>
        <w:t> mg/5 mg</w:t>
      </w:r>
    </w:p>
    <w:p w:rsidR="00FD2D5B" w:rsidRPr="00C267BF" w:rsidRDefault="002918A4"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M</w:t>
      </w:r>
      <w:r w:rsidR="00B17E64" w:rsidRPr="00B17E64">
        <w:rPr>
          <w:rFonts w:ascii="Times New Roman" w:hAnsi="Times New Roman"/>
          <w:noProof/>
          <w:lang w:eastAsia="sk-SK"/>
        </w:rPr>
        <w:t>ixor</w:t>
      </w:r>
      <w:r w:rsidRPr="00C267BF">
        <w:rPr>
          <w:rFonts w:ascii="Times New Roman" w:hAnsi="Times New Roman"/>
          <w:noProof/>
          <w:lang w:eastAsia="sk-SK"/>
        </w:rPr>
        <w:t xml:space="preserve"> 80</w:t>
      </w:r>
      <w:r w:rsidR="00FD2D5B" w:rsidRPr="00C267BF">
        <w:rPr>
          <w:rFonts w:ascii="Times New Roman" w:hAnsi="Times New Roman"/>
          <w:noProof/>
          <w:lang w:eastAsia="sk-SK"/>
        </w:rPr>
        <w:t> mg/</w:t>
      </w:r>
      <w:r w:rsidRPr="00C267BF">
        <w:rPr>
          <w:rFonts w:ascii="Times New Roman" w:hAnsi="Times New Roman"/>
          <w:noProof/>
          <w:lang w:eastAsia="sk-SK"/>
        </w:rPr>
        <w:t>10</w:t>
      </w:r>
      <w:r w:rsidR="00FD2D5B" w:rsidRPr="00C267BF">
        <w:rPr>
          <w:rFonts w:ascii="Times New Roman" w:hAnsi="Times New Roman"/>
          <w:noProof/>
          <w:lang w:eastAsia="sk-SK"/>
        </w:rPr>
        <w:t> mg</w:t>
      </w: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tablety</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2.</w:t>
      </w:r>
      <w:r w:rsidRPr="00C267BF">
        <w:rPr>
          <w:rFonts w:ascii="Times New Roman" w:hAnsi="Times New Roman"/>
          <w:b/>
          <w:noProof/>
          <w:lang w:eastAsia="sk-SK"/>
        </w:rPr>
        <w:tab/>
        <w:t>KVALITATÍVNE A KVANTITATÍVNE ZLOŽENIE</w:t>
      </w:r>
    </w:p>
    <w:p w:rsidR="00FD2D5B" w:rsidRPr="00C267BF" w:rsidRDefault="00FD2D5B" w:rsidP="00FD2D5B">
      <w:pPr>
        <w:spacing w:after="0" w:line="240" w:lineRule="auto"/>
        <w:ind w:left="567" w:hanging="567"/>
        <w:rPr>
          <w:rFonts w:ascii="Times New Roman" w:hAnsi="Times New Roman"/>
          <w:i/>
          <w:noProof/>
          <w:lang w:eastAsia="sk-SK"/>
        </w:rPr>
      </w:pPr>
    </w:p>
    <w:p w:rsidR="00FD2D5B" w:rsidRPr="00C267BF" w:rsidRDefault="002918A4" w:rsidP="00FD2D5B">
      <w:pPr>
        <w:spacing w:after="0" w:line="240" w:lineRule="auto"/>
        <w:rPr>
          <w:rFonts w:ascii="Times New Roman" w:hAnsi="Times New Roman"/>
          <w:noProof/>
          <w:lang w:eastAsia="sk-SK"/>
        </w:rPr>
      </w:pPr>
      <w:r w:rsidRPr="00C267BF">
        <w:rPr>
          <w:rFonts w:ascii="Times New Roman" w:hAnsi="Times New Roman"/>
          <w:noProof/>
          <w:lang w:eastAsia="sk-SK"/>
        </w:rPr>
        <w:t>M</w:t>
      </w:r>
      <w:r w:rsidR="00B17E64" w:rsidRPr="00B17E64">
        <w:rPr>
          <w:rFonts w:ascii="Times New Roman" w:hAnsi="Times New Roman"/>
          <w:noProof/>
          <w:lang w:eastAsia="sk-SK"/>
        </w:rPr>
        <w:t>ixor</w:t>
      </w:r>
      <w:r w:rsidRPr="00C267BF">
        <w:rPr>
          <w:rFonts w:ascii="Times New Roman" w:hAnsi="Times New Roman"/>
          <w:noProof/>
          <w:lang w:eastAsia="sk-SK"/>
        </w:rPr>
        <w:t xml:space="preserve"> 80 mg/5 mg</w:t>
      </w:r>
    </w:p>
    <w:p w:rsidR="002918A4" w:rsidRPr="00C267BF" w:rsidRDefault="002918A4" w:rsidP="00FD2D5B">
      <w:pPr>
        <w:spacing w:after="0" w:line="240" w:lineRule="auto"/>
        <w:rPr>
          <w:rFonts w:ascii="Times New Roman" w:hAnsi="Times New Roman"/>
          <w:noProof/>
          <w:lang w:eastAsia="sk-SK"/>
        </w:rPr>
      </w:pPr>
      <w:r w:rsidRPr="00C267BF">
        <w:rPr>
          <w:rFonts w:ascii="Times New Roman" w:hAnsi="Times New Roman"/>
          <w:noProof/>
          <w:lang w:eastAsia="sk-SK"/>
        </w:rPr>
        <w:t>Každá tableta obsahuje 80 mg telmisartanu a 5 mg amlodipínu (ako amlodipín</w:t>
      </w:r>
      <w:r w:rsidR="000B1BD6">
        <w:rPr>
          <w:rFonts w:ascii="Times New Roman" w:hAnsi="Times New Roman"/>
          <w:noProof/>
          <w:lang w:eastAsia="sk-SK"/>
        </w:rPr>
        <w:t>ium</w:t>
      </w:r>
      <w:r w:rsidRPr="00C267BF">
        <w:rPr>
          <w:rFonts w:ascii="Times New Roman" w:hAnsi="Times New Roman"/>
          <w:noProof/>
          <w:lang w:eastAsia="sk-SK"/>
        </w:rPr>
        <w:t>besilát).</w:t>
      </w:r>
    </w:p>
    <w:p w:rsidR="00FD2D5B" w:rsidRPr="00C267BF" w:rsidRDefault="002918A4" w:rsidP="00FD2D5B">
      <w:pPr>
        <w:spacing w:after="0" w:line="240" w:lineRule="auto"/>
        <w:rPr>
          <w:rFonts w:ascii="Times New Roman" w:hAnsi="Times New Roman"/>
          <w:noProof/>
          <w:lang w:eastAsia="sk-SK"/>
        </w:rPr>
      </w:pPr>
      <w:r w:rsidRPr="00C267BF">
        <w:rPr>
          <w:rFonts w:ascii="Times New Roman" w:hAnsi="Times New Roman"/>
          <w:noProof/>
          <w:lang w:eastAsia="sk-SK"/>
        </w:rPr>
        <w:t>M</w:t>
      </w:r>
      <w:r w:rsidR="00B17E64" w:rsidRPr="00B17E64">
        <w:rPr>
          <w:rFonts w:ascii="Times New Roman" w:hAnsi="Times New Roman"/>
          <w:noProof/>
          <w:lang w:eastAsia="sk-SK"/>
        </w:rPr>
        <w:t>ixor</w:t>
      </w:r>
      <w:r w:rsidRPr="00C267BF">
        <w:rPr>
          <w:rFonts w:ascii="Times New Roman" w:hAnsi="Times New Roman"/>
          <w:noProof/>
          <w:lang w:eastAsia="sk-SK"/>
        </w:rPr>
        <w:t xml:space="preserve"> 80 mg/10 mg</w:t>
      </w:r>
    </w:p>
    <w:p w:rsidR="00FD2D5B" w:rsidRPr="00C267BF" w:rsidRDefault="002918A4" w:rsidP="00FD2D5B">
      <w:pPr>
        <w:spacing w:after="0" w:line="240" w:lineRule="auto"/>
        <w:rPr>
          <w:rFonts w:ascii="Times New Roman" w:hAnsi="Times New Roman"/>
          <w:noProof/>
          <w:lang w:eastAsia="sk-SK"/>
        </w:rPr>
      </w:pPr>
      <w:r w:rsidRPr="00C267BF">
        <w:rPr>
          <w:rFonts w:ascii="Times New Roman" w:hAnsi="Times New Roman"/>
          <w:noProof/>
          <w:lang w:eastAsia="sk-SK"/>
        </w:rPr>
        <w:t>Každá tableta obsahuje 80 mg telmisartanu a 10 mg amlodipínu (ako amlodipín</w:t>
      </w:r>
      <w:r w:rsidR="000B1BD6">
        <w:rPr>
          <w:rFonts w:ascii="Times New Roman" w:hAnsi="Times New Roman"/>
          <w:noProof/>
          <w:lang w:eastAsia="sk-SK"/>
        </w:rPr>
        <w:t>ium</w:t>
      </w:r>
      <w:r w:rsidRPr="00C267BF">
        <w:rPr>
          <w:rFonts w:ascii="Times New Roman" w:hAnsi="Times New Roman"/>
          <w:noProof/>
          <w:lang w:eastAsia="sk-SK"/>
        </w:rPr>
        <w:t>besilát).</w:t>
      </w:r>
    </w:p>
    <w:p w:rsidR="00FD2D5B" w:rsidRPr="00C267BF" w:rsidRDefault="00FD2D5B" w:rsidP="00FD2D5B">
      <w:pPr>
        <w:spacing w:after="0" w:line="240" w:lineRule="auto"/>
        <w:rPr>
          <w:rFonts w:ascii="Times New Roman" w:hAnsi="Times New Roman"/>
          <w:noProof/>
          <w:lang w:eastAsia="sk-SK"/>
        </w:rPr>
      </w:pPr>
    </w:p>
    <w:p w:rsidR="00FD2D5B" w:rsidRPr="00F01F11" w:rsidRDefault="00FD2D5B" w:rsidP="00FD2D5B">
      <w:pPr>
        <w:spacing w:after="0" w:line="240" w:lineRule="auto"/>
        <w:rPr>
          <w:rFonts w:ascii="Times New Roman" w:hAnsi="Times New Roman"/>
          <w:noProof/>
          <w:lang w:eastAsia="sk-SK"/>
        </w:rPr>
      </w:pPr>
      <w:r w:rsidRPr="00F01F11">
        <w:rPr>
          <w:rFonts w:ascii="Times New Roman" w:hAnsi="Times New Roman"/>
          <w:noProof/>
          <w:u w:val="single"/>
          <w:lang w:eastAsia="sk-SK"/>
        </w:rPr>
        <w:t>Pomocná látka so známym účinkom</w:t>
      </w:r>
      <w:r w:rsidRPr="00F01F11">
        <w:rPr>
          <w:rFonts w:ascii="Times New Roman" w:hAnsi="Times New Roman"/>
          <w:noProof/>
          <w:lang w:eastAsia="sk-SK"/>
        </w:rPr>
        <w:t xml:space="preserve">: </w:t>
      </w:r>
      <w:r w:rsidR="002918A4" w:rsidRPr="00F01F11">
        <w:rPr>
          <w:rFonts w:ascii="Times New Roman" w:hAnsi="Times New Roman"/>
          <w:noProof/>
          <w:lang w:eastAsia="sk-SK"/>
        </w:rPr>
        <w:t>sorbitol</w:t>
      </w:r>
      <w:r w:rsidR="00412ABB" w:rsidRPr="00F01F11">
        <w:rPr>
          <w:rFonts w:ascii="Times New Roman" w:hAnsi="Times New Roman"/>
          <w:noProof/>
          <w:lang w:eastAsia="sk-SK"/>
        </w:rPr>
        <w:t xml:space="preserve"> a sodík.</w:t>
      </w:r>
    </w:p>
    <w:p w:rsidR="00350B09" w:rsidRPr="00F01F11" w:rsidRDefault="00350B09" w:rsidP="00350B09">
      <w:pPr>
        <w:spacing w:after="0" w:line="240" w:lineRule="auto"/>
        <w:ind w:left="567" w:hanging="567"/>
        <w:rPr>
          <w:rFonts w:ascii="Times New Roman" w:hAnsi="Times New Roman"/>
          <w:noProof/>
          <w:lang w:eastAsia="sk-SK"/>
        </w:rPr>
      </w:pPr>
      <w:r w:rsidRPr="00F01F11">
        <w:rPr>
          <w:rFonts w:ascii="Times New Roman" w:hAnsi="Times New Roman"/>
          <w:noProof/>
          <w:lang w:eastAsia="sk-SK"/>
        </w:rPr>
        <w:t>M</w:t>
      </w:r>
      <w:r w:rsidR="00B17E64" w:rsidRPr="00F01F11">
        <w:rPr>
          <w:rFonts w:ascii="Times New Roman" w:hAnsi="Times New Roman"/>
          <w:noProof/>
          <w:lang w:eastAsia="sk-SK"/>
        </w:rPr>
        <w:t>ixor</w:t>
      </w:r>
      <w:r w:rsidRPr="00F01F11">
        <w:rPr>
          <w:rFonts w:ascii="Times New Roman" w:hAnsi="Times New Roman"/>
          <w:noProof/>
          <w:lang w:eastAsia="sk-SK"/>
        </w:rPr>
        <w:t xml:space="preserve"> 80 mg/5 mg: Každá tableta obsahuje 320,4 mg sorbitolu</w:t>
      </w:r>
      <w:r w:rsidR="00412ABB" w:rsidRPr="00F01F11">
        <w:rPr>
          <w:rFonts w:ascii="Times New Roman" w:hAnsi="Times New Roman"/>
          <w:noProof/>
          <w:lang w:eastAsia="sk-SK"/>
        </w:rPr>
        <w:t xml:space="preserve"> a 3,91 mg sodíka</w:t>
      </w:r>
      <w:r w:rsidRPr="00F01F11">
        <w:rPr>
          <w:rFonts w:ascii="Times New Roman" w:hAnsi="Times New Roman"/>
          <w:noProof/>
          <w:lang w:eastAsia="sk-SK"/>
        </w:rPr>
        <w:t>.</w:t>
      </w:r>
    </w:p>
    <w:p w:rsidR="00350B09" w:rsidRPr="00F01F11" w:rsidRDefault="00350B09" w:rsidP="00350B09">
      <w:pPr>
        <w:spacing w:after="0" w:line="240" w:lineRule="auto"/>
        <w:ind w:left="567" w:hanging="567"/>
        <w:rPr>
          <w:rFonts w:ascii="Times New Roman" w:hAnsi="Times New Roman"/>
          <w:noProof/>
          <w:lang w:eastAsia="sk-SK"/>
        </w:rPr>
      </w:pPr>
      <w:r w:rsidRPr="00F01F11">
        <w:rPr>
          <w:rFonts w:ascii="Times New Roman" w:hAnsi="Times New Roman"/>
          <w:noProof/>
          <w:lang w:eastAsia="sk-SK"/>
        </w:rPr>
        <w:t>M</w:t>
      </w:r>
      <w:r w:rsidR="00B17E64" w:rsidRPr="00F01F11">
        <w:rPr>
          <w:rFonts w:ascii="Times New Roman" w:hAnsi="Times New Roman"/>
          <w:noProof/>
          <w:lang w:eastAsia="sk-SK"/>
        </w:rPr>
        <w:t>ixor</w:t>
      </w:r>
      <w:r w:rsidRPr="00F01F11">
        <w:rPr>
          <w:rFonts w:ascii="Times New Roman" w:hAnsi="Times New Roman"/>
          <w:noProof/>
          <w:lang w:eastAsia="sk-SK"/>
        </w:rPr>
        <w:t xml:space="preserve"> 80 mg/10 mg: Každá tableta obsahuje 320,4 mg sorbitolu</w:t>
      </w:r>
      <w:r w:rsidR="00412ABB" w:rsidRPr="00F01F11">
        <w:rPr>
          <w:rFonts w:ascii="Times New Roman" w:hAnsi="Times New Roman"/>
          <w:noProof/>
          <w:lang w:eastAsia="sk-SK"/>
        </w:rPr>
        <w:t xml:space="preserve"> a 3,91 mg sodíka</w:t>
      </w:r>
      <w:r w:rsidRPr="00F01F11">
        <w:rPr>
          <w:rFonts w:ascii="Times New Roman" w:hAnsi="Times New Roman"/>
          <w:noProof/>
          <w:lang w:eastAsia="sk-SK"/>
        </w:rPr>
        <w:t>.</w:t>
      </w:r>
    </w:p>
    <w:p w:rsidR="00FD2D5B" w:rsidRPr="00F01F11" w:rsidRDefault="00FD2D5B" w:rsidP="00FD2D5B">
      <w:pPr>
        <w:spacing w:after="0" w:line="240" w:lineRule="auto"/>
        <w:ind w:left="567" w:hanging="567"/>
        <w:rPr>
          <w:rFonts w:ascii="Times New Roman" w:hAnsi="Times New Roman"/>
          <w:lang w:eastAsia="sk-SK"/>
        </w:rPr>
      </w:pPr>
    </w:p>
    <w:p w:rsidR="00FD2D5B" w:rsidRPr="00C267BF" w:rsidRDefault="00FD2D5B" w:rsidP="00FD2D5B">
      <w:pPr>
        <w:spacing w:after="0" w:line="240" w:lineRule="auto"/>
        <w:ind w:left="567" w:hanging="567"/>
        <w:rPr>
          <w:rFonts w:ascii="Times New Roman" w:hAnsi="Times New Roman"/>
          <w:lang w:eastAsia="sk-SK"/>
        </w:rPr>
      </w:pPr>
      <w:r w:rsidRPr="00F01F11">
        <w:rPr>
          <w:rFonts w:ascii="Times New Roman" w:hAnsi="Times New Roman"/>
          <w:lang w:eastAsia="sk-SK"/>
        </w:rPr>
        <w:t>Úplný zoznam pomocných látok, pozri časť 6.1.</w:t>
      </w:r>
    </w:p>
    <w:p w:rsidR="00FD2D5B" w:rsidRPr="00C267BF" w:rsidRDefault="00FD2D5B" w:rsidP="00FD2D5B">
      <w:pPr>
        <w:spacing w:after="0" w:line="240" w:lineRule="auto"/>
        <w:rPr>
          <w:rFonts w:ascii="Times New Roman" w:hAnsi="Times New Roman"/>
          <w:noProof/>
          <w:lang w:eastAsia="sk-SK"/>
        </w:rPr>
      </w:pPr>
    </w:p>
    <w:p w:rsidR="00FD2D5B" w:rsidRPr="00C267BF" w:rsidRDefault="00FD2D5B" w:rsidP="00FD2D5B">
      <w:pPr>
        <w:spacing w:after="0" w:line="240" w:lineRule="auto"/>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caps/>
          <w:noProof/>
          <w:lang w:eastAsia="sk-SK"/>
        </w:rPr>
      </w:pPr>
      <w:r w:rsidRPr="00C267BF">
        <w:rPr>
          <w:rFonts w:ascii="Times New Roman" w:hAnsi="Times New Roman"/>
          <w:b/>
          <w:noProof/>
          <w:lang w:eastAsia="sk-SK"/>
        </w:rPr>
        <w:t>3.</w:t>
      </w:r>
      <w:r w:rsidRPr="00C267BF">
        <w:rPr>
          <w:rFonts w:ascii="Times New Roman" w:hAnsi="Times New Roman"/>
          <w:b/>
          <w:noProof/>
          <w:lang w:eastAsia="sk-SK"/>
        </w:rPr>
        <w:tab/>
        <w:t>LIEKOVÁ FORMA</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rPr>
          <w:rFonts w:ascii="Times New Roman" w:hAnsi="Times New Roman"/>
          <w:noProof/>
          <w:lang w:eastAsia="sk-SK"/>
        </w:rPr>
      </w:pPr>
      <w:r w:rsidRPr="00C267BF">
        <w:rPr>
          <w:rFonts w:ascii="Times New Roman" w:hAnsi="Times New Roman"/>
          <w:noProof/>
          <w:lang w:eastAsia="sk-SK"/>
        </w:rPr>
        <w:t>Tableta.</w:t>
      </w:r>
    </w:p>
    <w:p w:rsidR="00350B09" w:rsidRPr="00C267BF" w:rsidRDefault="00350B09" w:rsidP="00FD2D5B">
      <w:pPr>
        <w:spacing w:after="0" w:line="240" w:lineRule="auto"/>
        <w:rPr>
          <w:rFonts w:ascii="Times New Roman" w:hAnsi="Times New Roman"/>
          <w:noProof/>
          <w:lang w:eastAsia="sk-SK"/>
        </w:rPr>
      </w:pPr>
    </w:p>
    <w:p w:rsidR="00350B09" w:rsidRPr="00C267BF" w:rsidRDefault="00350B09" w:rsidP="00FD2D5B">
      <w:pPr>
        <w:spacing w:after="0" w:line="240" w:lineRule="auto"/>
        <w:rPr>
          <w:rFonts w:ascii="Times New Roman" w:hAnsi="Times New Roman"/>
          <w:noProof/>
          <w:lang w:eastAsia="sk-SK"/>
        </w:rPr>
      </w:pPr>
      <w:r w:rsidRPr="00C267BF">
        <w:rPr>
          <w:rFonts w:ascii="Times New Roman" w:hAnsi="Times New Roman"/>
          <w:noProof/>
          <w:lang w:eastAsia="sk-SK"/>
        </w:rPr>
        <w:t>M</w:t>
      </w:r>
      <w:r w:rsidR="00B17E64" w:rsidRPr="00B17E64">
        <w:rPr>
          <w:rFonts w:ascii="Times New Roman" w:hAnsi="Times New Roman"/>
          <w:noProof/>
          <w:lang w:eastAsia="sk-SK"/>
        </w:rPr>
        <w:t>ixor</w:t>
      </w:r>
      <w:r w:rsidRPr="00C267BF">
        <w:rPr>
          <w:rFonts w:ascii="Times New Roman" w:hAnsi="Times New Roman"/>
          <w:noProof/>
          <w:lang w:eastAsia="sk-SK"/>
        </w:rPr>
        <w:t xml:space="preserve"> 80 mg/5 mg: Takmer biele až žltkasté podlhovasté bikonvexné tablety s rozmerom 18,5 x 8,5 mm </w:t>
      </w:r>
      <w:r w:rsidR="009421CE" w:rsidRPr="00C267BF">
        <w:rPr>
          <w:rFonts w:ascii="Times New Roman" w:hAnsi="Times New Roman"/>
          <w:noProof/>
          <w:lang w:eastAsia="sk-SK"/>
        </w:rPr>
        <w:t xml:space="preserve">a </w:t>
      </w:r>
      <w:r w:rsidR="00E816D0" w:rsidRPr="00C267BF">
        <w:rPr>
          <w:rFonts w:ascii="Times New Roman" w:hAnsi="Times New Roman"/>
          <w:noProof/>
          <w:lang w:eastAsia="sk-SK"/>
        </w:rPr>
        <w:t xml:space="preserve">s </w:t>
      </w:r>
      <w:r w:rsidR="001D44C6" w:rsidRPr="00C267BF">
        <w:rPr>
          <w:rFonts w:ascii="Times New Roman" w:hAnsi="Times New Roman"/>
          <w:noProof/>
          <w:lang w:eastAsia="sk-SK"/>
        </w:rPr>
        <w:t>vytlače</w:t>
      </w:r>
      <w:r w:rsidR="00E816D0" w:rsidRPr="00C267BF">
        <w:rPr>
          <w:rFonts w:ascii="Times New Roman" w:hAnsi="Times New Roman"/>
          <w:noProof/>
          <w:lang w:eastAsia="sk-SK"/>
        </w:rPr>
        <w:t>nou </w:t>
      </w:r>
      <w:r w:rsidRPr="00C267BF">
        <w:rPr>
          <w:rFonts w:ascii="Times New Roman" w:hAnsi="Times New Roman"/>
          <w:noProof/>
          <w:lang w:eastAsia="sk-SK"/>
        </w:rPr>
        <w:t xml:space="preserve"> "80" "5" s dekoratívnou </w:t>
      </w:r>
      <w:r w:rsidR="00E816D0" w:rsidRPr="00C267BF">
        <w:rPr>
          <w:rFonts w:ascii="Times New Roman" w:hAnsi="Times New Roman"/>
          <w:noProof/>
          <w:lang w:eastAsia="sk-SK"/>
        </w:rPr>
        <w:t>ryhou</w:t>
      </w:r>
      <w:r w:rsidRPr="00C267BF">
        <w:rPr>
          <w:rFonts w:ascii="Times New Roman" w:hAnsi="Times New Roman"/>
          <w:noProof/>
          <w:lang w:eastAsia="sk-SK"/>
        </w:rPr>
        <w:t xml:space="preserve"> na jednej strane. </w:t>
      </w:r>
      <w:r w:rsidR="00E816D0" w:rsidRPr="00C267BF">
        <w:rPr>
          <w:rFonts w:ascii="Times New Roman" w:hAnsi="Times New Roman"/>
          <w:noProof/>
          <w:lang w:eastAsia="sk-SK"/>
        </w:rPr>
        <w:t>Deliaca ryha nie je určená na rozlomenie tablety</w:t>
      </w:r>
      <w:r w:rsidRPr="00C267BF">
        <w:rPr>
          <w:rFonts w:ascii="Times New Roman" w:hAnsi="Times New Roman"/>
          <w:noProof/>
          <w:lang w:eastAsia="sk-SK"/>
        </w:rPr>
        <w:t>.</w:t>
      </w:r>
    </w:p>
    <w:p w:rsidR="00FD2D5B" w:rsidRPr="00C267BF" w:rsidRDefault="009421CE" w:rsidP="00FD2D5B">
      <w:pPr>
        <w:spacing w:after="0" w:line="240" w:lineRule="auto"/>
        <w:rPr>
          <w:rFonts w:ascii="Times New Roman" w:hAnsi="Times New Roman"/>
          <w:noProof/>
          <w:lang w:eastAsia="sk-SK"/>
        </w:rPr>
      </w:pPr>
      <w:r w:rsidRPr="00C267BF">
        <w:rPr>
          <w:rFonts w:ascii="Times New Roman" w:hAnsi="Times New Roman"/>
          <w:noProof/>
          <w:lang w:eastAsia="sk-SK"/>
        </w:rPr>
        <w:t>M</w:t>
      </w:r>
      <w:r w:rsidR="00B17E64" w:rsidRPr="00B17E64">
        <w:rPr>
          <w:rFonts w:ascii="Times New Roman" w:hAnsi="Times New Roman"/>
          <w:noProof/>
          <w:lang w:eastAsia="sk-SK"/>
        </w:rPr>
        <w:t>ixor</w:t>
      </w:r>
      <w:r w:rsidRPr="00C267BF">
        <w:rPr>
          <w:rFonts w:ascii="Times New Roman" w:hAnsi="Times New Roman"/>
          <w:noProof/>
          <w:lang w:eastAsia="sk-SK"/>
        </w:rPr>
        <w:t xml:space="preserve"> 80 mg/10 mg: Takmer biele až žltkasté podlhovasté bikonvexné tablety s rozmerom 18,5 x 8,5 mm a s </w:t>
      </w:r>
      <w:r w:rsidR="001D44C6" w:rsidRPr="00C267BF">
        <w:rPr>
          <w:rFonts w:ascii="Times New Roman" w:hAnsi="Times New Roman"/>
          <w:noProof/>
          <w:lang w:eastAsia="sk-SK"/>
        </w:rPr>
        <w:t>vytlače</w:t>
      </w:r>
      <w:r w:rsidRPr="00C267BF">
        <w:rPr>
          <w:rFonts w:ascii="Times New Roman" w:hAnsi="Times New Roman"/>
          <w:noProof/>
          <w:lang w:eastAsia="sk-SK"/>
        </w:rPr>
        <w:t>nou  "80" "10" na jednej strane.</w:t>
      </w:r>
    </w:p>
    <w:p w:rsidR="00FD2D5B" w:rsidRDefault="00FD2D5B" w:rsidP="00FD2D5B">
      <w:pPr>
        <w:spacing w:after="0" w:line="240" w:lineRule="auto"/>
        <w:rPr>
          <w:rFonts w:ascii="Times New Roman" w:hAnsi="Times New Roman"/>
          <w:noProof/>
          <w:lang w:eastAsia="sk-SK"/>
        </w:rPr>
      </w:pPr>
    </w:p>
    <w:p w:rsidR="00306F40" w:rsidRPr="00C267BF" w:rsidRDefault="00306F40" w:rsidP="00FD2D5B">
      <w:pPr>
        <w:spacing w:after="0" w:line="240" w:lineRule="auto"/>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caps/>
          <w:noProof/>
          <w:lang w:eastAsia="sk-SK"/>
        </w:rPr>
      </w:pPr>
      <w:r w:rsidRPr="00C267BF">
        <w:rPr>
          <w:rFonts w:ascii="Times New Roman" w:hAnsi="Times New Roman"/>
          <w:b/>
          <w:caps/>
          <w:noProof/>
          <w:lang w:eastAsia="sk-SK"/>
        </w:rPr>
        <w:t>4.</w:t>
      </w:r>
      <w:r w:rsidRPr="00C267BF">
        <w:rPr>
          <w:rFonts w:ascii="Times New Roman" w:hAnsi="Times New Roman"/>
          <w:b/>
          <w:caps/>
          <w:noProof/>
          <w:lang w:eastAsia="sk-SK"/>
        </w:rPr>
        <w:tab/>
        <w:t>KLINICKÉ ÚDAJE</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4.1</w:t>
      </w:r>
      <w:r w:rsidRPr="00C267BF">
        <w:rPr>
          <w:rFonts w:ascii="Times New Roman" w:hAnsi="Times New Roman"/>
          <w:b/>
          <w:noProof/>
          <w:lang w:eastAsia="sk-SK"/>
        </w:rPr>
        <w:tab/>
        <w:t>Terapeutické indikácie</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9421CE" w:rsidP="00FD2D5B">
      <w:pPr>
        <w:spacing w:after="0" w:line="240" w:lineRule="auto"/>
        <w:rPr>
          <w:rFonts w:ascii="Times New Roman" w:hAnsi="Times New Roman"/>
          <w:noProof/>
          <w:lang w:eastAsia="sk-SK"/>
        </w:rPr>
      </w:pPr>
      <w:proofErr w:type="spellStart"/>
      <w:r w:rsidRPr="00C267BF">
        <w:rPr>
          <w:rFonts w:ascii="Times New Roman" w:hAnsi="Times New Roman"/>
          <w:lang w:eastAsia="sk-SK"/>
        </w:rPr>
        <w:t>M</w:t>
      </w:r>
      <w:r w:rsidR="00B17E64" w:rsidRPr="00B17E64">
        <w:rPr>
          <w:rFonts w:ascii="Times New Roman" w:hAnsi="Times New Roman"/>
          <w:lang w:eastAsia="sk-SK"/>
        </w:rPr>
        <w:t>ixor</w:t>
      </w:r>
      <w:proofErr w:type="spellEnd"/>
      <w:r w:rsidRPr="00C267BF">
        <w:rPr>
          <w:rFonts w:ascii="Times New Roman" w:hAnsi="Times New Roman"/>
          <w:lang w:eastAsia="sk-SK"/>
        </w:rPr>
        <w:t xml:space="preserve"> je indikovaný ako substitučná liečba u dospelých pacientov s esenciálnou hypertenziou, ktorých krvný tlak je dostatočne kontrolovaný kombináci</w:t>
      </w:r>
      <w:r w:rsidR="00153BC8" w:rsidRPr="00C267BF">
        <w:rPr>
          <w:rFonts w:ascii="Times New Roman" w:hAnsi="Times New Roman"/>
          <w:lang w:eastAsia="sk-SK"/>
        </w:rPr>
        <w:t>o</w:t>
      </w:r>
      <w:r w:rsidRPr="00C267BF">
        <w:rPr>
          <w:rFonts w:ascii="Times New Roman" w:hAnsi="Times New Roman"/>
          <w:lang w:eastAsia="sk-SK"/>
        </w:rPr>
        <w:t xml:space="preserve">u </w:t>
      </w:r>
      <w:proofErr w:type="spellStart"/>
      <w:r w:rsidRPr="00C267BF">
        <w:rPr>
          <w:rFonts w:ascii="Times New Roman" w:hAnsi="Times New Roman"/>
          <w:lang w:eastAsia="sk-SK"/>
        </w:rPr>
        <w:t>amlodipínu</w:t>
      </w:r>
      <w:proofErr w:type="spellEnd"/>
      <w:r w:rsidRPr="00C267BF">
        <w:rPr>
          <w:rFonts w:ascii="Times New Roman" w:hAnsi="Times New Roman"/>
          <w:lang w:eastAsia="sk-SK"/>
        </w:rPr>
        <w:t xml:space="preserve"> a </w:t>
      </w:r>
      <w:proofErr w:type="spellStart"/>
      <w:r w:rsidRPr="00C267BF">
        <w:rPr>
          <w:rFonts w:ascii="Times New Roman" w:hAnsi="Times New Roman"/>
          <w:lang w:eastAsia="sk-SK"/>
        </w:rPr>
        <w:t>telmisartanu</w:t>
      </w:r>
      <w:proofErr w:type="spellEnd"/>
      <w:r w:rsidRPr="00C267BF">
        <w:t xml:space="preserve"> </w:t>
      </w:r>
      <w:r w:rsidRPr="00C267BF">
        <w:rPr>
          <w:rFonts w:ascii="Times New Roman" w:hAnsi="Times New Roman"/>
          <w:lang w:eastAsia="sk-SK"/>
        </w:rPr>
        <w:t>podávaných súčasne v</w:t>
      </w:r>
      <w:r w:rsidR="00F552CA">
        <w:rPr>
          <w:rFonts w:ascii="Times New Roman" w:hAnsi="Times New Roman"/>
          <w:lang w:eastAsia="sk-SK"/>
        </w:rPr>
        <w:t> </w:t>
      </w:r>
      <w:r w:rsidRPr="00C267BF">
        <w:rPr>
          <w:rFonts w:ascii="Times New Roman" w:hAnsi="Times New Roman"/>
          <w:lang w:eastAsia="sk-SK"/>
        </w:rPr>
        <w:t>rovnakých dávkach.</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4.2</w:t>
      </w:r>
      <w:r w:rsidRPr="00C267BF">
        <w:rPr>
          <w:rFonts w:ascii="Times New Roman" w:hAnsi="Times New Roman"/>
          <w:b/>
          <w:noProof/>
          <w:lang w:eastAsia="sk-SK"/>
        </w:rPr>
        <w:tab/>
        <w:t>Dávkovanie a spôsob podávania</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Dávkovanie</w:t>
      </w:r>
    </w:p>
    <w:p w:rsidR="00FD2D5B" w:rsidRPr="00C267BF" w:rsidRDefault="00FD2D5B" w:rsidP="00FD2D5B">
      <w:pPr>
        <w:spacing w:after="0" w:line="240" w:lineRule="auto"/>
        <w:ind w:left="567" w:hanging="567"/>
        <w:rPr>
          <w:rFonts w:ascii="Times New Roman" w:hAnsi="Times New Roman"/>
          <w:noProof/>
          <w:u w:val="single"/>
          <w:lang w:eastAsia="sk-SK"/>
        </w:rPr>
      </w:pPr>
    </w:p>
    <w:p w:rsidR="00912EC0" w:rsidRPr="00C267BF" w:rsidRDefault="00912EC0" w:rsidP="00912EC0">
      <w:pPr>
        <w:spacing w:after="0" w:line="240" w:lineRule="auto"/>
        <w:rPr>
          <w:rFonts w:ascii="Times New Roman" w:hAnsi="Times New Roman"/>
          <w:lang w:eastAsia="sk-SK"/>
        </w:rPr>
      </w:pPr>
      <w:r w:rsidRPr="00C267BF">
        <w:rPr>
          <w:rFonts w:ascii="Times New Roman" w:hAnsi="Times New Roman"/>
          <w:lang w:eastAsia="sk-SK"/>
        </w:rPr>
        <w:t>Pacienti užívajúci telmisartan</w:t>
      </w:r>
      <w:r w:rsidR="005F11EC" w:rsidRPr="00C267BF">
        <w:rPr>
          <w:rFonts w:ascii="Times New Roman" w:hAnsi="Times New Roman"/>
          <w:lang w:eastAsia="sk-SK"/>
        </w:rPr>
        <w:t xml:space="preserve"> a amlodipín vo forme jednozložkových tabliet</w:t>
      </w:r>
      <w:r w:rsidRPr="00C267BF">
        <w:rPr>
          <w:rFonts w:ascii="Times New Roman" w:hAnsi="Times New Roman"/>
          <w:lang w:eastAsia="sk-SK"/>
        </w:rPr>
        <w:t xml:space="preserve"> môžu namiesto </w:t>
      </w:r>
      <w:r w:rsidR="00AC6A59" w:rsidRPr="00C267BF">
        <w:rPr>
          <w:rFonts w:ascii="Times New Roman" w:hAnsi="Times New Roman"/>
          <w:lang w:eastAsia="sk-SK"/>
        </w:rPr>
        <w:t>nich</w:t>
      </w:r>
      <w:r w:rsidRPr="00C267BF">
        <w:rPr>
          <w:rFonts w:ascii="Times New Roman" w:hAnsi="Times New Roman"/>
          <w:lang w:eastAsia="sk-SK"/>
        </w:rPr>
        <w:t xml:space="preserve"> užívať tablety </w:t>
      </w:r>
      <w:proofErr w:type="spellStart"/>
      <w:r w:rsidRPr="00C267BF">
        <w:rPr>
          <w:rFonts w:ascii="Times New Roman" w:hAnsi="Times New Roman"/>
          <w:lang w:eastAsia="sk-SK"/>
        </w:rPr>
        <w:t>M</w:t>
      </w:r>
      <w:r w:rsidR="00B17E64" w:rsidRPr="00B17E64">
        <w:rPr>
          <w:rFonts w:ascii="Times New Roman" w:hAnsi="Times New Roman"/>
          <w:lang w:eastAsia="sk-SK"/>
        </w:rPr>
        <w:t>ixor</w:t>
      </w:r>
      <w:r w:rsidR="00B17E64">
        <w:rPr>
          <w:rFonts w:ascii="Times New Roman" w:hAnsi="Times New Roman"/>
          <w:lang w:eastAsia="sk-SK"/>
        </w:rPr>
        <w:t>u</w:t>
      </w:r>
      <w:proofErr w:type="spellEnd"/>
      <w:r w:rsidRPr="00C267BF">
        <w:rPr>
          <w:rFonts w:ascii="Times New Roman" w:hAnsi="Times New Roman"/>
          <w:lang w:eastAsia="sk-SK"/>
        </w:rPr>
        <w:t xml:space="preserve"> obsahujúce rovnak</w:t>
      </w:r>
      <w:r w:rsidR="005F11EC" w:rsidRPr="00C267BF">
        <w:rPr>
          <w:rFonts w:ascii="Times New Roman" w:hAnsi="Times New Roman"/>
          <w:lang w:eastAsia="sk-SK"/>
        </w:rPr>
        <w:t>é dávky</w:t>
      </w:r>
      <w:r w:rsidRPr="00C267BF">
        <w:rPr>
          <w:rFonts w:ascii="Times New Roman" w:hAnsi="Times New Roman"/>
          <w:lang w:eastAsia="sk-SK"/>
        </w:rPr>
        <w:t xml:space="preserve"> jednotlivých zložiek.</w:t>
      </w:r>
    </w:p>
    <w:p w:rsidR="00912EC0" w:rsidRPr="00C267BF" w:rsidRDefault="00912EC0" w:rsidP="00912EC0">
      <w:pPr>
        <w:spacing w:after="0" w:line="240" w:lineRule="auto"/>
        <w:rPr>
          <w:rFonts w:ascii="Times New Roman" w:hAnsi="Times New Roman"/>
          <w:highlight w:val="yellow"/>
          <w:lang w:eastAsia="sk-SK"/>
        </w:rPr>
      </w:pPr>
      <w:r w:rsidRPr="00C267BF">
        <w:rPr>
          <w:rFonts w:ascii="Times New Roman" w:hAnsi="Times New Roman"/>
          <w:lang w:eastAsia="sk-SK"/>
        </w:rPr>
        <w:t>Pacienti majú užívať silu zodpovedajúcu ich predchádzajúc</w:t>
      </w:r>
      <w:r w:rsidR="005C42CA" w:rsidRPr="00C267BF">
        <w:rPr>
          <w:rFonts w:ascii="Times New Roman" w:hAnsi="Times New Roman"/>
          <w:lang w:eastAsia="sk-SK"/>
        </w:rPr>
        <w:t>ej</w:t>
      </w:r>
      <w:r w:rsidRPr="00C267BF">
        <w:rPr>
          <w:rFonts w:ascii="Times New Roman" w:hAnsi="Times New Roman"/>
          <w:lang w:eastAsia="sk-SK"/>
        </w:rPr>
        <w:t xml:space="preserve"> liečb</w:t>
      </w:r>
      <w:r w:rsidR="005C42CA" w:rsidRPr="00C267BF">
        <w:rPr>
          <w:rFonts w:ascii="Times New Roman" w:hAnsi="Times New Roman"/>
          <w:lang w:eastAsia="sk-SK"/>
        </w:rPr>
        <w:t>e</w:t>
      </w:r>
      <w:r w:rsidRPr="00C267BF">
        <w:rPr>
          <w:rFonts w:ascii="Times New Roman" w:hAnsi="Times New Roman"/>
          <w:lang w:eastAsia="sk-SK"/>
        </w:rPr>
        <w:t>.</w:t>
      </w:r>
    </w:p>
    <w:p w:rsidR="005C42CA" w:rsidRPr="00C267BF" w:rsidRDefault="005C42CA" w:rsidP="00FD2D5B">
      <w:pPr>
        <w:spacing w:after="0" w:line="240" w:lineRule="auto"/>
        <w:rPr>
          <w:rFonts w:ascii="Times New Roman" w:hAnsi="Times New Roman"/>
          <w:highlight w:val="yellow"/>
          <w:lang w:eastAsia="sk-SK"/>
        </w:rPr>
      </w:pPr>
    </w:p>
    <w:p w:rsidR="00FD2D5B" w:rsidRPr="00C267BF" w:rsidRDefault="00FD2D5B" w:rsidP="00FD2D5B">
      <w:pPr>
        <w:spacing w:after="0" w:line="240" w:lineRule="auto"/>
        <w:rPr>
          <w:rFonts w:ascii="Times New Roman" w:hAnsi="Times New Roman"/>
          <w:highlight w:val="yellow"/>
          <w:lang w:eastAsia="sk-SK"/>
        </w:rPr>
      </w:pPr>
      <w:r w:rsidRPr="00C267BF">
        <w:rPr>
          <w:rFonts w:ascii="Times New Roman" w:hAnsi="Times New Roman"/>
          <w:lang w:eastAsia="sk-SK"/>
        </w:rPr>
        <w:t xml:space="preserve">Odporúčaná dávka je </w:t>
      </w:r>
      <w:r w:rsidR="005C42CA" w:rsidRPr="00C267BF">
        <w:rPr>
          <w:rFonts w:ascii="Times New Roman" w:hAnsi="Times New Roman"/>
          <w:lang w:eastAsia="sk-SK"/>
        </w:rPr>
        <w:t xml:space="preserve">1 tableta </w:t>
      </w:r>
      <w:proofErr w:type="spellStart"/>
      <w:r w:rsidR="005C42CA" w:rsidRPr="00C267BF">
        <w:rPr>
          <w:rFonts w:ascii="Times New Roman" w:hAnsi="Times New Roman"/>
          <w:lang w:eastAsia="sk-SK"/>
        </w:rPr>
        <w:t>M</w:t>
      </w:r>
      <w:r w:rsidR="00B17E64" w:rsidRPr="00B17E64">
        <w:rPr>
          <w:rFonts w:ascii="Times New Roman" w:hAnsi="Times New Roman"/>
          <w:lang w:eastAsia="sk-SK"/>
        </w:rPr>
        <w:t>ixor</w:t>
      </w:r>
      <w:r w:rsidR="00B17E64">
        <w:rPr>
          <w:rFonts w:ascii="Times New Roman" w:hAnsi="Times New Roman"/>
          <w:lang w:eastAsia="sk-SK"/>
        </w:rPr>
        <w:t>u</w:t>
      </w:r>
      <w:proofErr w:type="spellEnd"/>
      <w:r w:rsidR="005C42CA" w:rsidRPr="00C267BF">
        <w:rPr>
          <w:rFonts w:ascii="Times New Roman" w:hAnsi="Times New Roman"/>
          <w:lang w:eastAsia="sk-SK"/>
        </w:rPr>
        <w:t xml:space="preserve"> </w:t>
      </w:r>
      <w:r w:rsidRPr="00C267BF">
        <w:rPr>
          <w:rFonts w:ascii="Times New Roman" w:hAnsi="Times New Roman"/>
          <w:lang w:eastAsia="sk-SK"/>
        </w:rPr>
        <w:t>denne.</w:t>
      </w:r>
    </w:p>
    <w:p w:rsidR="00FD2D5B" w:rsidRPr="00C267BF" w:rsidRDefault="00FD2D5B" w:rsidP="00FD2D5B">
      <w:pPr>
        <w:spacing w:after="0" w:line="240" w:lineRule="auto"/>
        <w:rPr>
          <w:rFonts w:ascii="Times New Roman" w:hAnsi="Times New Roman"/>
          <w:highlight w:val="yellow"/>
          <w:lang w:eastAsia="sk-SK"/>
        </w:rPr>
      </w:pPr>
    </w:p>
    <w:p w:rsidR="00FD2D5B" w:rsidRPr="00C267BF" w:rsidRDefault="005C42CA" w:rsidP="00912EC0">
      <w:pPr>
        <w:spacing w:after="0" w:line="240" w:lineRule="auto"/>
        <w:rPr>
          <w:rFonts w:ascii="Times New Roman" w:hAnsi="Times New Roman"/>
          <w:lang w:eastAsia="sk-SK"/>
        </w:rPr>
      </w:pPr>
      <w:r w:rsidRPr="00C267BF">
        <w:rPr>
          <w:rFonts w:ascii="Times New Roman" w:hAnsi="Times New Roman"/>
          <w:lang w:eastAsia="sk-SK"/>
        </w:rPr>
        <w:lastRenderedPageBreak/>
        <w:t xml:space="preserve">Maximálna odporúčaná dávka </w:t>
      </w:r>
      <w:proofErr w:type="spellStart"/>
      <w:r w:rsidRPr="00C267BF">
        <w:rPr>
          <w:rFonts w:ascii="Times New Roman" w:hAnsi="Times New Roman"/>
          <w:lang w:eastAsia="sk-SK"/>
        </w:rPr>
        <w:t>M</w:t>
      </w:r>
      <w:r w:rsidR="00B17E64" w:rsidRPr="00B17E64">
        <w:rPr>
          <w:rFonts w:ascii="Times New Roman" w:hAnsi="Times New Roman"/>
          <w:lang w:eastAsia="sk-SK"/>
        </w:rPr>
        <w:t>ixor</w:t>
      </w:r>
      <w:r w:rsidR="00B17E64">
        <w:rPr>
          <w:rFonts w:ascii="Times New Roman" w:hAnsi="Times New Roman"/>
          <w:lang w:eastAsia="sk-SK"/>
        </w:rPr>
        <w:t>u</w:t>
      </w:r>
      <w:proofErr w:type="spellEnd"/>
      <w:r w:rsidRPr="00C267BF">
        <w:rPr>
          <w:rFonts w:ascii="Times New Roman" w:hAnsi="Times New Roman"/>
          <w:lang w:eastAsia="sk-SK"/>
        </w:rPr>
        <w:t xml:space="preserve"> </w:t>
      </w:r>
      <w:r w:rsidR="00153BC8" w:rsidRPr="00C267BF">
        <w:rPr>
          <w:rFonts w:ascii="Times New Roman" w:hAnsi="Times New Roman"/>
          <w:lang w:eastAsia="sk-SK"/>
        </w:rPr>
        <w:t xml:space="preserve">je </w:t>
      </w:r>
      <w:r w:rsidRPr="00C267BF">
        <w:rPr>
          <w:rFonts w:ascii="Times New Roman" w:hAnsi="Times New Roman"/>
          <w:lang w:eastAsia="sk-SK"/>
        </w:rPr>
        <w:t xml:space="preserve">80 mg/10 mg </w:t>
      </w:r>
      <w:r w:rsidR="00153BC8" w:rsidRPr="00C267BF">
        <w:rPr>
          <w:rFonts w:ascii="Times New Roman" w:hAnsi="Times New Roman"/>
          <w:lang w:eastAsia="sk-SK"/>
        </w:rPr>
        <w:t xml:space="preserve">v jednej </w:t>
      </w:r>
      <w:r w:rsidRPr="00C267BF">
        <w:rPr>
          <w:rFonts w:ascii="Times New Roman" w:hAnsi="Times New Roman"/>
          <w:lang w:eastAsia="sk-SK"/>
        </w:rPr>
        <w:t>denne</w:t>
      </w:r>
      <w:r w:rsidR="00153BC8" w:rsidRPr="00C267BF">
        <w:rPr>
          <w:rFonts w:ascii="Times New Roman" w:hAnsi="Times New Roman"/>
          <w:lang w:eastAsia="sk-SK"/>
        </w:rPr>
        <w:t>j dávke</w:t>
      </w:r>
      <w:r w:rsidRPr="00C267BF">
        <w:rPr>
          <w:rFonts w:ascii="Times New Roman" w:hAnsi="Times New Roman"/>
          <w:lang w:eastAsia="sk-SK"/>
        </w:rPr>
        <w:t>. Maximáln</w:t>
      </w:r>
      <w:r w:rsidR="00BF28E1" w:rsidRPr="00C267BF">
        <w:rPr>
          <w:rFonts w:ascii="Times New Roman" w:hAnsi="Times New Roman"/>
          <w:lang w:eastAsia="sk-SK"/>
        </w:rPr>
        <w:t>a</w:t>
      </w:r>
      <w:r w:rsidRPr="00C267BF">
        <w:rPr>
          <w:rFonts w:ascii="Times New Roman" w:hAnsi="Times New Roman"/>
          <w:lang w:eastAsia="sk-SK"/>
        </w:rPr>
        <w:t xml:space="preserve"> denná dávka </w:t>
      </w:r>
      <w:proofErr w:type="spellStart"/>
      <w:r w:rsidR="00153BC8" w:rsidRPr="00C267BF">
        <w:rPr>
          <w:rFonts w:ascii="Times New Roman" w:hAnsi="Times New Roman"/>
          <w:lang w:eastAsia="sk-SK"/>
        </w:rPr>
        <w:t>t</w:t>
      </w:r>
      <w:r w:rsidRPr="00C267BF">
        <w:rPr>
          <w:rFonts w:ascii="Times New Roman" w:hAnsi="Times New Roman"/>
          <w:lang w:eastAsia="sk-SK"/>
        </w:rPr>
        <w:t>elmisartanu</w:t>
      </w:r>
      <w:proofErr w:type="spellEnd"/>
      <w:r w:rsidRPr="00C267BF">
        <w:rPr>
          <w:rFonts w:ascii="Times New Roman" w:hAnsi="Times New Roman"/>
          <w:lang w:eastAsia="sk-SK"/>
        </w:rPr>
        <w:t xml:space="preserve"> je 80 mg a maximálna denná dávka amlodipínu je 10 mg.</w:t>
      </w:r>
      <w:r w:rsidR="00FD2D5B" w:rsidRPr="00C267BF">
        <w:rPr>
          <w:rFonts w:ascii="Times New Roman" w:hAnsi="Times New Roman"/>
          <w:lang w:eastAsia="sk-SK"/>
        </w:rPr>
        <w:t xml:space="preserve"> </w:t>
      </w:r>
    </w:p>
    <w:p w:rsidR="00FD2D5B" w:rsidRPr="00C267BF" w:rsidRDefault="00FD2D5B" w:rsidP="00FD2D5B">
      <w:pPr>
        <w:spacing w:after="0" w:line="240" w:lineRule="auto"/>
        <w:rPr>
          <w:rFonts w:ascii="Times New Roman" w:hAnsi="Times New Roman"/>
          <w:noProof/>
          <w:lang w:eastAsia="sk-SK"/>
        </w:rPr>
      </w:pP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i/>
          <w:iCs/>
          <w:color w:val="000000"/>
        </w:rPr>
        <w:t xml:space="preserve">Osobitné skupiny pacientov </w:t>
      </w:r>
    </w:p>
    <w:p w:rsidR="005C42CA" w:rsidRPr="00C267BF"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F01F11" w:rsidRDefault="005C42CA" w:rsidP="005C42CA">
      <w:pPr>
        <w:autoSpaceDE w:val="0"/>
        <w:autoSpaceDN w:val="0"/>
        <w:adjustRightInd w:val="0"/>
        <w:spacing w:after="0" w:line="240" w:lineRule="auto"/>
        <w:rPr>
          <w:rFonts w:ascii="Times New Roman" w:eastAsia="Times New Roman" w:hAnsi="Times New Roman"/>
          <w:color w:val="000000"/>
        </w:rPr>
      </w:pPr>
      <w:r w:rsidRPr="00F01F11">
        <w:rPr>
          <w:rFonts w:ascii="Times New Roman" w:eastAsia="Times New Roman" w:hAnsi="Times New Roman"/>
          <w:i/>
          <w:iCs/>
          <w:color w:val="000000"/>
        </w:rPr>
        <w:t xml:space="preserve">Starší </w:t>
      </w:r>
      <w:r w:rsidR="00412ABB" w:rsidRPr="00F01F11">
        <w:rPr>
          <w:rFonts w:ascii="Times New Roman" w:eastAsia="Times New Roman" w:hAnsi="Times New Roman"/>
          <w:i/>
          <w:iCs/>
          <w:color w:val="000000"/>
        </w:rPr>
        <w:t>ľudia</w:t>
      </w:r>
    </w:p>
    <w:p w:rsidR="005C42CA" w:rsidRPr="00F01F11" w:rsidRDefault="005F11EC" w:rsidP="005C42CA">
      <w:pPr>
        <w:autoSpaceDE w:val="0"/>
        <w:autoSpaceDN w:val="0"/>
        <w:adjustRightInd w:val="0"/>
        <w:spacing w:after="0" w:line="240" w:lineRule="auto"/>
        <w:rPr>
          <w:rFonts w:ascii="Times New Roman" w:eastAsia="Times New Roman" w:hAnsi="Times New Roman"/>
          <w:color w:val="000000"/>
        </w:rPr>
      </w:pPr>
      <w:r w:rsidRPr="00F01F11">
        <w:rPr>
          <w:rFonts w:ascii="Times New Roman" w:eastAsia="Times New Roman" w:hAnsi="Times New Roman"/>
          <w:color w:val="000000"/>
        </w:rPr>
        <w:t>U</w:t>
      </w:r>
      <w:r w:rsidR="005C42CA" w:rsidRPr="00F01F11">
        <w:rPr>
          <w:rFonts w:ascii="Times New Roman" w:eastAsia="Times New Roman" w:hAnsi="Times New Roman"/>
          <w:color w:val="000000"/>
        </w:rPr>
        <w:t xml:space="preserve"> starších pacientov</w:t>
      </w:r>
      <w:r w:rsidRPr="00F01F11">
        <w:rPr>
          <w:rFonts w:ascii="Times New Roman" w:eastAsia="Times New Roman" w:hAnsi="Times New Roman"/>
          <w:color w:val="000000"/>
        </w:rPr>
        <w:t xml:space="preserve"> nie je potrebná úprava dávkovania</w:t>
      </w:r>
      <w:r w:rsidR="005C42CA" w:rsidRPr="00F01F11">
        <w:rPr>
          <w:rFonts w:ascii="Times New Roman" w:eastAsia="Times New Roman" w:hAnsi="Times New Roman"/>
          <w:color w:val="000000"/>
        </w:rPr>
        <w:t xml:space="preserve">. </w:t>
      </w:r>
      <w:r w:rsidR="002B1143" w:rsidRPr="00F01F11">
        <w:rPr>
          <w:rFonts w:ascii="Times New Roman" w:eastAsia="Times New Roman" w:hAnsi="Times New Roman"/>
          <w:color w:val="000000"/>
        </w:rPr>
        <w:t xml:space="preserve">Opatrnosť je potrebná pri zvyšovaní dávky (pozri časť 4.4 a 5.2). </w:t>
      </w:r>
      <w:r w:rsidR="005C42CA" w:rsidRPr="00F01F11">
        <w:rPr>
          <w:rFonts w:ascii="Times New Roman" w:eastAsia="Times New Roman" w:hAnsi="Times New Roman"/>
          <w:color w:val="000000"/>
        </w:rPr>
        <w:t xml:space="preserve">U veľmi starých pacientov je dostupných veľmi málo informácii. </w:t>
      </w:r>
    </w:p>
    <w:p w:rsidR="005C42CA" w:rsidRPr="00F01F11"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F01F11" w:rsidRDefault="005C42CA" w:rsidP="005C42CA">
      <w:pPr>
        <w:autoSpaceDE w:val="0"/>
        <w:autoSpaceDN w:val="0"/>
        <w:adjustRightInd w:val="0"/>
        <w:spacing w:after="0" w:line="240" w:lineRule="auto"/>
        <w:rPr>
          <w:rFonts w:ascii="Times New Roman" w:eastAsia="Times New Roman" w:hAnsi="Times New Roman"/>
          <w:color w:val="000000"/>
        </w:rPr>
      </w:pPr>
      <w:r w:rsidRPr="00F01F11">
        <w:rPr>
          <w:rFonts w:ascii="Times New Roman" w:eastAsia="Times New Roman" w:hAnsi="Times New Roman"/>
          <w:i/>
          <w:iCs/>
          <w:color w:val="000000"/>
        </w:rPr>
        <w:t>Po</w:t>
      </w:r>
      <w:r w:rsidR="00AC6A59" w:rsidRPr="00F01F11">
        <w:rPr>
          <w:rFonts w:ascii="Times New Roman" w:eastAsia="Times New Roman" w:hAnsi="Times New Roman"/>
          <w:i/>
          <w:iCs/>
          <w:color w:val="000000"/>
        </w:rPr>
        <w:t>ruch</w:t>
      </w:r>
      <w:r w:rsidR="00412ABB" w:rsidRPr="00F01F11">
        <w:rPr>
          <w:rFonts w:ascii="Times New Roman" w:eastAsia="Times New Roman" w:hAnsi="Times New Roman"/>
          <w:i/>
          <w:iCs/>
          <w:color w:val="000000"/>
        </w:rPr>
        <w:t>a</w:t>
      </w:r>
      <w:r w:rsidRPr="00F01F11">
        <w:rPr>
          <w:rFonts w:ascii="Times New Roman" w:eastAsia="Times New Roman" w:hAnsi="Times New Roman"/>
          <w:i/>
          <w:iCs/>
          <w:color w:val="000000"/>
        </w:rPr>
        <w:t xml:space="preserve"> funkcie obličiek </w:t>
      </w:r>
    </w:p>
    <w:p w:rsidR="005C42CA" w:rsidRPr="00F01F11" w:rsidRDefault="005C42CA" w:rsidP="005C42CA">
      <w:pPr>
        <w:autoSpaceDE w:val="0"/>
        <w:autoSpaceDN w:val="0"/>
        <w:adjustRightInd w:val="0"/>
        <w:spacing w:after="0" w:line="240" w:lineRule="auto"/>
        <w:rPr>
          <w:rFonts w:ascii="Times New Roman" w:eastAsia="Times New Roman" w:hAnsi="Times New Roman"/>
          <w:color w:val="000000"/>
        </w:rPr>
      </w:pPr>
      <w:r w:rsidRPr="00F01F11">
        <w:rPr>
          <w:rFonts w:ascii="Times New Roman" w:eastAsia="Times New Roman" w:hAnsi="Times New Roman"/>
          <w:color w:val="000000"/>
        </w:rPr>
        <w:t>U pacientov s miern</w:t>
      </w:r>
      <w:r w:rsidR="00AC6A59" w:rsidRPr="00F01F11">
        <w:rPr>
          <w:rFonts w:ascii="Times New Roman" w:eastAsia="Times New Roman" w:hAnsi="Times New Roman"/>
          <w:color w:val="000000"/>
        </w:rPr>
        <w:t>ou</w:t>
      </w:r>
      <w:r w:rsidRPr="00F01F11">
        <w:rPr>
          <w:rFonts w:ascii="Times New Roman" w:eastAsia="Times New Roman" w:hAnsi="Times New Roman"/>
          <w:color w:val="000000"/>
        </w:rPr>
        <w:t xml:space="preserve"> až stredne ťažk</w:t>
      </w:r>
      <w:r w:rsidR="00AC6A59" w:rsidRPr="00F01F11">
        <w:rPr>
          <w:rFonts w:ascii="Times New Roman" w:eastAsia="Times New Roman" w:hAnsi="Times New Roman"/>
          <w:color w:val="000000"/>
        </w:rPr>
        <w:t>ou</w:t>
      </w:r>
      <w:r w:rsidRPr="00F01F11">
        <w:rPr>
          <w:rFonts w:ascii="Times New Roman" w:eastAsia="Times New Roman" w:hAnsi="Times New Roman"/>
          <w:color w:val="000000"/>
        </w:rPr>
        <w:t xml:space="preserve"> po</w:t>
      </w:r>
      <w:r w:rsidR="00AC6A59" w:rsidRPr="00F01F11">
        <w:rPr>
          <w:rFonts w:ascii="Times New Roman" w:eastAsia="Times New Roman" w:hAnsi="Times New Roman"/>
          <w:color w:val="000000"/>
        </w:rPr>
        <w:t>ruchou</w:t>
      </w:r>
      <w:r w:rsidRPr="00F01F11">
        <w:rPr>
          <w:rFonts w:ascii="Times New Roman" w:eastAsia="Times New Roman" w:hAnsi="Times New Roman"/>
          <w:color w:val="000000"/>
        </w:rPr>
        <w:t xml:space="preserve"> funkcie obličiek sa nevyžaduje úprava dávkovania. U pacientov s ťažk</w:t>
      </w:r>
      <w:r w:rsidR="00CE3FCF" w:rsidRPr="00F01F11">
        <w:rPr>
          <w:rFonts w:ascii="Times New Roman" w:eastAsia="Times New Roman" w:hAnsi="Times New Roman"/>
          <w:color w:val="000000"/>
        </w:rPr>
        <w:t>ou</w:t>
      </w:r>
      <w:r w:rsidRPr="00F01F11">
        <w:rPr>
          <w:rFonts w:ascii="Times New Roman" w:eastAsia="Times New Roman" w:hAnsi="Times New Roman"/>
          <w:color w:val="000000"/>
        </w:rPr>
        <w:t xml:space="preserve"> po</w:t>
      </w:r>
      <w:r w:rsidR="00CE3FCF" w:rsidRPr="00F01F11">
        <w:rPr>
          <w:rFonts w:ascii="Times New Roman" w:eastAsia="Times New Roman" w:hAnsi="Times New Roman"/>
          <w:color w:val="000000"/>
        </w:rPr>
        <w:t>ruchou</w:t>
      </w:r>
      <w:r w:rsidRPr="00F01F11">
        <w:rPr>
          <w:rFonts w:ascii="Times New Roman" w:eastAsia="Times New Roman" w:hAnsi="Times New Roman"/>
          <w:color w:val="000000"/>
        </w:rPr>
        <w:t xml:space="preserve"> funkcie obličiek alebo s hemodialýzou sú k dispozícii obmedzené skúsenosti. Pri užívaní </w:t>
      </w:r>
      <w:proofErr w:type="spellStart"/>
      <w:r w:rsidR="005F11EC" w:rsidRPr="00F01F11">
        <w:rPr>
          <w:rFonts w:ascii="Times New Roman" w:eastAsia="Times New Roman" w:hAnsi="Times New Roman"/>
          <w:color w:val="000000"/>
        </w:rPr>
        <w:t>M</w:t>
      </w:r>
      <w:r w:rsidR="00B17E64" w:rsidRPr="00F01F11">
        <w:rPr>
          <w:rFonts w:ascii="Times New Roman" w:eastAsia="Times New Roman" w:hAnsi="Times New Roman"/>
          <w:color w:val="000000"/>
        </w:rPr>
        <w:t>ixoru</w:t>
      </w:r>
      <w:proofErr w:type="spellEnd"/>
      <w:r w:rsidRPr="00F01F11">
        <w:rPr>
          <w:rFonts w:ascii="Times New Roman" w:eastAsia="Times New Roman" w:hAnsi="Times New Roman"/>
          <w:color w:val="000000"/>
        </w:rPr>
        <w:t xml:space="preserve"> u takýchto pacientov sa odporúča zvýšená opatrnosť</w:t>
      </w:r>
      <w:r w:rsidR="00D44A9E" w:rsidRPr="00F01F11">
        <w:rPr>
          <w:rFonts w:ascii="Times New Roman" w:eastAsia="Times New Roman" w:hAnsi="Times New Roman"/>
          <w:color w:val="000000"/>
        </w:rPr>
        <w:t>,</w:t>
      </w:r>
      <w:r w:rsidRPr="00F01F11">
        <w:rPr>
          <w:rFonts w:ascii="Times New Roman" w:eastAsia="Times New Roman" w:hAnsi="Times New Roman"/>
          <w:color w:val="000000"/>
        </w:rPr>
        <w:t xml:space="preserve"> pretože amlodipín ani telmisartan nie sú dialyzovateľné (pozri tiež časť 4.4). </w:t>
      </w:r>
    </w:p>
    <w:p w:rsidR="005C42CA" w:rsidRPr="00F01F11"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F01F11" w:rsidRDefault="005C42CA" w:rsidP="005C42CA">
      <w:pPr>
        <w:autoSpaceDE w:val="0"/>
        <w:autoSpaceDN w:val="0"/>
        <w:adjustRightInd w:val="0"/>
        <w:spacing w:after="0" w:line="240" w:lineRule="auto"/>
        <w:rPr>
          <w:rFonts w:ascii="Times New Roman" w:eastAsia="Times New Roman" w:hAnsi="Times New Roman"/>
          <w:color w:val="000000"/>
        </w:rPr>
      </w:pPr>
      <w:r w:rsidRPr="00F01F11">
        <w:rPr>
          <w:rFonts w:ascii="Times New Roman" w:eastAsia="Times New Roman" w:hAnsi="Times New Roman"/>
          <w:i/>
          <w:iCs/>
          <w:color w:val="000000"/>
        </w:rPr>
        <w:t>Po</w:t>
      </w:r>
      <w:r w:rsidR="00CE3FCF" w:rsidRPr="00F01F11">
        <w:rPr>
          <w:rFonts w:ascii="Times New Roman" w:eastAsia="Times New Roman" w:hAnsi="Times New Roman"/>
          <w:i/>
          <w:iCs/>
          <w:color w:val="000000"/>
        </w:rPr>
        <w:t>ruch</w:t>
      </w:r>
      <w:r w:rsidR="00412ABB" w:rsidRPr="00F01F11">
        <w:rPr>
          <w:rFonts w:ascii="Times New Roman" w:eastAsia="Times New Roman" w:hAnsi="Times New Roman"/>
          <w:i/>
          <w:iCs/>
          <w:color w:val="000000"/>
        </w:rPr>
        <w:t>a</w:t>
      </w:r>
      <w:r w:rsidRPr="00F01F11">
        <w:rPr>
          <w:rFonts w:ascii="Times New Roman" w:eastAsia="Times New Roman" w:hAnsi="Times New Roman"/>
          <w:i/>
          <w:iCs/>
          <w:color w:val="000000"/>
        </w:rPr>
        <w:t xml:space="preserve"> funkcie pečene </w:t>
      </w:r>
    </w:p>
    <w:p w:rsidR="005C42CA" w:rsidRPr="00C267BF" w:rsidRDefault="00735651" w:rsidP="005C42CA">
      <w:pPr>
        <w:autoSpaceDE w:val="0"/>
        <w:autoSpaceDN w:val="0"/>
        <w:adjustRightInd w:val="0"/>
        <w:spacing w:after="0" w:line="240" w:lineRule="auto"/>
        <w:rPr>
          <w:rFonts w:ascii="Times New Roman" w:eastAsia="Times New Roman" w:hAnsi="Times New Roman"/>
          <w:color w:val="000000"/>
        </w:rPr>
      </w:pPr>
      <w:r w:rsidRPr="00F01F11">
        <w:rPr>
          <w:rFonts w:ascii="Times New Roman" w:eastAsia="Times New Roman" w:hAnsi="Times New Roman"/>
          <w:color w:val="000000"/>
        </w:rPr>
        <w:t>Odporučené dávkovanie pre p</w:t>
      </w:r>
      <w:r w:rsidR="005C42CA" w:rsidRPr="00F01F11">
        <w:rPr>
          <w:rFonts w:ascii="Times New Roman" w:eastAsia="Times New Roman" w:hAnsi="Times New Roman"/>
          <w:color w:val="000000"/>
        </w:rPr>
        <w:t>aciento</w:t>
      </w:r>
      <w:r w:rsidRPr="00F01F11">
        <w:rPr>
          <w:rFonts w:ascii="Times New Roman" w:eastAsia="Times New Roman" w:hAnsi="Times New Roman"/>
          <w:color w:val="000000"/>
        </w:rPr>
        <w:t>v</w:t>
      </w:r>
      <w:r w:rsidR="005C42CA" w:rsidRPr="00F01F11">
        <w:rPr>
          <w:rFonts w:ascii="Times New Roman" w:eastAsia="Times New Roman" w:hAnsi="Times New Roman"/>
          <w:color w:val="000000"/>
        </w:rPr>
        <w:t xml:space="preserve"> s miern</w:t>
      </w:r>
      <w:r w:rsidR="00CE3FCF" w:rsidRPr="00F01F11">
        <w:rPr>
          <w:rFonts w:ascii="Times New Roman" w:eastAsia="Times New Roman" w:hAnsi="Times New Roman"/>
          <w:color w:val="000000"/>
        </w:rPr>
        <w:t>ou</w:t>
      </w:r>
      <w:r w:rsidR="005C42CA" w:rsidRPr="00F01F11">
        <w:rPr>
          <w:rFonts w:ascii="Times New Roman" w:eastAsia="Times New Roman" w:hAnsi="Times New Roman"/>
          <w:color w:val="000000"/>
        </w:rPr>
        <w:t xml:space="preserve"> až stredne ťažk</w:t>
      </w:r>
      <w:r w:rsidR="00CE3FCF" w:rsidRPr="00F01F11">
        <w:rPr>
          <w:rFonts w:ascii="Times New Roman" w:eastAsia="Times New Roman" w:hAnsi="Times New Roman"/>
          <w:color w:val="000000"/>
        </w:rPr>
        <w:t>ou</w:t>
      </w:r>
      <w:r w:rsidR="005C42CA" w:rsidRPr="00F01F11">
        <w:rPr>
          <w:rFonts w:ascii="Times New Roman" w:eastAsia="Times New Roman" w:hAnsi="Times New Roman"/>
          <w:color w:val="000000"/>
        </w:rPr>
        <w:t xml:space="preserve"> po</w:t>
      </w:r>
      <w:r w:rsidR="00CE3FCF" w:rsidRPr="00F01F11">
        <w:rPr>
          <w:rFonts w:ascii="Times New Roman" w:eastAsia="Times New Roman" w:hAnsi="Times New Roman"/>
          <w:color w:val="000000"/>
        </w:rPr>
        <w:t>ruchou</w:t>
      </w:r>
      <w:r w:rsidR="005C42CA" w:rsidRPr="00F01F11">
        <w:rPr>
          <w:rFonts w:ascii="Times New Roman" w:eastAsia="Times New Roman" w:hAnsi="Times New Roman"/>
          <w:color w:val="000000"/>
        </w:rPr>
        <w:t xml:space="preserve"> funkcie pečene </w:t>
      </w:r>
      <w:r w:rsidRPr="00F01F11">
        <w:rPr>
          <w:rFonts w:ascii="Times New Roman" w:eastAsia="Times New Roman" w:hAnsi="Times New Roman"/>
          <w:color w:val="000000"/>
        </w:rPr>
        <w:t>nebolo</w:t>
      </w:r>
      <w:r w:rsidRPr="00C267BF">
        <w:rPr>
          <w:rFonts w:ascii="Times New Roman" w:eastAsia="Times New Roman" w:hAnsi="Times New Roman"/>
          <w:color w:val="000000"/>
        </w:rPr>
        <w:t xml:space="preserve"> stanovené.</w:t>
      </w:r>
      <w:r w:rsidR="005C42CA" w:rsidRPr="00C267BF">
        <w:rPr>
          <w:rFonts w:ascii="Times New Roman" w:eastAsia="Times New Roman" w:hAnsi="Times New Roman"/>
          <w:color w:val="000000"/>
        </w:rPr>
        <w:t xml:space="preserve"> Dávkovanie telmisartanu nemá prekročiť 40 mg raz denne (pozri časť 4.4). </w:t>
      </w:r>
    </w:p>
    <w:p w:rsidR="005C42CA" w:rsidRPr="00C267BF" w:rsidRDefault="00735651" w:rsidP="005C42CA">
      <w:pPr>
        <w:autoSpaceDE w:val="0"/>
        <w:autoSpaceDN w:val="0"/>
        <w:adjustRightInd w:val="0"/>
        <w:spacing w:after="0" w:line="240" w:lineRule="auto"/>
        <w:rPr>
          <w:rFonts w:ascii="Times New Roman" w:eastAsia="Times New Roman" w:hAnsi="Times New Roman"/>
          <w:color w:val="000000"/>
        </w:rPr>
      </w:pPr>
      <w:proofErr w:type="spellStart"/>
      <w:r w:rsidRPr="00C267BF">
        <w:rPr>
          <w:rFonts w:ascii="Times New Roman" w:eastAsia="Times New Roman" w:hAnsi="Times New Roman"/>
          <w:color w:val="000000"/>
        </w:rPr>
        <w:t>M</w:t>
      </w:r>
      <w:r w:rsidR="00B17E64" w:rsidRPr="00B17E64">
        <w:rPr>
          <w:rFonts w:ascii="Times New Roman" w:eastAsia="Times New Roman" w:hAnsi="Times New Roman"/>
          <w:color w:val="000000"/>
        </w:rPr>
        <w:t>ixor</w:t>
      </w:r>
      <w:proofErr w:type="spellEnd"/>
      <w:r w:rsidRPr="00C267BF">
        <w:rPr>
          <w:rFonts w:ascii="Times New Roman" w:eastAsia="Times New Roman" w:hAnsi="Times New Roman"/>
          <w:color w:val="000000"/>
        </w:rPr>
        <w:t xml:space="preserve"> </w:t>
      </w:r>
      <w:r w:rsidR="005C42CA" w:rsidRPr="00C267BF">
        <w:rPr>
          <w:rFonts w:ascii="Times New Roman" w:eastAsia="Times New Roman" w:hAnsi="Times New Roman"/>
          <w:color w:val="000000"/>
        </w:rPr>
        <w:t>je kontraindikovan</w:t>
      </w:r>
      <w:r w:rsidRPr="00C267BF">
        <w:rPr>
          <w:rFonts w:ascii="Times New Roman" w:eastAsia="Times New Roman" w:hAnsi="Times New Roman"/>
          <w:color w:val="000000"/>
        </w:rPr>
        <w:t>ý</w:t>
      </w:r>
      <w:r w:rsidR="005C42CA" w:rsidRPr="00C267BF">
        <w:rPr>
          <w:rFonts w:ascii="Times New Roman" w:eastAsia="Times New Roman" w:hAnsi="Times New Roman"/>
          <w:color w:val="000000"/>
        </w:rPr>
        <w:t xml:space="preserve"> u pacientov s ťažk</w:t>
      </w:r>
      <w:r w:rsidRPr="00C267BF">
        <w:rPr>
          <w:rFonts w:ascii="Times New Roman" w:eastAsia="Times New Roman" w:hAnsi="Times New Roman"/>
          <w:color w:val="000000"/>
        </w:rPr>
        <w:t>ou</w:t>
      </w:r>
      <w:r w:rsidR="005C42CA" w:rsidRPr="00C267BF">
        <w:rPr>
          <w:rFonts w:ascii="Times New Roman" w:eastAsia="Times New Roman" w:hAnsi="Times New Roman"/>
          <w:color w:val="000000"/>
        </w:rPr>
        <w:t xml:space="preserve"> po</w:t>
      </w:r>
      <w:r w:rsidRPr="00C267BF">
        <w:rPr>
          <w:rFonts w:ascii="Times New Roman" w:eastAsia="Times New Roman" w:hAnsi="Times New Roman"/>
          <w:color w:val="000000"/>
        </w:rPr>
        <w:t>ruchou</w:t>
      </w:r>
      <w:r w:rsidR="005C42CA" w:rsidRPr="00C267BF">
        <w:rPr>
          <w:rFonts w:ascii="Times New Roman" w:eastAsia="Times New Roman" w:hAnsi="Times New Roman"/>
          <w:color w:val="000000"/>
        </w:rPr>
        <w:t xml:space="preserve"> funkcie pečene (pozri čas</w:t>
      </w:r>
      <w:r w:rsidR="00F552CA">
        <w:rPr>
          <w:rFonts w:ascii="Times New Roman" w:eastAsia="Times New Roman" w:hAnsi="Times New Roman"/>
          <w:color w:val="000000"/>
        </w:rPr>
        <w:t>ti</w:t>
      </w:r>
      <w:r w:rsidR="005C42CA" w:rsidRPr="00C267BF">
        <w:rPr>
          <w:rFonts w:ascii="Times New Roman" w:eastAsia="Times New Roman" w:hAnsi="Times New Roman"/>
          <w:color w:val="000000"/>
        </w:rPr>
        <w:t xml:space="preserve"> 4.3</w:t>
      </w:r>
      <w:r w:rsidRPr="00C267BF">
        <w:rPr>
          <w:rFonts w:ascii="Times New Roman" w:eastAsia="Times New Roman" w:hAnsi="Times New Roman"/>
          <w:color w:val="000000"/>
        </w:rPr>
        <w:t>, 4.4 a 5.2</w:t>
      </w:r>
      <w:r w:rsidR="005C42CA" w:rsidRPr="00C267BF">
        <w:rPr>
          <w:rFonts w:ascii="Times New Roman" w:eastAsia="Times New Roman" w:hAnsi="Times New Roman"/>
          <w:color w:val="000000"/>
        </w:rPr>
        <w:t xml:space="preserve">). </w:t>
      </w:r>
      <w:r w:rsidRPr="00C267BF">
        <w:rPr>
          <w:rFonts w:ascii="Times New Roman" w:eastAsia="Times New Roman" w:hAnsi="Times New Roman"/>
          <w:color w:val="000000"/>
        </w:rPr>
        <w:t xml:space="preserve">Pacientom s miernou až stredne ťažkou poruchou funkcie pečene sa má </w:t>
      </w:r>
      <w:proofErr w:type="spellStart"/>
      <w:r w:rsidRPr="00C267BF">
        <w:rPr>
          <w:rFonts w:ascii="Times New Roman" w:eastAsia="Times New Roman" w:hAnsi="Times New Roman"/>
          <w:color w:val="000000"/>
        </w:rPr>
        <w:t>M</w:t>
      </w:r>
      <w:r w:rsidR="00B17E64" w:rsidRPr="00B17E64">
        <w:rPr>
          <w:rFonts w:ascii="Times New Roman" w:eastAsia="Times New Roman" w:hAnsi="Times New Roman"/>
          <w:color w:val="000000"/>
        </w:rPr>
        <w:t>ixor</w:t>
      </w:r>
      <w:proofErr w:type="spellEnd"/>
      <w:r w:rsidRPr="00C267BF">
        <w:rPr>
          <w:rFonts w:ascii="Times New Roman" w:eastAsia="Times New Roman" w:hAnsi="Times New Roman"/>
          <w:color w:val="000000"/>
        </w:rPr>
        <w:t xml:space="preserve"> podávať s opatrnosťou.</w:t>
      </w:r>
    </w:p>
    <w:p w:rsidR="005C42CA" w:rsidRPr="00C267BF"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C267BF" w:rsidRDefault="00735651"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i/>
          <w:iCs/>
          <w:color w:val="000000"/>
        </w:rPr>
        <w:t>Pediatrická populácia</w:t>
      </w:r>
      <w:r w:rsidR="005C42CA" w:rsidRPr="00C267BF">
        <w:rPr>
          <w:rFonts w:ascii="Times New Roman" w:eastAsia="Times New Roman" w:hAnsi="Times New Roman"/>
          <w:i/>
          <w:iCs/>
          <w:color w:val="000000"/>
        </w:rPr>
        <w:t xml:space="preserve"> </w:t>
      </w: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 xml:space="preserve">Bezpečnosť a účinnosť </w:t>
      </w:r>
      <w:proofErr w:type="spellStart"/>
      <w:r w:rsidR="00E51227" w:rsidRPr="00C267BF">
        <w:rPr>
          <w:rFonts w:ascii="Times New Roman" w:eastAsia="Times New Roman" w:hAnsi="Times New Roman"/>
          <w:color w:val="000000"/>
        </w:rPr>
        <w:t>M</w:t>
      </w:r>
      <w:r w:rsidR="00B17E64" w:rsidRPr="00B17E64">
        <w:rPr>
          <w:rFonts w:ascii="Times New Roman" w:eastAsia="Times New Roman" w:hAnsi="Times New Roman"/>
          <w:color w:val="000000"/>
        </w:rPr>
        <w:t>ixor</w:t>
      </w:r>
      <w:r w:rsidR="00B17E64">
        <w:rPr>
          <w:rFonts w:ascii="Times New Roman" w:eastAsia="Times New Roman" w:hAnsi="Times New Roman"/>
          <w:color w:val="000000"/>
        </w:rPr>
        <w:t>u</w:t>
      </w:r>
      <w:proofErr w:type="spellEnd"/>
      <w:r w:rsidRPr="00C267BF">
        <w:rPr>
          <w:rFonts w:ascii="Times New Roman" w:eastAsia="Times New Roman" w:hAnsi="Times New Roman"/>
          <w:color w:val="000000"/>
        </w:rPr>
        <w:t xml:space="preserve"> u detí mladších ako 18 rokov neboli doteraz stanovené. K dispozícii nie sú žiadne údaje. </w:t>
      </w: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u w:val="single"/>
        </w:rPr>
      </w:pPr>
    </w:p>
    <w:p w:rsidR="005C42CA" w:rsidRPr="00C267BF" w:rsidRDefault="005C42CA" w:rsidP="005C42CA">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u w:val="single"/>
        </w:rPr>
        <w:t xml:space="preserve">Spôsob podania </w:t>
      </w:r>
    </w:p>
    <w:p w:rsidR="00FD2D5B" w:rsidRPr="00C267BF" w:rsidRDefault="00E51227" w:rsidP="002B1143">
      <w:pPr>
        <w:spacing w:after="0" w:line="240" w:lineRule="auto"/>
        <w:rPr>
          <w:rFonts w:ascii="Times New Roman" w:hAnsi="Times New Roman"/>
          <w:noProof/>
          <w:lang w:eastAsia="sk-SK"/>
        </w:rPr>
      </w:pPr>
      <w:proofErr w:type="spellStart"/>
      <w:r w:rsidRPr="00C267BF">
        <w:rPr>
          <w:rFonts w:ascii="Times New Roman" w:eastAsia="Times New Roman" w:hAnsi="Times New Roman"/>
          <w:color w:val="000000"/>
        </w:rPr>
        <w:t>M</w:t>
      </w:r>
      <w:r w:rsidR="00B17E64" w:rsidRPr="00B17E64">
        <w:rPr>
          <w:rFonts w:ascii="Times New Roman" w:eastAsia="Times New Roman" w:hAnsi="Times New Roman"/>
          <w:color w:val="000000"/>
        </w:rPr>
        <w:t>ixor</w:t>
      </w:r>
      <w:proofErr w:type="spellEnd"/>
      <w:r w:rsidR="005C42CA" w:rsidRPr="00C267BF">
        <w:rPr>
          <w:rFonts w:ascii="Times New Roman" w:eastAsia="Times New Roman" w:hAnsi="Times New Roman"/>
          <w:color w:val="000000"/>
        </w:rPr>
        <w:t xml:space="preserve"> sa môže </w:t>
      </w:r>
      <w:r w:rsidRPr="00C267BF">
        <w:rPr>
          <w:rFonts w:ascii="Times New Roman" w:eastAsia="Times New Roman" w:hAnsi="Times New Roman"/>
          <w:color w:val="000000"/>
        </w:rPr>
        <w:t>užívať</w:t>
      </w:r>
      <w:r w:rsidR="005C42CA" w:rsidRPr="00C267BF">
        <w:rPr>
          <w:rFonts w:ascii="Times New Roman" w:eastAsia="Times New Roman" w:hAnsi="Times New Roman"/>
          <w:color w:val="000000"/>
        </w:rPr>
        <w:t xml:space="preserve"> s jedlom alebo bez jedla. </w:t>
      </w:r>
      <w:r w:rsidRPr="00C267BF">
        <w:rPr>
          <w:rFonts w:ascii="Times New Roman" w:eastAsia="Times New Roman" w:hAnsi="Times New Roman"/>
          <w:color w:val="000000"/>
        </w:rPr>
        <w:t>O</w:t>
      </w:r>
      <w:r w:rsidR="005C42CA" w:rsidRPr="00C267BF">
        <w:rPr>
          <w:rFonts w:ascii="Times New Roman" w:eastAsia="Times New Roman" w:hAnsi="Times New Roman"/>
          <w:color w:val="000000"/>
        </w:rPr>
        <w:t xml:space="preserve">dporúča </w:t>
      </w:r>
      <w:r w:rsidRPr="00C267BF">
        <w:rPr>
          <w:rFonts w:ascii="Times New Roman" w:eastAsia="Times New Roman" w:hAnsi="Times New Roman"/>
          <w:color w:val="000000"/>
        </w:rPr>
        <w:t xml:space="preserve">sa </w:t>
      </w:r>
      <w:proofErr w:type="spellStart"/>
      <w:r w:rsidRPr="00C267BF">
        <w:rPr>
          <w:rFonts w:ascii="Times New Roman" w:eastAsia="Times New Roman" w:hAnsi="Times New Roman"/>
          <w:color w:val="000000"/>
        </w:rPr>
        <w:t>M</w:t>
      </w:r>
      <w:r w:rsidR="00B17E64" w:rsidRPr="00B17E64">
        <w:rPr>
          <w:rFonts w:ascii="Times New Roman" w:eastAsia="Times New Roman" w:hAnsi="Times New Roman"/>
          <w:color w:val="000000"/>
        </w:rPr>
        <w:t>ixor</w:t>
      </w:r>
      <w:proofErr w:type="spellEnd"/>
      <w:r w:rsidRPr="00C267BF">
        <w:rPr>
          <w:rFonts w:ascii="Times New Roman" w:eastAsia="Times New Roman" w:hAnsi="Times New Roman"/>
          <w:color w:val="000000"/>
        </w:rPr>
        <w:t xml:space="preserve"> užíva</w:t>
      </w:r>
      <w:r w:rsidR="005C42CA" w:rsidRPr="00C267BF">
        <w:rPr>
          <w:rFonts w:ascii="Times New Roman" w:eastAsia="Times New Roman" w:hAnsi="Times New Roman"/>
          <w:color w:val="000000"/>
        </w:rPr>
        <w:t xml:space="preserve">ť s </w:t>
      </w:r>
      <w:r w:rsidRPr="00C267BF">
        <w:rPr>
          <w:rFonts w:ascii="Times New Roman" w:eastAsia="Times New Roman" w:hAnsi="Times New Roman"/>
          <w:color w:val="000000"/>
        </w:rPr>
        <w:t>dostatočným</w:t>
      </w:r>
      <w:r w:rsidR="005C42CA" w:rsidRPr="00C267BF">
        <w:rPr>
          <w:rFonts w:ascii="Times New Roman" w:eastAsia="Times New Roman" w:hAnsi="Times New Roman"/>
          <w:color w:val="000000"/>
        </w:rPr>
        <w:t xml:space="preserve"> množstvom tekutiny. </w:t>
      </w:r>
    </w:p>
    <w:p w:rsidR="00FD2D5B" w:rsidRPr="00C267BF" w:rsidRDefault="00FD2D5B" w:rsidP="00FD2D5B">
      <w:pPr>
        <w:spacing w:after="0" w:line="240" w:lineRule="auto"/>
        <w:rPr>
          <w:rFonts w:ascii="Times New Roman" w:hAnsi="Times New Roman"/>
          <w:noProof/>
          <w:lang w:eastAsia="sk-SK"/>
        </w:rPr>
      </w:pPr>
    </w:p>
    <w:p w:rsidR="00FD2D5B" w:rsidRPr="00C267BF" w:rsidRDefault="00FD2D5B" w:rsidP="00FD2D5B">
      <w:pPr>
        <w:spacing w:after="0" w:line="240" w:lineRule="auto"/>
        <w:rPr>
          <w:rFonts w:ascii="Times New Roman" w:hAnsi="Times New Roman"/>
          <w:noProof/>
          <w:lang w:eastAsia="sk-SK"/>
        </w:rPr>
      </w:pPr>
      <w:r w:rsidRPr="00C267BF">
        <w:rPr>
          <w:rFonts w:ascii="Times New Roman" w:hAnsi="Times New Roman"/>
          <w:b/>
          <w:noProof/>
          <w:lang w:eastAsia="sk-SK"/>
        </w:rPr>
        <w:t>4.3</w:t>
      </w:r>
      <w:r w:rsidRPr="00C267BF">
        <w:rPr>
          <w:rFonts w:ascii="Times New Roman" w:hAnsi="Times New Roman"/>
          <w:b/>
          <w:noProof/>
          <w:lang w:eastAsia="sk-SK"/>
        </w:rPr>
        <w:tab/>
        <w:t>Kontraindikácie</w:t>
      </w:r>
    </w:p>
    <w:p w:rsidR="00FD2D5B" w:rsidRPr="00C267BF" w:rsidRDefault="00FD2D5B" w:rsidP="00FD2D5B">
      <w:pPr>
        <w:spacing w:after="0" w:line="240" w:lineRule="auto"/>
        <w:ind w:left="567" w:hanging="567"/>
        <w:rPr>
          <w:rFonts w:ascii="Times New Roman" w:hAnsi="Times New Roman"/>
          <w:b/>
          <w:noProof/>
          <w:lang w:eastAsia="sk-SK"/>
        </w:rPr>
      </w:pPr>
    </w:p>
    <w:p w:rsidR="00FD2D5B" w:rsidRPr="00C267BF" w:rsidRDefault="00FD2D5B" w:rsidP="008E6A75">
      <w:pPr>
        <w:numPr>
          <w:ilvl w:val="0"/>
          <w:numId w:val="18"/>
        </w:numPr>
        <w:spacing w:after="0" w:line="240" w:lineRule="auto"/>
        <w:rPr>
          <w:rFonts w:ascii="Times New Roman" w:hAnsi="Times New Roman"/>
          <w:lang w:eastAsia="sk-SK"/>
        </w:rPr>
      </w:pPr>
      <w:r w:rsidRPr="00C267BF">
        <w:rPr>
          <w:rFonts w:ascii="Times New Roman" w:hAnsi="Times New Roman"/>
          <w:lang w:eastAsia="sk-SK"/>
        </w:rPr>
        <w:t>Precitlivenosť na liečivá, deriváty dihydropyridínu alebo na ktorúkoľvek z pomocných látok uvedených v časti 6.1</w:t>
      </w:r>
      <w:r w:rsidR="00E51227" w:rsidRPr="00C267BF">
        <w:rPr>
          <w:rFonts w:ascii="Times New Roman" w:hAnsi="Times New Roman"/>
          <w:lang w:eastAsia="sk-SK"/>
        </w:rPr>
        <w:t>.</w:t>
      </w:r>
    </w:p>
    <w:p w:rsidR="00E51227" w:rsidRPr="00C267BF" w:rsidRDefault="00E51227"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Druhý a tretí trimester gravidity (pozri časti 4.4 a 4.6).</w:t>
      </w:r>
    </w:p>
    <w:p w:rsidR="00E51227" w:rsidRPr="00C267BF" w:rsidRDefault="00E51227"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 xml:space="preserve">Obštrukčné poruchy žlčových ciest. </w:t>
      </w:r>
    </w:p>
    <w:p w:rsidR="00E51227" w:rsidRPr="00C267BF" w:rsidRDefault="00E51227"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Ťažká porucha funkcie pečene</w:t>
      </w:r>
      <w:r w:rsidR="008E6A75" w:rsidRPr="00C267BF">
        <w:rPr>
          <w:rFonts w:ascii="Times New Roman" w:hAnsi="Times New Roman"/>
          <w:lang w:eastAsia="sk-SK"/>
        </w:rPr>
        <w:t>.</w:t>
      </w:r>
    </w:p>
    <w:p w:rsidR="008E6A75" w:rsidRPr="00C267BF" w:rsidRDefault="008E6A75"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Závažná hypotenzia.</w:t>
      </w:r>
    </w:p>
    <w:p w:rsidR="008E6A75" w:rsidRPr="00C267BF" w:rsidRDefault="008E6A75"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Šok (vrátane kardiogénneho šoku).</w:t>
      </w:r>
    </w:p>
    <w:p w:rsidR="00FD2D5B" w:rsidRPr="00C267BF" w:rsidRDefault="00FD2D5B" w:rsidP="008E6A75">
      <w:pPr>
        <w:pStyle w:val="Odsekzoznamu"/>
        <w:numPr>
          <w:ilvl w:val="0"/>
          <w:numId w:val="18"/>
        </w:numPr>
        <w:spacing w:after="0"/>
        <w:rPr>
          <w:rFonts w:ascii="Times New Roman" w:hAnsi="Times New Roman"/>
          <w:lang w:eastAsia="sk-SK"/>
        </w:rPr>
      </w:pPr>
      <w:r w:rsidRPr="00C267BF">
        <w:rPr>
          <w:rFonts w:ascii="Times New Roman" w:hAnsi="Times New Roman"/>
          <w:lang w:eastAsia="sk-SK"/>
        </w:rPr>
        <w:t xml:space="preserve">Obštrukcia </w:t>
      </w:r>
      <w:r w:rsidR="008E6A75" w:rsidRPr="00C267BF">
        <w:rPr>
          <w:rFonts w:ascii="Times New Roman" w:hAnsi="Times New Roman"/>
          <w:lang w:eastAsia="sk-SK"/>
        </w:rPr>
        <w:t>výtokovej časti</w:t>
      </w:r>
      <w:r w:rsidRPr="00C267BF">
        <w:rPr>
          <w:rFonts w:ascii="Times New Roman" w:hAnsi="Times New Roman"/>
          <w:lang w:eastAsia="sk-SK"/>
        </w:rPr>
        <w:t xml:space="preserve"> ľavej srdcovej komory (napr. vysoký stupeň aortálnej stenózy)</w:t>
      </w:r>
      <w:r w:rsidR="008E6A75" w:rsidRPr="00C267BF">
        <w:rPr>
          <w:rFonts w:ascii="Times New Roman" w:hAnsi="Times New Roman"/>
          <w:lang w:eastAsia="sk-SK"/>
        </w:rPr>
        <w:t>.</w:t>
      </w:r>
    </w:p>
    <w:p w:rsidR="00FD2D5B" w:rsidRPr="00C267BF" w:rsidRDefault="00FD2D5B" w:rsidP="008E6A75">
      <w:pPr>
        <w:numPr>
          <w:ilvl w:val="0"/>
          <w:numId w:val="18"/>
        </w:numPr>
        <w:spacing w:after="0" w:line="240" w:lineRule="auto"/>
        <w:rPr>
          <w:rFonts w:ascii="Times New Roman" w:hAnsi="Times New Roman"/>
          <w:lang w:eastAsia="sk-SK"/>
        </w:rPr>
      </w:pPr>
      <w:r w:rsidRPr="00C267BF">
        <w:rPr>
          <w:rFonts w:ascii="Times New Roman" w:hAnsi="Times New Roman"/>
          <w:lang w:eastAsia="sk-SK"/>
        </w:rPr>
        <w:t>Hemodynamicky nestabilné srdcové zlyhanie po akútnom infarkte myokardu</w:t>
      </w:r>
      <w:r w:rsidR="008E6A75" w:rsidRPr="00C267BF">
        <w:rPr>
          <w:rFonts w:ascii="Times New Roman" w:hAnsi="Times New Roman"/>
          <w:lang w:eastAsia="sk-SK"/>
        </w:rPr>
        <w:t>.</w:t>
      </w:r>
    </w:p>
    <w:p w:rsidR="008E6A75" w:rsidRPr="00C267BF" w:rsidRDefault="008E6A75" w:rsidP="008E6A75">
      <w:pPr>
        <w:spacing w:after="0" w:line="240" w:lineRule="auto"/>
        <w:ind w:left="425"/>
        <w:rPr>
          <w:rFonts w:ascii="Times New Roman" w:hAnsi="Times New Roman"/>
          <w:lang w:eastAsia="sk-SK"/>
        </w:rPr>
      </w:pPr>
    </w:p>
    <w:p w:rsidR="00FD2D5B" w:rsidRPr="00C267BF" w:rsidRDefault="00FD2D5B" w:rsidP="008E6A75">
      <w:pPr>
        <w:spacing w:after="0" w:line="240" w:lineRule="auto"/>
        <w:rPr>
          <w:rFonts w:ascii="Times New Roman" w:hAnsi="Times New Roman"/>
          <w:lang w:eastAsia="sk-SK"/>
        </w:rPr>
      </w:pPr>
      <w:r w:rsidRPr="00C267BF">
        <w:rPr>
          <w:rFonts w:ascii="Times New Roman" w:hAnsi="Times New Roman"/>
          <w:lang w:eastAsia="sk-SK"/>
        </w:rPr>
        <w:t xml:space="preserve">Súbežné </w:t>
      </w:r>
      <w:r w:rsidR="00D44A9E" w:rsidRPr="00C267BF">
        <w:rPr>
          <w:rFonts w:ascii="Times New Roman" w:hAnsi="Times New Roman"/>
          <w:lang w:eastAsia="sk-SK"/>
        </w:rPr>
        <w:t>užívanie</w:t>
      </w:r>
      <w:r w:rsidRPr="00C267BF">
        <w:rPr>
          <w:rFonts w:ascii="Times New Roman" w:hAnsi="Times New Roman"/>
          <w:lang w:eastAsia="sk-SK"/>
        </w:rPr>
        <w:t xml:space="preserve"> </w:t>
      </w:r>
      <w:proofErr w:type="spellStart"/>
      <w:r w:rsidR="008E6A75" w:rsidRPr="00C267BF">
        <w:rPr>
          <w:rFonts w:ascii="Times New Roman" w:hAnsi="Times New Roman"/>
          <w:lang w:eastAsia="sk-SK"/>
        </w:rPr>
        <w:t>M</w:t>
      </w:r>
      <w:r w:rsidR="00B17E64" w:rsidRPr="00B17E64">
        <w:rPr>
          <w:rFonts w:ascii="Times New Roman" w:hAnsi="Times New Roman"/>
          <w:lang w:eastAsia="sk-SK"/>
        </w:rPr>
        <w:t>ixor</w:t>
      </w:r>
      <w:r w:rsidR="00B17E64">
        <w:rPr>
          <w:rFonts w:ascii="Times New Roman" w:hAnsi="Times New Roman"/>
          <w:lang w:eastAsia="sk-SK"/>
        </w:rPr>
        <w:t>u</w:t>
      </w:r>
      <w:proofErr w:type="spellEnd"/>
      <w:r w:rsidRPr="00C267BF">
        <w:rPr>
          <w:rFonts w:ascii="Times New Roman" w:hAnsi="Times New Roman"/>
          <w:lang w:eastAsia="sk-SK"/>
        </w:rPr>
        <w:t xml:space="preserve"> s</w:t>
      </w:r>
      <w:r w:rsidR="008E6A75" w:rsidRPr="00C267BF">
        <w:rPr>
          <w:rFonts w:ascii="Times New Roman" w:hAnsi="Times New Roman"/>
          <w:lang w:eastAsia="sk-SK"/>
        </w:rPr>
        <w:t xml:space="preserve"> liekmi obsahujúcimi </w:t>
      </w:r>
      <w:proofErr w:type="spellStart"/>
      <w:r w:rsidRPr="00C267BF">
        <w:rPr>
          <w:rFonts w:ascii="Times New Roman" w:hAnsi="Times New Roman"/>
          <w:lang w:eastAsia="sk-SK"/>
        </w:rPr>
        <w:t>aliskir</w:t>
      </w:r>
      <w:r w:rsidR="008E6A75" w:rsidRPr="00C267BF">
        <w:rPr>
          <w:rFonts w:ascii="Times New Roman" w:hAnsi="Times New Roman"/>
          <w:lang w:eastAsia="sk-SK"/>
        </w:rPr>
        <w:t>é</w:t>
      </w:r>
      <w:r w:rsidRPr="00C267BF">
        <w:rPr>
          <w:rFonts w:ascii="Times New Roman" w:hAnsi="Times New Roman"/>
          <w:lang w:eastAsia="sk-SK"/>
        </w:rPr>
        <w:t>n</w:t>
      </w:r>
      <w:proofErr w:type="spellEnd"/>
      <w:r w:rsidRPr="00C267BF">
        <w:rPr>
          <w:rFonts w:ascii="Times New Roman" w:hAnsi="Times New Roman"/>
          <w:lang w:eastAsia="sk-SK"/>
        </w:rPr>
        <w:t xml:space="preserve"> </w:t>
      </w:r>
      <w:r w:rsidR="008E6A75" w:rsidRPr="00C267BF">
        <w:rPr>
          <w:rFonts w:ascii="Times New Roman" w:hAnsi="Times New Roman"/>
          <w:lang w:eastAsia="sk-SK"/>
        </w:rPr>
        <w:t xml:space="preserve">je kontraindikované </w:t>
      </w:r>
      <w:r w:rsidRPr="00C267BF">
        <w:rPr>
          <w:rFonts w:ascii="Times New Roman" w:hAnsi="Times New Roman"/>
          <w:lang w:eastAsia="sk-SK"/>
        </w:rPr>
        <w:t>u pacientov s diabetom mellitus alebo poruchou funkcie obličiek (GFR ˂ 60 ml/min/1,73 m</w:t>
      </w:r>
      <w:r w:rsidRPr="00C267BF">
        <w:rPr>
          <w:rFonts w:ascii="Times New Roman" w:hAnsi="Times New Roman"/>
          <w:sz w:val="24"/>
          <w:vertAlign w:val="superscript"/>
          <w:lang w:eastAsia="sk-SK"/>
        </w:rPr>
        <w:t>2</w:t>
      </w:r>
      <w:r w:rsidRPr="00C267BF">
        <w:rPr>
          <w:rFonts w:ascii="Times New Roman" w:hAnsi="Times New Roman"/>
          <w:sz w:val="24"/>
          <w:lang w:eastAsia="sk-SK"/>
        </w:rPr>
        <w:t>) (</w:t>
      </w:r>
      <w:r w:rsidRPr="00C267BF">
        <w:rPr>
          <w:rFonts w:ascii="Times New Roman" w:hAnsi="Times New Roman"/>
          <w:lang w:eastAsia="sk-SK"/>
        </w:rPr>
        <w:t xml:space="preserve">pozri časti </w:t>
      </w:r>
      <w:r w:rsidR="008E6A75" w:rsidRPr="00C267BF">
        <w:rPr>
          <w:rFonts w:ascii="Times New Roman" w:hAnsi="Times New Roman"/>
          <w:lang w:eastAsia="sk-SK"/>
        </w:rPr>
        <w:t xml:space="preserve">4.2, 4.4, </w:t>
      </w:r>
      <w:r w:rsidRPr="00C267BF">
        <w:rPr>
          <w:rFonts w:ascii="Times New Roman" w:hAnsi="Times New Roman"/>
          <w:lang w:eastAsia="sk-SK"/>
        </w:rPr>
        <w:t>4.5 a 5.1</w:t>
      </w:r>
      <w:r w:rsidR="008E6A75" w:rsidRPr="00C267BF">
        <w:rPr>
          <w:rFonts w:ascii="Times New Roman" w:hAnsi="Times New Roman"/>
          <w:sz w:val="24"/>
          <w:lang w:eastAsia="sk-SK"/>
        </w:rPr>
        <w:t>).</w:t>
      </w:r>
    </w:p>
    <w:p w:rsidR="00FD2D5B" w:rsidRPr="00C267BF" w:rsidRDefault="00FD2D5B" w:rsidP="00FD2D5B">
      <w:pPr>
        <w:spacing w:after="0" w:line="240" w:lineRule="auto"/>
        <w:rPr>
          <w:rFonts w:ascii="Times New Roman" w:hAnsi="Times New Roman"/>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4.4</w:t>
      </w:r>
      <w:r w:rsidRPr="00C267BF">
        <w:rPr>
          <w:rFonts w:ascii="Times New Roman" w:hAnsi="Times New Roman"/>
          <w:b/>
          <w:noProof/>
          <w:lang w:eastAsia="sk-SK"/>
        </w:rPr>
        <w:tab/>
        <w:t>Osobitné upozornenia a opatrenia pri používaní</w:t>
      </w:r>
    </w:p>
    <w:p w:rsidR="00FD2D5B" w:rsidRPr="00C267BF" w:rsidRDefault="00FD2D5B" w:rsidP="00FD2D5B">
      <w:pPr>
        <w:spacing w:after="0" w:line="240" w:lineRule="auto"/>
        <w:ind w:left="567" w:hanging="567"/>
        <w:rPr>
          <w:rFonts w:ascii="Times New Roman" w:hAnsi="Times New Roman"/>
          <w:noProof/>
          <w:lang w:eastAsia="sk-SK"/>
        </w:rPr>
      </w:pPr>
    </w:p>
    <w:p w:rsidR="008E6A75" w:rsidRPr="00C267BF" w:rsidRDefault="008E6A75"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Telmisartan</w:t>
      </w:r>
    </w:p>
    <w:p w:rsidR="008E6A75" w:rsidRPr="00C267BF" w:rsidRDefault="008E6A75" w:rsidP="00FD2D5B">
      <w:pPr>
        <w:spacing w:after="0" w:line="240" w:lineRule="auto"/>
        <w:ind w:left="567" w:hanging="567"/>
        <w:rPr>
          <w:rFonts w:ascii="Times New Roman" w:hAnsi="Times New Roman"/>
          <w:i/>
          <w:noProof/>
          <w:highlight w:val="yellow"/>
          <w:u w:val="single"/>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Gravidita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Antagonisty receptora angiotenzínu II (AIIRA) sa nemajú začať podávať počas gravidity. Pokiaľ nie je pokračovanie liečby antagonistami receptora angiotenzínu II považované za nevyhnutné, pacientky, ktoré plánujú graviditu sa majú prestaviť na alternatívnu antihypertenznú liečbu, ktorá má preukázaný bezpečnostný profil pri používaní v gravidite. Ak sa gravidita potvrdí, liečba antagonistami receptora </w:t>
      </w:r>
      <w:r w:rsidRPr="00C267BF">
        <w:rPr>
          <w:rFonts w:ascii="Times New Roman" w:eastAsia="Times New Roman" w:hAnsi="Times New Roman"/>
          <w:lang w:eastAsia="sk-SK"/>
        </w:rPr>
        <w:lastRenderedPageBreak/>
        <w:t>angiotenzínu II sa musí okamžite ukončiť a ak je vhodné, má sa začať alternatívna liečba (pozri časti 4.3 a 4.6).</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Porucha funkcie pečene</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sa nemá podávať pacientom s cholestázou, obštrukčnými žlčovými poruchami alebo ťažkou poruchou funkcie pečene (pozri časť 4.3), pretože telmisartan sa prevažne vylučuje žlčou. U týchto pacientov možno očakávať znížený hepatálny klírens telmisartanu. Telmisartan sa má používať len s opatrnosťou u pacientov s miernou až stredne ťažkou poruchou funkcie pečene.</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Renovaskulárna hypertenzia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pacientov s bilaterálnou stenózou renálnej artérie alebo stenózou artérie jednej funkčnej obličky, ktorí sa liečia liekmi, ktoré pôsobia na</w:t>
      </w:r>
      <w:r w:rsidR="008142E7" w:rsidRPr="00C267BF">
        <w:rPr>
          <w:rFonts w:ascii="Times New Roman" w:eastAsia="Times New Roman" w:hAnsi="Times New Roman"/>
          <w:lang w:eastAsia="sk-SK"/>
        </w:rPr>
        <w:t xml:space="preserve"> systém</w:t>
      </w:r>
      <w:r w:rsidRPr="00C267BF">
        <w:rPr>
          <w:rFonts w:ascii="Times New Roman" w:eastAsia="Times New Roman" w:hAnsi="Times New Roman"/>
          <w:lang w:eastAsia="sk-SK"/>
        </w:rPr>
        <w:t xml:space="preserve"> renín-angiotenzín-aldosterón, je zvýšené riziko ťažkej hypotenzie a renálnej insuficiencie.</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Porucha funkcie obličiek a transplantácia obličky</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Ak sa </w:t>
      </w:r>
      <w:r w:rsidR="00EC7807" w:rsidRPr="00C267BF">
        <w:rPr>
          <w:rFonts w:ascii="Times New Roman" w:eastAsia="Times New Roman" w:hAnsi="Times New Roman"/>
          <w:lang w:eastAsia="sk-SK"/>
        </w:rPr>
        <w:t>t</w:t>
      </w:r>
      <w:r w:rsidRPr="00C267BF">
        <w:rPr>
          <w:rFonts w:ascii="Times New Roman" w:eastAsia="Times New Roman" w:hAnsi="Times New Roman"/>
          <w:lang w:eastAsia="sk-SK"/>
        </w:rPr>
        <w:t xml:space="preserve">elmisartan používa u pacientov s poruchou funkcie obličiek, odporúča sa pravidelné sledovanie hladín sérového draslíka a kreatinínu. Nie sú žiadne skúsenosti s podávaním </w:t>
      </w:r>
      <w:proofErr w:type="spellStart"/>
      <w:r w:rsidRPr="00C267BF">
        <w:rPr>
          <w:rFonts w:ascii="Times New Roman" w:eastAsia="Times New Roman" w:hAnsi="Times New Roman"/>
          <w:lang w:eastAsia="sk-SK"/>
        </w:rPr>
        <w:t>telmisartanu</w:t>
      </w:r>
      <w:proofErr w:type="spellEnd"/>
      <w:r w:rsidRPr="00C267BF">
        <w:rPr>
          <w:rFonts w:ascii="Times New Roman" w:eastAsia="Times New Roman" w:hAnsi="Times New Roman"/>
          <w:lang w:eastAsia="sk-SK"/>
        </w:rPr>
        <w:t xml:space="preserve"> pacientom s nedávnou transplantáciou obličky.</w:t>
      </w:r>
      <w:r w:rsidR="00EC7807" w:rsidRPr="00C267BF">
        <w:rPr>
          <w:rFonts w:ascii="Times New Roman" w:eastAsia="Times New Roman" w:hAnsi="Times New Roman"/>
          <w:lang w:eastAsia="sk-SK"/>
        </w:rPr>
        <w:t xml:space="preserve"> Telmisartan nie je dialyzovateľný.</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Intravaskulárna hypovolémia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pacientov, ktorí sú v objemovej a/alebo sodíkovej deplécii silnou diuretickou liečbou, diétnym</w:t>
      </w:r>
      <w:r w:rsidR="00F552CA">
        <w:rPr>
          <w:rFonts w:ascii="Times New Roman" w:eastAsia="Times New Roman" w:hAnsi="Times New Roman"/>
          <w:lang w:eastAsia="sk-SK"/>
        </w:rPr>
        <w:t xml:space="preserve"> </w:t>
      </w:r>
      <w:r w:rsidRPr="00C267BF">
        <w:rPr>
          <w:rFonts w:ascii="Times New Roman" w:eastAsia="Times New Roman" w:hAnsi="Times New Roman"/>
          <w:lang w:eastAsia="sk-SK"/>
        </w:rPr>
        <w:t xml:space="preserve">obmedzením soli, </w:t>
      </w:r>
      <w:proofErr w:type="spellStart"/>
      <w:r w:rsidRPr="00C267BF">
        <w:rPr>
          <w:rFonts w:ascii="Times New Roman" w:eastAsia="Times New Roman" w:hAnsi="Times New Roman"/>
          <w:lang w:eastAsia="sk-SK"/>
        </w:rPr>
        <w:t>diareou</w:t>
      </w:r>
      <w:proofErr w:type="spellEnd"/>
      <w:r w:rsidRPr="00C267BF">
        <w:rPr>
          <w:rFonts w:ascii="Times New Roman" w:eastAsia="Times New Roman" w:hAnsi="Times New Roman"/>
          <w:lang w:eastAsia="sk-SK"/>
        </w:rPr>
        <w:t xml:space="preserve"> alebo vracaním, sa najmä po prvej dávke </w:t>
      </w:r>
      <w:r w:rsidR="00EC7807" w:rsidRPr="00C267BF">
        <w:rPr>
          <w:rFonts w:ascii="Times New Roman" w:eastAsia="Times New Roman" w:hAnsi="Times New Roman"/>
          <w:lang w:eastAsia="sk-SK"/>
        </w:rPr>
        <w:t>t</w:t>
      </w:r>
      <w:r w:rsidRPr="00C267BF">
        <w:rPr>
          <w:rFonts w:ascii="Times New Roman" w:eastAsia="Times New Roman" w:hAnsi="Times New Roman"/>
          <w:lang w:eastAsia="sk-SK"/>
        </w:rPr>
        <w:t>e</w:t>
      </w:r>
      <w:r w:rsidR="00EC7807" w:rsidRPr="00C267BF">
        <w:rPr>
          <w:rFonts w:ascii="Times New Roman" w:eastAsia="Times New Roman" w:hAnsi="Times New Roman"/>
          <w:lang w:eastAsia="sk-SK"/>
        </w:rPr>
        <w:t>lmisartanu</w:t>
      </w:r>
      <w:r w:rsidRPr="00C267BF">
        <w:rPr>
          <w:rFonts w:ascii="Times New Roman" w:eastAsia="Times New Roman" w:hAnsi="Times New Roman"/>
          <w:lang w:eastAsia="sk-SK"/>
        </w:rPr>
        <w:t xml:space="preserve"> môže vyskytnúť symptomatická hypotenzia. Tieto stavy sa musia pred podávaním telmisartanu upraviť. Objemová a/alebo sodíková deplécia sa má upraviť ešte pred podávaním telmisartanu.</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 xml:space="preserve">Duálna inhibícia </w:t>
      </w:r>
      <w:r w:rsidR="008142E7" w:rsidRPr="00C267BF">
        <w:rPr>
          <w:rFonts w:ascii="Times New Roman" w:eastAsia="Times New Roman" w:hAnsi="Times New Roman"/>
          <w:i/>
          <w:lang w:eastAsia="sk-SK"/>
        </w:rPr>
        <w:t xml:space="preserve">systému </w:t>
      </w:r>
      <w:r w:rsidRPr="00C267BF">
        <w:rPr>
          <w:rFonts w:ascii="Times New Roman" w:eastAsia="Times New Roman" w:hAnsi="Times New Roman"/>
          <w:i/>
          <w:lang w:eastAsia="sk-SK"/>
        </w:rPr>
        <w:t>renín-angiotenzín-aldosterón (RAAS)</w:t>
      </w:r>
    </w:p>
    <w:p w:rsidR="00F552CA"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Preukázalo sa, že súbežné použitie inhibítorov ACE, blokátorov receptorov angiotenzínu II alebo aliskirénu zvyšuje riziko hypotenzie, hyperkaliémie a </w:t>
      </w:r>
      <w:r w:rsidRPr="00C267BF">
        <w:rPr>
          <w:rFonts w:ascii="Times New Roman" w:eastAsia="Times New Roman" w:hAnsi="Times New Roman"/>
          <w:sz w:val="24"/>
          <w:szCs w:val="24"/>
          <w:lang w:eastAsia="sk-SK"/>
        </w:rPr>
        <w:t xml:space="preserve"> </w:t>
      </w:r>
      <w:r w:rsidRPr="00C267BF">
        <w:rPr>
          <w:rFonts w:ascii="Times New Roman" w:eastAsia="Times New Roman" w:hAnsi="Times New Roman"/>
          <w:lang w:eastAsia="sk-SK"/>
        </w:rPr>
        <w:t xml:space="preserve">zníženia funkcie obličiek (vrátane akútneho zlyhania obličiek). Duálna inhibícia RAAS kombinovaným použitím inhibítorov ACE, </w:t>
      </w:r>
      <w:proofErr w:type="spellStart"/>
      <w:r w:rsidRPr="00C267BF">
        <w:rPr>
          <w:rFonts w:ascii="Times New Roman" w:eastAsia="Times New Roman" w:hAnsi="Times New Roman"/>
          <w:lang w:eastAsia="sk-SK"/>
        </w:rPr>
        <w:t>blokátorov</w:t>
      </w:r>
      <w:proofErr w:type="spellEnd"/>
      <w:r w:rsidRPr="00C267BF">
        <w:rPr>
          <w:rFonts w:ascii="Times New Roman" w:eastAsia="Times New Roman" w:hAnsi="Times New Roman"/>
          <w:lang w:eastAsia="sk-SK"/>
        </w:rPr>
        <w:t xml:space="preserve"> receptorov </w:t>
      </w:r>
      <w:proofErr w:type="spellStart"/>
      <w:r w:rsidRPr="00C267BF">
        <w:rPr>
          <w:rFonts w:ascii="Times New Roman" w:eastAsia="Times New Roman" w:hAnsi="Times New Roman"/>
          <w:lang w:eastAsia="sk-SK"/>
        </w:rPr>
        <w:t>angiotenzínu</w:t>
      </w:r>
      <w:proofErr w:type="spellEnd"/>
      <w:r w:rsidRPr="00C267BF">
        <w:rPr>
          <w:rFonts w:ascii="Times New Roman" w:eastAsia="Times New Roman" w:hAnsi="Times New Roman"/>
          <w:lang w:eastAsia="sk-SK"/>
        </w:rPr>
        <w:t xml:space="preserve"> II alebo </w:t>
      </w:r>
      <w:proofErr w:type="spellStart"/>
      <w:r w:rsidRPr="00C267BF">
        <w:rPr>
          <w:rFonts w:ascii="Times New Roman" w:eastAsia="Times New Roman" w:hAnsi="Times New Roman"/>
          <w:lang w:eastAsia="sk-SK"/>
        </w:rPr>
        <w:t>aliskir</w:t>
      </w:r>
      <w:r w:rsidR="008142E7" w:rsidRPr="00C267BF">
        <w:rPr>
          <w:rFonts w:ascii="Times New Roman" w:eastAsia="Times New Roman" w:hAnsi="Times New Roman"/>
          <w:lang w:eastAsia="sk-SK"/>
        </w:rPr>
        <w:t>é</w:t>
      </w:r>
      <w:r w:rsidRPr="00C267BF">
        <w:rPr>
          <w:rFonts w:ascii="Times New Roman" w:eastAsia="Times New Roman" w:hAnsi="Times New Roman"/>
          <w:lang w:eastAsia="sk-SK"/>
        </w:rPr>
        <w:t>nu</w:t>
      </w:r>
      <w:proofErr w:type="spellEnd"/>
      <w:r w:rsidRPr="00C267BF">
        <w:rPr>
          <w:rFonts w:ascii="Times New Roman" w:eastAsia="Times New Roman" w:hAnsi="Times New Roman"/>
          <w:lang w:eastAsia="sk-SK"/>
        </w:rPr>
        <w:t xml:space="preserve"> sa preto neodporúča (pozri časti 4.5 a 5.1). </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Ak sa liečba duálnou inhibíciou považuje za absolútne nevyhnutnú, má sa podať iba pod dohľadom odborníka a u pacienta sa majú často a dôsledne monitorovať funkcia obličiek, elektrolyty a krvný tlak.</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Inhibítory ACE a blokátory receptorov angiotenzínu II sa nemajú súbežne používať u pacientov s diabetickou nefropatiou.</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5A4526" w:rsidRPr="00C267BF" w:rsidRDefault="005A4526" w:rsidP="000E651B">
      <w:pPr>
        <w:autoSpaceDE w:val="0"/>
        <w:autoSpaceDN w:val="0"/>
        <w:adjustRightInd w:val="0"/>
        <w:spacing w:after="0" w:line="240" w:lineRule="auto"/>
        <w:rPr>
          <w:rStyle w:val="hps"/>
          <w:rFonts w:ascii="Times New Roman" w:hAnsi="Times New Roman"/>
          <w:color w:val="222222"/>
        </w:rPr>
      </w:pPr>
      <w:r w:rsidRPr="00C267BF">
        <w:rPr>
          <w:rStyle w:val="hps"/>
          <w:rFonts w:ascii="Times New Roman" w:hAnsi="Times New Roman"/>
          <w:color w:val="222222"/>
        </w:rPr>
        <w:t>V dôsledku</w:t>
      </w:r>
      <w:r w:rsidRPr="00C267BF">
        <w:rPr>
          <w:rFonts w:ascii="Times New Roman" w:hAnsi="Times New Roman"/>
          <w:color w:val="222222"/>
        </w:rPr>
        <w:t xml:space="preserve"> </w:t>
      </w:r>
      <w:r w:rsidRPr="00C267BF">
        <w:rPr>
          <w:rStyle w:val="hps"/>
          <w:rFonts w:ascii="Times New Roman" w:hAnsi="Times New Roman"/>
          <w:color w:val="222222"/>
        </w:rPr>
        <w:t>inhibície</w:t>
      </w:r>
      <w:r w:rsidRPr="00C267BF">
        <w:rPr>
          <w:rFonts w:ascii="Times New Roman" w:hAnsi="Times New Roman"/>
          <w:color w:val="222222"/>
        </w:rPr>
        <w:t xml:space="preserve"> </w:t>
      </w:r>
      <w:r w:rsidR="005E1652" w:rsidRPr="00C267BF">
        <w:rPr>
          <w:rFonts w:ascii="Times New Roman" w:hAnsi="Times New Roman"/>
          <w:color w:val="222222"/>
        </w:rPr>
        <w:t>systému</w:t>
      </w:r>
      <w:r w:rsidR="005E1652" w:rsidRPr="00C267BF">
        <w:rPr>
          <w:rStyle w:val="hps"/>
          <w:rFonts w:ascii="Times New Roman" w:hAnsi="Times New Roman"/>
          <w:color w:val="222222"/>
        </w:rPr>
        <w:t xml:space="preserve"> </w:t>
      </w:r>
      <w:proofErr w:type="spellStart"/>
      <w:r w:rsidRPr="00C267BF">
        <w:rPr>
          <w:rStyle w:val="hps"/>
          <w:rFonts w:ascii="Times New Roman" w:hAnsi="Times New Roman"/>
          <w:color w:val="222222"/>
        </w:rPr>
        <w:t>renín</w:t>
      </w:r>
      <w:r w:rsidRPr="00C267BF">
        <w:rPr>
          <w:rStyle w:val="atn"/>
          <w:rFonts w:ascii="Times New Roman" w:hAnsi="Times New Roman"/>
          <w:color w:val="222222"/>
        </w:rPr>
        <w:t>-</w:t>
      </w:r>
      <w:r w:rsidRPr="00C267BF">
        <w:rPr>
          <w:rFonts w:ascii="Times New Roman" w:hAnsi="Times New Roman"/>
          <w:color w:val="222222"/>
        </w:rPr>
        <w:t>angiotenzín</w:t>
      </w:r>
      <w:r w:rsidRPr="00C267BF">
        <w:rPr>
          <w:rStyle w:val="atn"/>
          <w:rFonts w:ascii="Times New Roman" w:hAnsi="Times New Roman"/>
          <w:color w:val="222222"/>
        </w:rPr>
        <w:t>-</w:t>
      </w:r>
      <w:r w:rsidRPr="00C267BF">
        <w:rPr>
          <w:rFonts w:ascii="Times New Roman" w:hAnsi="Times New Roman"/>
          <w:color w:val="222222"/>
        </w:rPr>
        <w:t>aldosterón</w:t>
      </w:r>
      <w:proofErr w:type="spellEnd"/>
      <w:r w:rsidR="005E1652" w:rsidRPr="00C267BF">
        <w:rPr>
          <w:rFonts w:ascii="Times New Roman" w:hAnsi="Times New Roman"/>
          <w:color w:val="222222"/>
        </w:rPr>
        <w:t xml:space="preserve"> boli u vnímavých jedincov hlásené </w:t>
      </w:r>
      <w:r w:rsidRPr="00C267BF">
        <w:rPr>
          <w:rFonts w:ascii="Times New Roman" w:hAnsi="Times New Roman"/>
          <w:color w:val="222222"/>
        </w:rPr>
        <w:t xml:space="preserve">hypotenzia, synkopa, hyperkaliémia </w:t>
      </w:r>
      <w:r w:rsidRPr="00C267BF">
        <w:rPr>
          <w:rStyle w:val="hps"/>
          <w:rFonts w:ascii="Times New Roman" w:hAnsi="Times New Roman"/>
          <w:color w:val="222222"/>
        </w:rPr>
        <w:t>a</w:t>
      </w:r>
      <w:r w:rsidRPr="00C267BF">
        <w:rPr>
          <w:rFonts w:ascii="Times New Roman" w:hAnsi="Times New Roman"/>
          <w:color w:val="222222"/>
        </w:rPr>
        <w:t xml:space="preserve"> </w:t>
      </w:r>
      <w:r w:rsidRPr="00C267BF">
        <w:rPr>
          <w:rStyle w:val="hps"/>
          <w:rFonts w:ascii="Times New Roman" w:hAnsi="Times New Roman"/>
          <w:color w:val="222222"/>
        </w:rPr>
        <w:t>zmeny funkcie obličiek</w:t>
      </w:r>
      <w:r w:rsidRPr="00C267BF">
        <w:rPr>
          <w:rFonts w:ascii="Times New Roman" w:hAnsi="Times New Roman"/>
          <w:color w:val="222222"/>
        </w:rPr>
        <w:t xml:space="preserve"> </w:t>
      </w:r>
      <w:r w:rsidRPr="00C267BF">
        <w:rPr>
          <w:rStyle w:val="hps"/>
          <w:rFonts w:ascii="Times New Roman" w:hAnsi="Times New Roman"/>
          <w:color w:val="222222"/>
        </w:rPr>
        <w:t>(</w:t>
      </w:r>
      <w:r w:rsidRPr="00C267BF">
        <w:rPr>
          <w:rFonts w:ascii="Times New Roman" w:hAnsi="Times New Roman"/>
          <w:color w:val="222222"/>
        </w:rPr>
        <w:t xml:space="preserve">vrátane </w:t>
      </w:r>
      <w:r w:rsidRPr="00C267BF">
        <w:rPr>
          <w:rStyle w:val="hps"/>
          <w:rFonts w:ascii="Times New Roman" w:hAnsi="Times New Roman"/>
          <w:color w:val="222222"/>
        </w:rPr>
        <w:t>akútneho</w:t>
      </w:r>
      <w:r w:rsidRPr="00C267BF">
        <w:rPr>
          <w:rFonts w:ascii="Times New Roman" w:hAnsi="Times New Roman"/>
          <w:color w:val="222222"/>
        </w:rPr>
        <w:t xml:space="preserve"> </w:t>
      </w:r>
      <w:r w:rsidRPr="00C267BF">
        <w:rPr>
          <w:rStyle w:val="hps"/>
          <w:rFonts w:ascii="Times New Roman" w:hAnsi="Times New Roman"/>
          <w:color w:val="222222"/>
        </w:rPr>
        <w:t>zlyhania</w:t>
      </w:r>
      <w:r w:rsidRPr="00C267BF">
        <w:rPr>
          <w:rFonts w:ascii="Times New Roman" w:hAnsi="Times New Roman"/>
          <w:color w:val="222222"/>
        </w:rPr>
        <w:t xml:space="preserve"> </w:t>
      </w:r>
      <w:r w:rsidRPr="00C267BF">
        <w:rPr>
          <w:rStyle w:val="hps"/>
          <w:rFonts w:ascii="Times New Roman" w:hAnsi="Times New Roman"/>
          <w:color w:val="222222"/>
        </w:rPr>
        <w:t>obličiek</w:t>
      </w:r>
      <w:r w:rsidRPr="00C267BF">
        <w:rPr>
          <w:rFonts w:ascii="Times New Roman" w:hAnsi="Times New Roman"/>
          <w:color w:val="222222"/>
        </w:rPr>
        <w:t>)</w:t>
      </w:r>
      <w:r w:rsidRPr="00C267BF">
        <w:rPr>
          <w:rStyle w:val="hps"/>
          <w:rFonts w:ascii="Times New Roman" w:hAnsi="Times New Roman"/>
          <w:color w:val="222222"/>
        </w:rPr>
        <w:t>,</w:t>
      </w:r>
      <w:r w:rsidRPr="00C267BF">
        <w:rPr>
          <w:rFonts w:ascii="Times New Roman" w:hAnsi="Times New Roman"/>
          <w:color w:val="222222"/>
        </w:rPr>
        <w:t xml:space="preserve"> </w:t>
      </w:r>
      <w:r w:rsidRPr="00C267BF">
        <w:rPr>
          <w:rStyle w:val="hps"/>
          <w:rFonts w:ascii="Times New Roman" w:hAnsi="Times New Roman"/>
          <w:color w:val="222222"/>
        </w:rPr>
        <w:t>najmä v kombinácii</w:t>
      </w:r>
      <w:r w:rsidRPr="00C267BF">
        <w:rPr>
          <w:rFonts w:ascii="Times New Roman" w:hAnsi="Times New Roman"/>
          <w:color w:val="222222"/>
        </w:rPr>
        <w:t xml:space="preserve"> </w:t>
      </w:r>
      <w:r w:rsidRPr="00C267BF">
        <w:rPr>
          <w:rStyle w:val="hps"/>
          <w:rFonts w:ascii="Times New Roman" w:hAnsi="Times New Roman"/>
          <w:color w:val="222222"/>
        </w:rPr>
        <w:t>s liekmi</w:t>
      </w:r>
      <w:r w:rsidRPr="00C267BF">
        <w:rPr>
          <w:rFonts w:ascii="Times New Roman" w:hAnsi="Times New Roman"/>
          <w:color w:val="222222"/>
        </w:rPr>
        <w:t xml:space="preserve">, ktoré </w:t>
      </w:r>
      <w:r w:rsidRPr="00C267BF">
        <w:rPr>
          <w:rStyle w:val="hps"/>
          <w:rFonts w:ascii="Times New Roman" w:hAnsi="Times New Roman"/>
          <w:color w:val="222222"/>
        </w:rPr>
        <w:t>ovplyvňujú tento</w:t>
      </w:r>
      <w:r w:rsidRPr="00C267BF">
        <w:rPr>
          <w:rFonts w:ascii="Times New Roman" w:hAnsi="Times New Roman"/>
          <w:color w:val="222222"/>
        </w:rPr>
        <w:t xml:space="preserve"> </w:t>
      </w:r>
      <w:r w:rsidRPr="00C267BF">
        <w:rPr>
          <w:rStyle w:val="hps"/>
          <w:rFonts w:ascii="Times New Roman" w:hAnsi="Times New Roman"/>
          <w:color w:val="222222"/>
        </w:rPr>
        <w:t>systém</w:t>
      </w:r>
      <w:r w:rsidRPr="00C267BF">
        <w:rPr>
          <w:rFonts w:ascii="Times New Roman" w:hAnsi="Times New Roman"/>
          <w:color w:val="222222"/>
        </w:rPr>
        <w:t xml:space="preserve">. </w:t>
      </w:r>
      <w:r w:rsidRPr="00C267BF">
        <w:rPr>
          <w:rStyle w:val="hps"/>
          <w:rFonts w:ascii="Times New Roman" w:hAnsi="Times New Roman"/>
          <w:color w:val="222222"/>
        </w:rPr>
        <w:t>Dvojitá blokáda</w:t>
      </w:r>
      <w:r w:rsidRPr="00C267BF">
        <w:rPr>
          <w:rFonts w:ascii="Times New Roman" w:hAnsi="Times New Roman"/>
          <w:color w:val="222222"/>
        </w:rPr>
        <w:t xml:space="preserve"> </w:t>
      </w:r>
      <w:r w:rsidR="005E1652" w:rsidRPr="00C267BF">
        <w:rPr>
          <w:rFonts w:ascii="Times New Roman" w:hAnsi="Times New Roman"/>
          <w:color w:val="222222"/>
        </w:rPr>
        <w:t xml:space="preserve">systému </w:t>
      </w:r>
      <w:r w:rsidRPr="00C267BF">
        <w:rPr>
          <w:rStyle w:val="hps"/>
          <w:rFonts w:ascii="Times New Roman" w:hAnsi="Times New Roman"/>
          <w:color w:val="222222"/>
        </w:rPr>
        <w:t>renín</w:t>
      </w:r>
      <w:r w:rsidRPr="00C267BF">
        <w:rPr>
          <w:rStyle w:val="atn"/>
          <w:rFonts w:ascii="Times New Roman" w:hAnsi="Times New Roman"/>
          <w:color w:val="222222"/>
        </w:rPr>
        <w:t>-</w:t>
      </w:r>
      <w:r w:rsidRPr="00C267BF">
        <w:rPr>
          <w:rFonts w:ascii="Times New Roman" w:hAnsi="Times New Roman"/>
          <w:color w:val="222222"/>
        </w:rPr>
        <w:t>angiotenzín</w:t>
      </w:r>
      <w:r w:rsidRPr="00C267BF">
        <w:rPr>
          <w:rStyle w:val="atn"/>
          <w:rFonts w:ascii="Times New Roman" w:hAnsi="Times New Roman"/>
          <w:color w:val="222222"/>
        </w:rPr>
        <w:t>-</w:t>
      </w:r>
      <w:r w:rsidRPr="00C267BF">
        <w:rPr>
          <w:rFonts w:ascii="Times New Roman" w:hAnsi="Times New Roman"/>
          <w:color w:val="222222"/>
        </w:rPr>
        <w:t xml:space="preserve">aldosterón </w:t>
      </w:r>
      <w:r w:rsidRPr="00C267BF">
        <w:rPr>
          <w:rStyle w:val="hps"/>
          <w:rFonts w:ascii="Times New Roman" w:hAnsi="Times New Roman"/>
          <w:color w:val="222222"/>
        </w:rPr>
        <w:t>(napr</w:t>
      </w:r>
      <w:r w:rsidR="005E1652" w:rsidRPr="00C267BF">
        <w:rPr>
          <w:rStyle w:val="hps"/>
          <w:rFonts w:ascii="Times New Roman" w:hAnsi="Times New Roman"/>
          <w:color w:val="222222"/>
        </w:rPr>
        <w:t>.</w:t>
      </w:r>
      <w:r w:rsidRPr="00C267BF">
        <w:rPr>
          <w:rFonts w:ascii="Times New Roman" w:hAnsi="Times New Roman"/>
          <w:color w:val="222222"/>
        </w:rPr>
        <w:t xml:space="preserve"> </w:t>
      </w:r>
      <w:r w:rsidRPr="00C267BF">
        <w:rPr>
          <w:rStyle w:val="hps"/>
          <w:rFonts w:ascii="Times New Roman" w:hAnsi="Times New Roman"/>
          <w:color w:val="222222"/>
        </w:rPr>
        <w:t>podaním</w:t>
      </w:r>
      <w:r w:rsidRPr="00C267BF">
        <w:rPr>
          <w:rFonts w:ascii="Times New Roman" w:hAnsi="Times New Roman"/>
          <w:color w:val="222222"/>
        </w:rPr>
        <w:t xml:space="preserve"> </w:t>
      </w:r>
      <w:proofErr w:type="spellStart"/>
      <w:r w:rsidRPr="00C267BF">
        <w:rPr>
          <w:rStyle w:val="hps"/>
          <w:rFonts w:ascii="Times New Roman" w:hAnsi="Times New Roman"/>
          <w:color w:val="222222"/>
        </w:rPr>
        <w:t>telmisartanu</w:t>
      </w:r>
      <w:proofErr w:type="spellEnd"/>
      <w:r w:rsidRPr="00C267BF">
        <w:rPr>
          <w:rFonts w:ascii="Times New Roman" w:hAnsi="Times New Roman"/>
          <w:color w:val="222222"/>
        </w:rPr>
        <w:t xml:space="preserve"> </w:t>
      </w:r>
      <w:r w:rsidRPr="00C267BF">
        <w:rPr>
          <w:rStyle w:val="hps"/>
          <w:rFonts w:ascii="Times New Roman" w:hAnsi="Times New Roman"/>
          <w:color w:val="222222"/>
        </w:rPr>
        <w:t>s</w:t>
      </w:r>
      <w:r w:rsidRPr="00C267BF">
        <w:rPr>
          <w:rFonts w:ascii="Times New Roman" w:hAnsi="Times New Roman"/>
          <w:color w:val="222222"/>
        </w:rPr>
        <w:t xml:space="preserve"> </w:t>
      </w:r>
      <w:r w:rsidRPr="00C267BF">
        <w:rPr>
          <w:rStyle w:val="hps"/>
          <w:rFonts w:ascii="Times New Roman" w:hAnsi="Times New Roman"/>
          <w:color w:val="222222"/>
        </w:rPr>
        <w:t>ďalšími</w:t>
      </w:r>
      <w:r w:rsidRPr="00C267BF">
        <w:rPr>
          <w:rFonts w:ascii="Times New Roman" w:hAnsi="Times New Roman"/>
          <w:color w:val="222222"/>
        </w:rPr>
        <w:t xml:space="preserve"> </w:t>
      </w:r>
      <w:proofErr w:type="spellStart"/>
      <w:r w:rsidRPr="00C267BF">
        <w:rPr>
          <w:rStyle w:val="hps"/>
          <w:rFonts w:ascii="Times New Roman" w:hAnsi="Times New Roman"/>
          <w:color w:val="222222"/>
        </w:rPr>
        <w:t>blokátormi</w:t>
      </w:r>
      <w:proofErr w:type="spellEnd"/>
      <w:r w:rsidRPr="00C267BF">
        <w:rPr>
          <w:rFonts w:ascii="Times New Roman" w:hAnsi="Times New Roman"/>
          <w:color w:val="222222"/>
        </w:rPr>
        <w:t xml:space="preserve"> </w:t>
      </w:r>
      <w:r w:rsidR="005E1652" w:rsidRPr="00C267BF">
        <w:rPr>
          <w:rFonts w:ascii="Times New Roman" w:hAnsi="Times New Roman"/>
          <w:color w:val="222222"/>
        </w:rPr>
        <w:t xml:space="preserve">systému </w:t>
      </w:r>
      <w:proofErr w:type="spellStart"/>
      <w:r w:rsidRPr="00C267BF">
        <w:rPr>
          <w:rStyle w:val="hps"/>
          <w:rFonts w:ascii="Times New Roman" w:hAnsi="Times New Roman"/>
          <w:color w:val="222222"/>
        </w:rPr>
        <w:t>renín</w:t>
      </w:r>
      <w:r w:rsidRPr="00C267BF">
        <w:rPr>
          <w:rStyle w:val="atn"/>
          <w:rFonts w:ascii="Times New Roman" w:hAnsi="Times New Roman"/>
          <w:color w:val="222222"/>
        </w:rPr>
        <w:t>-</w:t>
      </w:r>
      <w:r w:rsidRPr="00C267BF">
        <w:rPr>
          <w:rFonts w:ascii="Times New Roman" w:hAnsi="Times New Roman"/>
          <w:color w:val="222222"/>
        </w:rPr>
        <w:t>angiotenzín</w:t>
      </w:r>
      <w:r w:rsidRPr="00C267BF">
        <w:rPr>
          <w:rStyle w:val="atn"/>
          <w:rFonts w:ascii="Times New Roman" w:hAnsi="Times New Roman"/>
          <w:color w:val="222222"/>
        </w:rPr>
        <w:t>-</w:t>
      </w:r>
      <w:r w:rsidRPr="00C267BF">
        <w:rPr>
          <w:rFonts w:ascii="Times New Roman" w:hAnsi="Times New Roman"/>
          <w:color w:val="222222"/>
        </w:rPr>
        <w:t>aldosterón</w:t>
      </w:r>
      <w:proofErr w:type="spellEnd"/>
      <w:r w:rsidRPr="00C267BF">
        <w:rPr>
          <w:rFonts w:ascii="Times New Roman" w:hAnsi="Times New Roman"/>
          <w:color w:val="222222"/>
        </w:rPr>
        <w:t xml:space="preserve">) </w:t>
      </w:r>
      <w:r w:rsidR="005E1652" w:rsidRPr="00C267BF">
        <w:rPr>
          <w:rFonts w:ascii="Times New Roman" w:hAnsi="Times New Roman"/>
          <w:color w:val="222222"/>
        </w:rPr>
        <w:t xml:space="preserve">sa </w:t>
      </w:r>
      <w:r w:rsidRPr="00C267BF">
        <w:rPr>
          <w:rFonts w:ascii="Times New Roman" w:hAnsi="Times New Roman"/>
          <w:color w:val="222222"/>
        </w:rPr>
        <w:t xml:space="preserve">preto </w:t>
      </w:r>
      <w:r w:rsidRPr="00C267BF">
        <w:rPr>
          <w:rStyle w:val="hps"/>
          <w:rFonts w:ascii="Times New Roman" w:hAnsi="Times New Roman"/>
          <w:color w:val="222222"/>
        </w:rPr>
        <w:t>neodporúča</w:t>
      </w:r>
      <w:r w:rsidRPr="00C267BF">
        <w:rPr>
          <w:rFonts w:ascii="Times New Roman" w:hAnsi="Times New Roman"/>
          <w:color w:val="222222"/>
        </w:rPr>
        <w:t xml:space="preserve">. </w:t>
      </w:r>
      <w:r w:rsidR="005E1652" w:rsidRPr="00C267BF">
        <w:rPr>
          <w:rStyle w:val="hps"/>
          <w:rFonts w:ascii="Times New Roman" w:hAnsi="Times New Roman"/>
          <w:color w:val="222222"/>
        </w:rPr>
        <w:t>A</w:t>
      </w:r>
      <w:r w:rsidRPr="00C267BF">
        <w:rPr>
          <w:rStyle w:val="hps"/>
          <w:rFonts w:ascii="Times New Roman" w:hAnsi="Times New Roman"/>
          <w:color w:val="222222"/>
        </w:rPr>
        <w:t>k</w:t>
      </w:r>
      <w:r w:rsidRPr="00C267BF">
        <w:rPr>
          <w:rFonts w:ascii="Times New Roman" w:hAnsi="Times New Roman"/>
          <w:color w:val="222222"/>
        </w:rPr>
        <w:t xml:space="preserve"> </w:t>
      </w:r>
      <w:r w:rsidR="005E1652" w:rsidRPr="00C267BF">
        <w:rPr>
          <w:rStyle w:val="hps"/>
          <w:rFonts w:ascii="Times New Roman" w:hAnsi="Times New Roman"/>
          <w:color w:val="222222"/>
        </w:rPr>
        <w:t>je súbežné</w:t>
      </w:r>
      <w:r w:rsidRPr="00C267BF">
        <w:rPr>
          <w:rFonts w:ascii="Times New Roman" w:hAnsi="Times New Roman"/>
          <w:color w:val="222222"/>
        </w:rPr>
        <w:t xml:space="preserve"> </w:t>
      </w:r>
      <w:r w:rsidRPr="00C267BF">
        <w:rPr>
          <w:rStyle w:val="hps"/>
          <w:rFonts w:ascii="Times New Roman" w:hAnsi="Times New Roman"/>
          <w:color w:val="222222"/>
        </w:rPr>
        <w:t>podávanie</w:t>
      </w:r>
      <w:r w:rsidRPr="00C267BF">
        <w:rPr>
          <w:rFonts w:ascii="Times New Roman" w:hAnsi="Times New Roman"/>
          <w:color w:val="222222"/>
        </w:rPr>
        <w:t xml:space="preserve"> </w:t>
      </w:r>
      <w:r w:rsidRPr="00C267BF">
        <w:rPr>
          <w:rStyle w:val="hps"/>
          <w:rFonts w:ascii="Times New Roman" w:hAnsi="Times New Roman"/>
          <w:color w:val="222222"/>
        </w:rPr>
        <w:t>považ</w:t>
      </w:r>
      <w:r w:rsidR="005E1652" w:rsidRPr="00C267BF">
        <w:rPr>
          <w:rStyle w:val="hps"/>
          <w:rFonts w:ascii="Times New Roman" w:hAnsi="Times New Roman"/>
          <w:color w:val="222222"/>
        </w:rPr>
        <w:t>ované</w:t>
      </w:r>
      <w:r w:rsidRPr="00C267BF">
        <w:rPr>
          <w:rFonts w:ascii="Times New Roman" w:hAnsi="Times New Roman"/>
          <w:color w:val="222222"/>
        </w:rPr>
        <w:t xml:space="preserve"> </w:t>
      </w:r>
      <w:r w:rsidRPr="00C267BF">
        <w:rPr>
          <w:rStyle w:val="hps"/>
          <w:rFonts w:ascii="Times New Roman" w:hAnsi="Times New Roman"/>
          <w:color w:val="222222"/>
        </w:rPr>
        <w:t xml:space="preserve">za </w:t>
      </w:r>
      <w:r w:rsidR="005E1652" w:rsidRPr="00C267BF">
        <w:rPr>
          <w:rStyle w:val="hps"/>
          <w:rFonts w:ascii="Times New Roman" w:hAnsi="Times New Roman"/>
          <w:color w:val="222222"/>
        </w:rPr>
        <w:t>nevyhnutné</w:t>
      </w:r>
      <w:r w:rsidR="005D759A" w:rsidRPr="00C267BF">
        <w:rPr>
          <w:rStyle w:val="hps"/>
          <w:rFonts w:ascii="Times New Roman" w:hAnsi="Times New Roman"/>
          <w:color w:val="222222"/>
        </w:rPr>
        <w:t>, o</w:t>
      </w:r>
      <w:r w:rsidR="005D759A" w:rsidRPr="00C267BF">
        <w:rPr>
          <w:rFonts w:ascii="Times New Roman" w:hAnsi="Times New Roman"/>
          <w:color w:val="222222"/>
        </w:rPr>
        <w:t>dporúča sa s</w:t>
      </w:r>
      <w:r w:rsidR="005D759A" w:rsidRPr="00C267BF">
        <w:rPr>
          <w:rStyle w:val="hps"/>
          <w:rFonts w:ascii="Times New Roman" w:hAnsi="Times New Roman"/>
          <w:color w:val="222222"/>
        </w:rPr>
        <w:t>tarostlivé</w:t>
      </w:r>
      <w:r w:rsidR="005D759A" w:rsidRPr="00C267BF">
        <w:rPr>
          <w:rFonts w:ascii="Times New Roman" w:hAnsi="Times New Roman"/>
          <w:color w:val="222222"/>
        </w:rPr>
        <w:t xml:space="preserve"> </w:t>
      </w:r>
      <w:r w:rsidR="005D759A" w:rsidRPr="00C267BF">
        <w:rPr>
          <w:rStyle w:val="hps"/>
          <w:rFonts w:ascii="Times New Roman" w:hAnsi="Times New Roman"/>
          <w:color w:val="222222"/>
        </w:rPr>
        <w:t>sledovanie</w:t>
      </w:r>
      <w:r w:rsidR="005D759A" w:rsidRPr="00C267BF">
        <w:rPr>
          <w:rFonts w:ascii="Times New Roman" w:hAnsi="Times New Roman"/>
          <w:color w:val="222222"/>
        </w:rPr>
        <w:t xml:space="preserve"> </w:t>
      </w:r>
      <w:r w:rsidR="005D759A" w:rsidRPr="00C267BF">
        <w:rPr>
          <w:rStyle w:val="hps"/>
          <w:rFonts w:ascii="Times New Roman" w:hAnsi="Times New Roman"/>
          <w:color w:val="222222"/>
        </w:rPr>
        <w:t>funkcie</w:t>
      </w:r>
      <w:r w:rsidR="005D759A" w:rsidRPr="00C267BF">
        <w:rPr>
          <w:rFonts w:ascii="Times New Roman" w:hAnsi="Times New Roman"/>
          <w:color w:val="222222"/>
        </w:rPr>
        <w:t xml:space="preserve"> </w:t>
      </w:r>
      <w:r w:rsidR="005D759A" w:rsidRPr="00C267BF">
        <w:rPr>
          <w:rStyle w:val="hps"/>
          <w:rFonts w:ascii="Times New Roman" w:hAnsi="Times New Roman"/>
          <w:color w:val="222222"/>
        </w:rPr>
        <w:t>obličiek</w:t>
      </w:r>
      <w:r w:rsidR="005E1652" w:rsidRPr="00C267BF">
        <w:rPr>
          <w:rStyle w:val="hps"/>
          <w:rFonts w:ascii="Times New Roman" w:hAnsi="Times New Roman"/>
          <w:color w:val="222222"/>
        </w:rPr>
        <w:t>.</w:t>
      </w:r>
    </w:p>
    <w:p w:rsidR="005A4526" w:rsidRPr="00C267BF" w:rsidRDefault="005A4526" w:rsidP="000E651B">
      <w:pPr>
        <w:autoSpaceDE w:val="0"/>
        <w:autoSpaceDN w:val="0"/>
        <w:adjustRightInd w:val="0"/>
        <w:spacing w:after="0" w:line="240" w:lineRule="auto"/>
        <w:rPr>
          <w:rStyle w:val="hps"/>
          <w:rFonts w:ascii="Arial" w:hAnsi="Arial" w:cs="Arial"/>
          <w:color w:val="222222"/>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 xml:space="preserve">Iné stavy spojené so stimuláciou </w:t>
      </w:r>
      <w:r w:rsidR="008142E7" w:rsidRPr="00C267BF">
        <w:rPr>
          <w:rFonts w:ascii="Times New Roman" w:eastAsia="Times New Roman" w:hAnsi="Times New Roman"/>
          <w:i/>
          <w:lang w:eastAsia="sk-SK"/>
        </w:rPr>
        <w:t xml:space="preserve">systému </w:t>
      </w:r>
      <w:r w:rsidRPr="00C267BF">
        <w:rPr>
          <w:rFonts w:ascii="Times New Roman" w:eastAsia="Times New Roman" w:hAnsi="Times New Roman"/>
          <w:i/>
          <w:lang w:eastAsia="sk-SK"/>
        </w:rPr>
        <w:t xml:space="preserve">renín-angiotenzín-aldosterón </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U pacientov, ktorých vaskulárny tonus a funkcia obličiek závisí predovšetkým od činnosti </w:t>
      </w:r>
      <w:r w:rsidR="005A4526" w:rsidRPr="00C267BF">
        <w:rPr>
          <w:rFonts w:ascii="Times New Roman" w:eastAsia="Times New Roman" w:hAnsi="Times New Roman"/>
          <w:lang w:eastAsia="sk-SK"/>
        </w:rPr>
        <w:t xml:space="preserve">systému </w:t>
      </w:r>
      <w:r w:rsidRPr="00C267BF">
        <w:rPr>
          <w:rFonts w:ascii="Times New Roman" w:eastAsia="Times New Roman" w:hAnsi="Times New Roman"/>
          <w:lang w:eastAsia="sk-SK"/>
        </w:rPr>
        <w:t>renín-angiotenzín-aldosterón (napr. pacienti s ťažkým kongestívnym zlyhaním srdca alebo s existujúcou chorobou obličky vrátane stenózy renálnej artérie), sa liečba liekmi, ktoré ovplyvňujú tento systém, ako aj telmisartan, spájala s akútnou hypotenziou, hyperazotémiou, oligúriou alebo zriedkavo s akútnym zlyhaním obličky (pozri časť 4.8).</w:t>
      </w:r>
    </w:p>
    <w:p w:rsidR="000E651B" w:rsidRPr="00C267BF" w:rsidRDefault="000E651B" w:rsidP="000E651B">
      <w:pPr>
        <w:tabs>
          <w:tab w:val="left" w:pos="900"/>
        </w:tabs>
        <w:autoSpaceDE w:val="0"/>
        <w:autoSpaceDN w:val="0"/>
        <w:adjustRightInd w:val="0"/>
        <w:spacing w:after="0" w:line="240" w:lineRule="auto"/>
        <w:rPr>
          <w:rFonts w:ascii="Times New Roman" w:eastAsia="Times New Roman" w:hAnsi="Times New Roman"/>
          <w:u w:val="single"/>
          <w:lang w:eastAsia="sk-SK"/>
        </w:rPr>
      </w:pPr>
    </w:p>
    <w:p w:rsidR="000E651B" w:rsidRPr="00C267BF" w:rsidRDefault="000E651B" w:rsidP="000E651B">
      <w:pPr>
        <w:tabs>
          <w:tab w:val="left" w:pos="900"/>
        </w:tabs>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Primárny aldosteronizmus</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Pacienti s primárnym aldosteronizmom všeobecne nereagujú na antihypertenzíva pôsobiace prostredníctvom inhibície </w:t>
      </w:r>
      <w:r w:rsidR="005A4526" w:rsidRPr="00C267BF">
        <w:rPr>
          <w:rFonts w:ascii="Times New Roman" w:eastAsia="Times New Roman" w:hAnsi="Times New Roman"/>
          <w:lang w:eastAsia="sk-SK"/>
        </w:rPr>
        <w:t xml:space="preserve">systému </w:t>
      </w:r>
      <w:r w:rsidRPr="00C267BF">
        <w:rPr>
          <w:rFonts w:ascii="Times New Roman" w:eastAsia="Times New Roman" w:hAnsi="Times New Roman"/>
          <w:lang w:eastAsia="sk-SK"/>
        </w:rPr>
        <w:t>renín-angiotenzín. Použitie telmisartanu sa preto neodporúča.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Stenóza aorty a mitrálnej srdcovej chlopne, obštrukčná hypertrofická kardiomyopatia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lastRenderedPageBreak/>
        <w:t>Tak ako pri iných vazodilatanciách</w:t>
      </w:r>
      <w:r w:rsidR="00D44A9E"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osobitná pozornosť je potrebná u pacientov trpiacich na aortálnu alebo mitrálnu stenózu alebo obštrukčnú hypertrofickú kardiomyopatiu.</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Diabetickí pacienti liečení inzulínom alebo antidiabetikami</w:t>
      </w:r>
    </w:p>
    <w:p w:rsidR="000E651B" w:rsidRPr="00C267BF"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lang w:eastAsia="sk-SK"/>
        </w:rPr>
        <w:t xml:space="preserve">U týchto pacientov sa pri liečbe telmisartanom môže objaviť hypoglykémia. Preto sa má u týchto pacientov zvážiť sledovanie glukózy v krvi; môže byť potrebná úprava dávky inzulínu alebo </w:t>
      </w:r>
      <w:proofErr w:type="spellStart"/>
      <w:r w:rsidRPr="00C267BF">
        <w:rPr>
          <w:rFonts w:ascii="Times New Roman" w:eastAsia="Times New Roman" w:hAnsi="Times New Roman"/>
          <w:lang w:eastAsia="sk-SK"/>
        </w:rPr>
        <w:t>antidiabetík</w:t>
      </w:r>
      <w:proofErr w:type="spellEnd"/>
      <w:r w:rsidRPr="00C267BF">
        <w:rPr>
          <w:rFonts w:ascii="Times New Roman" w:eastAsia="Times New Roman" w:hAnsi="Times New Roman"/>
          <w:lang w:eastAsia="sk-SK"/>
        </w:rPr>
        <w:t xml:space="preserve">, ak </w:t>
      </w:r>
      <w:r w:rsidR="001D44C6" w:rsidRPr="00C267BF">
        <w:rPr>
          <w:rFonts w:ascii="Times New Roman" w:eastAsia="Times New Roman" w:hAnsi="Times New Roman"/>
          <w:lang w:eastAsia="sk-SK"/>
        </w:rPr>
        <w:t>je to</w:t>
      </w:r>
      <w:r w:rsidRPr="00C267BF">
        <w:rPr>
          <w:rFonts w:ascii="Times New Roman" w:eastAsia="Times New Roman" w:hAnsi="Times New Roman"/>
          <w:lang w:eastAsia="sk-SK"/>
        </w:rPr>
        <w:t xml:space="preserve"> indikované.</w:t>
      </w:r>
      <w:r w:rsidRPr="00C267BF">
        <w:rPr>
          <w:rFonts w:ascii="Times New Roman" w:eastAsia="Times New Roman" w:hAnsi="Times New Roman"/>
          <w:u w:val="single"/>
          <w:lang w:eastAsia="sk-SK"/>
        </w:rPr>
        <w:t xml:space="preserve"> </w:t>
      </w:r>
    </w:p>
    <w:p w:rsidR="000E651B" w:rsidRPr="00C267BF" w:rsidRDefault="000E651B" w:rsidP="000E651B">
      <w:pPr>
        <w:autoSpaceDE w:val="0"/>
        <w:autoSpaceDN w:val="0"/>
        <w:adjustRightInd w:val="0"/>
        <w:spacing w:after="0" w:line="240" w:lineRule="auto"/>
        <w:rPr>
          <w:rFonts w:ascii="Times New Roman" w:eastAsia="Times New Roman" w:hAnsi="Times New Roman"/>
          <w:u w:val="single"/>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Hyperkaliémia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Užívanie liekov, ktoré ovplyvňujú </w:t>
      </w:r>
      <w:r w:rsidR="005A4526" w:rsidRPr="00C267BF">
        <w:rPr>
          <w:rFonts w:ascii="Times New Roman" w:eastAsia="Times New Roman" w:hAnsi="Times New Roman"/>
          <w:lang w:eastAsia="sk-SK"/>
        </w:rPr>
        <w:t xml:space="preserve">systém </w:t>
      </w:r>
      <w:r w:rsidRPr="00C267BF">
        <w:rPr>
          <w:rFonts w:ascii="Times New Roman" w:eastAsia="Times New Roman" w:hAnsi="Times New Roman"/>
          <w:lang w:eastAsia="sk-SK"/>
        </w:rPr>
        <w:t>renín-angiotenzín-aldosterón</w:t>
      </w:r>
      <w:r w:rsidR="00D44A9E"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môže spôsobiť hyperkaliémiu.</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starších pacientov, u pacientov s renálnou insuficienciou, u diabetikov, u pacientov liečených sú</w:t>
      </w:r>
      <w:r w:rsidR="00F552CA">
        <w:rPr>
          <w:rFonts w:ascii="Times New Roman" w:eastAsia="Times New Roman" w:hAnsi="Times New Roman"/>
          <w:lang w:eastAsia="sk-SK"/>
        </w:rPr>
        <w:t>bež</w:t>
      </w:r>
      <w:r w:rsidRPr="00C267BF">
        <w:rPr>
          <w:rFonts w:ascii="Times New Roman" w:eastAsia="Times New Roman" w:hAnsi="Times New Roman"/>
          <w:lang w:eastAsia="sk-SK"/>
        </w:rPr>
        <w:t>ne inými liekmi, ktoré môžu zvyšovať hladinu draslíka, a/alebo u pacientov s pridruženými udalosťami môže byť hyperkaliémia smrteľná.</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Pred zvážením súbežného použitia liekov, ktoré ovplyvňujú </w:t>
      </w:r>
      <w:r w:rsidR="005A4526" w:rsidRPr="00C267BF">
        <w:rPr>
          <w:rFonts w:ascii="Times New Roman" w:eastAsia="Times New Roman" w:hAnsi="Times New Roman"/>
          <w:lang w:eastAsia="sk-SK"/>
        </w:rPr>
        <w:t xml:space="preserve">systém </w:t>
      </w:r>
      <w:r w:rsidRPr="00C267BF">
        <w:rPr>
          <w:rFonts w:ascii="Times New Roman" w:eastAsia="Times New Roman" w:hAnsi="Times New Roman"/>
          <w:lang w:eastAsia="sk-SK"/>
        </w:rPr>
        <w:t>renín-angiotenzín-aldosterón</w:t>
      </w:r>
      <w:r w:rsidR="00D44A9E"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sa má zhodnotiť pomer prínosu a rizika.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Najdôležitejšie rizikové faktory pre vznik hyperkaliémie, ktoré treba zvážiť sú:</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          -    Diabetes mellitus, porucha funkcie obličiek, vek (&gt;70 rokov).</w:t>
      </w:r>
    </w:p>
    <w:p w:rsidR="000E651B" w:rsidRPr="00C267BF" w:rsidRDefault="000E651B" w:rsidP="000E651B">
      <w:pPr>
        <w:autoSpaceDE w:val="0"/>
        <w:autoSpaceDN w:val="0"/>
        <w:adjustRightInd w:val="0"/>
        <w:spacing w:after="0" w:line="240" w:lineRule="auto"/>
        <w:ind w:left="900" w:hanging="900"/>
        <w:rPr>
          <w:rFonts w:ascii="Times New Roman" w:eastAsia="Times New Roman" w:hAnsi="Times New Roman"/>
          <w:lang w:eastAsia="sk-SK"/>
        </w:rPr>
      </w:pPr>
      <w:r w:rsidRPr="00C267BF">
        <w:rPr>
          <w:rFonts w:ascii="Times New Roman" w:eastAsia="Times New Roman" w:hAnsi="Times New Roman"/>
          <w:lang w:eastAsia="sk-SK"/>
        </w:rPr>
        <w:t xml:space="preserve">          -    Kombinácia s jedným alebo viacerými liekmi, ktoré ovplyvňujú </w:t>
      </w:r>
      <w:r w:rsidR="005A4526" w:rsidRPr="00C267BF">
        <w:rPr>
          <w:rFonts w:ascii="Times New Roman" w:eastAsia="Times New Roman" w:hAnsi="Times New Roman"/>
          <w:lang w:eastAsia="sk-SK"/>
        </w:rPr>
        <w:t xml:space="preserve">systém </w:t>
      </w:r>
      <w:r w:rsidRPr="00C267BF">
        <w:rPr>
          <w:rFonts w:ascii="Times New Roman" w:eastAsia="Times New Roman" w:hAnsi="Times New Roman"/>
          <w:lang w:eastAsia="sk-SK"/>
        </w:rPr>
        <w:t>renín-angiotenzín-aldosterón a/alebo s doplnkami draslíka. Lieky alebo terapeutické skupiny liekov, ktoré môžu vyvolať hyperkaliémiu</w:t>
      </w:r>
      <w:r w:rsidR="00D44A9E"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sú náhrady solí s obsahom draslíka, draslík šetriace diuretiká, ACE inhibítory, antagonisty receptoru angiotenzínu II, nesteroidné protizápalové lieky (NSA, vrátane selektívnych COX-2 inhibítorov), heparín, imunosupresíva (cyklosporín alebo takrolimus) a trimetoprim.</w:t>
      </w:r>
    </w:p>
    <w:p w:rsidR="000E651B" w:rsidRPr="00C267BF" w:rsidRDefault="000E651B" w:rsidP="000E651B">
      <w:pPr>
        <w:autoSpaceDE w:val="0"/>
        <w:autoSpaceDN w:val="0"/>
        <w:adjustRightInd w:val="0"/>
        <w:spacing w:after="0" w:line="240" w:lineRule="auto"/>
        <w:ind w:left="900" w:hanging="900"/>
        <w:rPr>
          <w:rFonts w:ascii="Times New Roman" w:eastAsia="Times New Roman" w:hAnsi="Times New Roman"/>
          <w:lang w:eastAsia="sk-SK"/>
        </w:rPr>
      </w:pPr>
      <w:r w:rsidRPr="00C267BF">
        <w:rPr>
          <w:rFonts w:ascii="Times New Roman" w:eastAsia="Times New Roman" w:hAnsi="Times New Roman"/>
          <w:lang w:eastAsia="sk-SK"/>
        </w:rPr>
        <w:t xml:space="preserve">            -   Pridružené udalosti, hlavne dehydratácia, akútna srdcová dekompenzácia, metabolická </w:t>
      </w:r>
      <w:proofErr w:type="spellStart"/>
      <w:r w:rsidRPr="00C267BF">
        <w:rPr>
          <w:rFonts w:ascii="Times New Roman" w:eastAsia="Times New Roman" w:hAnsi="Times New Roman"/>
          <w:lang w:eastAsia="sk-SK"/>
        </w:rPr>
        <w:t>acidóza</w:t>
      </w:r>
      <w:proofErr w:type="spellEnd"/>
      <w:r w:rsidRPr="00C267BF">
        <w:rPr>
          <w:rFonts w:ascii="Times New Roman" w:eastAsia="Times New Roman" w:hAnsi="Times New Roman"/>
          <w:lang w:eastAsia="sk-SK"/>
        </w:rPr>
        <w:t xml:space="preserve">, zhoršovanie obličkových funkcií, náhle zhoršenie stavu obličiek (napr. infekčné ochorenie), odumieranie buniek (napr. akútna končatinová ischémia, </w:t>
      </w:r>
      <w:proofErr w:type="spellStart"/>
      <w:r w:rsidRPr="00C267BF">
        <w:rPr>
          <w:rFonts w:ascii="Times New Roman" w:eastAsia="Times New Roman" w:hAnsi="Times New Roman"/>
          <w:lang w:eastAsia="sk-SK"/>
        </w:rPr>
        <w:t>rabdomyolýza</w:t>
      </w:r>
      <w:proofErr w:type="spellEnd"/>
      <w:r w:rsidRPr="00C267BF">
        <w:rPr>
          <w:rFonts w:ascii="Times New Roman" w:eastAsia="Times New Roman" w:hAnsi="Times New Roman"/>
          <w:lang w:eastAsia="sk-SK"/>
        </w:rPr>
        <w:t>, rozsiahla trauma).</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rizikových pacientov sa odporúča intenzívne sledovanie hladín draslíka v sére (pozri časť 4.5).</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C267BF" w:rsidRDefault="000E651B" w:rsidP="000E651B">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Etnické rozdiely</w:t>
      </w:r>
    </w:p>
    <w:p w:rsidR="000E651B" w:rsidRPr="00C267BF" w:rsidRDefault="000E651B" w:rsidP="000E651B">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Ako sa pozorovalo pri inhibítoroch ACE, telmisartan a iné antagonisty receptora angiotenzínu II, sú zjavne menej účinné v znižovaní krvného tlaku u ľudí čiernej pleti ako u ostatných, pravdepodobne pre vyšší výskyt nízkorenínových stavov u čiernej populácie s hypertenziou.</w:t>
      </w:r>
    </w:p>
    <w:p w:rsidR="000E651B" w:rsidRPr="00C267BF" w:rsidRDefault="000E651B" w:rsidP="000E651B">
      <w:pPr>
        <w:autoSpaceDE w:val="0"/>
        <w:autoSpaceDN w:val="0"/>
        <w:adjustRightInd w:val="0"/>
        <w:spacing w:after="0" w:line="240" w:lineRule="auto"/>
        <w:rPr>
          <w:rFonts w:ascii="Times New Roman" w:eastAsia="Times New Roman" w:hAnsi="Times New Roman"/>
          <w:b/>
          <w:bCs/>
          <w:lang w:eastAsia="sk-SK"/>
        </w:rPr>
      </w:pPr>
    </w:p>
    <w:p w:rsidR="00F552CA" w:rsidRPr="00F01F11" w:rsidRDefault="00412ABB" w:rsidP="000E651B">
      <w:pPr>
        <w:autoSpaceDE w:val="0"/>
        <w:autoSpaceDN w:val="0"/>
        <w:adjustRightInd w:val="0"/>
        <w:spacing w:after="0" w:line="240" w:lineRule="auto"/>
        <w:rPr>
          <w:rFonts w:ascii="Times New Roman" w:eastAsia="Times New Roman" w:hAnsi="Times New Roman"/>
          <w:bCs/>
          <w:i/>
          <w:lang w:eastAsia="sk-SK"/>
        </w:rPr>
      </w:pPr>
      <w:r w:rsidRPr="00F01F11">
        <w:rPr>
          <w:rFonts w:ascii="Times New Roman" w:eastAsia="Times New Roman" w:hAnsi="Times New Roman"/>
          <w:bCs/>
          <w:i/>
          <w:lang w:eastAsia="sk-SK"/>
        </w:rPr>
        <w:t>Upozornenie na pomocné látky</w:t>
      </w:r>
    </w:p>
    <w:p w:rsidR="00F552CA" w:rsidRPr="009B2AFB" w:rsidRDefault="001E0972" w:rsidP="005D759A">
      <w:pPr>
        <w:autoSpaceDE w:val="0"/>
        <w:autoSpaceDN w:val="0"/>
        <w:adjustRightInd w:val="0"/>
        <w:spacing w:after="0" w:line="240" w:lineRule="auto"/>
        <w:rPr>
          <w:rFonts w:ascii="Times New Roman" w:eastAsia="Times New Roman" w:hAnsi="Times New Roman"/>
          <w:bCs/>
          <w:lang w:eastAsia="sk-SK"/>
        </w:rPr>
      </w:pPr>
      <w:proofErr w:type="spellStart"/>
      <w:r w:rsidRPr="00F01F11">
        <w:rPr>
          <w:rFonts w:ascii="Times New Roman" w:eastAsia="Times New Roman" w:hAnsi="Times New Roman"/>
          <w:bCs/>
          <w:lang w:eastAsia="sk-SK"/>
        </w:rPr>
        <w:t>Mixor</w:t>
      </w:r>
      <w:proofErr w:type="spellEnd"/>
      <w:r w:rsidRPr="00F01F11">
        <w:rPr>
          <w:rFonts w:ascii="Times New Roman" w:eastAsia="Times New Roman" w:hAnsi="Times New Roman"/>
          <w:bCs/>
          <w:lang w:eastAsia="sk-SK"/>
        </w:rPr>
        <w:t xml:space="preserve"> </w:t>
      </w:r>
      <w:r w:rsidR="00412ABB" w:rsidRPr="00F01F11">
        <w:rPr>
          <w:rFonts w:ascii="Times New Roman" w:eastAsia="Times New Roman" w:hAnsi="Times New Roman"/>
          <w:bCs/>
          <w:lang w:eastAsia="sk-SK"/>
        </w:rPr>
        <w:t xml:space="preserve">80 mg/5 mg: tento liek obsahuje 320,4 mg </w:t>
      </w:r>
      <w:proofErr w:type="spellStart"/>
      <w:r w:rsidR="00412ABB" w:rsidRPr="00F01F11">
        <w:rPr>
          <w:rFonts w:ascii="Times New Roman" w:eastAsia="Times New Roman" w:hAnsi="Times New Roman"/>
          <w:bCs/>
          <w:lang w:eastAsia="sk-SK"/>
        </w:rPr>
        <w:t>sorbitolu</w:t>
      </w:r>
      <w:proofErr w:type="spellEnd"/>
      <w:r w:rsidR="00412ABB" w:rsidRPr="00F01F11">
        <w:rPr>
          <w:rFonts w:ascii="Times New Roman" w:eastAsia="Times New Roman" w:hAnsi="Times New Roman"/>
          <w:bCs/>
          <w:lang w:eastAsia="sk-SK"/>
        </w:rPr>
        <w:t xml:space="preserve"> v jednej tablete</w:t>
      </w:r>
      <w:r w:rsidR="000E651B" w:rsidRPr="00F01F11">
        <w:rPr>
          <w:rFonts w:ascii="Times New Roman" w:eastAsia="Times New Roman" w:hAnsi="Times New Roman"/>
          <w:bCs/>
          <w:lang w:eastAsia="sk-SK"/>
        </w:rPr>
        <w:t>.</w:t>
      </w:r>
    </w:p>
    <w:p w:rsidR="00295943" w:rsidRPr="00F01F11" w:rsidRDefault="00295943" w:rsidP="005D759A">
      <w:pPr>
        <w:autoSpaceDE w:val="0"/>
        <w:autoSpaceDN w:val="0"/>
        <w:adjustRightInd w:val="0"/>
        <w:spacing w:after="0" w:line="240" w:lineRule="auto"/>
        <w:rPr>
          <w:rFonts w:ascii="Times New Roman" w:eastAsia="Times New Roman" w:hAnsi="Times New Roman"/>
          <w:bCs/>
          <w:lang w:eastAsia="sk-SK"/>
        </w:rPr>
      </w:pPr>
      <w:proofErr w:type="spellStart"/>
      <w:r w:rsidRPr="00F01F11">
        <w:rPr>
          <w:rFonts w:ascii="Times New Roman" w:eastAsia="Times New Roman" w:hAnsi="Times New Roman"/>
          <w:bCs/>
          <w:lang w:eastAsia="sk-SK"/>
        </w:rPr>
        <w:t>M</w:t>
      </w:r>
      <w:r w:rsidR="001E0972" w:rsidRPr="009B2AFB">
        <w:rPr>
          <w:rFonts w:ascii="Times New Roman" w:eastAsia="Times New Roman" w:hAnsi="Times New Roman"/>
          <w:bCs/>
          <w:lang w:eastAsia="sk-SK"/>
        </w:rPr>
        <w:t>ixor</w:t>
      </w:r>
      <w:proofErr w:type="spellEnd"/>
      <w:r w:rsidRPr="00F01F11">
        <w:rPr>
          <w:rFonts w:ascii="Times New Roman" w:eastAsia="Times New Roman" w:hAnsi="Times New Roman"/>
          <w:bCs/>
          <w:lang w:eastAsia="sk-SK"/>
        </w:rPr>
        <w:t xml:space="preserve"> 80 mg/10 mg: tento liek obsahuje 320,4 mg </w:t>
      </w:r>
      <w:proofErr w:type="spellStart"/>
      <w:r w:rsidRPr="00F01F11">
        <w:rPr>
          <w:rFonts w:ascii="Times New Roman" w:eastAsia="Times New Roman" w:hAnsi="Times New Roman"/>
          <w:bCs/>
          <w:lang w:eastAsia="sk-SK"/>
        </w:rPr>
        <w:t>sorbitolu</w:t>
      </w:r>
      <w:proofErr w:type="spellEnd"/>
      <w:r w:rsidRPr="00F01F11">
        <w:rPr>
          <w:rFonts w:ascii="Times New Roman" w:eastAsia="Times New Roman" w:hAnsi="Times New Roman"/>
          <w:bCs/>
          <w:lang w:eastAsia="sk-SK"/>
        </w:rPr>
        <w:t xml:space="preserve"> v jednej tablete.</w:t>
      </w:r>
    </w:p>
    <w:p w:rsidR="008E6A75" w:rsidRPr="00F01F11" w:rsidRDefault="000E651B" w:rsidP="005D759A">
      <w:pPr>
        <w:autoSpaceDE w:val="0"/>
        <w:autoSpaceDN w:val="0"/>
        <w:adjustRightInd w:val="0"/>
        <w:spacing w:after="0" w:line="240" w:lineRule="auto"/>
        <w:rPr>
          <w:rFonts w:ascii="Times New Roman" w:eastAsia="Times New Roman" w:hAnsi="Times New Roman"/>
          <w:bCs/>
          <w:lang w:eastAsia="sk-SK"/>
        </w:rPr>
      </w:pPr>
      <w:r w:rsidRPr="00F01F11">
        <w:rPr>
          <w:rFonts w:ascii="Times New Roman" w:eastAsia="Times New Roman" w:hAnsi="Times New Roman"/>
          <w:bCs/>
          <w:lang w:eastAsia="sk-SK"/>
        </w:rPr>
        <w:t xml:space="preserve">Pacienti </w:t>
      </w:r>
      <w:r w:rsidR="00295943" w:rsidRPr="00F01F11">
        <w:rPr>
          <w:rFonts w:ascii="Times New Roman" w:eastAsia="Times New Roman" w:hAnsi="Times New Roman"/>
          <w:bCs/>
          <w:lang w:eastAsia="sk-SK"/>
        </w:rPr>
        <w:t>s hereditárnou</w:t>
      </w:r>
      <w:r w:rsidRPr="00F01F11">
        <w:rPr>
          <w:rFonts w:ascii="Times New Roman" w:eastAsia="Times New Roman" w:hAnsi="Times New Roman"/>
          <w:bCs/>
          <w:lang w:eastAsia="sk-SK"/>
        </w:rPr>
        <w:t xml:space="preserve"> intoleranci</w:t>
      </w:r>
      <w:r w:rsidR="00295943" w:rsidRPr="00F01F11">
        <w:rPr>
          <w:rFonts w:ascii="Times New Roman" w:eastAsia="Times New Roman" w:hAnsi="Times New Roman"/>
          <w:bCs/>
          <w:lang w:eastAsia="sk-SK"/>
        </w:rPr>
        <w:t>ou</w:t>
      </w:r>
      <w:r w:rsidRPr="00F01F11">
        <w:rPr>
          <w:rFonts w:ascii="Times New Roman" w:eastAsia="Times New Roman" w:hAnsi="Times New Roman"/>
          <w:bCs/>
          <w:lang w:eastAsia="sk-SK"/>
        </w:rPr>
        <w:t xml:space="preserve"> fruktózy nemajú</w:t>
      </w:r>
      <w:r w:rsidR="003E475E" w:rsidRPr="00F01F11">
        <w:rPr>
          <w:rFonts w:ascii="Times New Roman" w:eastAsia="Times New Roman" w:hAnsi="Times New Roman"/>
          <w:bCs/>
          <w:lang w:eastAsia="sk-SK"/>
        </w:rPr>
        <w:t xml:space="preserve"> užívať tento liek.</w:t>
      </w:r>
      <w:r w:rsidR="00295943" w:rsidRPr="009B2AFB">
        <w:rPr>
          <w:rFonts w:ascii="Times New Roman" w:hAnsi="Times New Roman"/>
        </w:rPr>
        <w:t xml:space="preserve"> M</w:t>
      </w:r>
      <w:r w:rsidR="00295943" w:rsidRPr="00F01F11">
        <w:rPr>
          <w:rFonts w:ascii="Times New Roman" w:eastAsia="Times New Roman" w:hAnsi="Times New Roman"/>
          <w:bCs/>
          <w:lang w:eastAsia="sk-SK"/>
        </w:rPr>
        <w:t xml:space="preserve">usí sa </w:t>
      </w:r>
      <w:r w:rsidR="00295943" w:rsidRPr="009B2AFB">
        <w:rPr>
          <w:rFonts w:ascii="Times New Roman" w:eastAsia="Times New Roman" w:hAnsi="Times New Roman"/>
          <w:bCs/>
          <w:lang w:eastAsia="sk-SK"/>
        </w:rPr>
        <w:t>vziať do úvahy</w:t>
      </w:r>
      <w:r w:rsidR="00295943" w:rsidRPr="00F01F11">
        <w:rPr>
          <w:rFonts w:ascii="Times New Roman" w:eastAsia="Times New Roman" w:hAnsi="Times New Roman"/>
          <w:bCs/>
          <w:lang w:eastAsia="sk-SK"/>
        </w:rPr>
        <w:t xml:space="preserve"> </w:t>
      </w:r>
      <w:r w:rsidR="00295943" w:rsidRPr="009B2AFB">
        <w:rPr>
          <w:rFonts w:ascii="Times New Roman" w:eastAsia="Times New Roman" w:hAnsi="Times New Roman"/>
          <w:bCs/>
          <w:lang w:eastAsia="sk-SK"/>
        </w:rPr>
        <w:t>aditívny</w:t>
      </w:r>
      <w:r w:rsidR="00295943" w:rsidRPr="00F01F11">
        <w:rPr>
          <w:rFonts w:ascii="Times New Roman" w:eastAsia="Times New Roman" w:hAnsi="Times New Roman"/>
          <w:bCs/>
          <w:lang w:eastAsia="sk-SK"/>
        </w:rPr>
        <w:t xml:space="preserve"> účinok súbežne podávaných liekov obsahujúcich </w:t>
      </w:r>
      <w:proofErr w:type="spellStart"/>
      <w:r w:rsidR="00295943" w:rsidRPr="00F01F11">
        <w:rPr>
          <w:rFonts w:ascii="Times New Roman" w:eastAsia="Times New Roman" w:hAnsi="Times New Roman"/>
          <w:bCs/>
          <w:lang w:eastAsia="sk-SK"/>
        </w:rPr>
        <w:t>sorbitol</w:t>
      </w:r>
      <w:proofErr w:type="spellEnd"/>
      <w:r w:rsidR="00295943" w:rsidRPr="00F01F11">
        <w:rPr>
          <w:rFonts w:ascii="Times New Roman" w:eastAsia="Times New Roman" w:hAnsi="Times New Roman"/>
          <w:bCs/>
          <w:lang w:eastAsia="sk-SK"/>
        </w:rPr>
        <w:t xml:space="preserve"> (alebo fruktózu) a príjem </w:t>
      </w:r>
      <w:proofErr w:type="spellStart"/>
      <w:r w:rsidR="00295943" w:rsidRPr="00F01F11">
        <w:rPr>
          <w:rFonts w:ascii="Times New Roman" w:eastAsia="Times New Roman" w:hAnsi="Times New Roman"/>
          <w:bCs/>
          <w:lang w:eastAsia="sk-SK"/>
        </w:rPr>
        <w:t>sorbitolu</w:t>
      </w:r>
      <w:proofErr w:type="spellEnd"/>
      <w:r w:rsidR="00295943" w:rsidRPr="00F01F11">
        <w:rPr>
          <w:rFonts w:ascii="Times New Roman" w:eastAsia="Times New Roman" w:hAnsi="Times New Roman"/>
          <w:bCs/>
          <w:lang w:eastAsia="sk-SK"/>
        </w:rPr>
        <w:t xml:space="preserve"> (alebo fruktózy) v strave.</w:t>
      </w:r>
    </w:p>
    <w:p w:rsidR="005D759A" w:rsidRPr="00F01F11" w:rsidRDefault="00295943" w:rsidP="00295943">
      <w:pPr>
        <w:autoSpaceDE w:val="0"/>
        <w:autoSpaceDN w:val="0"/>
        <w:adjustRightInd w:val="0"/>
        <w:spacing w:after="0" w:line="240" w:lineRule="auto"/>
        <w:rPr>
          <w:rFonts w:ascii="Times New Roman" w:eastAsia="Times New Roman" w:hAnsi="Times New Roman"/>
          <w:lang w:eastAsia="sk-SK"/>
        </w:rPr>
      </w:pPr>
      <w:r w:rsidRPr="00F01F11">
        <w:rPr>
          <w:rFonts w:ascii="Times New Roman" w:eastAsia="Times New Roman" w:hAnsi="Times New Roman"/>
          <w:lang w:eastAsia="sk-SK"/>
        </w:rPr>
        <w:t xml:space="preserve">Obsah </w:t>
      </w:r>
      <w:proofErr w:type="spellStart"/>
      <w:r w:rsidRPr="00F01F11">
        <w:rPr>
          <w:rFonts w:ascii="Times New Roman" w:eastAsia="Times New Roman" w:hAnsi="Times New Roman"/>
          <w:lang w:eastAsia="sk-SK"/>
        </w:rPr>
        <w:t>sorbitolu</w:t>
      </w:r>
      <w:proofErr w:type="spellEnd"/>
      <w:r w:rsidRPr="00F01F11">
        <w:rPr>
          <w:rFonts w:ascii="Times New Roman" w:eastAsia="Times New Roman" w:hAnsi="Times New Roman"/>
          <w:lang w:eastAsia="sk-SK"/>
        </w:rPr>
        <w:t xml:space="preserve"> v liekoch na perorálne použitie môže ovplyvniť biologickú dostupnosť iných</w:t>
      </w:r>
      <w:r w:rsidR="00F552CA" w:rsidRPr="009B2AFB">
        <w:rPr>
          <w:rFonts w:ascii="Times New Roman" w:eastAsia="Times New Roman" w:hAnsi="Times New Roman"/>
          <w:lang w:eastAsia="sk-SK"/>
        </w:rPr>
        <w:t xml:space="preserve"> </w:t>
      </w:r>
      <w:r w:rsidRPr="00F01F11">
        <w:rPr>
          <w:rFonts w:ascii="Times New Roman" w:eastAsia="Times New Roman" w:hAnsi="Times New Roman"/>
          <w:lang w:eastAsia="sk-SK"/>
        </w:rPr>
        <w:t>liekov na perorálne použitie podávaných súbežne.</w:t>
      </w:r>
    </w:p>
    <w:p w:rsidR="00295943" w:rsidRDefault="00C45BAB" w:rsidP="00295943">
      <w:pPr>
        <w:autoSpaceDE w:val="0"/>
        <w:autoSpaceDN w:val="0"/>
        <w:adjustRightInd w:val="0"/>
        <w:spacing w:after="0" w:line="240" w:lineRule="auto"/>
        <w:rPr>
          <w:rFonts w:ascii="Times New Roman" w:eastAsia="Times New Roman" w:hAnsi="Times New Roman"/>
          <w:lang w:eastAsia="sk-SK"/>
        </w:rPr>
      </w:pPr>
      <w:r w:rsidRPr="00F01F11">
        <w:rPr>
          <w:rFonts w:ascii="Times New Roman" w:eastAsia="Times New Roman" w:hAnsi="Times New Roman"/>
          <w:lang w:eastAsia="sk-SK"/>
        </w:rPr>
        <w:t xml:space="preserve">Tento liek obsahuje menej než 1 </w:t>
      </w:r>
      <w:proofErr w:type="spellStart"/>
      <w:r w:rsidRPr="00F01F11">
        <w:rPr>
          <w:rFonts w:ascii="Times New Roman" w:eastAsia="Times New Roman" w:hAnsi="Times New Roman"/>
          <w:lang w:eastAsia="sk-SK"/>
        </w:rPr>
        <w:t>mmol</w:t>
      </w:r>
      <w:proofErr w:type="spellEnd"/>
      <w:r w:rsidRPr="00F01F11">
        <w:rPr>
          <w:rFonts w:ascii="Times New Roman" w:eastAsia="Times New Roman" w:hAnsi="Times New Roman"/>
          <w:lang w:eastAsia="sk-SK"/>
        </w:rPr>
        <w:t xml:space="preserve"> sodíka (23 mg)v jednej dávke, čo je v podstate zanedbateľné množstvo sodíka.</w:t>
      </w:r>
    </w:p>
    <w:p w:rsidR="00C45BAB" w:rsidRPr="00C267BF" w:rsidRDefault="00C45BAB" w:rsidP="00295943">
      <w:pPr>
        <w:autoSpaceDE w:val="0"/>
        <w:autoSpaceDN w:val="0"/>
        <w:adjustRightInd w:val="0"/>
        <w:spacing w:after="0" w:line="240" w:lineRule="auto"/>
        <w:rPr>
          <w:rFonts w:ascii="Times New Roman" w:eastAsia="Times New Roman" w:hAnsi="Times New Roman"/>
          <w:lang w:eastAsia="sk-SK"/>
        </w:rPr>
      </w:pPr>
    </w:p>
    <w:p w:rsidR="005D759A" w:rsidRPr="00C267BF" w:rsidRDefault="005D759A" w:rsidP="005D759A">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Iné</w:t>
      </w:r>
    </w:p>
    <w:p w:rsidR="005D759A" w:rsidRPr="00C267BF" w:rsidRDefault="00DE6FBD" w:rsidP="005D759A">
      <w:pPr>
        <w:autoSpaceDE w:val="0"/>
        <w:autoSpaceDN w:val="0"/>
        <w:adjustRightInd w:val="0"/>
        <w:spacing w:after="0" w:line="240" w:lineRule="auto"/>
        <w:rPr>
          <w:rFonts w:ascii="Times New Roman" w:eastAsia="Times New Roman" w:hAnsi="Times New Roman"/>
          <w:lang w:eastAsia="sk-SK"/>
        </w:rPr>
      </w:pPr>
      <w:r>
        <w:rPr>
          <w:rFonts w:ascii="Times New Roman" w:eastAsia="Times New Roman" w:hAnsi="Times New Roman"/>
          <w:lang w:eastAsia="sk-SK"/>
        </w:rPr>
        <w:t>Tak a</w:t>
      </w:r>
      <w:r w:rsidR="005D759A" w:rsidRPr="00C267BF">
        <w:rPr>
          <w:rFonts w:ascii="Times New Roman" w:eastAsia="Times New Roman" w:hAnsi="Times New Roman"/>
          <w:lang w:eastAsia="sk-SK"/>
        </w:rPr>
        <w:t>ko pri in</w:t>
      </w:r>
      <w:r>
        <w:rPr>
          <w:rFonts w:ascii="Times New Roman" w:eastAsia="Times New Roman" w:hAnsi="Times New Roman"/>
          <w:lang w:eastAsia="sk-SK"/>
        </w:rPr>
        <w:t>ých</w:t>
      </w:r>
      <w:r w:rsidR="005D759A" w:rsidRPr="00C267BF">
        <w:rPr>
          <w:rFonts w:ascii="Times New Roman" w:eastAsia="Times New Roman" w:hAnsi="Times New Roman"/>
          <w:lang w:eastAsia="sk-SK"/>
        </w:rPr>
        <w:t xml:space="preserve"> </w:t>
      </w:r>
      <w:proofErr w:type="spellStart"/>
      <w:r w:rsidR="005D759A" w:rsidRPr="00C267BF">
        <w:rPr>
          <w:rFonts w:ascii="Times New Roman" w:eastAsia="Times New Roman" w:hAnsi="Times New Roman"/>
          <w:lang w:eastAsia="sk-SK"/>
        </w:rPr>
        <w:t>antihypertenzív</w:t>
      </w:r>
      <w:r>
        <w:rPr>
          <w:rFonts w:ascii="Times New Roman" w:eastAsia="Times New Roman" w:hAnsi="Times New Roman"/>
          <w:lang w:eastAsia="sk-SK"/>
        </w:rPr>
        <w:t>ach</w:t>
      </w:r>
      <w:proofErr w:type="spellEnd"/>
      <w:r w:rsidR="00652FAA" w:rsidRPr="00C267BF">
        <w:rPr>
          <w:rFonts w:ascii="Times New Roman" w:eastAsia="Times New Roman" w:hAnsi="Times New Roman"/>
          <w:lang w:eastAsia="sk-SK"/>
        </w:rPr>
        <w:t>,</w:t>
      </w:r>
      <w:r w:rsidR="005D759A" w:rsidRPr="00C267BF">
        <w:rPr>
          <w:rFonts w:ascii="Times New Roman" w:eastAsia="Times New Roman" w:hAnsi="Times New Roman"/>
          <w:lang w:eastAsia="sk-SK"/>
        </w:rPr>
        <w:t xml:space="preserve"> nadmerná redukcia tlaku krvi u pacientov s ischemickou kardiopatiou alebo ischemickou kardiovaskulárnou chorobou môže viesť k infarktu myokardu alebo </w:t>
      </w:r>
      <w:r w:rsidR="00652FAA" w:rsidRPr="00C267BF">
        <w:rPr>
          <w:rFonts w:ascii="Times New Roman" w:eastAsia="Times New Roman" w:hAnsi="Times New Roman"/>
          <w:lang w:eastAsia="sk-SK"/>
        </w:rPr>
        <w:t>mozgovej príhode</w:t>
      </w:r>
      <w:r w:rsidR="005D759A" w:rsidRPr="00C267BF">
        <w:rPr>
          <w:rFonts w:ascii="Times New Roman" w:eastAsia="Times New Roman" w:hAnsi="Times New Roman"/>
          <w:lang w:eastAsia="sk-SK"/>
        </w:rPr>
        <w:t>.</w:t>
      </w:r>
    </w:p>
    <w:p w:rsidR="008E6A75" w:rsidRPr="00C267BF" w:rsidRDefault="008E6A75" w:rsidP="00FD2D5B">
      <w:pPr>
        <w:spacing w:after="0" w:line="240" w:lineRule="auto"/>
        <w:ind w:left="567" w:hanging="567"/>
        <w:rPr>
          <w:rFonts w:ascii="Times New Roman" w:hAnsi="Times New Roman"/>
          <w:i/>
          <w:noProof/>
          <w:highlight w:val="yellow"/>
          <w:u w:val="single"/>
          <w:lang w:eastAsia="sk-SK"/>
        </w:rPr>
      </w:pPr>
    </w:p>
    <w:p w:rsidR="00FD2D5B" w:rsidRPr="00C267BF" w:rsidRDefault="00797969"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Amlodipín</w:t>
      </w:r>
    </w:p>
    <w:p w:rsidR="00797969" w:rsidRPr="00C267BF" w:rsidRDefault="00797969" w:rsidP="00797969">
      <w:pPr>
        <w:tabs>
          <w:tab w:val="left" w:pos="567"/>
        </w:tabs>
        <w:spacing w:after="0" w:line="240" w:lineRule="auto"/>
        <w:ind w:left="567" w:hanging="567"/>
        <w:rPr>
          <w:rFonts w:ascii="Times New Roman" w:eastAsia="Times New Roman" w:hAnsi="Times New Roman"/>
          <w:bCs/>
        </w:rPr>
      </w:pPr>
      <w:r w:rsidRPr="00C267BF">
        <w:rPr>
          <w:rFonts w:ascii="Times New Roman" w:eastAsia="Times New Roman" w:hAnsi="Times New Roman"/>
          <w:bCs/>
        </w:rPr>
        <w:t>Bezpečnosť a účinnosť amlodipínu pri hypertenznej kríze neboli stanovené.</w:t>
      </w:r>
    </w:p>
    <w:p w:rsidR="00797969" w:rsidRPr="00C267BF" w:rsidRDefault="00797969" w:rsidP="00797969">
      <w:pPr>
        <w:tabs>
          <w:tab w:val="left" w:pos="567"/>
        </w:tabs>
        <w:spacing w:after="0" w:line="240" w:lineRule="auto"/>
        <w:ind w:left="567" w:hanging="567"/>
        <w:rPr>
          <w:rFonts w:ascii="Times New Roman" w:eastAsia="Times New Roman" w:hAnsi="Times New Roman"/>
        </w:rPr>
      </w:pPr>
    </w:p>
    <w:p w:rsidR="00797969" w:rsidRPr="00C267BF" w:rsidRDefault="00797969" w:rsidP="00797969">
      <w:pPr>
        <w:keepNext/>
        <w:tabs>
          <w:tab w:val="left" w:pos="567"/>
        </w:tabs>
        <w:spacing w:after="0" w:line="240" w:lineRule="auto"/>
        <w:ind w:left="567" w:hanging="567"/>
        <w:outlineLvl w:val="0"/>
        <w:rPr>
          <w:rFonts w:ascii="Times New Roman" w:eastAsia="Times New Roman" w:hAnsi="Times New Roman"/>
          <w:i/>
        </w:rPr>
      </w:pPr>
      <w:r w:rsidRPr="00C267BF">
        <w:rPr>
          <w:rFonts w:ascii="Times New Roman" w:eastAsia="Times New Roman" w:hAnsi="Times New Roman"/>
          <w:i/>
        </w:rPr>
        <w:lastRenderedPageBreak/>
        <w:t>Pacienti so srdcovým zlyhaním</w:t>
      </w:r>
    </w:p>
    <w:p w:rsidR="00797969" w:rsidRPr="00C267BF" w:rsidRDefault="00797969" w:rsidP="00797969">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Pacienti so srdcovým zlyhaním majú byť liečení s opatrnosťou. V dlhodobej placebom kontrolovanej štúdii u pacientov s ťažkým srdcovým zlyhaním (III. a IV. stupňa podľa NYHA) bol hlásený vyšší výskyt pľúcneho edému v skupine liečenej amlodipínom ako v skupine s placebom (pozri časť 5.1). Blokátory kalciového kanála, vrátane amlodipínu, sa majú používať s opatrnosťou u pacientov s kongestívnym srdcovým zlyhaním, keďže môžu zvyšovať riziko kardiovaskulárnych príhod a mortality v budúcnosti.</w:t>
      </w:r>
    </w:p>
    <w:p w:rsidR="00797969" w:rsidRPr="00C267BF" w:rsidRDefault="00797969" w:rsidP="00797969">
      <w:pPr>
        <w:tabs>
          <w:tab w:val="left" w:pos="567"/>
        </w:tabs>
        <w:spacing w:after="0" w:line="240" w:lineRule="auto"/>
        <w:ind w:left="567" w:hanging="567"/>
        <w:rPr>
          <w:rFonts w:ascii="Times New Roman" w:eastAsia="Times New Roman" w:hAnsi="Times New Roman"/>
        </w:rPr>
      </w:pPr>
    </w:p>
    <w:p w:rsidR="00797969" w:rsidRPr="00C267BF" w:rsidRDefault="00DD0347" w:rsidP="00797969">
      <w:pPr>
        <w:tabs>
          <w:tab w:val="left" w:pos="567"/>
        </w:tabs>
        <w:spacing w:after="0" w:line="240" w:lineRule="auto"/>
        <w:ind w:left="567" w:hanging="567"/>
        <w:rPr>
          <w:rFonts w:ascii="Times New Roman" w:eastAsia="Times New Roman" w:hAnsi="Times New Roman"/>
          <w:i/>
        </w:rPr>
      </w:pPr>
      <w:r w:rsidRPr="00C267BF">
        <w:rPr>
          <w:rFonts w:ascii="Times New Roman" w:eastAsia="Times New Roman" w:hAnsi="Times New Roman"/>
          <w:i/>
        </w:rPr>
        <w:t>P</w:t>
      </w:r>
      <w:r w:rsidR="00797969" w:rsidRPr="00C267BF">
        <w:rPr>
          <w:rFonts w:ascii="Times New Roman" w:eastAsia="Times New Roman" w:hAnsi="Times New Roman"/>
          <w:i/>
        </w:rPr>
        <w:t>acient</w:t>
      </w:r>
      <w:r w:rsidRPr="00C267BF">
        <w:rPr>
          <w:rFonts w:ascii="Times New Roman" w:eastAsia="Times New Roman" w:hAnsi="Times New Roman"/>
          <w:i/>
        </w:rPr>
        <w:t>i</w:t>
      </w:r>
      <w:r w:rsidR="00797969" w:rsidRPr="00C267BF">
        <w:rPr>
          <w:rFonts w:ascii="Times New Roman" w:eastAsia="Times New Roman" w:hAnsi="Times New Roman"/>
          <w:i/>
        </w:rPr>
        <w:t xml:space="preserve"> s poruchou funkcie pečene</w:t>
      </w:r>
    </w:p>
    <w:p w:rsidR="00797969" w:rsidRPr="00C267BF" w:rsidRDefault="00797969" w:rsidP="00797969">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Biologický polčas amlodipínu je u pacientov s poruchou funkcie pečene predĺžený a hodnoty AUC sú vyššie; odporúčania pre dávkovanie neboli stanovené. Podávanie amlodipínu sa má preto začať na dolnej hranici dávkovacieho rozsahu a pri začatí liečby ako aj pri zvyšovaní dávky treba postupovať s opatrnosťou.</w:t>
      </w:r>
      <w:r w:rsidR="00DE6FBD" w:rsidRPr="00DE6FBD">
        <w:t xml:space="preserve"> </w:t>
      </w:r>
      <w:r w:rsidR="00DE6FBD" w:rsidRPr="00DE6FBD">
        <w:rPr>
          <w:rFonts w:ascii="Times New Roman" w:eastAsia="Times New Roman" w:hAnsi="Times New Roman"/>
        </w:rPr>
        <w:t>U pacientov s ťažk</w:t>
      </w:r>
      <w:r w:rsidR="00DE6FBD">
        <w:rPr>
          <w:rFonts w:ascii="Times New Roman" w:eastAsia="Times New Roman" w:hAnsi="Times New Roman"/>
        </w:rPr>
        <w:t>ou</w:t>
      </w:r>
      <w:r w:rsidR="00DE6FBD" w:rsidRPr="00DE6FBD">
        <w:rPr>
          <w:rFonts w:ascii="Times New Roman" w:eastAsia="Times New Roman" w:hAnsi="Times New Roman"/>
        </w:rPr>
        <w:t xml:space="preserve"> po</w:t>
      </w:r>
      <w:r w:rsidR="00DE6FBD">
        <w:rPr>
          <w:rFonts w:ascii="Times New Roman" w:eastAsia="Times New Roman" w:hAnsi="Times New Roman"/>
        </w:rPr>
        <w:t>ruchou</w:t>
      </w:r>
      <w:r w:rsidR="00DE6FBD" w:rsidRPr="00DE6FBD">
        <w:rPr>
          <w:rFonts w:ascii="Times New Roman" w:eastAsia="Times New Roman" w:hAnsi="Times New Roman"/>
        </w:rPr>
        <w:t xml:space="preserve"> funkcie pečene sa vyžaduje pomalá titrácia dávky a starostlivé sledovanie.</w:t>
      </w:r>
    </w:p>
    <w:p w:rsidR="00797969" w:rsidRPr="00C267BF" w:rsidRDefault="00797969" w:rsidP="00797969">
      <w:pPr>
        <w:tabs>
          <w:tab w:val="left" w:pos="567"/>
        </w:tabs>
        <w:suppressAutoHyphens/>
        <w:spacing w:after="0" w:line="240" w:lineRule="auto"/>
        <w:ind w:left="567" w:hanging="567"/>
        <w:rPr>
          <w:rFonts w:ascii="Times New Roman" w:eastAsia="Times New Roman" w:hAnsi="Times New Roman"/>
        </w:rPr>
      </w:pPr>
    </w:p>
    <w:p w:rsidR="00797969" w:rsidRPr="00C267BF" w:rsidRDefault="00797969" w:rsidP="00797969">
      <w:pPr>
        <w:tabs>
          <w:tab w:val="left" w:pos="567"/>
        </w:tabs>
        <w:spacing w:after="0" w:line="240" w:lineRule="auto"/>
        <w:ind w:left="567" w:hanging="567"/>
        <w:rPr>
          <w:rFonts w:ascii="Times New Roman" w:eastAsia="Times New Roman" w:hAnsi="Times New Roman"/>
          <w:bCs/>
          <w:i/>
        </w:rPr>
      </w:pPr>
      <w:r w:rsidRPr="00C267BF">
        <w:rPr>
          <w:rFonts w:ascii="Times New Roman" w:eastAsia="Times New Roman" w:hAnsi="Times New Roman"/>
          <w:bCs/>
          <w:i/>
        </w:rPr>
        <w:t>Starší pacienti</w:t>
      </w:r>
    </w:p>
    <w:p w:rsidR="00797969" w:rsidRPr="00C267BF" w:rsidRDefault="00797969" w:rsidP="00797969">
      <w:pPr>
        <w:tabs>
          <w:tab w:val="left" w:pos="567"/>
        </w:tabs>
        <w:spacing w:after="0" w:line="240" w:lineRule="auto"/>
        <w:ind w:left="567" w:hanging="567"/>
        <w:rPr>
          <w:rFonts w:ascii="Times New Roman" w:eastAsia="Times New Roman" w:hAnsi="Times New Roman"/>
          <w:bCs/>
        </w:rPr>
      </w:pPr>
      <w:r w:rsidRPr="00C267BF">
        <w:rPr>
          <w:rFonts w:ascii="Times New Roman" w:eastAsia="Times New Roman" w:hAnsi="Times New Roman"/>
          <w:bCs/>
        </w:rPr>
        <w:t>Zvyšovanie dávky sa má u starších pacientov vykonávať s opatrnosťou (pozri časti 4.2 a 5.2).</w:t>
      </w:r>
    </w:p>
    <w:p w:rsidR="00797969" w:rsidRPr="00C267BF" w:rsidRDefault="00797969" w:rsidP="00797969">
      <w:pPr>
        <w:tabs>
          <w:tab w:val="left" w:pos="567"/>
        </w:tabs>
        <w:spacing w:after="0" w:line="240" w:lineRule="auto"/>
        <w:ind w:left="567" w:hanging="567"/>
        <w:rPr>
          <w:rFonts w:ascii="Times New Roman" w:eastAsia="Times New Roman" w:hAnsi="Times New Roman"/>
        </w:rPr>
      </w:pPr>
    </w:p>
    <w:p w:rsidR="00797969" w:rsidRPr="00C267BF" w:rsidRDefault="00797969" w:rsidP="00797969">
      <w:pPr>
        <w:tabs>
          <w:tab w:val="left" w:pos="567"/>
        </w:tabs>
        <w:spacing w:after="0" w:line="240" w:lineRule="auto"/>
        <w:ind w:left="567" w:hanging="567"/>
        <w:outlineLvl w:val="0"/>
        <w:rPr>
          <w:rFonts w:ascii="Times New Roman" w:eastAsia="Times New Roman" w:hAnsi="Times New Roman"/>
          <w:i/>
        </w:rPr>
      </w:pPr>
      <w:r w:rsidRPr="00C267BF">
        <w:rPr>
          <w:rFonts w:ascii="Times New Roman" w:eastAsia="Times New Roman" w:hAnsi="Times New Roman"/>
          <w:i/>
        </w:rPr>
        <w:t>P</w:t>
      </w:r>
      <w:r w:rsidR="00DD0347" w:rsidRPr="00C267BF">
        <w:rPr>
          <w:rFonts w:ascii="Times New Roman" w:eastAsia="Times New Roman" w:hAnsi="Times New Roman"/>
          <w:i/>
        </w:rPr>
        <w:t>acienti s poruchou funkcie obličiek</w:t>
      </w:r>
      <w:r w:rsidRPr="00C267BF">
        <w:rPr>
          <w:rFonts w:ascii="Times New Roman" w:eastAsia="Times New Roman" w:hAnsi="Times New Roman"/>
          <w:i/>
        </w:rPr>
        <w:t xml:space="preserve"> </w:t>
      </w:r>
    </w:p>
    <w:p w:rsidR="00797969" w:rsidRPr="00C267BF" w:rsidRDefault="00797969" w:rsidP="00797969">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U takýchto pacientov sa môžu používať bežné dávky amlodipínu. Zmeny plazmatických koncentrácií amlodipínu nesú</w:t>
      </w:r>
      <w:r w:rsidR="00DD0347" w:rsidRPr="00C267BF">
        <w:rPr>
          <w:rFonts w:ascii="Times New Roman" w:eastAsia="Times New Roman" w:hAnsi="Times New Roman"/>
        </w:rPr>
        <w:t>visia</w:t>
      </w:r>
      <w:r w:rsidRPr="00C267BF">
        <w:rPr>
          <w:rFonts w:ascii="Times New Roman" w:eastAsia="Times New Roman" w:hAnsi="Times New Roman"/>
        </w:rPr>
        <w:t xml:space="preserve"> so stupňom poškodenia</w:t>
      </w:r>
      <w:r w:rsidR="00DD0347" w:rsidRPr="00C267BF">
        <w:rPr>
          <w:rFonts w:ascii="Times New Roman" w:eastAsia="Times New Roman" w:hAnsi="Times New Roman"/>
        </w:rPr>
        <w:t xml:space="preserve"> obličiek</w:t>
      </w:r>
      <w:r w:rsidRPr="00C267BF">
        <w:rPr>
          <w:rFonts w:ascii="Times New Roman" w:eastAsia="Times New Roman" w:hAnsi="Times New Roman"/>
        </w:rPr>
        <w:t>. Amlodipín nie je dialyzovateľný.</w:t>
      </w:r>
    </w:p>
    <w:p w:rsidR="00FD2D5B" w:rsidRPr="00C267BF" w:rsidRDefault="00FD2D5B" w:rsidP="00FD2D5B">
      <w:pPr>
        <w:spacing w:after="0" w:line="240" w:lineRule="auto"/>
        <w:rPr>
          <w:rFonts w:ascii="Times New Roman" w:hAnsi="Times New Roman"/>
          <w:iCs/>
          <w:lang w:eastAsia="sk-SK"/>
        </w:rPr>
      </w:pPr>
    </w:p>
    <w:p w:rsidR="00FD2D5B" w:rsidRPr="00C267BF" w:rsidRDefault="00FD2D5B" w:rsidP="00FD2D5B">
      <w:pPr>
        <w:numPr>
          <w:ilvl w:val="1"/>
          <w:numId w:val="2"/>
        </w:numPr>
        <w:spacing w:after="0" w:line="240" w:lineRule="auto"/>
        <w:rPr>
          <w:rFonts w:ascii="Times New Roman" w:hAnsi="Times New Roman"/>
          <w:b/>
          <w:noProof/>
          <w:lang w:eastAsia="sk-SK"/>
        </w:rPr>
      </w:pPr>
      <w:r w:rsidRPr="00C267BF">
        <w:rPr>
          <w:rFonts w:ascii="Times New Roman" w:hAnsi="Times New Roman"/>
          <w:b/>
          <w:noProof/>
          <w:lang w:eastAsia="sk-SK"/>
        </w:rPr>
        <w:t>Liekové a iné interakcie</w:t>
      </w:r>
    </w:p>
    <w:p w:rsidR="00FD2D5B" w:rsidRPr="00C267BF" w:rsidRDefault="00FD2D5B" w:rsidP="00FD2D5B">
      <w:pPr>
        <w:spacing w:after="0" w:line="240" w:lineRule="auto"/>
        <w:rPr>
          <w:rFonts w:ascii="Times New Roman" w:hAnsi="Times New Roman"/>
          <w:iCs/>
          <w:lang w:eastAsia="sk-SK"/>
        </w:rPr>
      </w:pPr>
    </w:p>
    <w:p w:rsidR="008D6E53" w:rsidRPr="00C267BF" w:rsidRDefault="008D6E53" w:rsidP="00FD2D5B">
      <w:pPr>
        <w:spacing w:after="0" w:line="240" w:lineRule="auto"/>
        <w:rPr>
          <w:rFonts w:ascii="Times New Roman" w:hAnsi="Times New Roman"/>
          <w:iCs/>
          <w:u w:val="single"/>
          <w:lang w:eastAsia="sk-SK"/>
        </w:rPr>
      </w:pPr>
      <w:r w:rsidRPr="00C267BF">
        <w:rPr>
          <w:rFonts w:ascii="Times New Roman" w:hAnsi="Times New Roman"/>
          <w:iCs/>
          <w:u w:val="single"/>
          <w:lang w:eastAsia="sk-SK"/>
        </w:rPr>
        <w:t>Interakcie súvisiace s telmisartanom</w:t>
      </w:r>
    </w:p>
    <w:p w:rsidR="008D6E53" w:rsidRPr="00C267BF" w:rsidRDefault="008D6E53" w:rsidP="008D6E53">
      <w:pPr>
        <w:autoSpaceDE w:val="0"/>
        <w:autoSpaceDN w:val="0"/>
        <w:adjustRightInd w:val="0"/>
        <w:spacing w:after="0" w:line="240" w:lineRule="auto"/>
        <w:rPr>
          <w:rFonts w:ascii="Times New Roman" w:eastAsia="Times New Roman" w:hAnsi="Times New Roman"/>
          <w:u w:val="single"/>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Digoxín</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Ak sa telmisartan súbežne podával s digoxínom, pozoroval sa medián zvýšenia maximálnej plazmatickej koncentrácie (49 %) a minimálnej koncentrácie (20 %) digoxínu. Pri začatí </w:t>
      </w:r>
      <w:r w:rsidR="001D44C6" w:rsidRPr="00C267BF">
        <w:rPr>
          <w:rFonts w:ascii="Times New Roman" w:eastAsia="Times New Roman" w:hAnsi="Times New Roman"/>
          <w:lang w:eastAsia="sk-SK"/>
        </w:rPr>
        <w:t>liečby</w:t>
      </w:r>
      <w:r w:rsidRPr="00C267BF">
        <w:rPr>
          <w:rFonts w:ascii="Times New Roman" w:eastAsia="Times New Roman" w:hAnsi="Times New Roman"/>
          <w:lang w:eastAsia="sk-SK"/>
        </w:rPr>
        <w:t xml:space="preserve">, úprave dávkovania a </w:t>
      </w:r>
      <w:r w:rsidR="001D44C6" w:rsidRPr="00C267BF">
        <w:rPr>
          <w:rFonts w:ascii="Times New Roman" w:eastAsia="Times New Roman" w:hAnsi="Times New Roman"/>
          <w:lang w:eastAsia="sk-SK"/>
        </w:rPr>
        <w:t>ukonče</w:t>
      </w:r>
      <w:r w:rsidRPr="00C267BF">
        <w:rPr>
          <w:rFonts w:ascii="Times New Roman" w:eastAsia="Times New Roman" w:hAnsi="Times New Roman"/>
          <w:lang w:eastAsia="sk-SK"/>
        </w:rPr>
        <w:t xml:space="preserve">ní </w:t>
      </w:r>
      <w:r w:rsidR="001D44C6" w:rsidRPr="00C267BF">
        <w:rPr>
          <w:rFonts w:ascii="Times New Roman" w:eastAsia="Times New Roman" w:hAnsi="Times New Roman"/>
          <w:lang w:eastAsia="sk-SK"/>
        </w:rPr>
        <w:t xml:space="preserve">liečby </w:t>
      </w:r>
      <w:proofErr w:type="spellStart"/>
      <w:r w:rsidRPr="00C267BF">
        <w:rPr>
          <w:rFonts w:ascii="Times New Roman" w:eastAsia="Times New Roman" w:hAnsi="Times New Roman"/>
          <w:lang w:eastAsia="sk-SK"/>
        </w:rPr>
        <w:t>telmisartan</w:t>
      </w:r>
      <w:r w:rsidR="001D44C6" w:rsidRPr="00C267BF">
        <w:rPr>
          <w:rFonts w:ascii="Times New Roman" w:eastAsia="Times New Roman" w:hAnsi="Times New Roman"/>
          <w:lang w:eastAsia="sk-SK"/>
        </w:rPr>
        <w:t>om</w:t>
      </w:r>
      <w:proofErr w:type="spellEnd"/>
      <w:r w:rsidRPr="00C267BF">
        <w:rPr>
          <w:rFonts w:ascii="Times New Roman" w:eastAsia="Times New Roman" w:hAnsi="Times New Roman"/>
          <w:lang w:eastAsia="sk-SK"/>
        </w:rPr>
        <w:t xml:space="preserve"> monitorujte hladiny </w:t>
      </w:r>
      <w:proofErr w:type="spellStart"/>
      <w:r w:rsidRPr="00C267BF">
        <w:rPr>
          <w:rFonts w:ascii="Times New Roman" w:eastAsia="Times New Roman" w:hAnsi="Times New Roman"/>
          <w:lang w:eastAsia="sk-SK"/>
        </w:rPr>
        <w:t>digoxínu</w:t>
      </w:r>
      <w:proofErr w:type="spellEnd"/>
      <w:r w:rsidRPr="00C267BF">
        <w:rPr>
          <w:rFonts w:ascii="Times New Roman" w:eastAsia="Times New Roman" w:hAnsi="Times New Roman"/>
          <w:lang w:eastAsia="sk-SK"/>
        </w:rPr>
        <w:t>, aby sa udržali v</w:t>
      </w:r>
      <w:r w:rsidR="00F552CA">
        <w:rPr>
          <w:rFonts w:ascii="Times New Roman" w:eastAsia="Times New Roman" w:hAnsi="Times New Roman"/>
          <w:lang w:eastAsia="sk-SK"/>
        </w:rPr>
        <w:t> </w:t>
      </w:r>
      <w:r w:rsidRPr="00C267BF">
        <w:rPr>
          <w:rFonts w:ascii="Times New Roman" w:eastAsia="Times New Roman" w:hAnsi="Times New Roman"/>
          <w:lang w:eastAsia="sk-SK"/>
        </w:rPr>
        <w:t>terapeutickom rozsahu.</w:t>
      </w:r>
    </w:p>
    <w:p w:rsidR="008D6E53" w:rsidRPr="00C267BF" w:rsidRDefault="008D6E53" w:rsidP="008D6E53">
      <w:pPr>
        <w:spacing w:after="0" w:line="240" w:lineRule="auto"/>
        <w:rPr>
          <w:rFonts w:ascii="Times New Roman" w:hAnsi="Times New Roman"/>
          <w:iCs/>
          <w:lang w:eastAsia="sk-SK"/>
        </w:rPr>
      </w:pPr>
    </w:p>
    <w:p w:rsidR="008D6E53" w:rsidRPr="00C267BF" w:rsidRDefault="008D6E53" w:rsidP="008D6E53">
      <w:pPr>
        <w:spacing w:after="0" w:line="240" w:lineRule="auto"/>
        <w:rPr>
          <w:rFonts w:ascii="Times New Roman" w:hAnsi="Times New Roman"/>
          <w:iCs/>
          <w:lang w:eastAsia="sk-SK"/>
        </w:rPr>
      </w:pPr>
      <w:r w:rsidRPr="00C267BF">
        <w:rPr>
          <w:rFonts w:ascii="Times New Roman" w:hAnsi="Times New Roman"/>
          <w:iCs/>
          <w:lang w:eastAsia="sk-SK"/>
        </w:rPr>
        <w:t xml:space="preserve">Tak ako iné lieky účinkujúce na systém renín-angiotenzín-aldosterón, telmisartan môže vyvolať hyperkaliémiu (pozri časť 4.4). Riziko sa môže zvýšiť v prípade liečby kombináciou s inými liekmi,  ktoré môžu vyvolať hyperkaliémiu: náhrady solí s obsahom draslíka, draslík šetriace diuretiká, ACE inhibítory, antagonisty receptorov angiotenzínu II, nesteroidné protizápalové lieky (NSA, vrátane selektívnych COX-2 inhibítorov), </w:t>
      </w:r>
      <w:proofErr w:type="spellStart"/>
      <w:r w:rsidRPr="00C267BF">
        <w:rPr>
          <w:rFonts w:ascii="Times New Roman" w:hAnsi="Times New Roman"/>
          <w:iCs/>
          <w:lang w:eastAsia="sk-SK"/>
        </w:rPr>
        <w:t>heparín</w:t>
      </w:r>
      <w:proofErr w:type="spellEnd"/>
      <w:r w:rsidRPr="00C267BF">
        <w:rPr>
          <w:rFonts w:ascii="Times New Roman" w:hAnsi="Times New Roman"/>
          <w:iCs/>
          <w:lang w:eastAsia="sk-SK"/>
        </w:rPr>
        <w:t xml:space="preserve">, </w:t>
      </w:r>
      <w:proofErr w:type="spellStart"/>
      <w:r w:rsidRPr="00C267BF">
        <w:rPr>
          <w:rFonts w:ascii="Times New Roman" w:hAnsi="Times New Roman"/>
          <w:iCs/>
          <w:lang w:eastAsia="sk-SK"/>
        </w:rPr>
        <w:t>imunosupresíva</w:t>
      </w:r>
      <w:proofErr w:type="spellEnd"/>
      <w:r w:rsidRPr="00C267BF">
        <w:rPr>
          <w:rFonts w:ascii="Times New Roman" w:hAnsi="Times New Roman"/>
          <w:iCs/>
          <w:lang w:eastAsia="sk-SK"/>
        </w:rPr>
        <w:t xml:space="preserve"> (</w:t>
      </w:r>
      <w:proofErr w:type="spellStart"/>
      <w:r w:rsidRPr="00C267BF">
        <w:rPr>
          <w:rFonts w:ascii="Times New Roman" w:hAnsi="Times New Roman"/>
          <w:iCs/>
          <w:lang w:eastAsia="sk-SK"/>
        </w:rPr>
        <w:t>cyklosporín</w:t>
      </w:r>
      <w:proofErr w:type="spellEnd"/>
      <w:r w:rsidRPr="00C267BF">
        <w:rPr>
          <w:rFonts w:ascii="Times New Roman" w:hAnsi="Times New Roman"/>
          <w:iCs/>
          <w:lang w:eastAsia="sk-SK"/>
        </w:rPr>
        <w:t xml:space="preserve"> alebo </w:t>
      </w:r>
      <w:proofErr w:type="spellStart"/>
      <w:r w:rsidRPr="00C267BF">
        <w:rPr>
          <w:rFonts w:ascii="Times New Roman" w:hAnsi="Times New Roman"/>
          <w:iCs/>
          <w:lang w:eastAsia="sk-SK"/>
        </w:rPr>
        <w:t>takrolimus</w:t>
      </w:r>
      <w:proofErr w:type="spellEnd"/>
      <w:r w:rsidRPr="00C267BF">
        <w:rPr>
          <w:rFonts w:ascii="Times New Roman" w:hAnsi="Times New Roman"/>
          <w:iCs/>
          <w:lang w:eastAsia="sk-SK"/>
        </w:rPr>
        <w:t>) a</w:t>
      </w:r>
      <w:r w:rsidR="00DE6FBD">
        <w:rPr>
          <w:rFonts w:ascii="Times New Roman" w:hAnsi="Times New Roman"/>
          <w:iCs/>
          <w:lang w:eastAsia="sk-SK"/>
        </w:rPr>
        <w:t> </w:t>
      </w:r>
      <w:proofErr w:type="spellStart"/>
      <w:r w:rsidRPr="00C267BF">
        <w:rPr>
          <w:rFonts w:ascii="Times New Roman" w:hAnsi="Times New Roman"/>
          <w:iCs/>
          <w:lang w:eastAsia="sk-SK"/>
        </w:rPr>
        <w:t>trimetoprim</w:t>
      </w:r>
      <w:proofErr w:type="spellEnd"/>
      <w:r w:rsidRPr="00C267BF">
        <w:rPr>
          <w:rFonts w:ascii="Times New Roman" w:hAnsi="Times New Roman"/>
          <w:iCs/>
          <w:lang w:eastAsia="sk-SK"/>
        </w:rPr>
        <w:t>.</w:t>
      </w:r>
    </w:p>
    <w:p w:rsidR="008D6E53" w:rsidRPr="00C267BF" w:rsidRDefault="008D6E53" w:rsidP="008D6E53">
      <w:pPr>
        <w:spacing w:after="0" w:line="240" w:lineRule="auto"/>
        <w:rPr>
          <w:rFonts w:ascii="Times New Roman" w:hAnsi="Times New Roman"/>
          <w:iCs/>
          <w:lang w:eastAsia="sk-SK"/>
        </w:rPr>
      </w:pPr>
    </w:p>
    <w:p w:rsidR="008D6E53" w:rsidRPr="00C267BF" w:rsidRDefault="008D6E53" w:rsidP="008D6E53">
      <w:pPr>
        <w:spacing w:after="0" w:line="240" w:lineRule="auto"/>
        <w:rPr>
          <w:rFonts w:ascii="Times New Roman" w:hAnsi="Times New Roman"/>
          <w:iCs/>
          <w:lang w:eastAsia="sk-SK"/>
        </w:rPr>
      </w:pPr>
      <w:r w:rsidRPr="00C267BF">
        <w:rPr>
          <w:rFonts w:ascii="Times New Roman" w:hAnsi="Times New Roman"/>
          <w:iCs/>
          <w:lang w:eastAsia="sk-SK"/>
        </w:rPr>
        <w:t>Výskyt hyperkaliémie závisí od pridružených rizikových faktorov. Riziko sa zvyšuje v prípade vyššie uvedených liečebných kombinácií. Riziko je obzvlášť vysoké pri kombinácii draslík šetriacich diuretík, keď sú kombinované s náhradami solí s obsahom draslíka. Napríklad kombinácia s ACE inhibítormi alebo NSA predstavuje nižšie riziko za predpokladu prísneho dodržania odporúčaní pre používanie.</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iCs/>
          <w:lang w:eastAsia="sk-SK"/>
        </w:rPr>
      </w:pPr>
      <w:r w:rsidRPr="00C267BF">
        <w:rPr>
          <w:rFonts w:ascii="Times New Roman" w:eastAsia="Times New Roman" w:hAnsi="Times New Roman"/>
          <w:i/>
          <w:iCs/>
          <w:lang w:eastAsia="sk-SK"/>
        </w:rPr>
        <w:t>Súbežné použitie, ktoré sa neodporúča</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Draslík šetriace diuretiká a doplnky draslíka</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roofErr w:type="spellStart"/>
      <w:r w:rsidRPr="000B1BD6">
        <w:rPr>
          <w:rFonts w:ascii="Times New Roman" w:eastAsia="Times New Roman" w:hAnsi="Times New Roman"/>
          <w:lang w:eastAsia="sk-SK"/>
        </w:rPr>
        <w:t>Antagonisty</w:t>
      </w:r>
      <w:proofErr w:type="spellEnd"/>
      <w:r w:rsidRPr="000B1BD6">
        <w:rPr>
          <w:rFonts w:ascii="Times New Roman" w:eastAsia="Times New Roman" w:hAnsi="Times New Roman"/>
          <w:lang w:eastAsia="sk-SK"/>
        </w:rPr>
        <w:t xml:space="preserve"> receptora </w:t>
      </w:r>
      <w:proofErr w:type="spellStart"/>
      <w:r w:rsidRPr="000B1BD6">
        <w:rPr>
          <w:rFonts w:ascii="Times New Roman" w:eastAsia="Times New Roman" w:hAnsi="Times New Roman"/>
          <w:lang w:eastAsia="sk-SK"/>
        </w:rPr>
        <w:t>angiotenzínu</w:t>
      </w:r>
      <w:proofErr w:type="spellEnd"/>
      <w:r w:rsidRPr="000B1BD6">
        <w:rPr>
          <w:rFonts w:ascii="Times New Roman" w:eastAsia="Times New Roman" w:hAnsi="Times New Roman"/>
          <w:lang w:eastAsia="sk-SK"/>
        </w:rPr>
        <w:t xml:space="preserve"> II</w:t>
      </w:r>
      <w:r w:rsidR="00A57258" w:rsidRPr="00C267BF">
        <w:rPr>
          <w:rFonts w:ascii="Times New Roman" w:eastAsia="Times New Roman" w:hAnsi="Times New Roman"/>
          <w:lang w:eastAsia="sk-SK"/>
        </w:rPr>
        <w:t xml:space="preserve">, ako je </w:t>
      </w:r>
      <w:proofErr w:type="spellStart"/>
      <w:r w:rsidR="00A57258" w:rsidRPr="00C267BF">
        <w:rPr>
          <w:rFonts w:ascii="Times New Roman" w:eastAsia="Times New Roman" w:hAnsi="Times New Roman"/>
          <w:lang w:eastAsia="sk-SK"/>
        </w:rPr>
        <w:t>telmisartan</w:t>
      </w:r>
      <w:proofErr w:type="spellEnd"/>
      <w:r w:rsidR="00A57258" w:rsidRPr="00C267BF">
        <w:rPr>
          <w:rFonts w:ascii="Times New Roman" w:eastAsia="Times New Roman" w:hAnsi="Times New Roman"/>
          <w:lang w:eastAsia="sk-SK"/>
        </w:rPr>
        <w:t>,</w:t>
      </w:r>
      <w:r w:rsidRPr="000B1BD6">
        <w:rPr>
          <w:rFonts w:ascii="Times New Roman" w:eastAsia="Times New Roman" w:hAnsi="Times New Roman"/>
          <w:lang w:eastAsia="sk-SK"/>
        </w:rPr>
        <w:t xml:space="preserve"> zmierňujú straty draslíka spôsobené diuretikami.</w:t>
      </w:r>
      <w:r w:rsidRPr="00C267BF">
        <w:rPr>
          <w:rFonts w:ascii="Times New Roman" w:eastAsia="Times New Roman" w:hAnsi="Times New Roman"/>
          <w:lang w:eastAsia="sk-SK"/>
        </w:rPr>
        <w:t xml:space="preserve"> Draslík šetriace diuretiká, napr. spironolaktón, eplerenón, triamterén alebo amilorid, doplnky draslíka alebo náhrady solí s obsahom draslíka môžu viesť k signifikantnému zvýšeniu sérového draslíka. Ak je súbežné použitie týchto liečiv indikované pri dokázanej hypokaliémii, majú sa užívať veľmi opatrne a majú sa pravidelne monitorovať sérové hladiny draslíka.</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Lítium</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lastRenderedPageBreak/>
        <w:t>Počas súbežného podávania lítia s inhibítormi angiotenzín konvertujúceho enzýmu a s antagonistami receptora angiotenzínu II, vrátane telmisartanu, boli hlásené reverzibilné zvýšenia sérových koncentrácií lítia a toxicita. Ak sa ukáže nevyhnutnosť použitia takejto kombinácie, odporúča sa dôkladné monitorovanie hladín lítia v sére.</w:t>
      </w:r>
    </w:p>
    <w:p w:rsidR="008D6E53" w:rsidRPr="00C267BF" w:rsidRDefault="008D6E53" w:rsidP="008D6E53">
      <w:pPr>
        <w:autoSpaceDE w:val="0"/>
        <w:autoSpaceDN w:val="0"/>
        <w:adjustRightInd w:val="0"/>
        <w:spacing w:after="0" w:line="240" w:lineRule="auto"/>
        <w:rPr>
          <w:rFonts w:ascii="Times New Roman" w:eastAsia="Times New Roman" w:hAnsi="Times New Roman"/>
          <w:i/>
          <w:iCs/>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iCs/>
          <w:lang w:eastAsia="sk-SK"/>
        </w:rPr>
      </w:pPr>
      <w:r w:rsidRPr="00C267BF">
        <w:rPr>
          <w:rFonts w:ascii="Times New Roman" w:eastAsia="Times New Roman" w:hAnsi="Times New Roman"/>
          <w:i/>
          <w:iCs/>
          <w:lang w:eastAsia="sk-SK"/>
        </w:rPr>
        <w:t>Súbežné použitie, ktoré vyžaduje pozornosť</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Nesteroidné protizápalové lieky</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NSA (t.j. acetylsalicylová kyselina v protizápalových dávkovacích režimoch, COX-2 inhibítory a neselektívne NSA) môžu znížiť antihypertenzný účinok antagonistov receptora angiotenzínu II. U niektorých pacientov so zníženou funkciou obličiek (napr. dehydratovaní pacienti alebo starší pacienti so zníženou funkciou obličiek) sú</w:t>
      </w:r>
      <w:r w:rsidR="00A747E9">
        <w:rPr>
          <w:rFonts w:ascii="Times New Roman" w:eastAsia="Times New Roman" w:hAnsi="Times New Roman"/>
          <w:lang w:eastAsia="sk-SK"/>
        </w:rPr>
        <w:t>bež</w:t>
      </w:r>
      <w:r w:rsidRPr="00C267BF">
        <w:rPr>
          <w:rFonts w:ascii="Times New Roman" w:eastAsia="Times New Roman" w:hAnsi="Times New Roman"/>
          <w:lang w:eastAsia="sk-SK"/>
        </w:rPr>
        <w:t xml:space="preserve">né podávanie antagonistov receptora angiotenzínu II a účinných látok, ktoré inhibujú cyklooxygenázu, môže viesť k ďalšiemu zhoršeniu funkcie obličiek, vrátane možného akútneho zlyhania obličiek, ktoré je zvyčajne reverzibilné. </w:t>
      </w:r>
      <w:r w:rsidR="00A57258" w:rsidRPr="00C267BF">
        <w:rPr>
          <w:rFonts w:ascii="Times New Roman" w:eastAsia="Times New Roman" w:hAnsi="Times New Roman"/>
          <w:lang w:eastAsia="sk-SK"/>
        </w:rPr>
        <w:t>P</w:t>
      </w:r>
      <w:r w:rsidRPr="00C267BF">
        <w:rPr>
          <w:rFonts w:ascii="Times New Roman" w:eastAsia="Times New Roman" w:hAnsi="Times New Roman"/>
          <w:lang w:eastAsia="sk-SK"/>
        </w:rPr>
        <w:t>reto sa má táto kombinácia podávať veľmi opatrne obzvlášť u starších pacientov. Pacienti majú byť dostatočne hydratovaní, má sa zvážiť monitorovanie obličkových funkcií po začiatku súbežnej liečby a pravidelne počas jej trvania.</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Ramipril</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V jednej štúdii súbežné podávanie telmisartanu a ramiprilu viedlo k 2,5-násobnému zvýšeniu AUC</w:t>
      </w:r>
      <w:r w:rsidRPr="00C267BF">
        <w:rPr>
          <w:rFonts w:ascii="Times New Roman" w:eastAsia="Times New Roman" w:hAnsi="Times New Roman"/>
          <w:vertAlign w:val="subscript"/>
          <w:lang w:eastAsia="sk-SK"/>
        </w:rPr>
        <w:t>0-24</w:t>
      </w:r>
      <w:r w:rsidRPr="00C267BF">
        <w:rPr>
          <w:rFonts w:ascii="Times New Roman" w:eastAsia="Times New Roman" w:hAnsi="Times New Roman"/>
          <w:lang w:eastAsia="sk-SK"/>
        </w:rPr>
        <w:t xml:space="preserve"> a C</w:t>
      </w:r>
      <w:r w:rsidRPr="00C267BF">
        <w:rPr>
          <w:rFonts w:ascii="Times New Roman" w:eastAsia="Times New Roman" w:hAnsi="Times New Roman"/>
          <w:vertAlign w:val="subscript"/>
          <w:lang w:eastAsia="sk-SK"/>
        </w:rPr>
        <w:t>max</w:t>
      </w:r>
      <w:r w:rsidRPr="00C267BF">
        <w:rPr>
          <w:rFonts w:ascii="Times New Roman" w:eastAsia="Times New Roman" w:hAnsi="Times New Roman"/>
          <w:lang w:eastAsia="sk-SK"/>
        </w:rPr>
        <w:t xml:space="preserve"> ramiprilu a ramiprilátu. Klinick</w:t>
      </w:r>
      <w:r w:rsidR="00DE6FBD">
        <w:rPr>
          <w:rFonts w:ascii="Times New Roman" w:eastAsia="Times New Roman" w:hAnsi="Times New Roman"/>
          <w:lang w:eastAsia="sk-SK"/>
        </w:rPr>
        <w:t>ý</w:t>
      </w:r>
      <w:r w:rsidRPr="00C267BF">
        <w:rPr>
          <w:rFonts w:ascii="Times New Roman" w:eastAsia="Times New Roman" w:hAnsi="Times New Roman"/>
          <w:lang w:eastAsia="sk-SK"/>
        </w:rPr>
        <w:t xml:space="preserve"> význam tohto pozorovania nie je znám</w:t>
      </w:r>
      <w:r w:rsidR="00DE6FBD">
        <w:rPr>
          <w:rFonts w:ascii="Times New Roman" w:eastAsia="Times New Roman" w:hAnsi="Times New Roman"/>
          <w:lang w:eastAsia="sk-SK"/>
        </w:rPr>
        <w:t>y</w:t>
      </w:r>
      <w:r w:rsidRPr="00C267BF">
        <w:rPr>
          <w:rFonts w:ascii="Times New Roman" w:eastAsia="Times New Roman" w:hAnsi="Times New Roman"/>
          <w:lang w:eastAsia="sk-SK"/>
        </w:rPr>
        <w:t>.</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Diuretiká (tiazidové diuretiká alebo slučkové diuretiká)</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Predchádzajúca liečba s vysokými dávkami diuretík</w:t>
      </w:r>
      <w:r w:rsidR="00A57258"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ako je furosemid (slučkové diuretikum) a hydrochlorotiazid (tiazidové diuretikum), môže viesť k hypovolémii a riziku hypotenzie</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pri začatí liečby telmisartanom.</w:t>
      </w:r>
    </w:p>
    <w:p w:rsidR="008D6E53" w:rsidRPr="00C267BF" w:rsidRDefault="008D6E53" w:rsidP="008D6E53">
      <w:pPr>
        <w:autoSpaceDE w:val="0"/>
        <w:autoSpaceDN w:val="0"/>
        <w:adjustRightInd w:val="0"/>
        <w:spacing w:after="0" w:line="240" w:lineRule="auto"/>
        <w:rPr>
          <w:rFonts w:ascii="Times New Roman" w:eastAsia="Times New Roman" w:hAnsi="Times New Roman"/>
          <w:i/>
          <w:iCs/>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iCs/>
          <w:lang w:eastAsia="sk-SK"/>
        </w:rPr>
      </w:pPr>
      <w:r w:rsidRPr="00C267BF">
        <w:rPr>
          <w:rFonts w:ascii="Times New Roman" w:eastAsia="Times New Roman" w:hAnsi="Times New Roman"/>
          <w:i/>
          <w:iCs/>
          <w:lang w:eastAsia="sk-SK"/>
        </w:rPr>
        <w:t>Pri súbežnom používaní treba vziať do úvahy</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Iné antihypertenzné látky</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Účinok telmisartanu na znižovanie krvného tlaku môže byť zvýšený pri súbežnom použití iných antihypertenzných liekov.</w:t>
      </w:r>
    </w:p>
    <w:p w:rsidR="00CF4795" w:rsidRPr="00C267BF" w:rsidRDefault="00CF4795" w:rsidP="00CF4795">
      <w:pPr>
        <w:autoSpaceDE w:val="0"/>
        <w:autoSpaceDN w:val="0"/>
        <w:adjustRightInd w:val="0"/>
        <w:spacing w:after="0" w:line="240" w:lineRule="auto"/>
        <w:rPr>
          <w:rFonts w:ascii="Times New Roman" w:eastAsia="Times New Roman" w:hAnsi="Times New Roman"/>
          <w:lang w:eastAsia="sk-SK"/>
        </w:rPr>
      </w:pPr>
    </w:p>
    <w:p w:rsidR="008D6E53" w:rsidRPr="00C267BF" w:rsidRDefault="00CF4795" w:rsidP="00CF4795">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Údaje z klinických skúšaní ukázali, že duálna inhibícia systému renín-angiotenzín-aldosterón (RAAS) kombinovaným použitím inhibítorov ACE, blokátorov receptorov angiotenzínu II alebo aliskirénu sa spája s vyššou frekvenciou nežiaducich udalostí, ako sú hypotenzia, hyperkaliémia a znížená funkcia obličiek (vrátane akútneho zlyhania obličiek), v porovnaní s použitím látky ovplyvňujúcej RAAS v</w:t>
      </w:r>
      <w:r w:rsidR="00A747E9">
        <w:rPr>
          <w:rFonts w:ascii="Times New Roman" w:eastAsia="Times New Roman" w:hAnsi="Times New Roman"/>
          <w:lang w:eastAsia="sk-SK"/>
        </w:rPr>
        <w:t> </w:t>
      </w:r>
      <w:proofErr w:type="spellStart"/>
      <w:r w:rsidRPr="00C267BF">
        <w:rPr>
          <w:rFonts w:ascii="Times New Roman" w:eastAsia="Times New Roman" w:hAnsi="Times New Roman"/>
          <w:lang w:eastAsia="sk-SK"/>
        </w:rPr>
        <w:t>monoterapii</w:t>
      </w:r>
      <w:proofErr w:type="spellEnd"/>
      <w:r w:rsidRPr="00C267BF">
        <w:rPr>
          <w:rFonts w:ascii="Times New Roman" w:eastAsia="Times New Roman" w:hAnsi="Times New Roman"/>
          <w:lang w:eastAsia="sk-SK"/>
        </w:rPr>
        <w:t xml:space="preserve"> (pozri časti 4.3, 4.4 a 5.1).</w:t>
      </w:r>
    </w:p>
    <w:p w:rsidR="00CF4795" w:rsidRPr="00C267BF" w:rsidRDefault="00CF4795" w:rsidP="00CF4795">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Na základe farmakologických vlastností možno očakávať, že hypotenzný účinok všetkých antihypertenzív vrátane telmisartanu môžu zosilniť nasledovné lieky: baklofén, amifostín. Navyše, ortostatická hypotenzia môže byť zhoršená alkoholom, barbiturátmi, narkotikami alebo antidepresívami.</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C267BF" w:rsidRDefault="008D6E53" w:rsidP="008D6E53">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Kortikosteroidy (systémové užívanie)</w:t>
      </w:r>
    </w:p>
    <w:p w:rsidR="008D6E53" w:rsidRPr="00C267BF" w:rsidRDefault="008D6E53" w:rsidP="008D6E53">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Zníženie antihypertenzného účinku.</w:t>
      </w:r>
    </w:p>
    <w:p w:rsidR="008D6E53" w:rsidRPr="00C267BF" w:rsidRDefault="008D6E53" w:rsidP="008D6E53">
      <w:pPr>
        <w:autoSpaceDE w:val="0"/>
        <w:autoSpaceDN w:val="0"/>
        <w:adjustRightInd w:val="0"/>
        <w:spacing w:after="0" w:line="240" w:lineRule="auto"/>
        <w:rPr>
          <w:rFonts w:ascii="Times New Roman" w:eastAsia="Times New Roman" w:hAnsi="Times New Roman"/>
          <w:b/>
          <w:bCs/>
          <w:lang w:eastAsia="sk-SK"/>
        </w:rPr>
      </w:pPr>
    </w:p>
    <w:p w:rsidR="00CF4795" w:rsidRPr="00C267BF" w:rsidRDefault="00CF4795" w:rsidP="00FD2D5B">
      <w:pPr>
        <w:spacing w:after="0" w:line="240" w:lineRule="auto"/>
        <w:rPr>
          <w:rFonts w:ascii="Times New Roman" w:hAnsi="Times New Roman"/>
          <w:iCs/>
          <w:u w:val="single"/>
          <w:lang w:eastAsia="sk-SK"/>
        </w:rPr>
      </w:pPr>
      <w:r w:rsidRPr="00C267BF">
        <w:rPr>
          <w:rFonts w:ascii="Times New Roman" w:hAnsi="Times New Roman"/>
          <w:iCs/>
          <w:u w:val="single"/>
          <w:lang w:eastAsia="sk-SK"/>
        </w:rPr>
        <w:t>Interakcie súvisiace s amlodipínom</w:t>
      </w:r>
    </w:p>
    <w:p w:rsidR="00CF4795" w:rsidRPr="00C267BF" w:rsidRDefault="00CF4795" w:rsidP="00FD2D5B">
      <w:pPr>
        <w:spacing w:after="0" w:line="240" w:lineRule="auto"/>
        <w:rPr>
          <w:rFonts w:ascii="Times New Roman" w:hAnsi="Times New Roman"/>
          <w:iCs/>
          <w:u w:val="single"/>
          <w:lang w:eastAsia="sk-SK"/>
        </w:rPr>
      </w:pPr>
    </w:p>
    <w:p w:rsidR="008D6E53" w:rsidRPr="00C267BF" w:rsidRDefault="00CF4795" w:rsidP="00FD2D5B">
      <w:pPr>
        <w:spacing w:after="0" w:line="240" w:lineRule="auto"/>
        <w:rPr>
          <w:rFonts w:ascii="Times New Roman" w:hAnsi="Times New Roman"/>
          <w:i/>
          <w:iCs/>
          <w:lang w:eastAsia="sk-SK"/>
        </w:rPr>
      </w:pPr>
      <w:r w:rsidRPr="00C267BF">
        <w:rPr>
          <w:rFonts w:ascii="Times New Roman" w:hAnsi="Times New Roman"/>
          <w:i/>
          <w:iCs/>
          <w:lang w:eastAsia="sk-SK"/>
        </w:rPr>
        <w:t>Účinky iných liekov na amlodipín</w:t>
      </w:r>
    </w:p>
    <w:p w:rsidR="00CF4795" w:rsidRPr="00C267BF" w:rsidRDefault="00CF4795" w:rsidP="00CF4795">
      <w:pPr>
        <w:spacing w:after="0" w:line="240" w:lineRule="auto"/>
        <w:rPr>
          <w:rFonts w:ascii="Times New Roman" w:hAnsi="Times New Roman"/>
          <w:iCs/>
          <w:lang w:eastAsia="sk-SK"/>
        </w:rPr>
      </w:pPr>
    </w:p>
    <w:p w:rsidR="00CF4795" w:rsidRPr="00C267BF" w:rsidRDefault="00CF4795" w:rsidP="00CF4795">
      <w:pPr>
        <w:spacing w:after="0" w:line="240" w:lineRule="auto"/>
        <w:rPr>
          <w:rFonts w:ascii="Times New Roman" w:hAnsi="Times New Roman"/>
          <w:i/>
          <w:iCs/>
          <w:u w:val="single"/>
          <w:lang w:eastAsia="sk-SK"/>
        </w:rPr>
      </w:pPr>
      <w:r w:rsidRPr="00C267BF">
        <w:rPr>
          <w:rFonts w:ascii="Times New Roman" w:hAnsi="Times New Roman"/>
          <w:i/>
          <w:iCs/>
          <w:u w:val="single"/>
          <w:lang w:eastAsia="sk-SK"/>
        </w:rPr>
        <w:t xml:space="preserve">CYP3A4 inhibítory </w:t>
      </w:r>
    </w:p>
    <w:p w:rsidR="008D6E53" w:rsidRPr="00C267BF" w:rsidRDefault="00CF4795" w:rsidP="00CF4795">
      <w:pPr>
        <w:spacing w:after="0" w:line="240" w:lineRule="auto"/>
        <w:rPr>
          <w:rFonts w:ascii="Times New Roman" w:hAnsi="Times New Roman"/>
          <w:iCs/>
          <w:lang w:eastAsia="sk-SK"/>
        </w:rPr>
      </w:pPr>
      <w:r w:rsidRPr="00C267BF">
        <w:rPr>
          <w:rFonts w:ascii="Times New Roman" w:hAnsi="Times New Roman"/>
          <w:iCs/>
          <w:lang w:eastAsia="sk-SK"/>
        </w:rPr>
        <w:t xml:space="preserve">Súbežné používanie amlodipínu so silnými alebo stredne silnými CYP3A4 inhibítormi (inhibítory proteáz, azolové antimykotiká, makrolidy, ako erytromycín alebo klaritromycín, verapamil alebo diltiazem) môže viesť k výraznému zvýšeniu expozície </w:t>
      </w:r>
      <w:proofErr w:type="spellStart"/>
      <w:r w:rsidRPr="00C267BF">
        <w:rPr>
          <w:rFonts w:ascii="Times New Roman" w:hAnsi="Times New Roman"/>
          <w:iCs/>
          <w:lang w:eastAsia="sk-SK"/>
        </w:rPr>
        <w:t>amlodipínu</w:t>
      </w:r>
      <w:proofErr w:type="spellEnd"/>
      <w:r w:rsidR="005B7962" w:rsidRPr="005B7962">
        <w:rPr>
          <w:rFonts w:ascii="Times New Roman" w:hAnsi="Times New Roman"/>
          <w:iCs/>
          <w:lang w:eastAsia="sk-SK"/>
        </w:rPr>
        <w:t>, vedúce k zvýšenému riziku hypotenzie</w:t>
      </w:r>
      <w:r w:rsidRPr="00C267BF">
        <w:rPr>
          <w:rFonts w:ascii="Times New Roman" w:hAnsi="Times New Roman"/>
          <w:iCs/>
          <w:lang w:eastAsia="sk-SK"/>
        </w:rPr>
        <w:t>. Klinický význam týchto farmakokinetických (FK) zmien môže byť výrazn</w:t>
      </w:r>
      <w:r w:rsidR="005B7962">
        <w:rPr>
          <w:rFonts w:ascii="Times New Roman" w:hAnsi="Times New Roman"/>
          <w:iCs/>
          <w:lang w:eastAsia="sk-SK"/>
        </w:rPr>
        <w:t>ejší</w:t>
      </w:r>
      <w:r w:rsidRPr="00C267BF">
        <w:rPr>
          <w:rFonts w:ascii="Times New Roman" w:hAnsi="Times New Roman"/>
          <w:iCs/>
          <w:lang w:eastAsia="sk-SK"/>
        </w:rPr>
        <w:t xml:space="preserve"> u starších </w:t>
      </w:r>
      <w:r w:rsidRPr="00C267BF">
        <w:rPr>
          <w:rFonts w:ascii="Times New Roman" w:hAnsi="Times New Roman"/>
          <w:iCs/>
          <w:lang w:eastAsia="sk-SK"/>
        </w:rPr>
        <w:lastRenderedPageBreak/>
        <w:t xml:space="preserve">pacientov. </w:t>
      </w:r>
      <w:r w:rsidR="005B7962" w:rsidRPr="005B7962">
        <w:rPr>
          <w:rFonts w:ascii="Times New Roman" w:hAnsi="Times New Roman"/>
          <w:iCs/>
          <w:lang w:eastAsia="sk-SK"/>
        </w:rPr>
        <w:t>Odporúča sa dôkladné klinické pozorovanie pacientov a</w:t>
      </w:r>
      <w:r w:rsidRPr="00C267BF">
        <w:rPr>
          <w:rFonts w:ascii="Times New Roman" w:hAnsi="Times New Roman"/>
          <w:iCs/>
          <w:lang w:eastAsia="sk-SK"/>
        </w:rPr>
        <w:t xml:space="preserve"> môže </w:t>
      </w:r>
      <w:r w:rsidR="005B7962">
        <w:rPr>
          <w:rFonts w:ascii="Times New Roman" w:hAnsi="Times New Roman"/>
          <w:iCs/>
          <w:lang w:eastAsia="sk-SK"/>
        </w:rPr>
        <w:t>byť potrebná aj</w:t>
      </w:r>
      <w:r w:rsidRPr="00C267BF">
        <w:rPr>
          <w:rFonts w:ascii="Times New Roman" w:hAnsi="Times New Roman"/>
          <w:iCs/>
          <w:lang w:eastAsia="sk-SK"/>
        </w:rPr>
        <w:t xml:space="preserve"> úprava dávky.</w:t>
      </w:r>
    </w:p>
    <w:p w:rsidR="00CF4795" w:rsidRPr="00C267BF" w:rsidRDefault="00CF4795" w:rsidP="00CF4795">
      <w:pPr>
        <w:spacing w:after="0" w:line="240" w:lineRule="auto"/>
        <w:rPr>
          <w:rFonts w:ascii="Times New Roman" w:hAnsi="Times New Roman"/>
          <w:iCs/>
          <w:lang w:eastAsia="sk-SK"/>
        </w:rPr>
      </w:pPr>
    </w:p>
    <w:p w:rsidR="00CF4795" w:rsidRPr="00F01F11" w:rsidRDefault="00CF4795" w:rsidP="00CF4795">
      <w:pPr>
        <w:spacing w:after="0" w:line="240" w:lineRule="auto"/>
        <w:rPr>
          <w:rFonts w:ascii="Times New Roman" w:hAnsi="Times New Roman"/>
          <w:i/>
          <w:iCs/>
          <w:u w:val="single"/>
          <w:lang w:eastAsia="sk-SK"/>
        </w:rPr>
      </w:pPr>
      <w:r w:rsidRPr="00F01F11">
        <w:rPr>
          <w:rFonts w:ascii="Times New Roman" w:hAnsi="Times New Roman"/>
          <w:i/>
          <w:iCs/>
          <w:u w:val="single"/>
          <w:lang w:eastAsia="sk-SK"/>
        </w:rPr>
        <w:t>CYP3A4 induktory</w:t>
      </w:r>
    </w:p>
    <w:p w:rsidR="00C45BAB" w:rsidRPr="00F01F11" w:rsidRDefault="00C45BAB" w:rsidP="00C45BAB">
      <w:pPr>
        <w:spacing w:after="0" w:line="240" w:lineRule="auto"/>
        <w:rPr>
          <w:rFonts w:ascii="Times New Roman" w:eastAsia="Times New Roman" w:hAnsi="Times New Roman"/>
          <w:lang w:eastAsia="cs-CZ"/>
        </w:rPr>
      </w:pPr>
      <w:r w:rsidRPr="009B2AFB">
        <w:rPr>
          <w:rFonts w:ascii="Times New Roman" w:eastAsia="Times New Roman" w:hAnsi="Times New Roman"/>
          <w:lang w:eastAsia="cs-CZ"/>
        </w:rPr>
        <w:t>Pri súbežnom podávaní známych induktorov CYP3A4 sa môže meniť plazmatická koncentrácia</w:t>
      </w:r>
      <w:r w:rsidR="00A747E9" w:rsidRPr="009B2AFB">
        <w:rPr>
          <w:rFonts w:ascii="Times New Roman" w:eastAsia="Times New Roman" w:hAnsi="Times New Roman"/>
          <w:lang w:eastAsia="cs-CZ"/>
        </w:rPr>
        <w:t xml:space="preserve"> </w:t>
      </w:r>
      <w:proofErr w:type="spellStart"/>
      <w:r w:rsidRPr="009B2AFB">
        <w:rPr>
          <w:rFonts w:ascii="Times New Roman" w:eastAsia="Times New Roman" w:hAnsi="Times New Roman"/>
          <w:lang w:eastAsia="cs-CZ"/>
        </w:rPr>
        <w:t>amlodipínu</w:t>
      </w:r>
      <w:proofErr w:type="spellEnd"/>
      <w:r w:rsidRPr="009B2AFB">
        <w:rPr>
          <w:rFonts w:ascii="Times New Roman" w:eastAsia="Times New Roman" w:hAnsi="Times New Roman"/>
          <w:lang w:eastAsia="cs-CZ"/>
        </w:rPr>
        <w:t>. Preto sa má v prípade súbežného podávania najmä so silnými induktormi CYP3A4</w:t>
      </w:r>
      <w:r w:rsidR="00A747E9" w:rsidRPr="009B2AFB">
        <w:rPr>
          <w:rFonts w:ascii="Times New Roman" w:eastAsia="Times New Roman" w:hAnsi="Times New Roman"/>
          <w:lang w:eastAsia="cs-CZ"/>
        </w:rPr>
        <w:t xml:space="preserve"> </w:t>
      </w:r>
      <w:r w:rsidRPr="009B2AFB">
        <w:rPr>
          <w:rFonts w:ascii="Times New Roman" w:eastAsia="Times New Roman" w:hAnsi="Times New Roman"/>
          <w:lang w:eastAsia="cs-CZ"/>
        </w:rPr>
        <w:t xml:space="preserve">(napr. </w:t>
      </w:r>
      <w:proofErr w:type="spellStart"/>
      <w:r w:rsidRPr="009B2AFB">
        <w:rPr>
          <w:rFonts w:ascii="Times New Roman" w:eastAsia="Times New Roman" w:hAnsi="Times New Roman"/>
          <w:lang w:eastAsia="cs-CZ"/>
        </w:rPr>
        <w:t>rifampicínom</w:t>
      </w:r>
      <w:proofErr w:type="spellEnd"/>
      <w:r w:rsidRPr="009B2AFB">
        <w:rPr>
          <w:rFonts w:ascii="Times New Roman" w:eastAsia="Times New Roman" w:hAnsi="Times New Roman"/>
          <w:lang w:eastAsia="cs-CZ"/>
        </w:rPr>
        <w:t xml:space="preserve">, </w:t>
      </w:r>
      <w:proofErr w:type="spellStart"/>
      <w:r w:rsidR="00A747E9" w:rsidRPr="009B2AFB">
        <w:rPr>
          <w:rFonts w:ascii="Times New Roman" w:eastAsia="Times New Roman" w:hAnsi="Times New Roman"/>
          <w:i/>
          <w:lang w:eastAsia="cs-CZ"/>
        </w:rPr>
        <w:t>H</w:t>
      </w:r>
      <w:r w:rsidRPr="009B2AFB">
        <w:rPr>
          <w:rFonts w:ascii="Times New Roman" w:eastAsia="Times New Roman" w:hAnsi="Times New Roman"/>
          <w:i/>
          <w:lang w:eastAsia="cs-CZ"/>
        </w:rPr>
        <w:t>ypericum</w:t>
      </w:r>
      <w:proofErr w:type="spellEnd"/>
      <w:r w:rsidRPr="009B2AFB">
        <w:rPr>
          <w:rFonts w:ascii="Times New Roman" w:eastAsia="Times New Roman" w:hAnsi="Times New Roman"/>
          <w:i/>
          <w:lang w:eastAsia="cs-CZ"/>
        </w:rPr>
        <w:t xml:space="preserve"> </w:t>
      </w:r>
      <w:proofErr w:type="spellStart"/>
      <w:r w:rsidRPr="009B2AFB">
        <w:rPr>
          <w:rFonts w:ascii="Times New Roman" w:eastAsia="Times New Roman" w:hAnsi="Times New Roman"/>
          <w:i/>
          <w:lang w:eastAsia="cs-CZ"/>
        </w:rPr>
        <w:t>perforatum</w:t>
      </w:r>
      <w:proofErr w:type="spellEnd"/>
      <w:r w:rsidRPr="009B2AFB">
        <w:rPr>
          <w:rFonts w:ascii="Times New Roman" w:eastAsia="Times New Roman" w:hAnsi="Times New Roman"/>
          <w:lang w:eastAsia="cs-CZ"/>
        </w:rPr>
        <w:t xml:space="preserve"> – </w:t>
      </w:r>
      <w:r w:rsidR="00A747E9" w:rsidRPr="009B2AFB">
        <w:rPr>
          <w:rFonts w:ascii="Times New Roman" w:eastAsia="Times New Roman" w:hAnsi="Times New Roman"/>
          <w:lang w:eastAsia="cs-CZ"/>
        </w:rPr>
        <w:t>ľ</w:t>
      </w:r>
      <w:r w:rsidRPr="009B2AFB">
        <w:rPr>
          <w:rFonts w:ascii="Times New Roman" w:eastAsia="Times New Roman" w:hAnsi="Times New Roman"/>
          <w:lang w:eastAsia="cs-CZ"/>
        </w:rPr>
        <w:t>ubovníkom bodkovaným) monitorovať krvný</w:t>
      </w:r>
      <w:r w:rsidR="00A747E9" w:rsidRPr="009B2AFB">
        <w:rPr>
          <w:rFonts w:ascii="Times New Roman" w:eastAsia="Times New Roman" w:hAnsi="Times New Roman"/>
          <w:lang w:eastAsia="cs-CZ"/>
        </w:rPr>
        <w:t xml:space="preserve"> </w:t>
      </w:r>
      <w:r w:rsidRPr="009B2AFB">
        <w:rPr>
          <w:rFonts w:ascii="Times New Roman" w:eastAsia="Times New Roman" w:hAnsi="Times New Roman"/>
          <w:lang w:eastAsia="cs-CZ"/>
        </w:rPr>
        <w:t>tlak a zvážiť regulácia dávkovania počas takejto súbežnej liečby aj po nej.</w:t>
      </w:r>
    </w:p>
    <w:p w:rsidR="00CF4795" w:rsidRPr="00C267BF" w:rsidRDefault="00CF4795" w:rsidP="00FD2D5B">
      <w:pPr>
        <w:spacing w:after="0" w:line="240" w:lineRule="auto"/>
        <w:rPr>
          <w:rFonts w:ascii="Times New Roman" w:hAnsi="Times New Roman"/>
          <w:iCs/>
          <w:lang w:eastAsia="sk-SK"/>
        </w:rPr>
      </w:pPr>
    </w:p>
    <w:p w:rsidR="00CF4795" w:rsidRPr="00C267BF" w:rsidRDefault="00CF4795" w:rsidP="00CF4795">
      <w:pPr>
        <w:spacing w:after="0" w:line="240" w:lineRule="auto"/>
        <w:rPr>
          <w:rFonts w:ascii="Times New Roman" w:hAnsi="Times New Roman"/>
          <w:i/>
          <w:iCs/>
          <w:u w:val="single"/>
          <w:lang w:eastAsia="sk-SK"/>
        </w:rPr>
      </w:pPr>
      <w:r w:rsidRPr="00C267BF">
        <w:rPr>
          <w:rFonts w:ascii="Times New Roman" w:hAnsi="Times New Roman"/>
          <w:i/>
          <w:iCs/>
          <w:u w:val="single"/>
          <w:lang w:eastAsia="sk-SK"/>
        </w:rPr>
        <w:t>Grapefruit a grapefruitová šťava</w:t>
      </w:r>
    </w:p>
    <w:p w:rsidR="00CF4795" w:rsidRPr="00C267BF" w:rsidRDefault="00CF4795" w:rsidP="00CF4795">
      <w:pPr>
        <w:spacing w:after="0" w:line="240" w:lineRule="auto"/>
        <w:rPr>
          <w:rFonts w:ascii="Times New Roman" w:hAnsi="Times New Roman"/>
          <w:iCs/>
          <w:lang w:eastAsia="sk-SK"/>
        </w:rPr>
      </w:pPr>
      <w:r w:rsidRPr="00C267BF">
        <w:rPr>
          <w:rFonts w:ascii="Times New Roman" w:hAnsi="Times New Roman"/>
          <w:iCs/>
          <w:lang w:eastAsia="sk-SK"/>
        </w:rPr>
        <w:t xml:space="preserve">Podávanie </w:t>
      </w:r>
      <w:r w:rsidR="00314AB2" w:rsidRPr="00C267BF">
        <w:rPr>
          <w:rFonts w:ascii="Times New Roman" w:hAnsi="Times New Roman"/>
          <w:iCs/>
          <w:lang w:eastAsia="sk-SK"/>
        </w:rPr>
        <w:t>amlodipínu</w:t>
      </w:r>
      <w:r w:rsidRPr="00C267BF">
        <w:rPr>
          <w:rFonts w:ascii="Times New Roman" w:hAnsi="Times New Roman"/>
          <w:iCs/>
          <w:lang w:eastAsia="sk-SK"/>
        </w:rPr>
        <w:t xml:space="preserve"> s grapefruitom alebo grapefruitovým džúsom sa neodporúča, pretože u niektorých pacientov môže dôjsť k zvýšeniu biologickej dostupnosti amlodipínu s následným zvýšením jeho účinkov na zníženie krvného tlaku.</w:t>
      </w:r>
    </w:p>
    <w:p w:rsidR="00314AB2" w:rsidRPr="00C267BF" w:rsidRDefault="00314AB2" w:rsidP="00314AB2">
      <w:pPr>
        <w:spacing w:after="0" w:line="240" w:lineRule="auto"/>
        <w:rPr>
          <w:rFonts w:ascii="Times New Roman" w:hAnsi="Times New Roman"/>
          <w:iCs/>
          <w:lang w:eastAsia="sk-SK"/>
        </w:rPr>
      </w:pPr>
    </w:p>
    <w:p w:rsidR="00314AB2" w:rsidRPr="00C267BF" w:rsidRDefault="00314AB2" w:rsidP="00314AB2">
      <w:pPr>
        <w:spacing w:after="0" w:line="240" w:lineRule="auto"/>
        <w:rPr>
          <w:rFonts w:ascii="Times New Roman" w:hAnsi="Times New Roman"/>
          <w:i/>
          <w:iCs/>
          <w:u w:val="single"/>
          <w:lang w:eastAsia="sk-SK"/>
        </w:rPr>
      </w:pPr>
      <w:r w:rsidRPr="00C267BF">
        <w:rPr>
          <w:rFonts w:ascii="Times New Roman" w:hAnsi="Times New Roman"/>
          <w:i/>
          <w:iCs/>
          <w:u w:val="single"/>
          <w:lang w:eastAsia="sk-SK"/>
        </w:rPr>
        <w:t>Dantrolén (infúzia)</w:t>
      </w:r>
    </w:p>
    <w:p w:rsidR="00CF4795" w:rsidRPr="00C267BF" w:rsidRDefault="00314AB2" w:rsidP="00314AB2">
      <w:pPr>
        <w:spacing w:after="0" w:line="240" w:lineRule="auto"/>
        <w:rPr>
          <w:rFonts w:ascii="Times New Roman" w:hAnsi="Times New Roman"/>
          <w:iCs/>
          <w:lang w:eastAsia="sk-SK"/>
        </w:rPr>
      </w:pPr>
      <w:r w:rsidRPr="00C267BF">
        <w:rPr>
          <w:rFonts w:ascii="Times New Roman" w:hAnsi="Times New Roman"/>
          <w:iCs/>
          <w:lang w:eastAsia="sk-SK"/>
        </w:rPr>
        <w:t xml:space="preserve">U zvierat sa po podaní verapamilu a intravenózneho dantrolénu pozoruje letálna fibrilácia komôr a srdcový kolaps v spojení s hyperkaliémiou. Vzhľadom na riziko hyperkaliémie sa odporúča, aby sa pacienti náchylní na malígnu </w:t>
      </w:r>
      <w:proofErr w:type="spellStart"/>
      <w:r w:rsidRPr="00C267BF">
        <w:rPr>
          <w:rFonts w:ascii="Times New Roman" w:hAnsi="Times New Roman"/>
          <w:iCs/>
          <w:lang w:eastAsia="sk-SK"/>
        </w:rPr>
        <w:t>hypertermiu</w:t>
      </w:r>
      <w:proofErr w:type="spellEnd"/>
      <w:r w:rsidRPr="00C267BF">
        <w:rPr>
          <w:rFonts w:ascii="Times New Roman" w:hAnsi="Times New Roman"/>
          <w:iCs/>
          <w:lang w:eastAsia="sk-SK"/>
        </w:rPr>
        <w:t xml:space="preserve"> a pri regulovaní malígnej </w:t>
      </w:r>
      <w:proofErr w:type="spellStart"/>
      <w:r w:rsidRPr="00C267BF">
        <w:rPr>
          <w:rFonts w:ascii="Times New Roman" w:hAnsi="Times New Roman"/>
          <w:iCs/>
          <w:lang w:eastAsia="sk-SK"/>
        </w:rPr>
        <w:t>hypertermie</w:t>
      </w:r>
      <w:proofErr w:type="spellEnd"/>
      <w:r w:rsidRPr="00C267BF">
        <w:rPr>
          <w:rFonts w:ascii="Times New Roman" w:hAnsi="Times New Roman"/>
          <w:iCs/>
          <w:lang w:eastAsia="sk-SK"/>
        </w:rPr>
        <w:t xml:space="preserve"> vyhýbali sú</w:t>
      </w:r>
      <w:r w:rsidR="007866C9">
        <w:rPr>
          <w:rFonts w:ascii="Times New Roman" w:hAnsi="Times New Roman"/>
          <w:iCs/>
          <w:lang w:eastAsia="sk-SK"/>
        </w:rPr>
        <w:t>bež</w:t>
      </w:r>
      <w:r w:rsidRPr="00C267BF">
        <w:rPr>
          <w:rFonts w:ascii="Times New Roman" w:hAnsi="Times New Roman"/>
          <w:iCs/>
          <w:lang w:eastAsia="sk-SK"/>
        </w:rPr>
        <w:t xml:space="preserve">nému podávaniu </w:t>
      </w:r>
      <w:proofErr w:type="spellStart"/>
      <w:r w:rsidRPr="00C267BF">
        <w:rPr>
          <w:rFonts w:ascii="Times New Roman" w:hAnsi="Times New Roman"/>
          <w:iCs/>
          <w:lang w:eastAsia="sk-SK"/>
        </w:rPr>
        <w:t>blokátorov</w:t>
      </w:r>
      <w:proofErr w:type="spellEnd"/>
      <w:r w:rsidRPr="00C267BF">
        <w:rPr>
          <w:rFonts w:ascii="Times New Roman" w:hAnsi="Times New Roman"/>
          <w:iCs/>
          <w:lang w:eastAsia="sk-SK"/>
        </w:rPr>
        <w:t xml:space="preserve"> kalciových kanálov, ako je amlodipín.</w:t>
      </w:r>
    </w:p>
    <w:p w:rsidR="00CF4795" w:rsidRPr="00C267BF" w:rsidRDefault="00CF4795" w:rsidP="00CF4795">
      <w:pPr>
        <w:spacing w:after="0" w:line="240" w:lineRule="auto"/>
        <w:rPr>
          <w:rFonts w:ascii="Times New Roman" w:hAnsi="Times New Roman"/>
          <w:iCs/>
          <w:lang w:eastAsia="sk-SK"/>
        </w:rPr>
      </w:pPr>
    </w:p>
    <w:p w:rsidR="00314AB2" w:rsidRPr="00C267BF" w:rsidRDefault="00314AB2" w:rsidP="00FD2D5B">
      <w:pPr>
        <w:spacing w:after="0" w:line="240" w:lineRule="auto"/>
        <w:ind w:left="567" w:hanging="567"/>
        <w:rPr>
          <w:rFonts w:ascii="Times New Roman" w:hAnsi="Times New Roman"/>
          <w:bCs/>
          <w:i/>
          <w:iCs/>
          <w:lang w:eastAsia="sk-SK"/>
        </w:rPr>
      </w:pPr>
      <w:r w:rsidRPr="00C267BF">
        <w:rPr>
          <w:rFonts w:ascii="Times New Roman" w:hAnsi="Times New Roman"/>
          <w:bCs/>
          <w:i/>
          <w:iCs/>
          <w:lang w:eastAsia="sk-SK"/>
        </w:rPr>
        <w:t>Účinky amlodipínu na iné lieky</w:t>
      </w:r>
    </w:p>
    <w:p w:rsidR="00314AB2" w:rsidRPr="00C267BF" w:rsidRDefault="00314AB2" w:rsidP="00FD2D5B">
      <w:pPr>
        <w:spacing w:after="0" w:line="240" w:lineRule="auto"/>
        <w:ind w:left="567" w:hanging="567"/>
        <w:rPr>
          <w:rFonts w:ascii="Times New Roman" w:hAnsi="Times New Roman"/>
          <w:bCs/>
          <w:i/>
          <w:iCs/>
          <w:highlight w:val="yellow"/>
          <w:lang w:eastAsia="sk-SK"/>
        </w:rPr>
      </w:pPr>
    </w:p>
    <w:p w:rsidR="00314AB2" w:rsidRPr="00C267BF" w:rsidRDefault="00314AB2" w:rsidP="00314AB2">
      <w:pPr>
        <w:keepNext/>
        <w:tabs>
          <w:tab w:val="left" w:pos="567"/>
        </w:tabs>
        <w:spacing w:after="0" w:line="240" w:lineRule="auto"/>
        <w:rPr>
          <w:rFonts w:ascii="Times New Roman" w:eastAsia="Times New Roman" w:hAnsi="Times New Roman"/>
          <w:bCs/>
        </w:rPr>
      </w:pPr>
      <w:r w:rsidRPr="00C267BF">
        <w:rPr>
          <w:rFonts w:ascii="Times New Roman" w:eastAsia="Times New Roman" w:hAnsi="Times New Roman"/>
        </w:rPr>
        <w:t>Účinky amlodipínu na zníženie tlaku krvi sa sčítavajú s účinkami iných antihypertenzív znižujúcich tlak krvi.</w:t>
      </w:r>
    </w:p>
    <w:p w:rsidR="00C91FBD" w:rsidRPr="00C267BF" w:rsidRDefault="00C91FBD" w:rsidP="00C91FBD">
      <w:pPr>
        <w:tabs>
          <w:tab w:val="left" w:pos="567"/>
        </w:tabs>
        <w:spacing w:after="0" w:line="240" w:lineRule="auto"/>
        <w:outlineLvl w:val="0"/>
        <w:rPr>
          <w:rFonts w:ascii="Times New Roman" w:eastAsia="Times New Roman" w:hAnsi="Times New Roman"/>
          <w:i/>
          <w:u w:val="single"/>
        </w:rPr>
      </w:pPr>
    </w:p>
    <w:p w:rsidR="00C91FBD" w:rsidRPr="00C267BF" w:rsidRDefault="00C91FBD" w:rsidP="00C91FBD">
      <w:pPr>
        <w:tabs>
          <w:tab w:val="left" w:pos="567"/>
        </w:tabs>
        <w:spacing w:after="0" w:line="240" w:lineRule="auto"/>
        <w:outlineLvl w:val="0"/>
        <w:rPr>
          <w:rFonts w:ascii="Times New Roman" w:eastAsia="Times New Roman" w:hAnsi="Times New Roman"/>
          <w:i/>
          <w:u w:val="single"/>
        </w:rPr>
      </w:pPr>
      <w:r w:rsidRPr="00C267BF">
        <w:rPr>
          <w:rFonts w:ascii="Times New Roman" w:eastAsia="Times New Roman" w:hAnsi="Times New Roman"/>
          <w:i/>
          <w:u w:val="single"/>
        </w:rPr>
        <w:t>Takrolimus</w:t>
      </w:r>
    </w:p>
    <w:p w:rsidR="00314AB2" w:rsidRPr="00C267BF" w:rsidRDefault="00C91FBD" w:rsidP="00C91FBD">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 xml:space="preserve">Existuje riziko zvýšenej hladiny </w:t>
      </w:r>
      <w:proofErr w:type="spellStart"/>
      <w:r w:rsidRPr="00C267BF">
        <w:rPr>
          <w:rFonts w:ascii="Times New Roman" w:eastAsia="Times New Roman" w:hAnsi="Times New Roman"/>
        </w:rPr>
        <w:t>takrolimu</w:t>
      </w:r>
      <w:proofErr w:type="spellEnd"/>
      <w:r w:rsidRPr="00C267BF">
        <w:rPr>
          <w:rFonts w:ascii="Times New Roman" w:eastAsia="Times New Roman" w:hAnsi="Times New Roman"/>
        </w:rPr>
        <w:t xml:space="preserve"> v</w:t>
      </w:r>
      <w:r w:rsidR="00A57258" w:rsidRPr="00C267BF">
        <w:rPr>
          <w:rFonts w:ascii="Times New Roman" w:eastAsia="Times New Roman" w:hAnsi="Times New Roman"/>
        </w:rPr>
        <w:t> </w:t>
      </w:r>
      <w:r w:rsidRPr="00C267BF">
        <w:rPr>
          <w:rFonts w:ascii="Times New Roman" w:eastAsia="Times New Roman" w:hAnsi="Times New Roman"/>
        </w:rPr>
        <w:t>krvi</w:t>
      </w:r>
      <w:r w:rsidR="00A57258" w:rsidRPr="00C267BF">
        <w:rPr>
          <w:rFonts w:ascii="Times New Roman" w:eastAsia="Times New Roman" w:hAnsi="Times New Roman"/>
        </w:rPr>
        <w:t>,</w:t>
      </w:r>
      <w:r w:rsidRPr="00C267BF">
        <w:rPr>
          <w:rFonts w:ascii="Times New Roman" w:eastAsia="Times New Roman" w:hAnsi="Times New Roman"/>
        </w:rPr>
        <w:t xml:space="preserve"> keď sa</w:t>
      </w:r>
      <w:r w:rsidR="000C72E5">
        <w:rPr>
          <w:rFonts w:ascii="Times New Roman" w:eastAsia="Times New Roman" w:hAnsi="Times New Roman"/>
        </w:rPr>
        <w:t xml:space="preserve"> súbežne</w:t>
      </w:r>
      <w:r w:rsidRPr="00C267BF">
        <w:rPr>
          <w:rFonts w:ascii="Times New Roman" w:eastAsia="Times New Roman" w:hAnsi="Times New Roman"/>
        </w:rPr>
        <w:t xml:space="preserve"> podáva s</w:t>
      </w:r>
      <w:r w:rsidR="005B7962">
        <w:rPr>
          <w:rFonts w:ascii="Times New Roman" w:eastAsia="Times New Roman" w:hAnsi="Times New Roman"/>
        </w:rPr>
        <w:t> </w:t>
      </w:r>
      <w:proofErr w:type="spellStart"/>
      <w:r w:rsidRPr="00C267BF">
        <w:rPr>
          <w:rFonts w:ascii="Times New Roman" w:eastAsia="Times New Roman" w:hAnsi="Times New Roman"/>
        </w:rPr>
        <w:t>amlodipínom</w:t>
      </w:r>
      <w:proofErr w:type="spellEnd"/>
      <w:r w:rsidR="005B7962">
        <w:rPr>
          <w:rFonts w:ascii="Times New Roman" w:eastAsia="Times New Roman" w:hAnsi="Times New Roman"/>
        </w:rPr>
        <w:t>.</w:t>
      </w:r>
      <w:r w:rsidRPr="00C267BF">
        <w:rPr>
          <w:rFonts w:ascii="Times New Roman" w:eastAsia="Times New Roman" w:hAnsi="Times New Roman"/>
        </w:rPr>
        <w:t xml:space="preserve"> Aby sa zabránilo toxicite takrolimu, podávanie amlodipínu pacientovi liečeného takrolimom vyžaduje monitorovanie hladín takrolimu v krvi a</w:t>
      </w:r>
      <w:r w:rsidRPr="00C267BF">
        <w:t xml:space="preserve"> </w:t>
      </w:r>
      <w:r w:rsidRPr="00C267BF">
        <w:rPr>
          <w:rFonts w:ascii="Times New Roman" w:eastAsia="Times New Roman" w:hAnsi="Times New Roman"/>
        </w:rPr>
        <w:t>v prípade potreby úprav</w:t>
      </w:r>
      <w:r w:rsidR="00A57258" w:rsidRPr="00C267BF">
        <w:rPr>
          <w:rFonts w:ascii="Times New Roman" w:eastAsia="Times New Roman" w:hAnsi="Times New Roman"/>
        </w:rPr>
        <w:t>u</w:t>
      </w:r>
      <w:r w:rsidRPr="00C267BF">
        <w:rPr>
          <w:rFonts w:ascii="Times New Roman" w:eastAsia="Times New Roman" w:hAnsi="Times New Roman"/>
        </w:rPr>
        <w:t xml:space="preserve"> dávky </w:t>
      </w:r>
      <w:proofErr w:type="spellStart"/>
      <w:r w:rsidRPr="00C267BF">
        <w:rPr>
          <w:rFonts w:ascii="Times New Roman" w:eastAsia="Times New Roman" w:hAnsi="Times New Roman"/>
        </w:rPr>
        <w:t>takrolimu</w:t>
      </w:r>
      <w:proofErr w:type="spellEnd"/>
      <w:r w:rsidRPr="00C267BF">
        <w:rPr>
          <w:rFonts w:ascii="Times New Roman" w:eastAsia="Times New Roman" w:hAnsi="Times New Roman"/>
        </w:rPr>
        <w:t>.</w:t>
      </w:r>
    </w:p>
    <w:p w:rsidR="00FA6052" w:rsidRPr="009B2AFB" w:rsidRDefault="00FA6052" w:rsidP="00FA6052">
      <w:pPr>
        <w:spacing w:after="0" w:line="240" w:lineRule="auto"/>
        <w:rPr>
          <w:rFonts w:ascii="Times New Roman" w:eastAsia="Times New Roman" w:hAnsi="Times New Roman"/>
          <w:i/>
          <w:sz w:val="24"/>
          <w:szCs w:val="24"/>
          <w:u w:val="single"/>
          <w:lang w:eastAsia="cs-CZ"/>
        </w:rPr>
      </w:pPr>
    </w:p>
    <w:p w:rsidR="00FA6052" w:rsidRPr="009B2AFB" w:rsidRDefault="00FA6052" w:rsidP="00FA6052">
      <w:pPr>
        <w:spacing w:after="0" w:line="240" w:lineRule="auto"/>
        <w:rPr>
          <w:rFonts w:ascii="Times New Roman" w:eastAsia="Times New Roman" w:hAnsi="Times New Roman"/>
          <w:i/>
          <w:u w:val="single"/>
          <w:lang w:eastAsia="cs-CZ"/>
        </w:rPr>
      </w:pPr>
      <w:r w:rsidRPr="009B2AFB">
        <w:rPr>
          <w:rFonts w:ascii="Times New Roman" w:eastAsia="Times New Roman" w:hAnsi="Times New Roman"/>
          <w:i/>
          <w:u w:val="single"/>
          <w:lang w:eastAsia="cs-CZ"/>
        </w:rPr>
        <w:t xml:space="preserve">Inhibítory </w:t>
      </w:r>
      <w:proofErr w:type="spellStart"/>
      <w:r w:rsidRPr="009B2AFB">
        <w:rPr>
          <w:rFonts w:ascii="Times New Roman" w:eastAsia="Times New Roman" w:hAnsi="Times New Roman"/>
          <w:i/>
          <w:u w:val="single"/>
          <w:lang w:eastAsia="cs-CZ"/>
        </w:rPr>
        <w:t>mTOR</w:t>
      </w:r>
      <w:proofErr w:type="spellEnd"/>
      <w:r w:rsidR="00A247BD" w:rsidRPr="009B2AFB">
        <w:rPr>
          <w:rFonts w:ascii="Times New Roman" w:eastAsia="Times New Roman" w:hAnsi="Times New Roman"/>
          <w:i/>
          <w:u w:val="single"/>
          <w:lang w:eastAsia="cs-CZ"/>
        </w:rPr>
        <w:t xml:space="preserve"> (</w:t>
      </w:r>
      <w:proofErr w:type="spellStart"/>
      <w:r w:rsidR="00A247BD" w:rsidRPr="009B2AFB">
        <w:rPr>
          <w:rFonts w:ascii="Times New Roman" w:eastAsia="MS Mincho" w:hAnsi="Times New Roman"/>
          <w:i/>
          <w:u w:val="single"/>
          <w:lang w:eastAsia="fr-FR" w:bidi="bo-CN"/>
        </w:rPr>
        <w:t>Mechanistic</w:t>
      </w:r>
      <w:proofErr w:type="spellEnd"/>
      <w:r w:rsidR="00A247BD" w:rsidRPr="009B2AFB">
        <w:rPr>
          <w:rFonts w:ascii="Times New Roman" w:eastAsia="MS Mincho" w:hAnsi="Times New Roman"/>
          <w:i/>
          <w:u w:val="single"/>
          <w:lang w:eastAsia="fr-FR" w:bidi="bo-CN"/>
        </w:rPr>
        <w:t xml:space="preserve"> </w:t>
      </w:r>
      <w:proofErr w:type="spellStart"/>
      <w:r w:rsidR="00A247BD" w:rsidRPr="009B2AFB">
        <w:rPr>
          <w:rFonts w:ascii="Times New Roman" w:eastAsia="MS Mincho" w:hAnsi="Times New Roman"/>
          <w:i/>
          <w:u w:val="single"/>
          <w:lang w:eastAsia="fr-FR" w:bidi="bo-CN"/>
        </w:rPr>
        <w:t>Target</w:t>
      </w:r>
      <w:proofErr w:type="spellEnd"/>
      <w:r w:rsidR="00A247BD" w:rsidRPr="009B2AFB">
        <w:rPr>
          <w:rFonts w:ascii="Times New Roman" w:eastAsia="MS Mincho" w:hAnsi="Times New Roman"/>
          <w:i/>
          <w:u w:val="single"/>
          <w:lang w:eastAsia="fr-FR" w:bidi="bo-CN"/>
        </w:rPr>
        <w:t xml:space="preserve"> </w:t>
      </w:r>
      <w:proofErr w:type="spellStart"/>
      <w:r w:rsidR="00A247BD" w:rsidRPr="009B2AFB">
        <w:rPr>
          <w:rFonts w:ascii="Times New Roman" w:eastAsia="MS Mincho" w:hAnsi="Times New Roman"/>
          <w:i/>
          <w:u w:val="single"/>
          <w:lang w:eastAsia="fr-FR" w:bidi="bo-CN"/>
        </w:rPr>
        <w:t>of</w:t>
      </w:r>
      <w:proofErr w:type="spellEnd"/>
      <w:r w:rsidR="00A247BD" w:rsidRPr="009B2AFB">
        <w:rPr>
          <w:rFonts w:ascii="Times New Roman" w:eastAsia="MS Mincho" w:hAnsi="Times New Roman"/>
          <w:i/>
          <w:u w:val="single"/>
          <w:lang w:eastAsia="fr-FR" w:bidi="bo-CN"/>
        </w:rPr>
        <w:t xml:space="preserve"> </w:t>
      </w:r>
      <w:proofErr w:type="spellStart"/>
      <w:r w:rsidR="00A247BD" w:rsidRPr="009B2AFB">
        <w:rPr>
          <w:rFonts w:ascii="Times New Roman" w:eastAsia="MS Mincho" w:hAnsi="Times New Roman"/>
          <w:i/>
          <w:u w:val="single"/>
          <w:lang w:eastAsia="fr-FR" w:bidi="bo-CN"/>
        </w:rPr>
        <w:t>Rapamycin</w:t>
      </w:r>
      <w:proofErr w:type="spellEnd"/>
      <w:r w:rsidRPr="009B2AFB">
        <w:rPr>
          <w:rFonts w:ascii="Times New Roman" w:eastAsia="Times New Roman" w:hAnsi="Times New Roman"/>
          <w:i/>
          <w:u w:val="single"/>
          <w:lang w:eastAsia="cs-CZ"/>
        </w:rPr>
        <w:t>)</w:t>
      </w:r>
    </w:p>
    <w:p w:rsidR="00FA6052" w:rsidRPr="009B2AFB" w:rsidRDefault="00FA6052" w:rsidP="00FA6052">
      <w:pPr>
        <w:spacing w:after="0" w:line="240" w:lineRule="auto"/>
        <w:rPr>
          <w:rFonts w:ascii="Times New Roman" w:eastAsia="Times New Roman" w:hAnsi="Times New Roman"/>
          <w:lang w:eastAsia="cs-CZ"/>
        </w:rPr>
      </w:pPr>
      <w:r w:rsidRPr="009B2AFB">
        <w:rPr>
          <w:rFonts w:ascii="Times New Roman" w:eastAsia="Times New Roman" w:hAnsi="Times New Roman"/>
          <w:lang w:eastAsia="cs-CZ"/>
        </w:rPr>
        <w:t xml:space="preserve">Inhibítory </w:t>
      </w:r>
      <w:proofErr w:type="spellStart"/>
      <w:r w:rsidRPr="009B2AFB">
        <w:rPr>
          <w:rFonts w:ascii="Times New Roman" w:eastAsia="Times New Roman" w:hAnsi="Times New Roman"/>
          <w:lang w:eastAsia="cs-CZ"/>
        </w:rPr>
        <w:t>mTOR</w:t>
      </w:r>
      <w:proofErr w:type="spellEnd"/>
      <w:r w:rsidRPr="009B2AFB">
        <w:rPr>
          <w:rFonts w:ascii="Times New Roman" w:eastAsia="Times New Roman" w:hAnsi="Times New Roman"/>
          <w:lang w:eastAsia="cs-CZ"/>
        </w:rPr>
        <w:t xml:space="preserve"> ako </w:t>
      </w:r>
      <w:proofErr w:type="spellStart"/>
      <w:r w:rsidRPr="009B2AFB">
        <w:rPr>
          <w:rFonts w:ascii="Times New Roman" w:eastAsia="Times New Roman" w:hAnsi="Times New Roman"/>
          <w:lang w:eastAsia="cs-CZ"/>
        </w:rPr>
        <w:t>sirolimus</w:t>
      </w:r>
      <w:proofErr w:type="spellEnd"/>
      <w:r w:rsidRPr="009B2AFB">
        <w:rPr>
          <w:rFonts w:ascii="Times New Roman" w:eastAsia="Times New Roman" w:hAnsi="Times New Roman"/>
          <w:lang w:eastAsia="cs-CZ"/>
        </w:rPr>
        <w:t xml:space="preserve">, </w:t>
      </w:r>
      <w:proofErr w:type="spellStart"/>
      <w:r w:rsidRPr="009B2AFB">
        <w:rPr>
          <w:rFonts w:ascii="Times New Roman" w:eastAsia="Times New Roman" w:hAnsi="Times New Roman"/>
          <w:lang w:eastAsia="cs-CZ"/>
        </w:rPr>
        <w:t>temsirolimus</w:t>
      </w:r>
      <w:proofErr w:type="spellEnd"/>
      <w:r w:rsidRPr="009B2AFB">
        <w:rPr>
          <w:rFonts w:ascii="Times New Roman" w:eastAsia="Times New Roman" w:hAnsi="Times New Roman"/>
          <w:lang w:eastAsia="cs-CZ"/>
        </w:rPr>
        <w:t xml:space="preserve"> a </w:t>
      </w:r>
      <w:proofErr w:type="spellStart"/>
      <w:r w:rsidRPr="009B2AFB">
        <w:rPr>
          <w:rFonts w:ascii="Times New Roman" w:eastAsia="Times New Roman" w:hAnsi="Times New Roman"/>
          <w:lang w:eastAsia="cs-CZ"/>
        </w:rPr>
        <w:t>everolimus</w:t>
      </w:r>
      <w:proofErr w:type="spellEnd"/>
      <w:r w:rsidRPr="009B2AFB">
        <w:rPr>
          <w:rFonts w:ascii="Times New Roman" w:eastAsia="Times New Roman" w:hAnsi="Times New Roman"/>
          <w:lang w:eastAsia="cs-CZ"/>
        </w:rPr>
        <w:t xml:space="preserve"> sú substráty CYP3A. </w:t>
      </w:r>
      <w:proofErr w:type="spellStart"/>
      <w:r w:rsidRPr="009B2AFB">
        <w:rPr>
          <w:rFonts w:ascii="Times New Roman" w:eastAsia="Times New Roman" w:hAnsi="Times New Roman"/>
          <w:lang w:eastAsia="cs-CZ"/>
        </w:rPr>
        <w:t>Amlodipín</w:t>
      </w:r>
      <w:proofErr w:type="spellEnd"/>
      <w:r w:rsidRPr="009B2AFB">
        <w:rPr>
          <w:rFonts w:ascii="Times New Roman" w:eastAsia="Times New Roman" w:hAnsi="Times New Roman"/>
          <w:lang w:eastAsia="cs-CZ"/>
        </w:rPr>
        <w:t xml:space="preserve"> je slabým inhibítorom CYP3A. Pri súbežnom používaní inhibítorov </w:t>
      </w:r>
      <w:proofErr w:type="spellStart"/>
      <w:r w:rsidRPr="009B2AFB">
        <w:rPr>
          <w:rFonts w:ascii="Times New Roman" w:eastAsia="Times New Roman" w:hAnsi="Times New Roman"/>
          <w:lang w:eastAsia="cs-CZ"/>
        </w:rPr>
        <w:t>mTOR</w:t>
      </w:r>
      <w:proofErr w:type="spellEnd"/>
      <w:r w:rsidRPr="009B2AFB">
        <w:rPr>
          <w:rFonts w:ascii="Times New Roman" w:eastAsia="Times New Roman" w:hAnsi="Times New Roman"/>
          <w:lang w:eastAsia="cs-CZ"/>
        </w:rPr>
        <w:t xml:space="preserve"> môže </w:t>
      </w:r>
      <w:proofErr w:type="spellStart"/>
      <w:r w:rsidRPr="009B2AFB">
        <w:rPr>
          <w:rFonts w:ascii="Times New Roman" w:eastAsia="Times New Roman" w:hAnsi="Times New Roman"/>
          <w:lang w:eastAsia="cs-CZ"/>
        </w:rPr>
        <w:t>amlodipín</w:t>
      </w:r>
      <w:proofErr w:type="spellEnd"/>
      <w:r w:rsidRPr="009B2AFB">
        <w:rPr>
          <w:rFonts w:ascii="Times New Roman" w:eastAsia="Times New Roman" w:hAnsi="Times New Roman"/>
          <w:lang w:eastAsia="cs-CZ"/>
        </w:rPr>
        <w:t xml:space="preserve"> zvýšiť expozíciu inhibítorov </w:t>
      </w:r>
      <w:proofErr w:type="spellStart"/>
      <w:r w:rsidRPr="009B2AFB">
        <w:rPr>
          <w:rFonts w:ascii="Times New Roman" w:eastAsia="Times New Roman" w:hAnsi="Times New Roman"/>
          <w:lang w:eastAsia="cs-CZ"/>
        </w:rPr>
        <w:t>mTOR</w:t>
      </w:r>
      <w:proofErr w:type="spellEnd"/>
      <w:r w:rsidRPr="009B2AFB">
        <w:rPr>
          <w:rFonts w:ascii="Times New Roman" w:eastAsia="Times New Roman" w:hAnsi="Times New Roman"/>
          <w:lang w:eastAsia="cs-CZ"/>
        </w:rPr>
        <w:t>.</w:t>
      </w:r>
    </w:p>
    <w:p w:rsidR="00C91FBD" w:rsidRPr="00F01F11" w:rsidRDefault="00C91FBD" w:rsidP="00314AB2">
      <w:pPr>
        <w:tabs>
          <w:tab w:val="left" w:pos="567"/>
        </w:tabs>
        <w:spacing w:after="0" w:line="240" w:lineRule="auto"/>
        <w:outlineLvl w:val="0"/>
        <w:rPr>
          <w:rFonts w:ascii="Times New Roman" w:eastAsia="Times New Roman" w:hAnsi="Times New Roman"/>
          <w:i/>
          <w:u w:val="single"/>
        </w:rPr>
      </w:pPr>
    </w:p>
    <w:p w:rsidR="00C91FBD" w:rsidRPr="00C267BF" w:rsidRDefault="00C91FBD" w:rsidP="00C91FBD">
      <w:pPr>
        <w:tabs>
          <w:tab w:val="left" w:pos="567"/>
        </w:tabs>
        <w:spacing w:after="0" w:line="240" w:lineRule="auto"/>
        <w:outlineLvl w:val="0"/>
        <w:rPr>
          <w:rFonts w:ascii="Times New Roman" w:eastAsia="Times New Roman" w:hAnsi="Times New Roman"/>
          <w:i/>
          <w:u w:val="single"/>
        </w:rPr>
      </w:pPr>
      <w:r w:rsidRPr="00F01F11">
        <w:rPr>
          <w:rFonts w:ascii="Times New Roman" w:eastAsia="Times New Roman" w:hAnsi="Times New Roman"/>
          <w:i/>
          <w:u w:val="single"/>
        </w:rPr>
        <w:t>Cyklosporín</w:t>
      </w:r>
    </w:p>
    <w:p w:rsidR="00890CFD" w:rsidRPr="00C267BF" w:rsidRDefault="00084D4D" w:rsidP="00C91FBD">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Neuskutočnili sa ž</w:t>
      </w:r>
      <w:r w:rsidR="00C91FBD" w:rsidRPr="00C267BF">
        <w:rPr>
          <w:rFonts w:ascii="Times New Roman" w:eastAsia="Times New Roman" w:hAnsi="Times New Roman"/>
        </w:rPr>
        <w:t>iadne štúdie liekových interakcií s cyklosporínom a amlodipínom u zdravých dobrovoľníkov alebo u iných populácií s výnimkou pacientov po transplantácii obličk</w:t>
      </w:r>
      <w:r w:rsidR="00A57258" w:rsidRPr="00C267BF">
        <w:rPr>
          <w:rFonts w:ascii="Times New Roman" w:eastAsia="Times New Roman" w:hAnsi="Times New Roman"/>
        </w:rPr>
        <w:t>y</w:t>
      </w:r>
      <w:r w:rsidR="00C91FBD" w:rsidRPr="00C267BF">
        <w:rPr>
          <w:rFonts w:ascii="Times New Roman" w:eastAsia="Times New Roman" w:hAnsi="Times New Roman"/>
        </w:rPr>
        <w:t xml:space="preserve">, kde </w:t>
      </w:r>
      <w:r w:rsidR="00806536" w:rsidRPr="00C267BF">
        <w:rPr>
          <w:rFonts w:ascii="Times New Roman" w:eastAsia="Times New Roman" w:hAnsi="Times New Roman"/>
        </w:rPr>
        <w:t xml:space="preserve">bolo pozorované </w:t>
      </w:r>
      <w:r w:rsidR="00C91FBD" w:rsidRPr="00C267BF">
        <w:rPr>
          <w:rFonts w:ascii="Times New Roman" w:eastAsia="Times New Roman" w:hAnsi="Times New Roman"/>
        </w:rPr>
        <w:t>variabil</w:t>
      </w:r>
      <w:r w:rsidR="00806536" w:rsidRPr="00C267BF">
        <w:rPr>
          <w:rFonts w:ascii="Times New Roman" w:eastAsia="Times New Roman" w:hAnsi="Times New Roman"/>
        </w:rPr>
        <w:t>né</w:t>
      </w:r>
      <w:r w:rsidR="006E6F6E" w:rsidRPr="00C267BF">
        <w:rPr>
          <w:rFonts w:ascii="Times New Roman" w:eastAsia="Times New Roman" w:hAnsi="Times New Roman"/>
        </w:rPr>
        <w:t xml:space="preserve"> </w:t>
      </w:r>
      <w:r w:rsidR="00C91FBD" w:rsidRPr="00C267BF">
        <w:rPr>
          <w:rFonts w:ascii="Times New Roman" w:eastAsia="Times New Roman" w:hAnsi="Times New Roman"/>
        </w:rPr>
        <w:t xml:space="preserve"> </w:t>
      </w:r>
      <w:r w:rsidR="00806536" w:rsidRPr="00C267BF">
        <w:rPr>
          <w:rFonts w:ascii="Times New Roman" w:eastAsia="Times New Roman" w:hAnsi="Times New Roman"/>
        </w:rPr>
        <w:t xml:space="preserve">zvýšenie </w:t>
      </w:r>
      <w:r w:rsidR="00C91FBD" w:rsidRPr="00C267BF">
        <w:rPr>
          <w:rFonts w:ascii="Times New Roman" w:eastAsia="Times New Roman" w:hAnsi="Times New Roman"/>
        </w:rPr>
        <w:t xml:space="preserve">(priemerne 0% </w:t>
      </w:r>
      <w:r w:rsidR="00806536" w:rsidRPr="00C267BF">
        <w:rPr>
          <w:rFonts w:ascii="Times New Roman" w:eastAsia="Times New Roman" w:hAnsi="Times New Roman"/>
        </w:rPr>
        <w:t xml:space="preserve">- </w:t>
      </w:r>
      <w:r w:rsidR="00C91FBD" w:rsidRPr="00C267BF">
        <w:rPr>
          <w:rFonts w:ascii="Times New Roman" w:eastAsia="Times New Roman" w:hAnsi="Times New Roman"/>
        </w:rPr>
        <w:t xml:space="preserve">40%) </w:t>
      </w:r>
      <w:r w:rsidR="000A3929" w:rsidRPr="00C267BF">
        <w:rPr>
          <w:rFonts w:ascii="Times New Roman" w:eastAsia="Times New Roman" w:hAnsi="Times New Roman"/>
        </w:rPr>
        <w:t xml:space="preserve">minimálnej plazmatickej koncentrácie </w:t>
      </w:r>
      <w:r w:rsidR="00C91FBD" w:rsidRPr="00C267BF">
        <w:rPr>
          <w:rFonts w:ascii="Times New Roman" w:eastAsia="Times New Roman" w:hAnsi="Times New Roman"/>
        </w:rPr>
        <w:t xml:space="preserve">cyklosporínu. </w:t>
      </w:r>
    </w:p>
    <w:p w:rsidR="00C91FBD" w:rsidRPr="00C267BF" w:rsidRDefault="00C91FBD" w:rsidP="00C91FBD">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 xml:space="preserve">Pozornosť </w:t>
      </w:r>
      <w:r w:rsidR="00890CFD" w:rsidRPr="00C267BF">
        <w:rPr>
          <w:rFonts w:ascii="Times New Roman" w:eastAsia="Times New Roman" w:hAnsi="Times New Roman"/>
        </w:rPr>
        <w:t>treba</w:t>
      </w:r>
      <w:r w:rsidRPr="00C267BF">
        <w:rPr>
          <w:rFonts w:ascii="Times New Roman" w:eastAsia="Times New Roman" w:hAnsi="Times New Roman"/>
        </w:rPr>
        <w:t xml:space="preserve"> venova</w:t>
      </w:r>
      <w:r w:rsidR="00890CFD" w:rsidRPr="00C267BF">
        <w:rPr>
          <w:rFonts w:ascii="Times New Roman" w:eastAsia="Times New Roman" w:hAnsi="Times New Roman"/>
        </w:rPr>
        <w:t>ť</w:t>
      </w:r>
      <w:r w:rsidRPr="00C267BF">
        <w:rPr>
          <w:rFonts w:ascii="Times New Roman" w:eastAsia="Times New Roman" w:hAnsi="Times New Roman"/>
        </w:rPr>
        <w:t xml:space="preserve"> monitorovani</w:t>
      </w:r>
      <w:r w:rsidR="00890CFD" w:rsidRPr="00C267BF">
        <w:rPr>
          <w:rFonts w:ascii="Times New Roman" w:eastAsia="Times New Roman" w:hAnsi="Times New Roman"/>
        </w:rPr>
        <w:t>u</w:t>
      </w:r>
      <w:r w:rsidRPr="00C267BF">
        <w:rPr>
          <w:rFonts w:ascii="Times New Roman" w:eastAsia="Times New Roman" w:hAnsi="Times New Roman"/>
        </w:rPr>
        <w:t xml:space="preserve"> hladín cyklosporínu u pacientov po transplantácii obličk</w:t>
      </w:r>
      <w:r w:rsidR="00A57258" w:rsidRPr="00C267BF">
        <w:rPr>
          <w:rFonts w:ascii="Times New Roman" w:eastAsia="Times New Roman" w:hAnsi="Times New Roman"/>
        </w:rPr>
        <w:t>y</w:t>
      </w:r>
      <w:r w:rsidRPr="00C267BF">
        <w:rPr>
          <w:rFonts w:ascii="Times New Roman" w:eastAsia="Times New Roman" w:hAnsi="Times New Roman"/>
        </w:rPr>
        <w:t xml:space="preserve"> </w:t>
      </w:r>
      <w:r w:rsidR="00890CFD" w:rsidRPr="00C267BF">
        <w:rPr>
          <w:rFonts w:ascii="Times New Roman" w:eastAsia="Times New Roman" w:hAnsi="Times New Roman"/>
        </w:rPr>
        <w:t>liečený</w:t>
      </w:r>
      <w:r w:rsidR="00A57258" w:rsidRPr="00C267BF">
        <w:rPr>
          <w:rFonts w:ascii="Times New Roman" w:eastAsia="Times New Roman" w:hAnsi="Times New Roman"/>
        </w:rPr>
        <w:t>ch</w:t>
      </w:r>
      <w:r w:rsidR="00890CFD" w:rsidRPr="00C267BF">
        <w:rPr>
          <w:rFonts w:ascii="Times New Roman" w:eastAsia="Times New Roman" w:hAnsi="Times New Roman"/>
        </w:rPr>
        <w:t xml:space="preserve"> </w:t>
      </w:r>
      <w:proofErr w:type="spellStart"/>
      <w:r w:rsidR="00890CFD" w:rsidRPr="00C267BF">
        <w:rPr>
          <w:rFonts w:ascii="Times New Roman" w:eastAsia="Times New Roman" w:hAnsi="Times New Roman"/>
        </w:rPr>
        <w:t>amlodipínom</w:t>
      </w:r>
      <w:proofErr w:type="spellEnd"/>
      <w:r w:rsidRPr="00C267BF">
        <w:rPr>
          <w:rFonts w:ascii="Times New Roman" w:eastAsia="Times New Roman" w:hAnsi="Times New Roman"/>
        </w:rPr>
        <w:t xml:space="preserve"> a</w:t>
      </w:r>
      <w:r w:rsidR="00890CFD" w:rsidRPr="00C267BF">
        <w:rPr>
          <w:rFonts w:ascii="Times New Roman" w:eastAsia="Times New Roman" w:hAnsi="Times New Roman"/>
        </w:rPr>
        <w:t> </w:t>
      </w:r>
      <w:r w:rsidRPr="00C267BF">
        <w:rPr>
          <w:rFonts w:ascii="Times New Roman" w:eastAsia="Times New Roman" w:hAnsi="Times New Roman"/>
        </w:rPr>
        <w:t>dávk</w:t>
      </w:r>
      <w:r w:rsidR="00890CFD" w:rsidRPr="00C267BF">
        <w:rPr>
          <w:rFonts w:ascii="Times New Roman" w:eastAsia="Times New Roman" w:hAnsi="Times New Roman"/>
        </w:rPr>
        <w:t xml:space="preserve">a </w:t>
      </w:r>
      <w:proofErr w:type="spellStart"/>
      <w:r w:rsidR="00890CFD" w:rsidRPr="00C267BF">
        <w:rPr>
          <w:rFonts w:ascii="Times New Roman" w:eastAsia="Times New Roman" w:hAnsi="Times New Roman"/>
        </w:rPr>
        <w:t>cyklosporínu</w:t>
      </w:r>
      <w:proofErr w:type="spellEnd"/>
      <w:r w:rsidRPr="00C267BF">
        <w:rPr>
          <w:rFonts w:ascii="Times New Roman" w:eastAsia="Times New Roman" w:hAnsi="Times New Roman"/>
        </w:rPr>
        <w:t xml:space="preserve"> </w:t>
      </w:r>
      <w:r w:rsidR="00806536" w:rsidRPr="00C267BF">
        <w:rPr>
          <w:rFonts w:ascii="Times New Roman" w:eastAsia="Times New Roman" w:hAnsi="Times New Roman"/>
        </w:rPr>
        <w:t>má</w:t>
      </w:r>
      <w:r w:rsidRPr="00C267BF">
        <w:rPr>
          <w:rFonts w:ascii="Times New Roman" w:eastAsia="Times New Roman" w:hAnsi="Times New Roman"/>
        </w:rPr>
        <w:t xml:space="preserve"> byť </w:t>
      </w:r>
      <w:r w:rsidR="00890CFD" w:rsidRPr="00C267BF">
        <w:rPr>
          <w:rFonts w:ascii="Times New Roman" w:eastAsia="Times New Roman" w:hAnsi="Times New Roman"/>
        </w:rPr>
        <w:t xml:space="preserve">redukovaná </w:t>
      </w:r>
      <w:r w:rsidRPr="00C267BF">
        <w:rPr>
          <w:rFonts w:ascii="Times New Roman" w:eastAsia="Times New Roman" w:hAnsi="Times New Roman"/>
        </w:rPr>
        <w:t>podľa potreby.</w:t>
      </w:r>
    </w:p>
    <w:p w:rsidR="00C91FBD" w:rsidRPr="00C267BF" w:rsidRDefault="00C91FBD" w:rsidP="00C91FBD">
      <w:pPr>
        <w:tabs>
          <w:tab w:val="left" w:pos="567"/>
        </w:tabs>
        <w:spacing w:after="0" w:line="240" w:lineRule="auto"/>
        <w:outlineLvl w:val="0"/>
        <w:rPr>
          <w:rFonts w:ascii="Times New Roman" w:eastAsia="Times New Roman" w:hAnsi="Times New Roman"/>
          <w:i/>
          <w:u w:val="single"/>
        </w:rPr>
      </w:pPr>
    </w:p>
    <w:p w:rsidR="00314AB2" w:rsidRPr="00C267BF" w:rsidRDefault="00314AB2" w:rsidP="00C91FBD">
      <w:pPr>
        <w:tabs>
          <w:tab w:val="left" w:pos="567"/>
        </w:tabs>
        <w:spacing w:after="0" w:line="240" w:lineRule="auto"/>
        <w:outlineLvl w:val="0"/>
        <w:rPr>
          <w:rFonts w:ascii="Times New Roman" w:eastAsia="Times New Roman" w:hAnsi="Times New Roman"/>
          <w:i/>
          <w:u w:val="single"/>
        </w:rPr>
      </w:pPr>
      <w:r w:rsidRPr="00C267BF">
        <w:rPr>
          <w:rFonts w:ascii="Times New Roman" w:eastAsia="Times New Roman" w:hAnsi="Times New Roman"/>
          <w:i/>
          <w:u w:val="single"/>
        </w:rPr>
        <w:t>Simvastatín</w:t>
      </w:r>
    </w:p>
    <w:p w:rsidR="00314AB2" w:rsidRPr="00C267BF" w:rsidRDefault="00314AB2" w:rsidP="00314AB2">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 xml:space="preserve">Súčasné podávanie viacnásobných dávok 10  mg amlodipínu s 80 mg </w:t>
      </w:r>
      <w:proofErr w:type="spellStart"/>
      <w:r w:rsidRPr="00C267BF">
        <w:rPr>
          <w:rFonts w:ascii="Times New Roman" w:eastAsia="Times New Roman" w:hAnsi="Times New Roman"/>
        </w:rPr>
        <w:t>simvastatínu</w:t>
      </w:r>
      <w:proofErr w:type="spellEnd"/>
      <w:r w:rsidRPr="00C267BF">
        <w:rPr>
          <w:rFonts w:ascii="Times New Roman" w:eastAsia="Times New Roman" w:hAnsi="Times New Roman"/>
        </w:rPr>
        <w:t xml:space="preserve"> v</w:t>
      </w:r>
      <w:r w:rsidR="00DA77BA" w:rsidRPr="00C267BF">
        <w:rPr>
          <w:rFonts w:ascii="Times New Roman" w:eastAsia="Times New Roman" w:hAnsi="Times New Roman"/>
        </w:rPr>
        <w:t>iedlo</w:t>
      </w:r>
      <w:r w:rsidRPr="00C267BF">
        <w:rPr>
          <w:rFonts w:ascii="Times New Roman" w:eastAsia="Times New Roman" w:hAnsi="Times New Roman"/>
        </w:rPr>
        <w:t xml:space="preserve"> k 77 % zvýšeniu expozície simvastatínu v porovnaní so samotným simvastatínom. Hraničná dávka simvastatínu je 20 mg denne u pacientov užívajúcich amlodipín. </w:t>
      </w:r>
    </w:p>
    <w:p w:rsidR="00314AB2" w:rsidRPr="00C267BF" w:rsidRDefault="00314AB2" w:rsidP="00FD2D5B">
      <w:pPr>
        <w:spacing w:after="0" w:line="240" w:lineRule="auto"/>
        <w:ind w:left="567" w:hanging="567"/>
        <w:rPr>
          <w:rFonts w:ascii="Times New Roman" w:hAnsi="Times New Roman"/>
          <w:b/>
          <w:bCs/>
          <w:i/>
          <w:iCs/>
          <w:highlight w:val="yellow"/>
          <w:u w:val="single"/>
          <w:lang w:eastAsia="sk-SK"/>
        </w:rPr>
      </w:pPr>
    </w:p>
    <w:p w:rsidR="00314AB2" w:rsidRPr="00C267BF" w:rsidRDefault="00314AB2" w:rsidP="00314AB2">
      <w:pPr>
        <w:tabs>
          <w:tab w:val="left" w:pos="567"/>
        </w:tabs>
        <w:spacing w:after="0" w:line="240" w:lineRule="auto"/>
        <w:outlineLvl w:val="0"/>
        <w:rPr>
          <w:rFonts w:ascii="Times New Roman" w:eastAsia="Times New Roman" w:hAnsi="Times New Roman"/>
        </w:rPr>
      </w:pPr>
      <w:r w:rsidRPr="00C267BF">
        <w:rPr>
          <w:rFonts w:ascii="Times New Roman" w:eastAsia="Times New Roman" w:hAnsi="Times New Roman"/>
        </w:rPr>
        <w:t xml:space="preserve">V klinických interakčných štúdiách </w:t>
      </w:r>
      <w:proofErr w:type="spellStart"/>
      <w:r w:rsidRPr="00C267BF">
        <w:rPr>
          <w:rFonts w:ascii="Times New Roman" w:eastAsia="Times New Roman" w:hAnsi="Times New Roman"/>
        </w:rPr>
        <w:t>amlodipín</w:t>
      </w:r>
      <w:proofErr w:type="spellEnd"/>
      <w:r w:rsidRPr="00C267BF">
        <w:rPr>
          <w:rFonts w:ascii="Times New Roman" w:eastAsia="Times New Roman" w:hAnsi="Times New Roman"/>
        </w:rPr>
        <w:t xml:space="preserve"> neovplyvňoval </w:t>
      </w:r>
      <w:proofErr w:type="spellStart"/>
      <w:r w:rsidRPr="00C267BF">
        <w:rPr>
          <w:rFonts w:ascii="Times New Roman" w:eastAsia="Times New Roman" w:hAnsi="Times New Roman"/>
        </w:rPr>
        <w:t>farmakokinetiku</w:t>
      </w:r>
      <w:proofErr w:type="spellEnd"/>
      <w:r w:rsidRPr="00C267BF">
        <w:rPr>
          <w:rFonts w:ascii="Times New Roman" w:eastAsia="Times New Roman" w:hAnsi="Times New Roman"/>
        </w:rPr>
        <w:t xml:space="preserve"> </w:t>
      </w:r>
      <w:proofErr w:type="spellStart"/>
      <w:r w:rsidRPr="00C267BF">
        <w:rPr>
          <w:rFonts w:ascii="Times New Roman" w:eastAsia="Times New Roman" w:hAnsi="Times New Roman"/>
        </w:rPr>
        <w:t>atorvastatínu</w:t>
      </w:r>
      <w:proofErr w:type="spellEnd"/>
      <w:r w:rsidRPr="00C267BF">
        <w:rPr>
          <w:rFonts w:ascii="Times New Roman" w:eastAsia="Times New Roman" w:hAnsi="Times New Roman"/>
        </w:rPr>
        <w:t xml:space="preserve">, </w:t>
      </w:r>
      <w:proofErr w:type="spellStart"/>
      <w:r w:rsidRPr="00C267BF">
        <w:rPr>
          <w:rFonts w:ascii="Times New Roman" w:eastAsia="Times New Roman" w:hAnsi="Times New Roman"/>
        </w:rPr>
        <w:t>digoxínu</w:t>
      </w:r>
      <w:proofErr w:type="spellEnd"/>
      <w:r w:rsidR="00DA77BA" w:rsidRPr="00C267BF">
        <w:rPr>
          <w:rFonts w:ascii="Times New Roman" w:eastAsia="Times New Roman" w:hAnsi="Times New Roman"/>
        </w:rPr>
        <w:t xml:space="preserve"> alebo</w:t>
      </w:r>
      <w:r w:rsidRPr="00C267BF">
        <w:rPr>
          <w:rFonts w:ascii="Times New Roman" w:eastAsia="Times New Roman" w:hAnsi="Times New Roman"/>
        </w:rPr>
        <w:t xml:space="preserve"> </w:t>
      </w:r>
      <w:proofErr w:type="spellStart"/>
      <w:r w:rsidRPr="00C267BF">
        <w:rPr>
          <w:rFonts w:ascii="Times New Roman" w:eastAsia="Times New Roman" w:hAnsi="Times New Roman"/>
        </w:rPr>
        <w:t>warfarínu</w:t>
      </w:r>
      <w:proofErr w:type="spellEnd"/>
      <w:r w:rsidRPr="00C267BF">
        <w:rPr>
          <w:rFonts w:ascii="Times New Roman" w:eastAsia="Times New Roman" w:hAnsi="Times New Roman"/>
        </w:rPr>
        <w:t>.</w:t>
      </w:r>
    </w:p>
    <w:p w:rsidR="00314AB2" w:rsidRPr="00C267BF" w:rsidRDefault="00314AB2" w:rsidP="00FD2D5B">
      <w:pPr>
        <w:spacing w:after="0" w:line="240" w:lineRule="auto"/>
        <w:ind w:left="567" w:hanging="567"/>
        <w:rPr>
          <w:rFonts w:ascii="Times New Roman" w:hAnsi="Times New Roman"/>
          <w:b/>
          <w:bCs/>
          <w:i/>
          <w:iCs/>
          <w:highlight w:val="yellow"/>
          <w:u w:val="single"/>
          <w:lang w:eastAsia="sk-SK"/>
        </w:rPr>
      </w:pPr>
    </w:p>
    <w:p w:rsidR="00FD2D5B" w:rsidRPr="00C267BF" w:rsidRDefault="00FD2D5B" w:rsidP="00FD2D5B">
      <w:pPr>
        <w:numPr>
          <w:ilvl w:val="1"/>
          <w:numId w:val="2"/>
        </w:numPr>
        <w:spacing w:after="0" w:line="240" w:lineRule="auto"/>
        <w:rPr>
          <w:rFonts w:ascii="Times New Roman" w:hAnsi="Times New Roman"/>
          <w:b/>
          <w:noProof/>
          <w:lang w:eastAsia="sk-SK"/>
        </w:rPr>
      </w:pPr>
      <w:r w:rsidRPr="00C267BF">
        <w:rPr>
          <w:rFonts w:ascii="Times New Roman" w:hAnsi="Times New Roman"/>
          <w:b/>
          <w:noProof/>
          <w:lang w:eastAsia="sk-SK"/>
        </w:rPr>
        <w:t>Fertilita, gravidita a laktácia</w:t>
      </w:r>
    </w:p>
    <w:p w:rsidR="00FD2D5B" w:rsidRPr="00C267BF" w:rsidRDefault="00FD2D5B" w:rsidP="00FD2D5B">
      <w:pPr>
        <w:spacing w:after="0" w:line="240" w:lineRule="auto"/>
        <w:ind w:left="567" w:hanging="567"/>
        <w:rPr>
          <w:rFonts w:ascii="Times New Roman" w:hAnsi="Times New Roman"/>
          <w:lang w:eastAsia="sk-SK"/>
        </w:rPr>
      </w:pPr>
    </w:p>
    <w:p w:rsidR="00944D16" w:rsidRPr="00C267BF" w:rsidRDefault="00944D16" w:rsidP="00FD2D5B">
      <w:pPr>
        <w:spacing w:after="0" w:line="240" w:lineRule="auto"/>
        <w:rPr>
          <w:rFonts w:ascii="Times New Roman" w:hAnsi="Times New Roman"/>
          <w:u w:val="single"/>
          <w:lang w:eastAsia="sk-SK"/>
        </w:rPr>
      </w:pPr>
      <w:r w:rsidRPr="00C267BF">
        <w:rPr>
          <w:rFonts w:ascii="Times New Roman" w:hAnsi="Times New Roman"/>
          <w:u w:val="single"/>
          <w:lang w:eastAsia="sk-SK"/>
        </w:rPr>
        <w:t>Gravidita</w:t>
      </w:r>
    </w:p>
    <w:p w:rsidR="00944D16" w:rsidRPr="00C267BF" w:rsidRDefault="00A247BD" w:rsidP="00FD2D5B">
      <w:pPr>
        <w:spacing w:after="0" w:line="240" w:lineRule="auto"/>
        <w:rPr>
          <w:rFonts w:ascii="Times New Roman" w:hAnsi="Times New Roman"/>
          <w:lang w:eastAsia="sk-SK"/>
        </w:rPr>
      </w:pPr>
      <w:proofErr w:type="spellStart"/>
      <w:r w:rsidRPr="00C267BF">
        <w:rPr>
          <w:rFonts w:ascii="Times New Roman" w:hAnsi="Times New Roman"/>
          <w:lang w:eastAsia="sk-SK"/>
        </w:rPr>
        <w:lastRenderedPageBreak/>
        <w:t>M</w:t>
      </w:r>
      <w:r>
        <w:rPr>
          <w:rFonts w:ascii="Times New Roman" w:hAnsi="Times New Roman"/>
          <w:lang w:eastAsia="sk-SK"/>
        </w:rPr>
        <w:t>ixor</w:t>
      </w:r>
      <w:proofErr w:type="spellEnd"/>
      <w:r w:rsidRPr="00C267BF">
        <w:rPr>
          <w:rFonts w:ascii="Times New Roman" w:hAnsi="Times New Roman"/>
          <w:lang w:eastAsia="sk-SK"/>
        </w:rPr>
        <w:t xml:space="preserve"> </w:t>
      </w:r>
      <w:r w:rsidR="00944D16" w:rsidRPr="00C267BF">
        <w:rPr>
          <w:rFonts w:ascii="Times New Roman" w:hAnsi="Times New Roman"/>
          <w:lang w:eastAsia="sk-SK"/>
        </w:rPr>
        <w:t xml:space="preserve">sa </w:t>
      </w:r>
      <w:r w:rsidR="00FD2D5B" w:rsidRPr="00C267BF">
        <w:rPr>
          <w:rFonts w:ascii="Times New Roman" w:hAnsi="Times New Roman"/>
          <w:lang w:eastAsia="sk-SK"/>
        </w:rPr>
        <w:t>neodporúča počas prvého trimestra gravidity</w:t>
      </w:r>
      <w:r w:rsidR="00944D16" w:rsidRPr="00C267BF">
        <w:rPr>
          <w:rFonts w:ascii="Times New Roman" w:hAnsi="Times New Roman"/>
          <w:lang w:eastAsia="sk-SK"/>
        </w:rPr>
        <w:t>, pretože nie sú k dispozícii žiadne údaje a bezpečnostný profil nebol stanovený pre obidv</w:t>
      </w:r>
      <w:r w:rsidR="00DA77BA" w:rsidRPr="00C267BF">
        <w:rPr>
          <w:rFonts w:ascii="Times New Roman" w:hAnsi="Times New Roman"/>
          <w:lang w:eastAsia="sk-SK"/>
        </w:rPr>
        <w:t>e liečivá</w:t>
      </w:r>
      <w:r w:rsidR="00944D16" w:rsidRPr="00C267BF">
        <w:rPr>
          <w:rFonts w:ascii="Times New Roman" w:hAnsi="Times New Roman"/>
          <w:lang w:eastAsia="sk-SK"/>
        </w:rPr>
        <w:t xml:space="preserve"> </w:t>
      </w:r>
      <w:proofErr w:type="spellStart"/>
      <w:r w:rsidR="00944D16" w:rsidRPr="00C267BF">
        <w:rPr>
          <w:rFonts w:ascii="Times New Roman" w:hAnsi="Times New Roman"/>
          <w:lang w:eastAsia="sk-SK"/>
        </w:rPr>
        <w:t>amlodipín</w:t>
      </w:r>
      <w:proofErr w:type="spellEnd"/>
      <w:r w:rsidR="00944D16" w:rsidRPr="00C267BF">
        <w:rPr>
          <w:rFonts w:ascii="Times New Roman" w:hAnsi="Times New Roman"/>
          <w:lang w:eastAsia="sk-SK"/>
        </w:rPr>
        <w:t xml:space="preserve"> a </w:t>
      </w:r>
      <w:proofErr w:type="spellStart"/>
      <w:r w:rsidR="00944D16" w:rsidRPr="00C267BF">
        <w:rPr>
          <w:rFonts w:ascii="Times New Roman" w:hAnsi="Times New Roman"/>
          <w:lang w:eastAsia="sk-SK"/>
        </w:rPr>
        <w:t>telmisartan</w:t>
      </w:r>
      <w:proofErr w:type="spellEnd"/>
      <w:r w:rsidR="00FD2D5B" w:rsidRPr="00C267BF">
        <w:rPr>
          <w:rFonts w:ascii="Times New Roman" w:hAnsi="Times New Roman"/>
          <w:lang w:eastAsia="sk-SK"/>
        </w:rPr>
        <w:t xml:space="preserve">.  </w:t>
      </w:r>
    </w:p>
    <w:p w:rsidR="00944D16" w:rsidRPr="00C267BF" w:rsidRDefault="00944D16" w:rsidP="00FD2D5B">
      <w:pPr>
        <w:spacing w:after="0" w:line="240" w:lineRule="auto"/>
        <w:rPr>
          <w:rFonts w:ascii="Times New Roman" w:hAnsi="Times New Roman"/>
          <w:lang w:eastAsia="sk-SK"/>
        </w:rPr>
      </w:pPr>
    </w:p>
    <w:p w:rsidR="00FD2D5B" w:rsidRPr="00C267BF" w:rsidRDefault="00A247BD" w:rsidP="00FD2D5B">
      <w:pPr>
        <w:spacing w:after="0" w:line="240" w:lineRule="auto"/>
        <w:rPr>
          <w:rFonts w:ascii="Times New Roman" w:hAnsi="Times New Roman"/>
          <w:lang w:eastAsia="sk-SK"/>
        </w:rPr>
      </w:pPr>
      <w:proofErr w:type="spellStart"/>
      <w:r w:rsidRPr="00C267BF">
        <w:rPr>
          <w:rFonts w:ascii="Times New Roman" w:hAnsi="Times New Roman"/>
          <w:lang w:eastAsia="sk-SK"/>
        </w:rPr>
        <w:t>M</w:t>
      </w:r>
      <w:r>
        <w:rPr>
          <w:rFonts w:ascii="Times New Roman" w:hAnsi="Times New Roman"/>
          <w:lang w:eastAsia="sk-SK"/>
        </w:rPr>
        <w:t>ixor</w:t>
      </w:r>
      <w:proofErr w:type="spellEnd"/>
      <w:r w:rsidRPr="00C267BF">
        <w:rPr>
          <w:rFonts w:ascii="Times New Roman" w:hAnsi="Times New Roman"/>
          <w:lang w:eastAsia="sk-SK"/>
        </w:rPr>
        <w:t xml:space="preserve"> </w:t>
      </w:r>
      <w:r w:rsidR="00FD2D5B" w:rsidRPr="00C267BF">
        <w:rPr>
          <w:rFonts w:ascii="Times New Roman" w:hAnsi="Times New Roman"/>
          <w:lang w:eastAsia="sk-SK"/>
        </w:rPr>
        <w:t>je kontraindikovaný počas druhého a tretieho trimestra gravidity</w:t>
      </w:r>
      <w:r w:rsidR="00944D16" w:rsidRPr="00C267BF">
        <w:rPr>
          <w:rFonts w:ascii="Times New Roman" w:hAnsi="Times New Roman"/>
          <w:lang w:eastAsia="sk-SK"/>
        </w:rPr>
        <w:t xml:space="preserve"> z dôvodu obsahu telmisartanu</w:t>
      </w:r>
      <w:r w:rsidR="00FD2D5B" w:rsidRPr="00C267BF">
        <w:rPr>
          <w:rFonts w:ascii="Times New Roman" w:hAnsi="Times New Roman"/>
          <w:lang w:eastAsia="sk-SK"/>
        </w:rPr>
        <w:t>.</w:t>
      </w:r>
    </w:p>
    <w:p w:rsidR="00D642EF" w:rsidRPr="00C267BF" w:rsidRDefault="00D642EF" w:rsidP="00FD2D5B">
      <w:pPr>
        <w:spacing w:after="0" w:line="240" w:lineRule="auto"/>
        <w:rPr>
          <w:rFonts w:ascii="Times New Roman" w:hAnsi="Times New Roman"/>
          <w:lang w:eastAsia="sk-SK"/>
        </w:rPr>
      </w:pPr>
    </w:p>
    <w:p w:rsidR="00D642EF" w:rsidRPr="009B2AFB" w:rsidRDefault="00D642EF" w:rsidP="00D642EF">
      <w:pPr>
        <w:widowControl w:val="0"/>
        <w:tabs>
          <w:tab w:val="left" w:pos="567"/>
        </w:tabs>
        <w:autoSpaceDE w:val="0"/>
        <w:autoSpaceDN w:val="0"/>
        <w:adjustRightInd w:val="0"/>
        <w:spacing w:after="0" w:line="240" w:lineRule="auto"/>
        <w:rPr>
          <w:rFonts w:ascii="Times New Roman" w:eastAsia="Times New Roman" w:hAnsi="Times New Roman"/>
          <w:i/>
        </w:rPr>
      </w:pPr>
      <w:r w:rsidRPr="009B2AFB">
        <w:rPr>
          <w:rFonts w:ascii="Times New Roman" w:eastAsia="Times New Roman" w:hAnsi="Times New Roman"/>
          <w:i/>
        </w:rPr>
        <w:t>Telmisartan</w:t>
      </w:r>
    </w:p>
    <w:p w:rsidR="00D642EF" w:rsidRPr="00C267BF" w:rsidRDefault="00A247BD" w:rsidP="00D642EF">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noProof/>
          <w:lang w:eastAsia="sk-SK"/>
        </w:rPr>
      </w:pPr>
      <w:r>
        <w:rPr>
          <w:rFonts w:ascii="Times New Roman" w:hAnsi="Times New Roman"/>
          <w:noProof/>
          <w:lang w:eastAsia="sk-SK"/>
        </w:rPr>
        <w:t>Pou</w:t>
      </w:r>
      <w:r w:rsidR="00D642EF" w:rsidRPr="00665C1F">
        <w:rPr>
          <w:rFonts w:ascii="Times New Roman" w:hAnsi="Times New Roman"/>
          <w:noProof/>
          <w:lang w:eastAsia="sk-SK"/>
        </w:rPr>
        <w:t>žívanie antagonistov receptora angiotenzínu II (AIIRA) sa neodporúča počas prvého trimestra gravidity (pozri časť 4.4). Použitie antagonistov receptora angiotenzínu II je kontraindikova</w:t>
      </w:r>
      <w:r w:rsidR="00D642EF" w:rsidRPr="00C267BF">
        <w:rPr>
          <w:rFonts w:ascii="Times New Roman" w:hAnsi="Times New Roman"/>
          <w:noProof/>
          <w:lang w:eastAsia="sk-SK"/>
        </w:rPr>
        <w:t>né počas druhého a tretieho trimestra gravidity (pozri časti 4.3 a 4.4).</w:t>
      </w:r>
    </w:p>
    <w:p w:rsidR="00D642EF" w:rsidRPr="00C267BF" w:rsidRDefault="00D642EF" w:rsidP="00FD2D5B">
      <w:pPr>
        <w:spacing w:after="0" w:line="240" w:lineRule="auto"/>
        <w:rPr>
          <w:rFonts w:ascii="Times New Roman" w:hAnsi="Times New Roman"/>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Nie sú k dispozícii dostatočné údaje o užívaní telmisartanu u gravidných žien. Štúdie na zvieratách preukázali reprodukčnú toxicitu (pozri časť 5.3).</w:t>
      </w: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Epidemiologické dôkazy týkajúce sa rizika teratogenity po vystavení účinku ACE inhibítorov počas prvého trimestra gravidity nie sú preukazné, napriek tomu, malé zvýšenie rizika však nemožno vylúčiť. Pokiaľ neexistujú žiadne kontrolované epidemiologické údaje o riziku antagonistov receptora angiotenzínu II, pre túto triedu liečiv môžu existovať podobné riziká. Pokiaľ nie je pokračovanie liečby antagonistami receptora angiotenzínu II považované za nevyhnutné, pacientky, ktoré plánujú graviditu</w:t>
      </w:r>
      <w:r w:rsidR="00DA77BA"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sa majú prestaviť na alternatívnu antihypertenznú liečbu, ktorá má preukázaný bezpečnostný profil pri používaní v gravidite. Ak sa gravidita potvrdí, liečba antagonistami receptora angiotenzínu II sa musí okamžite ukončiť a ak je vhodné, má sa začať alternatívna liečba.</w:t>
      </w: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Expozícia liečbe antagonistami receptora angiotenzínu II počas druhého a tretieho trimestra je známa tým, že indukuje fetotoxicitu u ľudí (znížená funkcia obličiek, oligohydramnión, retardácia osifikácie lebky) a neonatálnu toxicitu (renálne zlyhanie, hypotenzia, hyperkaliémia). (Pozri časť 5.3).</w:t>
      </w: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Ak došlo od druhého trimestra gravidity k vystaveniu účinkom antagonistov receptora angiotenzínu II, odporúča sa ultrazvukové vyšetrenie funkcie obličiek a lebky.</w:t>
      </w: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Dojčatá, ktorých matky užívali antagonisty receptora angiotenzínu II, sa majú starostlivo sledovať z dôvodu hypotenzie (pozri časti 4.3 a 4.4).</w:t>
      </w:r>
    </w:p>
    <w:p w:rsidR="00D642EF" w:rsidRPr="00C267BF"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Amlodipín</w:t>
      </w:r>
    </w:p>
    <w:p w:rsidR="0081148C" w:rsidRPr="00C267BF" w:rsidRDefault="0081148C" w:rsidP="0081148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Bezpečnosť podávania amlodipínu u žien počas gravidity nebola stanovená. </w:t>
      </w:r>
    </w:p>
    <w:p w:rsidR="0081148C" w:rsidRPr="00C267BF" w:rsidRDefault="0081148C" w:rsidP="0081148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Štúdie na zvieratách preukázali reprodukčnú toxicitu pri vysokých dávkach (pozri časť 5.3).</w:t>
      </w:r>
    </w:p>
    <w:p w:rsidR="00D642EF" w:rsidRPr="00C267BF" w:rsidRDefault="0081148C" w:rsidP="0081148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Použitie počas gravidity sa odporúča iba vtedy, ak nie</w:t>
      </w:r>
      <w:r w:rsidR="00DA77BA" w:rsidRPr="00C267BF">
        <w:rPr>
          <w:rFonts w:ascii="Times New Roman" w:eastAsia="Times New Roman" w:hAnsi="Times New Roman"/>
          <w:lang w:eastAsia="sk-SK"/>
        </w:rPr>
        <w:t xml:space="preserve"> je</w:t>
      </w:r>
      <w:r w:rsidRPr="00C267BF">
        <w:rPr>
          <w:rFonts w:ascii="Times New Roman" w:eastAsia="Times New Roman" w:hAnsi="Times New Roman"/>
          <w:lang w:eastAsia="sk-SK"/>
        </w:rPr>
        <w:t xml:space="preserve"> bezpečnejš</w:t>
      </w:r>
      <w:r w:rsidR="00DA77BA" w:rsidRPr="00C267BF">
        <w:rPr>
          <w:rFonts w:ascii="Times New Roman" w:eastAsia="Times New Roman" w:hAnsi="Times New Roman"/>
          <w:lang w:eastAsia="sk-SK"/>
        </w:rPr>
        <w:t>ia</w:t>
      </w:r>
      <w:r w:rsidRPr="00C267BF">
        <w:rPr>
          <w:rFonts w:ascii="Times New Roman" w:eastAsia="Times New Roman" w:hAnsi="Times New Roman"/>
          <w:lang w:eastAsia="sk-SK"/>
        </w:rPr>
        <w:t xml:space="preserve"> alternatív</w:t>
      </w:r>
      <w:r w:rsidR="00DA77BA" w:rsidRPr="00C267BF">
        <w:rPr>
          <w:rFonts w:ascii="Times New Roman" w:eastAsia="Times New Roman" w:hAnsi="Times New Roman"/>
          <w:lang w:eastAsia="sk-SK"/>
        </w:rPr>
        <w:t>a</w:t>
      </w:r>
      <w:r w:rsidRPr="00C267BF">
        <w:rPr>
          <w:rFonts w:ascii="Times New Roman" w:eastAsia="Times New Roman" w:hAnsi="Times New Roman"/>
          <w:lang w:eastAsia="sk-SK"/>
        </w:rPr>
        <w:t xml:space="preserve"> a ak ochorenie samotné predstavuje väčšie riziko pre matku a plod.</w:t>
      </w:r>
    </w:p>
    <w:p w:rsidR="00D642EF" w:rsidRPr="00C267BF" w:rsidRDefault="00D642EF" w:rsidP="00D642EF">
      <w:pPr>
        <w:autoSpaceDE w:val="0"/>
        <w:autoSpaceDN w:val="0"/>
        <w:adjustRightInd w:val="0"/>
        <w:spacing w:after="0" w:line="240" w:lineRule="auto"/>
        <w:rPr>
          <w:rFonts w:ascii="Times New Roman" w:eastAsia="Times New Roman" w:hAnsi="Times New Roman"/>
          <w:u w:val="single"/>
          <w:lang w:eastAsia="sk-SK"/>
        </w:rPr>
      </w:pPr>
    </w:p>
    <w:p w:rsidR="00D642EF" w:rsidRPr="00F01F11" w:rsidRDefault="00C45BAB" w:rsidP="00D642EF">
      <w:pPr>
        <w:autoSpaceDE w:val="0"/>
        <w:autoSpaceDN w:val="0"/>
        <w:adjustRightInd w:val="0"/>
        <w:spacing w:after="0" w:line="240" w:lineRule="auto"/>
        <w:rPr>
          <w:rFonts w:ascii="Times New Roman" w:eastAsia="Times New Roman" w:hAnsi="Times New Roman"/>
          <w:u w:val="single"/>
          <w:lang w:eastAsia="sk-SK"/>
        </w:rPr>
      </w:pPr>
      <w:r w:rsidRPr="00F01F11">
        <w:rPr>
          <w:rFonts w:ascii="Times New Roman" w:eastAsia="Times New Roman" w:hAnsi="Times New Roman"/>
          <w:u w:val="single"/>
          <w:lang w:eastAsia="sk-SK"/>
        </w:rPr>
        <w:t>Dojčenie</w:t>
      </w:r>
      <w:r w:rsidR="00D642EF" w:rsidRPr="00F01F11">
        <w:rPr>
          <w:rFonts w:ascii="Times New Roman" w:eastAsia="Times New Roman" w:hAnsi="Times New Roman"/>
          <w:u w:val="single"/>
          <w:lang w:eastAsia="sk-SK"/>
        </w:rPr>
        <w:t xml:space="preserve"> </w:t>
      </w:r>
    </w:p>
    <w:p w:rsidR="00C45BAB" w:rsidRPr="00F01F11" w:rsidRDefault="00C45BAB" w:rsidP="00C45BAB">
      <w:pPr>
        <w:autoSpaceDE w:val="0"/>
        <w:autoSpaceDN w:val="0"/>
        <w:adjustRightInd w:val="0"/>
        <w:spacing w:after="0" w:line="240" w:lineRule="auto"/>
        <w:rPr>
          <w:rFonts w:ascii="Times New Roman" w:eastAsia="Times New Roman" w:hAnsi="Times New Roman"/>
          <w:lang w:eastAsia="sk-SK"/>
        </w:rPr>
      </w:pPr>
      <w:proofErr w:type="spellStart"/>
      <w:r w:rsidRPr="00F01F11">
        <w:rPr>
          <w:rFonts w:ascii="Times New Roman" w:eastAsia="Times New Roman" w:hAnsi="Times New Roman"/>
          <w:lang w:eastAsia="sk-SK"/>
        </w:rPr>
        <w:t>Amlodipín</w:t>
      </w:r>
      <w:proofErr w:type="spellEnd"/>
      <w:r w:rsidRPr="00F01F11">
        <w:rPr>
          <w:rFonts w:ascii="Times New Roman" w:eastAsia="Times New Roman" w:hAnsi="Times New Roman"/>
          <w:lang w:eastAsia="sk-SK"/>
        </w:rPr>
        <w:t xml:space="preserve"> sa vylučuje do ľudského materského mlieka. Podiel dávky podanej matke, ktorý</w:t>
      </w:r>
      <w:r w:rsidR="00A247BD" w:rsidRPr="009B2AFB">
        <w:rPr>
          <w:rFonts w:ascii="Times New Roman" w:eastAsia="Times New Roman" w:hAnsi="Times New Roman"/>
          <w:lang w:eastAsia="sk-SK"/>
        </w:rPr>
        <w:t xml:space="preserve"> </w:t>
      </w:r>
      <w:r w:rsidRPr="00F01F11">
        <w:rPr>
          <w:rFonts w:ascii="Times New Roman" w:eastAsia="Times New Roman" w:hAnsi="Times New Roman"/>
          <w:lang w:eastAsia="sk-SK"/>
        </w:rPr>
        <w:t xml:space="preserve">dostane dieťa, sa odhadol s </w:t>
      </w:r>
      <w:proofErr w:type="spellStart"/>
      <w:r w:rsidRPr="00F01F11">
        <w:rPr>
          <w:rFonts w:ascii="Times New Roman" w:eastAsia="Times New Roman" w:hAnsi="Times New Roman"/>
          <w:lang w:eastAsia="sk-SK"/>
        </w:rPr>
        <w:t>interkvartilovým</w:t>
      </w:r>
      <w:proofErr w:type="spellEnd"/>
      <w:r w:rsidRPr="00F01F11">
        <w:rPr>
          <w:rFonts w:ascii="Times New Roman" w:eastAsia="Times New Roman" w:hAnsi="Times New Roman"/>
          <w:lang w:eastAsia="sk-SK"/>
        </w:rPr>
        <w:t xml:space="preserve"> rozsahom 3 až 7 %, s maximom 15 %. Účinok</w:t>
      </w:r>
      <w:r w:rsidR="00A247BD" w:rsidRPr="009B2AFB">
        <w:rPr>
          <w:rFonts w:ascii="Times New Roman" w:eastAsia="Times New Roman" w:hAnsi="Times New Roman"/>
          <w:lang w:eastAsia="sk-SK"/>
        </w:rPr>
        <w:t xml:space="preserve"> </w:t>
      </w:r>
      <w:proofErr w:type="spellStart"/>
      <w:r w:rsidRPr="00F01F11">
        <w:rPr>
          <w:rFonts w:ascii="Times New Roman" w:eastAsia="Times New Roman" w:hAnsi="Times New Roman"/>
          <w:lang w:eastAsia="sk-SK"/>
        </w:rPr>
        <w:t>amlodipínu</w:t>
      </w:r>
      <w:proofErr w:type="spellEnd"/>
      <w:r w:rsidRPr="00F01F11">
        <w:rPr>
          <w:rFonts w:ascii="Times New Roman" w:eastAsia="Times New Roman" w:hAnsi="Times New Roman"/>
          <w:lang w:eastAsia="sk-SK"/>
        </w:rPr>
        <w:t xml:space="preserve"> na deti nie je známy.</w:t>
      </w:r>
    </w:p>
    <w:p w:rsidR="00D642EF" w:rsidRPr="00C267BF" w:rsidRDefault="0081148C" w:rsidP="00C45BAB">
      <w:pPr>
        <w:autoSpaceDE w:val="0"/>
        <w:autoSpaceDN w:val="0"/>
        <w:adjustRightInd w:val="0"/>
        <w:spacing w:after="0" w:line="240" w:lineRule="auto"/>
        <w:rPr>
          <w:rFonts w:ascii="Times New Roman" w:eastAsia="Times New Roman" w:hAnsi="Times New Roman"/>
          <w:lang w:eastAsia="sk-SK"/>
        </w:rPr>
      </w:pPr>
      <w:r w:rsidRPr="00F01F11">
        <w:rPr>
          <w:rFonts w:ascii="Times New Roman" w:eastAsia="Times New Roman" w:hAnsi="Times New Roman"/>
          <w:lang w:eastAsia="sk-SK"/>
        </w:rPr>
        <w:t>N</w:t>
      </w:r>
      <w:r w:rsidR="00D642EF" w:rsidRPr="00F01F11">
        <w:rPr>
          <w:rFonts w:ascii="Times New Roman" w:eastAsia="Times New Roman" w:hAnsi="Times New Roman"/>
          <w:lang w:eastAsia="sk-SK"/>
        </w:rPr>
        <w:t xml:space="preserve">ie sú dostupné žiadne informácie ohľadom používania </w:t>
      </w:r>
      <w:proofErr w:type="spellStart"/>
      <w:r w:rsidRPr="00F01F11">
        <w:rPr>
          <w:rFonts w:ascii="Times New Roman" w:eastAsia="Times New Roman" w:hAnsi="Times New Roman"/>
          <w:lang w:eastAsia="sk-SK"/>
        </w:rPr>
        <w:t>telmisartanu</w:t>
      </w:r>
      <w:proofErr w:type="spellEnd"/>
      <w:r w:rsidR="00D642EF" w:rsidRPr="00F01F11">
        <w:rPr>
          <w:rFonts w:ascii="Times New Roman" w:eastAsia="Times New Roman" w:hAnsi="Times New Roman"/>
          <w:lang w:eastAsia="sk-SK"/>
        </w:rPr>
        <w:t xml:space="preserve"> </w:t>
      </w:r>
      <w:r w:rsidRPr="00F01F11">
        <w:rPr>
          <w:rFonts w:ascii="Times New Roman" w:eastAsia="Times New Roman" w:hAnsi="Times New Roman"/>
          <w:lang w:eastAsia="sk-SK"/>
        </w:rPr>
        <w:t>počas dojčeni</w:t>
      </w:r>
      <w:r w:rsidR="00DA77BA" w:rsidRPr="00F01F11">
        <w:rPr>
          <w:rFonts w:ascii="Times New Roman" w:eastAsia="Times New Roman" w:hAnsi="Times New Roman"/>
          <w:lang w:eastAsia="sk-SK"/>
        </w:rPr>
        <w:t>a</w:t>
      </w:r>
      <w:r w:rsidRPr="00F01F11">
        <w:rPr>
          <w:rFonts w:ascii="Times New Roman" w:eastAsia="Times New Roman" w:hAnsi="Times New Roman"/>
          <w:lang w:eastAsia="sk-SK"/>
        </w:rPr>
        <w:t>.</w:t>
      </w:r>
      <w:r w:rsidR="00D642EF" w:rsidRPr="00F01F11">
        <w:rPr>
          <w:rFonts w:ascii="Times New Roman" w:eastAsia="Times New Roman" w:hAnsi="Times New Roman"/>
          <w:lang w:eastAsia="sk-SK"/>
        </w:rPr>
        <w:t xml:space="preserve"> </w:t>
      </w:r>
      <w:r w:rsidRPr="00F01F11">
        <w:rPr>
          <w:rFonts w:ascii="Times New Roman" w:eastAsia="Times New Roman" w:hAnsi="Times New Roman"/>
          <w:lang w:eastAsia="sk-SK"/>
        </w:rPr>
        <w:t>Preto</w:t>
      </w:r>
      <w:r w:rsidR="00D642EF" w:rsidRPr="00F01F11">
        <w:rPr>
          <w:rFonts w:ascii="Times New Roman" w:eastAsia="Times New Roman" w:hAnsi="Times New Roman"/>
          <w:lang w:eastAsia="sk-SK"/>
        </w:rPr>
        <w:t xml:space="preserve"> sa </w:t>
      </w:r>
      <w:proofErr w:type="spellStart"/>
      <w:r w:rsidR="00A247BD" w:rsidRPr="00F01F11">
        <w:rPr>
          <w:rFonts w:ascii="Times New Roman" w:eastAsia="Times New Roman" w:hAnsi="Times New Roman"/>
          <w:lang w:eastAsia="sk-SK"/>
        </w:rPr>
        <w:t>Mixor</w:t>
      </w:r>
      <w:proofErr w:type="spellEnd"/>
      <w:r w:rsidR="00A247BD" w:rsidRPr="00F01F11">
        <w:rPr>
          <w:rFonts w:ascii="Times New Roman" w:eastAsia="Times New Roman" w:hAnsi="Times New Roman"/>
          <w:lang w:eastAsia="sk-SK"/>
        </w:rPr>
        <w:t xml:space="preserve"> </w:t>
      </w:r>
      <w:r w:rsidR="00D642EF" w:rsidRPr="00F01F11">
        <w:rPr>
          <w:rFonts w:ascii="Times New Roman" w:eastAsia="Times New Roman" w:hAnsi="Times New Roman"/>
          <w:lang w:eastAsia="sk-SK"/>
        </w:rPr>
        <w:t>neodporúča a vhodnejšie je používať alternatívne liečby s lepšie preukázanými profilmi bezpečnosti pre obdobie dojčenia, najmä počas dojčenia novorodencov alebo predčasne narodených detí.</w:t>
      </w:r>
    </w:p>
    <w:p w:rsidR="00D642EF" w:rsidRPr="00C267BF" w:rsidRDefault="00D642EF" w:rsidP="00D642EF">
      <w:pPr>
        <w:autoSpaceDE w:val="0"/>
        <w:autoSpaceDN w:val="0"/>
        <w:adjustRightInd w:val="0"/>
        <w:spacing w:after="0" w:line="240" w:lineRule="auto"/>
        <w:rPr>
          <w:rFonts w:ascii="Times New Roman" w:eastAsia="Times New Roman" w:hAnsi="Times New Roman"/>
          <w:b/>
          <w:bCs/>
          <w:lang w:eastAsia="sk-SK"/>
        </w:rPr>
      </w:pPr>
    </w:p>
    <w:p w:rsidR="00D642EF" w:rsidRPr="00C267BF" w:rsidRDefault="00D642EF" w:rsidP="00D642EF">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Fertilita</w:t>
      </w:r>
    </w:p>
    <w:p w:rsidR="0081148C" w:rsidRPr="00C267BF" w:rsidRDefault="0081148C" w:rsidP="00D642EF">
      <w:pPr>
        <w:spacing w:after="0" w:line="240" w:lineRule="auto"/>
        <w:ind w:left="567" w:hanging="567"/>
        <w:rPr>
          <w:rFonts w:ascii="Times New Roman" w:eastAsia="Times New Roman" w:hAnsi="Times New Roman"/>
          <w:lang w:eastAsia="sk-SK"/>
        </w:rPr>
      </w:pPr>
    </w:p>
    <w:p w:rsidR="0081148C" w:rsidRPr="00C267BF" w:rsidRDefault="0081148C" w:rsidP="00D642EF">
      <w:pPr>
        <w:spacing w:after="0" w:line="240" w:lineRule="auto"/>
        <w:ind w:left="567" w:hanging="567"/>
        <w:rPr>
          <w:rFonts w:ascii="Times New Roman" w:eastAsia="Times New Roman" w:hAnsi="Times New Roman"/>
          <w:i/>
          <w:lang w:eastAsia="sk-SK"/>
        </w:rPr>
      </w:pPr>
      <w:r w:rsidRPr="00C267BF">
        <w:rPr>
          <w:rFonts w:ascii="Times New Roman" w:eastAsia="Times New Roman" w:hAnsi="Times New Roman"/>
          <w:i/>
          <w:lang w:eastAsia="sk-SK"/>
        </w:rPr>
        <w:t>Telmisartan</w:t>
      </w:r>
    </w:p>
    <w:p w:rsidR="00FD2D5B" w:rsidRPr="00C267BF" w:rsidRDefault="00D642EF" w:rsidP="00D642EF">
      <w:pPr>
        <w:spacing w:after="0" w:line="240" w:lineRule="auto"/>
        <w:ind w:left="567" w:hanging="567"/>
        <w:rPr>
          <w:rFonts w:ascii="Times New Roman" w:hAnsi="Times New Roman"/>
          <w:lang w:eastAsia="sk-SK"/>
        </w:rPr>
      </w:pPr>
      <w:r w:rsidRPr="00C267BF">
        <w:rPr>
          <w:rFonts w:ascii="Times New Roman" w:eastAsia="Times New Roman" w:hAnsi="Times New Roman"/>
          <w:lang w:eastAsia="sk-SK"/>
        </w:rPr>
        <w:t xml:space="preserve">V predklinických štúdiách sa nepozorovali žiadne vplyvy </w:t>
      </w:r>
      <w:r w:rsidR="0081148C" w:rsidRPr="00C267BF">
        <w:rPr>
          <w:rFonts w:ascii="Times New Roman" w:eastAsia="Times New Roman" w:hAnsi="Times New Roman"/>
          <w:lang w:eastAsia="sk-SK"/>
        </w:rPr>
        <w:t>telmisartanu</w:t>
      </w:r>
      <w:r w:rsidRPr="00C267BF">
        <w:rPr>
          <w:rFonts w:ascii="Times New Roman" w:eastAsia="Times New Roman" w:hAnsi="Times New Roman"/>
          <w:lang w:eastAsia="sk-SK"/>
        </w:rPr>
        <w:t xml:space="preserve"> na fertilitu samcov a</w:t>
      </w:r>
      <w:r w:rsidR="0081148C" w:rsidRPr="00C267BF">
        <w:rPr>
          <w:rFonts w:ascii="Times New Roman" w:eastAsia="Times New Roman" w:hAnsi="Times New Roman"/>
          <w:lang w:eastAsia="sk-SK"/>
        </w:rPr>
        <w:t> </w:t>
      </w:r>
      <w:r w:rsidRPr="00C267BF">
        <w:rPr>
          <w:rFonts w:ascii="Times New Roman" w:eastAsia="Times New Roman" w:hAnsi="Times New Roman"/>
          <w:lang w:eastAsia="sk-SK"/>
        </w:rPr>
        <w:t>samíc</w:t>
      </w:r>
      <w:r w:rsidR="0081148C" w:rsidRPr="00C267BF">
        <w:rPr>
          <w:rFonts w:ascii="Times New Roman" w:eastAsia="Times New Roman" w:hAnsi="Times New Roman"/>
          <w:lang w:eastAsia="sk-SK"/>
        </w:rPr>
        <w:t>.</w:t>
      </w:r>
    </w:p>
    <w:p w:rsidR="0081148C" w:rsidRPr="00C267BF" w:rsidRDefault="0081148C" w:rsidP="00FD2D5B">
      <w:pPr>
        <w:spacing w:after="0" w:line="240" w:lineRule="auto"/>
        <w:ind w:left="567" w:hanging="567"/>
        <w:rPr>
          <w:rFonts w:ascii="Times New Roman" w:hAnsi="Times New Roman"/>
          <w:b/>
          <w:iCs/>
          <w:highlight w:val="yellow"/>
          <w:u w:val="single"/>
          <w:lang w:eastAsia="sk-SK"/>
        </w:rPr>
      </w:pPr>
    </w:p>
    <w:p w:rsidR="0081148C" w:rsidRPr="00C267BF" w:rsidRDefault="0081148C" w:rsidP="00FD2D5B">
      <w:pPr>
        <w:tabs>
          <w:tab w:val="left" w:pos="284"/>
          <w:tab w:val="left" w:pos="709"/>
          <w:tab w:val="left" w:pos="993"/>
        </w:tabs>
        <w:spacing w:after="0" w:line="240" w:lineRule="auto"/>
        <w:rPr>
          <w:rFonts w:ascii="Times New Roman" w:hAnsi="Times New Roman"/>
          <w:i/>
          <w:lang w:eastAsia="sk-SK"/>
        </w:rPr>
      </w:pPr>
      <w:r w:rsidRPr="00C267BF">
        <w:rPr>
          <w:rFonts w:ascii="Times New Roman" w:hAnsi="Times New Roman"/>
          <w:i/>
          <w:lang w:eastAsia="sk-SK"/>
        </w:rPr>
        <w:t>Amlodipín</w:t>
      </w:r>
    </w:p>
    <w:p w:rsidR="00FD2D5B" w:rsidRPr="00C267BF" w:rsidRDefault="00FD2D5B" w:rsidP="00FD2D5B">
      <w:pPr>
        <w:tabs>
          <w:tab w:val="left" w:pos="284"/>
          <w:tab w:val="left" w:pos="709"/>
          <w:tab w:val="left" w:pos="993"/>
        </w:tabs>
        <w:spacing w:after="0" w:line="240" w:lineRule="auto"/>
        <w:rPr>
          <w:rFonts w:ascii="Times New Roman" w:hAnsi="Times New Roman"/>
          <w:bCs/>
          <w:iCs/>
          <w:lang w:eastAsia="sk-SK"/>
        </w:rPr>
      </w:pPr>
      <w:r w:rsidRPr="00C267BF">
        <w:rPr>
          <w:rFonts w:ascii="Times New Roman" w:hAnsi="Times New Roman"/>
          <w:lang w:eastAsia="sk-SK"/>
        </w:rPr>
        <w:t xml:space="preserve">U niektorých pacientov, liečených blokátormi kalciových kanálov, boli hlásené reverzibilné biochemické zmeny na hlavičke spermií. Nie sú dostatočné klinické údaje týkajúce sa možného účinku amlodipínu na fertilitu. V jednej štúdii na potkanoch boli pozorované vedľajšie účinky na fertilitu </w:t>
      </w:r>
      <w:r w:rsidRPr="00C267BF">
        <w:rPr>
          <w:rFonts w:ascii="Times New Roman" w:hAnsi="Times New Roman"/>
          <w:bCs/>
          <w:iCs/>
          <w:lang w:eastAsia="sk-SK"/>
        </w:rPr>
        <w:t>u samcov (pozri časť 5.3).</w:t>
      </w:r>
    </w:p>
    <w:p w:rsidR="00FD2D5B" w:rsidRPr="00C267BF" w:rsidRDefault="00FD2D5B" w:rsidP="00FD2D5B">
      <w:pPr>
        <w:tabs>
          <w:tab w:val="left" w:pos="284"/>
          <w:tab w:val="left" w:pos="709"/>
          <w:tab w:val="left" w:pos="993"/>
        </w:tabs>
        <w:spacing w:after="0" w:line="240" w:lineRule="auto"/>
        <w:rPr>
          <w:rFonts w:ascii="Times New Roman" w:hAnsi="Times New Roman"/>
          <w:bCs/>
          <w:iCs/>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4.7</w:t>
      </w:r>
      <w:r w:rsidRPr="00C267BF">
        <w:rPr>
          <w:rFonts w:ascii="Times New Roman" w:hAnsi="Times New Roman"/>
          <w:b/>
          <w:noProof/>
          <w:lang w:eastAsia="sk-SK"/>
        </w:rPr>
        <w:tab/>
        <w:t>Ovplyvnenie schopnosti viesť vozidlá a obsluhovať stroje</w:t>
      </w:r>
    </w:p>
    <w:p w:rsidR="00FD2D5B" w:rsidRPr="00C267BF" w:rsidRDefault="00FD2D5B" w:rsidP="00FD2D5B">
      <w:pPr>
        <w:spacing w:after="0" w:line="240" w:lineRule="auto"/>
        <w:ind w:left="567" w:hanging="567"/>
        <w:rPr>
          <w:rFonts w:ascii="Times New Roman" w:hAnsi="Times New Roman"/>
          <w:noProof/>
          <w:lang w:eastAsia="sk-SK"/>
        </w:rPr>
      </w:pPr>
    </w:p>
    <w:p w:rsidR="0081148C" w:rsidRPr="00C267BF" w:rsidRDefault="0081148C" w:rsidP="00FD2D5B">
      <w:pPr>
        <w:spacing w:after="0" w:line="240" w:lineRule="auto"/>
        <w:rPr>
          <w:rFonts w:ascii="Times New Roman" w:hAnsi="Times New Roman"/>
          <w:lang w:eastAsia="sk-SK"/>
        </w:rPr>
      </w:pPr>
      <w:proofErr w:type="spellStart"/>
      <w:r w:rsidRPr="00C267BF">
        <w:rPr>
          <w:rFonts w:ascii="Times New Roman" w:hAnsi="Times New Roman"/>
          <w:lang w:eastAsia="sk-SK"/>
        </w:rPr>
        <w:t>M</w:t>
      </w:r>
      <w:r w:rsidR="00B17E64" w:rsidRPr="00B17E64">
        <w:rPr>
          <w:rFonts w:ascii="Times New Roman" w:hAnsi="Times New Roman"/>
          <w:lang w:eastAsia="sk-SK"/>
        </w:rPr>
        <w:t>ixor</w:t>
      </w:r>
      <w:proofErr w:type="spellEnd"/>
      <w:r w:rsidRPr="00C267BF">
        <w:rPr>
          <w:rFonts w:ascii="Times New Roman" w:hAnsi="Times New Roman"/>
          <w:lang w:eastAsia="sk-SK"/>
        </w:rPr>
        <w:t xml:space="preserve"> má mierny vplyv na schopnosť viesť </w:t>
      </w:r>
      <w:r w:rsidR="00DA77BA" w:rsidRPr="00C267BF">
        <w:rPr>
          <w:rFonts w:ascii="Times New Roman" w:hAnsi="Times New Roman"/>
          <w:lang w:eastAsia="sk-SK"/>
        </w:rPr>
        <w:t xml:space="preserve">vozidlá </w:t>
      </w:r>
      <w:r w:rsidRPr="00C267BF">
        <w:rPr>
          <w:rFonts w:ascii="Times New Roman" w:hAnsi="Times New Roman"/>
          <w:lang w:eastAsia="sk-SK"/>
        </w:rPr>
        <w:t xml:space="preserve">a obsluhovať stroje. </w:t>
      </w:r>
    </w:p>
    <w:p w:rsidR="005E1EF1" w:rsidRPr="00C267BF" w:rsidRDefault="005E1EF1" w:rsidP="00FD2D5B">
      <w:pPr>
        <w:spacing w:after="0" w:line="240" w:lineRule="auto"/>
        <w:rPr>
          <w:rFonts w:ascii="Times New Roman" w:hAnsi="Times New Roman"/>
          <w:lang w:eastAsia="sk-SK"/>
        </w:rPr>
      </w:pPr>
      <w:r w:rsidRPr="00C267BF">
        <w:rPr>
          <w:rFonts w:ascii="Times New Roman" w:hAnsi="Times New Roman"/>
          <w:lang w:eastAsia="sk-SK"/>
        </w:rPr>
        <w:t xml:space="preserve">Ak pacienti užívajúci </w:t>
      </w:r>
      <w:proofErr w:type="spellStart"/>
      <w:r w:rsidRPr="00C267BF">
        <w:rPr>
          <w:rFonts w:ascii="Times New Roman" w:hAnsi="Times New Roman"/>
          <w:lang w:eastAsia="sk-SK"/>
        </w:rPr>
        <w:t>M</w:t>
      </w:r>
      <w:r w:rsidR="00B17E64" w:rsidRPr="00B17E64">
        <w:rPr>
          <w:rFonts w:ascii="Times New Roman" w:hAnsi="Times New Roman"/>
          <w:lang w:eastAsia="sk-SK"/>
        </w:rPr>
        <w:t>ixor</w:t>
      </w:r>
      <w:proofErr w:type="spellEnd"/>
      <w:r w:rsidRPr="00C267BF">
        <w:rPr>
          <w:rFonts w:ascii="Times New Roman" w:hAnsi="Times New Roman"/>
          <w:lang w:eastAsia="sk-SK"/>
        </w:rPr>
        <w:t xml:space="preserve"> trpia závratmi, bolesťou hlavy, únavou alebo nevoľnosťou</w:t>
      </w:r>
      <w:r w:rsidR="00DA77BA" w:rsidRPr="00C267BF">
        <w:rPr>
          <w:rFonts w:ascii="Times New Roman" w:hAnsi="Times New Roman"/>
          <w:lang w:eastAsia="sk-SK"/>
        </w:rPr>
        <w:t>,</w:t>
      </w:r>
      <w:r w:rsidRPr="00C267BF">
        <w:rPr>
          <w:rFonts w:ascii="Times New Roman" w:hAnsi="Times New Roman"/>
          <w:lang w:eastAsia="sk-SK"/>
        </w:rPr>
        <w:t xml:space="preserve"> schopnosť reagovať môže byť narušená. Preto sa odporúča opatrnosť pri vedení </w:t>
      </w:r>
      <w:r w:rsidR="00DA77BA" w:rsidRPr="00C267BF">
        <w:rPr>
          <w:rFonts w:ascii="Times New Roman" w:hAnsi="Times New Roman"/>
          <w:lang w:eastAsia="sk-SK"/>
        </w:rPr>
        <w:t>vozidla</w:t>
      </w:r>
      <w:r w:rsidRPr="00C267BF">
        <w:rPr>
          <w:rFonts w:ascii="Times New Roman" w:hAnsi="Times New Roman"/>
          <w:lang w:eastAsia="sk-SK"/>
        </w:rPr>
        <w:t xml:space="preserve"> alebo obsluhe strojov. Ak pacienti pociťujú tieto nežiaduce účinky, mali by sa vyhnúť potenciálne nebezpečným činnostiam, ako je vedenie alebo obsluha strojov</w:t>
      </w:r>
    </w:p>
    <w:p w:rsidR="00FD2D5B" w:rsidRPr="00C267BF" w:rsidRDefault="00FD2D5B" w:rsidP="00FD2D5B">
      <w:pPr>
        <w:spacing w:after="0" w:line="240" w:lineRule="auto"/>
        <w:rPr>
          <w:rFonts w:ascii="Times New Roman" w:hAnsi="Times New Roman"/>
          <w:lang w:eastAsia="sk-SK"/>
        </w:rPr>
      </w:pPr>
    </w:p>
    <w:p w:rsidR="00FD2D5B" w:rsidRPr="00C267BF" w:rsidRDefault="00FD2D5B" w:rsidP="00FD2D5B">
      <w:pPr>
        <w:spacing w:after="0" w:line="240" w:lineRule="auto"/>
        <w:ind w:left="567" w:hanging="567"/>
        <w:rPr>
          <w:rFonts w:ascii="Times New Roman" w:hAnsi="Times New Roman"/>
          <w:b/>
          <w:noProof/>
          <w:lang w:eastAsia="sk-SK"/>
        </w:rPr>
      </w:pPr>
      <w:r w:rsidRPr="00C267BF">
        <w:rPr>
          <w:rFonts w:ascii="Times New Roman" w:hAnsi="Times New Roman"/>
          <w:b/>
          <w:noProof/>
          <w:lang w:eastAsia="sk-SK"/>
        </w:rPr>
        <w:t>4.8</w:t>
      </w:r>
      <w:r w:rsidRPr="00C267BF">
        <w:rPr>
          <w:rFonts w:ascii="Times New Roman" w:hAnsi="Times New Roman"/>
          <w:b/>
          <w:noProof/>
          <w:lang w:eastAsia="sk-SK"/>
        </w:rPr>
        <w:tab/>
        <w:t>Nežiaduce účinky</w:t>
      </w:r>
    </w:p>
    <w:p w:rsidR="00FD2D5B" w:rsidRPr="00C267BF" w:rsidRDefault="00FD2D5B" w:rsidP="00FD2D5B">
      <w:pPr>
        <w:spacing w:after="0" w:line="240" w:lineRule="auto"/>
        <w:ind w:left="567" w:hanging="567"/>
        <w:rPr>
          <w:rFonts w:ascii="Times New Roman" w:hAnsi="Times New Roman"/>
          <w:i/>
          <w:noProof/>
          <w:lang w:eastAsia="sk-SK"/>
        </w:rPr>
      </w:pPr>
    </w:p>
    <w:p w:rsidR="00682849" w:rsidRPr="00C267BF" w:rsidRDefault="00682849" w:rsidP="00682849">
      <w:pPr>
        <w:spacing w:after="0" w:line="240" w:lineRule="auto"/>
        <w:rPr>
          <w:rFonts w:ascii="Times New Roman" w:hAnsi="Times New Roman"/>
          <w:lang w:eastAsia="sk-SK"/>
        </w:rPr>
      </w:pPr>
      <w:r w:rsidRPr="00C267BF">
        <w:rPr>
          <w:rFonts w:ascii="Times New Roman" w:hAnsi="Times New Roman"/>
          <w:lang w:eastAsia="sk-SK"/>
        </w:rPr>
        <w:t xml:space="preserve">Nežiaduce reakcie hlásené v minulosti u jednej zo zložiek (amlodipín alebo telmisartan) môžu byť potenciálnymi nežiaducimi účinkami aj </w:t>
      </w:r>
      <w:proofErr w:type="spellStart"/>
      <w:r w:rsidRPr="00C267BF">
        <w:rPr>
          <w:rFonts w:ascii="Times New Roman" w:hAnsi="Times New Roman"/>
          <w:lang w:eastAsia="sk-SK"/>
        </w:rPr>
        <w:t>M</w:t>
      </w:r>
      <w:r w:rsidR="00B17E64" w:rsidRPr="00B17E64">
        <w:rPr>
          <w:rFonts w:ascii="Times New Roman" w:hAnsi="Times New Roman"/>
          <w:lang w:eastAsia="sk-SK"/>
        </w:rPr>
        <w:t>ixor</w:t>
      </w:r>
      <w:r w:rsidR="00B17E64">
        <w:rPr>
          <w:rFonts w:ascii="Times New Roman" w:hAnsi="Times New Roman"/>
          <w:lang w:eastAsia="sk-SK"/>
        </w:rPr>
        <w:t>u</w:t>
      </w:r>
      <w:proofErr w:type="spellEnd"/>
      <w:r w:rsidRPr="00C267BF">
        <w:rPr>
          <w:rFonts w:ascii="Times New Roman" w:hAnsi="Times New Roman"/>
          <w:lang w:eastAsia="sk-SK"/>
        </w:rPr>
        <w:t>.</w:t>
      </w:r>
    </w:p>
    <w:p w:rsidR="00682849" w:rsidRPr="00C267BF" w:rsidRDefault="00682849" w:rsidP="00FD2D5B">
      <w:pPr>
        <w:spacing w:after="0" w:line="240" w:lineRule="auto"/>
        <w:ind w:left="567" w:hanging="567"/>
        <w:rPr>
          <w:rFonts w:ascii="Times New Roman" w:hAnsi="Times New Roman"/>
          <w:u w:val="single"/>
          <w:lang w:eastAsia="sk-SK"/>
        </w:rPr>
      </w:pPr>
    </w:p>
    <w:p w:rsidR="00682849" w:rsidRPr="00C267BF" w:rsidRDefault="00682849" w:rsidP="00FD2D5B">
      <w:pPr>
        <w:spacing w:after="0" w:line="240" w:lineRule="auto"/>
        <w:ind w:left="567" w:hanging="567"/>
        <w:rPr>
          <w:rFonts w:ascii="Times New Roman" w:hAnsi="Times New Roman"/>
          <w:u w:val="single"/>
          <w:lang w:eastAsia="sk-SK"/>
        </w:rPr>
      </w:pPr>
      <w:r w:rsidRPr="00C267BF">
        <w:rPr>
          <w:rFonts w:ascii="Times New Roman" w:hAnsi="Times New Roman"/>
          <w:u w:val="single"/>
          <w:lang w:eastAsia="sk-SK"/>
        </w:rPr>
        <w:t>Nežiaduce účinky spojené s telmisartanom</w:t>
      </w:r>
    </w:p>
    <w:p w:rsidR="00682849" w:rsidRPr="00C267BF" w:rsidRDefault="00682849" w:rsidP="00FD2D5B">
      <w:pPr>
        <w:spacing w:after="0" w:line="240" w:lineRule="auto"/>
        <w:ind w:left="567" w:hanging="567"/>
        <w:rPr>
          <w:rFonts w:ascii="Times New Roman" w:hAnsi="Times New Roman"/>
          <w:u w:val="single"/>
          <w:lang w:eastAsia="sk-SK"/>
        </w:rPr>
      </w:pPr>
    </w:p>
    <w:p w:rsidR="00682849" w:rsidRPr="00C267BF" w:rsidRDefault="00682849" w:rsidP="00682849">
      <w:pPr>
        <w:autoSpaceDE w:val="0"/>
        <w:autoSpaceDN w:val="0"/>
        <w:adjustRightInd w:val="0"/>
        <w:spacing w:after="0" w:line="240" w:lineRule="auto"/>
        <w:rPr>
          <w:rFonts w:ascii="Times New Roman" w:eastAsia="Times New Roman" w:hAnsi="Times New Roman"/>
          <w:iCs/>
          <w:u w:val="single"/>
          <w:lang w:eastAsia="sk-SK"/>
        </w:rPr>
      </w:pPr>
      <w:r w:rsidRPr="00C267BF">
        <w:rPr>
          <w:rFonts w:ascii="Times New Roman" w:eastAsia="Times New Roman" w:hAnsi="Times New Roman"/>
          <w:iCs/>
          <w:u w:val="single"/>
          <w:lang w:eastAsia="sk-SK"/>
        </w:rPr>
        <w:t>Súhrn profilu bezpečnosti</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Závažné nežiaduce reakcie liekov zahŕňajú anafylaktickú reakciu a angioedém, ktoré sa môžu vyskytovať zriedkavo ((≥1/10</w:t>
      </w:r>
      <w:r w:rsidR="00A247BD">
        <w:rPr>
          <w:rFonts w:ascii="Times New Roman" w:eastAsia="Times New Roman" w:hAnsi="Times New Roman"/>
          <w:lang w:eastAsia="sk-SK"/>
        </w:rPr>
        <w:t> </w:t>
      </w:r>
      <w:r w:rsidRPr="00C267BF">
        <w:rPr>
          <w:rFonts w:ascii="Times New Roman" w:eastAsia="Times New Roman" w:hAnsi="Times New Roman"/>
          <w:lang w:eastAsia="sk-SK"/>
        </w:rPr>
        <w:t xml:space="preserve">000 </w:t>
      </w:r>
      <w:r w:rsidR="006A4EB8" w:rsidRPr="00C267BF">
        <w:rPr>
          <w:rFonts w:ascii="Times New Roman" w:eastAsia="Times New Roman" w:hAnsi="Times New Roman"/>
          <w:lang w:eastAsia="sk-SK"/>
        </w:rPr>
        <w:t>až</w:t>
      </w:r>
      <w:r w:rsidRPr="00C267BF">
        <w:rPr>
          <w:rFonts w:ascii="Times New Roman" w:eastAsia="Times New Roman" w:hAnsi="Times New Roman"/>
          <w:lang w:eastAsia="sk-SK"/>
        </w:rPr>
        <w:t xml:space="preserve"> &lt;1/1</w:t>
      </w:r>
      <w:r w:rsidR="00A247BD">
        <w:rPr>
          <w:rFonts w:ascii="Times New Roman" w:eastAsia="Times New Roman" w:hAnsi="Times New Roman"/>
          <w:lang w:eastAsia="sk-SK"/>
        </w:rPr>
        <w:t> </w:t>
      </w:r>
      <w:r w:rsidRPr="00C267BF">
        <w:rPr>
          <w:rFonts w:ascii="Times New Roman" w:eastAsia="Times New Roman" w:hAnsi="Times New Roman"/>
          <w:lang w:eastAsia="sk-SK"/>
        </w:rPr>
        <w:t>000)</w:t>
      </w:r>
      <w:r w:rsidR="006A4EB8" w:rsidRPr="00C267BF">
        <w:rPr>
          <w:rFonts w:ascii="Times New Roman" w:eastAsia="Times New Roman" w:hAnsi="Times New Roman"/>
          <w:lang w:eastAsia="sk-SK"/>
        </w:rPr>
        <w:t>,</w:t>
      </w:r>
      <w:r w:rsidRPr="00C267BF">
        <w:rPr>
          <w:rFonts w:ascii="Times New Roman" w:eastAsia="Times New Roman" w:hAnsi="Times New Roman"/>
          <w:lang w:eastAsia="sk-SK"/>
        </w:rPr>
        <w:t xml:space="preserve"> a akútne zlyhanie obličiek.</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 </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Celkový výskyt nežiaducich reakcií hlásených s </w:t>
      </w:r>
      <w:proofErr w:type="spellStart"/>
      <w:r w:rsidRPr="00C267BF">
        <w:rPr>
          <w:rFonts w:ascii="Times New Roman" w:eastAsia="Times New Roman" w:hAnsi="Times New Roman"/>
          <w:lang w:eastAsia="sk-SK"/>
        </w:rPr>
        <w:t>telmisartanom</w:t>
      </w:r>
      <w:proofErr w:type="spellEnd"/>
      <w:r w:rsidRPr="00C267BF">
        <w:rPr>
          <w:rFonts w:ascii="Times New Roman" w:eastAsia="Times New Roman" w:hAnsi="Times New Roman"/>
          <w:lang w:eastAsia="sk-SK"/>
        </w:rPr>
        <w:t xml:space="preserve"> bol zvyčajne porovnateľný s placebom (41,4 % verzus 43,9 %) v kontrolovaných klinických skúšaniach</w:t>
      </w:r>
      <w:r w:rsidR="00256C76" w:rsidRPr="00C267BF">
        <w:rPr>
          <w:rFonts w:ascii="Times New Roman" w:eastAsia="Times New Roman" w:hAnsi="Times New Roman"/>
          <w:lang w:eastAsia="sk-SK"/>
        </w:rPr>
        <w:t xml:space="preserve"> u pacientov s hypertenziou</w:t>
      </w:r>
      <w:r w:rsidRPr="00C267BF">
        <w:rPr>
          <w:rFonts w:ascii="Times New Roman" w:eastAsia="Times New Roman" w:hAnsi="Times New Roman"/>
          <w:lang w:eastAsia="sk-SK"/>
        </w:rPr>
        <w:t>. Výskyt nežiaducich reakcií nebol závislý od dávky a nebola preukázaná súvislosť s pohlavím, vekom alebo rasou pacientov. Bezpečnostný profil telmisartanu u pacientov podstupujúcich liečbu na zníženie kardiovaskulárnej morbidity bol zhodný s tým, ktorý sa získal u pacientov s hypertenziou.</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Nežiaduce reakcie uvedené nižšie sa zhromaždili z kontrolovaných klinických skúšaní s pacientmi liečenými na hypertenziu a z post-marketingových hlásení. Zoznam tiež zohľadňuje závažné nežiaduce reakcie a nežiaduce reakcie vedúce k prerušeniu liečby, ktoré sa hlásili v troch dlhodobých klinických skúšaniach, ktoré zahŕňali 21 642 pacientov liečených telmisartanom na zníženie kardiovaskulárnej morbidity počas šiestich rokov.</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C267BF" w:rsidRDefault="00682849" w:rsidP="00682849">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iCs/>
          <w:u w:val="single"/>
          <w:lang w:eastAsia="sk-SK"/>
        </w:rPr>
        <w:t>Tabuľkový prehľad nežiaducich reakcií</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 </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Nežiaduce reakcie sú usporiadané podľa názvov frekvencie s použitím nasledovnej konvencie: veľmi časté (≥1/10); časté (≥1/100 až &lt;1/10); menej časté (≥1/1</w:t>
      </w:r>
      <w:r w:rsidR="00A247BD">
        <w:rPr>
          <w:rFonts w:ascii="Times New Roman" w:eastAsia="Times New Roman" w:hAnsi="Times New Roman"/>
          <w:lang w:eastAsia="sk-SK"/>
        </w:rPr>
        <w:t> </w:t>
      </w:r>
      <w:r w:rsidRPr="00C267BF">
        <w:rPr>
          <w:rFonts w:ascii="Times New Roman" w:eastAsia="Times New Roman" w:hAnsi="Times New Roman"/>
          <w:lang w:eastAsia="sk-SK"/>
        </w:rPr>
        <w:t>000 až &lt;1/100); zriedkavé (≥1/10</w:t>
      </w:r>
      <w:r w:rsidR="00A247BD">
        <w:rPr>
          <w:rFonts w:ascii="Times New Roman" w:eastAsia="Times New Roman" w:hAnsi="Times New Roman"/>
          <w:lang w:eastAsia="sk-SK"/>
        </w:rPr>
        <w:t xml:space="preserve"> </w:t>
      </w:r>
      <w:r w:rsidRPr="00C267BF">
        <w:rPr>
          <w:rFonts w:ascii="Times New Roman" w:eastAsia="Times New Roman" w:hAnsi="Times New Roman"/>
          <w:lang w:eastAsia="sk-SK"/>
        </w:rPr>
        <w:t>000 až &lt;1/1</w:t>
      </w:r>
      <w:r w:rsidR="00A247BD">
        <w:rPr>
          <w:rFonts w:ascii="Times New Roman" w:eastAsia="Times New Roman" w:hAnsi="Times New Roman"/>
          <w:lang w:eastAsia="sk-SK"/>
        </w:rPr>
        <w:t> </w:t>
      </w:r>
      <w:r w:rsidRPr="00C267BF">
        <w:rPr>
          <w:rFonts w:ascii="Times New Roman" w:eastAsia="Times New Roman" w:hAnsi="Times New Roman"/>
          <w:lang w:eastAsia="sk-SK"/>
        </w:rPr>
        <w:t>000); veľmi zriedkavé (&lt;1/10</w:t>
      </w:r>
      <w:r w:rsidR="00A247BD">
        <w:rPr>
          <w:rFonts w:ascii="Times New Roman" w:eastAsia="Times New Roman" w:hAnsi="Times New Roman"/>
          <w:lang w:eastAsia="sk-SK"/>
        </w:rPr>
        <w:t> </w:t>
      </w:r>
      <w:r w:rsidRPr="00C267BF">
        <w:rPr>
          <w:rFonts w:ascii="Times New Roman" w:eastAsia="Times New Roman" w:hAnsi="Times New Roman"/>
          <w:lang w:eastAsia="sk-SK"/>
        </w:rPr>
        <w:t>000), neznáme (nedajú sa odhadnúť z dostupných údajov).</w:t>
      </w: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C267BF" w:rsidRDefault="00682849" w:rsidP="00682849">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V rámci jednotlivých skupín frekvencií sú nežiaduce reakcie usporiadané v poradí klesajúcej závažnosti.</w:t>
      </w:r>
    </w:p>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084"/>
        <w:gridCol w:w="3097"/>
      </w:tblGrid>
      <w:tr w:rsidR="00682849" w:rsidRPr="00C267BF" w:rsidTr="009A3A22">
        <w:tc>
          <w:tcPr>
            <w:tcW w:w="3105" w:type="dxa"/>
            <w:shd w:val="clear" w:color="auto" w:fill="auto"/>
          </w:tcPr>
          <w:p w:rsidR="009A3A22" w:rsidRPr="000B1BD6" w:rsidRDefault="009A3A22" w:rsidP="00682849">
            <w:pPr>
              <w:widowControl w:val="0"/>
              <w:autoSpaceDE w:val="0"/>
              <w:autoSpaceDN w:val="0"/>
              <w:adjustRightInd w:val="0"/>
              <w:spacing w:after="0" w:line="240" w:lineRule="auto"/>
              <w:rPr>
                <w:rFonts w:ascii="Times New Roman" w:eastAsia="Times New Roman" w:hAnsi="Times New Roman"/>
                <w:b/>
              </w:rPr>
            </w:pPr>
            <w:proofErr w:type="spellStart"/>
            <w:r w:rsidRPr="000B1BD6">
              <w:rPr>
                <w:rFonts w:ascii="Times New Roman" w:eastAsia="Times New Roman" w:hAnsi="Times New Roman"/>
                <w:b/>
              </w:rPr>
              <w:t>MedDRA</w:t>
            </w:r>
            <w:proofErr w:type="spellEnd"/>
            <w:r w:rsidRPr="000B1BD6">
              <w:rPr>
                <w:rFonts w:ascii="Times New Roman" w:eastAsia="Times New Roman" w:hAnsi="Times New Roman"/>
                <w:b/>
              </w:rPr>
              <w:t xml:space="preserve"> </w:t>
            </w:r>
          </w:p>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b/>
              </w:rPr>
            </w:pPr>
            <w:r w:rsidRPr="000B1BD6">
              <w:rPr>
                <w:rFonts w:ascii="Times New Roman" w:eastAsia="Times New Roman" w:hAnsi="Times New Roman"/>
                <w:b/>
              </w:rPr>
              <w:t>Trieda orgánových systémov</w:t>
            </w:r>
          </w:p>
        </w:tc>
        <w:tc>
          <w:tcPr>
            <w:tcW w:w="3084" w:type="dxa"/>
            <w:shd w:val="clear" w:color="auto" w:fill="auto"/>
          </w:tcPr>
          <w:p w:rsidR="00682849" w:rsidRPr="000B1BD6" w:rsidRDefault="00682849" w:rsidP="00D72FA1">
            <w:pPr>
              <w:widowControl w:val="0"/>
              <w:autoSpaceDE w:val="0"/>
              <w:autoSpaceDN w:val="0"/>
              <w:adjustRightInd w:val="0"/>
              <w:spacing w:after="0" w:line="240" w:lineRule="auto"/>
              <w:rPr>
                <w:rFonts w:ascii="Times New Roman" w:eastAsia="Times New Roman" w:hAnsi="Times New Roman"/>
                <w:b/>
              </w:rPr>
            </w:pPr>
            <w:r w:rsidRPr="000B1BD6">
              <w:rPr>
                <w:rFonts w:ascii="Times New Roman" w:eastAsia="Times New Roman" w:hAnsi="Times New Roman"/>
                <w:b/>
              </w:rPr>
              <w:t>Fre</w:t>
            </w:r>
            <w:r w:rsidR="00D72FA1" w:rsidRPr="000B1BD6">
              <w:rPr>
                <w:rFonts w:ascii="Times New Roman" w:eastAsia="Times New Roman" w:hAnsi="Times New Roman"/>
                <w:b/>
              </w:rPr>
              <w:t>kvencia</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b/>
              </w:rPr>
            </w:pPr>
            <w:r w:rsidRPr="000B1BD6">
              <w:rPr>
                <w:rFonts w:ascii="Times New Roman" w:eastAsia="Times New Roman" w:hAnsi="Times New Roman"/>
                <w:b/>
              </w:rPr>
              <w:t>Nežiaduce reakcie</w:t>
            </w:r>
          </w:p>
        </w:tc>
      </w:tr>
      <w:tr w:rsidR="00682849" w:rsidRPr="00C267BF" w:rsidTr="009A3A22">
        <w:tc>
          <w:tcPr>
            <w:tcW w:w="3105" w:type="dxa"/>
            <w:vMerge w:val="restart"/>
            <w:shd w:val="clear" w:color="auto" w:fill="auto"/>
          </w:tcPr>
          <w:p w:rsidR="00682849" w:rsidRPr="000B1BD6" w:rsidRDefault="00682849" w:rsidP="00682849">
            <w:pPr>
              <w:widowControl w:val="0"/>
              <w:autoSpaceDE w:val="0"/>
              <w:autoSpaceDN w:val="0"/>
              <w:adjustRightInd w:val="0"/>
              <w:spacing w:after="0" w:line="240" w:lineRule="auto"/>
              <w:ind w:right="-59"/>
              <w:rPr>
                <w:rFonts w:ascii="Times New Roman" w:eastAsia="Times New Roman" w:hAnsi="Times New Roman"/>
              </w:rPr>
            </w:pPr>
            <w:r w:rsidRPr="00C267BF">
              <w:rPr>
                <w:rFonts w:ascii="Times New Roman" w:eastAsia="Times New Roman" w:hAnsi="Times New Roman"/>
                <w:lang w:eastAsia="sk-SK"/>
              </w:rPr>
              <w:t>Infekcie a nákazy</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ind w:right="-20"/>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D72FA1" w:rsidP="00682849">
            <w:pPr>
              <w:widowControl w:val="0"/>
              <w:tabs>
                <w:tab w:val="left" w:pos="567"/>
              </w:tabs>
              <w:autoSpaceDE w:val="0"/>
              <w:autoSpaceDN w:val="0"/>
              <w:adjustRightInd w:val="0"/>
              <w:spacing w:after="0" w:line="240" w:lineRule="auto"/>
              <w:ind w:right="513"/>
              <w:rPr>
                <w:rFonts w:ascii="Times New Roman" w:eastAsia="Times New Roman" w:hAnsi="Times New Roman"/>
              </w:rPr>
            </w:pPr>
            <w:r w:rsidRPr="000B1BD6">
              <w:rPr>
                <w:rFonts w:ascii="Times New Roman" w:eastAsia="Times New Roman" w:hAnsi="Times New Roman"/>
              </w:rPr>
              <w:t xml:space="preserve">infekcie močových ciest vrátane </w:t>
            </w:r>
            <w:proofErr w:type="spellStart"/>
            <w:r w:rsidRPr="000B1BD6">
              <w:rPr>
                <w:rFonts w:ascii="Times New Roman" w:eastAsia="Times New Roman" w:hAnsi="Times New Roman"/>
              </w:rPr>
              <w:t>cystitídy</w:t>
            </w:r>
            <w:proofErr w:type="spellEnd"/>
            <w:r w:rsidRPr="000B1BD6">
              <w:rPr>
                <w:rFonts w:ascii="Times New Roman" w:eastAsia="Times New Roman" w:hAnsi="Times New Roman"/>
              </w:rPr>
              <w:t xml:space="preserve">, infekcie horných dýchacích ciest vrátane </w:t>
            </w:r>
            <w:proofErr w:type="spellStart"/>
            <w:r w:rsidRPr="000B1BD6">
              <w:rPr>
                <w:rFonts w:ascii="Times New Roman" w:eastAsia="Times New Roman" w:hAnsi="Times New Roman"/>
              </w:rPr>
              <w:t>faryngitídy</w:t>
            </w:r>
            <w:proofErr w:type="spellEnd"/>
            <w:r w:rsidRPr="000B1BD6">
              <w:rPr>
                <w:rFonts w:ascii="Times New Roman" w:eastAsia="Times New Roman" w:hAnsi="Times New Roman"/>
              </w:rPr>
              <w:t xml:space="preserve"> a </w:t>
            </w:r>
            <w:proofErr w:type="spellStart"/>
            <w:r w:rsidRPr="000B1BD6">
              <w:rPr>
                <w:rFonts w:ascii="Times New Roman" w:eastAsia="Times New Roman" w:hAnsi="Times New Roman"/>
              </w:rPr>
              <w:t>sinusitídy</w:t>
            </w:r>
            <w:proofErr w:type="spellEnd"/>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ind w:left="-21" w:right="-20"/>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D72FA1">
            <w:pPr>
              <w:widowControl w:val="0"/>
              <w:tabs>
                <w:tab w:val="left" w:pos="567"/>
              </w:tabs>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sepsa vrátane sepsy so smrteľným následkom</w:t>
            </w:r>
            <w:r w:rsidR="00682849" w:rsidRPr="000B1BD6">
              <w:rPr>
                <w:rFonts w:ascii="Times New Roman" w:eastAsia="Times New Roman" w:hAnsi="Times New Roman"/>
                <w:vertAlign w:val="superscript"/>
              </w:rPr>
              <w:t>1</w:t>
            </w:r>
          </w:p>
        </w:tc>
      </w:tr>
      <w:tr w:rsidR="00682849" w:rsidRPr="00C267BF" w:rsidTr="009A3A22">
        <w:tc>
          <w:tcPr>
            <w:tcW w:w="3105" w:type="dxa"/>
            <w:vMerge w:val="restart"/>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krvi a lymfatického systému</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D72FA1"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a</w:t>
            </w:r>
            <w:r w:rsidR="00682849" w:rsidRPr="000B1BD6">
              <w:rPr>
                <w:rFonts w:ascii="Times New Roman" w:eastAsia="Times New Roman" w:hAnsi="Times New Roman"/>
              </w:rPr>
              <w:t>n</w:t>
            </w:r>
            <w:r w:rsidRPr="000B1BD6">
              <w:rPr>
                <w:rFonts w:ascii="Times New Roman" w:eastAsia="Times New Roman" w:hAnsi="Times New Roman"/>
              </w:rPr>
              <w:t>é</w:t>
            </w:r>
            <w:r w:rsidR="00682849" w:rsidRPr="000B1BD6">
              <w:rPr>
                <w:rFonts w:ascii="Times New Roman" w:eastAsia="Times New Roman" w:hAnsi="Times New Roman"/>
              </w:rPr>
              <w:t>mia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eozinofília, trombocytopénia</w:t>
            </w:r>
          </w:p>
        </w:tc>
      </w:tr>
      <w:tr w:rsidR="00682849" w:rsidRPr="00C267BF" w:rsidTr="009A3A22">
        <w:tc>
          <w:tcPr>
            <w:tcW w:w="3105"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imunitného systému</w:t>
            </w: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anafylaktická reakcia, precitlivenosť</w:t>
            </w:r>
          </w:p>
        </w:tc>
      </w:tr>
      <w:tr w:rsidR="00682849" w:rsidRPr="00C267BF" w:rsidTr="009A3A22">
        <w:tc>
          <w:tcPr>
            <w:tcW w:w="3105" w:type="dxa"/>
            <w:vMerge w:val="restart"/>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lastRenderedPageBreak/>
              <w:t>Poruchy metabolizmu a výživy</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D72FA1"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h</w:t>
            </w:r>
            <w:r w:rsidR="00682849" w:rsidRPr="000B1BD6">
              <w:rPr>
                <w:rFonts w:ascii="Times New Roman" w:eastAsia="Times New Roman" w:hAnsi="Times New Roman"/>
              </w:rPr>
              <w:t>yperkal</w:t>
            </w:r>
            <w:r w:rsidRPr="000B1BD6">
              <w:rPr>
                <w:rFonts w:ascii="Times New Roman" w:eastAsia="Times New Roman" w:hAnsi="Times New Roman"/>
              </w:rPr>
              <w:t>ié</w:t>
            </w:r>
            <w:r w:rsidR="00682849" w:rsidRPr="000B1BD6">
              <w:rPr>
                <w:rFonts w:ascii="Times New Roman" w:eastAsia="Times New Roman" w:hAnsi="Times New Roman"/>
              </w:rPr>
              <w:t>mia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hypoglykémia (u pacientov s diabetom)</w:t>
            </w:r>
          </w:p>
        </w:tc>
      </w:tr>
      <w:tr w:rsidR="00682849" w:rsidRPr="00C267BF" w:rsidTr="009A3A22">
        <w:tc>
          <w:tcPr>
            <w:tcW w:w="3105" w:type="dxa"/>
            <w:vMerge w:val="restart"/>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Psychické poruchy</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D72FA1"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nespavosť</w:t>
            </w:r>
            <w:r w:rsidR="00682849" w:rsidRPr="000B1BD6">
              <w:rPr>
                <w:rFonts w:ascii="Times New Roman" w:eastAsia="Times New Roman" w:hAnsi="Times New Roman"/>
              </w:rPr>
              <w:t>, depresi</w:t>
            </w:r>
            <w:r w:rsidRPr="000B1BD6">
              <w:rPr>
                <w:rFonts w:ascii="Times New Roman" w:eastAsia="Times New Roman" w:hAnsi="Times New Roman"/>
              </w:rPr>
              <w:t>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úzkosť</w:t>
            </w:r>
          </w:p>
        </w:tc>
      </w:tr>
      <w:tr w:rsidR="00682849" w:rsidRPr="00C267BF" w:rsidTr="009A3A22">
        <w:tc>
          <w:tcPr>
            <w:tcW w:w="3105" w:type="dxa"/>
            <w:vMerge w:val="restart"/>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nervového systému</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D72FA1"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s</w:t>
            </w:r>
            <w:r w:rsidR="00682849" w:rsidRPr="000B1BD6">
              <w:rPr>
                <w:rFonts w:ascii="Times New Roman" w:eastAsia="Times New Roman" w:hAnsi="Times New Roman"/>
              </w:rPr>
              <w:t>yn</w:t>
            </w:r>
            <w:r w:rsidRPr="000B1BD6">
              <w:rPr>
                <w:rFonts w:ascii="Times New Roman" w:eastAsia="Times New Roman" w:hAnsi="Times New Roman"/>
              </w:rPr>
              <w:t>k</w:t>
            </w:r>
            <w:r w:rsidR="00682849" w:rsidRPr="000B1BD6">
              <w:rPr>
                <w:rFonts w:ascii="Times New Roman" w:eastAsia="Times New Roman" w:hAnsi="Times New Roman"/>
              </w:rPr>
              <w:t>op</w:t>
            </w:r>
            <w:r w:rsidRPr="000B1BD6">
              <w:rPr>
                <w:rFonts w:ascii="Times New Roman" w:eastAsia="Times New Roman" w:hAnsi="Times New Roman"/>
              </w:rPr>
              <w:t>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s</w:t>
            </w:r>
            <w:r w:rsidR="00682849" w:rsidRPr="000B1BD6">
              <w:rPr>
                <w:rFonts w:ascii="Times New Roman" w:eastAsia="Times New Roman" w:hAnsi="Times New Roman"/>
              </w:rPr>
              <w:t>omnolenc</w:t>
            </w:r>
            <w:r w:rsidRPr="000B1BD6">
              <w:rPr>
                <w:rFonts w:ascii="Times New Roman" w:eastAsia="Times New Roman" w:hAnsi="Times New Roman"/>
              </w:rPr>
              <w:t>ia</w:t>
            </w:r>
          </w:p>
        </w:tc>
      </w:tr>
      <w:tr w:rsidR="00682849" w:rsidRPr="00C267BF" w:rsidTr="009A3A22">
        <w:tc>
          <w:tcPr>
            <w:tcW w:w="3105"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oka</w:t>
            </w: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porucha videnia</w:t>
            </w:r>
          </w:p>
        </w:tc>
      </w:tr>
      <w:tr w:rsidR="00682849" w:rsidRPr="00C267BF" w:rsidTr="009A3A22">
        <w:tc>
          <w:tcPr>
            <w:tcW w:w="3105"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ucha a labyrintu</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v</w:t>
            </w:r>
            <w:r w:rsidR="00682849" w:rsidRPr="000B1BD6">
              <w:rPr>
                <w:rFonts w:ascii="Times New Roman" w:eastAsia="Times New Roman" w:hAnsi="Times New Roman"/>
              </w:rPr>
              <w:t>ertigo</w:t>
            </w:r>
          </w:p>
        </w:tc>
      </w:tr>
      <w:tr w:rsidR="00682849" w:rsidRPr="00C267BF" w:rsidTr="009A3A22">
        <w:tc>
          <w:tcPr>
            <w:tcW w:w="3105" w:type="dxa"/>
            <w:vMerge w:val="restart"/>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srdca a srdcovej činnosti</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bradyk</w:t>
            </w:r>
            <w:r w:rsidR="00682849" w:rsidRPr="000B1BD6">
              <w:rPr>
                <w:rFonts w:ascii="Times New Roman" w:eastAsia="Times New Roman" w:hAnsi="Times New Roman"/>
              </w:rPr>
              <w:t>ardia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66193E" w:rsidP="0066193E">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t</w:t>
            </w:r>
            <w:r w:rsidR="00682849" w:rsidRPr="000B1BD6">
              <w:rPr>
                <w:rFonts w:ascii="Times New Roman" w:eastAsia="Times New Roman" w:hAnsi="Times New Roman"/>
              </w:rPr>
              <w:t>achy</w:t>
            </w:r>
            <w:r w:rsidRPr="000B1BD6">
              <w:rPr>
                <w:rFonts w:ascii="Times New Roman" w:eastAsia="Times New Roman" w:hAnsi="Times New Roman"/>
              </w:rPr>
              <w:t>k</w:t>
            </w:r>
            <w:r w:rsidR="00682849" w:rsidRPr="000B1BD6">
              <w:rPr>
                <w:rFonts w:ascii="Times New Roman" w:eastAsia="Times New Roman" w:hAnsi="Times New Roman"/>
              </w:rPr>
              <w:t>ardia</w:t>
            </w:r>
          </w:p>
        </w:tc>
      </w:tr>
      <w:tr w:rsidR="00682849" w:rsidRPr="00C267BF" w:rsidTr="009A3A22">
        <w:tc>
          <w:tcPr>
            <w:tcW w:w="3105"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ciev</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6193E">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h</w:t>
            </w:r>
            <w:r w:rsidR="00682849" w:rsidRPr="000B1BD6">
              <w:rPr>
                <w:rFonts w:ascii="Times New Roman" w:eastAsia="Times New Roman" w:hAnsi="Times New Roman"/>
              </w:rPr>
              <w:t>ypoten</w:t>
            </w:r>
            <w:r w:rsidRPr="000B1BD6">
              <w:rPr>
                <w:rFonts w:ascii="Times New Roman" w:eastAsia="Times New Roman" w:hAnsi="Times New Roman"/>
              </w:rPr>
              <w:t>z</w:t>
            </w:r>
            <w:r w:rsidR="00682849" w:rsidRPr="000B1BD6">
              <w:rPr>
                <w:rFonts w:ascii="Times New Roman" w:eastAsia="Times New Roman" w:hAnsi="Times New Roman"/>
              </w:rPr>
              <w:t>i</w:t>
            </w:r>
            <w:r w:rsidRPr="000B1BD6">
              <w:rPr>
                <w:rFonts w:ascii="Times New Roman" w:eastAsia="Times New Roman" w:hAnsi="Times New Roman"/>
              </w:rPr>
              <w:t>a</w:t>
            </w:r>
            <w:r w:rsidR="00682849" w:rsidRPr="000B1BD6">
              <w:rPr>
                <w:rFonts w:ascii="Times New Roman" w:eastAsia="Times New Roman" w:hAnsi="Times New Roman"/>
                <w:vertAlign w:val="superscript"/>
              </w:rPr>
              <w:t>2</w:t>
            </w:r>
            <w:r w:rsidR="00682849" w:rsidRPr="000B1BD6">
              <w:rPr>
                <w:rFonts w:ascii="Times New Roman" w:eastAsia="Times New Roman" w:hAnsi="Times New Roman"/>
              </w:rPr>
              <w:t>, ortostatic</w:t>
            </w:r>
            <w:r w:rsidRPr="000B1BD6">
              <w:rPr>
                <w:rFonts w:ascii="Times New Roman" w:eastAsia="Times New Roman" w:hAnsi="Times New Roman"/>
              </w:rPr>
              <w:t>ká hypotenz</w:t>
            </w:r>
            <w:r w:rsidR="00682849" w:rsidRPr="000B1BD6">
              <w:rPr>
                <w:rFonts w:ascii="Times New Roman" w:eastAsia="Times New Roman" w:hAnsi="Times New Roman"/>
              </w:rPr>
              <w:t>i</w:t>
            </w:r>
            <w:r w:rsidRPr="000B1BD6">
              <w:rPr>
                <w:rFonts w:ascii="Times New Roman" w:eastAsia="Times New Roman" w:hAnsi="Times New Roman"/>
              </w:rPr>
              <w:t>a</w:t>
            </w:r>
          </w:p>
        </w:tc>
      </w:tr>
      <w:tr w:rsidR="00682849" w:rsidRPr="00C267BF" w:rsidTr="009A3A22">
        <w:tc>
          <w:tcPr>
            <w:tcW w:w="3105" w:type="dxa"/>
            <w:vMerge w:val="restart"/>
            <w:shd w:val="clear" w:color="auto" w:fill="auto"/>
          </w:tcPr>
          <w:p w:rsidR="00682849" w:rsidRPr="00C267BF" w:rsidRDefault="0066193E" w:rsidP="0066193E">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Poruchy dýchacej sústavy, hrudníka a mediastína</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6193E">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d</w:t>
            </w:r>
            <w:r w:rsidR="00682849" w:rsidRPr="000B1BD6">
              <w:rPr>
                <w:rFonts w:ascii="Times New Roman" w:eastAsia="Times New Roman" w:hAnsi="Times New Roman"/>
              </w:rPr>
              <w:t xml:space="preserve">yspnoe, </w:t>
            </w:r>
            <w:r w:rsidRPr="000B1BD6">
              <w:rPr>
                <w:rFonts w:ascii="Times New Roman" w:eastAsia="Times New Roman" w:hAnsi="Times New Roman"/>
              </w:rPr>
              <w:t>kašeľ</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682849" w:rsidP="00D72FA1">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Ve</w:t>
            </w:r>
            <w:r w:rsidR="00D72FA1" w:rsidRPr="000B1BD6">
              <w:rPr>
                <w:rFonts w:ascii="Times New Roman" w:eastAsia="Times New Roman" w:hAnsi="Times New Roman"/>
              </w:rPr>
              <w:t>ľmi zriedkavé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intersticiálne ochorenie pľúc</w:t>
            </w:r>
            <w:r w:rsidR="00682849" w:rsidRPr="000B1BD6">
              <w:rPr>
                <w:rFonts w:ascii="Times New Roman" w:eastAsia="Times New Roman" w:hAnsi="Times New Roman"/>
                <w:vertAlign w:val="superscript"/>
              </w:rPr>
              <w:t>4</w:t>
            </w:r>
          </w:p>
        </w:tc>
      </w:tr>
      <w:tr w:rsidR="00682849" w:rsidRPr="00C267BF" w:rsidTr="009A3A22">
        <w:tc>
          <w:tcPr>
            <w:tcW w:w="3105" w:type="dxa"/>
            <w:vMerge w:val="restart"/>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gastrointestinálneho traktu</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bolesť brucha, diarea, dyspepsia, flatulencia, vracanie</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66193E" w:rsidP="0066193E">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 xml:space="preserve">sucho v ústach, žalúdočný </w:t>
            </w:r>
            <w:proofErr w:type="spellStart"/>
            <w:r w:rsidRPr="000B1BD6">
              <w:rPr>
                <w:rFonts w:ascii="Times New Roman" w:eastAsia="Times New Roman" w:hAnsi="Times New Roman"/>
              </w:rPr>
              <w:t>dyskomfort</w:t>
            </w:r>
            <w:proofErr w:type="spellEnd"/>
            <w:r w:rsidR="00FA6052">
              <w:rPr>
                <w:rFonts w:ascii="Times New Roman" w:eastAsia="Times New Roman" w:hAnsi="Times New Roman"/>
              </w:rPr>
              <w:t xml:space="preserve">, </w:t>
            </w:r>
            <w:proofErr w:type="spellStart"/>
            <w:r w:rsidR="00FA6052">
              <w:rPr>
                <w:rFonts w:ascii="Times New Roman" w:eastAsia="Times New Roman" w:hAnsi="Times New Roman"/>
              </w:rPr>
              <w:t>dysgeúzia</w:t>
            </w:r>
            <w:proofErr w:type="spellEnd"/>
          </w:p>
        </w:tc>
      </w:tr>
      <w:tr w:rsidR="00682849" w:rsidRPr="00C267BF" w:rsidTr="009A3A22">
        <w:tc>
          <w:tcPr>
            <w:tcW w:w="3105"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pečene a žlčových ciest</w:t>
            </w: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66193E" w:rsidP="0066193E">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abnormálna funkcia pečene/poruchy pečene</w:t>
            </w:r>
            <w:r w:rsidR="00682849" w:rsidRPr="000B1BD6">
              <w:rPr>
                <w:rFonts w:ascii="Times New Roman" w:eastAsia="Times New Roman" w:hAnsi="Times New Roman"/>
                <w:vertAlign w:val="superscript"/>
              </w:rPr>
              <w:t>3</w:t>
            </w:r>
          </w:p>
        </w:tc>
      </w:tr>
      <w:tr w:rsidR="00682849" w:rsidRPr="00C267BF" w:rsidTr="009A3A22">
        <w:tc>
          <w:tcPr>
            <w:tcW w:w="3105" w:type="dxa"/>
            <w:vMerge w:val="restart"/>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kože a podkožného tkaniva</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pruritus, hyperhidróza, vyrážka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angioedém (aj so smrteľnými následkami), ekzém, erytém, urtikária, lieková erupcia, toxická kožná erupcia</w:t>
            </w:r>
          </w:p>
        </w:tc>
      </w:tr>
      <w:tr w:rsidR="00682849" w:rsidRPr="00C267BF" w:rsidTr="009A3A22">
        <w:tc>
          <w:tcPr>
            <w:tcW w:w="3105" w:type="dxa"/>
            <w:vMerge w:val="restart"/>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kostrovej a svalovej sústavy a spojivového tkaniva</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bolesť chrbta (napr. ischias), svalové kŕče, myalgia,</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artralgia, bolesť v končatinách, bolesť šliach (symptómy podobné tendinitíde)</w:t>
            </w:r>
          </w:p>
        </w:tc>
      </w:tr>
      <w:tr w:rsidR="00682849" w:rsidRPr="00C267BF" w:rsidTr="009A3A22">
        <w:tc>
          <w:tcPr>
            <w:tcW w:w="3105"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Poruchy obličiek a močových ciest</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66193E"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porucha funkcie obličiek vrátane akútneho zlyhania obličiek</w:t>
            </w:r>
          </w:p>
        </w:tc>
      </w:tr>
      <w:tr w:rsidR="00682849" w:rsidRPr="00C267BF" w:rsidTr="009A3A22">
        <w:tc>
          <w:tcPr>
            <w:tcW w:w="3105" w:type="dxa"/>
            <w:vMerge w:val="restart"/>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Celkové poruchy a reakcie v mieste podania</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bolesť na hrudníku, asténia (slabosť)</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ochorenie podobné chrípke</w:t>
            </w:r>
          </w:p>
        </w:tc>
      </w:tr>
      <w:tr w:rsidR="00682849" w:rsidRPr="00C267BF" w:rsidTr="009A3A22">
        <w:tc>
          <w:tcPr>
            <w:tcW w:w="3105" w:type="dxa"/>
            <w:vMerge w:val="restart"/>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Laboratórne a funkčné vyšetrenia</w:t>
            </w:r>
          </w:p>
        </w:tc>
        <w:tc>
          <w:tcPr>
            <w:tcW w:w="3084" w:type="dxa"/>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Menej časté</w:t>
            </w:r>
          </w:p>
        </w:tc>
        <w:tc>
          <w:tcPr>
            <w:tcW w:w="3097" w:type="dxa"/>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zvýšenie kreatinínu v krvi</w:t>
            </w:r>
          </w:p>
        </w:tc>
      </w:tr>
      <w:tr w:rsidR="00682849" w:rsidRPr="00C267BF" w:rsidTr="009A3A22">
        <w:tc>
          <w:tcPr>
            <w:tcW w:w="3105" w:type="dxa"/>
            <w:vMerge/>
            <w:shd w:val="clear" w:color="auto" w:fill="auto"/>
          </w:tcPr>
          <w:p w:rsidR="00682849" w:rsidRPr="000B1BD6" w:rsidRDefault="00682849" w:rsidP="00682849">
            <w:pPr>
              <w:widowControl w:val="0"/>
              <w:autoSpaceDE w:val="0"/>
              <w:autoSpaceDN w:val="0"/>
              <w:adjustRightInd w:val="0"/>
              <w:spacing w:after="0" w:line="240" w:lineRule="auto"/>
              <w:rPr>
                <w:rFonts w:ascii="Times New Roman" w:eastAsia="Times New Roman" w:hAnsi="Times New Roman"/>
              </w:rPr>
            </w:pPr>
          </w:p>
        </w:tc>
        <w:tc>
          <w:tcPr>
            <w:tcW w:w="3084" w:type="dxa"/>
            <w:shd w:val="clear" w:color="auto" w:fill="auto"/>
          </w:tcPr>
          <w:p w:rsidR="00682849" w:rsidRPr="000B1BD6" w:rsidRDefault="00D72FA1"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Zriedkavé</w:t>
            </w:r>
          </w:p>
        </w:tc>
        <w:tc>
          <w:tcPr>
            <w:tcW w:w="3097" w:type="dxa"/>
            <w:shd w:val="clear" w:color="auto" w:fill="auto"/>
          </w:tcPr>
          <w:p w:rsidR="00682849" w:rsidRPr="000B1BD6" w:rsidRDefault="009A3A22" w:rsidP="00682849">
            <w:pPr>
              <w:widowControl w:val="0"/>
              <w:autoSpaceDE w:val="0"/>
              <w:autoSpaceDN w:val="0"/>
              <w:adjustRightInd w:val="0"/>
              <w:spacing w:after="0" w:line="240" w:lineRule="auto"/>
              <w:rPr>
                <w:rFonts w:ascii="Times New Roman" w:eastAsia="Times New Roman" w:hAnsi="Times New Roman"/>
              </w:rPr>
            </w:pPr>
            <w:r w:rsidRPr="000B1BD6">
              <w:rPr>
                <w:rFonts w:ascii="Times New Roman" w:eastAsia="Times New Roman" w:hAnsi="Times New Roman"/>
              </w:rPr>
              <w:t xml:space="preserve">zníženie hemoglobínu, zvýšenie kyseliny močovej v krvi, zvýšenie pečeňových enzýmov, zvýšenie </w:t>
            </w:r>
            <w:proofErr w:type="spellStart"/>
            <w:r w:rsidRPr="000B1BD6">
              <w:rPr>
                <w:rFonts w:ascii="Times New Roman" w:eastAsia="Times New Roman" w:hAnsi="Times New Roman"/>
              </w:rPr>
              <w:t>kreatínfosfokinázy</w:t>
            </w:r>
            <w:proofErr w:type="spellEnd"/>
            <w:r w:rsidRPr="000B1BD6">
              <w:rPr>
                <w:rFonts w:ascii="Times New Roman" w:eastAsia="Times New Roman" w:hAnsi="Times New Roman"/>
              </w:rPr>
              <w:t xml:space="preserve"> v krvi</w:t>
            </w:r>
          </w:p>
        </w:tc>
      </w:tr>
    </w:tbl>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1, 2, 3,</w:t>
      </w:r>
      <w:r w:rsidR="007D5165" w:rsidRPr="00C267BF">
        <w:rPr>
          <w:rFonts w:ascii="Times New Roman" w:eastAsia="Times New Roman" w:hAnsi="Times New Roman"/>
          <w:lang w:eastAsia="sk-SK"/>
        </w:rPr>
        <w:t xml:space="preserve"> </w:t>
      </w:r>
      <w:r w:rsidRPr="00C267BF">
        <w:rPr>
          <w:rFonts w:ascii="Times New Roman" w:eastAsia="Times New Roman" w:hAnsi="Times New Roman"/>
          <w:lang w:eastAsia="sk-SK"/>
        </w:rPr>
        <w:t xml:space="preserve">4: </w:t>
      </w:r>
      <w:r w:rsidR="00A247BD">
        <w:rPr>
          <w:rFonts w:ascii="Times New Roman" w:eastAsia="Times New Roman" w:hAnsi="Times New Roman"/>
          <w:lang w:eastAsia="sk-SK"/>
        </w:rPr>
        <w:t>Ď</w:t>
      </w:r>
      <w:r w:rsidRPr="00C267BF">
        <w:rPr>
          <w:rFonts w:ascii="Times New Roman" w:eastAsia="Times New Roman" w:hAnsi="Times New Roman"/>
          <w:lang w:eastAsia="sk-SK"/>
        </w:rPr>
        <w:t>alší popis, prosím, pozri časť „</w:t>
      </w:r>
      <w:r w:rsidRPr="00C267BF">
        <w:rPr>
          <w:rFonts w:ascii="Times New Roman" w:eastAsia="Times New Roman" w:hAnsi="Times New Roman"/>
          <w:i/>
          <w:iCs/>
          <w:lang w:eastAsia="sk-SK"/>
        </w:rPr>
        <w:t>Popis vybraných nežiaducich reakcií“.</w:t>
      </w:r>
      <w:r w:rsidRPr="00C267BF">
        <w:rPr>
          <w:rFonts w:ascii="Times New Roman" w:eastAsia="Times New Roman" w:hAnsi="Times New Roman"/>
          <w:lang w:eastAsia="sk-SK"/>
        </w:rPr>
        <w:t xml:space="preserve"> </w:t>
      </w:r>
    </w:p>
    <w:p w:rsidR="009A3A22" w:rsidRPr="00C267BF" w:rsidRDefault="009A3A22" w:rsidP="009A3A22">
      <w:pPr>
        <w:autoSpaceDE w:val="0"/>
        <w:autoSpaceDN w:val="0"/>
        <w:adjustRightInd w:val="0"/>
        <w:spacing w:after="0" w:line="240" w:lineRule="auto"/>
        <w:rPr>
          <w:rFonts w:ascii="Times New Roman" w:eastAsia="Times New Roman" w:hAnsi="Times New Roman"/>
          <w:i/>
          <w:iCs/>
          <w:lang w:eastAsia="sk-SK"/>
        </w:rPr>
      </w:pPr>
    </w:p>
    <w:p w:rsidR="009A3A22" w:rsidRPr="00C267BF" w:rsidRDefault="009A3A22" w:rsidP="009A3A22">
      <w:pPr>
        <w:autoSpaceDE w:val="0"/>
        <w:autoSpaceDN w:val="0"/>
        <w:adjustRightInd w:val="0"/>
        <w:spacing w:after="0" w:line="240" w:lineRule="auto"/>
        <w:rPr>
          <w:rFonts w:ascii="Times New Roman" w:eastAsia="Times New Roman" w:hAnsi="Times New Roman"/>
          <w:i/>
          <w:iCs/>
          <w:lang w:eastAsia="sk-SK"/>
        </w:rPr>
      </w:pPr>
      <w:r w:rsidRPr="00C267BF">
        <w:rPr>
          <w:rFonts w:ascii="Times New Roman" w:eastAsia="Times New Roman" w:hAnsi="Times New Roman"/>
          <w:i/>
          <w:iCs/>
          <w:lang w:eastAsia="sk-SK"/>
        </w:rPr>
        <w:t>Popis vybraných nežiaducich reakcií</w:t>
      </w:r>
    </w:p>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p>
    <w:p w:rsidR="009A3A22" w:rsidRPr="00C267BF" w:rsidRDefault="009A3A22" w:rsidP="009A3A22">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Sepsa</w:t>
      </w:r>
    </w:p>
    <w:p w:rsidR="009A3A22" w:rsidRPr="00C267BF" w:rsidRDefault="009A3A22" w:rsidP="009A3A22">
      <w:pPr>
        <w:autoSpaceDE w:val="0"/>
        <w:autoSpaceDN w:val="0"/>
        <w:adjustRightInd w:val="0"/>
        <w:spacing w:after="0" w:line="240" w:lineRule="auto"/>
        <w:rPr>
          <w:rFonts w:ascii="Times New Roman" w:eastAsia="Times New Roman" w:hAnsi="Times New Roman"/>
          <w:bCs/>
          <w:lang w:eastAsia="sk-SK"/>
        </w:rPr>
      </w:pPr>
      <w:r w:rsidRPr="00C267BF">
        <w:rPr>
          <w:rFonts w:ascii="Times New Roman" w:eastAsia="Times New Roman" w:hAnsi="Times New Roman"/>
          <w:bCs/>
          <w:lang w:eastAsia="sk-SK"/>
        </w:rPr>
        <w:t>V klinickom skúšaní ProFESS sa po telmisartane, v porovnaní s placebom, pozorovala zvýšená incidencia sepsy. Udalosť môže byť náhodným nálezom alebo môže súvisieť s mechanizmami, ktoré v súčasnosti nie sú známe (pozri časť 5.1).</w:t>
      </w:r>
    </w:p>
    <w:p w:rsidR="009A3A22" w:rsidRPr="00C267BF" w:rsidRDefault="009A3A22" w:rsidP="009A3A22">
      <w:pPr>
        <w:autoSpaceDE w:val="0"/>
        <w:autoSpaceDN w:val="0"/>
        <w:adjustRightInd w:val="0"/>
        <w:spacing w:after="0" w:line="240" w:lineRule="auto"/>
        <w:rPr>
          <w:rFonts w:ascii="Times New Roman" w:eastAsia="Times New Roman" w:hAnsi="Times New Roman"/>
          <w:vertAlign w:val="superscript"/>
          <w:lang w:eastAsia="sk-SK"/>
        </w:rPr>
      </w:pPr>
    </w:p>
    <w:p w:rsidR="009A3A22" w:rsidRPr="00C267BF" w:rsidRDefault="009A3A22" w:rsidP="009A3A22">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Hypotenzia</w:t>
      </w:r>
    </w:p>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lastRenderedPageBreak/>
        <w:t>Táto nežiaduca reakcia sa hlásila ako častá u pacientov s kontrolovaným krvným tlakom, ktorí sa liečili telmisartanom na zníženie kardiovaskulárnej morbidity na najvyššej úrovni štandardnej liečby.</w:t>
      </w:r>
    </w:p>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p>
    <w:p w:rsidR="009A3A22" w:rsidRPr="00C267BF" w:rsidRDefault="009A3A22" w:rsidP="009A3A22">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Abnormálna funkcia pečene/porucha pečene</w:t>
      </w:r>
    </w:p>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Väčšina prípadov abnormálnej funkcie pečene/poruchy pečene na základe skúseností po uvedení lieku na trh sa vyskytla u japonských pacientov. Tieto nežiaduce reakcie sa pravdepodobnejšie vyskytnú u japonských pacientov.</w:t>
      </w:r>
    </w:p>
    <w:p w:rsidR="009A3A22" w:rsidRPr="00C267BF" w:rsidRDefault="009A3A22" w:rsidP="009A3A22">
      <w:pPr>
        <w:autoSpaceDE w:val="0"/>
        <w:autoSpaceDN w:val="0"/>
        <w:adjustRightInd w:val="0"/>
        <w:spacing w:after="0" w:line="240" w:lineRule="auto"/>
        <w:rPr>
          <w:rFonts w:ascii="Times New Roman" w:eastAsia="Times New Roman" w:hAnsi="Times New Roman"/>
          <w:lang w:eastAsia="sk-SK"/>
        </w:rPr>
      </w:pPr>
    </w:p>
    <w:p w:rsidR="009A3A22" w:rsidRPr="00C267BF" w:rsidRDefault="009A3A22" w:rsidP="009A3A22">
      <w:pPr>
        <w:autoSpaceDE w:val="0"/>
        <w:autoSpaceDN w:val="0"/>
        <w:adjustRightInd w:val="0"/>
        <w:spacing w:after="0" w:line="240" w:lineRule="auto"/>
        <w:rPr>
          <w:rFonts w:ascii="Times New Roman" w:eastAsia="Times New Roman" w:hAnsi="Times New Roman"/>
          <w:i/>
          <w:u w:val="single"/>
          <w:lang w:eastAsia="sk-SK"/>
        </w:rPr>
      </w:pPr>
      <w:r w:rsidRPr="00C267BF">
        <w:rPr>
          <w:rFonts w:ascii="Times New Roman" w:eastAsia="Times New Roman" w:hAnsi="Times New Roman"/>
          <w:i/>
          <w:u w:val="single"/>
          <w:lang w:eastAsia="sk-SK"/>
        </w:rPr>
        <w:t>Intersticiálne ochorenie pľúc</w:t>
      </w:r>
    </w:p>
    <w:p w:rsidR="009A3A22" w:rsidRPr="00C267BF" w:rsidRDefault="009A3A22" w:rsidP="009A3A22">
      <w:pPr>
        <w:autoSpaceDE w:val="0"/>
        <w:autoSpaceDN w:val="0"/>
        <w:adjustRightInd w:val="0"/>
        <w:spacing w:after="0" w:line="240" w:lineRule="auto"/>
        <w:rPr>
          <w:rFonts w:ascii="Times New Roman" w:eastAsia="Times New Roman" w:hAnsi="Times New Roman"/>
          <w:b/>
          <w:bCs/>
          <w:lang w:eastAsia="sk-SK"/>
        </w:rPr>
      </w:pPr>
      <w:r w:rsidRPr="00C267BF">
        <w:rPr>
          <w:rFonts w:ascii="Times New Roman" w:eastAsia="Times New Roman" w:hAnsi="Times New Roman"/>
          <w:lang w:eastAsia="sk-SK"/>
        </w:rPr>
        <w:t>V časovej súvislosti s užívaním telmisartanu sa z údajov získaných po uvedení lieku na trh zaznamenali prípady intersticiálneho ochorenia pľúc. Avšak, kauzálny vzťah nebol stanovený.</w:t>
      </w:r>
    </w:p>
    <w:p w:rsidR="009A3A22" w:rsidRPr="00C267BF" w:rsidRDefault="009A3A22" w:rsidP="009A3A22">
      <w:pPr>
        <w:suppressLineNumbers/>
        <w:autoSpaceDE w:val="0"/>
        <w:autoSpaceDN w:val="0"/>
        <w:adjustRightInd w:val="0"/>
        <w:spacing w:after="0" w:line="240" w:lineRule="auto"/>
        <w:ind w:left="567" w:hanging="567"/>
        <w:rPr>
          <w:rFonts w:ascii="Times New Roman" w:eastAsia="Times New Roman" w:hAnsi="Times New Roman"/>
          <w:noProof/>
          <w:u w:val="single"/>
          <w:lang w:eastAsia="sk-SK"/>
        </w:rPr>
      </w:pPr>
    </w:p>
    <w:p w:rsidR="009A3A22" w:rsidRPr="00C267BF" w:rsidRDefault="009A3A22" w:rsidP="009A3A22">
      <w:pPr>
        <w:suppressLineNumbers/>
        <w:autoSpaceDE w:val="0"/>
        <w:autoSpaceDN w:val="0"/>
        <w:adjustRightInd w:val="0"/>
        <w:spacing w:after="0" w:line="240" w:lineRule="auto"/>
        <w:ind w:left="567" w:hanging="567"/>
        <w:rPr>
          <w:rFonts w:ascii="Times New Roman" w:eastAsia="Times New Roman" w:hAnsi="Times New Roman"/>
          <w:noProof/>
          <w:highlight w:val="yellow"/>
          <w:u w:val="single"/>
          <w:lang w:eastAsia="sk-SK"/>
        </w:rPr>
      </w:pPr>
      <w:r w:rsidRPr="00C267BF">
        <w:rPr>
          <w:rFonts w:ascii="Times New Roman" w:eastAsia="Times New Roman" w:hAnsi="Times New Roman"/>
          <w:noProof/>
          <w:u w:val="single"/>
          <w:lang w:eastAsia="sk-SK"/>
        </w:rPr>
        <w:t>Nežiaduce účinky spojené s amlodipínom</w:t>
      </w:r>
    </w:p>
    <w:p w:rsidR="009A3A22" w:rsidRPr="00C267BF" w:rsidRDefault="009A3A22" w:rsidP="009A3A22">
      <w:pPr>
        <w:tabs>
          <w:tab w:val="left" w:pos="567"/>
        </w:tabs>
        <w:spacing w:after="0" w:line="240" w:lineRule="auto"/>
        <w:rPr>
          <w:rFonts w:ascii="Times New Roman" w:eastAsia="Times New Roman" w:hAnsi="Times New Roman"/>
          <w:u w:val="single"/>
        </w:rPr>
      </w:pPr>
      <w:r w:rsidRPr="00C267BF">
        <w:rPr>
          <w:rFonts w:ascii="Times New Roman" w:eastAsia="Times New Roman" w:hAnsi="Times New Roman"/>
          <w:u w:val="single"/>
        </w:rPr>
        <w:t>Súhrn bezpečnostného profilu</w:t>
      </w:r>
    </w:p>
    <w:p w:rsidR="009A3A22" w:rsidRPr="00C267BF" w:rsidRDefault="009A3A22"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Najčastejšie hlásené nežiaduce reakcie počas liečby sú somnolencia, závrat, bolesť hlavy, palpitácie, začervenanie, bolesť brucha, nauzea, opuch členkov, opuch a únava.</w:t>
      </w:r>
    </w:p>
    <w:p w:rsidR="009A3A22" w:rsidRPr="00C267BF" w:rsidRDefault="009A3A22" w:rsidP="009A3A22">
      <w:pPr>
        <w:tabs>
          <w:tab w:val="left" w:pos="567"/>
        </w:tabs>
        <w:spacing w:after="0" w:line="240" w:lineRule="auto"/>
        <w:rPr>
          <w:rFonts w:ascii="Times New Roman" w:eastAsia="Times New Roman" w:hAnsi="Times New Roman"/>
        </w:rPr>
      </w:pPr>
    </w:p>
    <w:p w:rsidR="009A3A22" w:rsidRPr="00C267BF" w:rsidRDefault="009A3A22" w:rsidP="009A3A22">
      <w:pPr>
        <w:tabs>
          <w:tab w:val="left" w:pos="567"/>
        </w:tabs>
        <w:spacing w:after="0" w:line="240" w:lineRule="auto"/>
        <w:rPr>
          <w:rFonts w:ascii="Times New Roman" w:eastAsia="Times New Roman" w:hAnsi="Times New Roman"/>
          <w:u w:val="single"/>
        </w:rPr>
      </w:pPr>
      <w:r w:rsidRPr="00C267BF">
        <w:rPr>
          <w:rFonts w:ascii="Times New Roman" w:eastAsia="Times New Roman" w:hAnsi="Times New Roman"/>
          <w:u w:val="single"/>
        </w:rPr>
        <w:t xml:space="preserve">Zoznam nežiaducich reakcií v tabuľke </w:t>
      </w:r>
    </w:p>
    <w:p w:rsidR="009A3A22" w:rsidRPr="00C267BF" w:rsidRDefault="009A3A22" w:rsidP="009A3A22">
      <w:pPr>
        <w:keepNext/>
        <w:tabs>
          <w:tab w:val="left" w:pos="567"/>
        </w:tabs>
        <w:spacing w:after="0" w:line="240" w:lineRule="auto"/>
        <w:outlineLvl w:val="3"/>
        <w:rPr>
          <w:rFonts w:ascii="Times New Roman" w:eastAsia="Times New Roman" w:hAnsi="Times New Roman"/>
          <w:lang w:eastAsia="en-GB"/>
        </w:rPr>
      </w:pPr>
      <w:r w:rsidRPr="00C267BF">
        <w:rPr>
          <w:rFonts w:ascii="Times New Roman" w:eastAsia="Times New Roman" w:hAnsi="Times New Roman"/>
          <w:lang w:eastAsia="en-GB"/>
        </w:rPr>
        <w:t>Nasledujúce nežiaduce reakcie boli pozorované a hlásené počas liečby s amlodipínom s nasledujúcimi frekvenciami: veľmi časté (≥ 1/10); časté (≥ 1/100 až &lt; 1/10); menej časté (≥ 1/1 000 až </w:t>
      </w:r>
      <w:r w:rsidRPr="00C267BF">
        <w:rPr>
          <w:rFonts w:ascii="Times New Roman" w:eastAsia="Times New Roman" w:hAnsi="Times New Roman"/>
          <w:bCs/>
        </w:rPr>
        <w:t>&lt; </w:t>
      </w:r>
      <w:r w:rsidRPr="00C267BF">
        <w:rPr>
          <w:rFonts w:ascii="Times New Roman" w:eastAsia="Times New Roman" w:hAnsi="Times New Roman"/>
          <w:lang w:eastAsia="en-GB"/>
        </w:rPr>
        <w:t>1/100); zriedkavé (≥ 1/10 000 až </w:t>
      </w:r>
      <w:r w:rsidRPr="00C267BF">
        <w:rPr>
          <w:rFonts w:ascii="Times New Roman" w:eastAsia="Times New Roman" w:hAnsi="Times New Roman"/>
          <w:bCs/>
        </w:rPr>
        <w:t>&lt; </w:t>
      </w:r>
      <w:r w:rsidRPr="00C267BF">
        <w:rPr>
          <w:rFonts w:ascii="Times New Roman" w:eastAsia="Times New Roman" w:hAnsi="Times New Roman"/>
          <w:lang w:eastAsia="en-GB"/>
        </w:rPr>
        <w:t>1/1 000); veľmi zriedkavé (</w:t>
      </w:r>
      <w:r w:rsidRPr="00C267BF">
        <w:rPr>
          <w:rFonts w:ascii="Times New Roman" w:eastAsia="Times New Roman" w:hAnsi="Times New Roman"/>
          <w:bCs/>
        </w:rPr>
        <w:t>&lt; </w:t>
      </w:r>
      <w:r w:rsidRPr="00C267BF">
        <w:rPr>
          <w:rFonts w:ascii="Times New Roman" w:eastAsia="Times New Roman" w:hAnsi="Times New Roman"/>
          <w:lang w:eastAsia="en-GB"/>
        </w:rPr>
        <w:t>1/10 000).</w:t>
      </w:r>
    </w:p>
    <w:p w:rsidR="009A3A22" w:rsidRPr="00C267BF" w:rsidRDefault="009A3A22" w:rsidP="009A3A22">
      <w:pPr>
        <w:spacing w:after="0" w:line="240" w:lineRule="auto"/>
        <w:rPr>
          <w:rFonts w:ascii="Times New Roman" w:eastAsia="Times New Roman" w:hAnsi="Times New Roman"/>
          <w:sz w:val="20"/>
          <w:szCs w:val="20"/>
          <w:lang w:eastAsia="en-GB"/>
        </w:rPr>
      </w:pPr>
    </w:p>
    <w:p w:rsidR="009A3A22" w:rsidRPr="00C267BF" w:rsidRDefault="009A3A22" w:rsidP="009A3A22">
      <w:pPr>
        <w:spacing w:after="0" w:line="240" w:lineRule="auto"/>
        <w:rPr>
          <w:rFonts w:ascii="Times New Roman" w:eastAsia="Times New Roman" w:hAnsi="Times New Roman"/>
          <w:noProof/>
        </w:rPr>
      </w:pPr>
      <w:r w:rsidRPr="00C267BF">
        <w:rPr>
          <w:rFonts w:ascii="Times New Roman" w:eastAsia="Times New Roman" w:hAnsi="Times New Roman"/>
          <w:noProof/>
        </w:rPr>
        <w:t>V rámci jednotlivých skupín frekvencií sú nežiaduce účinky usporiadané v poradí klesajúcej</w:t>
      </w:r>
    </w:p>
    <w:p w:rsidR="009A3A22" w:rsidRPr="00C267BF" w:rsidRDefault="009A3A22" w:rsidP="009A3A22">
      <w:pPr>
        <w:spacing w:after="0" w:line="240" w:lineRule="auto"/>
        <w:rPr>
          <w:rFonts w:ascii="Times New Roman" w:eastAsia="Times New Roman" w:hAnsi="Times New Roman"/>
          <w:lang w:eastAsia="en-GB"/>
        </w:rPr>
      </w:pPr>
      <w:r w:rsidRPr="00C267BF">
        <w:rPr>
          <w:rFonts w:ascii="Times New Roman" w:eastAsia="Times New Roman" w:hAnsi="Times New Roman"/>
          <w:noProof/>
        </w:rPr>
        <w:t>závažnosti.</w:t>
      </w:r>
    </w:p>
    <w:p w:rsidR="009A3A22" w:rsidRPr="00C267BF" w:rsidRDefault="009A3A22" w:rsidP="009A3A22">
      <w:pPr>
        <w:tabs>
          <w:tab w:val="left" w:pos="567"/>
        </w:tabs>
        <w:suppressAutoHyphens/>
        <w:spacing w:after="0" w:line="240" w:lineRule="auto"/>
        <w:ind w:left="567" w:hanging="567"/>
        <w:rPr>
          <w:rFonts w:ascii="Times New Roman" w:eastAsia="Times New Roman" w:hAnsi="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842"/>
        <w:gridCol w:w="3261"/>
      </w:tblGrid>
      <w:tr w:rsidR="009A3A22" w:rsidRPr="00C267BF" w:rsidTr="009A3A22">
        <w:trPr>
          <w:trHeight w:val="496"/>
        </w:trPr>
        <w:tc>
          <w:tcPr>
            <w:tcW w:w="3828" w:type="dxa"/>
          </w:tcPr>
          <w:p w:rsidR="009A3A22" w:rsidRPr="00C267BF" w:rsidRDefault="009A3A22" w:rsidP="009A3A22">
            <w:pPr>
              <w:keepNext/>
              <w:tabs>
                <w:tab w:val="left" w:pos="567"/>
              </w:tabs>
              <w:spacing w:after="0" w:line="240" w:lineRule="auto"/>
              <w:outlineLvl w:val="0"/>
              <w:rPr>
                <w:rFonts w:ascii="Times New Roman" w:eastAsia="Times New Roman" w:hAnsi="Times New Roman"/>
                <w:b/>
                <w:bCs/>
                <w:iCs/>
              </w:rPr>
            </w:pPr>
            <w:r w:rsidRPr="00C267BF">
              <w:rPr>
                <w:rFonts w:ascii="Times New Roman" w:eastAsia="Times New Roman" w:hAnsi="Times New Roman"/>
                <w:b/>
                <w:bCs/>
                <w:iCs/>
              </w:rPr>
              <w:t>MedDRA                                                 Trieda orgánových systémov</w:t>
            </w:r>
          </w:p>
        </w:tc>
        <w:tc>
          <w:tcPr>
            <w:tcW w:w="1842" w:type="dxa"/>
            <w:tcBorders>
              <w:top w:val="single" w:sz="4" w:space="0" w:color="auto"/>
            </w:tcBorders>
          </w:tcPr>
          <w:p w:rsidR="009A3A22" w:rsidRPr="00C267BF" w:rsidRDefault="009A3A22" w:rsidP="009A3A22">
            <w:pPr>
              <w:keepNext/>
              <w:tabs>
                <w:tab w:val="left" w:pos="567"/>
              </w:tabs>
              <w:spacing w:after="0" w:line="240" w:lineRule="auto"/>
              <w:outlineLvl w:val="1"/>
              <w:rPr>
                <w:rFonts w:ascii="Times New Roman" w:eastAsia="Times New Roman" w:hAnsi="Times New Roman"/>
              </w:rPr>
            </w:pPr>
            <w:r w:rsidRPr="00C267BF">
              <w:rPr>
                <w:rFonts w:ascii="Times New Roman" w:eastAsia="Times New Roman" w:hAnsi="Times New Roman"/>
                <w:b/>
                <w:bCs/>
              </w:rPr>
              <w:t>Frekvencia</w:t>
            </w:r>
          </w:p>
        </w:tc>
        <w:tc>
          <w:tcPr>
            <w:tcW w:w="3261" w:type="dxa"/>
            <w:tcBorders>
              <w:top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b/>
              </w:rPr>
            </w:pPr>
            <w:r w:rsidRPr="00C267BF">
              <w:rPr>
                <w:rFonts w:ascii="Times New Roman" w:eastAsia="Times New Roman" w:hAnsi="Times New Roman"/>
                <w:b/>
              </w:rPr>
              <w:t>Nežiaduce reakcie</w:t>
            </w:r>
          </w:p>
        </w:tc>
      </w:tr>
      <w:tr w:rsidR="009A3A22" w:rsidRPr="00C267BF" w:rsidTr="0000623A">
        <w:tc>
          <w:tcPr>
            <w:tcW w:w="3828" w:type="dxa"/>
          </w:tcPr>
          <w:p w:rsidR="009A3A22" w:rsidRPr="00C267BF" w:rsidRDefault="009A3A22" w:rsidP="009A3A22">
            <w:pPr>
              <w:keepNext/>
              <w:tabs>
                <w:tab w:val="left" w:pos="567"/>
              </w:tabs>
              <w:spacing w:after="0" w:line="240" w:lineRule="auto"/>
              <w:outlineLvl w:val="0"/>
              <w:rPr>
                <w:rFonts w:ascii="Times New Roman" w:eastAsia="Times New Roman" w:hAnsi="Times New Roman"/>
                <w:bCs/>
              </w:rPr>
            </w:pPr>
            <w:r w:rsidRPr="00C267BF">
              <w:rPr>
                <w:rFonts w:ascii="Times New Roman" w:eastAsia="Times New Roman" w:hAnsi="Times New Roman"/>
                <w:bCs/>
                <w:iCs/>
              </w:rPr>
              <w:t>Poruchy krvi a lymfatického systému</w:t>
            </w:r>
          </w:p>
        </w:tc>
        <w:tc>
          <w:tcPr>
            <w:tcW w:w="1842" w:type="dxa"/>
            <w:tcBorders>
              <w:top w:val="single" w:sz="4" w:space="0" w:color="auto"/>
            </w:tcBorders>
          </w:tcPr>
          <w:p w:rsidR="009A3A22" w:rsidRPr="00C267BF" w:rsidRDefault="009A3A22" w:rsidP="009A3A22">
            <w:pPr>
              <w:keepNext/>
              <w:tabs>
                <w:tab w:val="left" w:pos="567"/>
              </w:tabs>
              <w:spacing w:after="0" w:line="240" w:lineRule="auto"/>
              <w:outlineLvl w:val="1"/>
              <w:rPr>
                <w:rFonts w:ascii="Times New Roman" w:eastAsia="Times New Roman" w:hAnsi="Times New Roman"/>
              </w:rPr>
            </w:pPr>
            <w:r w:rsidRPr="00C267BF">
              <w:rPr>
                <w:rFonts w:ascii="Times New Roman" w:eastAsia="Times New Roman" w:hAnsi="Times New Roman"/>
              </w:rPr>
              <w:t>Veľmi zriedkavé</w:t>
            </w:r>
          </w:p>
        </w:tc>
        <w:tc>
          <w:tcPr>
            <w:tcW w:w="3261" w:type="dxa"/>
            <w:tcBorders>
              <w:top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leukopénia, trombocytopénia</w:t>
            </w:r>
          </w:p>
        </w:tc>
      </w:tr>
      <w:tr w:rsidR="009A3A22" w:rsidRPr="00C267BF" w:rsidTr="0000623A">
        <w:tc>
          <w:tcPr>
            <w:tcW w:w="3828" w:type="dxa"/>
          </w:tcPr>
          <w:p w:rsidR="009A3A22" w:rsidRPr="00C267BF" w:rsidRDefault="009A3A22" w:rsidP="009A3A22">
            <w:pPr>
              <w:keepNext/>
              <w:tabs>
                <w:tab w:val="left" w:pos="567"/>
              </w:tabs>
              <w:spacing w:after="0" w:line="240" w:lineRule="auto"/>
              <w:rPr>
                <w:rFonts w:ascii="Times New Roman" w:eastAsia="Times New Roman" w:hAnsi="Times New Roman"/>
                <w:bCs/>
                <w:iCs/>
              </w:rPr>
            </w:pPr>
            <w:r w:rsidRPr="00C267BF">
              <w:rPr>
                <w:rFonts w:ascii="Times New Roman" w:eastAsia="Times New Roman" w:hAnsi="Times New Roman"/>
                <w:bCs/>
                <w:iCs/>
              </w:rPr>
              <w:t>Poruchy imunitného systému</w:t>
            </w:r>
          </w:p>
        </w:tc>
        <w:tc>
          <w:tcPr>
            <w:tcW w:w="1842" w:type="dxa"/>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Veľmi zriedkavé</w:t>
            </w:r>
          </w:p>
        </w:tc>
        <w:tc>
          <w:tcPr>
            <w:tcW w:w="3261" w:type="dxa"/>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alergické reakcie</w:t>
            </w:r>
          </w:p>
        </w:tc>
      </w:tr>
      <w:tr w:rsidR="009A3A22" w:rsidRPr="00C267BF" w:rsidTr="0000623A">
        <w:tc>
          <w:tcPr>
            <w:tcW w:w="3828" w:type="dxa"/>
          </w:tcPr>
          <w:p w:rsidR="009A3A22" w:rsidRPr="00C267BF" w:rsidRDefault="009A3A22" w:rsidP="009A3A22">
            <w:pPr>
              <w:keepNext/>
              <w:tabs>
                <w:tab w:val="left" w:pos="567"/>
              </w:tabs>
              <w:spacing w:after="0" w:line="240" w:lineRule="auto"/>
              <w:rPr>
                <w:rFonts w:ascii="Times New Roman" w:eastAsia="Times New Roman" w:hAnsi="Times New Roman"/>
                <w:bCs/>
              </w:rPr>
            </w:pPr>
            <w:r w:rsidRPr="00C267BF">
              <w:rPr>
                <w:rFonts w:ascii="Times New Roman" w:eastAsia="Times New Roman" w:hAnsi="Times New Roman"/>
                <w:bCs/>
                <w:iCs/>
              </w:rPr>
              <w:t>Poruchy metabolizmu a výživy</w:t>
            </w:r>
          </w:p>
        </w:tc>
        <w:tc>
          <w:tcPr>
            <w:tcW w:w="1842" w:type="dxa"/>
          </w:tcPr>
          <w:p w:rsidR="009A3A22" w:rsidRPr="00C267BF" w:rsidRDefault="009A3A22" w:rsidP="009A3A22">
            <w:pPr>
              <w:keepNext/>
              <w:tabs>
                <w:tab w:val="left" w:pos="567"/>
              </w:tabs>
              <w:suppressAutoHyphens/>
              <w:spacing w:after="0" w:line="240" w:lineRule="auto"/>
              <w:outlineLvl w:val="4"/>
              <w:rPr>
                <w:rFonts w:ascii="Times New Roman" w:eastAsia="Times New Roman" w:hAnsi="Times New Roman"/>
                <w:bCs/>
              </w:rPr>
            </w:pPr>
            <w:r w:rsidRPr="00C267BF">
              <w:rPr>
                <w:rFonts w:ascii="Times New Roman" w:eastAsia="Times New Roman" w:hAnsi="Times New Roman"/>
                <w:bCs/>
              </w:rPr>
              <w:t>Veľmi zriedkavé</w:t>
            </w:r>
          </w:p>
        </w:tc>
        <w:tc>
          <w:tcPr>
            <w:tcW w:w="3261" w:type="dxa"/>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hyperglykémia</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outlineLvl w:val="5"/>
              <w:rPr>
                <w:rFonts w:ascii="Times New Roman" w:eastAsia="Times New Roman" w:hAnsi="Times New Roman"/>
                <w:bCs/>
                <w:iCs/>
                <w:lang w:eastAsia="de-DE"/>
              </w:rPr>
            </w:pPr>
            <w:r w:rsidRPr="00C267BF">
              <w:rPr>
                <w:rFonts w:ascii="Times New Roman" w:eastAsia="Times New Roman" w:hAnsi="Times New Roman"/>
                <w:bCs/>
                <w:iCs/>
                <w:lang w:eastAsia="de-DE"/>
              </w:rPr>
              <w:t>Psychické poruchy</w:t>
            </w:r>
          </w:p>
        </w:tc>
        <w:tc>
          <w:tcPr>
            <w:tcW w:w="1842" w:type="dxa"/>
            <w:tcBorders>
              <w:bottom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Menej časté</w:t>
            </w:r>
          </w:p>
        </w:tc>
        <w:tc>
          <w:tcPr>
            <w:tcW w:w="3261" w:type="dxa"/>
            <w:tcBorders>
              <w:bottom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nespavosť, zmeny nálady (vrátane úzkosti), depresia</w:t>
            </w:r>
          </w:p>
        </w:tc>
      </w:tr>
      <w:tr w:rsidR="009A3A22" w:rsidRPr="00C267BF" w:rsidTr="0000623A">
        <w:tc>
          <w:tcPr>
            <w:tcW w:w="3828" w:type="dxa"/>
            <w:vMerge/>
            <w:tcBorders>
              <w:bottom w:val="single" w:sz="4" w:space="0" w:color="auto"/>
            </w:tcBorders>
          </w:tcPr>
          <w:p w:rsidR="009A3A22" w:rsidRPr="00C267BF" w:rsidRDefault="009A3A22" w:rsidP="009A3A22">
            <w:pPr>
              <w:keepNext/>
              <w:tabs>
                <w:tab w:val="left" w:pos="567"/>
              </w:tabs>
              <w:spacing w:after="0" w:line="240" w:lineRule="auto"/>
              <w:outlineLvl w:val="5"/>
              <w:rPr>
                <w:rFonts w:ascii="Times New Roman" w:eastAsia="Times New Roman" w:hAnsi="Times New Roman"/>
                <w:bCs/>
                <w:iCs/>
                <w:lang w:eastAsia="de-DE"/>
              </w:rPr>
            </w:pPr>
          </w:p>
        </w:tc>
        <w:tc>
          <w:tcPr>
            <w:tcW w:w="1842" w:type="dxa"/>
            <w:tcBorders>
              <w:bottom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Zriedkavé</w:t>
            </w:r>
          </w:p>
        </w:tc>
        <w:tc>
          <w:tcPr>
            <w:tcW w:w="3261" w:type="dxa"/>
            <w:tcBorders>
              <w:bottom w:val="single" w:sz="4" w:space="0" w:color="auto"/>
            </w:tcBorders>
          </w:tcPr>
          <w:p w:rsidR="009A3A22" w:rsidRPr="00C267BF" w:rsidRDefault="009A3A2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zmätenosť</w:t>
            </w:r>
          </w:p>
        </w:tc>
      </w:tr>
      <w:tr w:rsidR="005B7962" w:rsidRPr="00C267BF" w:rsidTr="0000623A">
        <w:tc>
          <w:tcPr>
            <w:tcW w:w="3828" w:type="dxa"/>
            <w:vMerge w:val="restart"/>
          </w:tcPr>
          <w:p w:rsidR="005B7962" w:rsidRPr="00C267BF" w:rsidRDefault="005B7962" w:rsidP="009A3A22">
            <w:pPr>
              <w:keepNext/>
              <w:tabs>
                <w:tab w:val="left" w:pos="567"/>
              </w:tabs>
              <w:spacing w:after="0" w:line="240" w:lineRule="auto"/>
              <w:outlineLvl w:val="0"/>
              <w:rPr>
                <w:rFonts w:ascii="Times New Roman" w:eastAsia="Times New Roman" w:hAnsi="Times New Roman"/>
                <w:bCs/>
                <w:iCs/>
              </w:rPr>
            </w:pPr>
            <w:r w:rsidRPr="00C267BF">
              <w:rPr>
                <w:rFonts w:ascii="Times New Roman" w:eastAsia="Times New Roman" w:hAnsi="Times New Roman"/>
                <w:bCs/>
                <w:iCs/>
              </w:rPr>
              <w:t>Poruchy nervového systému</w:t>
            </w:r>
          </w:p>
        </w:tc>
        <w:tc>
          <w:tcPr>
            <w:tcW w:w="1842" w:type="dxa"/>
          </w:tcPr>
          <w:p w:rsidR="005B7962" w:rsidRPr="00C267BF" w:rsidRDefault="005B796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Časté</w:t>
            </w:r>
          </w:p>
        </w:tc>
        <w:tc>
          <w:tcPr>
            <w:tcW w:w="3261" w:type="dxa"/>
          </w:tcPr>
          <w:p w:rsidR="005B7962" w:rsidRPr="00C267BF" w:rsidRDefault="005B7962"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somnolencia, závraty, bolesť hlavy (zvlášť na začiatku liečby)</w:t>
            </w:r>
          </w:p>
        </w:tc>
      </w:tr>
      <w:tr w:rsidR="005B7962" w:rsidRPr="00C267BF" w:rsidTr="0000623A">
        <w:tc>
          <w:tcPr>
            <w:tcW w:w="3828" w:type="dxa"/>
            <w:vMerge/>
          </w:tcPr>
          <w:p w:rsidR="005B7962" w:rsidRPr="00C267BF" w:rsidRDefault="005B7962" w:rsidP="009A3A22">
            <w:pPr>
              <w:tabs>
                <w:tab w:val="left" w:pos="567"/>
              </w:tabs>
              <w:spacing w:after="0" w:line="240" w:lineRule="auto"/>
              <w:rPr>
                <w:rFonts w:ascii="Times New Roman" w:eastAsia="Times New Roman" w:hAnsi="Times New Roman"/>
              </w:rPr>
            </w:pPr>
          </w:p>
        </w:tc>
        <w:tc>
          <w:tcPr>
            <w:tcW w:w="1842" w:type="dxa"/>
          </w:tcPr>
          <w:p w:rsidR="005B7962" w:rsidRPr="00C267BF" w:rsidRDefault="005B7962"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Menej časté</w:t>
            </w:r>
          </w:p>
        </w:tc>
        <w:tc>
          <w:tcPr>
            <w:tcW w:w="3261" w:type="dxa"/>
          </w:tcPr>
          <w:p w:rsidR="005B7962" w:rsidRPr="00C267BF" w:rsidRDefault="005B7962"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tremor, dysgeúzia, synkopa, hypestézia, parestézia</w:t>
            </w:r>
          </w:p>
        </w:tc>
      </w:tr>
      <w:tr w:rsidR="005B7962" w:rsidRPr="00C267BF" w:rsidTr="0000623A">
        <w:tc>
          <w:tcPr>
            <w:tcW w:w="3828" w:type="dxa"/>
            <w:vMerge/>
          </w:tcPr>
          <w:p w:rsidR="005B7962" w:rsidRPr="00C267BF" w:rsidRDefault="005B7962" w:rsidP="009A3A22">
            <w:pPr>
              <w:keepNext/>
              <w:tabs>
                <w:tab w:val="left" w:pos="567"/>
              </w:tabs>
              <w:spacing w:after="0" w:line="240" w:lineRule="auto"/>
              <w:rPr>
                <w:rFonts w:ascii="Times New Roman" w:eastAsia="Times New Roman" w:hAnsi="Times New Roman"/>
              </w:rPr>
            </w:pPr>
          </w:p>
        </w:tc>
        <w:tc>
          <w:tcPr>
            <w:tcW w:w="1842" w:type="dxa"/>
          </w:tcPr>
          <w:p w:rsidR="005B7962" w:rsidRPr="00C267BF" w:rsidRDefault="005B7962"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Veľmi zriedkavé</w:t>
            </w:r>
          </w:p>
        </w:tc>
        <w:tc>
          <w:tcPr>
            <w:tcW w:w="3261" w:type="dxa"/>
          </w:tcPr>
          <w:p w:rsidR="005B7962" w:rsidRPr="00C267BF" w:rsidRDefault="005B7962"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zvýšený svalový tonus, periférna neuropatia</w:t>
            </w:r>
          </w:p>
        </w:tc>
      </w:tr>
      <w:tr w:rsidR="005B7962" w:rsidRPr="00C267BF" w:rsidTr="0000623A">
        <w:tc>
          <w:tcPr>
            <w:tcW w:w="3828" w:type="dxa"/>
            <w:vMerge/>
          </w:tcPr>
          <w:p w:rsidR="005B7962" w:rsidRPr="00C267BF" w:rsidRDefault="005B7962" w:rsidP="009A3A22">
            <w:pPr>
              <w:keepNext/>
              <w:tabs>
                <w:tab w:val="left" w:pos="567"/>
              </w:tabs>
              <w:spacing w:after="0" w:line="240" w:lineRule="auto"/>
              <w:outlineLvl w:val="5"/>
              <w:rPr>
                <w:rFonts w:ascii="Times New Roman" w:eastAsia="Times New Roman" w:hAnsi="Times New Roman"/>
                <w:bCs/>
                <w:lang w:eastAsia="de-DE"/>
              </w:rPr>
            </w:pPr>
          </w:p>
        </w:tc>
        <w:tc>
          <w:tcPr>
            <w:tcW w:w="1842" w:type="dxa"/>
          </w:tcPr>
          <w:p w:rsidR="005B7962" w:rsidRPr="00C267BF" w:rsidRDefault="005B7962" w:rsidP="009A3A22">
            <w:pPr>
              <w:tabs>
                <w:tab w:val="left" w:pos="567"/>
              </w:tabs>
              <w:spacing w:after="0" w:line="240" w:lineRule="auto"/>
              <w:rPr>
                <w:rFonts w:ascii="Times New Roman" w:eastAsia="Times New Roman" w:hAnsi="Times New Roman"/>
              </w:rPr>
            </w:pPr>
            <w:r>
              <w:rPr>
                <w:rFonts w:ascii="Times New Roman" w:eastAsia="Times New Roman" w:hAnsi="Times New Roman"/>
              </w:rPr>
              <w:t>Neznáme</w:t>
            </w:r>
          </w:p>
        </w:tc>
        <w:tc>
          <w:tcPr>
            <w:tcW w:w="3261" w:type="dxa"/>
          </w:tcPr>
          <w:p w:rsidR="005B7962" w:rsidRPr="00C267BF" w:rsidRDefault="00B31989" w:rsidP="009A3A22">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extrapyramídová</w:t>
            </w:r>
            <w:proofErr w:type="spellEnd"/>
            <w:r>
              <w:rPr>
                <w:rFonts w:ascii="Times New Roman" w:eastAsia="Times New Roman" w:hAnsi="Times New Roman"/>
              </w:rPr>
              <w:t xml:space="preserve"> porucha</w:t>
            </w:r>
          </w:p>
        </w:tc>
      </w:tr>
      <w:tr w:rsidR="009A3A22" w:rsidRPr="00C267BF" w:rsidTr="0000623A">
        <w:tc>
          <w:tcPr>
            <w:tcW w:w="3828" w:type="dxa"/>
          </w:tcPr>
          <w:p w:rsidR="009A3A22" w:rsidRPr="00C267BF" w:rsidRDefault="009A3A22" w:rsidP="009A3A22">
            <w:pPr>
              <w:keepNext/>
              <w:tabs>
                <w:tab w:val="left" w:pos="567"/>
              </w:tabs>
              <w:spacing w:after="0" w:line="240" w:lineRule="auto"/>
              <w:outlineLvl w:val="5"/>
              <w:rPr>
                <w:rFonts w:ascii="Times New Roman" w:eastAsia="Times New Roman" w:hAnsi="Times New Roman"/>
                <w:bCs/>
                <w:lang w:eastAsia="de-DE"/>
              </w:rPr>
            </w:pPr>
            <w:r w:rsidRPr="00C267BF">
              <w:rPr>
                <w:rFonts w:ascii="Times New Roman" w:eastAsia="Times New Roman" w:hAnsi="Times New Roman"/>
                <w:bCs/>
                <w:lang w:eastAsia="de-DE"/>
              </w:rPr>
              <w:t>Poruchy oka</w:t>
            </w:r>
          </w:p>
        </w:tc>
        <w:tc>
          <w:tcPr>
            <w:tcW w:w="1842" w:type="dxa"/>
          </w:tcPr>
          <w:p w:rsidR="009A3A22" w:rsidRPr="00C267BF" w:rsidRDefault="007D5165"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Č</w:t>
            </w:r>
            <w:r w:rsidR="009A3A22" w:rsidRPr="00C267BF">
              <w:rPr>
                <w:rFonts w:ascii="Times New Roman" w:eastAsia="Times New Roman" w:hAnsi="Times New Roman"/>
              </w:rPr>
              <w:t>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poruchy videnia (vrátane diplopie)</w:t>
            </w:r>
          </w:p>
        </w:tc>
      </w:tr>
      <w:tr w:rsidR="009A3A22" w:rsidRPr="00C267BF" w:rsidTr="0000623A">
        <w:tc>
          <w:tcPr>
            <w:tcW w:w="3828"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bCs/>
              </w:rPr>
              <w:t>Poruchy ucha a labyrintu</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tinnitus</w:t>
            </w:r>
            <w:r w:rsidRPr="00C267BF">
              <w:rPr>
                <w:rFonts w:ascii="Times New Roman" w:eastAsia="Times New Roman" w:hAnsi="Times New Roman"/>
                <w:iCs/>
              </w:rPr>
              <w:t xml:space="preserve"> </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outlineLvl w:val="5"/>
              <w:rPr>
                <w:rFonts w:ascii="Times New Roman" w:eastAsia="Times New Roman" w:hAnsi="Times New Roman"/>
                <w:bCs/>
                <w:lang w:eastAsia="de-DE"/>
              </w:rPr>
            </w:pPr>
            <w:r w:rsidRPr="00C267BF">
              <w:rPr>
                <w:rFonts w:ascii="Times New Roman" w:eastAsia="Times New Roman" w:hAnsi="Times New Roman"/>
                <w:bCs/>
                <w:lang w:eastAsia="de-DE"/>
              </w:rPr>
              <w:t>Poruchy srdca a srdcovej činnosti</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Č</w:t>
            </w:r>
            <w:r w:rsidR="009A3A22" w:rsidRPr="00C267BF">
              <w:rPr>
                <w:rFonts w:ascii="Times New Roman" w:eastAsia="Times New Roman" w:hAnsi="Times New Roman"/>
              </w:rPr>
              <w:t>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palpitácie</w:t>
            </w:r>
          </w:p>
        </w:tc>
      </w:tr>
      <w:tr w:rsidR="00F33A20" w:rsidRPr="00C267BF" w:rsidTr="0000623A">
        <w:tc>
          <w:tcPr>
            <w:tcW w:w="3828" w:type="dxa"/>
            <w:vMerge/>
          </w:tcPr>
          <w:p w:rsidR="00F33A20" w:rsidRPr="00C267BF" w:rsidRDefault="00F33A20" w:rsidP="009A3A22">
            <w:pPr>
              <w:keepNext/>
              <w:tabs>
                <w:tab w:val="left" w:pos="567"/>
              </w:tabs>
              <w:spacing w:after="0" w:line="240" w:lineRule="auto"/>
              <w:outlineLvl w:val="5"/>
              <w:rPr>
                <w:rFonts w:ascii="Times New Roman" w:eastAsia="Times New Roman" w:hAnsi="Times New Roman"/>
                <w:bCs/>
                <w:lang w:eastAsia="de-DE"/>
              </w:rPr>
            </w:pPr>
          </w:p>
        </w:tc>
        <w:tc>
          <w:tcPr>
            <w:tcW w:w="1842" w:type="dxa"/>
          </w:tcPr>
          <w:p w:rsidR="00F33A20" w:rsidRPr="00C267BF" w:rsidRDefault="00F33A20"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Menej časté</w:t>
            </w:r>
          </w:p>
        </w:tc>
        <w:tc>
          <w:tcPr>
            <w:tcW w:w="3261" w:type="dxa"/>
          </w:tcPr>
          <w:p w:rsidR="00F33A20" w:rsidRPr="00C267BF" w:rsidRDefault="00F33A20"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arytmia (vrátane bradykardie, komorovej tachykardie a fibrilácie predsiení)</w:t>
            </w:r>
          </w:p>
        </w:tc>
      </w:tr>
      <w:tr w:rsidR="009A3A22" w:rsidRPr="00C267BF" w:rsidTr="0000623A">
        <w:tc>
          <w:tcPr>
            <w:tcW w:w="3828" w:type="dxa"/>
            <w:vMerge/>
          </w:tcPr>
          <w:p w:rsidR="009A3A22" w:rsidRPr="00C267BF" w:rsidRDefault="009A3A22" w:rsidP="009A3A22">
            <w:pPr>
              <w:keepNext/>
              <w:tabs>
                <w:tab w:val="left" w:pos="567"/>
              </w:tabs>
              <w:spacing w:after="0" w:line="240" w:lineRule="auto"/>
              <w:outlineLvl w:val="5"/>
              <w:rPr>
                <w:rFonts w:ascii="Times New Roman" w:eastAsia="Times New Roman" w:hAnsi="Times New Roman"/>
                <w:bCs/>
                <w:lang w:eastAsia="de-DE"/>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V</w:t>
            </w:r>
            <w:r w:rsidR="009A3A22" w:rsidRPr="00C267BF">
              <w:rPr>
                <w:rFonts w:ascii="Times New Roman" w:eastAsia="Times New Roman" w:hAnsi="Times New Roman"/>
                <w:iCs/>
              </w:rPr>
              <w:t>eľmi zriedkavé</w:t>
            </w:r>
          </w:p>
        </w:tc>
        <w:tc>
          <w:tcPr>
            <w:tcW w:w="3261" w:type="dxa"/>
          </w:tcPr>
          <w:p w:rsidR="009A3A22" w:rsidRPr="00C267BF" w:rsidRDefault="009A3A22" w:rsidP="00F33A20">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infarkt myokardu</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outlineLvl w:val="5"/>
              <w:rPr>
                <w:rFonts w:ascii="Times New Roman" w:eastAsia="Times New Roman" w:hAnsi="Times New Roman"/>
                <w:iCs/>
                <w:lang w:eastAsia="de-DE"/>
              </w:rPr>
            </w:pPr>
            <w:r w:rsidRPr="00C267BF">
              <w:rPr>
                <w:rFonts w:ascii="Times New Roman" w:eastAsia="Times New Roman" w:hAnsi="Times New Roman"/>
                <w:bCs/>
                <w:lang w:eastAsia="de-DE"/>
              </w:rPr>
              <w:t>Poruchy ciev</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Č</w:t>
            </w:r>
            <w:r w:rsidR="009A3A22" w:rsidRPr="00C267BF">
              <w:rPr>
                <w:rFonts w:ascii="Times New Roman" w:eastAsia="Times New Roman" w:hAnsi="Times New Roman"/>
              </w:rPr>
              <w:t>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začervenanie</w:t>
            </w:r>
            <w:r w:rsidRPr="00C267BF">
              <w:rPr>
                <w:rFonts w:ascii="Times New Roman" w:eastAsia="Times New Roman" w:hAnsi="Times New Roman"/>
                <w:iCs/>
              </w:rPr>
              <w:t xml:space="preserve"> </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hypotenzia</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V</w:t>
            </w:r>
            <w:r w:rsidR="009A3A22" w:rsidRPr="00C267BF">
              <w:rPr>
                <w:rFonts w:ascii="Times New Roman" w:eastAsia="Times New Roman" w:hAnsi="Times New Roman"/>
              </w:rPr>
              <w:t>eľmi zriedkavé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vaskulitída</w:t>
            </w:r>
          </w:p>
        </w:tc>
      </w:tr>
      <w:tr w:rsidR="009A3A22" w:rsidRPr="00C267BF" w:rsidTr="0000623A">
        <w:tc>
          <w:tcPr>
            <w:tcW w:w="3828" w:type="dxa"/>
            <w:vMerge w:val="restart"/>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bCs/>
              </w:rPr>
              <w:t>Poruchy dýchacej sústavy, hrudníka a mediastína</w:t>
            </w:r>
          </w:p>
        </w:tc>
        <w:tc>
          <w:tcPr>
            <w:tcW w:w="1842" w:type="dxa"/>
          </w:tcPr>
          <w:p w:rsidR="009A3A22" w:rsidRPr="00C267BF" w:rsidRDefault="007D5165"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Č</w:t>
            </w:r>
            <w:r w:rsidR="009A3A22" w:rsidRPr="00C267BF">
              <w:rPr>
                <w:rFonts w:ascii="Times New Roman" w:eastAsia="Times New Roman" w:hAnsi="Times New Roman"/>
              </w:rPr>
              <w:t>asté</w:t>
            </w:r>
          </w:p>
        </w:tc>
        <w:tc>
          <w:tcPr>
            <w:tcW w:w="3261" w:type="dxa"/>
          </w:tcPr>
          <w:p w:rsidR="009A3A22" w:rsidRPr="00C267BF" w:rsidRDefault="00F33A20" w:rsidP="00F33A20">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dyspnoe</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7D5165"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Menej časté</w:t>
            </w:r>
          </w:p>
        </w:tc>
        <w:tc>
          <w:tcPr>
            <w:tcW w:w="3261"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k</w:t>
            </w:r>
            <w:r w:rsidR="009A3A22" w:rsidRPr="00C267BF">
              <w:rPr>
                <w:rFonts w:ascii="Times New Roman" w:eastAsia="Times New Roman" w:hAnsi="Times New Roman"/>
              </w:rPr>
              <w:t>ašeľ</w:t>
            </w:r>
            <w:r w:rsidRPr="00C267BF">
              <w:rPr>
                <w:rFonts w:ascii="Times New Roman" w:eastAsia="Times New Roman" w:hAnsi="Times New Roman"/>
              </w:rPr>
              <w:t>,</w:t>
            </w:r>
            <w:r w:rsidRPr="00C267BF">
              <w:t xml:space="preserve"> </w:t>
            </w:r>
            <w:r w:rsidRPr="00C267BF">
              <w:rPr>
                <w:rFonts w:ascii="Times New Roman" w:eastAsia="Times New Roman" w:hAnsi="Times New Roman"/>
              </w:rPr>
              <w:t xml:space="preserve">rinitída </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outlineLvl w:val="5"/>
              <w:rPr>
                <w:rFonts w:ascii="Times New Roman" w:eastAsia="Times New Roman" w:hAnsi="Times New Roman"/>
                <w:bCs/>
                <w:lang w:eastAsia="de-DE"/>
              </w:rPr>
            </w:pPr>
            <w:r w:rsidRPr="00C267BF">
              <w:rPr>
                <w:rFonts w:ascii="Times New Roman" w:eastAsia="Times New Roman" w:hAnsi="Times New Roman"/>
                <w:bCs/>
                <w:lang w:eastAsia="de-DE"/>
              </w:rPr>
              <w:lastRenderedPageBreak/>
              <w:t>Poruchy gastrointestinálneho traktu</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Č</w:t>
            </w:r>
            <w:r w:rsidR="009A3A22" w:rsidRPr="00C267BF">
              <w:rPr>
                <w:rFonts w:ascii="Times New Roman" w:eastAsia="Times New Roman" w:hAnsi="Times New Roman"/>
              </w:rPr>
              <w:t>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abdominálna bolesť, nauzea</w:t>
            </w:r>
            <w:r w:rsidR="00F33A20" w:rsidRPr="00C267BF">
              <w:rPr>
                <w:rFonts w:ascii="Times New Roman" w:eastAsia="Times New Roman" w:hAnsi="Times New Roman"/>
              </w:rPr>
              <w:t>, dyspepsia</w:t>
            </w:r>
            <w:r w:rsidR="00F33A20" w:rsidRPr="00C267BF">
              <w:rPr>
                <w:rFonts w:ascii="Times New Roman" w:eastAsia="Times New Roman" w:hAnsi="Times New Roman"/>
                <w:iCs/>
              </w:rPr>
              <w:t>,</w:t>
            </w:r>
            <w:r w:rsidR="00F33A20" w:rsidRPr="00C267BF">
              <w:t xml:space="preserve"> </w:t>
            </w:r>
            <w:r w:rsidR="00F33A20" w:rsidRPr="00C267BF">
              <w:rPr>
                <w:rFonts w:ascii="Times New Roman" w:eastAsia="Times New Roman" w:hAnsi="Times New Roman"/>
                <w:iCs/>
              </w:rPr>
              <w:t>porucha činnosti čriev (vrátane hnačky a zápchy)</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F33A20">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vracanie</w:t>
            </w:r>
            <w:r w:rsidRPr="00C267BF">
              <w:rPr>
                <w:rFonts w:ascii="Times New Roman" w:eastAsia="Times New Roman" w:hAnsi="Times New Roman"/>
                <w:iCs/>
              </w:rPr>
              <w:t xml:space="preserve">, </w:t>
            </w:r>
            <w:r w:rsidRPr="00C267BF">
              <w:rPr>
                <w:rFonts w:ascii="Times New Roman" w:eastAsia="Times New Roman" w:hAnsi="Times New Roman"/>
              </w:rPr>
              <w:t>sucho v ústach</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iCs/>
              </w:rPr>
            </w:pP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V</w:t>
            </w:r>
            <w:r w:rsidR="009A3A22" w:rsidRPr="00C267BF">
              <w:rPr>
                <w:rFonts w:ascii="Times New Roman" w:eastAsia="Times New Roman" w:hAnsi="Times New Roman"/>
              </w:rPr>
              <w:t>eľmi zriedkavé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pankreatitída</w:t>
            </w:r>
            <w:r w:rsidRPr="00C267BF">
              <w:rPr>
                <w:rFonts w:ascii="Times New Roman" w:eastAsia="Times New Roman" w:hAnsi="Times New Roman"/>
                <w:iCs/>
              </w:rPr>
              <w:t xml:space="preserve">, gastritída, </w:t>
            </w:r>
            <w:r w:rsidRPr="00C267BF">
              <w:rPr>
                <w:rFonts w:ascii="Times New Roman" w:eastAsia="Times New Roman" w:hAnsi="Times New Roman"/>
              </w:rPr>
              <w:t>hyperplázia gingivy</w:t>
            </w:r>
            <w:r w:rsidRPr="00C267BF">
              <w:rPr>
                <w:rFonts w:ascii="Times New Roman" w:eastAsia="Times New Roman" w:hAnsi="Times New Roman"/>
                <w:iCs/>
              </w:rPr>
              <w:t xml:space="preserve"> </w:t>
            </w:r>
          </w:p>
        </w:tc>
      </w:tr>
      <w:tr w:rsidR="009A3A22" w:rsidRPr="00C267BF" w:rsidTr="0000623A">
        <w:tc>
          <w:tcPr>
            <w:tcW w:w="3828" w:type="dxa"/>
          </w:tcPr>
          <w:p w:rsidR="009A3A22" w:rsidRPr="00C267BF" w:rsidRDefault="009A3A22" w:rsidP="009A3A22">
            <w:pPr>
              <w:keepNext/>
              <w:tabs>
                <w:tab w:val="left" w:pos="567"/>
              </w:tabs>
              <w:spacing w:after="0" w:line="240" w:lineRule="auto"/>
              <w:outlineLvl w:val="5"/>
              <w:rPr>
                <w:rFonts w:ascii="Times New Roman" w:eastAsia="Times New Roman" w:hAnsi="Times New Roman"/>
                <w:bCs/>
                <w:lang w:eastAsia="de-DE"/>
              </w:rPr>
            </w:pPr>
            <w:r w:rsidRPr="00C267BF">
              <w:rPr>
                <w:rFonts w:ascii="Times New Roman" w:eastAsia="Times New Roman" w:hAnsi="Times New Roman"/>
                <w:bCs/>
                <w:lang w:eastAsia="de-DE"/>
              </w:rPr>
              <w:t>Poruchy pečene a žlčových ciest</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V</w:t>
            </w:r>
            <w:r w:rsidR="009A3A22" w:rsidRPr="00C267BF">
              <w:rPr>
                <w:rFonts w:ascii="Times New Roman" w:eastAsia="Times New Roman" w:hAnsi="Times New Roman"/>
              </w:rPr>
              <w:t>eľmi zriedkavé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hepatitída,</w:t>
            </w:r>
            <w:r w:rsidRPr="00C267BF">
              <w:rPr>
                <w:rFonts w:ascii="Times New Roman" w:eastAsia="Times New Roman" w:hAnsi="Times New Roman"/>
                <w:b/>
              </w:rPr>
              <w:t xml:space="preserve"> </w:t>
            </w:r>
            <w:r w:rsidRPr="00C267BF">
              <w:rPr>
                <w:rFonts w:ascii="Times New Roman" w:eastAsia="Times New Roman" w:hAnsi="Times New Roman"/>
              </w:rPr>
              <w:t>ikterus, zvýšenie hepatálnych enzýmov*</w:t>
            </w:r>
          </w:p>
        </w:tc>
      </w:tr>
      <w:tr w:rsidR="00C45BAB" w:rsidRPr="00C267BF" w:rsidTr="0000623A">
        <w:tc>
          <w:tcPr>
            <w:tcW w:w="3828" w:type="dxa"/>
            <w:vMerge w:val="restart"/>
          </w:tcPr>
          <w:p w:rsidR="00C45BAB" w:rsidRPr="00F01F11" w:rsidRDefault="00C45BAB" w:rsidP="009A3A22">
            <w:pPr>
              <w:tabs>
                <w:tab w:val="left" w:pos="567"/>
              </w:tabs>
              <w:spacing w:after="0" w:line="240" w:lineRule="auto"/>
              <w:rPr>
                <w:rFonts w:ascii="Times New Roman" w:eastAsia="Times New Roman" w:hAnsi="Times New Roman"/>
                <w:bCs/>
              </w:rPr>
            </w:pPr>
            <w:r w:rsidRPr="00F01F11">
              <w:rPr>
                <w:rFonts w:ascii="Times New Roman" w:eastAsia="Times New Roman" w:hAnsi="Times New Roman"/>
                <w:bCs/>
              </w:rPr>
              <w:t>Poruchy kože a podkožného tkaniva</w:t>
            </w:r>
          </w:p>
        </w:tc>
        <w:tc>
          <w:tcPr>
            <w:tcW w:w="1842" w:type="dxa"/>
          </w:tcPr>
          <w:p w:rsidR="00C45BAB" w:rsidRPr="00F01F11" w:rsidRDefault="00C45BAB" w:rsidP="009A3A22">
            <w:pPr>
              <w:tabs>
                <w:tab w:val="left" w:pos="567"/>
              </w:tabs>
              <w:spacing w:after="0" w:line="240" w:lineRule="auto"/>
              <w:rPr>
                <w:rFonts w:ascii="Times New Roman" w:eastAsia="Times New Roman" w:hAnsi="Times New Roman"/>
                <w:iCs/>
              </w:rPr>
            </w:pPr>
            <w:r w:rsidRPr="00F01F11">
              <w:rPr>
                <w:rFonts w:ascii="Times New Roman" w:eastAsia="Times New Roman" w:hAnsi="Times New Roman"/>
              </w:rPr>
              <w:t>Menej časté</w:t>
            </w:r>
          </w:p>
        </w:tc>
        <w:tc>
          <w:tcPr>
            <w:tcW w:w="3261" w:type="dxa"/>
          </w:tcPr>
          <w:p w:rsidR="00C45BAB" w:rsidRPr="00F01F11" w:rsidRDefault="00C45BAB" w:rsidP="009A3A22">
            <w:pPr>
              <w:tabs>
                <w:tab w:val="left" w:pos="567"/>
              </w:tabs>
              <w:spacing w:after="0" w:line="240" w:lineRule="auto"/>
              <w:rPr>
                <w:rFonts w:ascii="Times New Roman" w:eastAsia="Times New Roman" w:hAnsi="Times New Roman"/>
                <w:iCs/>
              </w:rPr>
            </w:pPr>
            <w:r w:rsidRPr="00F01F11">
              <w:rPr>
                <w:rFonts w:ascii="Times New Roman" w:eastAsia="Times New Roman" w:hAnsi="Times New Roman"/>
              </w:rPr>
              <w:t xml:space="preserve">alopécia, </w:t>
            </w:r>
            <w:r w:rsidRPr="00F01F11">
              <w:rPr>
                <w:rFonts w:ascii="Times New Roman" w:eastAsia="Times New Roman" w:hAnsi="Times New Roman"/>
                <w:iCs/>
              </w:rPr>
              <w:t xml:space="preserve">purpura, </w:t>
            </w:r>
            <w:r w:rsidRPr="00F01F11">
              <w:rPr>
                <w:rFonts w:ascii="Times New Roman" w:eastAsia="Times New Roman" w:hAnsi="Times New Roman"/>
              </w:rPr>
              <w:t>zmeny sfarbenia</w:t>
            </w:r>
            <w:r w:rsidRPr="00F01F11">
              <w:rPr>
                <w:rFonts w:ascii="Times New Roman" w:eastAsia="Times New Roman" w:hAnsi="Times New Roman"/>
                <w:color w:val="FF0000"/>
              </w:rPr>
              <w:t xml:space="preserve"> </w:t>
            </w:r>
            <w:r w:rsidRPr="00F01F11">
              <w:rPr>
                <w:rFonts w:ascii="Times New Roman" w:eastAsia="Times New Roman" w:hAnsi="Times New Roman"/>
                <w:color w:val="000000"/>
              </w:rPr>
              <w:t>pokožky</w:t>
            </w:r>
            <w:r w:rsidRPr="00F01F11">
              <w:rPr>
                <w:rFonts w:ascii="Times New Roman" w:eastAsia="Times New Roman" w:hAnsi="Times New Roman"/>
                <w:iCs/>
              </w:rPr>
              <w:t>, hyperhidróza, pruritus, vyrážka, exantém,</w:t>
            </w:r>
            <w:r w:rsidRPr="00F01F11">
              <w:rPr>
                <w:rFonts w:ascii="Times New Roman" w:eastAsia="Times New Roman" w:hAnsi="Times New Roman"/>
                <w:color w:val="000000"/>
              </w:rPr>
              <w:t xml:space="preserve"> žihľavka</w:t>
            </w:r>
            <w:r w:rsidRPr="00F01F11">
              <w:rPr>
                <w:rFonts w:ascii="Times New Roman" w:eastAsia="Times New Roman" w:hAnsi="Times New Roman"/>
                <w:iCs/>
              </w:rPr>
              <w:t xml:space="preserve"> </w:t>
            </w:r>
          </w:p>
        </w:tc>
      </w:tr>
      <w:tr w:rsidR="00C45BAB" w:rsidRPr="00C267BF" w:rsidTr="0000623A">
        <w:trPr>
          <w:trHeight w:val="528"/>
        </w:trPr>
        <w:tc>
          <w:tcPr>
            <w:tcW w:w="3828" w:type="dxa"/>
            <w:vMerge/>
          </w:tcPr>
          <w:p w:rsidR="00C45BAB" w:rsidRPr="00F01F11" w:rsidRDefault="00C45BAB" w:rsidP="009A3A22">
            <w:pPr>
              <w:tabs>
                <w:tab w:val="left" w:pos="567"/>
              </w:tabs>
              <w:spacing w:after="0" w:line="240" w:lineRule="auto"/>
              <w:rPr>
                <w:rFonts w:ascii="Times New Roman" w:eastAsia="Times New Roman" w:hAnsi="Times New Roman"/>
                <w:iCs/>
              </w:rPr>
            </w:pPr>
          </w:p>
        </w:tc>
        <w:tc>
          <w:tcPr>
            <w:tcW w:w="1842" w:type="dxa"/>
          </w:tcPr>
          <w:p w:rsidR="00C45BAB" w:rsidRPr="00F01F11" w:rsidRDefault="00C45BAB" w:rsidP="009A3A22">
            <w:pPr>
              <w:tabs>
                <w:tab w:val="left" w:pos="567"/>
              </w:tabs>
              <w:spacing w:after="0" w:line="240" w:lineRule="auto"/>
              <w:rPr>
                <w:rFonts w:ascii="Times New Roman" w:eastAsia="Times New Roman" w:hAnsi="Times New Roman"/>
                <w:iCs/>
              </w:rPr>
            </w:pPr>
            <w:r w:rsidRPr="00F01F11">
              <w:rPr>
                <w:rFonts w:ascii="Times New Roman" w:eastAsia="Times New Roman" w:hAnsi="Times New Roman"/>
              </w:rPr>
              <w:t>Veľmi zriedkavé</w:t>
            </w:r>
          </w:p>
        </w:tc>
        <w:tc>
          <w:tcPr>
            <w:tcW w:w="3261" w:type="dxa"/>
          </w:tcPr>
          <w:p w:rsidR="00C45BAB" w:rsidRPr="00F01F11" w:rsidRDefault="00C45BAB" w:rsidP="00230246">
            <w:pPr>
              <w:tabs>
                <w:tab w:val="left" w:pos="567"/>
              </w:tabs>
              <w:spacing w:after="0" w:line="240" w:lineRule="auto"/>
              <w:rPr>
                <w:rFonts w:ascii="Times New Roman" w:eastAsia="Times New Roman" w:hAnsi="Times New Roman"/>
                <w:iCs/>
              </w:rPr>
            </w:pPr>
            <w:r w:rsidRPr="00F01F11">
              <w:rPr>
                <w:rFonts w:ascii="Times New Roman" w:eastAsia="Times New Roman" w:hAnsi="Times New Roman"/>
                <w:iCs/>
              </w:rPr>
              <w:t xml:space="preserve">angioedém, erythema multiforme, </w:t>
            </w:r>
            <w:r w:rsidRPr="00F01F11">
              <w:rPr>
                <w:rFonts w:ascii="Times New Roman" w:eastAsia="Times New Roman" w:hAnsi="Times New Roman"/>
                <w:color w:val="000000"/>
              </w:rPr>
              <w:t>exfoliatívna dermatitída, Stevensov</w:t>
            </w:r>
            <w:r w:rsidRPr="00F01F11">
              <w:rPr>
                <w:rFonts w:ascii="Times New Roman" w:eastAsia="Times New Roman" w:hAnsi="Times New Roman"/>
                <w:color w:val="000000"/>
              </w:rPr>
              <w:noBreakHyphen/>
              <w:t xml:space="preserve">Johnsonov syndróm, Quinckeho edém, </w:t>
            </w:r>
            <w:r w:rsidRPr="00F01F11">
              <w:rPr>
                <w:rFonts w:ascii="Times New Roman" w:eastAsia="Times New Roman" w:hAnsi="Times New Roman"/>
                <w:iCs/>
              </w:rPr>
              <w:t>fotosenzitivita</w:t>
            </w:r>
          </w:p>
        </w:tc>
      </w:tr>
      <w:tr w:rsidR="00C45BAB" w:rsidRPr="00C267BF" w:rsidTr="0000623A">
        <w:trPr>
          <w:trHeight w:val="528"/>
        </w:trPr>
        <w:tc>
          <w:tcPr>
            <w:tcW w:w="3828" w:type="dxa"/>
            <w:vMerge/>
          </w:tcPr>
          <w:p w:rsidR="00C45BAB" w:rsidRPr="00F01F11" w:rsidRDefault="00C45BAB" w:rsidP="009A3A22">
            <w:pPr>
              <w:tabs>
                <w:tab w:val="left" w:pos="567"/>
              </w:tabs>
              <w:spacing w:after="0" w:line="240" w:lineRule="auto"/>
              <w:rPr>
                <w:rFonts w:ascii="Times New Roman" w:eastAsia="Times New Roman" w:hAnsi="Times New Roman"/>
                <w:iCs/>
              </w:rPr>
            </w:pPr>
          </w:p>
        </w:tc>
        <w:tc>
          <w:tcPr>
            <w:tcW w:w="1842" w:type="dxa"/>
          </w:tcPr>
          <w:p w:rsidR="00C45BAB" w:rsidRPr="00F01F11" w:rsidRDefault="00C45BAB" w:rsidP="009A3A22">
            <w:pPr>
              <w:tabs>
                <w:tab w:val="left" w:pos="567"/>
              </w:tabs>
              <w:spacing w:after="0" w:line="240" w:lineRule="auto"/>
              <w:rPr>
                <w:rFonts w:ascii="Times New Roman" w:eastAsia="Times New Roman" w:hAnsi="Times New Roman"/>
              </w:rPr>
            </w:pPr>
            <w:r w:rsidRPr="00F01F11">
              <w:rPr>
                <w:rFonts w:ascii="Times New Roman" w:eastAsia="Times New Roman" w:hAnsi="Times New Roman"/>
                <w:iCs/>
              </w:rPr>
              <w:t>Neznáme</w:t>
            </w:r>
          </w:p>
        </w:tc>
        <w:tc>
          <w:tcPr>
            <w:tcW w:w="3261" w:type="dxa"/>
          </w:tcPr>
          <w:p w:rsidR="00C45BAB" w:rsidRPr="00F01F11" w:rsidRDefault="00C45BAB" w:rsidP="00230246">
            <w:pPr>
              <w:tabs>
                <w:tab w:val="left" w:pos="567"/>
              </w:tabs>
              <w:spacing w:after="0" w:line="240" w:lineRule="auto"/>
              <w:rPr>
                <w:rFonts w:ascii="Times New Roman" w:eastAsia="Times New Roman" w:hAnsi="Times New Roman"/>
                <w:iCs/>
              </w:rPr>
            </w:pPr>
            <w:r w:rsidRPr="00F01F11">
              <w:rPr>
                <w:rFonts w:ascii="Times New Roman" w:eastAsia="Times New Roman" w:hAnsi="Times New Roman"/>
                <w:iCs/>
              </w:rPr>
              <w:t xml:space="preserve">Toxická </w:t>
            </w:r>
            <w:proofErr w:type="spellStart"/>
            <w:r w:rsidRPr="00F01F11">
              <w:rPr>
                <w:rFonts w:ascii="Times New Roman" w:eastAsia="Times New Roman" w:hAnsi="Times New Roman"/>
                <w:iCs/>
              </w:rPr>
              <w:t>epidermálna</w:t>
            </w:r>
            <w:proofErr w:type="spellEnd"/>
            <w:r w:rsidRPr="00F01F11">
              <w:rPr>
                <w:rFonts w:ascii="Times New Roman" w:eastAsia="Times New Roman" w:hAnsi="Times New Roman"/>
                <w:iCs/>
              </w:rPr>
              <w:t xml:space="preserve"> </w:t>
            </w:r>
            <w:proofErr w:type="spellStart"/>
            <w:r w:rsidRPr="00F01F11">
              <w:rPr>
                <w:rFonts w:ascii="Times New Roman" w:eastAsia="Times New Roman" w:hAnsi="Times New Roman"/>
                <w:iCs/>
              </w:rPr>
              <w:t>nekrolýza</w:t>
            </w:r>
            <w:proofErr w:type="spellEnd"/>
          </w:p>
        </w:tc>
      </w:tr>
      <w:tr w:rsidR="009A3A22" w:rsidRPr="00C267BF" w:rsidTr="0000623A">
        <w:tc>
          <w:tcPr>
            <w:tcW w:w="3828" w:type="dxa"/>
            <w:vMerge w:val="restart"/>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bCs/>
              </w:rPr>
              <w:t>Poruchy kostrovej a svalovej sústavy a spojivového tkaniva</w:t>
            </w:r>
          </w:p>
        </w:tc>
        <w:tc>
          <w:tcPr>
            <w:tcW w:w="1842" w:type="dxa"/>
          </w:tcPr>
          <w:p w:rsidR="009A3A22" w:rsidRPr="00C267BF" w:rsidRDefault="00F33A20"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Č</w:t>
            </w:r>
            <w:r w:rsidR="009A3A22" w:rsidRPr="00C267BF">
              <w:rPr>
                <w:rFonts w:ascii="Times New Roman" w:eastAsia="Times New Roman" w:hAnsi="Times New Roman"/>
                <w:iCs/>
              </w:rPr>
              <w:t xml:space="preserve">asté </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opuch členkov</w:t>
            </w:r>
            <w:r w:rsidR="00230246" w:rsidRPr="00C267BF">
              <w:rPr>
                <w:rFonts w:ascii="Times New Roman" w:eastAsia="Times New Roman" w:hAnsi="Times New Roman"/>
                <w:iCs/>
              </w:rPr>
              <w:t>,</w:t>
            </w:r>
            <w:r w:rsidR="00230246" w:rsidRPr="00C267BF">
              <w:t xml:space="preserve"> </w:t>
            </w:r>
            <w:r w:rsidR="00230246" w:rsidRPr="00C267BF">
              <w:rPr>
                <w:rFonts w:ascii="Times New Roman" w:eastAsia="Times New Roman" w:hAnsi="Times New Roman"/>
                <w:iCs/>
              </w:rPr>
              <w:t xml:space="preserve">svalové kŕče </w:t>
            </w:r>
            <w:r w:rsidRPr="00C267BF">
              <w:rPr>
                <w:rFonts w:ascii="Times New Roman" w:eastAsia="Times New Roman" w:hAnsi="Times New Roman"/>
                <w:iCs/>
              </w:rPr>
              <w:t xml:space="preserve"> </w:t>
            </w:r>
          </w:p>
        </w:tc>
      </w:tr>
      <w:tr w:rsidR="009A3A22" w:rsidRPr="00C267BF" w:rsidTr="0000623A">
        <w:tc>
          <w:tcPr>
            <w:tcW w:w="3828" w:type="dxa"/>
            <w:vMerge/>
          </w:tcPr>
          <w:p w:rsidR="009A3A22" w:rsidRPr="00C267BF" w:rsidRDefault="009A3A22" w:rsidP="009A3A22">
            <w:pPr>
              <w:tabs>
                <w:tab w:val="left" w:pos="567"/>
              </w:tabs>
              <w:spacing w:after="0" w:line="240" w:lineRule="auto"/>
              <w:rPr>
                <w:rFonts w:ascii="Times New Roman" w:eastAsia="Times New Roman" w:hAnsi="Times New Roman"/>
                <w:bCs/>
              </w:rPr>
            </w:pPr>
          </w:p>
        </w:tc>
        <w:tc>
          <w:tcPr>
            <w:tcW w:w="1842" w:type="dxa"/>
          </w:tcPr>
          <w:p w:rsidR="009A3A22" w:rsidRPr="00C267BF" w:rsidRDefault="00230246"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230246">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artralgia, myalgia</w:t>
            </w:r>
            <w:r w:rsidRPr="00C267BF">
              <w:rPr>
                <w:rFonts w:ascii="Times New Roman" w:eastAsia="Times New Roman" w:hAnsi="Times New Roman"/>
                <w:iCs/>
              </w:rPr>
              <w:t xml:space="preserve">, </w:t>
            </w:r>
            <w:r w:rsidRPr="00C267BF">
              <w:rPr>
                <w:rFonts w:ascii="Times New Roman" w:eastAsia="Times New Roman" w:hAnsi="Times New Roman"/>
              </w:rPr>
              <w:t>bolesti chrbta</w:t>
            </w:r>
          </w:p>
        </w:tc>
      </w:tr>
      <w:tr w:rsidR="009A3A22" w:rsidRPr="00C267BF" w:rsidTr="0000623A">
        <w:tc>
          <w:tcPr>
            <w:tcW w:w="3828" w:type="dxa"/>
          </w:tcPr>
          <w:p w:rsidR="009A3A22" w:rsidRPr="00C267BF" w:rsidRDefault="009A3A22" w:rsidP="009A3A22">
            <w:pPr>
              <w:tabs>
                <w:tab w:val="left" w:pos="567"/>
              </w:tabs>
              <w:spacing w:after="0" w:line="240" w:lineRule="auto"/>
              <w:rPr>
                <w:rFonts w:ascii="Times New Roman" w:eastAsia="Times New Roman" w:hAnsi="Times New Roman"/>
                <w:bCs/>
              </w:rPr>
            </w:pPr>
            <w:r w:rsidRPr="00C267BF">
              <w:rPr>
                <w:rFonts w:ascii="Times New Roman" w:eastAsia="Times New Roman" w:hAnsi="Times New Roman"/>
                <w:bCs/>
              </w:rPr>
              <w:t>Poruchy obličiek a močových ciest</w:t>
            </w:r>
          </w:p>
        </w:tc>
        <w:tc>
          <w:tcPr>
            <w:tcW w:w="1842" w:type="dxa"/>
          </w:tcPr>
          <w:p w:rsidR="009A3A22" w:rsidRPr="00C267BF" w:rsidRDefault="00230246" w:rsidP="009A3A22">
            <w:pPr>
              <w:keepNext/>
              <w:tabs>
                <w:tab w:val="left" w:pos="567"/>
              </w:tabs>
              <w:suppressAutoHyphens/>
              <w:spacing w:after="0" w:line="240" w:lineRule="auto"/>
              <w:outlineLvl w:val="4"/>
              <w:rPr>
                <w:rFonts w:ascii="Times New Roman" w:eastAsia="Times New Roman" w:hAnsi="Times New Roman"/>
                <w:bCs/>
                <w:iCs/>
              </w:rPr>
            </w:pPr>
            <w:r w:rsidRPr="00C267BF">
              <w:rPr>
                <w:rFonts w:ascii="Times New Roman" w:eastAsia="Times New Roman" w:hAnsi="Times New Roman"/>
                <w:bCs/>
              </w:rPr>
              <w:t>M</w:t>
            </w:r>
            <w:r w:rsidR="009A3A22" w:rsidRPr="00C267BF">
              <w:rPr>
                <w:rFonts w:ascii="Times New Roman" w:eastAsia="Times New Roman" w:hAnsi="Times New Roman"/>
                <w:bCs/>
              </w:rPr>
              <w:t>enej časté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ťažkosti pri močení, nočné močenie</w:t>
            </w:r>
            <w:r w:rsidRPr="00C267BF">
              <w:rPr>
                <w:rFonts w:ascii="Times New Roman" w:eastAsia="Times New Roman" w:hAnsi="Times New Roman"/>
                <w:iCs/>
              </w:rPr>
              <w:t xml:space="preserve">, </w:t>
            </w:r>
            <w:r w:rsidRPr="00C267BF">
              <w:rPr>
                <w:rFonts w:ascii="Times New Roman" w:eastAsia="Times New Roman" w:hAnsi="Times New Roman"/>
              </w:rPr>
              <w:t>zvýšená frekvencia močenia</w:t>
            </w:r>
          </w:p>
        </w:tc>
      </w:tr>
      <w:tr w:rsidR="009A3A22" w:rsidRPr="00C267BF" w:rsidTr="0000623A">
        <w:tc>
          <w:tcPr>
            <w:tcW w:w="3828"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bCs/>
              </w:rPr>
              <w:t>Poruchy reprodukčného systému a prsníkov</w:t>
            </w:r>
          </w:p>
        </w:tc>
        <w:tc>
          <w:tcPr>
            <w:tcW w:w="1842" w:type="dxa"/>
          </w:tcPr>
          <w:p w:rsidR="009A3A22" w:rsidRPr="00C267BF" w:rsidRDefault="00230246" w:rsidP="009A3A22">
            <w:pPr>
              <w:keepNext/>
              <w:tabs>
                <w:tab w:val="left" w:pos="567"/>
              </w:tabs>
              <w:spacing w:after="0" w:line="240" w:lineRule="auto"/>
              <w:outlineLvl w:val="6"/>
              <w:rPr>
                <w:rFonts w:ascii="Times New Roman" w:eastAsia="Times New Roman" w:hAnsi="Times New Roman"/>
                <w:iCs/>
              </w:rPr>
            </w:pPr>
            <w:r w:rsidRPr="00C267BF">
              <w:rPr>
                <w:rFonts w:ascii="Times New Roman" w:eastAsia="Times New Roman" w:hAnsi="Times New Roman"/>
                <w:iCs/>
              </w:rPr>
              <w:t>M</w:t>
            </w:r>
            <w:r w:rsidR="009A3A22" w:rsidRPr="00C267BF">
              <w:rPr>
                <w:rFonts w:ascii="Times New Roman" w:eastAsia="Times New Roman" w:hAnsi="Times New Roman"/>
                <w:iCs/>
              </w:rPr>
              <w:t>enej časté</w:t>
            </w:r>
          </w:p>
        </w:tc>
        <w:tc>
          <w:tcPr>
            <w:tcW w:w="3261" w:type="dxa"/>
          </w:tcPr>
          <w:p w:rsidR="009A3A22" w:rsidRPr="00C267BF" w:rsidRDefault="009A3A22" w:rsidP="009A3A22">
            <w:pPr>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 xml:space="preserve">impotencia, </w:t>
            </w:r>
            <w:r w:rsidRPr="00C267BF">
              <w:rPr>
                <w:rFonts w:ascii="Times New Roman" w:eastAsia="Times New Roman" w:hAnsi="Times New Roman"/>
              </w:rPr>
              <w:t>gynekomastia</w:t>
            </w:r>
          </w:p>
        </w:tc>
      </w:tr>
      <w:tr w:rsidR="009A3A22" w:rsidRPr="00C267BF" w:rsidTr="0000623A">
        <w:tc>
          <w:tcPr>
            <w:tcW w:w="3828" w:type="dxa"/>
            <w:vMerge w:val="restart"/>
          </w:tcPr>
          <w:p w:rsidR="009A3A22" w:rsidRPr="00C267BF" w:rsidRDefault="009A3A22" w:rsidP="009A3A22">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bCs/>
              </w:rPr>
              <w:t>Celkové poruchy a reakcie v mieste podania</w:t>
            </w:r>
          </w:p>
        </w:tc>
        <w:tc>
          <w:tcPr>
            <w:tcW w:w="1842" w:type="dxa"/>
          </w:tcPr>
          <w:p w:rsidR="009A3A22" w:rsidRPr="00C267BF" w:rsidRDefault="00230246" w:rsidP="009A3A22">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 xml:space="preserve">Veľmi </w:t>
            </w:r>
            <w:r w:rsidR="009A3A22" w:rsidRPr="00C267BF">
              <w:rPr>
                <w:rFonts w:ascii="Times New Roman" w:eastAsia="Times New Roman" w:hAnsi="Times New Roman"/>
              </w:rPr>
              <w:t>časté</w:t>
            </w:r>
          </w:p>
        </w:tc>
        <w:tc>
          <w:tcPr>
            <w:tcW w:w="3261" w:type="dxa"/>
          </w:tcPr>
          <w:p w:rsidR="009A3A22" w:rsidRPr="00C267BF" w:rsidRDefault="009A3A22" w:rsidP="00230246">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edém</w:t>
            </w:r>
            <w:r w:rsidR="00230246" w:rsidRPr="00C267BF">
              <w:rPr>
                <w:rFonts w:ascii="Times New Roman" w:eastAsia="Times New Roman" w:hAnsi="Times New Roman"/>
                <w:iCs/>
              </w:rPr>
              <w:t>,</w:t>
            </w:r>
          </w:p>
        </w:tc>
      </w:tr>
      <w:tr w:rsidR="00230246" w:rsidRPr="00C267BF" w:rsidTr="0000623A">
        <w:tc>
          <w:tcPr>
            <w:tcW w:w="3828" w:type="dxa"/>
            <w:vMerge/>
          </w:tcPr>
          <w:p w:rsidR="00230246" w:rsidRPr="00C267BF" w:rsidRDefault="00230246" w:rsidP="009A3A22">
            <w:pPr>
              <w:keepNext/>
              <w:tabs>
                <w:tab w:val="left" w:pos="567"/>
              </w:tabs>
              <w:spacing w:after="0" w:line="240" w:lineRule="auto"/>
              <w:rPr>
                <w:rFonts w:ascii="Times New Roman" w:eastAsia="Times New Roman" w:hAnsi="Times New Roman"/>
                <w:bCs/>
              </w:rPr>
            </w:pPr>
          </w:p>
        </w:tc>
        <w:tc>
          <w:tcPr>
            <w:tcW w:w="1842" w:type="dxa"/>
          </w:tcPr>
          <w:p w:rsidR="00230246" w:rsidRPr="00C267BF" w:rsidRDefault="00230246"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rPr>
              <w:t>Časté</w:t>
            </w:r>
          </w:p>
        </w:tc>
        <w:tc>
          <w:tcPr>
            <w:tcW w:w="3261" w:type="dxa"/>
          </w:tcPr>
          <w:p w:rsidR="00230246" w:rsidRPr="00C267BF" w:rsidRDefault="00230246" w:rsidP="009A3A22">
            <w:pPr>
              <w:keepNext/>
              <w:tabs>
                <w:tab w:val="left" w:pos="567"/>
              </w:tabs>
              <w:spacing w:after="0" w:line="240" w:lineRule="auto"/>
              <w:rPr>
                <w:rFonts w:ascii="Times New Roman" w:eastAsia="Times New Roman" w:hAnsi="Times New Roman"/>
              </w:rPr>
            </w:pPr>
            <w:r w:rsidRPr="00C267BF">
              <w:rPr>
                <w:rFonts w:ascii="Times New Roman" w:eastAsia="Times New Roman" w:hAnsi="Times New Roman"/>
                <w:iCs/>
              </w:rPr>
              <w:t>únava, asténia</w:t>
            </w:r>
          </w:p>
        </w:tc>
      </w:tr>
      <w:tr w:rsidR="009A3A22" w:rsidRPr="00C267BF" w:rsidTr="0000623A">
        <w:tc>
          <w:tcPr>
            <w:tcW w:w="3828" w:type="dxa"/>
            <w:vMerge/>
          </w:tcPr>
          <w:p w:rsidR="009A3A22" w:rsidRPr="00C267BF" w:rsidRDefault="009A3A22" w:rsidP="009A3A22">
            <w:pPr>
              <w:keepNext/>
              <w:tabs>
                <w:tab w:val="left" w:pos="567"/>
              </w:tabs>
              <w:spacing w:after="0" w:line="240" w:lineRule="auto"/>
              <w:rPr>
                <w:rFonts w:ascii="Times New Roman" w:eastAsia="Times New Roman" w:hAnsi="Times New Roman"/>
                <w:iCs/>
              </w:rPr>
            </w:pPr>
          </w:p>
        </w:tc>
        <w:tc>
          <w:tcPr>
            <w:tcW w:w="1842" w:type="dxa"/>
          </w:tcPr>
          <w:p w:rsidR="009A3A22" w:rsidRPr="00C267BF" w:rsidRDefault="00230246" w:rsidP="009A3A22">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230246">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iCs/>
              </w:rPr>
              <w:t xml:space="preserve">bolesť na hrudi, </w:t>
            </w:r>
            <w:r w:rsidRPr="00C267BF">
              <w:rPr>
                <w:rFonts w:ascii="Times New Roman" w:eastAsia="Times New Roman" w:hAnsi="Times New Roman"/>
              </w:rPr>
              <w:t>bolesť, celková nevoľnosť</w:t>
            </w:r>
          </w:p>
        </w:tc>
      </w:tr>
      <w:tr w:rsidR="009A3A22" w:rsidRPr="00C267BF" w:rsidTr="0000623A">
        <w:tc>
          <w:tcPr>
            <w:tcW w:w="3828" w:type="dxa"/>
          </w:tcPr>
          <w:p w:rsidR="009A3A22" w:rsidRPr="00C267BF" w:rsidRDefault="009A3A22" w:rsidP="009A3A22">
            <w:pPr>
              <w:keepNext/>
              <w:tabs>
                <w:tab w:val="left" w:pos="567"/>
              </w:tabs>
              <w:spacing w:after="0" w:line="240" w:lineRule="auto"/>
              <w:outlineLvl w:val="5"/>
              <w:rPr>
                <w:rFonts w:ascii="Arial" w:eastAsia="Times New Roman" w:hAnsi="Arial" w:cs="Arial"/>
                <w:i/>
                <w:lang w:eastAsia="de-DE"/>
              </w:rPr>
            </w:pPr>
            <w:r w:rsidRPr="00C267BF">
              <w:rPr>
                <w:rFonts w:ascii="Times New Roman" w:eastAsia="Times New Roman" w:hAnsi="Times New Roman"/>
                <w:bCs/>
                <w:lang w:eastAsia="de-DE"/>
              </w:rPr>
              <w:t>Laboratórne a funkčné vyšetrenia</w:t>
            </w:r>
          </w:p>
        </w:tc>
        <w:tc>
          <w:tcPr>
            <w:tcW w:w="1842" w:type="dxa"/>
          </w:tcPr>
          <w:p w:rsidR="009A3A22" w:rsidRPr="00C267BF" w:rsidRDefault="00230246" w:rsidP="009A3A22">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M</w:t>
            </w:r>
            <w:r w:rsidR="009A3A22" w:rsidRPr="00C267BF">
              <w:rPr>
                <w:rFonts w:ascii="Times New Roman" w:eastAsia="Times New Roman" w:hAnsi="Times New Roman"/>
              </w:rPr>
              <w:t>enej časté</w:t>
            </w:r>
          </w:p>
        </w:tc>
        <w:tc>
          <w:tcPr>
            <w:tcW w:w="3261" w:type="dxa"/>
          </w:tcPr>
          <w:p w:rsidR="009A3A22" w:rsidRPr="00C267BF" w:rsidRDefault="009A3A22" w:rsidP="009A3A22">
            <w:pPr>
              <w:keepNext/>
              <w:tabs>
                <w:tab w:val="left" w:pos="567"/>
              </w:tabs>
              <w:spacing w:after="0" w:line="240" w:lineRule="auto"/>
              <w:rPr>
                <w:rFonts w:ascii="Times New Roman" w:eastAsia="Times New Roman" w:hAnsi="Times New Roman"/>
                <w:iCs/>
              </w:rPr>
            </w:pPr>
            <w:r w:rsidRPr="00C267BF">
              <w:rPr>
                <w:rFonts w:ascii="Times New Roman" w:eastAsia="Times New Roman" w:hAnsi="Times New Roman"/>
              </w:rPr>
              <w:t>zvýšenie telesnej hmotnosti, zníženie telesnej hmotnosti</w:t>
            </w:r>
          </w:p>
        </w:tc>
      </w:tr>
    </w:tbl>
    <w:p w:rsidR="009A3A22" w:rsidRPr="00C267BF" w:rsidRDefault="009A3A22" w:rsidP="009A3A22">
      <w:pPr>
        <w:tabs>
          <w:tab w:val="left" w:pos="567"/>
        </w:tabs>
        <w:spacing w:after="0" w:line="240" w:lineRule="auto"/>
        <w:rPr>
          <w:rFonts w:ascii="Times New Roman" w:eastAsia="Times New Roman" w:hAnsi="Times New Roman"/>
          <w:b/>
        </w:rPr>
      </w:pPr>
      <w:r w:rsidRPr="00C267BF">
        <w:rPr>
          <w:rFonts w:ascii="Times New Roman" w:eastAsia="Times New Roman" w:hAnsi="Times New Roman"/>
          <w:b/>
        </w:rPr>
        <w:t>*</w:t>
      </w:r>
      <w:r w:rsidRPr="00C267BF">
        <w:rPr>
          <w:rFonts w:ascii="Times New Roman" w:eastAsia="Times New Roman" w:hAnsi="Times New Roman"/>
        </w:rPr>
        <w:t xml:space="preserve"> najčastejšie charakteru cholestázy</w:t>
      </w:r>
    </w:p>
    <w:p w:rsidR="009A3A22" w:rsidRPr="00C267BF" w:rsidRDefault="009A3A22" w:rsidP="009A3A22">
      <w:pPr>
        <w:suppressLineNumbers/>
        <w:autoSpaceDE w:val="0"/>
        <w:autoSpaceDN w:val="0"/>
        <w:adjustRightInd w:val="0"/>
        <w:spacing w:after="0" w:line="240" w:lineRule="auto"/>
        <w:ind w:left="567" w:hanging="567"/>
        <w:rPr>
          <w:rFonts w:ascii="Times New Roman" w:eastAsia="Times New Roman" w:hAnsi="Times New Roman"/>
          <w:noProof/>
          <w:highlight w:val="yellow"/>
          <w:u w:val="single"/>
          <w:lang w:eastAsia="sk-SK"/>
        </w:rPr>
      </w:pPr>
    </w:p>
    <w:p w:rsidR="00FD2D5B" w:rsidRPr="00C267BF" w:rsidRDefault="00FD2D5B" w:rsidP="00FD2D5B">
      <w:pPr>
        <w:spacing w:after="0" w:line="240" w:lineRule="auto"/>
        <w:ind w:left="567" w:hanging="567"/>
        <w:rPr>
          <w:rFonts w:ascii="Times New Roman" w:hAnsi="Times New Roman"/>
          <w:u w:val="single"/>
          <w:lang w:eastAsia="sk-SK"/>
        </w:rPr>
      </w:pPr>
      <w:r w:rsidRPr="00C267BF">
        <w:rPr>
          <w:rFonts w:ascii="Times New Roman" w:hAnsi="Times New Roman"/>
          <w:u w:val="single"/>
          <w:lang w:eastAsia="sk-SK"/>
        </w:rPr>
        <w:t>Hlásenie podozrení na nežiaduce reakcie</w:t>
      </w:r>
    </w:p>
    <w:p w:rsidR="00FD2D5B" w:rsidRPr="00C267BF" w:rsidRDefault="00FD2D5B" w:rsidP="009B2AFB">
      <w:pPr>
        <w:spacing w:after="0" w:line="240" w:lineRule="auto"/>
        <w:rPr>
          <w:rFonts w:ascii="Times New Roman" w:hAnsi="Times New Roman"/>
          <w:noProof/>
        </w:rPr>
      </w:pPr>
      <w:r w:rsidRPr="00C267BF">
        <w:rPr>
          <w:rFonts w:ascii="Times New Roman" w:hAnsi="Times New Roman"/>
          <w:noProof/>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E3331">
        <w:rPr>
          <w:rFonts w:ascii="Times New Roman" w:hAnsi="Times New Roman"/>
          <w:noProof/>
          <w:lang w:eastAsia="sk-SK"/>
        </w:rPr>
        <w:t>na</w:t>
      </w:r>
      <w:r w:rsidRPr="00C267BF">
        <w:rPr>
          <w:noProof/>
        </w:rPr>
        <w:t xml:space="preserve"> </w:t>
      </w:r>
      <w:r w:rsidRPr="00C267BF">
        <w:rPr>
          <w:rFonts w:ascii="Times New Roman" w:hAnsi="Times New Roman"/>
          <w:noProof/>
          <w:highlight w:val="lightGray"/>
        </w:rPr>
        <w:t>národné</w:t>
      </w:r>
      <w:r w:rsidR="00F01F11">
        <w:rPr>
          <w:rFonts w:ascii="Times New Roman" w:hAnsi="Times New Roman"/>
          <w:noProof/>
          <w:highlight w:val="lightGray"/>
        </w:rPr>
        <w:t xml:space="preserve"> </w:t>
      </w:r>
      <w:r w:rsidR="007E3331">
        <w:rPr>
          <w:rFonts w:ascii="Times New Roman" w:hAnsi="Times New Roman"/>
          <w:noProof/>
          <w:highlight w:val="lightGray"/>
        </w:rPr>
        <w:t>centrum</w:t>
      </w:r>
      <w:r w:rsidRPr="00C267BF">
        <w:rPr>
          <w:rFonts w:ascii="Times New Roman" w:hAnsi="Times New Roman"/>
          <w:noProof/>
          <w:highlight w:val="lightGray"/>
        </w:rPr>
        <w:t xml:space="preserve"> hlásenia uvedené v </w:t>
      </w:r>
      <w:hyperlink r:id="rId9" w:history="1">
        <w:r w:rsidRPr="00665C1F">
          <w:rPr>
            <w:rStyle w:val="Hypertextovprepojenie"/>
            <w:rFonts w:ascii="Times New Roman" w:hAnsi="Times New Roman"/>
            <w:noProof/>
            <w:highlight w:val="lightGray"/>
          </w:rPr>
          <w:t>Prílohe V</w:t>
        </w:r>
      </w:hyperlink>
      <w:r w:rsidRPr="00C267BF">
        <w:rPr>
          <w:rFonts w:ascii="Times New Roman" w:hAnsi="Times New Roman"/>
          <w:noProof/>
        </w:rPr>
        <w:t>.</w:t>
      </w:r>
    </w:p>
    <w:p w:rsidR="00FD2D5B" w:rsidRPr="00C267BF" w:rsidRDefault="00FD2D5B" w:rsidP="009B2AFB">
      <w:pPr>
        <w:spacing w:after="0" w:line="240" w:lineRule="auto"/>
        <w:rPr>
          <w:rFonts w:ascii="Times New Roman" w:hAnsi="Times New Roman"/>
          <w:b/>
          <w:noProof/>
          <w:lang w:eastAsia="sk-SK"/>
        </w:rPr>
      </w:pPr>
    </w:p>
    <w:p w:rsidR="00FD2D5B" w:rsidRPr="00C267BF" w:rsidRDefault="00FD2D5B" w:rsidP="009B2AFB">
      <w:pPr>
        <w:spacing w:after="0" w:line="240" w:lineRule="auto"/>
        <w:rPr>
          <w:rFonts w:ascii="Times New Roman" w:hAnsi="Times New Roman"/>
          <w:b/>
          <w:noProof/>
          <w:lang w:eastAsia="sk-SK"/>
        </w:rPr>
      </w:pPr>
      <w:r w:rsidRPr="00C267BF">
        <w:rPr>
          <w:rFonts w:ascii="Times New Roman" w:hAnsi="Times New Roman"/>
          <w:b/>
          <w:noProof/>
          <w:lang w:eastAsia="sk-SK"/>
        </w:rPr>
        <w:t>4.9</w:t>
      </w:r>
      <w:r w:rsidRPr="00C267BF">
        <w:rPr>
          <w:rFonts w:ascii="Times New Roman" w:hAnsi="Times New Roman"/>
          <w:b/>
          <w:noProof/>
          <w:lang w:eastAsia="sk-SK"/>
        </w:rPr>
        <w:tab/>
        <w:t>Predávkovanie</w:t>
      </w:r>
    </w:p>
    <w:p w:rsidR="00FD2D5B" w:rsidRPr="00C267BF" w:rsidRDefault="00FD2D5B" w:rsidP="009B2AFB">
      <w:pPr>
        <w:spacing w:after="0" w:line="240" w:lineRule="auto"/>
        <w:rPr>
          <w:rFonts w:ascii="Times New Roman" w:hAnsi="Times New Roman"/>
          <w:b/>
          <w:noProof/>
          <w:lang w:eastAsia="sk-SK"/>
        </w:rPr>
      </w:pPr>
    </w:p>
    <w:p w:rsidR="00A2456B" w:rsidRPr="00C267BF" w:rsidRDefault="00814B7B"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Príznaky</w:t>
      </w: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 xml:space="preserve">Nie sú žiadne skúsenosti s predávkovaním </w:t>
      </w:r>
      <w:r w:rsidR="00A2456B" w:rsidRPr="00C267BF">
        <w:rPr>
          <w:rFonts w:ascii="Times New Roman" w:hAnsi="Times New Roman"/>
          <w:noProof/>
          <w:lang w:eastAsia="sk-SK"/>
        </w:rPr>
        <w:t>M</w:t>
      </w:r>
      <w:r w:rsidR="00B17E64" w:rsidRPr="00B17E64">
        <w:rPr>
          <w:rFonts w:ascii="Times New Roman" w:hAnsi="Times New Roman"/>
          <w:noProof/>
          <w:lang w:eastAsia="sk-SK"/>
        </w:rPr>
        <w:t>ixor</w:t>
      </w:r>
      <w:r w:rsidR="00B17E64">
        <w:rPr>
          <w:rFonts w:ascii="Times New Roman" w:hAnsi="Times New Roman"/>
          <w:noProof/>
          <w:lang w:eastAsia="sk-SK"/>
        </w:rPr>
        <w:t>om</w:t>
      </w:r>
      <w:r w:rsidRPr="00C267BF">
        <w:rPr>
          <w:rFonts w:ascii="Times New Roman" w:hAnsi="Times New Roman"/>
          <w:noProof/>
          <w:lang w:eastAsia="sk-SK"/>
        </w:rPr>
        <w:t>.</w:t>
      </w:r>
    </w:p>
    <w:p w:rsidR="00FD2D5B" w:rsidRPr="00C267BF" w:rsidRDefault="00814B7B" w:rsidP="00A2456B">
      <w:pPr>
        <w:spacing w:after="0" w:line="240" w:lineRule="auto"/>
        <w:rPr>
          <w:rFonts w:ascii="Times New Roman" w:hAnsi="Times New Roman"/>
          <w:b/>
          <w:noProof/>
          <w:lang w:eastAsia="sk-SK"/>
        </w:rPr>
      </w:pPr>
      <w:r w:rsidRPr="00C267BF">
        <w:rPr>
          <w:rFonts w:ascii="Times New Roman" w:hAnsi="Times New Roman"/>
          <w:noProof/>
          <w:lang w:eastAsia="sk-SK"/>
        </w:rPr>
        <w:t>P</w:t>
      </w:r>
      <w:r w:rsidR="00A2456B" w:rsidRPr="00C267BF">
        <w:rPr>
          <w:rFonts w:ascii="Times New Roman" w:hAnsi="Times New Roman"/>
          <w:noProof/>
          <w:lang w:eastAsia="sk-SK"/>
        </w:rPr>
        <w:t xml:space="preserve">redávkovanie </w:t>
      </w:r>
      <w:r w:rsidRPr="00C267BF">
        <w:rPr>
          <w:rFonts w:ascii="Times New Roman" w:hAnsi="Times New Roman"/>
          <w:noProof/>
          <w:lang w:eastAsia="sk-SK"/>
        </w:rPr>
        <w:t xml:space="preserve">amlodipínom </w:t>
      </w:r>
      <w:r w:rsidR="00A2456B" w:rsidRPr="00C267BF">
        <w:rPr>
          <w:rFonts w:ascii="Times New Roman" w:hAnsi="Times New Roman"/>
          <w:noProof/>
          <w:lang w:eastAsia="sk-SK"/>
        </w:rPr>
        <w:t>môže viesť k nadmernej periférnej vazodilatácii a možnej reflexnej tachykardii. Bola hlásená výrazná a pravdepodobne dlhotrvajúca systémová hypotenzia až šok s fatálnym koncom</w:t>
      </w:r>
      <w:r w:rsidRPr="00C267BF">
        <w:rPr>
          <w:rFonts w:ascii="Times New Roman" w:hAnsi="Times New Roman"/>
          <w:noProof/>
          <w:lang w:eastAsia="sk-SK"/>
        </w:rPr>
        <w:t>.</w:t>
      </w:r>
    </w:p>
    <w:p w:rsidR="00A2456B" w:rsidRPr="00C267BF" w:rsidRDefault="00814B7B" w:rsidP="00814B7B">
      <w:pPr>
        <w:spacing w:after="0" w:line="240" w:lineRule="auto"/>
        <w:rPr>
          <w:rFonts w:ascii="Times New Roman" w:hAnsi="Times New Roman"/>
          <w:noProof/>
          <w:lang w:eastAsia="sk-SK"/>
        </w:rPr>
      </w:pPr>
      <w:r w:rsidRPr="00C267BF">
        <w:rPr>
          <w:rFonts w:ascii="Times New Roman" w:hAnsi="Times New Roman"/>
          <w:noProof/>
          <w:lang w:eastAsia="sk-SK"/>
        </w:rPr>
        <w:t>Najhlavnejšie prejavy predávkovania telmisartanom boli hypotenzia a tachykardia; taktiež sa zaznamenali bradykardia, závraty, zvýšenie kreatinínu v sére a akútne zlyhanie obličiek.</w:t>
      </w:r>
    </w:p>
    <w:p w:rsidR="00A2456B" w:rsidRPr="00C267BF" w:rsidRDefault="00A2456B" w:rsidP="00FD2D5B">
      <w:pPr>
        <w:spacing w:after="0" w:line="240" w:lineRule="auto"/>
        <w:ind w:left="567" w:hanging="567"/>
        <w:rPr>
          <w:rFonts w:ascii="Times New Roman" w:hAnsi="Times New Roman"/>
          <w:b/>
          <w:noProof/>
          <w:lang w:eastAsia="sk-SK"/>
        </w:rPr>
      </w:pPr>
    </w:p>
    <w:p w:rsidR="00814B7B" w:rsidRPr="00C267BF" w:rsidRDefault="00814B7B"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Liečba</w:t>
      </w:r>
    </w:p>
    <w:p w:rsidR="00814B7B" w:rsidRPr="00C267BF" w:rsidRDefault="00814B7B" w:rsidP="00FD2D5B">
      <w:pPr>
        <w:tabs>
          <w:tab w:val="left" w:pos="-142"/>
          <w:tab w:val="left" w:pos="284"/>
        </w:tabs>
        <w:spacing w:after="0" w:line="240" w:lineRule="auto"/>
        <w:rPr>
          <w:rFonts w:ascii="Times New Roman" w:hAnsi="Times New Roman"/>
          <w:noProof/>
          <w:lang w:eastAsia="sk-SK"/>
        </w:rPr>
      </w:pPr>
      <w:r w:rsidRPr="00C267BF">
        <w:rPr>
          <w:rFonts w:ascii="Times New Roman" w:hAnsi="Times New Roman"/>
          <w:noProof/>
          <w:lang w:eastAsia="sk-SK"/>
        </w:rPr>
        <w:t xml:space="preserve">Pacient musí byť starostlivo monitorovaný a liečba má byť symptomatická a podporná. </w:t>
      </w:r>
      <w:r w:rsidR="00D901E1" w:rsidRPr="00C267BF">
        <w:rPr>
          <w:rFonts w:ascii="Times New Roman" w:hAnsi="Times New Roman"/>
          <w:noProof/>
          <w:lang w:eastAsia="sk-SK"/>
        </w:rPr>
        <w:t xml:space="preserve">Manažment závisí od času, ktorý uplynul od predávkovania a od závažnosti príznakov. Navrhované opatrenia zahŕňajú navodenie vracania a/alebo výplach žalúdka. Pri liečbe predávkovania oboma zložkami, telmisartanom aj amlodipínom, môže byť užitočné aj aktívne uhlie. </w:t>
      </w:r>
      <w:r w:rsidRPr="00C267BF">
        <w:rPr>
          <w:rFonts w:ascii="Times New Roman" w:hAnsi="Times New Roman"/>
          <w:noProof/>
          <w:lang w:eastAsia="sk-SK"/>
        </w:rPr>
        <w:t xml:space="preserve">Často sa majú sledovať sérové </w:t>
      </w:r>
      <w:r w:rsidRPr="00C267BF">
        <w:rPr>
          <w:rFonts w:ascii="Times New Roman" w:hAnsi="Times New Roman"/>
          <w:noProof/>
          <w:lang w:eastAsia="sk-SK"/>
        </w:rPr>
        <w:lastRenderedPageBreak/>
        <w:t xml:space="preserve">elektrolyty a kreatinín. Ak sa objaví hypotenzia, pacient sa má uložiť do polohy na chrbte </w:t>
      </w:r>
      <w:r w:rsidR="00791564" w:rsidRPr="00C267BF">
        <w:rPr>
          <w:rFonts w:ascii="Times New Roman" w:hAnsi="Times New Roman"/>
          <w:noProof/>
          <w:lang w:eastAsia="sk-SK"/>
        </w:rPr>
        <w:t>so zdvihnutými končatinami a majú sa mu</w:t>
      </w:r>
      <w:r w:rsidRPr="00C267BF">
        <w:rPr>
          <w:rFonts w:ascii="Times New Roman" w:hAnsi="Times New Roman"/>
          <w:noProof/>
          <w:lang w:eastAsia="sk-SK"/>
        </w:rPr>
        <w:t xml:space="preserve"> urýchlene podať náhrady soli a objemu.</w:t>
      </w:r>
    </w:p>
    <w:p w:rsidR="00814B7B" w:rsidRPr="00C267BF" w:rsidRDefault="00814B7B" w:rsidP="00FD2D5B">
      <w:pPr>
        <w:tabs>
          <w:tab w:val="left" w:pos="-142"/>
          <w:tab w:val="left" w:pos="284"/>
        </w:tabs>
        <w:spacing w:after="0" w:line="240" w:lineRule="auto"/>
        <w:rPr>
          <w:rFonts w:ascii="Times New Roman" w:hAnsi="Times New Roman"/>
          <w:noProof/>
          <w:highlight w:val="yellow"/>
          <w:lang w:eastAsia="sk-SK"/>
        </w:rPr>
      </w:pPr>
      <w:r w:rsidRPr="00C267BF">
        <w:rPr>
          <w:rFonts w:ascii="Times New Roman" w:hAnsi="Times New Roman"/>
          <w:noProof/>
          <w:lang w:eastAsia="sk-SK"/>
        </w:rPr>
        <w:t>Podanie vazokonstriktíva môže byť užitočné pri obnovení cievneho tonusu a krvného tlaku za predpokladu,</w:t>
      </w:r>
      <w:r w:rsidRPr="00C267BF">
        <w:t xml:space="preserve"> </w:t>
      </w:r>
      <w:r w:rsidRPr="00C267BF">
        <w:rPr>
          <w:rFonts w:ascii="Times New Roman" w:hAnsi="Times New Roman"/>
          <w:noProof/>
          <w:lang w:eastAsia="sk-SK"/>
        </w:rPr>
        <w:t>že neexistuje žiadna kontraindikácia jeho použitia.</w:t>
      </w:r>
      <w:r w:rsidRPr="00C267BF">
        <w:t xml:space="preserve"> </w:t>
      </w:r>
      <w:r w:rsidRPr="00C267BF">
        <w:rPr>
          <w:rFonts w:ascii="Times New Roman" w:hAnsi="Times New Roman"/>
          <w:noProof/>
          <w:lang w:eastAsia="sk-SK"/>
        </w:rPr>
        <w:t>Na zvrátenie účinkov blokády kalciového kanála môže byť prospešné intravenózne podanie kalciumglukonátu.</w:t>
      </w:r>
    </w:p>
    <w:p w:rsidR="00814B7B" w:rsidRPr="00C267BF" w:rsidRDefault="00814B7B" w:rsidP="00FD2D5B">
      <w:pPr>
        <w:tabs>
          <w:tab w:val="left" w:pos="-142"/>
          <w:tab w:val="left" w:pos="284"/>
        </w:tabs>
        <w:spacing w:after="0" w:line="240" w:lineRule="auto"/>
        <w:rPr>
          <w:rFonts w:ascii="Times New Roman" w:hAnsi="Times New Roman"/>
          <w:noProof/>
          <w:lang w:eastAsia="sk-SK"/>
        </w:rPr>
      </w:pPr>
      <w:r w:rsidRPr="00C267BF">
        <w:rPr>
          <w:rFonts w:ascii="Times New Roman" w:hAnsi="Times New Roman"/>
          <w:noProof/>
          <w:lang w:eastAsia="sk-SK"/>
        </w:rPr>
        <w:t xml:space="preserve">Nie je pravdepodobné, že </w:t>
      </w:r>
      <w:r w:rsidR="005F657A" w:rsidRPr="00C267BF">
        <w:rPr>
          <w:rFonts w:ascii="Times New Roman" w:hAnsi="Times New Roman"/>
          <w:noProof/>
          <w:lang w:eastAsia="sk-SK"/>
        </w:rPr>
        <w:t>telmisartan a</w:t>
      </w:r>
      <w:r w:rsidR="00D901E1" w:rsidRPr="00C267BF">
        <w:rPr>
          <w:rFonts w:ascii="Times New Roman" w:hAnsi="Times New Roman"/>
          <w:noProof/>
          <w:lang w:eastAsia="sk-SK"/>
        </w:rPr>
        <w:t>lebo</w:t>
      </w:r>
      <w:r w:rsidR="005F657A" w:rsidRPr="00C267BF">
        <w:rPr>
          <w:rFonts w:ascii="Times New Roman" w:hAnsi="Times New Roman"/>
          <w:noProof/>
          <w:lang w:eastAsia="sk-SK"/>
        </w:rPr>
        <w:t xml:space="preserve"> amlodipín budú odstránené hemodialýzou.</w:t>
      </w:r>
    </w:p>
    <w:p w:rsidR="00FD2D5B" w:rsidRPr="00C267BF" w:rsidRDefault="00FD2D5B" w:rsidP="00FD2D5B">
      <w:pPr>
        <w:spacing w:after="0" w:line="240" w:lineRule="auto"/>
        <w:ind w:left="567" w:hanging="567"/>
        <w:rPr>
          <w:rFonts w:ascii="Times New Roman" w:hAnsi="Times New Roman"/>
          <w:b/>
          <w:noProof/>
          <w:lang w:eastAsia="sk-SK"/>
        </w:rPr>
      </w:pPr>
    </w:p>
    <w:p w:rsidR="00FD2D5B" w:rsidRPr="00C267BF" w:rsidRDefault="00FD2D5B" w:rsidP="00FD2D5B">
      <w:pPr>
        <w:spacing w:after="0" w:line="240" w:lineRule="auto"/>
        <w:ind w:left="567" w:hanging="567"/>
        <w:rPr>
          <w:rFonts w:ascii="Times New Roman" w:hAnsi="Times New Roman"/>
          <w:b/>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5.</w:t>
      </w:r>
      <w:r w:rsidRPr="00C267BF">
        <w:rPr>
          <w:rFonts w:ascii="Times New Roman" w:hAnsi="Times New Roman"/>
          <w:b/>
          <w:noProof/>
          <w:lang w:eastAsia="sk-SK"/>
        </w:rPr>
        <w:tab/>
        <w:t>FARMAKOLOGICKÉ VLASTNOSTI</w:t>
      </w:r>
    </w:p>
    <w:p w:rsidR="00FD2D5B" w:rsidRPr="00C267BF" w:rsidRDefault="00FD2D5B" w:rsidP="00FD2D5B">
      <w:pPr>
        <w:spacing w:after="0" w:line="240" w:lineRule="auto"/>
        <w:ind w:left="567" w:hanging="567"/>
        <w:rPr>
          <w:rFonts w:ascii="Times New Roman" w:hAnsi="Times New Roman"/>
          <w:bCs/>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5.1</w:t>
      </w:r>
      <w:r w:rsidRPr="00C267BF">
        <w:rPr>
          <w:rFonts w:ascii="Times New Roman" w:hAnsi="Times New Roman"/>
          <w:b/>
          <w:noProof/>
          <w:lang w:eastAsia="sk-SK"/>
        </w:rPr>
        <w:tab/>
        <w:t>Farmakodynamické vlastnosti</w:t>
      </w:r>
    </w:p>
    <w:p w:rsidR="00FD2D5B" w:rsidRPr="00C267BF" w:rsidRDefault="00FD2D5B" w:rsidP="00FD2D5B">
      <w:pPr>
        <w:spacing w:after="0" w:line="240" w:lineRule="auto"/>
        <w:ind w:left="567" w:hanging="567"/>
        <w:rPr>
          <w:rFonts w:ascii="Times New Roman" w:hAnsi="Times New Roman"/>
          <w:noProof/>
          <w:lang w:eastAsia="sk-SK"/>
        </w:rPr>
      </w:pPr>
    </w:p>
    <w:p w:rsidR="00791564" w:rsidRPr="00C267BF" w:rsidRDefault="00FD2D5B" w:rsidP="00FD2D5B">
      <w:pPr>
        <w:spacing w:after="0" w:line="240" w:lineRule="auto"/>
        <w:outlineLvl w:val="0"/>
        <w:rPr>
          <w:rFonts w:ascii="Times New Roman" w:hAnsi="Times New Roman"/>
          <w:noProof/>
          <w:lang w:eastAsia="sk-SK"/>
        </w:rPr>
      </w:pPr>
      <w:r w:rsidRPr="00C267BF">
        <w:rPr>
          <w:rFonts w:ascii="Times New Roman" w:hAnsi="Times New Roman"/>
          <w:noProof/>
          <w:lang w:eastAsia="sk-SK"/>
        </w:rPr>
        <w:t xml:space="preserve">Farmakoterapeutická skupina: Liečivá s účinkom na renín-angiotenzínový systém, </w:t>
      </w:r>
      <w:r w:rsidR="00791564" w:rsidRPr="00C267BF">
        <w:rPr>
          <w:rFonts w:ascii="Times New Roman" w:hAnsi="Times New Roman"/>
          <w:noProof/>
          <w:lang w:eastAsia="sk-SK"/>
        </w:rPr>
        <w:t>antagonisty angiotenzínu II</w:t>
      </w:r>
      <w:r w:rsidRPr="00C267BF">
        <w:rPr>
          <w:rFonts w:ascii="Times New Roman" w:hAnsi="Times New Roman"/>
          <w:noProof/>
          <w:lang w:eastAsia="sk-SK"/>
        </w:rPr>
        <w:t xml:space="preserve"> a blokátory kalciového kanála, </w:t>
      </w:r>
    </w:p>
    <w:p w:rsidR="00FD2D5B" w:rsidRPr="00C267BF" w:rsidRDefault="00FD2D5B" w:rsidP="00FD2D5B">
      <w:pPr>
        <w:spacing w:after="0" w:line="240" w:lineRule="auto"/>
        <w:outlineLvl w:val="0"/>
        <w:rPr>
          <w:rFonts w:ascii="Times New Roman" w:hAnsi="Times New Roman"/>
          <w:noProof/>
          <w:lang w:eastAsia="sk-SK"/>
        </w:rPr>
      </w:pPr>
      <w:r w:rsidRPr="00C267BF">
        <w:rPr>
          <w:rFonts w:ascii="Times New Roman" w:hAnsi="Times New Roman"/>
          <w:noProof/>
          <w:lang w:eastAsia="sk-SK"/>
        </w:rPr>
        <w:t>ATC kód: C09</w:t>
      </w:r>
      <w:r w:rsidR="00791564" w:rsidRPr="00C267BF">
        <w:rPr>
          <w:rFonts w:ascii="Times New Roman" w:hAnsi="Times New Roman"/>
          <w:noProof/>
          <w:lang w:eastAsia="sk-SK"/>
        </w:rPr>
        <w:t>D</w:t>
      </w:r>
      <w:r w:rsidRPr="00C267BF">
        <w:rPr>
          <w:rFonts w:ascii="Times New Roman" w:hAnsi="Times New Roman"/>
          <w:noProof/>
          <w:lang w:eastAsia="sk-SK"/>
        </w:rPr>
        <w:t>B04.</w:t>
      </w:r>
    </w:p>
    <w:p w:rsidR="00FD2D5B" w:rsidRPr="00C267BF" w:rsidRDefault="00FD2D5B" w:rsidP="00FD2D5B">
      <w:pPr>
        <w:spacing w:after="0" w:line="240" w:lineRule="auto"/>
        <w:ind w:left="567" w:hanging="567"/>
        <w:outlineLvl w:val="0"/>
        <w:rPr>
          <w:rFonts w:ascii="Times New Roman" w:hAnsi="Times New Roman"/>
          <w:noProof/>
          <w:lang w:eastAsia="sk-SK"/>
        </w:rPr>
      </w:pPr>
    </w:p>
    <w:p w:rsidR="00791564" w:rsidRPr="00C267BF" w:rsidRDefault="00AC2070" w:rsidP="00FD2D5B">
      <w:pPr>
        <w:spacing w:after="0" w:line="240" w:lineRule="auto"/>
        <w:rPr>
          <w:rFonts w:ascii="Times New Roman" w:hAnsi="Times New Roman"/>
          <w:noProof/>
          <w:lang w:eastAsia="sk-SK"/>
        </w:rPr>
      </w:pPr>
      <w:r w:rsidRPr="00C267BF">
        <w:rPr>
          <w:rFonts w:ascii="Times New Roman" w:hAnsi="Times New Roman"/>
          <w:noProof/>
          <w:lang w:eastAsia="sk-SK"/>
        </w:rPr>
        <w:t>M</w:t>
      </w:r>
      <w:r>
        <w:rPr>
          <w:rFonts w:ascii="Times New Roman" w:hAnsi="Times New Roman"/>
          <w:noProof/>
          <w:lang w:eastAsia="sk-SK"/>
        </w:rPr>
        <w:t>ixor</w:t>
      </w:r>
      <w:r w:rsidRPr="00C267BF">
        <w:rPr>
          <w:rFonts w:ascii="Times New Roman" w:hAnsi="Times New Roman"/>
          <w:noProof/>
          <w:lang w:eastAsia="sk-SK"/>
        </w:rPr>
        <w:t xml:space="preserve"> </w:t>
      </w:r>
      <w:r w:rsidR="00791564" w:rsidRPr="00C267BF">
        <w:rPr>
          <w:rFonts w:ascii="Times New Roman" w:hAnsi="Times New Roman"/>
          <w:noProof/>
          <w:lang w:eastAsia="sk-SK"/>
        </w:rPr>
        <w:t xml:space="preserve">kombinuje dve antihypertenzívne zložky s komplementárnym mechanizmom kontroly krvného tlaku u pacientov s esenciálnou hypertenziou: amlodipín patrí do liekovej skupiny blokátorov kalciového kanála a telmisartan </w:t>
      </w:r>
      <w:r w:rsidR="00A95EEC" w:rsidRPr="00C267BF">
        <w:rPr>
          <w:rFonts w:ascii="Times New Roman" w:hAnsi="Times New Roman"/>
          <w:noProof/>
          <w:lang w:eastAsia="sk-SK"/>
        </w:rPr>
        <w:t>patrí do skupiny</w:t>
      </w:r>
      <w:r w:rsidR="00791564" w:rsidRPr="00C267BF">
        <w:rPr>
          <w:rFonts w:ascii="Times New Roman" w:hAnsi="Times New Roman"/>
          <w:noProof/>
          <w:lang w:eastAsia="sk-SK"/>
        </w:rPr>
        <w:t xml:space="preserve"> antagonist</w:t>
      </w:r>
      <w:r w:rsidR="00A95EEC" w:rsidRPr="00C267BF">
        <w:rPr>
          <w:rFonts w:ascii="Times New Roman" w:hAnsi="Times New Roman"/>
          <w:noProof/>
          <w:lang w:eastAsia="sk-SK"/>
        </w:rPr>
        <w:t>ov</w:t>
      </w:r>
      <w:r w:rsidR="00791564" w:rsidRPr="00C267BF">
        <w:rPr>
          <w:rFonts w:ascii="Times New Roman" w:hAnsi="Times New Roman"/>
          <w:noProof/>
          <w:lang w:eastAsia="sk-SK"/>
        </w:rPr>
        <w:t xml:space="preserve"> receptorov angiotenzínu II</w:t>
      </w:r>
      <w:r w:rsidR="00A95EEC" w:rsidRPr="00C267BF">
        <w:rPr>
          <w:rFonts w:ascii="Times New Roman" w:hAnsi="Times New Roman"/>
          <w:noProof/>
          <w:lang w:eastAsia="sk-SK"/>
        </w:rPr>
        <w:t xml:space="preserve">. </w:t>
      </w:r>
      <w:r w:rsidR="00791564" w:rsidRPr="00C267BF">
        <w:rPr>
          <w:rFonts w:ascii="Times New Roman" w:hAnsi="Times New Roman"/>
          <w:noProof/>
          <w:lang w:eastAsia="sk-SK"/>
        </w:rPr>
        <w:t>Kombinácia týchto látok má aditívny antihypertenzívny účinok, znižujúci krvný tlak vo väčšej miere ako každá zložka zvlášť.</w:t>
      </w:r>
    </w:p>
    <w:p w:rsidR="00A95EEC" w:rsidRPr="00C267BF" w:rsidRDefault="00A95EEC" w:rsidP="00A95EEC">
      <w:pPr>
        <w:spacing w:after="0" w:line="240" w:lineRule="auto"/>
        <w:rPr>
          <w:rFonts w:ascii="Times New Roman" w:hAnsi="Times New Roman"/>
          <w:noProof/>
          <w:u w:val="single"/>
          <w:lang w:eastAsia="sk-SK"/>
        </w:rPr>
      </w:pPr>
    </w:p>
    <w:p w:rsidR="00A95EEC" w:rsidRPr="00C267BF" w:rsidRDefault="00A95EEC" w:rsidP="00A95EEC">
      <w:pPr>
        <w:spacing w:after="0" w:line="240" w:lineRule="auto"/>
        <w:rPr>
          <w:rFonts w:ascii="Times New Roman" w:hAnsi="Times New Roman"/>
          <w:noProof/>
          <w:u w:val="single"/>
          <w:lang w:eastAsia="sk-SK"/>
        </w:rPr>
      </w:pPr>
      <w:r w:rsidRPr="00C267BF">
        <w:rPr>
          <w:rFonts w:ascii="Times New Roman" w:hAnsi="Times New Roman"/>
          <w:noProof/>
          <w:u w:val="single"/>
          <w:lang w:eastAsia="sk-SK"/>
        </w:rPr>
        <w:t>Telmisartan</w:t>
      </w:r>
    </w:p>
    <w:p w:rsidR="00A95EEC" w:rsidRPr="00C267BF" w:rsidRDefault="00A95EEC" w:rsidP="00FD2D5B">
      <w:pPr>
        <w:spacing w:after="0" w:line="240" w:lineRule="auto"/>
        <w:rPr>
          <w:rFonts w:ascii="Times New Roman" w:hAnsi="Times New Roman"/>
          <w:noProof/>
          <w:u w:val="single"/>
          <w:lang w:eastAsia="sk-SK"/>
        </w:rPr>
      </w:pPr>
    </w:p>
    <w:p w:rsidR="00FD2D5B" w:rsidRPr="00C267BF" w:rsidRDefault="00FD2D5B" w:rsidP="00FD2D5B">
      <w:pPr>
        <w:spacing w:after="0" w:line="240" w:lineRule="auto"/>
        <w:rPr>
          <w:rFonts w:ascii="Times New Roman" w:hAnsi="Times New Roman"/>
          <w:i/>
          <w:noProof/>
          <w:lang w:eastAsia="sk-SK"/>
        </w:rPr>
      </w:pPr>
      <w:r w:rsidRPr="00C267BF">
        <w:rPr>
          <w:rFonts w:ascii="Times New Roman" w:hAnsi="Times New Roman"/>
          <w:i/>
          <w:noProof/>
          <w:lang w:eastAsia="sk-SK"/>
        </w:rPr>
        <w:t>Mechanizmus účinku:</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je perorálne aktívny a špecifický antagonista receptora angiotenzínu II (typ AT</w:t>
      </w:r>
      <w:r w:rsidRPr="00C267BF">
        <w:rPr>
          <w:rFonts w:ascii="Times New Roman" w:eastAsia="Times New Roman" w:hAnsi="Times New Roman"/>
          <w:vertAlign w:val="subscript"/>
          <w:lang w:eastAsia="sk-SK"/>
        </w:rPr>
        <w:t>1</w:t>
      </w:r>
      <w:r w:rsidRPr="00C267BF">
        <w:rPr>
          <w:rFonts w:ascii="Times New Roman" w:eastAsia="Times New Roman" w:hAnsi="Times New Roman"/>
          <w:lang w:eastAsia="sk-SK"/>
        </w:rPr>
        <w:t>).</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vytesňuje angiotenzín II s veľmi vysokou afinitou z jeho väzbového miesta na subtype receptora AT</w:t>
      </w:r>
      <w:r w:rsidRPr="00C267BF">
        <w:rPr>
          <w:rFonts w:ascii="Times New Roman" w:eastAsia="Times New Roman" w:hAnsi="Times New Roman"/>
          <w:vertAlign w:val="subscript"/>
          <w:lang w:eastAsia="sk-SK"/>
        </w:rPr>
        <w:t>1</w:t>
      </w:r>
      <w:r w:rsidRPr="00C267BF">
        <w:rPr>
          <w:rFonts w:ascii="Times New Roman" w:eastAsia="Times New Roman" w:hAnsi="Times New Roman"/>
          <w:lang w:eastAsia="sk-SK"/>
        </w:rPr>
        <w:t>, ktorý je zodpovedný za známe pôsobenie angiotenzínu II. Telmisartan nejaví žiadnu parciálnu agonistickú účinnosť na AT</w:t>
      </w:r>
      <w:r w:rsidRPr="00C267BF">
        <w:rPr>
          <w:rFonts w:ascii="Times New Roman" w:eastAsia="Times New Roman" w:hAnsi="Times New Roman"/>
          <w:vertAlign w:val="subscript"/>
          <w:lang w:eastAsia="sk-SK"/>
        </w:rPr>
        <w:t>1</w:t>
      </w:r>
      <w:r w:rsidRPr="00C267BF">
        <w:rPr>
          <w:rFonts w:ascii="Times New Roman" w:eastAsia="Times New Roman" w:hAnsi="Times New Roman"/>
          <w:lang w:eastAsia="sk-SK"/>
        </w:rPr>
        <w:t xml:space="preserve"> receptor. Telmisartan sa selektívne viaže na AT</w:t>
      </w:r>
      <w:r w:rsidRPr="00C267BF">
        <w:rPr>
          <w:rFonts w:ascii="Times New Roman" w:eastAsia="Times New Roman" w:hAnsi="Times New Roman"/>
          <w:vertAlign w:val="subscript"/>
          <w:lang w:eastAsia="sk-SK"/>
        </w:rPr>
        <w:t>1</w:t>
      </w:r>
      <w:r w:rsidRPr="00C267BF">
        <w:rPr>
          <w:rFonts w:ascii="Times New Roman" w:eastAsia="Times New Roman" w:hAnsi="Times New Roman"/>
          <w:lang w:eastAsia="sk-SK"/>
        </w:rPr>
        <w:t xml:space="preserve"> receptor. Táto väzba je dlhodobá. Telmisartan nevykazuje afinitu k iným receptorom vrátane AT</w:t>
      </w:r>
      <w:r w:rsidRPr="00C267BF">
        <w:rPr>
          <w:rFonts w:ascii="Times New Roman" w:eastAsia="Times New Roman" w:hAnsi="Times New Roman"/>
          <w:vertAlign w:val="subscript"/>
          <w:lang w:eastAsia="sk-SK"/>
        </w:rPr>
        <w:t xml:space="preserve">2 </w:t>
      </w:r>
      <w:r w:rsidRPr="00C267BF">
        <w:rPr>
          <w:rFonts w:ascii="Times New Roman" w:eastAsia="Times New Roman" w:hAnsi="Times New Roman"/>
          <w:lang w:eastAsia="sk-SK"/>
        </w:rPr>
        <w:t>a iným menej charakterizovaným AT receptorom. Funkčná úloha týchto receptorov nie je známa, ani účinok ich možnej nadmernej stimulácie angiotenzínom II, ktorého hladiny sa zvyšujú telmisartanom. Plazmatické hladiny aldosterónu sa telmisartanom znižujú. Telmisartan neinhibuje ľudský plazmatický renín ani neblokuje iónové kanály. Telmisartan neinhibuje enzým konvertujúci angiotenzín (kininázu II), enzým, ktorý taktiež odbúrava bradykinín. Preto sa neočakáva, že sa zosilnia bradykinínom sprostredkované nežiaduce účinky.</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ľudí 80 mg dávka telmisartanu takmer úplne inhibuje angiotenzínom II vyvolané zvýšenie tlaku krvi. Inhibičný účinok sa zachová v priebehu 24 hodín a je merateľný do 48 hodín.</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Klinická účinnosť a bezpečnosť</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 prvej dávke telmisartanu sa antihypertenzná aktivita postupne prejavuje v priebehu 3 hodín.</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Maximálne zníženie tlaku krvi sa zvyčajne dosiahne za 4 až 8 týždňov od začiatku liečby a pretrváva počas dlhodobej liečby.</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Ako sa ukázalo pri ambulantných meraniach krvného tlaku, antihypertenzný účinok pretrváva konštantne počas 24 hodín po podaní dávky vrátane posledných 4 hodín pred ďalšou dávkou. Toto potvrdzujú pomery najnižšej a najvyššej koncentrácie, ktoré sú trvalo nad 80 % po dávkach 40 a 80 mg telmisartanu v placebom kontrolovaných klinických skúšaniach. </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Je zrejmý vzťah dávky k času návratu na základnú úroveň systolického tlaku krvi (STK). Z tohto hľadiska sú údaje týkajúce sa diastolického tlaku krvi (DTK) rozporné.</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U pacientov s hypertenziou telmisartan znižuje tak systolický, ako aj diastolický tlak krvi bez ovplyvnenia tepovej frekvencie. </w:t>
      </w:r>
      <w:r w:rsidR="00E729CB" w:rsidRPr="00C267BF">
        <w:rPr>
          <w:rFonts w:ascii="Times New Roman" w:eastAsia="Times New Roman" w:hAnsi="Times New Roman"/>
          <w:lang w:eastAsia="sk-SK"/>
        </w:rPr>
        <w:t>Prínos d</w:t>
      </w:r>
      <w:r w:rsidRPr="00C267BF">
        <w:rPr>
          <w:rFonts w:ascii="Times New Roman" w:eastAsia="Times New Roman" w:hAnsi="Times New Roman"/>
          <w:lang w:eastAsia="sk-SK"/>
        </w:rPr>
        <w:t>iuretick</w:t>
      </w:r>
      <w:r w:rsidR="00E729CB" w:rsidRPr="00C267BF">
        <w:rPr>
          <w:rFonts w:ascii="Times New Roman" w:eastAsia="Times New Roman" w:hAnsi="Times New Roman"/>
          <w:lang w:eastAsia="sk-SK"/>
        </w:rPr>
        <w:t>ého</w:t>
      </w:r>
      <w:r w:rsidRPr="00C267BF">
        <w:rPr>
          <w:rFonts w:ascii="Times New Roman" w:eastAsia="Times New Roman" w:hAnsi="Times New Roman"/>
          <w:lang w:eastAsia="sk-SK"/>
        </w:rPr>
        <w:t xml:space="preserve"> a </w:t>
      </w:r>
      <w:proofErr w:type="spellStart"/>
      <w:r w:rsidRPr="00C267BF">
        <w:rPr>
          <w:rFonts w:ascii="Times New Roman" w:eastAsia="Times New Roman" w:hAnsi="Times New Roman"/>
          <w:lang w:eastAsia="sk-SK"/>
        </w:rPr>
        <w:t>natriuretick</w:t>
      </w:r>
      <w:r w:rsidR="00E729CB" w:rsidRPr="00C267BF">
        <w:rPr>
          <w:rFonts w:ascii="Times New Roman" w:eastAsia="Times New Roman" w:hAnsi="Times New Roman"/>
          <w:lang w:eastAsia="sk-SK"/>
        </w:rPr>
        <w:t>ého</w:t>
      </w:r>
      <w:proofErr w:type="spellEnd"/>
      <w:r w:rsidRPr="00C267BF">
        <w:rPr>
          <w:rFonts w:ascii="Times New Roman" w:eastAsia="Times New Roman" w:hAnsi="Times New Roman"/>
          <w:lang w:eastAsia="sk-SK"/>
        </w:rPr>
        <w:t xml:space="preserve"> účink</w:t>
      </w:r>
      <w:r w:rsidR="00E729CB" w:rsidRPr="00C267BF">
        <w:rPr>
          <w:rFonts w:ascii="Times New Roman" w:eastAsia="Times New Roman" w:hAnsi="Times New Roman"/>
          <w:lang w:eastAsia="sk-SK"/>
        </w:rPr>
        <w:t>u</w:t>
      </w:r>
      <w:r w:rsidRPr="00C267BF">
        <w:rPr>
          <w:rFonts w:ascii="Times New Roman" w:eastAsia="Times New Roman" w:hAnsi="Times New Roman"/>
          <w:lang w:eastAsia="sk-SK"/>
        </w:rPr>
        <w:t xml:space="preserve"> lieku k jeho </w:t>
      </w:r>
      <w:proofErr w:type="spellStart"/>
      <w:r w:rsidRPr="00C267BF">
        <w:rPr>
          <w:rFonts w:ascii="Times New Roman" w:eastAsia="Times New Roman" w:hAnsi="Times New Roman"/>
          <w:lang w:eastAsia="sk-SK"/>
        </w:rPr>
        <w:t>hypotenznému</w:t>
      </w:r>
      <w:proofErr w:type="spellEnd"/>
      <w:r w:rsidRPr="00C267BF">
        <w:rPr>
          <w:rFonts w:ascii="Times New Roman" w:eastAsia="Times New Roman" w:hAnsi="Times New Roman"/>
          <w:lang w:eastAsia="sk-SK"/>
        </w:rPr>
        <w:t xml:space="preserve"> pôsobeniu sa ešte len bude určovať. Antihypertenzná účinnosť telmisartanu je </w:t>
      </w:r>
      <w:r w:rsidRPr="00C267BF">
        <w:rPr>
          <w:rFonts w:ascii="Times New Roman" w:eastAsia="Times New Roman" w:hAnsi="Times New Roman"/>
          <w:lang w:eastAsia="sk-SK"/>
        </w:rPr>
        <w:lastRenderedPageBreak/>
        <w:t>porovnateľná s účinnosťou predstaviteľov iných tried antihypertenzív (demonštrovala sa v klinických skúšaniach porovnávajúcich telmisartan s amlodipínom, atenololom, enalaprilom, hydrochlorotiazidom a lizinoprilom).</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 náhlom  prerušení liečby telmisartanom sa krvný tlak postupne vracia na hodnoty pred liečbou v priebehu niekoľkých dní bez dôkazu rebound hypertenzie.</w:t>
      </w: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Výskyt suchého kašľa bol signifikantne nižší u pacientov liečených telmisartanom ako u tých, ktorí užívali inhibítory enzýmu konvertujúceho angiotenzín v klinických skúšaniach priamo porovnávajúcich tieto dve antihypertenzné liečby.</w:t>
      </w:r>
    </w:p>
    <w:p w:rsidR="00A95EEC" w:rsidRPr="00C267BF" w:rsidRDefault="00A95EEC" w:rsidP="00FD2D5B">
      <w:pPr>
        <w:spacing w:after="0" w:line="240" w:lineRule="auto"/>
        <w:rPr>
          <w:rFonts w:ascii="Times New Roman" w:hAnsi="Times New Roman"/>
          <w:i/>
          <w:noProof/>
          <w:lang w:eastAsia="sk-SK"/>
        </w:rPr>
      </w:pPr>
    </w:p>
    <w:p w:rsidR="00A95EEC" w:rsidRPr="00C267BF" w:rsidRDefault="00A95EEC" w:rsidP="00A95EEC">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 xml:space="preserve">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w:t>
      </w:r>
    </w:p>
    <w:p w:rsidR="00A95EEC" w:rsidRPr="00C267BF" w:rsidRDefault="00686361" w:rsidP="00A95EEC">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 xml:space="preserve">Štúdia </w:t>
      </w:r>
      <w:r w:rsidR="00A95EEC" w:rsidRPr="00C267BF">
        <w:rPr>
          <w:rFonts w:ascii="Times New Roman" w:eastAsia="Times New Roman" w:hAnsi="Times New Roman"/>
          <w:color w:val="000000"/>
        </w:rPr>
        <w:t xml:space="preserve">ONTARGET </w:t>
      </w:r>
      <w:r w:rsidRPr="00C267BF">
        <w:rPr>
          <w:rFonts w:ascii="Times New Roman" w:eastAsia="Times New Roman" w:hAnsi="Times New Roman"/>
          <w:color w:val="000000"/>
        </w:rPr>
        <w:t>bola</w:t>
      </w:r>
      <w:r w:rsidR="00A95EEC" w:rsidRPr="00C267BF">
        <w:rPr>
          <w:rFonts w:ascii="Times New Roman" w:eastAsia="Times New Roman" w:hAnsi="Times New Roman"/>
          <w:color w:val="000000"/>
        </w:rPr>
        <w:t xml:space="preserve"> v</w:t>
      </w:r>
      <w:r w:rsidRPr="00C267BF">
        <w:rPr>
          <w:rFonts w:ascii="Times New Roman" w:eastAsia="Times New Roman" w:hAnsi="Times New Roman"/>
          <w:color w:val="000000"/>
        </w:rPr>
        <w:t>edená</w:t>
      </w:r>
      <w:r w:rsidR="00A95EEC" w:rsidRPr="00C267BF">
        <w:rPr>
          <w:rFonts w:ascii="Times New Roman" w:eastAsia="Times New Roman" w:hAnsi="Times New Roman"/>
          <w:color w:val="000000"/>
        </w:rPr>
        <w:t xml:space="preserve"> u pacientov s</w:t>
      </w:r>
      <w:r w:rsidRPr="00C267BF">
        <w:rPr>
          <w:rFonts w:ascii="Times New Roman" w:eastAsia="Times New Roman" w:hAnsi="Times New Roman"/>
          <w:color w:val="000000"/>
        </w:rPr>
        <w:t xml:space="preserve"> anamnézou </w:t>
      </w:r>
      <w:r w:rsidR="00A95EEC" w:rsidRPr="00C267BF">
        <w:rPr>
          <w:rFonts w:ascii="Times New Roman" w:eastAsia="Times New Roman" w:hAnsi="Times New Roman"/>
          <w:color w:val="000000"/>
        </w:rPr>
        <w:t>kardiovaskulárn</w:t>
      </w:r>
      <w:r w:rsidRPr="00C267BF">
        <w:rPr>
          <w:rFonts w:ascii="Times New Roman" w:eastAsia="Times New Roman" w:hAnsi="Times New Roman"/>
          <w:color w:val="000000"/>
        </w:rPr>
        <w:t>eho</w:t>
      </w:r>
      <w:r w:rsidR="00A95EEC" w:rsidRPr="00C267BF">
        <w:rPr>
          <w:rFonts w:ascii="Times New Roman" w:eastAsia="Times New Roman" w:hAnsi="Times New Roman"/>
          <w:color w:val="000000"/>
        </w:rPr>
        <w:t xml:space="preserve"> alebo </w:t>
      </w:r>
      <w:proofErr w:type="spellStart"/>
      <w:r w:rsidR="00A95EEC" w:rsidRPr="00C267BF">
        <w:rPr>
          <w:rFonts w:ascii="Times New Roman" w:eastAsia="Times New Roman" w:hAnsi="Times New Roman"/>
          <w:color w:val="000000"/>
        </w:rPr>
        <w:t>cerebrovaskulárn</w:t>
      </w:r>
      <w:r w:rsidRPr="00C267BF">
        <w:rPr>
          <w:rFonts w:ascii="Times New Roman" w:eastAsia="Times New Roman" w:hAnsi="Times New Roman"/>
          <w:color w:val="000000"/>
        </w:rPr>
        <w:t>eho</w:t>
      </w:r>
      <w:proofErr w:type="spellEnd"/>
      <w:r w:rsidR="00A95EEC" w:rsidRPr="00C267BF">
        <w:rPr>
          <w:rFonts w:ascii="Times New Roman" w:eastAsia="Times New Roman" w:hAnsi="Times New Roman"/>
          <w:color w:val="000000"/>
        </w:rPr>
        <w:t xml:space="preserve"> ochoren</w:t>
      </w:r>
      <w:r w:rsidR="00E729CB" w:rsidRPr="00C267BF">
        <w:rPr>
          <w:rFonts w:ascii="Times New Roman" w:eastAsia="Times New Roman" w:hAnsi="Times New Roman"/>
          <w:color w:val="000000"/>
        </w:rPr>
        <w:t>i</w:t>
      </w:r>
      <w:r w:rsidRPr="00C267BF">
        <w:rPr>
          <w:rFonts w:ascii="Times New Roman" w:eastAsia="Times New Roman" w:hAnsi="Times New Roman"/>
          <w:color w:val="000000"/>
        </w:rPr>
        <w:t>a</w:t>
      </w:r>
      <w:r w:rsidR="00A95EEC" w:rsidRPr="00C267BF">
        <w:rPr>
          <w:rFonts w:ascii="Times New Roman" w:eastAsia="Times New Roman" w:hAnsi="Times New Roman"/>
          <w:color w:val="000000"/>
        </w:rPr>
        <w:t>, alebo u pacientov s diabet</w:t>
      </w:r>
      <w:r w:rsidRPr="00C267BF">
        <w:rPr>
          <w:rFonts w:ascii="Times New Roman" w:eastAsia="Times New Roman" w:hAnsi="Times New Roman"/>
          <w:color w:val="000000"/>
        </w:rPr>
        <w:t>om</w:t>
      </w:r>
      <w:r w:rsidR="00A95EEC" w:rsidRPr="00C267BF">
        <w:rPr>
          <w:rFonts w:ascii="Times New Roman" w:eastAsia="Times New Roman" w:hAnsi="Times New Roman"/>
          <w:color w:val="000000"/>
        </w:rPr>
        <w:t xml:space="preserve"> mellitus 2. typu, u ktorých sa preukázalo poškodenie cieľových orgánov. </w:t>
      </w:r>
    </w:p>
    <w:p w:rsidR="00A95EEC" w:rsidRPr="00C267BF" w:rsidRDefault="00686361" w:rsidP="00A95EEC">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Štúdia</w:t>
      </w:r>
      <w:r w:rsidR="00A95EEC" w:rsidRPr="00C267BF">
        <w:rPr>
          <w:rFonts w:ascii="Times New Roman" w:eastAsia="Times New Roman" w:hAnsi="Times New Roman"/>
          <w:color w:val="000000"/>
        </w:rPr>
        <w:t xml:space="preserve"> VA NEPHRON-D </w:t>
      </w:r>
      <w:r w:rsidRPr="00C267BF">
        <w:rPr>
          <w:rFonts w:ascii="Times New Roman" w:eastAsia="Times New Roman" w:hAnsi="Times New Roman"/>
          <w:color w:val="000000"/>
        </w:rPr>
        <w:t>bola vedená</w:t>
      </w:r>
      <w:r w:rsidR="00A95EEC" w:rsidRPr="00C267BF">
        <w:rPr>
          <w:rFonts w:ascii="Times New Roman" w:eastAsia="Times New Roman" w:hAnsi="Times New Roman"/>
          <w:color w:val="000000"/>
        </w:rPr>
        <w:t xml:space="preserve"> u pacientov s diabet</w:t>
      </w:r>
      <w:r w:rsidRPr="00C267BF">
        <w:rPr>
          <w:rFonts w:ascii="Times New Roman" w:eastAsia="Times New Roman" w:hAnsi="Times New Roman"/>
          <w:color w:val="000000"/>
        </w:rPr>
        <w:t>om</w:t>
      </w:r>
      <w:r w:rsidR="00A95EEC" w:rsidRPr="00C267BF">
        <w:rPr>
          <w:rFonts w:ascii="Times New Roman" w:eastAsia="Times New Roman" w:hAnsi="Times New Roman"/>
          <w:color w:val="000000"/>
        </w:rPr>
        <w:t xml:space="preserve"> mellitus 2. typu a diabetickou nefropatiou. </w:t>
      </w:r>
      <w:r w:rsidRPr="00C267BF">
        <w:rPr>
          <w:rFonts w:ascii="Times New Roman" w:eastAsia="Times New Roman" w:hAnsi="Times New Roman"/>
          <w:color w:val="000000"/>
        </w:rPr>
        <w:t xml:space="preserve">V týchto štúdiách sa </w:t>
      </w:r>
      <w:r w:rsidR="00A95EEC" w:rsidRPr="00C267BF">
        <w:rPr>
          <w:rFonts w:ascii="Times New Roman" w:eastAsia="Times New Roman" w:hAnsi="Times New Roman"/>
          <w:color w:val="000000"/>
        </w:rPr>
        <w:t>ne</w:t>
      </w:r>
      <w:r w:rsidRPr="00C267BF">
        <w:rPr>
          <w:rFonts w:ascii="Times New Roman" w:eastAsia="Times New Roman" w:hAnsi="Times New Roman"/>
          <w:color w:val="000000"/>
        </w:rPr>
        <w:t>pre</w:t>
      </w:r>
      <w:r w:rsidR="00A95EEC" w:rsidRPr="00C267BF">
        <w:rPr>
          <w:rFonts w:ascii="Times New Roman" w:eastAsia="Times New Roman" w:hAnsi="Times New Roman"/>
          <w:color w:val="000000"/>
        </w:rPr>
        <w:t xml:space="preserve">ukázal významný priaznivý účinok na renálne a/alebo kardiovaskulárne ukazovatele a mortalitu, </w:t>
      </w:r>
      <w:r w:rsidRPr="00C267BF">
        <w:rPr>
          <w:rFonts w:ascii="Times New Roman" w:eastAsia="Times New Roman" w:hAnsi="Times New Roman"/>
          <w:color w:val="000000"/>
        </w:rPr>
        <w:t>ale</w:t>
      </w:r>
      <w:r w:rsidR="00A95EEC" w:rsidRPr="00C267BF">
        <w:rPr>
          <w:rFonts w:ascii="Times New Roman" w:eastAsia="Times New Roman" w:hAnsi="Times New Roman"/>
          <w:color w:val="000000"/>
        </w:rPr>
        <w:t xml:space="preserve">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 </w:t>
      </w:r>
    </w:p>
    <w:p w:rsidR="00A95EEC" w:rsidRPr="00C267BF" w:rsidRDefault="0000623A" w:rsidP="00A95EEC">
      <w:pPr>
        <w:autoSpaceDE w:val="0"/>
        <w:autoSpaceDN w:val="0"/>
        <w:adjustRightInd w:val="0"/>
        <w:spacing w:after="0" w:line="240" w:lineRule="auto"/>
        <w:rPr>
          <w:rFonts w:ascii="Times New Roman" w:eastAsia="Times New Roman" w:hAnsi="Times New Roman"/>
          <w:color w:val="000000"/>
        </w:rPr>
      </w:pPr>
      <w:r w:rsidRPr="00C267BF">
        <w:rPr>
          <w:rFonts w:ascii="Times New Roman" w:eastAsia="Times New Roman" w:hAnsi="Times New Roman"/>
          <w:color w:val="000000"/>
        </w:rPr>
        <w:t>P</w:t>
      </w:r>
      <w:r w:rsidR="00A95EEC" w:rsidRPr="00C267BF">
        <w:rPr>
          <w:rFonts w:ascii="Times New Roman" w:eastAsia="Times New Roman" w:hAnsi="Times New Roman"/>
          <w:color w:val="000000"/>
        </w:rPr>
        <w:t>reto pacient</w:t>
      </w:r>
      <w:r w:rsidRPr="00C267BF">
        <w:rPr>
          <w:rFonts w:ascii="Times New Roman" w:eastAsia="Times New Roman" w:hAnsi="Times New Roman"/>
          <w:color w:val="000000"/>
        </w:rPr>
        <w:t>i</w:t>
      </w:r>
      <w:r w:rsidR="00A95EEC" w:rsidRPr="00C267BF">
        <w:rPr>
          <w:rFonts w:ascii="Times New Roman" w:eastAsia="Times New Roman" w:hAnsi="Times New Roman"/>
          <w:color w:val="000000"/>
        </w:rPr>
        <w:t xml:space="preserve"> s diabetickou nefropatiou</w:t>
      </w:r>
      <w:r w:rsidRPr="00C267BF">
        <w:rPr>
          <w:rFonts w:ascii="Times New Roman" w:eastAsia="Times New Roman" w:hAnsi="Times New Roman"/>
          <w:color w:val="000000"/>
        </w:rPr>
        <w:t xml:space="preserve"> nesmú užívať súbežne</w:t>
      </w:r>
      <w:r w:rsidRPr="00C267BF">
        <w:t xml:space="preserve"> </w:t>
      </w:r>
      <w:r w:rsidRPr="00C267BF">
        <w:rPr>
          <w:rFonts w:ascii="Times New Roman" w:eastAsia="Times New Roman" w:hAnsi="Times New Roman"/>
          <w:color w:val="000000"/>
        </w:rPr>
        <w:t xml:space="preserve">inhibítory ACE a blokátory receptorov angiotenzínu II </w:t>
      </w:r>
      <w:r w:rsidR="00A95EEC" w:rsidRPr="00C267BF">
        <w:rPr>
          <w:rFonts w:ascii="Times New Roman" w:eastAsia="Times New Roman" w:hAnsi="Times New Roman"/>
          <w:color w:val="000000"/>
        </w:rPr>
        <w:t xml:space="preserve">. </w:t>
      </w:r>
    </w:p>
    <w:p w:rsidR="00A95EEC" w:rsidRPr="00C267BF" w:rsidRDefault="0000623A" w:rsidP="00A95EEC">
      <w:pPr>
        <w:spacing w:after="0" w:line="240" w:lineRule="auto"/>
        <w:rPr>
          <w:rFonts w:ascii="Times New Roman" w:hAnsi="Times New Roman"/>
          <w:noProof/>
          <w:lang w:eastAsia="sk-SK"/>
        </w:rPr>
      </w:pPr>
      <w:r w:rsidRPr="00C267BF">
        <w:rPr>
          <w:rFonts w:ascii="Times New Roman" w:eastAsia="Times New Roman" w:hAnsi="Times New Roman"/>
          <w:color w:val="000000"/>
        </w:rPr>
        <w:t>Štúdia</w:t>
      </w:r>
      <w:r w:rsidR="00A95EEC" w:rsidRPr="00C267BF">
        <w:rPr>
          <w:rFonts w:ascii="Times New Roman" w:eastAsia="Times New Roman" w:hAnsi="Times New Roman"/>
          <w:color w:val="000000"/>
        </w:rPr>
        <w:t xml:space="preserve"> ALTITUDE (Aliskiren Trial in Type 2 Diabetes Using Cardiovascular and Renal Disease Endpoints) bol</w:t>
      </w:r>
      <w:r w:rsidRPr="00C267BF">
        <w:rPr>
          <w:rFonts w:ascii="Times New Roman" w:eastAsia="Times New Roman" w:hAnsi="Times New Roman"/>
          <w:color w:val="000000"/>
        </w:rPr>
        <w:t>a</w:t>
      </w:r>
      <w:r w:rsidR="00A95EEC" w:rsidRPr="00C267BF">
        <w:rPr>
          <w:rFonts w:ascii="Times New Roman" w:eastAsia="Times New Roman" w:hAnsi="Times New Roman"/>
          <w:color w:val="000000"/>
        </w:rPr>
        <w:t xml:space="preserve"> navrhnut</w:t>
      </w:r>
      <w:r w:rsidRPr="00C267BF">
        <w:rPr>
          <w:rFonts w:ascii="Times New Roman" w:eastAsia="Times New Roman" w:hAnsi="Times New Roman"/>
          <w:color w:val="000000"/>
        </w:rPr>
        <w:t>á</w:t>
      </w:r>
      <w:r w:rsidR="00A95EEC" w:rsidRPr="00C267BF">
        <w:rPr>
          <w:rFonts w:ascii="Times New Roman" w:eastAsia="Times New Roman" w:hAnsi="Times New Roman"/>
          <w:color w:val="000000"/>
        </w:rPr>
        <w:t xml:space="preserve"> na otestovanie prínosu pridania aliskir</w:t>
      </w:r>
      <w:r w:rsidRPr="00C267BF">
        <w:rPr>
          <w:rFonts w:ascii="Times New Roman" w:eastAsia="Times New Roman" w:hAnsi="Times New Roman"/>
          <w:color w:val="000000"/>
        </w:rPr>
        <w:t>é</w:t>
      </w:r>
      <w:r w:rsidR="00A95EEC" w:rsidRPr="00C267BF">
        <w:rPr>
          <w:rFonts w:ascii="Times New Roman" w:eastAsia="Times New Roman" w:hAnsi="Times New Roman"/>
          <w:color w:val="000000"/>
        </w:rPr>
        <w:t>nu k štandardnej liečbe inhibítorom ACE alebo blokátorom receptorov angiotenzínu II u pacientov s diabet</w:t>
      </w:r>
      <w:r w:rsidRPr="00C267BF">
        <w:rPr>
          <w:rFonts w:ascii="Times New Roman" w:eastAsia="Times New Roman" w:hAnsi="Times New Roman"/>
          <w:color w:val="000000"/>
        </w:rPr>
        <w:t>om</w:t>
      </w:r>
      <w:r w:rsidR="00A95EEC" w:rsidRPr="00C267BF">
        <w:rPr>
          <w:rFonts w:ascii="Times New Roman" w:eastAsia="Times New Roman" w:hAnsi="Times New Roman"/>
          <w:color w:val="000000"/>
        </w:rPr>
        <w:t xml:space="preserve"> mellitus 2. typu a chronickým ochorením obličiek, kardiovaskulárnym ochorením, alebo oboma ochoreniami. </w:t>
      </w:r>
      <w:r w:rsidRPr="00C267BF">
        <w:rPr>
          <w:rFonts w:ascii="Times New Roman" w:eastAsia="Times New Roman" w:hAnsi="Times New Roman"/>
          <w:color w:val="000000"/>
        </w:rPr>
        <w:t>Štúdia</w:t>
      </w:r>
      <w:r w:rsidR="00A95EEC" w:rsidRPr="00C267BF">
        <w:rPr>
          <w:rFonts w:ascii="Times New Roman" w:eastAsia="Times New Roman" w:hAnsi="Times New Roman"/>
          <w:color w:val="000000"/>
        </w:rPr>
        <w:t xml:space="preserve"> bol</w:t>
      </w:r>
      <w:r w:rsidRPr="00C267BF">
        <w:rPr>
          <w:rFonts w:ascii="Times New Roman" w:eastAsia="Times New Roman" w:hAnsi="Times New Roman"/>
          <w:color w:val="000000"/>
        </w:rPr>
        <w:t>a</w:t>
      </w:r>
      <w:r w:rsidR="00A95EEC" w:rsidRPr="00C267BF">
        <w:rPr>
          <w:rFonts w:ascii="Times New Roman" w:eastAsia="Times New Roman" w:hAnsi="Times New Roman"/>
          <w:color w:val="000000"/>
        </w:rPr>
        <w:t xml:space="preserve"> predčasne ukončen</w:t>
      </w:r>
      <w:r w:rsidRPr="00C267BF">
        <w:rPr>
          <w:rFonts w:ascii="Times New Roman" w:eastAsia="Times New Roman" w:hAnsi="Times New Roman"/>
          <w:color w:val="000000"/>
        </w:rPr>
        <w:t>á</w:t>
      </w:r>
      <w:r w:rsidR="00A95EEC" w:rsidRPr="00C267BF">
        <w:rPr>
          <w:rFonts w:ascii="Times New Roman" w:eastAsia="Times New Roman" w:hAnsi="Times New Roman"/>
          <w:color w:val="000000"/>
        </w:rPr>
        <w:t xml:space="preserve"> pre zvýšené riziko nežiaducich udalostí. V skupine aliskir</w:t>
      </w:r>
      <w:r w:rsidRPr="00C267BF">
        <w:rPr>
          <w:rFonts w:ascii="Times New Roman" w:eastAsia="Times New Roman" w:hAnsi="Times New Roman"/>
          <w:color w:val="000000"/>
        </w:rPr>
        <w:t>é</w:t>
      </w:r>
      <w:r w:rsidR="00A95EEC" w:rsidRPr="00C267BF">
        <w:rPr>
          <w:rFonts w:ascii="Times New Roman" w:eastAsia="Times New Roman" w:hAnsi="Times New Roman"/>
          <w:color w:val="000000"/>
        </w:rPr>
        <w:t>nu bolo numericky viac úmrtí z kardiovaskulárnej príčiny a cievnych mozgových príhod ako v skupine placeba a v skupine aliskir</w:t>
      </w:r>
      <w:r w:rsidRPr="00C267BF">
        <w:rPr>
          <w:rFonts w:ascii="Times New Roman" w:eastAsia="Times New Roman" w:hAnsi="Times New Roman"/>
          <w:color w:val="000000"/>
        </w:rPr>
        <w:t>é</w:t>
      </w:r>
      <w:r w:rsidR="00A95EEC" w:rsidRPr="00C267BF">
        <w:rPr>
          <w:rFonts w:ascii="Times New Roman" w:eastAsia="Times New Roman" w:hAnsi="Times New Roman"/>
          <w:color w:val="000000"/>
        </w:rPr>
        <w:t>nu boli častejšie hlásené sledované nežiaduce udalosti a závažné nežiaduce udalosti (hyperkaliémia, hypotenzia a renálna dysfunkcia) ako v skupine placeba.</w:t>
      </w:r>
    </w:p>
    <w:p w:rsidR="00A95EEC" w:rsidRPr="00C267BF" w:rsidRDefault="00A95EEC" w:rsidP="00FD2D5B">
      <w:pPr>
        <w:spacing w:after="0" w:line="240" w:lineRule="auto"/>
        <w:rPr>
          <w:rFonts w:ascii="Times New Roman" w:hAnsi="Times New Roman"/>
          <w:i/>
          <w:noProof/>
          <w:lang w:eastAsia="sk-SK"/>
        </w:rPr>
      </w:pPr>
    </w:p>
    <w:p w:rsidR="00A95EEC" w:rsidRPr="00C267BF" w:rsidRDefault="00DA62B4" w:rsidP="00FD2D5B">
      <w:pPr>
        <w:spacing w:after="0" w:line="240" w:lineRule="auto"/>
        <w:rPr>
          <w:rFonts w:ascii="Times New Roman" w:hAnsi="Times New Roman"/>
          <w:noProof/>
          <w:u w:val="single"/>
          <w:lang w:eastAsia="sk-SK"/>
        </w:rPr>
      </w:pPr>
      <w:r w:rsidRPr="00C267BF">
        <w:rPr>
          <w:rFonts w:ascii="Times New Roman" w:hAnsi="Times New Roman"/>
          <w:noProof/>
          <w:u w:val="single"/>
          <w:lang w:eastAsia="sk-SK"/>
        </w:rPr>
        <w:t>Amlodipín</w:t>
      </w:r>
    </w:p>
    <w:p w:rsidR="00FD2D5B" w:rsidRPr="00C267BF" w:rsidRDefault="00FD2D5B" w:rsidP="00FD2D5B">
      <w:pPr>
        <w:tabs>
          <w:tab w:val="left" w:pos="0"/>
        </w:tabs>
        <w:spacing w:after="0" w:line="240" w:lineRule="auto"/>
        <w:rPr>
          <w:rFonts w:ascii="Times New Roman" w:hAnsi="Times New Roman"/>
          <w:lang w:eastAsia="sk-SK"/>
        </w:rPr>
      </w:pPr>
      <w:r w:rsidRPr="00C267BF">
        <w:rPr>
          <w:rFonts w:ascii="Times New Roman" w:hAnsi="Times New Roman"/>
          <w:lang w:eastAsia="sk-SK"/>
        </w:rPr>
        <w:t>Amlodipín je inhibítor vstupu kalciových iónov z dihydropyridínovej skupiny (blokátor pomalého kanála alebo antagonista kalciových iónov) a inhibuje transmembránový vstup kalciových iónov do hladkých svalov srdca a ciev.</w:t>
      </w:r>
    </w:p>
    <w:p w:rsidR="00FD2D5B" w:rsidRPr="00C267BF" w:rsidRDefault="00FD2D5B" w:rsidP="00FD2D5B">
      <w:pPr>
        <w:tabs>
          <w:tab w:val="left" w:pos="0"/>
        </w:tabs>
        <w:spacing w:after="0" w:line="240" w:lineRule="auto"/>
        <w:rPr>
          <w:rFonts w:ascii="Times New Roman" w:hAnsi="Times New Roman"/>
          <w:i/>
          <w:noProof/>
          <w:u w:val="single"/>
          <w:lang w:eastAsia="sk-SK"/>
        </w:rPr>
      </w:pPr>
    </w:p>
    <w:p w:rsidR="00FD2D5B" w:rsidRPr="00C267BF" w:rsidRDefault="00FD2D5B" w:rsidP="00FD2D5B">
      <w:pPr>
        <w:tabs>
          <w:tab w:val="left" w:pos="0"/>
        </w:tabs>
        <w:spacing w:after="0" w:line="240" w:lineRule="auto"/>
        <w:rPr>
          <w:rFonts w:ascii="Times New Roman" w:hAnsi="Times New Roman"/>
          <w:lang w:eastAsia="sk-SK"/>
        </w:rPr>
      </w:pPr>
      <w:r w:rsidRPr="00C267BF">
        <w:rPr>
          <w:rFonts w:ascii="Times New Roman" w:hAnsi="Times New Roman"/>
          <w:lang w:eastAsia="sk-SK"/>
        </w:rPr>
        <w:t>Mechanizmom antihypertenzného účinku amlodipínu je priamy relaxačný vplyv na hladké svaly ciev. Presný mechanizmus, ktorým amlodipín vyvoláva úľavu symptómov anginy pectoris</w:t>
      </w:r>
      <w:r w:rsidR="00E729CB" w:rsidRPr="00C267BF">
        <w:rPr>
          <w:rFonts w:ascii="Times New Roman" w:hAnsi="Times New Roman"/>
          <w:lang w:eastAsia="sk-SK"/>
        </w:rPr>
        <w:t>,</w:t>
      </w:r>
      <w:r w:rsidRPr="00C267BF">
        <w:rPr>
          <w:rFonts w:ascii="Times New Roman" w:hAnsi="Times New Roman"/>
          <w:lang w:eastAsia="sk-SK"/>
        </w:rPr>
        <w:t xml:space="preserve"> nie je úplne známy, ale amlodipín redukuje celkovú ischemickú záťaž dvoma nasledovnými účinkami: </w:t>
      </w:r>
    </w:p>
    <w:p w:rsidR="00320455" w:rsidRPr="00C267BF" w:rsidRDefault="00320455" w:rsidP="00FD2D5B">
      <w:pPr>
        <w:tabs>
          <w:tab w:val="left" w:pos="0"/>
        </w:tabs>
        <w:spacing w:after="0" w:line="240" w:lineRule="auto"/>
        <w:rPr>
          <w:rFonts w:ascii="Times New Roman" w:hAnsi="Times New Roman"/>
          <w:lang w:eastAsia="sk-SK"/>
        </w:rPr>
      </w:pPr>
    </w:p>
    <w:p w:rsidR="00FD2D5B" w:rsidRPr="00C267BF" w:rsidRDefault="00FD2D5B" w:rsidP="00DA62B4">
      <w:pPr>
        <w:pStyle w:val="Odsekzoznamu"/>
        <w:numPr>
          <w:ilvl w:val="0"/>
          <w:numId w:val="19"/>
        </w:numPr>
        <w:tabs>
          <w:tab w:val="left" w:pos="426"/>
        </w:tabs>
        <w:spacing w:after="0" w:line="240" w:lineRule="auto"/>
        <w:rPr>
          <w:rFonts w:ascii="Times New Roman" w:hAnsi="Times New Roman"/>
          <w:lang w:eastAsia="sk-SK"/>
        </w:rPr>
      </w:pPr>
      <w:r w:rsidRPr="00C267BF">
        <w:rPr>
          <w:rFonts w:ascii="Times New Roman" w:hAnsi="Times New Roman"/>
          <w:lang w:eastAsia="sk-SK"/>
        </w:rPr>
        <w:t>Amlodipín dilatuje periférne arterioly a znižuje teda celkovú periférnu rezistenciu (afterload), proti ktorej pracuje srdce. Keďže frekvencia srdca ostáva stabilná, táto menšia záťaž srdca znižuje spotrebu energie v myokarde a potrebu kyslíka.</w:t>
      </w:r>
    </w:p>
    <w:p w:rsidR="00320455" w:rsidRPr="00C267BF" w:rsidRDefault="00320455" w:rsidP="00320455">
      <w:pPr>
        <w:pStyle w:val="Odsekzoznamu"/>
        <w:tabs>
          <w:tab w:val="left" w:pos="426"/>
        </w:tabs>
        <w:spacing w:after="0" w:line="240" w:lineRule="auto"/>
        <w:ind w:left="720"/>
        <w:rPr>
          <w:rFonts w:ascii="Times New Roman" w:hAnsi="Times New Roman"/>
          <w:lang w:eastAsia="sk-SK"/>
        </w:rPr>
      </w:pPr>
    </w:p>
    <w:p w:rsidR="00FD2D5B" w:rsidRPr="00C267BF" w:rsidRDefault="00FD2D5B" w:rsidP="00DA62B4">
      <w:pPr>
        <w:pStyle w:val="Odsekzoznamu"/>
        <w:numPr>
          <w:ilvl w:val="0"/>
          <w:numId w:val="19"/>
        </w:numPr>
        <w:tabs>
          <w:tab w:val="left" w:pos="426"/>
        </w:tabs>
        <w:spacing w:after="0" w:line="240" w:lineRule="auto"/>
        <w:rPr>
          <w:rFonts w:ascii="Times New Roman" w:hAnsi="Times New Roman"/>
          <w:lang w:eastAsia="sk-SK"/>
        </w:rPr>
      </w:pPr>
      <w:r w:rsidRPr="00C267BF">
        <w:rPr>
          <w:rFonts w:ascii="Times New Roman" w:hAnsi="Times New Roman"/>
          <w:lang w:eastAsia="sk-SK"/>
        </w:rPr>
        <w:t>Mechanizmus účinku amlodipínu pravdepodobne tiež zahŕňa aj dilatáciu hlavných koronárnych artérií a koronárnych arteriol v normálnych aj ischemických oblastiach. Táto dilatácia zvyšuje dodávku kyslíka myokardu u pacientov so spazmom koronárnych artérií (Prinzmetalova alebo variantná angina pectoris).</w:t>
      </w:r>
    </w:p>
    <w:p w:rsidR="00FD2D5B" w:rsidRPr="00C267BF" w:rsidRDefault="00FD2D5B" w:rsidP="00FD2D5B">
      <w:pPr>
        <w:spacing w:after="0" w:line="240" w:lineRule="auto"/>
        <w:rPr>
          <w:rFonts w:ascii="Times New Roman" w:hAnsi="Times New Roman"/>
          <w:lang w:eastAsia="sk-SK"/>
        </w:rPr>
      </w:pPr>
    </w:p>
    <w:p w:rsidR="00320455" w:rsidRPr="00C267BF" w:rsidRDefault="00320455" w:rsidP="00320455">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lastRenderedPageBreak/>
        <w:t>U pacientov s hypertenziou vedie dávkovanie jedenkrát denne ku klinicky signifikantnému zníženiu tlaku krvi v ľahu aj v stoji počas celého 24</w:t>
      </w:r>
      <w:r w:rsidRPr="00C267BF">
        <w:rPr>
          <w:rFonts w:ascii="Times New Roman" w:eastAsia="Times New Roman" w:hAnsi="Times New Roman"/>
        </w:rPr>
        <w:noBreakHyphen/>
        <w:t>hodinového intervalu. Vzhľadom k pozvoľnému nástupu účinku nie je podávanie amlodipínu spojené s akútnou hypotenziou.</w:t>
      </w:r>
    </w:p>
    <w:p w:rsidR="00320455" w:rsidRPr="00C267BF" w:rsidRDefault="00320455" w:rsidP="00320455">
      <w:pPr>
        <w:tabs>
          <w:tab w:val="left" w:pos="567"/>
        </w:tabs>
        <w:spacing w:after="0" w:line="240" w:lineRule="auto"/>
        <w:rPr>
          <w:rFonts w:ascii="Times New Roman" w:eastAsia="Times New Roman" w:hAnsi="Times New Roman"/>
        </w:rPr>
      </w:pPr>
    </w:p>
    <w:p w:rsidR="00320455" w:rsidRPr="00C267BF" w:rsidRDefault="00320455" w:rsidP="00320455">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U pacientov s angínou pektoris dávkovanie amlodipínu jedenkrát denne predlžuje celkový čas schopnosti vykonávať fyzickú záťaž, časový interval do vzniku anginóznych ťažkostí a čas do objavenia</w:t>
      </w:r>
      <w:r w:rsidRPr="00C267BF">
        <w:rPr>
          <w:rFonts w:ascii="Times New Roman" w:eastAsia="Times New Roman" w:hAnsi="Times New Roman"/>
          <w:b/>
        </w:rPr>
        <w:t xml:space="preserve"> </w:t>
      </w:r>
      <w:r w:rsidRPr="00C267BF">
        <w:rPr>
          <w:rFonts w:ascii="Times New Roman" w:eastAsia="Times New Roman" w:hAnsi="Times New Roman"/>
        </w:rPr>
        <w:t>sa 1</w:t>
      </w:r>
      <w:r w:rsidRPr="00C267BF">
        <w:rPr>
          <w:rFonts w:ascii="Times New Roman" w:eastAsia="Times New Roman" w:hAnsi="Times New Roman"/>
        </w:rPr>
        <w:noBreakHyphen/>
        <w:t>milimetrovej depresie ST segmentu a znižuje frekvenciu anginóznych záchvatov, ako aj potrebu užívania nitroglycerínu.</w:t>
      </w:r>
    </w:p>
    <w:p w:rsidR="00320455" w:rsidRPr="00C267BF" w:rsidRDefault="00320455" w:rsidP="00320455">
      <w:pPr>
        <w:tabs>
          <w:tab w:val="left" w:pos="567"/>
        </w:tabs>
        <w:spacing w:after="0" w:line="240" w:lineRule="auto"/>
        <w:rPr>
          <w:rFonts w:ascii="Times New Roman" w:eastAsia="Times New Roman" w:hAnsi="Times New Roman"/>
        </w:rPr>
      </w:pPr>
    </w:p>
    <w:p w:rsidR="00320455" w:rsidRPr="00C267BF" w:rsidRDefault="00320455" w:rsidP="00320455">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Podávanie amlodipínu nie je spojené so žiadnymi nepriaznivými metabolickými účinkami, ani zmenami plazmatických lipidov a je vhodné u pacientov s astmou, cukrovkou a dnou.</w:t>
      </w:r>
    </w:p>
    <w:p w:rsidR="00320455" w:rsidRPr="00C267BF" w:rsidRDefault="00320455" w:rsidP="00FD2D5B">
      <w:pPr>
        <w:spacing w:after="0" w:line="240" w:lineRule="auto"/>
        <w:rPr>
          <w:rFonts w:ascii="Times New Roman" w:hAnsi="Times New Roman"/>
          <w:highlight w:val="yellow"/>
          <w:u w:val="single"/>
          <w:lang w:eastAsia="sk-SK"/>
        </w:rPr>
      </w:pPr>
    </w:p>
    <w:p w:rsidR="00FD2D5B" w:rsidRPr="00C267BF" w:rsidRDefault="00FD2D5B" w:rsidP="00FD2D5B">
      <w:pPr>
        <w:spacing w:after="0" w:line="240" w:lineRule="auto"/>
        <w:rPr>
          <w:rFonts w:ascii="Times New Roman" w:hAnsi="Times New Roman"/>
          <w:b/>
          <w:noProof/>
          <w:lang w:eastAsia="sk-SK"/>
        </w:rPr>
      </w:pPr>
      <w:r w:rsidRPr="00C267BF">
        <w:rPr>
          <w:rFonts w:ascii="Times New Roman" w:hAnsi="Times New Roman"/>
          <w:b/>
          <w:noProof/>
          <w:lang w:eastAsia="sk-SK"/>
        </w:rPr>
        <w:t>5.2</w:t>
      </w:r>
      <w:r w:rsidRPr="00C267BF">
        <w:rPr>
          <w:rFonts w:ascii="Times New Roman" w:hAnsi="Times New Roman"/>
          <w:b/>
          <w:noProof/>
          <w:lang w:eastAsia="sk-SK"/>
        </w:rPr>
        <w:tab/>
        <w:t>Farmakokinetické vlastnosti</w:t>
      </w:r>
    </w:p>
    <w:p w:rsidR="00FD2D5B" w:rsidRPr="00C267BF" w:rsidRDefault="00FD2D5B" w:rsidP="00FD2D5B">
      <w:pPr>
        <w:spacing w:after="0" w:line="240" w:lineRule="auto"/>
        <w:ind w:left="567" w:hanging="567"/>
        <w:rPr>
          <w:rFonts w:ascii="Times New Roman" w:hAnsi="Times New Roman"/>
          <w:b/>
          <w:noProof/>
          <w:lang w:eastAsia="sk-SK"/>
        </w:rPr>
      </w:pPr>
    </w:p>
    <w:p w:rsidR="0090666D" w:rsidRPr="009B2AFB" w:rsidRDefault="0090666D" w:rsidP="0090666D">
      <w:pPr>
        <w:spacing w:after="0" w:line="240" w:lineRule="auto"/>
        <w:rPr>
          <w:rFonts w:ascii="Times New Roman" w:eastAsia="Times New Roman" w:hAnsi="Times New Roman"/>
          <w:u w:val="single"/>
        </w:rPr>
      </w:pPr>
      <w:r w:rsidRPr="009B2AFB">
        <w:rPr>
          <w:rFonts w:ascii="Times New Roman" w:eastAsia="Times New Roman" w:hAnsi="Times New Roman"/>
          <w:u w:val="single"/>
        </w:rPr>
        <w:t>Telmisartan</w:t>
      </w:r>
    </w:p>
    <w:p w:rsidR="0090666D" w:rsidRPr="00C267BF" w:rsidRDefault="0090666D" w:rsidP="0090666D">
      <w:pPr>
        <w:autoSpaceDE w:val="0"/>
        <w:autoSpaceDN w:val="0"/>
        <w:adjustRightInd w:val="0"/>
        <w:spacing w:after="0" w:line="240" w:lineRule="auto"/>
        <w:rPr>
          <w:rFonts w:ascii="Times New Roman" w:eastAsia="Times New Roman" w:hAnsi="Times New Roman"/>
          <w:u w:val="single"/>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Absorpcia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sa absorbuje rýchlo, hoci sa absorbované množstvo líši. Priemerná absolútna biologická dostupnosť telmisartanu je okolo 50 %. Keď sa telmisartan užíva s jedlom, redukcia plochy pod krivkou závislosti plazmatickej koncentrácie od času (AUC</w:t>
      </w:r>
      <w:r w:rsidRPr="00C267BF">
        <w:rPr>
          <w:rFonts w:ascii="Times New Roman" w:eastAsia="Times New Roman" w:hAnsi="Times New Roman"/>
          <w:vertAlign w:val="subscript"/>
          <w:lang w:eastAsia="sk-SK"/>
        </w:rPr>
        <w:t>0-∞</w:t>
      </w:r>
      <w:r w:rsidRPr="00C267BF">
        <w:rPr>
          <w:rFonts w:ascii="Times New Roman" w:eastAsia="Times New Roman" w:hAnsi="Times New Roman"/>
          <w:lang w:eastAsia="sk-SK"/>
        </w:rPr>
        <w:t>) telmisartanu sa mení od približne 6 % (40 mg dávka) do približne 19 % (160 mg dávka). Od 3 hodín po podaní telmisartanu nalačno alebo s jedlom sú plazmatické koncentrácie podobné.</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Distribúcia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sa z veľkej časti viaže na plazmatické proteíny (&gt;99,5 %), hlavne na albumín a kyslý alfa-1 glykoproteín. Zjavný distribučný objem (V</w:t>
      </w:r>
      <w:r w:rsidRPr="00C267BF">
        <w:rPr>
          <w:rFonts w:ascii="Times New Roman" w:eastAsia="Times New Roman" w:hAnsi="Times New Roman"/>
          <w:vertAlign w:val="subscript"/>
          <w:lang w:eastAsia="sk-SK"/>
        </w:rPr>
        <w:t>dss</w:t>
      </w:r>
      <w:r w:rsidRPr="00C267BF">
        <w:rPr>
          <w:rFonts w:ascii="Times New Roman" w:eastAsia="Times New Roman" w:hAnsi="Times New Roman"/>
          <w:lang w:eastAsia="sk-SK"/>
        </w:rPr>
        <w:t>) pri priemernom rovnovážnom stave je približne 500 l.</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Biotransformácia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sa metabolizuje konjugáciou na glukuronid základnej zlúčeniny. Konjugát nevykazuje žiadnu farmakologickú aktivitu.</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i/>
          <w:lang w:eastAsia="sk-SK"/>
        </w:rPr>
      </w:pPr>
      <w:r w:rsidRPr="00C267BF">
        <w:rPr>
          <w:rFonts w:ascii="Times New Roman" w:eastAsia="Times New Roman" w:hAnsi="Times New Roman"/>
          <w:i/>
          <w:lang w:eastAsia="sk-SK"/>
        </w:rPr>
        <w:t>Eliminácia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Telmisartan je charakterizovaný farmakokinetikou biexponenciálneho rozkladu s terminálnym polčasom eliminácie &gt;20 hodín. Maximálna plazmatická koncentrácia (C</w:t>
      </w:r>
      <w:r w:rsidRPr="00C267BF">
        <w:rPr>
          <w:rFonts w:ascii="Times New Roman" w:eastAsia="Times New Roman" w:hAnsi="Times New Roman"/>
          <w:vertAlign w:val="subscript"/>
          <w:lang w:eastAsia="sk-SK"/>
        </w:rPr>
        <w:t>max</w:t>
      </w:r>
      <w:r w:rsidRPr="00C267BF">
        <w:rPr>
          <w:rFonts w:ascii="Times New Roman" w:eastAsia="Times New Roman" w:hAnsi="Times New Roman"/>
          <w:lang w:eastAsia="sk-SK"/>
        </w:rPr>
        <w:t>) a v menšej miere plocha pod krivkou závislosti plazmatickej koncentrácie od času (AUC) sa zvyšuje s dávkou disproporčne. Nie je dôkaz klinicky významnej akumulácie telmisartanu, ak sa užíva v odporúčanej dávke. Plazmatické koncentrácie boli vyššie u žien ako u mužov bez významného vplyvu na účinnosť.</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Linearita/ne-linearita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Nepredpokladá sa, že by malé zníženie AUC zapríčinilo zníženie terapeutickej účinnosti. Medzi dávkami a plazmatickými hladinami nie je lineárny vzťah. C</w:t>
      </w:r>
      <w:r w:rsidRPr="00C267BF">
        <w:rPr>
          <w:rFonts w:ascii="Times New Roman" w:eastAsia="Times New Roman" w:hAnsi="Times New Roman"/>
          <w:vertAlign w:val="subscript"/>
          <w:lang w:eastAsia="sk-SK"/>
        </w:rPr>
        <w:t>max</w:t>
      </w:r>
      <w:r w:rsidRPr="00C267BF">
        <w:rPr>
          <w:rFonts w:ascii="Times New Roman" w:eastAsia="Times New Roman" w:hAnsi="Times New Roman"/>
          <w:lang w:eastAsia="sk-SK"/>
        </w:rPr>
        <w:t xml:space="preserve"> a v menšej miere AUC sa pri dávkach nad 40 mg zvyšujú disproporčne.</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Po perorálnom (a intravenóznom) podaní sa telmisartan takmer výlučne vylučuje stolicou prevažne ako nezmenená zlúčenina. Kumulatívne vylučovanie močom je &lt;1 % dávky. Celkový plazmatický klírens (Cl</w:t>
      </w:r>
      <w:r w:rsidRPr="00C267BF">
        <w:rPr>
          <w:rFonts w:ascii="Times New Roman" w:eastAsia="Times New Roman" w:hAnsi="Times New Roman"/>
          <w:vertAlign w:val="subscript"/>
          <w:lang w:eastAsia="sk-SK"/>
        </w:rPr>
        <w:t>tot</w:t>
      </w:r>
      <w:r w:rsidRPr="00C267BF">
        <w:rPr>
          <w:rFonts w:ascii="Times New Roman" w:eastAsia="Times New Roman" w:hAnsi="Times New Roman"/>
          <w:lang w:eastAsia="sk-SK"/>
        </w:rPr>
        <w:t>) je vysoký (približne 1000 ml/min) v porovnaní s prietokom krvi v pečeni (okolo 1500 l/min).</w:t>
      </w:r>
    </w:p>
    <w:p w:rsidR="0090666D" w:rsidRPr="00C267BF" w:rsidRDefault="0090666D" w:rsidP="0090666D">
      <w:pPr>
        <w:autoSpaceDE w:val="0"/>
        <w:autoSpaceDN w:val="0"/>
        <w:adjustRightInd w:val="0"/>
        <w:spacing w:after="0" w:line="240" w:lineRule="auto"/>
        <w:rPr>
          <w:rFonts w:ascii="Times New Roman" w:eastAsia="Times New Roman" w:hAnsi="Times New Roman"/>
          <w:i/>
          <w:iCs/>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i/>
          <w:iCs/>
          <w:lang w:eastAsia="sk-SK"/>
        </w:rPr>
      </w:pPr>
      <w:r w:rsidRPr="00C267BF">
        <w:rPr>
          <w:rFonts w:ascii="Times New Roman" w:eastAsia="Times New Roman" w:hAnsi="Times New Roman"/>
          <w:i/>
          <w:iCs/>
          <w:lang w:eastAsia="sk-SK"/>
        </w:rPr>
        <w:t>Osobitné skupiny pacientov</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Pohlavie</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Pozorovali sa rozdiely v plazmatických koncentráciách medzi pohlaviami, </w:t>
      </w:r>
      <w:proofErr w:type="spellStart"/>
      <w:r w:rsidRPr="00C267BF">
        <w:rPr>
          <w:rFonts w:ascii="Times New Roman" w:eastAsia="Times New Roman" w:hAnsi="Times New Roman"/>
          <w:lang w:eastAsia="sk-SK"/>
        </w:rPr>
        <w:t>C</w:t>
      </w:r>
      <w:r w:rsidRPr="00C267BF">
        <w:rPr>
          <w:rFonts w:ascii="Times New Roman" w:eastAsia="Times New Roman" w:hAnsi="Times New Roman"/>
          <w:vertAlign w:val="subscript"/>
          <w:lang w:eastAsia="sk-SK"/>
        </w:rPr>
        <w:t>max</w:t>
      </w:r>
      <w:proofErr w:type="spellEnd"/>
      <w:r w:rsidRPr="00C267BF">
        <w:rPr>
          <w:rFonts w:ascii="Times New Roman" w:eastAsia="Times New Roman" w:hAnsi="Times New Roman"/>
          <w:vertAlign w:val="subscript"/>
          <w:lang w:eastAsia="sk-SK"/>
        </w:rPr>
        <w:t xml:space="preserve">  </w:t>
      </w:r>
      <w:r w:rsidRPr="00C267BF">
        <w:rPr>
          <w:rFonts w:ascii="Times New Roman" w:eastAsia="Times New Roman" w:hAnsi="Times New Roman"/>
          <w:lang w:eastAsia="sk-SK"/>
        </w:rPr>
        <w:t>a AUC boli približne 3- a 2-násobne vyššie u žien v porovnaní s mužmi.</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 xml:space="preserve">Starší </w:t>
      </w:r>
      <w:r w:rsidR="00FD6E3F" w:rsidRPr="00C267BF">
        <w:rPr>
          <w:rFonts w:ascii="Times New Roman" w:eastAsia="Times New Roman" w:hAnsi="Times New Roman"/>
          <w:u w:val="single"/>
          <w:lang w:eastAsia="sk-SK"/>
        </w:rPr>
        <w:t>ľudia</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lastRenderedPageBreak/>
        <w:t>Farmakokinetika telmisartanu sa u pacientov mladších ako 65 rokov a starších pacientov nelíši.</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P</w:t>
      </w:r>
      <w:r w:rsidR="008328BB" w:rsidRPr="00C267BF">
        <w:rPr>
          <w:rFonts w:ascii="Times New Roman" w:eastAsia="Times New Roman" w:hAnsi="Times New Roman"/>
          <w:u w:val="single"/>
          <w:lang w:eastAsia="sk-SK"/>
        </w:rPr>
        <w:t>o</w:t>
      </w:r>
      <w:r w:rsidR="00FD6E3F" w:rsidRPr="00C267BF">
        <w:rPr>
          <w:rFonts w:ascii="Times New Roman" w:eastAsia="Times New Roman" w:hAnsi="Times New Roman"/>
          <w:u w:val="single"/>
          <w:lang w:eastAsia="sk-SK"/>
        </w:rPr>
        <w:t>užitie pri p</w:t>
      </w:r>
      <w:r w:rsidRPr="00C267BF">
        <w:rPr>
          <w:rFonts w:ascii="Times New Roman" w:eastAsia="Times New Roman" w:hAnsi="Times New Roman"/>
          <w:u w:val="single"/>
          <w:lang w:eastAsia="sk-SK"/>
        </w:rPr>
        <w:t>oruch</w:t>
      </w:r>
      <w:r w:rsidR="00FD6E3F" w:rsidRPr="00C267BF">
        <w:rPr>
          <w:rFonts w:ascii="Times New Roman" w:eastAsia="Times New Roman" w:hAnsi="Times New Roman"/>
          <w:u w:val="single"/>
          <w:lang w:eastAsia="sk-SK"/>
        </w:rPr>
        <w:t>e</w:t>
      </w:r>
      <w:r w:rsidRPr="00C267BF">
        <w:rPr>
          <w:rFonts w:ascii="Times New Roman" w:eastAsia="Times New Roman" w:hAnsi="Times New Roman"/>
          <w:u w:val="single"/>
          <w:lang w:eastAsia="sk-SK"/>
        </w:rPr>
        <w:t xml:space="preserve"> funkcie obličiek</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pacientov s miernou až stredne ťažkou a ťažkou poruchou funkcie obličiek sa pozorovali dvojnásobné plazmatické koncentrácie. Avšak u pacientov s renálnou insuficienciou, ktorí sa podrobujú dialýze, sa pozorovali nižšie plazmatické koncentrácie. Telmisartan má u pacientov s renálnou insuficienciou pevnú väzbu na proteíny plazmy a nemôže sa odstrániť dialýzou. Polčas vylučovania sa u pacientov s poruchou funkcie obličiek nemení.</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C267BF" w:rsidRDefault="00FD6E3F" w:rsidP="0090666D">
      <w:pPr>
        <w:autoSpaceDE w:val="0"/>
        <w:autoSpaceDN w:val="0"/>
        <w:adjustRightInd w:val="0"/>
        <w:spacing w:after="0" w:line="240" w:lineRule="auto"/>
        <w:rPr>
          <w:rFonts w:ascii="Times New Roman" w:eastAsia="Times New Roman" w:hAnsi="Times New Roman"/>
          <w:u w:val="single"/>
          <w:lang w:eastAsia="sk-SK"/>
        </w:rPr>
      </w:pPr>
      <w:r w:rsidRPr="00C267BF">
        <w:rPr>
          <w:rFonts w:ascii="Times New Roman" w:eastAsia="Times New Roman" w:hAnsi="Times New Roman"/>
          <w:u w:val="single"/>
          <w:lang w:eastAsia="sk-SK"/>
        </w:rPr>
        <w:t>P</w:t>
      </w:r>
      <w:r w:rsidR="008328BB" w:rsidRPr="00C267BF">
        <w:rPr>
          <w:rFonts w:ascii="Times New Roman" w:eastAsia="Times New Roman" w:hAnsi="Times New Roman"/>
          <w:u w:val="single"/>
          <w:lang w:eastAsia="sk-SK"/>
        </w:rPr>
        <w:t>o</w:t>
      </w:r>
      <w:r w:rsidRPr="00C267BF">
        <w:rPr>
          <w:rFonts w:ascii="Times New Roman" w:eastAsia="Times New Roman" w:hAnsi="Times New Roman"/>
          <w:u w:val="single"/>
          <w:lang w:eastAsia="sk-SK"/>
        </w:rPr>
        <w:t>užitie pri p</w:t>
      </w:r>
      <w:r w:rsidR="0090666D" w:rsidRPr="00C267BF">
        <w:rPr>
          <w:rFonts w:ascii="Times New Roman" w:eastAsia="Times New Roman" w:hAnsi="Times New Roman"/>
          <w:u w:val="single"/>
          <w:lang w:eastAsia="sk-SK"/>
        </w:rPr>
        <w:t>oruch</w:t>
      </w:r>
      <w:r w:rsidRPr="00C267BF">
        <w:rPr>
          <w:rFonts w:ascii="Times New Roman" w:eastAsia="Times New Roman" w:hAnsi="Times New Roman"/>
          <w:u w:val="single"/>
          <w:lang w:eastAsia="sk-SK"/>
        </w:rPr>
        <w:t>e</w:t>
      </w:r>
      <w:r w:rsidR="0090666D" w:rsidRPr="00C267BF">
        <w:rPr>
          <w:rFonts w:ascii="Times New Roman" w:eastAsia="Times New Roman" w:hAnsi="Times New Roman"/>
          <w:u w:val="single"/>
          <w:lang w:eastAsia="sk-SK"/>
        </w:rPr>
        <w:t xml:space="preserve"> funkcie pečene</w:t>
      </w:r>
    </w:p>
    <w:p w:rsidR="0090666D" w:rsidRPr="00C267BF" w:rsidRDefault="0090666D" w:rsidP="0090666D">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Farmakokinetické štúdie u pacientov s poruchou funkcie pečene ukázali zvýšenie absolútnej biologickej dostupnosti až do takmer 100 %. Polčas vylučovania sa u pacientov s poruchou funkcie pečene nemení.</w:t>
      </w:r>
    </w:p>
    <w:p w:rsidR="00FD2D5B" w:rsidRPr="00C267BF" w:rsidRDefault="00FD2D5B" w:rsidP="00FD2D5B">
      <w:pPr>
        <w:spacing w:after="0" w:line="240" w:lineRule="auto"/>
        <w:rPr>
          <w:rFonts w:ascii="Times New Roman" w:hAnsi="Times New Roman"/>
          <w:lang w:eastAsia="sk-SK"/>
        </w:rPr>
      </w:pPr>
    </w:p>
    <w:p w:rsidR="00FD2D5B" w:rsidRPr="00C267BF" w:rsidRDefault="00FD2D5B" w:rsidP="00FD2D5B">
      <w:pPr>
        <w:spacing w:after="0" w:line="240" w:lineRule="auto"/>
        <w:rPr>
          <w:rFonts w:ascii="Times New Roman" w:hAnsi="Times New Roman"/>
          <w:noProof/>
          <w:u w:val="single"/>
          <w:lang w:eastAsia="sk-SK"/>
        </w:rPr>
      </w:pPr>
      <w:r w:rsidRPr="00C267BF">
        <w:rPr>
          <w:rFonts w:ascii="Times New Roman" w:hAnsi="Times New Roman"/>
          <w:noProof/>
          <w:u w:val="single"/>
          <w:lang w:eastAsia="sk-SK"/>
        </w:rPr>
        <w:t>Amlodipín:</w:t>
      </w:r>
    </w:p>
    <w:p w:rsidR="00FD6E3F" w:rsidRPr="00C267BF" w:rsidRDefault="00FD6E3F" w:rsidP="00FD6E3F">
      <w:pPr>
        <w:autoSpaceDE w:val="0"/>
        <w:autoSpaceDN w:val="0"/>
        <w:adjustRightInd w:val="0"/>
        <w:spacing w:after="0" w:line="240" w:lineRule="auto"/>
        <w:rPr>
          <w:rFonts w:ascii="Times New Roman" w:hAnsi="Times New Roman"/>
          <w:i/>
          <w:lang w:eastAsia="sk-SK"/>
        </w:rPr>
      </w:pPr>
    </w:p>
    <w:p w:rsidR="00FD2D5B" w:rsidRPr="00C267BF" w:rsidRDefault="00FD2D5B" w:rsidP="00FD6E3F">
      <w:pPr>
        <w:autoSpaceDE w:val="0"/>
        <w:autoSpaceDN w:val="0"/>
        <w:adjustRightInd w:val="0"/>
        <w:spacing w:after="0" w:line="240" w:lineRule="auto"/>
        <w:rPr>
          <w:rFonts w:ascii="Times New Roman" w:hAnsi="Times New Roman"/>
          <w:i/>
          <w:lang w:eastAsia="sk-SK"/>
        </w:rPr>
      </w:pPr>
      <w:r w:rsidRPr="00C267BF">
        <w:rPr>
          <w:rFonts w:ascii="Times New Roman" w:hAnsi="Times New Roman"/>
          <w:i/>
          <w:lang w:eastAsia="sk-SK"/>
        </w:rPr>
        <w:t>Absorpcia</w:t>
      </w:r>
      <w:r w:rsidR="00FD6E3F" w:rsidRPr="00C267BF">
        <w:rPr>
          <w:rFonts w:ascii="Times New Roman" w:hAnsi="Times New Roman"/>
          <w:i/>
          <w:lang w:eastAsia="sk-SK"/>
        </w:rPr>
        <w:t>/</w:t>
      </w:r>
      <w:r w:rsidRPr="00C267BF">
        <w:rPr>
          <w:rFonts w:ascii="Times New Roman" w:hAnsi="Times New Roman"/>
          <w:i/>
          <w:lang w:eastAsia="sk-SK"/>
        </w:rPr>
        <w:t xml:space="preserve"> distribúcia</w:t>
      </w:r>
    </w:p>
    <w:p w:rsidR="00FD2D5B" w:rsidRPr="00C267BF" w:rsidRDefault="00FD2D5B" w:rsidP="00FD6E3F">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Po perorálnom podaní terapeutických dávok sa amlodipín dobre vstrebáva a</w:t>
      </w:r>
      <w:r w:rsidR="00450D2E" w:rsidRPr="00C267BF">
        <w:rPr>
          <w:rFonts w:ascii="Times New Roman" w:hAnsi="Times New Roman"/>
          <w:lang w:eastAsia="sk-SK"/>
        </w:rPr>
        <w:t> maximálna plazmatická koncentrácia sa dosiahne</w:t>
      </w:r>
      <w:r w:rsidRPr="00C267BF">
        <w:rPr>
          <w:rFonts w:ascii="Times New Roman" w:hAnsi="Times New Roman"/>
          <w:lang w:eastAsia="sk-SK"/>
        </w:rPr>
        <w:t xml:space="preserve"> za 6 – 12 hodín po užití dávky. Absolútna biologická dostupnosť je v rozpätí 64 – 80 %. Distribučný objem je približne 21 l/kg. Štúdie </w:t>
      </w:r>
      <w:r w:rsidRPr="00C267BF">
        <w:rPr>
          <w:rFonts w:ascii="Times New Roman" w:hAnsi="Times New Roman"/>
          <w:i/>
          <w:lang w:eastAsia="sk-SK"/>
        </w:rPr>
        <w:t>in vitro</w:t>
      </w:r>
      <w:r w:rsidRPr="00C267BF">
        <w:rPr>
          <w:rFonts w:ascii="Times New Roman" w:hAnsi="Times New Roman"/>
          <w:lang w:eastAsia="sk-SK"/>
        </w:rPr>
        <w:t xml:space="preserve"> ukázali, že približne 97,5 % cirkulujúceho amlodipínu je viazaného na plazmatické bielkoviny.</w:t>
      </w:r>
    </w:p>
    <w:p w:rsidR="00FD6E3F" w:rsidRPr="00C267BF" w:rsidRDefault="00FD6E3F" w:rsidP="00FD6E3F">
      <w:pPr>
        <w:autoSpaceDE w:val="0"/>
        <w:autoSpaceDN w:val="0"/>
        <w:adjustRightInd w:val="0"/>
        <w:spacing w:after="0" w:line="240" w:lineRule="auto"/>
        <w:rPr>
          <w:rFonts w:ascii="Times New Roman" w:hAnsi="Times New Roman"/>
          <w:lang w:eastAsia="sk-SK"/>
        </w:rPr>
      </w:pPr>
    </w:p>
    <w:p w:rsidR="00FD2D5B" w:rsidRPr="00C267BF" w:rsidRDefault="00FD2D5B" w:rsidP="00FD6E3F">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Biologická dostupnosť amlodipínu nie je ovplyvnená príjmom potravy.</w:t>
      </w:r>
    </w:p>
    <w:p w:rsidR="00FD6E3F" w:rsidRPr="00C267BF" w:rsidRDefault="00FD6E3F" w:rsidP="00FD6E3F">
      <w:pPr>
        <w:autoSpaceDE w:val="0"/>
        <w:autoSpaceDN w:val="0"/>
        <w:adjustRightInd w:val="0"/>
        <w:spacing w:after="0" w:line="240" w:lineRule="auto"/>
        <w:rPr>
          <w:rFonts w:ascii="Times New Roman" w:hAnsi="Times New Roman"/>
          <w:i/>
          <w:lang w:eastAsia="sk-SK"/>
        </w:rPr>
      </w:pPr>
    </w:p>
    <w:p w:rsidR="00FD2D5B" w:rsidRPr="00C267BF" w:rsidRDefault="00FD2D5B" w:rsidP="00FD6E3F">
      <w:pPr>
        <w:autoSpaceDE w:val="0"/>
        <w:autoSpaceDN w:val="0"/>
        <w:adjustRightInd w:val="0"/>
        <w:spacing w:after="0" w:line="240" w:lineRule="auto"/>
        <w:rPr>
          <w:rFonts w:ascii="Times New Roman" w:hAnsi="Times New Roman"/>
          <w:i/>
          <w:lang w:eastAsia="sk-SK"/>
        </w:rPr>
      </w:pPr>
      <w:r w:rsidRPr="00C267BF">
        <w:rPr>
          <w:rFonts w:ascii="Times New Roman" w:hAnsi="Times New Roman"/>
          <w:i/>
          <w:lang w:eastAsia="sk-SK"/>
        </w:rPr>
        <w:t>Biotransformácia</w:t>
      </w:r>
      <w:r w:rsidR="00FD6E3F" w:rsidRPr="00C267BF">
        <w:rPr>
          <w:rFonts w:ascii="Times New Roman" w:hAnsi="Times New Roman"/>
          <w:i/>
          <w:lang w:eastAsia="sk-SK"/>
        </w:rPr>
        <w:t>/</w:t>
      </w:r>
      <w:r w:rsidRPr="00C267BF">
        <w:rPr>
          <w:rFonts w:ascii="Times New Roman" w:hAnsi="Times New Roman"/>
          <w:i/>
          <w:lang w:eastAsia="sk-SK"/>
        </w:rPr>
        <w:t xml:space="preserve"> eliminácia</w:t>
      </w:r>
    </w:p>
    <w:p w:rsidR="00FD2D5B" w:rsidRPr="00C267BF" w:rsidRDefault="00FD2D5B" w:rsidP="00FD6E3F">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 xml:space="preserve">Terminálny plazmatický polčas eliminácie je </w:t>
      </w:r>
      <w:r w:rsidR="004B4E4A" w:rsidRPr="00C267BF">
        <w:rPr>
          <w:rFonts w:ascii="Times New Roman" w:hAnsi="Times New Roman"/>
          <w:lang w:eastAsia="sk-SK"/>
        </w:rPr>
        <w:t>asi</w:t>
      </w:r>
      <w:r w:rsidRPr="00C267BF">
        <w:rPr>
          <w:rFonts w:ascii="Times New Roman" w:hAnsi="Times New Roman"/>
          <w:lang w:eastAsia="sk-SK"/>
        </w:rPr>
        <w:t xml:space="preserve"> 35 – 50 hodín a umožňuje podávanie amlodipínu v jednej dennej dávke. Amlodipín sa extenzívne metabolizuje v pečeni na neúčinné metabolity, pričom 10 % materskej látky a 60 % metabolitov sa vylučuje do moču.</w:t>
      </w:r>
    </w:p>
    <w:p w:rsidR="00FD6E3F" w:rsidRPr="00C267BF" w:rsidRDefault="00FD6E3F" w:rsidP="00FD6E3F">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Amlodipín nie je dialyzovateľný.</w:t>
      </w:r>
    </w:p>
    <w:p w:rsidR="00FD2D5B" w:rsidRPr="00C267BF" w:rsidRDefault="00FD2D5B" w:rsidP="00FD2D5B">
      <w:pPr>
        <w:autoSpaceDE w:val="0"/>
        <w:autoSpaceDN w:val="0"/>
        <w:adjustRightInd w:val="0"/>
        <w:spacing w:after="0" w:line="240" w:lineRule="auto"/>
        <w:rPr>
          <w:rFonts w:ascii="Times New Roman" w:hAnsi="Times New Roman"/>
          <w:iCs/>
          <w:lang w:eastAsia="sk-SK"/>
        </w:rPr>
      </w:pPr>
    </w:p>
    <w:p w:rsidR="00FD2D5B" w:rsidRPr="00C267BF" w:rsidRDefault="00FD6E3F" w:rsidP="00FD2D5B">
      <w:pPr>
        <w:autoSpaceDE w:val="0"/>
        <w:autoSpaceDN w:val="0"/>
        <w:adjustRightInd w:val="0"/>
        <w:spacing w:after="0" w:line="240" w:lineRule="auto"/>
        <w:rPr>
          <w:rFonts w:ascii="Times New Roman" w:hAnsi="Times New Roman"/>
          <w:i/>
          <w:iCs/>
          <w:lang w:eastAsia="sk-SK"/>
        </w:rPr>
      </w:pPr>
      <w:r w:rsidRPr="00C267BF">
        <w:rPr>
          <w:rFonts w:ascii="Times New Roman" w:hAnsi="Times New Roman"/>
          <w:i/>
          <w:iCs/>
          <w:lang w:eastAsia="sk-SK"/>
        </w:rPr>
        <w:t>Farmakokinetika u o</w:t>
      </w:r>
      <w:r w:rsidR="00FD2D5B" w:rsidRPr="00C267BF">
        <w:rPr>
          <w:rFonts w:ascii="Times New Roman" w:hAnsi="Times New Roman"/>
          <w:i/>
          <w:iCs/>
          <w:lang w:eastAsia="sk-SK"/>
        </w:rPr>
        <w:t>sobitn</w:t>
      </w:r>
      <w:r w:rsidRPr="00C267BF">
        <w:rPr>
          <w:rFonts w:ascii="Times New Roman" w:hAnsi="Times New Roman"/>
          <w:i/>
          <w:iCs/>
          <w:lang w:eastAsia="sk-SK"/>
        </w:rPr>
        <w:t>ých</w:t>
      </w:r>
      <w:r w:rsidR="00FD2D5B" w:rsidRPr="00C267BF">
        <w:rPr>
          <w:rFonts w:ascii="Times New Roman" w:hAnsi="Times New Roman"/>
          <w:i/>
          <w:iCs/>
          <w:lang w:eastAsia="sk-SK"/>
        </w:rPr>
        <w:t xml:space="preserve"> skup</w:t>
      </w:r>
      <w:r w:rsidRPr="00C267BF">
        <w:rPr>
          <w:rFonts w:ascii="Times New Roman" w:hAnsi="Times New Roman"/>
          <w:i/>
          <w:iCs/>
          <w:lang w:eastAsia="sk-SK"/>
        </w:rPr>
        <w:t>í</w:t>
      </w:r>
      <w:r w:rsidR="00FD2D5B" w:rsidRPr="00C267BF">
        <w:rPr>
          <w:rFonts w:ascii="Times New Roman" w:hAnsi="Times New Roman"/>
          <w:i/>
          <w:iCs/>
          <w:lang w:eastAsia="sk-SK"/>
        </w:rPr>
        <w:t>n pacientov</w:t>
      </w:r>
    </w:p>
    <w:p w:rsidR="00FD2D5B" w:rsidRPr="00C267BF" w:rsidRDefault="00FD2D5B" w:rsidP="00FD2D5B">
      <w:pPr>
        <w:autoSpaceDE w:val="0"/>
        <w:autoSpaceDN w:val="0"/>
        <w:adjustRightInd w:val="0"/>
        <w:spacing w:after="0" w:line="240" w:lineRule="auto"/>
        <w:rPr>
          <w:rFonts w:ascii="Times New Roman" w:hAnsi="Times New Roman"/>
          <w:iCs/>
          <w:u w:val="single"/>
          <w:lang w:eastAsia="sk-SK"/>
        </w:rPr>
      </w:pPr>
    </w:p>
    <w:p w:rsidR="0009340A" w:rsidRPr="00C267BF" w:rsidRDefault="0009340A" w:rsidP="0009340A">
      <w:pPr>
        <w:tabs>
          <w:tab w:val="left" w:pos="567"/>
        </w:tabs>
        <w:spacing w:after="0" w:line="240" w:lineRule="auto"/>
        <w:rPr>
          <w:rFonts w:ascii="Times New Roman" w:eastAsia="Times New Roman" w:hAnsi="Times New Roman"/>
          <w:i/>
          <w:u w:val="single"/>
        </w:rPr>
      </w:pPr>
      <w:r w:rsidRPr="00C267BF">
        <w:rPr>
          <w:rFonts w:ascii="Times New Roman" w:eastAsia="Times New Roman" w:hAnsi="Times New Roman"/>
          <w:i/>
          <w:u w:val="single"/>
        </w:rPr>
        <w:t>Porucha funkcie pečene</w:t>
      </w:r>
    </w:p>
    <w:p w:rsidR="0009340A" w:rsidRPr="00C267BF" w:rsidRDefault="0009340A" w:rsidP="0009340A">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K dispozícii sú veľmi obmedzené údaje týkajúce sa podávania amlodipínu u pacientov s poruchou funkcie pečene. Pacienti s pečeňovou nedostatočnosťou majú znížený klírens amlodipínu, ktorý má za následok predĺženie biologického polčasu a zväčšenie plochy pod krivkou (area under curve, AUC) približne o 40 </w:t>
      </w:r>
      <w:r w:rsidRPr="00C267BF">
        <w:rPr>
          <w:rFonts w:ascii="Times New Roman" w:eastAsia="Times New Roman" w:hAnsi="Times New Roman"/>
        </w:rPr>
        <w:noBreakHyphen/>
        <w:t> 60 %.</w:t>
      </w:r>
    </w:p>
    <w:p w:rsidR="0009340A" w:rsidRPr="00C267BF" w:rsidRDefault="0009340A" w:rsidP="0009340A">
      <w:pPr>
        <w:tabs>
          <w:tab w:val="left" w:pos="567"/>
        </w:tabs>
        <w:spacing w:after="0" w:line="240" w:lineRule="auto"/>
        <w:rPr>
          <w:rFonts w:ascii="Times New Roman" w:eastAsia="Times New Roman" w:hAnsi="Times New Roman"/>
        </w:rPr>
      </w:pPr>
    </w:p>
    <w:p w:rsidR="0009340A" w:rsidRPr="00C267BF" w:rsidRDefault="0009340A" w:rsidP="0009340A">
      <w:pPr>
        <w:tabs>
          <w:tab w:val="left" w:pos="567"/>
        </w:tabs>
        <w:spacing w:after="0" w:line="240" w:lineRule="auto"/>
        <w:rPr>
          <w:rFonts w:ascii="Times New Roman" w:eastAsia="Times New Roman" w:hAnsi="Times New Roman"/>
          <w:i/>
          <w:u w:val="single"/>
        </w:rPr>
      </w:pPr>
      <w:r w:rsidRPr="00C267BF">
        <w:rPr>
          <w:rFonts w:ascii="Times New Roman" w:eastAsia="Times New Roman" w:hAnsi="Times New Roman"/>
          <w:i/>
          <w:u w:val="single"/>
        </w:rPr>
        <w:t>Starší ľudia</w:t>
      </w:r>
    </w:p>
    <w:p w:rsidR="0009340A" w:rsidRPr="00C267BF" w:rsidRDefault="0009340A" w:rsidP="0009340A">
      <w:pPr>
        <w:tabs>
          <w:tab w:val="left" w:pos="567"/>
        </w:tabs>
        <w:spacing w:after="0" w:line="240" w:lineRule="auto"/>
        <w:rPr>
          <w:rFonts w:ascii="Times New Roman" w:eastAsia="Times New Roman" w:hAnsi="Times New Roman"/>
        </w:rPr>
      </w:pPr>
      <w:r w:rsidRPr="00C267BF">
        <w:rPr>
          <w:rFonts w:ascii="Times New Roman" w:eastAsia="Times New Roman" w:hAnsi="Times New Roman"/>
        </w:rPr>
        <w:t>Čas po dosiahnutie maximálnej plazmatickej koncentrácie amlodipínu u starších i mladých ľudí je podobný. Klírens amlodipínu má tendenciu k zníženiu, čo vedie k zväčšeniu plochy pod krivkou (AUC) a predĺženiu eliminačného polčasu u starších pacientov. Zväčšenie plochy pod krivkou (AUC) a eliminačn</w:t>
      </w:r>
      <w:r w:rsidR="00E7009A">
        <w:rPr>
          <w:rFonts w:ascii="Times New Roman" w:eastAsia="Times New Roman" w:hAnsi="Times New Roman"/>
        </w:rPr>
        <w:t>ý</w:t>
      </w:r>
      <w:r w:rsidRPr="00C267BF">
        <w:rPr>
          <w:rFonts w:ascii="Times New Roman" w:eastAsia="Times New Roman" w:hAnsi="Times New Roman"/>
        </w:rPr>
        <w:t xml:space="preserve"> polčas u pacientov s </w:t>
      </w:r>
      <w:proofErr w:type="spellStart"/>
      <w:r w:rsidRPr="00C267BF">
        <w:rPr>
          <w:rFonts w:ascii="Times New Roman" w:eastAsia="Times New Roman" w:hAnsi="Times New Roman"/>
        </w:rPr>
        <w:t>kongestívnym</w:t>
      </w:r>
      <w:proofErr w:type="spellEnd"/>
      <w:r w:rsidRPr="00C267BF">
        <w:rPr>
          <w:rFonts w:ascii="Times New Roman" w:eastAsia="Times New Roman" w:hAnsi="Times New Roman"/>
        </w:rPr>
        <w:t xml:space="preserve"> srdcovým zlyhaním </w:t>
      </w:r>
      <w:r w:rsidRPr="009B2AFB">
        <w:rPr>
          <w:rFonts w:ascii="Times New Roman" w:eastAsia="Times New Roman" w:hAnsi="Times New Roman"/>
        </w:rPr>
        <w:t>bol</w:t>
      </w:r>
      <w:r w:rsidR="00E53D44" w:rsidRPr="009B2AFB">
        <w:rPr>
          <w:rFonts w:ascii="Times New Roman" w:eastAsia="Times New Roman" w:hAnsi="Times New Roman"/>
        </w:rPr>
        <w:t>i</w:t>
      </w:r>
      <w:r w:rsidRPr="00C267BF">
        <w:rPr>
          <w:rFonts w:ascii="Times New Roman" w:eastAsia="Times New Roman" w:hAnsi="Times New Roman"/>
        </w:rPr>
        <w:t xml:space="preserve"> v rozsahu, aký sa očakával vzhľadom na vek skúmanej skupiny pacientov.</w:t>
      </w:r>
    </w:p>
    <w:p w:rsidR="00FD2D5B" w:rsidRPr="00C267BF" w:rsidRDefault="00FD2D5B" w:rsidP="00FD2D5B">
      <w:pPr>
        <w:spacing w:after="0" w:line="240" w:lineRule="auto"/>
        <w:rPr>
          <w:rFonts w:ascii="Times New Roman" w:hAnsi="Times New Roman"/>
          <w:b/>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5.3</w:t>
      </w:r>
      <w:r w:rsidRPr="00C267BF">
        <w:rPr>
          <w:rFonts w:ascii="Times New Roman" w:hAnsi="Times New Roman"/>
          <w:b/>
          <w:noProof/>
          <w:lang w:eastAsia="sk-SK"/>
        </w:rPr>
        <w:tab/>
        <w:t>Predklinické údaje o bezpečnosti</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09340A" w:rsidP="00FD2D5B">
      <w:pPr>
        <w:spacing w:after="0" w:line="240" w:lineRule="auto"/>
        <w:ind w:left="567" w:hanging="567"/>
        <w:rPr>
          <w:rFonts w:ascii="Times New Roman" w:hAnsi="Times New Roman"/>
          <w:noProof/>
          <w:u w:val="single"/>
          <w:lang w:eastAsia="sk-SK"/>
        </w:rPr>
      </w:pPr>
      <w:r w:rsidRPr="00C267BF">
        <w:rPr>
          <w:rFonts w:ascii="Times New Roman" w:hAnsi="Times New Roman"/>
          <w:noProof/>
          <w:u w:val="single"/>
          <w:lang w:eastAsia="sk-SK"/>
        </w:rPr>
        <w:t>Telmisartan/amlodipín</w:t>
      </w:r>
    </w:p>
    <w:p w:rsidR="0009340A" w:rsidRPr="00C267BF" w:rsidRDefault="0009340A" w:rsidP="00FD2D5B">
      <w:pPr>
        <w:spacing w:after="0" w:line="240" w:lineRule="auto"/>
        <w:rPr>
          <w:rFonts w:ascii="Times New Roman" w:hAnsi="Times New Roman"/>
          <w:noProof/>
          <w:lang w:eastAsia="sk-SK"/>
        </w:rPr>
      </w:pPr>
      <w:r w:rsidRPr="00C267BF">
        <w:rPr>
          <w:rFonts w:ascii="Times New Roman" w:hAnsi="Times New Roman"/>
          <w:noProof/>
          <w:lang w:eastAsia="sk-SK"/>
        </w:rPr>
        <w:t>Predklinické štúdie bezpečnosti vykonávané s kombináciou telmisartan / amlodipín sú obmedzené na 13-týždňov</w:t>
      </w:r>
      <w:r w:rsidR="004731EC" w:rsidRPr="00C267BF">
        <w:rPr>
          <w:rFonts w:ascii="Times New Roman" w:hAnsi="Times New Roman"/>
          <w:noProof/>
          <w:lang w:eastAsia="sk-SK"/>
        </w:rPr>
        <w:t xml:space="preserve">ú </w:t>
      </w:r>
      <w:r w:rsidR="00F97200" w:rsidRPr="00C267BF">
        <w:rPr>
          <w:rFonts w:ascii="Times New Roman" w:hAnsi="Times New Roman"/>
          <w:noProof/>
          <w:lang w:eastAsia="sk-SK"/>
        </w:rPr>
        <w:t>štúdiu toxicity s perorálne opakovanou dávkou u potkanov.</w:t>
      </w:r>
      <w:r w:rsidRPr="00C267BF">
        <w:rPr>
          <w:rFonts w:ascii="Times New Roman" w:hAnsi="Times New Roman"/>
          <w:noProof/>
          <w:lang w:eastAsia="sk-SK"/>
        </w:rPr>
        <w:t xml:space="preserve"> Neboli pozorované žiadne nové toxicity ani aditívne nepriaznivé účinky</w:t>
      </w:r>
      <w:r w:rsidR="00F97200" w:rsidRPr="00C267BF">
        <w:rPr>
          <w:rFonts w:ascii="Times New Roman" w:hAnsi="Times New Roman"/>
          <w:noProof/>
          <w:lang w:eastAsia="sk-SK"/>
        </w:rPr>
        <w:t>.</w:t>
      </w:r>
    </w:p>
    <w:p w:rsidR="0009340A" w:rsidRPr="00C267BF" w:rsidRDefault="0009340A" w:rsidP="00FD2D5B">
      <w:pPr>
        <w:spacing w:after="0" w:line="240" w:lineRule="auto"/>
        <w:rPr>
          <w:rFonts w:ascii="Times New Roman" w:hAnsi="Times New Roman"/>
          <w:noProof/>
          <w:lang w:eastAsia="sk-SK"/>
        </w:rPr>
      </w:pPr>
    </w:p>
    <w:p w:rsidR="0009340A" w:rsidRPr="00C267BF" w:rsidRDefault="007D7FF2" w:rsidP="00FD2D5B">
      <w:pPr>
        <w:spacing w:after="0" w:line="240" w:lineRule="auto"/>
        <w:rPr>
          <w:rFonts w:ascii="Times New Roman" w:hAnsi="Times New Roman"/>
          <w:noProof/>
          <w:u w:val="single"/>
          <w:lang w:eastAsia="sk-SK"/>
        </w:rPr>
      </w:pPr>
      <w:r w:rsidRPr="00C267BF">
        <w:rPr>
          <w:rFonts w:ascii="Times New Roman" w:hAnsi="Times New Roman"/>
          <w:noProof/>
          <w:u w:val="single"/>
          <w:lang w:eastAsia="sk-SK"/>
        </w:rPr>
        <w:t>Telmisartan</w:t>
      </w: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V predklinických štúdiách bezpečnosti s normotenznými zvieratami dávky porovnateľné s klinickým terapeutickým rozsahom vyvolávali zníženie parametrov červených krviniek (erytrocyty, hemoglobín, </w:t>
      </w:r>
      <w:r w:rsidRPr="00C267BF">
        <w:rPr>
          <w:rFonts w:ascii="Times New Roman" w:eastAsia="Times New Roman" w:hAnsi="Times New Roman"/>
          <w:lang w:eastAsia="sk-SK"/>
        </w:rPr>
        <w:lastRenderedPageBreak/>
        <w:t xml:space="preserve">hematokrit), zmeny v renálnej hemodynamike (zvýšený dusík močoviny v krvi a kreatinín), ako aj zvýšenie sérového draslíka. U psov bola pozorovaná dilatácia obličkových kanálikov a atrofia. U potkanov a psov sa tiež zaznamenalo poškodenie žalúdočnej sliznice (erózia, vredy alebo zápal). Týmto farmakologicky sprostredkovaným nežiaducim účinkom, známym z predklinických štúdií s inhibítormi ACE a antagonistami receptora angiotenzínu II, sa predchádzalo perorálnou náhradou soli. </w:t>
      </w: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U oboch druhov sa pozorovala zvýšená aktivita plazmatického renínu a hypertrofia/hyperplázia renálnych juxtaglomerulárnych buniek. Tieto zmeny, ako aj skupinový účinok inhibítorov ACE a iných antagonistov receptora angiotenzínu II, však zrejme nemajú klinický význam.</w:t>
      </w: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Nepozoroval sa priamy dôkaz teratogénneho účinku, ale  pozorovalo sa, že hladiny toxickej dávky telmisartanu majú mierny vplyv na postnatálny vývoj plodu, ako je nižšia telesná hmotnosť a oneskorené otvorenie očí.</w:t>
      </w: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C267BF" w:rsidRDefault="007D7FF2" w:rsidP="007D7FF2">
      <w:pPr>
        <w:autoSpaceDE w:val="0"/>
        <w:autoSpaceDN w:val="0"/>
        <w:adjustRightInd w:val="0"/>
        <w:spacing w:after="0" w:line="240" w:lineRule="auto"/>
        <w:rPr>
          <w:rFonts w:ascii="Times New Roman" w:eastAsia="Times New Roman" w:hAnsi="Times New Roman"/>
          <w:lang w:eastAsia="sk-SK"/>
        </w:rPr>
      </w:pPr>
      <w:r w:rsidRPr="00C267BF">
        <w:rPr>
          <w:rFonts w:ascii="Times New Roman" w:eastAsia="Times New Roman" w:hAnsi="Times New Roman"/>
          <w:lang w:eastAsia="sk-SK"/>
        </w:rPr>
        <w:t xml:space="preserve">Nedokázala sa mutagenita a významná klastogénna aktivita v štúdiách </w:t>
      </w:r>
      <w:r w:rsidRPr="00C267BF">
        <w:rPr>
          <w:rFonts w:ascii="Times New Roman" w:eastAsia="Times New Roman" w:hAnsi="Times New Roman"/>
          <w:i/>
          <w:iCs/>
          <w:lang w:eastAsia="sk-SK"/>
        </w:rPr>
        <w:t xml:space="preserve">in vitro </w:t>
      </w:r>
      <w:r w:rsidRPr="00C267BF">
        <w:rPr>
          <w:rFonts w:ascii="Times New Roman" w:eastAsia="Times New Roman" w:hAnsi="Times New Roman"/>
          <w:lang w:eastAsia="sk-SK"/>
        </w:rPr>
        <w:t>ani karcinogenita u potkanov a myší.</w:t>
      </w:r>
    </w:p>
    <w:p w:rsidR="00FD2D5B" w:rsidRPr="00C267BF" w:rsidRDefault="00FD2D5B" w:rsidP="00FD2D5B">
      <w:pPr>
        <w:spacing w:after="0" w:line="240" w:lineRule="auto"/>
        <w:rPr>
          <w:rFonts w:ascii="Times New Roman" w:hAnsi="Times New Roman"/>
          <w:lang w:eastAsia="sk-SK"/>
        </w:rPr>
      </w:pPr>
    </w:p>
    <w:p w:rsidR="00FD2D5B" w:rsidRPr="00C267BF" w:rsidRDefault="00FD2D5B" w:rsidP="00FD2D5B">
      <w:pPr>
        <w:spacing w:after="0" w:line="240" w:lineRule="auto"/>
        <w:rPr>
          <w:rFonts w:ascii="Times New Roman" w:hAnsi="Times New Roman"/>
          <w:u w:val="single"/>
          <w:lang w:eastAsia="sk-SK"/>
        </w:rPr>
      </w:pPr>
      <w:r w:rsidRPr="00C267BF">
        <w:rPr>
          <w:rFonts w:ascii="Times New Roman" w:hAnsi="Times New Roman"/>
          <w:u w:val="single"/>
          <w:lang w:eastAsia="sk-SK"/>
        </w:rPr>
        <w:t>Amlodipín</w:t>
      </w:r>
    </w:p>
    <w:p w:rsidR="007D7FF2" w:rsidRPr="00C267BF" w:rsidRDefault="007D7FF2" w:rsidP="007D7FF2">
      <w:pPr>
        <w:autoSpaceDE w:val="0"/>
        <w:autoSpaceDN w:val="0"/>
        <w:adjustRightInd w:val="0"/>
        <w:spacing w:after="0" w:line="240" w:lineRule="auto"/>
        <w:rPr>
          <w:rFonts w:ascii="Times New Roman" w:hAnsi="Times New Roman"/>
          <w:i/>
          <w:lang w:eastAsia="sk-SK"/>
        </w:rPr>
      </w:pPr>
    </w:p>
    <w:p w:rsidR="00FD2D5B" w:rsidRPr="00C267BF" w:rsidRDefault="00FD2D5B" w:rsidP="007D7FF2">
      <w:pPr>
        <w:autoSpaceDE w:val="0"/>
        <w:autoSpaceDN w:val="0"/>
        <w:adjustRightInd w:val="0"/>
        <w:spacing w:after="0" w:line="240" w:lineRule="auto"/>
        <w:rPr>
          <w:rFonts w:ascii="Times New Roman" w:hAnsi="Times New Roman"/>
          <w:i/>
          <w:lang w:eastAsia="sk-SK"/>
        </w:rPr>
      </w:pPr>
      <w:r w:rsidRPr="00C267BF">
        <w:rPr>
          <w:rFonts w:ascii="Times New Roman" w:hAnsi="Times New Roman"/>
          <w:i/>
          <w:lang w:eastAsia="sk-SK"/>
        </w:rPr>
        <w:t>Reprodukčná toxikológia</w:t>
      </w:r>
    </w:p>
    <w:p w:rsidR="00FD2D5B" w:rsidRPr="00C267BF" w:rsidRDefault="00FD2D5B" w:rsidP="007D7FF2">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Reprodukčné štúdie na potkanoch a myšiach preukázali oneskorený dátum pôrodu, predĺžené trvanie pôrodu a znížený počet prežívajúcich mláďat pri dávkach približne 50 – krát vyšších ako je maximálna odporúčaná dávka pre ľudí vyjadrená v mg/kg.</w:t>
      </w:r>
    </w:p>
    <w:p w:rsidR="007D7FF2" w:rsidRPr="00C267BF" w:rsidRDefault="007D7FF2" w:rsidP="007D7FF2">
      <w:pPr>
        <w:autoSpaceDE w:val="0"/>
        <w:autoSpaceDN w:val="0"/>
        <w:adjustRightInd w:val="0"/>
        <w:spacing w:after="0" w:line="240" w:lineRule="auto"/>
        <w:rPr>
          <w:rFonts w:ascii="Times New Roman" w:hAnsi="Times New Roman"/>
          <w:i/>
          <w:lang w:eastAsia="sk-SK"/>
        </w:rPr>
      </w:pPr>
    </w:p>
    <w:p w:rsidR="00FD2D5B" w:rsidRPr="00C267BF" w:rsidRDefault="00FD2D5B" w:rsidP="007D7FF2">
      <w:pPr>
        <w:autoSpaceDE w:val="0"/>
        <w:autoSpaceDN w:val="0"/>
        <w:adjustRightInd w:val="0"/>
        <w:spacing w:after="0" w:line="240" w:lineRule="auto"/>
        <w:rPr>
          <w:rFonts w:ascii="Times New Roman" w:hAnsi="Times New Roman"/>
          <w:i/>
          <w:lang w:eastAsia="sk-SK"/>
        </w:rPr>
      </w:pPr>
      <w:r w:rsidRPr="00C267BF">
        <w:rPr>
          <w:rFonts w:ascii="Times New Roman" w:hAnsi="Times New Roman"/>
          <w:i/>
          <w:lang w:eastAsia="sk-SK"/>
        </w:rPr>
        <w:t>Poruchy plodnosti</w:t>
      </w:r>
    </w:p>
    <w:p w:rsidR="00FD2D5B" w:rsidRPr="00C267BF" w:rsidRDefault="00FD2D5B" w:rsidP="007D7FF2">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Nepreukázal sa žiadny účinok na plodnosť potkanov liečených amlodipínom (samce 64 dní a samice 14 dní pred párením) v dávkach až do 10 mg/kg/deň (8 násobok* maximálnej odporúčanej dávky u ľudí rovnajúcej sa 10 mg po prepočítaní na mg/m</w:t>
      </w:r>
      <w:r w:rsidRPr="00C267BF">
        <w:rPr>
          <w:rFonts w:ascii="Times New Roman" w:hAnsi="Times New Roman"/>
          <w:vertAlign w:val="superscript"/>
          <w:lang w:eastAsia="sk-SK"/>
        </w:rPr>
        <w:t xml:space="preserve">2 </w:t>
      </w:r>
      <w:r w:rsidRPr="00C267BF">
        <w:rPr>
          <w:rFonts w:ascii="Times New Roman" w:hAnsi="Times New Roman"/>
          <w:lang w:eastAsia="sk-SK"/>
        </w:rPr>
        <w:t>povrchu). V inej štúdii na potkanoch, v ktorej boli samce potkanov liečené amlodipín</w:t>
      </w:r>
      <w:r w:rsidR="008C292E" w:rsidRPr="00C267BF">
        <w:rPr>
          <w:rFonts w:ascii="Times New Roman" w:hAnsi="Times New Roman"/>
          <w:lang w:eastAsia="sk-SK"/>
        </w:rPr>
        <w:t>ium</w:t>
      </w:r>
      <w:r w:rsidR="00450D2E" w:rsidRPr="00C267BF">
        <w:rPr>
          <w:rFonts w:ascii="Times New Roman" w:hAnsi="Times New Roman"/>
          <w:lang w:eastAsia="sk-SK"/>
        </w:rPr>
        <w:t>b</w:t>
      </w:r>
      <w:r w:rsidRPr="00C267BF">
        <w:rPr>
          <w:rFonts w:ascii="Times New Roman" w:hAnsi="Times New Roman"/>
          <w:lang w:eastAsia="sk-SK"/>
        </w:rPr>
        <w:t>esilátom 30 dní dávkou porovnat</w:t>
      </w:r>
      <w:r w:rsidR="00450D2E" w:rsidRPr="00C267BF">
        <w:rPr>
          <w:rFonts w:ascii="Times New Roman" w:hAnsi="Times New Roman"/>
          <w:lang w:eastAsia="sk-SK"/>
        </w:rPr>
        <w:t>eľnou s dávkou u ľudí vyjadrenou</w:t>
      </w:r>
      <w:r w:rsidRPr="00C267BF">
        <w:rPr>
          <w:rFonts w:ascii="Times New Roman" w:hAnsi="Times New Roman"/>
          <w:lang w:eastAsia="sk-SK"/>
        </w:rPr>
        <w:t xml:space="preserve"> v mg/kg, boli v plazme zistené poklesy hormónu stimulujúceho folikuly a testosterónu, rovnako ako zníženie hustoty spermií a počtu zrelých spermatoblastov a Sertoliho podporných buniek.</w:t>
      </w:r>
    </w:p>
    <w:p w:rsidR="007D7FF2" w:rsidRPr="00C267BF" w:rsidRDefault="007D7FF2" w:rsidP="007D7FF2">
      <w:pPr>
        <w:autoSpaceDE w:val="0"/>
        <w:autoSpaceDN w:val="0"/>
        <w:adjustRightInd w:val="0"/>
        <w:spacing w:after="0" w:line="240" w:lineRule="auto"/>
        <w:rPr>
          <w:rFonts w:ascii="Times New Roman" w:hAnsi="Times New Roman"/>
          <w:i/>
          <w:lang w:eastAsia="sk-SK"/>
        </w:rPr>
      </w:pPr>
    </w:p>
    <w:p w:rsidR="00FD2D5B" w:rsidRPr="00C267BF" w:rsidRDefault="00FD2D5B" w:rsidP="007D7FF2">
      <w:pPr>
        <w:autoSpaceDE w:val="0"/>
        <w:autoSpaceDN w:val="0"/>
        <w:adjustRightInd w:val="0"/>
        <w:spacing w:after="0" w:line="240" w:lineRule="auto"/>
        <w:rPr>
          <w:rFonts w:ascii="Times New Roman" w:hAnsi="Times New Roman"/>
          <w:i/>
          <w:lang w:eastAsia="sk-SK"/>
        </w:rPr>
      </w:pPr>
      <w:r w:rsidRPr="00C267BF">
        <w:rPr>
          <w:rFonts w:ascii="Times New Roman" w:hAnsi="Times New Roman"/>
          <w:i/>
          <w:lang w:eastAsia="sk-SK"/>
        </w:rPr>
        <w:t>Karcinogenéza, mutagenéza</w:t>
      </w:r>
    </w:p>
    <w:p w:rsidR="00FD2D5B" w:rsidRPr="00C267BF" w:rsidRDefault="00FD2D5B" w:rsidP="007D7FF2">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U potkanov a myší užívajúcich amlodipín v potrave po dobu dvoch rokov v koncentráciách prepočítaných tak, aby sa zabezpečili denné dávky 0,5; 1,25 a 2,5 mg/kg/deň, sa nepreukázali žiadne dôkazy o jeho karcinogenite. Najvyššia dávka (pre myši približne rovnaká a pre potkany rovnajúca sa dvojnásobnej</w:t>
      </w:r>
      <w:r w:rsidRPr="00C267BF">
        <w:rPr>
          <w:rFonts w:ascii="Times New Roman" w:hAnsi="Times New Roman"/>
          <w:vertAlign w:val="superscript"/>
          <w:lang w:eastAsia="sk-SK"/>
        </w:rPr>
        <w:t>*</w:t>
      </w:r>
      <w:r w:rsidRPr="00C267BF">
        <w:rPr>
          <w:rFonts w:ascii="Times New Roman" w:hAnsi="Times New Roman"/>
          <w:lang w:eastAsia="sk-SK"/>
        </w:rPr>
        <w:t xml:space="preserve"> maximálnej odporúčanej klinickej dávke 10 mg po prepočítaní na mg/m</w:t>
      </w:r>
      <w:r w:rsidRPr="00C267BF">
        <w:rPr>
          <w:rFonts w:ascii="Times New Roman" w:hAnsi="Times New Roman"/>
          <w:vertAlign w:val="superscript"/>
          <w:lang w:eastAsia="sk-SK"/>
        </w:rPr>
        <w:t xml:space="preserve">2 </w:t>
      </w:r>
      <w:r w:rsidRPr="00C267BF">
        <w:rPr>
          <w:rFonts w:ascii="Times New Roman" w:hAnsi="Times New Roman"/>
          <w:lang w:eastAsia="sk-SK"/>
        </w:rPr>
        <w:t>povrchu) sa blížila maximálnej tolerovanej dávke pre myši, ale nie pre potkany.</w:t>
      </w:r>
    </w:p>
    <w:p w:rsidR="007D7FF2" w:rsidRPr="00C267BF" w:rsidRDefault="007D7FF2" w:rsidP="00FD2D5B">
      <w:pPr>
        <w:autoSpaceDE w:val="0"/>
        <w:autoSpaceDN w:val="0"/>
        <w:adjustRightInd w:val="0"/>
        <w:spacing w:after="0" w:line="240" w:lineRule="auto"/>
        <w:rPr>
          <w:rFonts w:ascii="Times New Roman" w:hAnsi="Times New Roman"/>
          <w:lang w:eastAsia="sk-SK"/>
        </w:rPr>
      </w:pPr>
    </w:p>
    <w:p w:rsidR="00FD2D5B" w:rsidRPr="00C267BF" w:rsidRDefault="00FD2D5B" w:rsidP="00FD2D5B">
      <w:pPr>
        <w:autoSpaceDE w:val="0"/>
        <w:autoSpaceDN w:val="0"/>
        <w:adjustRightInd w:val="0"/>
        <w:spacing w:after="0" w:line="240" w:lineRule="auto"/>
        <w:rPr>
          <w:rFonts w:ascii="Times New Roman" w:hAnsi="Times New Roman"/>
          <w:lang w:eastAsia="sk-SK"/>
        </w:rPr>
      </w:pPr>
      <w:r w:rsidRPr="00C267BF">
        <w:rPr>
          <w:rFonts w:ascii="Times New Roman" w:hAnsi="Times New Roman"/>
          <w:lang w:eastAsia="sk-SK"/>
        </w:rPr>
        <w:t>Štúdie mutagenity neodhalili žiadne účinky súvisiace s liekom ani na génovej, ani na</w:t>
      </w:r>
      <w:r w:rsidR="00450D2E" w:rsidRPr="00C267BF">
        <w:rPr>
          <w:rFonts w:ascii="Times New Roman" w:hAnsi="Times New Roman"/>
          <w:lang w:eastAsia="sk-SK"/>
        </w:rPr>
        <w:t xml:space="preserve"> chromozo</w:t>
      </w:r>
      <w:r w:rsidRPr="00C267BF">
        <w:rPr>
          <w:rFonts w:ascii="Times New Roman" w:hAnsi="Times New Roman"/>
          <w:lang w:eastAsia="sk-SK"/>
        </w:rPr>
        <w:t>málnej úrovni.</w:t>
      </w:r>
    </w:p>
    <w:p w:rsidR="00FD2D5B" w:rsidRPr="00C267BF" w:rsidRDefault="00FD2D5B" w:rsidP="00FD2D5B">
      <w:pPr>
        <w:autoSpaceDE w:val="0"/>
        <w:autoSpaceDN w:val="0"/>
        <w:adjustRightInd w:val="0"/>
        <w:spacing w:after="0" w:line="240" w:lineRule="auto"/>
        <w:rPr>
          <w:rFonts w:ascii="Times New Roman" w:hAnsi="Times New Roman"/>
          <w:lang w:eastAsia="sk-SK"/>
        </w:rPr>
      </w:pPr>
      <w:r w:rsidRPr="00C267BF">
        <w:rPr>
          <w:rFonts w:ascii="Times New Roman" w:hAnsi="Times New Roman"/>
          <w:vertAlign w:val="superscript"/>
          <w:lang w:eastAsia="sk-SK"/>
        </w:rPr>
        <w:t xml:space="preserve">* </w:t>
      </w:r>
      <w:r w:rsidRPr="00C267BF">
        <w:rPr>
          <w:rFonts w:ascii="Times New Roman" w:hAnsi="Times New Roman"/>
          <w:lang w:eastAsia="sk-SK"/>
        </w:rPr>
        <w:t>Pri telesnej hmotnosti pacienta 50 kg.</w:t>
      </w:r>
    </w:p>
    <w:p w:rsidR="00FD2D5B" w:rsidRPr="00C267BF" w:rsidRDefault="00FD2D5B" w:rsidP="00FD2D5B">
      <w:pPr>
        <w:spacing w:after="0" w:line="240" w:lineRule="auto"/>
        <w:rPr>
          <w:rFonts w:ascii="Times New Roman" w:hAnsi="Times New Roman"/>
          <w:noProof/>
          <w:lang w:eastAsia="sk-SK"/>
        </w:rPr>
      </w:pPr>
    </w:p>
    <w:p w:rsidR="007D7FF2" w:rsidRPr="00C267BF" w:rsidRDefault="007D7FF2" w:rsidP="00FD2D5B">
      <w:pPr>
        <w:spacing w:after="0" w:line="240" w:lineRule="auto"/>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b/>
          <w:noProof/>
          <w:lang w:eastAsia="sk-SK"/>
        </w:rPr>
      </w:pPr>
      <w:r w:rsidRPr="00C267BF">
        <w:rPr>
          <w:rFonts w:ascii="Times New Roman" w:hAnsi="Times New Roman"/>
          <w:b/>
          <w:noProof/>
          <w:lang w:eastAsia="sk-SK"/>
        </w:rPr>
        <w:t>6.</w:t>
      </w:r>
      <w:r w:rsidRPr="00C267BF">
        <w:rPr>
          <w:rFonts w:ascii="Times New Roman" w:hAnsi="Times New Roman"/>
          <w:b/>
          <w:noProof/>
          <w:lang w:eastAsia="sk-SK"/>
        </w:rPr>
        <w:tab/>
        <w:t>FARMACEUTICKÉ INFORMÁCIE</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6.1</w:t>
      </w:r>
      <w:r w:rsidRPr="00C267BF">
        <w:rPr>
          <w:rFonts w:ascii="Times New Roman" w:hAnsi="Times New Roman"/>
          <w:b/>
          <w:noProof/>
          <w:lang w:eastAsia="sk-SK"/>
        </w:rPr>
        <w:tab/>
        <w:t>Zoznam pomocných látok</w:t>
      </w:r>
    </w:p>
    <w:p w:rsidR="00FD2D5B" w:rsidRPr="00C267BF" w:rsidRDefault="00FD2D5B" w:rsidP="00FD2D5B">
      <w:pPr>
        <w:spacing w:after="0" w:line="240" w:lineRule="auto"/>
        <w:ind w:left="567" w:hanging="567"/>
        <w:rPr>
          <w:rFonts w:ascii="Times New Roman" w:hAnsi="Times New Roman"/>
          <w:noProof/>
          <w:lang w:eastAsia="sk-SK"/>
        </w:rPr>
      </w:pPr>
    </w:p>
    <w:p w:rsidR="007D7FF2" w:rsidRPr="009B2AFB" w:rsidRDefault="00AC2070" w:rsidP="007D7FF2">
      <w:pPr>
        <w:keepNext/>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s</w:t>
      </w:r>
      <w:r w:rsidR="007D7FF2" w:rsidRPr="009B2AFB">
        <w:rPr>
          <w:rFonts w:ascii="Times New Roman" w:eastAsia="Times New Roman" w:hAnsi="Times New Roman"/>
        </w:rPr>
        <w:t>orbitol</w:t>
      </w:r>
      <w:proofErr w:type="spellEnd"/>
      <w:r w:rsidR="007D7FF2" w:rsidRPr="009B2AFB">
        <w:rPr>
          <w:rFonts w:ascii="Times New Roman" w:eastAsia="Times New Roman" w:hAnsi="Times New Roman"/>
        </w:rPr>
        <w:t xml:space="preserve"> (E420)</w:t>
      </w:r>
    </w:p>
    <w:p w:rsidR="007D7FF2" w:rsidRPr="00665C1F" w:rsidRDefault="00AC2070" w:rsidP="00FD2D5B">
      <w:pPr>
        <w:spacing w:after="0" w:line="240" w:lineRule="auto"/>
        <w:rPr>
          <w:rFonts w:ascii="Times New Roman" w:hAnsi="Times New Roman"/>
          <w:lang w:eastAsia="sk-SK"/>
        </w:rPr>
      </w:pPr>
      <w:r>
        <w:rPr>
          <w:rFonts w:ascii="Times New Roman" w:hAnsi="Times New Roman"/>
          <w:lang w:eastAsia="sk-SK"/>
        </w:rPr>
        <w:t>h</w:t>
      </w:r>
      <w:r w:rsidR="007D7FF2" w:rsidRPr="00C267BF">
        <w:rPr>
          <w:rFonts w:ascii="Times New Roman" w:hAnsi="Times New Roman"/>
          <w:lang w:eastAsia="sk-SK"/>
        </w:rPr>
        <w:t>ydroxid sodný</w:t>
      </w:r>
    </w:p>
    <w:p w:rsidR="007D7FF2" w:rsidRPr="00C267BF" w:rsidRDefault="00AC2070" w:rsidP="00FD2D5B">
      <w:pPr>
        <w:spacing w:after="0" w:line="240" w:lineRule="auto"/>
        <w:rPr>
          <w:rFonts w:ascii="Times New Roman" w:hAnsi="Times New Roman"/>
          <w:lang w:eastAsia="sk-SK"/>
        </w:rPr>
      </w:pPr>
      <w:proofErr w:type="spellStart"/>
      <w:r>
        <w:rPr>
          <w:rFonts w:ascii="Times New Roman" w:hAnsi="Times New Roman"/>
          <w:lang w:eastAsia="sk-SK"/>
        </w:rPr>
        <w:t>p</w:t>
      </w:r>
      <w:r w:rsidR="007D7FF2" w:rsidRPr="00C267BF">
        <w:rPr>
          <w:rFonts w:ascii="Times New Roman" w:hAnsi="Times New Roman"/>
          <w:lang w:eastAsia="sk-SK"/>
        </w:rPr>
        <w:t>ovidón</w:t>
      </w:r>
      <w:proofErr w:type="spellEnd"/>
      <w:r w:rsidR="007D7FF2" w:rsidRPr="00C267BF">
        <w:rPr>
          <w:rFonts w:ascii="Times New Roman" w:hAnsi="Times New Roman"/>
          <w:lang w:eastAsia="sk-SK"/>
        </w:rPr>
        <w:t xml:space="preserve"> K25</w:t>
      </w:r>
    </w:p>
    <w:p w:rsidR="00FD2D5B" w:rsidRPr="00C267BF" w:rsidRDefault="00AC2070" w:rsidP="00FD2D5B">
      <w:pPr>
        <w:spacing w:after="0" w:line="240" w:lineRule="auto"/>
        <w:rPr>
          <w:rFonts w:ascii="Times New Roman" w:hAnsi="Times New Roman"/>
          <w:lang w:eastAsia="sk-SK"/>
        </w:rPr>
      </w:pPr>
      <w:r>
        <w:rPr>
          <w:rFonts w:ascii="Times New Roman" w:hAnsi="Times New Roman"/>
          <w:lang w:eastAsia="sk-SK"/>
        </w:rPr>
        <w:t>m</w:t>
      </w:r>
      <w:r w:rsidR="00FD2D5B" w:rsidRPr="00C267BF">
        <w:rPr>
          <w:rFonts w:ascii="Times New Roman" w:hAnsi="Times New Roman"/>
          <w:lang w:eastAsia="sk-SK"/>
        </w:rPr>
        <w:t xml:space="preserve">ikrokryštalická celulóza </w:t>
      </w:r>
    </w:p>
    <w:p w:rsidR="007D7FF2" w:rsidRPr="00C267BF" w:rsidRDefault="00AC2070" w:rsidP="00FD2D5B">
      <w:pPr>
        <w:spacing w:after="0" w:line="240" w:lineRule="auto"/>
        <w:rPr>
          <w:rFonts w:ascii="Times New Roman" w:hAnsi="Times New Roman"/>
          <w:lang w:eastAsia="sk-SK"/>
        </w:rPr>
      </w:pPr>
      <w:proofErr w:type="spellStart"/>
      <w:r>
        <w:rPr>
          <w:rFonts w:ascii="Times New Roman" w:hAnsi="Times New Roman"/>
          <w:lang w:eastAsia="sk-SK"/>
        </w:rPr>
        <w:t>d</w:t>
      </w:r>
      <w:r w:rsidRPr="00C267BF">
        <w:rPr>
          <w:rFonts w:ascii="Times New Roman" w:hAnsi="Times New Roman"/>
          <w:lang w:eastAsia="sk-SK"/>
        </w:rPr>
        <w:t>ihydrát</w:t>
      </w:r>
      <w:proofErr w:type="spellEnd"/>
      <w:r w:rsidRPr="00C267BF">
        <w:rPr>
          <w:rFonts w:ascii="Times New Roman" w:hAnsi="Times New Roman"/>
          <w:lang w:eastAsia="sk-SK"/>
        </w:rPr>
        <w:t xml:space="preserve"> </w:t>
      </w:r>
      <w:r w:rsidR="007D7FF2" w:rsidRPr="00C267BF">
        <w:rPr>
          <w:rFonts w:ascii="Times New Roman" w:hAnsi="Times New Roman"/>
          <w:lang w:eastAsia="sk-SK"/>
        </w:rPr>
        <w:t>fosforečnanu vápenatého</w:t>
      </w:r>
    </w:p>
    <w:p w:rsidR="007D7FF2" w:rsidRPr="00C267BF" w:rsidRDefault="00AC2070" w:rsidP="00FD2D5B">
      <w:pPr>
        <w:spacing w:after="0" w:line="240" w:lineRule="auto"/>
        <w:rPr>
          <w:rFonts w:ascii="Times New Roman" w:hAnsi="Times New Roman"/>
          <w:lang w:eastAsia="sk-SK"/>
        </w:rPr>
      </w:pPr>
      <w:proofErr w:type="spellStart"/>
      <w:r>
        <w:rPr>
          <w:rFonts w:ascii="Times New Roman" w:hAnsi="Times New Roman"/>
          <w:lang w:eastAsia="sk-SK"/>
        </w:rPr>
        <w:t>m</w:t>
      </w:r>
      <w:r w:rsidRPr="00C267BF">
        <w:rPr>
          <w:rFonts w:ascii="Times New Roman" w:hAnsi="Times New Roman"/>
          <w:lang w:eastAsia="sk-SK"/>
        </w:rPr>
        <w:t>eglumín</w:t>
      </w:r>
      <w:proofErr w:type="spellEnd"/>
    </w:p>
    <w:p w:rsidR="00FD2D5B" w:rsidRPr="00C267BF" w:rsidRDefault="00AC2070" w:rsidP="00FD2D5B">
      <w:pPr>
        <w:spacing w:after="0" w:line="240" w:lineRule="auto"/>
        <w:rPr>
          <w:rFonts w:ascii="Times New Roman" w:hAnsi="Times New Roman"/>
          <w:lang w:eastAsia="sk-SK"/>
        </w:rPr>
      </w:pPr>
      <w:proofErr w:type="spellStart"/>
      <w:r>
        <w:rPr>
          <w:rFonts w:ascii="Times New Roman" w:hAnsi="Times New Roman"/>
          <w:lang w:eastAsia="sk-SK"/>
        </w:rPr>
        <w:t>s</w:t>
      </w:r>
      <w:r w:rsidR="007E3331">
        <w:rPr>
          <w:rFonts w:ascii="Times New Roman" w:hAnsi="Times New Roman"/>
          <w:lang w:eastAsia="sk-SK"/>
        </w:rPr>
        <w:t>tearan</w:t>
      </w:r>
      <w:proofErr w:type="spellEnd"/>
      <w:r w:rsidR="007E3331">
        <w:rPr>
          <w:rFonts w:ascii="Times New Roman" w:hAnsi="Times New Roman"/>
          <w:lang w:eastAsia="sk-SK"/>
        </w:rPr>
        <w:t xml:space="preserve"> </w:t>
      </w:r>
      <w:proofErr w:type="spellStart"/>
      <w:r w:rsidR="007E3331">
        <w:rPr>
          <w:rFonts w:ascii="Times New Roman" w:hAnsi="Times New Roman"/>
          <w:lang w:eastAsia="sk-SK"/>
        </w:rPr>
        <w:t>horečnatý</w:t>
      </w:r>
      <w:proofErr w:type="spellEnd"/>
      <w:r w:rsidR="00FD2D5B" w:rsidRPr="00C267BF">
        <w:rPr>
          <w:rFonts w:ascii="Times New Roman" w:hAnsi="Times New Roman"/>
          <w:lang w:eastAsia="sk-SK"/>
        </w:rPr>
        <w:t xml:space="preserve"> </w:t>
      </w:r>
    </w:p>
    <w:p w:rsidR="00FD2D5B" w:rsidRPr="00C267BF" w:rsidRDefault="00FD2D5B" w:rsidP="00FD2D5B">
      <w:pPr>
        <w:spacing w:after="0" w:line="240" w:lineRule="auto"/>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6.2</w:t>
      </w:r>
      <w:r w:rsidRPr="00C267BF">
        <w:rPr>
          <w:rFonts w:ascii="Times New Roman" w:hAnsi="Times New Roman"/>
          <w:b/>
          <w:noProof/>
          <w:lang w:eastAsia="sk-SK"/>
        </w:rPr>
        <w:tab/>
        <w:t>Inkompatibility</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Neaplikovateľné.</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6.3</w:t>
      </w:r>
      <w:r w:rsidRPr="00C267BF">
        <w:rPr>
          <w:rFonts w:ascii="Times New Roman" w:hAnsi="Times New Roman"/>
          <w:b/>
          <w:noProof/>
          <w:lang w:eastAsia="sk-SK"/>
        </w:rPr>
        <w:tab/>
        <w:t>Čas použiteľnosti</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7837CA" w:rsidP="00FD2D5B">
      <w:pPr>
        <w:spacing w:after="0" w:line="240" w:lineRule="auto"/>
        <w:ind w:left="540" w:hanging="540"/>
        <w:rPr>
          <w:rFonts w:ascii="Times New Roman" w:hAnsi="Times New Roman"/>
          <w:noProof/>
          <w:lang w:eastAsia="sk-SK"/>
        </w:rPr>
      </w:pPr>
      <w:r w:rsidRPr="00C267BF">
        <w:rPr>
          <w:rFonts w:ascii="Times New Roman" w:hAnsi="Times New Roman"/>
          <w:noProof/>
          <w:lang w:eastAsia="sk-SK"/>
        </w:rPr>
        <w:t>2</w:t>
      </w:r>
      <w:r w:rsidR="00FD2D5B" w:rsidRPr="00C267BF">
        <w:rPr>
          <w:rFonts w:ascii="Times New Roman" w:hAnsi="Times New Roman"/>
          <w:noProof/>
          <w:lang w:eastAsia="sk-SK"/>
        </w:rPr>
        <w:t> roky</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6.4</w:t>
      </w:r>
      <w:r w:rsidRPr="00C267BF">
        <w:rPr>
          <w:rFonts w:ascii="Times New Roman" w:hAnsi="Times New Roman"/>
          <w:b/>
          <w:noProof/>
          <w:lang w:eastAsia="sk-SK"/>
        </w:rPr>
        <w:tab/>
        <w:t>Špeciálne upozornenia na uchovávanie</w:t>
      </w:r>
    </w:p>
    <w:p w:rsidR="00FD2D5B" w:rsidRPr="00C267BF" w:rsidRDefault="00FD2D5B" w:rsidP="00FD2D5B">
      <w:pPr>
        <w:spacing w:after="0" w:line="240" w:lineRule="auto"/>
        <w:ind w:left="567" w:hanging="567"/>
        <w:rPr>
          <w:rFonts w:ascii="Times New Roman" w:hAnsi="Times New Roman"/>
          <w:bCs/>
          <w:iCs/>
          <w:lang w:eastAsia="sk-SK"/>
        </w:rPr>
      </w:pPr>
    </w:p>
    <w:p w:rsidR="00FD2D5B" w:rsidRPr="00C267BF" w:rsidRDefault="007837CA"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 xml:space="preserve">Uchovávajte pri teplote do 25 </w:t>
      </w:r>
      <w:r w:rsidRPr="00C267BF">
        <w:rPr>
          <w:rFonts w:ascii="Times New Roman" w:hAnsi="Times New Roman"/>
          <w:noProof/>
          <w:vertAlign w:val="superscript"/>
          <w:lang w:eastAsia="sk-SK"/>
        </w:rPr>
        <w:t>o</w:t>
      </w:r>
      <w:r w:rsidRPr="00C267BF">
        <w:rPr>
          <w:rFonts w:ascii="Times New Roman" w:hAnsi="Times New Roman"/>
          <w:noProof/>
          <w:lang w:eastAsia="sk-SK"/>
        </w:rPr>
        <w:t>C v pôvodnom obale na ochranu pred svetlom.</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6.5</w:t>
      </w:r>
      <w:r w:rsidRPr="00C267BF">
        <w:rPr>
          <w:rFonts w:ascii="Times New Roman" w:hAnsi="Times New Roman"/>
          <w:b/>
          <w:noProof/>
          <w:lang w:eastAsia="sk-SK"/>
        </w:rPr>
        <w:tab/>
        <w:t xml:space="preserve">Druh obalu a obsah balenia </w:t>
      </w:r>
    </w:p>
    <w:p w:rsidR="00FD2D5B" w:rsidRPr="00C267BF" w:rsidRDefault="00FD2D5B" w:rsidP="00FD2D5B">
      <w:pPr>
        <w:spacing w:after="0" w:line="240" w:lineRule="auto"/>
        <w:ind w:left="567" w:hanging="567"/>
        <w:rPr>
          <w:rFonts w:ascii="Times New Roman" w:hAnsi="Times New Roman"/>
          <w:noProof/>
          <w:lang w:eastAsia="sk-SK"/>
        </w:rPr>
      </w:pPr>
    </w:p>
    <w:p w:rsidR="007837CA" w:rsidRPr="00C267BF" w:rsidRDefault="007837CA" w:rsidP="007837CA">
      <w:pPr>
        <w:tabs>
          <w:tab w:val="left" w:pos="7080"/>
        </w:tabs>
        <w:spacing w:after="0" w:line="240" w:lineRule="auto"/>
        <w:rPr>
          <w:rFonts w:ascii="Times New Roman" w:hAnsi="Times New Roman"/>
          <w:lang w:eastAsia="sk-SK"/>
        </w:rPr>
      </w:pPr>
      <w:r w:rsidRPr="00C267BF">
        <w:rPr>
          <w:rFonts w:ascii="Times New Roman" w:hAnsi="Times New Roman"/>
          <w:lang w:eastAsia="sk-SK"/>
        </w:rPr>
        <w:t>OPA/</w:t>
      </w:r>
      <w:proofErr w:type="spellStart"/>
      <w:r w:rsidRPr="00C267BF">
        <w:rPr>
          <w:rFonts w:ascii="Times New Roman" w:hAnsi="Times New Roman"/>
          <w:lang w:eastAsia="sk-SK"/>
        </w:rPr>
        <w:t>Al</w:t>
      </w:r>
      <w:proofErr w:type="spellEnd"/>
      <w:r w:rsidRPr="00C267BF">
        <w:rPr>
          <w:rFonts w:ascii="Times New Roman" w:hAnsi="Times New Roman"/>
          <w:lang w:eastAsia="sk-SK"/>
        </w:rPr>
        <w:t>/PVC/</w:t>
      </w:r>
      <w:proofErr w:type="spellStart"/>
      <w:r w:rsidRPr="00C267BF">
        <w:rPr>
          <w:rFonts w:ascii="Times New Roman" w:hAnsi="Times New Roman"/>
          <w:lang w:eastAsia="sk-SK"/>
        </w:rPr>
        <w:t>Al</w:t>
      </w:r>
      <w:proofErr w:type="spellEnd"/>
      <w:r w:rsidRPr="00C267BF">
        <w:rPr>
          <w:rFonts w:ascii="Times New Roman" w:hAnsi="Times New Roman"/>
          <w:lang w:eastAsia="sk-SK"/>
        </w:rPr>
        <w:t xml:space="preserve"> </w:t>
      </w:r>
      <w:proofErr w:type="spellStart"/>
      <w:r w:rsidRPr="00C267BF">
        <w:rPr>
          <w:rFonts w:ascii="Times New Roman" w:hAnsi="Times New Roman"/>
          <w:lang w:eastAsia="sk-SK"/>
        </w:rPr>
        <w:t>blister</w:t>
      </w:r>
      <w:proofErr w:type="spellEnd"/>
      <w:r w:rsidRPr="00C267BF">
        <w:rPr>
          <w:rFonts w:ascii="Times New Roman" w:hAnsi="Times New Roman"/>
          <w:lang w:eastAsia="sk-SK"/>
        </w:rPr>
        <w:t xml:space="preserve">, papierová skladacia </w:t>
      </w:r>
      <w:r w:rsidR="008328BB" w:rsidRPr="00C267BF">
        <w:rPr>
          <w:rFonts w:ascii="Times New Roman" w:hAnsi="Times New Roman"/>
          <w:lang w:eastAsia="sk-SK"/>
        </w:rPr>
        <w:t>škatuľka.</w:t>
      </w:r>
    </w:p>
    <w:p w:rsidR="007837CA" w:rsidRPr="00C267BF" w:rsidRDefault="007837CA" w:rsidP="007837CA">
      <w:pPr>
        <w:tabs>
          <w:tab w:val="left" w:pos="7080"/>
        </w:tabs>
        <w:spacing w:after="0" w:line="240" w:lineRule="auto"/>
        <w:rPr>
          <w:rFonts w:ascii="Times New Roman" w:hAnsi="Times New Roman"/>
          <w:lang w:eastAsia="sk-SK"/>
        </w:rPr>
      </w:pPr>
    </w:p>
    <w:p w:rsidR="00FD2D5B" w:rsidRPr="00C267BF" w:rsidRDefault="007837CA" w:rsidP="007837CA">
      <w:pPr>
        <w:tabs>
          <w:tab w:val="left" w:pos="7080"/>
        </w:tabs>
        <w:spacing w:after="0" w:line="240" w:lineRule="auto"/>
        <w:rPr>
          <w:rFonts w:ascii="Times New Roman" w:hAnsi="Times New Roman"/>
          <w:lang w:eastAsia="sk-SK"/>
        </w:rPr>
      </w:pPr>
      <w:r w:rsidRPr="00C267BF">
        <w:rPr>
          <w:rFonts w:ascii="Times New Roman" w:hAnsi="Times New Roman"/>
          <w:lang w:eastAsia="sk-SK"/>
        </w:rPr>
        <w:t>Veľkosť balenia: 14, 28, 30, 56, 90, 98 tabliet</w:t>
      </w:r>
      <w:r w:rsidR="008328BB" w:rsidRPr="00C267BF">
        <w:rPr>
          <w:rFonts w:ascii="Times New Roman" w:hAnsi="Times New Roman"/>
          <w:lang w:eastAsia="sk-SK"/>
        </w:rPr>
        <w:t>.</w:t>
      </w:r>
    </w:p>
    <w:p w:rsidR="007837CA" w:rsidRPr="00C267BF" w:rsidRDefault="007837CA" w:rsidP="00FD2D5B">
      <w:pPr>
        <w:tabs>
          <w:tab w:val="left" w:pos="7080"/>
        </w:tabs>
        <w:spacing w:after="0" w:line="240" w:lineRule="auto"/>
        <w:rPr>
          <w:rFonts w:ascii="Times New Roman" w:hAnsi="Times New Roman"/>
          <w:lang w:eastAsia="sk-SK"/>
        </w:rPr>
      </w:pPr>
    </w:p>
    <w:p w:rsidR="00FD2D5B" w:rsidRPr="00C267BF" w:rsidRDefault="00FD2D5B" w:rsidP="00FD2D5B">
      <w:pPr>
        <w:tabs>
          <w:tab w:val="left" w:pos="7080"/>
        </w:tabs>
        <w:spacing w:after="0" w:line="240" w:lineRule="auto"/>
        <w:rPr>
          <w:rFonts w:ascii="Times New Roman" w:hAnsi="Times New Roman"/>
          <w:lang w:eastAsia="sk-SK"/>
        </w:rPr>
      </w:pPr>
      <w:r w:rsidRPr="00C267BF">
        <w:rPr>
          <w:rFonts w:ascii="Times New Roman" w:hAnsi="Times New Roman"/>
          <w:lang w:eastAsia="sk-SK"/>
        </w:rPr>
        <w:t>Na trh nemusia byť uvedené všetky veľkosti balenia.</w:t>
      </w:r>
    </w:p>
    <w:p w:rsidR="00FD2D5B" w:rsidRPr="00C267BF" w:rsidRDefault="00FD2D5B" w:rsidP="00FD2D5B">
      <w:pPr>
        <w:tabs>
          <w:tab w:val="left" w:pos="-142"/>
          <w:tab w:val="left" w:pos="284"/>
        </w:tabs>
        <w:spacing w:after="0" w:line="240" w:lineRule="auto"/>
        <w:rPr>
          <w:rFonts w:ascii="Times New Roman" w:hAnsi="Times New Roman"/>
          <w:lang w:eastAsia="sk-SK"/>
        </w:rPr>
      </w:pPr>
    </w:p>
    <w:p w:rsidR="00FD2D5B" w:rsidRPr="00C267BF" w:rsidRDefault="00FD2D5B" w:rsidP="00FD2D5B">
      <w:pPr>
        <w:spacing w:after="0" w:line="240" w:lineRule="auto"/>
        <w:ind w:left="567" w:hanging="567"/>
        <w:rPr>
          <w:rFonts w:ascii="Times New Roman" w:hAnsi="Times New Roman"/>
          <w:b/>
          <w:bCs/>
          <w:noProof/>
          <w:lang w:eastAsia="sk-SK"/>
        </w:rPr>
      </w:pPr>
      <w:r w:rsidRPr="00C267BF">
        <w:rPr>
          <w:rFonts w:ascii="Times New Roman" w:hAnsi="Times New Roman"/>
          <w:b/>
          <w:noProof/>
          <w:lang w:eastAsia="sk-SK"/>
        </w:rPr>
        <w:t>6.6</w:t>
      </w:r>
      <w:r w:rsidRPr="00C267BF">
        <w:rPr>
          <w:rFonts w:ascii="Times New Roman" w:hAnsi="Times New Roman"/>
          <w:b/>
          <w:noProof/>
          <w:lang w:eastAsia="sk-SK"/>
        </w:rPr>
        <w:tab/>
      </w:r>
      <w:r w:rsidRPr="00C267BF">
        <w:rPr>
          <w:rFonts w:ascii="Times New Roman" w:hAnsi="Times New Roman"/>
          <w:b/>
          <w:bCs/>
          <w:noProof/>
          <w:lang w:eastAsia="sk-SK"/>
        </w:rPr>
        <w:t>Špeciálne opatrenia na likvidáciu a iné zaobchádzanie s liekom</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7837CA" w:rsidP="007837CA">
      <w:pPr>
        <w:spacing w:after="0" w:line="240" w:lineRule="auto"/>
        <w:rPr>
          <w:rFonts w:ascii="Times New Roman" w:hAnsi="Times New Roman"/>
          <w:noProof/>
          <w:lang w:eastAsia="sk-SK"/>
        </w:rPr>
      </w:pPr>
      <w:r w:rsidRPr="00C267BF">
        <w:rPr>
          <w:rFonts w:ascii="Times New Roman" w:hAnsi="Times New Roman"/>
          <w:noProof/>
          <w:lang w:eastAsia="sk-SK"/>
        </w:rPr>
        <w:t>Nepoužitý liek alebo odpad vzniknutý z lieku má byť zlikvidovaný v súlade s národnými požiadavkami.</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7.</w:t>
      </w:r>
      <w:r w:rsidRPr="00C267BF">
        <w:rPr>
          <w:rFonts w:ascii="Times New Roman" w:hAnsi="Times New Roman"/>
          <w:b/>
          <w:noProof/>
          <w:lang w:eastAsia="sk-SK"/>
        </w:rPr>
        <w:tab/>
        <w:t>DRŽITEĽ ROZHODNUTIA O REGISTRÁCII</w:t>
      </w:r>
    </w:p>
    <w:p w:rsidR="00FD2D5B" w:rsidRPr="00C267BF" w:rsidRDefault="00FD2D5B" w:rsidP="00FD2D5B">
      <w:pPr>
        <w:spacing w:after="0" w:line="240" w:lineRule="auto"/>
        <w:ind w:left="567" w:hanging="567"/>
        <w:rPr>
          <w:rFonts w:ascii="Times New Roman" w:hAnsi="Times New Roman"/>
          <w:noProof/>
          <w:lang w:eastAsia="sk-SK"/>
        </w:rPr>
      </w:pPr>
    </w:p>
    <w:p w:rsidR="00AC2070" w:rsidRDefault="007837CA"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Zentiva, k.s.</w:t>
      </w:r>
    </w:p>
    <w:p w:rsidR="00AC2070" w:rsidRDefault="007837CA"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U kabelovny 130</w:t>
      </w:r>
    </w:p>
    <w:p w:rsidR="00AC2070" w:rsidRDefault="007837CA"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102 37 Praha</w:t>
      </w:r>
      <w:r w:rsidR="00AC2070">
        <w:rPr>
          <w:rFonts w:ascii="Times New Roman" w:hAnsi="Times New Roman"/>
          <w:noProof/>
          <w:lang w:eastAsia="sk-SK"/>
        </w:rPr>
        <w:t xml:space="preserve"> 10 - Dolní Měcholupy</w:t>
      </w:r>
    </w:p>
    <w:p w:rsidR="00FD2D5B" w:rsidRPr="00C267BF" w:rsidRDefault="007837CA"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Česká republika</w:t>
      </w:r>
    </w:p>
    <w:p w:rsidR="00FD2D5B" w:rsidRDefault="00FD2D5B" w:rsidP="00FD2D5B">
      <w:pPr>
        <w:spacing w:after="0" w:line="240" w:lineRule="auto"/>
        <w:ind w:left="567" w:hanging="567"/>
        <w:rPr>
          <w:rFonts w:ascii="Times New Roman" w:hAnsi="Times New Roman"/>
          <w:noProof/>
          <w:lang w:eastAsia="sk-SK"/>
        </w:rPr>
      </w:pPr>
    </w:p>
    <w:p w:rsidR="00AC2070" w:rsidRPr="00C267BF" w:rsidRDefault="00AC2070"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b/>
          <w:noProof/>
          <w:lang w:eastAsia="sk-SK"/>
        </w:rPr>
      </w:pPr>
      <w:r w:rsidRPr="00C267BF">
        <w:rPr>
          <w:rFonts w:ascii="Times New Roman" w:hAnsi="Times New Roman"/>
          <w:b/>
          <w:noProof/>
          <w:lang w:eastAsia="sk-SK"/>
        </w:rPr>
        <w:t>8.</w:t>
      </w:r>
      <w:r w:rsidRPr="00C267BF">
        <w:rPr>
          <w:rFonts w:ascii="Times New Roman" w:hAnsi="Times New Roman"/>
          <w:b/>
          <w:noProof/>
          <w:lang w:eastAsia="sk-SK"/>
        </w:rPr>
        <w:tab/>
        <w:t xml:space="preserve">REGISTRAČNÉ ČÍSLA </w:t>
      </w:r>
    </w:p>
    <w:p w:rsidR="00FD2D5B" w:rsidRPr="00C267BF" w:rsidRDefault="00FD2D5B" w:rsidP="00FD2D5B">
      <w:pPr>
        <w:spacing w:after="0" w:line="240" w:lineRule="auto"/>
        <w:ind w:left="567" w:hanging="567"/>
        <w:rPr>
          <w:rFonts w:ascii="Times New Roman" w:hAnsi="Times New Roman"/>
          <w:noProof/>
          <w:lang w:eastAsia="sk-SK"/>
        </w:rPr>
      </w:pPr>
    </w:p>
    <w:p w:rsidR="00EC6F0B" w:rsidRPr="00C267BF" w:rsidRDefault="00EC6F0B" w:rsidP="00EC6F0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M</w:t>
      </w:r>
      <w:r w:rsidR="00B17E64" w:rsidRPr="00B17E64">
        <w:rPr>
          <w:rFonts w:ascii="Times New Roman" w:hAnsi="Times New Roman"/>
          <w:noProof/>
          <w:lang w:eastAsia="sk-SK"/>
        </w:rPr>
        <w:t>ixor</w:t>
      </w:r>
      <w:r w:rsidRPr="00C267BF">
        <w:rPr>
          <w:rFonts w:ascii="Times New Roman" w:hAnsi="Times New Roman"/>
          <w:noProof/>
          <w:lang w:eastAsia="sk-SK"/>
        </w:rPr>
        <w:t xml:space="preserve"> 80 mg/5 mg:</w:t>
      </w:r>
      <w:r w:rsidR="00E53D44" w:rsidRPr="00E53D44">
        <w:t xml:space="preserve"> </w:t>
      </w:r>
      <w:r w:rsidR="00E53D44" w:rsidRPr="00E53D44">
        <w:rPr>
          <w:rFonts w:ascii="Times New Roman" w:hAnsi="Times New Roman"/>
          <w:noProof/>
          <w:lang w:eastAsia="sk-SK"/>
        </w:rPr>
        <w:t>58/0371/15-S</w:t>
      </w:r>
    </w:p>
    <w:p w:rsidR="00EC6F0B" w:rsidRPr="00C267BF" w:rsidRDefault="00EC6F0B" w:rsidP="00EC6F0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M</w:t>
      </w:r>
      <w:r w:rsidR="00B17E64" w:rsidRPr="00B17E64">
        <w:rPr>
          <w:rFonts w:ascii="Times New Roman" w:hAnsi="Times New Roman"/>
          <w:noProof/>
          <w:lang w:eastAsia="sk-SK"/>
        </w:rPr>
        <w:t>ixor</w:t>
      </w:r>
      <w:r w:rsidRPr="00C267BF">
        <w:rPr>
          <w:rFonts w:ascii="Times New Roman" w:hAnsi="Times New Roman"/>
          <w:noProof/>
          <w:lang w:eastAsia="sk-SK"/>
        </w:rPr>
        <w:t xml:space="preserve"> 80 mg/10 mg:</w:t>
      </w:r>
      <w:r w:rsidR="00E53D44" w:rsidRPr="00E53D44">
        <w:t xml:space="preserve"> </w:t>
      </w:r>
      <w:r w:rsidR="00E53D44" w:rsidRPr="00E53D44">
        <w:rPr>
          <w:rFonts w:ascii="Times New Roman" w:hAnsi="Times New Roman"/>
          <w:noProof/>
          <w:lang w:eastAsia="sk-SK"/>
        </w:rPr>
        <w:t>58/03</w:t>
      </w:r>
      <w:r w:rsidR="00E53D44">
        <w:rPr>
          <w:rFonts w:ascii="Times New Roman" w:hAnsi="Times New Roman"/>
          <w:noProof/>
          <w:lang w:eastAsia="sk-SK"/>
        </w:rPr>
        <w:t>72</w:t>
      </w:r>
      <w:r w:rsidR="00E53D44" w:rsidRPr="00E53D44">
        <w:rPr>
          <w:rFonts w:ascii="Times New Roman" w:hAnsi="Times New Roman"/>
          <w:noProof/>
          <w:lang w:eastAsia="sk-SK"/>
        </w:rPr>
        <w:t>/15-S</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b/>
          <w:noProof/>
          <w:lang w:eastAsia="sk-SK"/>
        </w:rPr>
        <w:t>9.</w:t>
      </w:r>
      <w:r w:rsidRPr="00C267BF">
        <w:rPr>
          <w:rFonts w:ascii="Times New Roman" w:hAnsi="Times New Roman"/>
          <w:b/>
          <w:noProof/>
          <w:lang w:eastAsia="sk-SK"/>
        </w:rPr>
        <w:tab/>
        <w:t>DÁTUM PRVEJ REGISTRÁCIE/ PREDĹŽENIA REGISTRÁCIE</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r w:rsidRPr="00C267BF">
        <w:rPr>
          <w:rFonts w:ascii="Times New Roman" w:hAnsi="Times New Roman"/>
          <w:noProof/>
          <w:lang w:eastAsia="sk-SK"/>
        </w:rPr>
        <w:t>Dátum prvej registrácie:</w:t>
      </w:r>
      <w:r w:rsidR="00F0764B">
        <w:rPr>
          <w:rFonts w:ascii="Times New Roman" w:hAnsi="Times New Roman"/>
          <w:noProof/>
          <w:lang w:eastAsia="sk-SK"/>
        </w:rPr>
        <w:t xml:space="preserve"> 17.9.2015</w:t>
      </w: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noProof/>
          <w:lang w:eastAsia="sk-SK"/>
        </w:rPr>
      </w:pPr>
    </w:p>
    <w:p w:rsidR="00FD2D5B" w:rsidRPr="00C267BF" w:rsidRDefault="00FD2D5B" w:rsidP="00FD2D5B">
      <w:pPr>
        <w:spacing w:after="0" w:line="240" w:lineRule="auto"/>
        <w:ind w:left="567" w:hanging="567"/>
        <w:rPr>
          <w:rFonts w:ascii="Times New Roman" w:hAnsi="Times New Roman"/>
          <w:b/>
          <w:noProof/>
          <w:lang w:eastAsia="sk-SK"/>
        </w:rPr>
      </w:pPr>
      <w:r w:rsidRPr="00C267BF">
        <w:rPr>
          <w:rFonts w:ascii="Times New Roman" w:hAnsi="Times New Roman"/>
          <w:b/>
          <w:noProof/>
          <w:lang w:eastAsia="sk-SK"/>
        </w:rPr>
        <w:t>10.</w:t>
      </w:r>
      <w:r w:rsidRPr="00C267BF">
        <w:rPr>
          <w:rFonts w:ascii="Times New Roman" w:hAnsi="Times New Roman"/>
          <w:b/>
          <w:noProof/>
          <w:lang w:eastAsia="sk-SK"/>
        </w:rPr>
        <w:tab/>
        <w:t>DÁTUM REVÍZIE TEXTU</w:t>
      </w:r>
    </w:p>
    <w:p w:rsidR="00FD2D5B" w:rsidRPr="00C267BF" w:rsidRDefault="00FD2D5B" w:rsidP="00FD2D5B">
      <w:pPr>
        <w:spacing w:after="0" w:line="240" w:lineRule="auto"/>
        <w:rPr>
          <w:rFonts w:ascii="Times New Roman" w:eastAsia="Times New Roman" w:hAnsi="Times New Roman"/>
          <w:noProof/>
          <w:sz w:val="18"/>
          <w:szCs w:val="18"/>
          <w:lang w:eastAsia="sk-SK"/>
        </w:rPr>
      </w:pPr>
    </w:p>
    <w:p w:rsidR="00DB7F85" w:rsidRPr="00C267BF" w:rsidRDefault="00AC2070" w:rsidP="00CA4C27">
      <w:pPr>
        <w:spacing w:after="0" w:line="240" w:lineRule="auto"/>
        <w:ind w:left="540" w:hanging="540"/>
        <w:rPr>
          <w:rFonts w:ascii="Times New Roman" w:hAnsi="Times New Roman"/>
          <w:noProof/>
          <w:lang w:eastAsia="sk-SK"/>
        </w:rPr>
      </w:pPr>
      <w:r>
        <w:rPr>
          <w:rFonts w:ascii="Times New Roman" w:hAnsi="Times New Roman"/>
          <w:noProof/>
          <w:lang w:eastAsia="sk-SK"/>
        </w:rPr>
        <w:t>01/2019</w:t>
      </w:r>
    </w:p>
    <w:sectPr w:rsidR="00DB7F85" w:rsidRPr="00C267BF" w:rsidSect="009B2AFB">
      <w:headerReference w:type="default" r:id="rId10"/>
      <w:footerReference w:type="default" r:id="rId11"/>
      <w:headerReference w:type="first" r:id="rId12"/>
      <w:pgSz w:w="11906" w:h="16838"/>
      <w:pgMar w:top="1134"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38" w:rsidRDefault="00456A38" w:rsidP="002957BA">
      <w:pPr>
        <w:spacing w:after="0" w:line="240" w:lineRule="auto"/>
      </w:pPr>
      <w:r>
        <w:separator/>
      </w:r>
    </w:p>
  </w:endnote>
  <w:endnote w:type="continuationSeparator" w:id="0">
    <w:p w:rsidR="00456A38" w:rsidRDefault="00456A38" w:rsidP="002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535375"/>
      <w:docPartObj>
        <w:docPartGallery w:val="Page Numbers (Bottom of Page)"/>
        <w:docPartUnique/>
      </w:docPartObj>
    </w:sdtPr>
    <w:sdtEndPr>
      <w:rPr>
        <w:rFonts w:ascii="Times New Roman" w:hAnsi="Times New Roman"/>
        <w:sz w:val="18"/>
        <w:szCs w:val="18"/>
      </w:rPr>
    </w:sdtEndPr>
    <w:sdtContent>
      <w:p w:rsidR="00F552CA" w:rsidRPr="009B2AFB" w:rsidRDefault="00F552CA">
        <w:pPr>
          <w:pStyle w:val="Pta"/>
          <w:jc w:val="center"/>
          <w:rPr>
            <w:rFonts w:ascii="Times New Roman" w:hAnsi="Times New Roman"/>
            <w:sz w:val="18"/>
            <w:szCs w:val="18"/>
          </w:rPr>
        </w:pPr>
        <w:r w:rsidRPr="009B2AFB">
          <w:rPr>
            <w:rFonts w:ascii="Times New Roman" w:hAnsi="Times New Roman"/>
            <w:sz w:val="18"/>
            <w:szCs w:val="18"/>
          </w:rPr>
          <w:fldChar w:fldCharType="begin"/>
        </w:r>
        <w:r w:rsidRPr="009B2AFB">
          <w:rPr>
            <w:rFonts w:ascii="Times New Roman" w:hAnsi="Times New Roman"/>
            <w:sz w:val="18"/>
            <w:szCs w:val="18"/>
          </w:rPr>
          <w:instrText>PAGE   \* MERGEFORMAT</w:instrText>
        </w:r>
        <w:r w:rsidRPr="009B2AFB">
          <w:rPr>
            <w:rFonts w:ascii="Times New Roman" w:hAnsi="Times New Roman"/>
            <w:sz w:val="18"/>
            <w:szCs w:val="18"/>
          </w:rPr>
          <w:fldChar w:fldCharType="separate"/>
        </w:r>
        <w:r w:rsidR="009B2AFB">
          <w:rPr>
            <w:rFonts w:ascii="Times New Roman" w:hAnsi="Times New Roman"/>
            <w:noProof/>
            <w:sz w:val="18"/>
            <w:szCs w:val="18"/>
          </w:rPr>
          <w:t>1</w:t>
        </w:r>
        <w:r w:rsidRPr="009B2AFB">
          <w:rPr>
            <w:rFonts w:ascii="Times New Roman" w:hAnsi="Times New Roman"/>
            <w:sz w:val="18"/>
            <w:szCs w:val="18"/>
          </w:rPr>
          <w:fldChar w:fldCharType="end"/>
        </w:r>
      </w:p>
    </w:sdtContent>
  </w:sdt>
  <w:p w:rsidR="00F552CA" w:rsidRDefault="00F552C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38" w:rsidRDefault="00456A38" w:rsidP="002957BA">
      <w:pPr>
        <w:spacing w:after="0" w:line="240" w:lineRule="auto"/>
      </w:pPr>
      <w:r>
        <w:separator/>
      </w:r>
    </w:p>
  </w:footnote>
  <w:footnote w:type="continuationSeparator" w:id="0">
    <w:p w:rsidR="00456A38" w:rsidRDefault="00456A38" w:rsidP="00295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40" w:rsidRPr="00F01F11" w:rsidRDefault="00306F40" w:rsidP="00306F40">
    <w:pPr>
      <w:pStyle w:val="Hlavika"/>
      <w:rPr>
        <w:sz w:val="18"/>
        <w:szCs w:val="18"/>
      </w:rPr>
    </w:pPr>
    <w:r w:rsidRPr="00F01F11">
      <w:rPr>
        <w:sz w:val="18"/>
        <w:szCs w:val="18"/>
      </w:rPr>
      <w:t xml:space="preserve">Príloha č. 1 k notifikácii o zmene, ev. č.: 2016/02144-Z1B, </w:t>
    </w:r>
    <w:r w:rsidRPr="009B2AFB">
      <w:rPr>
        <w:sz w:val="18"/>
        <w:szCs w:val="18"/>
      </w:rPr>
      <w:t>2018/00324-Z1B</w:t>
    </w:r>
  </w:p>
  <w:p w:rsidR="00306F40" w:rsidRPr="00F01F11" w:rsidRDefault="00306F40" w:rsidP="00306F40">
    <w:pPr>
      <w:pStyle w:val="Hlavika"/>
      <w:rPr>
        <w:sz w:val="18"/>
        <w:szCs w:val="18"/>
      </w:rPr>
    </w:pPr>
    <w:r w:rsidRPr="00F01F11">
      <w:rPr>
        <w:sz w:val="18"/>
        <w:szCs w:val="18"/>
      </w:rPr>
      <w:t>Schválený text k rozhodnutiu o zmene, ev. č.: 2018/02417-ZME</w:t>
    </w:r>
  </w:p>
  <w:p w:rsidR="00306F40" w:rsidRPr="00F01F11" w:rsidRDefault="00306F40" w:rsidP="00FE1818">
    <w:pPr>
      <w:pStyle w:val="Hlavika"/>
      <w:rPr>
        <w:sz w:val="18"/>
        <w:szCs w:val="18"/>
      </w:rPr>
    </w:pPr>
  </w:p>
  <w:p w:rsidR="00306F40" w:rsidRPr="009B2AFB" w:rsidRDefault="00306F40" w:rsidP="00FE1818">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40" w:rsidRPr="00306F40" w:rsidRDefault="00306F40" w:rsidP="008811D8">
    <w:pPr>
      <w:pStyle w:val="Hlavika"/>
      <w:rPr>
        <w:sz w:val="18"/>
        <w:szCs w:val="18"/>
      </w:rPr>
    </w:pPr>
    <w:r w:rsidRPr="00306F40">
      <w:rPr>
        <w:sz w:val="18"/>
        <w:szCs w:val="18"/>
      </w:rPr>
      <w:t xml:space="preserve">Príloha č. 1 k notifikácii o zmene, ev. </w:t>
    </w:r>
    <w:r w:rsidRPr="00306F40">
      <w:rPr>
        <w:sz w:val="18"/>
        <w:szCs w:val="18"/>
      </w:rPr>
      <w:t xml:space="preserve">č.: 2016/02144-Z1B, </w:t>
    </w:r>
    <w:r w:rsidRPr="009B2AFB">
      <w:rPr>
        <w:sz w:val="18"/>
        <w:szCs w:val="18"/>
        <w:highlight w:val="yellow"/>
      </w:rPr>
      <w:t>2018/00324-Z1B</w:t>
    </w:r>
  </w:p>
  <w:p w:rsidR="00306F40" w:rsidRPr="00306F40" w:rsidRDefault="00306F40" w:rsidP="008811D8">
    <w:pPr>
      <w:pStyle w:val="Hlavika"/>
      <w:rPr>
        <w:sz w:val="18"/>
        <w:szCs w:val="18"/>
      </w:rPr>
    </w:pPr>
    <w:r w:rsidRPr="00306F40">
      <w:rPr>
        <w:sz w:val="18"/>
        <w:szCs w:val="18"/>
      </w:rPr>
      <w:t xml:space="preserve">Schválený text k rozhodnutiu o zmene, ev. č.: </w:t>
    </w:r>
    <w:r w:rsidRPr="00306F40">
      <w:rPr>
        <w:sz w:val="18"/>
        <w:szCs w:val="18"/>
        <w:highlight w:val="cyan"/>
      </w:rPr>
      <w:t>2018/02417-ZME</w:t>
    </w:r>
  </w:p>
  <w:p w:rsidR="00306F40" w:rsidRPr="00306F40" w:rsidRDefault="00306F40" w:rsidP="008811D8">
    <w:pPr>
      <w:pStyle w:val="Hlavika"/>
      <w:rPr>
        <w:sz w:val="18"/>
        <w:szCs w:val="18"/>
      </w:rPr>
    </w:pPr>
  </w:p>
  <w:p w:rsidR="00306F40" w:rsidRPr="009B2AFB" w:rsidRDefault="00306F40" w:rsidP="008811D8">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CEA31F1"/>
    <w:multiLevelType w:val="multilevel"/>
    <w:tmpl w:val="65DABE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1B3280"/>
    <w:multiLevelType w:val="hybridMultilevel"/>
    <w:tmpl w:val="2B7EF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FDE7629"/>
    <w:multiLevelType w:val="multilevel"/>
    <w:tmpl w:val="A8B4A7E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1947F1A"/>
    <w:multiLevelType w:val="hybridMultilevel"/>
    <w:tmpl w:val="BBAADC0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B3164A0"/>
    <w:multiLevelType w:val="hybridMultilevel"/>
    <w:tmpl w:val="4A762502"/>
    <w:lvl w:ilvl="0" w:tplc="FFFFFFFF">
      <w:numFmt w:val="bullet"/>
      <w:lvlText w:val="-"/>
      <w:lvlJc w:val="left"/>
      <w:pPr>
        <w:tabs>
          <w:tab w:val="num" w:pos="1574"/>
        </w:tabs>
        <w:ind w:left="1574" w:hanging="360"/>
      </w:pPr>
      <w:rPr>
        <w:rFonts w:ascii="Times New Roman" w:eastAsia="Times New Roman" w:hAnsi="Times New Roman" w:hint="default"/>
      </w:rPr>
    </w:lvl>
    <w:lvl w:ilvl="1" w:tplc="040C0003" w:tentative="1">
      <w:start w:val="1"/>
      <w:numFmt w:val="bullet"/>
      <w:lvlText w:val="o"/>
      <w:lvlJc w:val="left"/>
      <w:pPr>
        <w:tabs>
          <w:tab w:val="num" w:pos="2294"/>
        </w:tabs>
        <w:ind w:left="2294" w:hanging="360"/>
      </w:pPr>
      <w:rPr>
        <w:rFonts w:ascii="Courier New" w:hAnsi="Courier New" w:hint="default"/>
      </w:rPr>
    </w:lvl>
    <w:lvl w:ilvl="2" w:tplc="040C0005" w:tentative="1">
      <w:start w:val="1"/>
      <w:numFmt w:val="bullet"/>
      <w:lvlText w:val=""/>
      <w:lvlJc w:val="left"/>
      <w:pPr>
        <w:tabs>
          <w:tab w:val="num" w:pos="3014"/>
        </w:tabs>
        <w:ind w:left="3014" w:hanging="360"/>
      </w:pPr>
      <w:rPr>
        <w:rFonts w:ascii="Wingdings" w:hAnsi="Wingdings" w:hint="default"/>
      </w:rPr>
    </w:lvl>
    <w:lvl w:ilvl="3" w:tplc="040C0001" w:tentative="1">
      <w:start w:val="1"/>
      <w:numFmt w:val="bullet"/>
      <w:lvlText w:val=""/>
      <w:lvlJc w:val="left"/>
      <w:pPr>
        <w:tabs>
          <w:tab w:val="num" w:pos="3734"/>
        </w:tabs>
        <w:ind w:left="3734" w:hanging="360"/>
      </w:pPr>
      <w:rPr>
        <w:rFonts w:ascii="Symbol" w:hAnsi="Symbol" w:hint="default"/>
      </w:rPr>
    </w:lvl>
    <w:lvl w:ilvl="4" w:tplc="040C0003" w:tentative="1">
      <w:start w:val="1"/>
      <w:numFmt w:val="bullet"/>
      <w:lvlText w:val="o"/>
      <w:lvlJc w:val="left"/>
      <w:pPr>
        <w:tabs>
          <w:tab w:val="num" w:pos="4454"/>
        </w:tabs>
        <w:ind w:left="4454" w:hanging="360"/>
      </w:pPr>
      <w:rPr>
        <w:rFonts w:ascii="Courier New" w:hAnsi="Courier New" w:hint="default"/>
      </w:rPr>
    </w:lvl>
    <w:lvl w:ilvl="5" w:tplc="040C0005" w:tentative="1">
      <w:start w:val="1"/>
      <w:numFmt w:val="bullet"/>
      <w:lvlText w:val=""/>
      <w:lvlJc w:val="left"/>
      <w:pPr>
        <w:tabs>
          <w:tab w:val="num" w:pos="5174"/>
        </w:tabs>
        <w:ind w:left="5174" w:hanging="360"/>
      </w:pPr>
      <w:rPr>
        <w:rFonts w:ascii="Wingdings" w:hAnsi="Wingdings" w:hint="default"/>
      </w:rPr>
    </w:lvl>
    <w:lvl w:ilvl="6" w:tplc="040C0001" w:tentative="1">
      <w:start w:val="1"/>
      <w:numFmt w:val="bullet"/>
      <w:lvlText w:val=""/>
      <w:lvlJc w:val="left"/>
      <w:pPr>
        <w:tabs>
          <w:tab w:val="num" w:pos="5894"/>
        </w:tabs>
        <w:ind w:left="5894" w:hanging="360"/>
      </w:pPr>
      <w:rPr>
        <w:rFonts w:ascii="Symbol" w:hAnsi="Symbol" w:hint="default"/>
      </w:rPr>
    </w:lvl>
    <w:lvl w:ilvl="7" w:tplc="040C0003" w:tentative="1">
      <w:start w:val="1"/>
      <w:numFmt w:val="bullet"/>
      <w:lvlText w:val="o"/>
      <w:lvlJc w:val="left"/>
      <w:pPr>
        <w:tabs>
          <w:tab w:val="num" w:pos="6614"/>
        </w:tabs>
        <w:ind w:left="6614" w:hanging="360"/>
      </w:pPr>
      <w:rPr>
        <w:rFonts w:ascii="Courier New" w:hAnsi="Courier New" w:hint="default"/>
      </w:rPr>
    </w:lvl>
    <w:lvl w:ilvl="8" w:tplc="040C0005" w:tentative="1">
      <w:start w:val="1"/>
      <w:numFmt w:val="bullet"/>
      <w:lvlText w:val=""/>
      <w:lvlJc w:val="left"/>
      <w:pPr>
        <w:tabs>
          <w:tab w:val="num" w:pos="7334"/>
        </w:tabs>
        <w:ind w:left="7334" w:hanging="360"/>
      </w:pPr>
      <w:rPr>
        <w:rFonts w:ascii="Wingdings" w:hAnsi="Wingdings" w:hint="default"/>
      </w:rPr>
    </w:lvl>
  </w:abstractNum>
  <w:abstractNum w:abstractNumId="8">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36B871A5"/>
    <w:multiLevelType w:val="hybridMultilevel"/>
    <w:tmpl w:val="240AE8D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6BA85835"/>
    <w:multiLevelType w:val="hybridMultilevel"/>
    <w:tmpl w:val="2C82FC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38E7163"/>
    <w:multiLevelType w:val="hybridMultilevel"/>
    <w:tmpl w:val="6D7212F0"/>
    <w:lvl w:ilvl="0" w:tplc="1C7AE280">
      <w:numFmt w:val="bullet"/>
      <w:lvlText w:val="-"/>
      <w:lvlJc w:val="left"/>
      <w:pPr>
        <w:tabs>
          <w:tab w:val="num" w:pos="170"/>
        </w:tabs>
        <w:ind w:left="170" w:hanging="170"/>
      </w:pPr>
      <w:rPr>
        <w:rFonts w:ascii="Times New Roman" w:eastAsia="Times New Roman" w:hAnsi="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10"/>
  </w:num>
  <w:num w:numId="6">
    <w:abstractNumId w:val="1"/>
  </w:num>
  <w:num w:numId="7">
    <w:abstractNumId w:val="9"/>
  </w:num>
  <w:num w:numId="8">
    <w:abstractNumId w:val="7"/>
  </w:num>
  <w:num w:numId="9">
    <w:abstractNumId w:val="13"/>
  </w:num>
  <w:num w:numId="10">
    <w:abstractNumId w:val="11"/>
  </w:num>
  <w:num w:numId="11">
    <w:abstractNumId w:val="15"/>
  </w:num>
  <w:num w:numId="12">
    <w:abstractNumId w:val="3"/>
  </w:num>
  <w:num w:numId="13">
    <w:abstractNumId w:val="14"/>
  </w:num>
  <w:num w:numId="14">
    <w:abstractNumId w:val="0"/>
    <w:lvlOverride w:ilvl="0">
      <w:lvl w:ilvl="0">
        <w:start w:val="1"/>
        <w:numFmt w:val="bullet"/>
        <w:lvlText w:val="-"/>
        <w:legacy w:legacy="1" w:legacySpace="0" w:legacyIndent="360"/>
        <w:lvlJc w:val="left"/>
        <w:pPr>
          <w:ind w:left="360" w:hanging="360"/>
        </w:pPr>
      </w:lvl>
    </w:lvlOverride>
  </w:num>
  <w:num w:numId="15">
    <w:abstractNumId w:val="12"/>
  </w:num>
  <w:num w:numId="16">
    <w:abstractNumId w:val="8"/>
  </w:num>
  <w:num w:numId="17">
    <w:abstractNumId w:val="6"/>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5B"/>
    <w:rsid w:val="0000623A"/>
    <w:rsid w:val="00040F72"/>
    <w:rsid w:val="00084D4D"/>
    <w:rsid w:val="00087B5F"/>
    <w:rsid w:val="0009340A"/>
    <w:rsid w:val="000A3929"/>
    <w:rsid w:val="000A74FB"/>
    <w:rsid w:val="000B1BD6"/>
    <w:rsid w:val="000C059C"/>
    <w:rsid w:val="000C72E5"/>
    <w:rsid w:val="000D5F5B"/>
    <w:rsid w:val="000E651B"/>
    <w:rsid w:val="000F5769"/>
    <w:rsid w:val="00111002"/>
    <w:rsid w:val="00153BC8"/>
    <w:rsid w:val="001543B9"/>
    <w:rsid w:val="00156BC5"/>
    <w:rsid w:val="00184B6E"/>
    <w:rsid w:val="001D2613"/>
    <w:rsid w:val="001D44C6"/>
    <w:rsid w:val="001E0972"/>
    <w:rsid w:val="00212DD4"/>
    <w:rsid w:val="00225E5F"/>
    <w:rsid w:val="00230246"/>
    <w:rsid w:val="00233DB0"/>
    <w:rsid w:val="002351E3"/>
    <w:rsid w:val="00247B44"/>
    <w:rsid w:val="00256C76"/>
    <w:rsid w:val="002918A4"/>
    <w:rsid w:val="002957BA"/>
    <w:rsid w:val="00295943"/>
    <w:rsid w:val="002B1143"/>
    <w:rsid w:val="002C38B6"/>
    <w:rsid w:val="002D399B"/>
    <w:rsid w:val="0030524C"/>
    <w:rsid w:val="00306F40"/>
    <w:rsid w:val="00310D40"/>
    <w:rsid w:val="00311F2C"/>
    <w:rsid w:val="00314AB2"/>
    <w:rsid w:val="00315EDC"/>
    <w:rsid w:val="00320455"/>
    <w:rsid w:val="00333743"/>
    <w:rsid w:val="00350B09"/>
    <w:rsid w:val="00394354"/>
    <w:rsid w:val="003B5ECD"/>
    <w:rsid w:val="003E19E5"/>
    <w:rsid w:val="003E3F05"/>
    <w:rsid w:val="003E475E"/>
    <w:rsid w:val="003F7243"/>
    <w:rsid w:val="00412ABB"/>
    <w:rsid w:val="0043520D"/>
    <w:rsid w:val="00450D2E"/>
    <w:rsid w:val="00456099"/>
    <w:rsid w:val="00456A38"/>
    <w:rsid w:val="00465E60"/>
    <w:rsid w:val="004731EC"/>
    <w:rsid w:val="004810A8"/>
    <w:rsid w:val="004A5D12"/>
    <w:rsid w:val="004B4E4A"/>
    <w:rsid w:val="004C3667"/>
    <w:rsid w:val="004D0F32"/>
    <w:rsid w:val="00522AFA"/>
    <w:rsid w:val="00557BA8"/>
    <w:rsid w:val="0057131A"/>
    <w:rsid w:val="00594ADD"/>
    <w:rsid w:val="00595728"/>
    <w:rsid w:val="005A4526"/>
    <w:rsid w:val="005A6083"/>
    <w:rsid w:val="005B7962"/>
    <w:rsid w:val="005C42CA"/>
    <w:rsid w:val="005D0074"/>
    <w:rsid w:val="005D759A"/>
    <w:rsid w:val="005E1652"/>
    <w:rsid w:val="005E1EF1"/>
    <w:rsid w:val="005F11EC"/>
    <w:rsid w:val="005F657A"/>
    <w:rsid w:val="00615107"/>
    <w:rsid w:val="00621F64"/>
    <w:rsid w:val="0062419E"/>
    <w:rsid w:val="00652FAA"/>
    <w:rsid w:val="0066193E"/>
    <w:rsid w:val="00665C1F"/>
    <w:rsid w:val="00670911"/>
    <w:rsid w:val="00673FFB"/>
    <w:rsid w:val="00682849"/>
    <w:rsid w:val="00685102"/>
    <w:rsid w:val="00686361"/>
    <w:rsid w:val="00687BDA"/>
    <w:rsid w:val="006A4EB8"/>
    <w:rsid w:val="006D776A"/>
    <w:rsid w:val="006E6F6E"/>
    <w:rsid w:val="0072127B"/>
    <w:rsid w:val="00735651"/>
    <w:rsid w:val="00747AC4"/>
    <w:rsid w:val="00766C66"/>
    <w:rsid w:val="00770BF8"/>
    <w:rsid w:val="007837CA"/>
    <w:rsid w:val="007866C9"/>
    <w:rsid w:val="00791564"/>
    <w:rsid w:val="007944DD"/>
    <w:rsid w:val="00797969"/>
    <w:rsid w:val="007A26C8"/>
    <w:rsid w:val="007B5669"/>
    <w:rsid w:val="007D5165"/>
    <w:rsid w:val="007D7FF2"/>
    <w:rsid w:val="007E3331"/>
    <w:rsid w:val="00806536"/>
    <w:rsid w:val="0081148C"/>
    <w:rsid w:val="008142E7"/>
    <w:rsid w:val="00814B7B"/>
    <w:rsid w:val="008328BB"/>
    <w:rsid w:val="008811D8"/>
    <w:rsid w:val="00890CFD"/>
    <w:rsid w:val="00892B8D"/>
    <w:rsid w:val="008A391A"/>
    <w:rsid w:val="008C292E"/>
    <w:rsid w:val="008D6E53"/>
    <w:rsid w:val="008E6A75"/>
    <w:rsid w:val="0090666D"/>
    <w:rsid w:val="0091238B"/>
    <w:rsid w:val="00912EC0"/>
    <w:rsid w:val="00915289"/>
    <w:rsid w:val="009421CE"/>
    <w:rsid w:val="00944D16"/>
    <w:rsid w:val="009601D3"/>
    <w:rsid w:val="009760BF"/>
    <w:rsid w:val="009806DE"/>
    <w:rsid w:val="009957EF"/>
    <w:rsid w:val="009A19EB"/>
    <w:rsid w:val="009A3A22"/>
    <w:rsid w:val="009B2AFB"/>
    <w:rsid w:val="009F481A"/>
    <w:rsid w:val="00A20A00"/>
    <w:rsid w:val="00A2456B"/>
    <w:rsid w:val="00A247BD"/>
    <w:rsid w:val="00A449F2"/>
    <w:rsid w:val="00A57258"/>
    <w:rsid w:val="00A747E9"/>
    <w:rsid w:val="00A8114B"/>
    <w:rsid w:val="00A9251B"/>
    <w:rsid w:val="00A95EEC"/>
    <w:rsid w:val="00A96711"/>
    <w:rsid w:val="00AC2070"/>
    <w:rsid w:val="00AC6A59"/>
    <w:rsid w:val="00AF25E8"/>
    <w:rsid w:val="00B17E64"/>
    <w:rsid w:val="00B30A60"/>
    <w:rsid w:val="00B31989"/>
    <w:rsid w:val="00B36FB6"/>
    <w:rsid w:val="00B770CD"/>
    <w:rsid w:val="00BC65E4"/>
    <w:rsid w:val="00BF28E1"/>
    <w:rsid w:val="00BF5898"/>
    <w:rsid w:val="00C267BF"/>
    <w:rsid w:val="00C45BAB"/>
    <w:rsid w:val="00C62893"/>
    <w:rsid w:val="00C87C6D"/>
    <w:rsid w:val="00C91FBD"/>
    <w:rsid w:val="00CA4C27"/>
    <w:rsid w:val="00CD31EC"/>
    <w:rsid w:val="00CE3FCF"/>
    <w:rsid w:val="00CF0704"/>
    <w:rsid w:val="00CF4795"/>
    <w:rsid w:val="00D255FE"/>
    <w:rsid w:val="00D3544D"/>
    <w:rsid w:val="00D44A9E"/>
    <w:rsid w:val="00D642EF"/>
    <w:rsid w:val="00D66CE6"/>
    <w:rsid w:val="00D72FA1"/>
    <w:rsid w:val="00D73C00"/>
    <w:rsid w:val="00D901E1"/>
    <w:rsid w:val="00DA62B4"/>
    <w:rsid w:val="00DA77BA"/>
    <w:rsid w:val="00DB724C"/>
    <w:rsid w:val="00DB7F85"/>
    <w:rsid w:val="00DD0347"/>
    <w:rsid w:val="00DE6FBD"/>
    <w:rsid w:val="00E13160"/>
    <w:rsid w:val="00E1660B"/>
    <w:rsid w:val="00E3684D"/>
    <w:rsid w:val="00E43B74"/>
    <w:rsid w:val="00E51227"/>
    <w:rsid w:val="00E53D44"/>
    <w:rsid w:val="00E7009A"/>
    <w:rsid w:val="00E729CB"/>
    <w:rsid w:val="00E816D0"/>
    <w:rsid w:val="00E905C7"/>
    <w:rsid w:val="00EC6F0B"/>
    <w:rsid w:val="00EC7807"/>
    <w:rsid w:val="00F01F11"/>
    <w:rsid w:val="00F0764B"/>
    <w:rsid w:val="00F33A20"/>
    <w:rsid w:val="00F552CA"/>
    <w:rsid w:val="00F97200"/>
    <w:rsid w:val="00FA6052"/>
    <w:rsid w:val="00FB745C"/>
    <w:rsid w:val="00FD2D5B"/>
    <w:rsid w:val="00FD6E3F"/>
    <w:rsid w:val="00FE1818"/>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15548">
      <w:bodyDiv w:val="1"/>
      <w:marLeft w:val="0"/>
      <w:marRight w:val="0"/>
      <w:marTop w:val="0"/>
      <w:marBottom w:val="0"/>
      <w:divBdr>
        <w:top w:val="none" w:sz="0" w:space="0" w:color="auto"/>
        <w:left w:val="none" w:sz="0" w:space="0" w:color="auto"/>
        <w:bottom w:val="none" w:sz="0" w:space="0" w:color="auto"/>
        <w:right w:val="none" w:sz="0" w:space="0" w:color="auto"/>
      </w:divBdr>
    </w:div>
    <w:div w:id="1361857392">
      <w:bodyDiv w:val="1"/>
      <w:marLeft w:val="0"/>
      <w:marRight w:val="0"/>
      <w:marTop w:val="0"/>
      <w:marBottom w:val="0"/>
      <w:divBdr>
        <w:top w:val="none" w:sz="0" w:space="0" w:color="auto"/>
        <w:left w:val="none" w:sz="0" w:space="0" w:color="auto"/>
        <w:bottom w:val="none" w:sz="0" w:space="0" w:color="auto"/>
        <w:right w:val="none" w:sz="0" w:space="0" w:color="auto"/>
      </w:divBdr>
      <w:divsChild>
        <w:div w:id="2125878974">
          <w:marLeft w:val="0"/>
          <w:marRight w:val="0"/>
          <w:marTop w:val="0"/>
          <w:marBottom w:val="0"/>
          <w:divBdr>
            <w:top w:val="none" w:sz="0" w:space="0" w:color="auto"/>
            <w:left w:val="none" w:sz="0" w:space="0" w:color="auto"/>
            <w:bottom w:val="none" w:sz="0" w:space="0" w:color="auto"/>
            <w:right w:val="none" w:sz="0" w:space="0" w:color="auto"/>
          </w:divBdr>
          <w:divsChild>
            <w:div w:id="179706822">
              <w:marLeft w:val="0"/>
              <w:marRight w:val="0"/>
              <w:marTop w:val="0"/>
              <w:marBottom w:val="0"/>
              <w:divBdr>
                <w:top w:val="none" w:sz="0" w:space="0" w:color="auto"/>
                <w:left w:val="none" w:sz="0" w:space="0" w:color="auto"/>
                <w:bottom w:val="none" w:sz="0" w:space="0" w:color="auto"/>
                <w:right w:val="none" w:sz="0" w:space="0" w:color="auto"/>
              </w:divBdr>
              <w:divsChild>
                <w:div w:id="1460295246">
                  <w:marLeft w:val="0"/>
                  <w:marRight w:val="0"/>
                  <w:marTop w:val="0"/>
                  <w:marBottom w:val="0"/>
                  <w:divBdr>
                    <w:top w:val="none" w:sz="0" w:space="0" w:color="auto"/>
                    <w:left w:val="none" w:sz="0" w:space="0" w:color="auto"/>
                    <w:bottom w:val="none" w:sz="0" w:space="0" w:color="auto"/>
                    <w:right w:val="none" w:sz="0" w:space="0" w:color="auto"/>
                  </w:divBdr>
                  <w:divsChild>
                    <w:div w:id="1546061720">
                      <w:marLeft w:val="0"/>
                      <w:marRight w:val="0"/>
                      <w:marTop w:val="0"/>
                      <w:marBottom w:val="0"/>
                      <w:divBdr>
                        <w:top w:val="none" w:sz="0" w:space="0" w:color="auto"/>
                        <w:left w:val="none" w:sz="0" w:space="0" w:color="auto"/>
                        <w:bottom w:val="none" w:sz="0" w:space="0" w:color="auto"/>
                        <w:right w:val="none" w:sz="0" w:space="0" w:color="auto"/>
                      </w:divBdr>
                      <w:divsChild>
                        <w:div w:id="1175849083">
                          <w:marLeft w:val="0"/>
                          <w:marRight w:val="0"/>
                          <w:marTop w:val="0"/>
                          <w:marBottom w:val="0"/>
                          <w:divBdr>
                            <w:top w:val="none" w:sz="0" w:space="0" w:color="auto"/>
                            <w:left w:val="none" w:sz="0" w:space="0" w:color="auto"/>
                            <w:bottom w:val="none" w:sz="0" w:space="0" w:color="auto"/>
                            <w:right w:val="none" w:sz="0" w:space="0" w:color="auto"/>
                          </w:divBdr>
                          <w:divsChild>
                            <w:div w:id="572546607">
                              <w:marLeft w:val="0"/>
                              <w:marRight w:val="0"/>
                              <w:marTop w:val="0"/>
                              <w:marBottom w:val="0"/>
                              <w:divBdr>
                                <w:top w:val="none" w:sz="0" w:space="0" w:color="auto"/>
                                <w:left w:val="none" w:sz="0" w:space="0" w:color="auto"/>
                                <w:bottom w:val="none" w:sz="0" w:space="0" w:color="auto"/>
                                <w:right w:val="none" w:sz="0" w:space="0" w:color="auto"/>
                              </w:divBdr>
                              <w:divsChild>
                                <w:div w:id="636377876">
                                  <w:marLeft w:val="0"/>
                                  <w:marRight w:val="0"/>
                                  <w:marTop w:val="0"/>
                                  <w:marBottom w:val="0"/>
                                  <w:divBdr>
                                    <w:top w:val="none" w:sz="0" w:space="0" w:color="auto"/>
                                    <w:left w:val="none" w:sz="0" w:space="0" w:color="auto"/>
                                    <w:bottom w:val="none" w:sz="0" w:space="0" w:color="auto"/>
                                    <w:right w:val="none" w:sz="0" w:space="0" w:color="auto"/>
                                  </w:divBdr>
                                  <w:divsChild>
                                    <w:div w:id="1403718551">
                                      <w:marLeft w:val="60"/>
                                      <w:marRight w:val="0"/>
                                      <w:marTop w:val="0"/>
                                      <w:marBottom w:val="0"/>
                                      <w:divBdr>
                                        <w:top w:val="none" w:sz="0" w:space="0" w:color="auto"/>
                                        <w:left w:val="none" w:sz="0" w:space="0" w:color="auto"/>
                                        <w:bottom w:val="none" w:sz="0" w:space="0" w:color="auto"/>
                                        <w:right w:val="none" w:sz="0" w:space="0" w:color="auto"/>
                                      </w:divBdr>
                                      <w:divsChild>
                                        <w:div w:id="1982612864">
                                          <w:marLeft w:val="0"/>
                                          <w:marRight w:val="0"/>
                                          <w:marTop w:val="0"/>
                                          <w:marBottom w:val="0"/>
                                          <w:divBdr>
                                            <w:top w:val="none" w:sz="0" w:space="0" w:color="auto"/>
                                            <w:left w:val="none" w:sz="0" w:space="0" w:color="auto"/>
                                            <w:bottom w:val="none" w:sz="0" w:space="0" w:color="auto"/>
                                            <w:right w:val="none" w:sz="0" w:space="0" w:color="auto"/>
                                          </w:divBdr>
                                          <w:divsChild>
                                            <w:div w:id="1226140656">
                                              <w:marLeft w:val="0"/>
                                              <w:marRight w:val="0"/>
                                              <w:marTop w:val="0"/>
                                              <w:marBottom w:val="120"/>
                                              <w:divBdr>
                                                <w:top w:val="single" w:sz="6" w:space="0" w:color="F5F5F5"/>
                                                <w:left w:val="single" w:sz="6" w:space="0" w:color="F5F5F5"/>
                                                <w:bottom w:val="single" w:sz="6" w:space="0" w:color="F5F5F5"/>
                                                <w:right w:val="single" w:sz="6" w:space="0" w:color="F5F5F5"/>
                                              </w:divBdr>
                                              <w:divsChild>
                                                <w:div w:id="1497067194">
                                                  <w:marLeft w:val="0"/>
                                                  <w:marRight w:val="0"/>
                                                  <w:marTop w:val="0"/>
                                                  <w:marBottom w:val="0"/>
                                                  <w:divBdr>
                                                    <w:top w:val="none" w:sz="0" w:space="0" w:color="auto"/>
                                                    <w:left w:val="none" w:sz="0" w:space="0" w:color="auto"/>
                                                    <w:bottom w:val="none" w:sz="0" w:space="0" w:color="auto"/>
                                                    <w:right w:val="none" w:sz="0" w:space="0" w:color="auto"/>
                                                  </w:divBdr>
                                                  <w:divsChild>
                                                    <w:div w:id="863322332">
                                                      <w:marLeft w:val="0"/>
                                                      <w:marRight w:val="0"/>
                                                      <w:marTop w:val="0"/>
                                                      <w:marBottom w:val="0"/>
                                                      <w:divBdr>
                                                        <w:top w:val="none" w:sz="0" w:space="0" w:color="auto"/>
                                                        <w:left w:val="none" w:sz="0" w:space="0" w:color="auto"/>
                                                        <w:bottom w:val="none" w:sz="0" w:space="0" w:color="auto"/>
                                                        <w:right w:val="none" w:sz="0" w:space="0" w:color="auto"/>
                                                      </w:divBdr>
                                                    </w:div>
                                                  </w:divsChild>
                                                </w:div>
                                                <w:div w:id="763038679">
                                                  <w:marLeft w:val="0"/>
                                                  <w:marRight w:val="0"/>
                                                  <w:marTop w:val="0"/>
                                                  <w:marBottom w:val="0"/>
                                                  <w:divBdr>
                                                    <w:top w:val="none" w:sz="0" w:space="0" w:color="auto"/>
                                                    <w:left w:val="none" w:sz="0" w:space="0" w:color="auto"/>
                                                    <w:bottom w:val="none" w:sz="0" w:space="0" w:color="auto"/>
                                                    <w:right w:val="none" w:sz="0" w:space="0" w:color="auto"/>
                                                  </w:divBdr>
                                                  <w:divsChild>
                                                    <w:div w:id="19234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0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643A3-4ED4-4343-9255-4A586C9C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18</Pages>
  <Words>7353</Words>
  <Characters>41918</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
    </vt:vector>
  </TitlesOfParts>
  <Company>Servier</Company>
  <LinksUpToDate>false</LinksUpToDate>
  <CharactersWithSpaces>49173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margita.hranaiova@sanofi.com</dc:creator>
  <cp:lastModifiedBy>Grančaiová, Zuzana</cp:lastModifiedBy>
  <cp:revision>10</cp:revision>
  <dcterms:created xsi:type="dcterms:W3CDTF">2019-01-02T21:50:00Z</dcterms:created>
  <dcterms:modified xsi:type="dcterms:W3CDTF">2019-01-23T09:40:00Z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-16411871</vt:i4>
  </property>
  <property fmtid="{D5CDD505-2E9C-101B-9397-08002B2CF9AE}" pid="4" name="_EmailSubject">
    <vt:lpwstr> Mixor </vt:lpwstr>
  </property>
  <property fmtid="{D5CDD505-2E9C-101B-9397-08002B2CF9AE}" pid="5" name="_AuthorEmail">
    <vt:lpwstr>margita.hranaiova@zentiva.com</vt:lpwstr>
  </property>
  <property fmtid="{D5CDD505-2E9C-101B-9397-08002B2CF9AE}" pid="6" name="_AuthorEmailDisplayName">
    <vt:lpwstr>Hranaiova, Margita /SK</vt:lpwstr>
  </property>
  <property fmtid="{D5CDD505-2E9C-101B-9397-08002B2CF9AE}" pid="7" name="_PreviousAdHocReviewCycleID">
    <vt:i4>1842494348</vt:i4>
  </property>
  <property fmtid="{D5CDD505-2E9C-101B-9397-08002B2CF9AE}" pid="8" name="_ReviewingToolsShownOnce">
    <vt:lpwstr/>
  </property>
</Properties>
</file>