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E221D" w14:textId="376689C3" w:rsidR="007157A4" w:rsidRDefault="009C0B97" w:rsidP="00CC30DA">
      <w:pPr>
        <w:pStyle w:val="SPCaPILhlavika"/>
      </w:pPr>
      <w:bookmarkStart w:id="0" w:name="_GoBack"/>
      <w:bookmarkEnd w:id="0"/>
      <w:r w:rsidRPr="006C531D">
        <w:t>SÚHRN CHARAKTERISTICKÝCH VLASTNOSTÍ LIEKU</w:t>
      </w:r>
    </w:p>
    <w:p w14:paraId="28D8AB95" w14:textId="4DC41E32" w:rsidR="00EB51D4" w:rsidRPr="00AD6BE5" w:rsidRDefault="00AD6BE5">
      <w:pPr>
        <w:pStyle w:val="Styl1"/>
      </w:pPr>
      <w:r>
        <w:t xml:space="preserve"> </w:t>
      </w:r>
      <w:r w:rsidR="00EB51D4" w:rsidRPr="00AD6BE5">
        <w:t>NÁZOV LIEKU</w:t>
      </w:r>
    </w:p>
    <w:p w14:paraId="1B3B33B8" w14:textId="505E29FF" w:rsidR="00EB51D4" w:rsidRPr="006C531D" w:rsidRDefault="00C51965" w:rsidP="001D4259">
      <w:pPr>
        <w:pStyle w:val="Normlndobloku"/>
      </w:pPr>
      <w:r w:rsidRPr="006C531D">
        <w:t>SOFENTIL 5 mikrogramov/ml injekčný</w:t>
      </w:r>
      <w:r w:rsidR="008923C8">
        <w:t>/</w:t>
      </w:r>
      <w:r w:rsidRPr="006C531D">
        <w:t>infúzny roztok</w:t>
      </w:r>
    </w:p>
    <w:p w14:paraId="19BA4348" w14:textId="477DFA32" w:rsidR="00EB51D4" w:rsidRPr="006C531D" w:rsidRDefault="00C51965" w:rsidP="001D4259">
      <w:pPr>
        <w:pStyle w:val="Normlndobloku"/>
      </w:pPr>
      <w:r w:rsidRPr="006C531D">
        <w:rPr>
          <w:highlight w:val="lightGray"/>
        </w:rPr>
        <w:t>SOFENTIL 50 mikrogramov/ml injekčný</w:t>
      </w:r>
      <w:r w:rsidR="008923C8">
        <w:rPr>
          <w:highlight w:val="lightGray"/>
        </w:rPr>
        <w:t>/</w:t>
      </w:r>
      <w:r w:rsidRPr="006C531D">
        <w:rPr>
          <w:highlight w:val="lightGray"/>
        </w:rPr>
        <w:t>infúzny roztok</w:t>
      </w:r>
    </w:p>
    <w:p w14:paraId="3B2C44B2" w14:textId="1479CEA7" w:rsidR="008923C8" w:rsidRPr="006C531D" w:rsidRDefault="00AD6BE5">
      <w:pPr>
        <w:pStyle w:val="Styl1"/>
      </w:pPr>
      <w:r>
        <w:t xml:space="preserve"> </w:t>
      </w:r>
      <w:r w:rsidR="00EB51D4" w:rsidRPr="006C531D">
        <w:t>KVALITATÍVNE</w:t>
      </w:r>
      <w:r w:rsidR="00003A11" w:rsidRPr="006C531D">
        <w:t xml:space="preserve"> a </w:t>
      </w:r>
      <w:r w:rsidR="00EB51D4" w:rsidRPr="006C531D">
        <w:t>KVANTITATÍVNE ZLOŽENIE</w:t>
      </w:r>
    </w:p>
    <w:p w14:paraId="6CAA859B" w14:textId="46F432D8" w:rsidR="00C51965" w:rsidRPr="006C531D" w:rsidRDefault="00C51965" w:rsidP="001D4259">
      <w:pPr>
        <w:pStyle w:val="Normlndobloku"/>
      </w:pPr>
      <w:r w:rsidRPr="006C531D">
        <w:t>SOFENTIL 5 mikrogramov/ml injekčný</w:t>
      </w:r>
      <w:r w:rsidR="00ED14C7">
        <w:t>/</w:t>
      </w:r>
      <w:r w:rsidRPr="006C531D">
        <w:t>infúzny roztok</w:t>
      </w:r>
    </w:p>
    <w:p w14:paraId="3A7A9D1C" w14:textId="653C6D31" w:rsidR="00E332EF" w:rsidRPr="006C531D" w:rsidRDefault="00E332EF" w:rsidP="001D4259">
      <w:pPr>
        <w:pStyle w:val="Normlndobloku"/>
      </w:pPr>
      <w:r w:rsidRPr="006C531D">
        <w:t>Jeden ml roztoku obsahuje sufentanil 5 mikrogramov ako sufentanil citr</w:t>
      </w:r>
      <w:r w:rsidR="00921792" w:rsidRPr="006C531D">
        <w:t>át</w:t>
      </w:r>
      <w:r w:rsidRPr="006C531D">
        <w:t>.</w:t>
      </w:r>
    </w:p>
    <w:p w14:paraId="64D46E10" w14:textId="214F6AC7" w:rsidR="00C51965" w:rsidRPr="006C531D" w:rsidRDefault="00C51965" w:rsidP="001D4259">
      <w:pPr>
        <w:pStyle w:val="Normlndobloku"/>
      </w:pPr>
      <w:r w:rsidRPr="006C531D">
        <w:rPr>
          <w:highlight w:val="lightGray"/>
        </w:rPr>
        <w:t>SOFENTIL 50 mikrogramov/ml injekčný</w:t>
      </w:r>
      <w:r w:rsidR="00ED14C7">
        <w:rPr>
          <w:highlight w:val="lightGray"/>
        </w:rPr>
        <w:t>/</w:t>
      </w:r>
      <w:r w:rsidRPr="006C531D">
        <w:rPr>
          <w:highlight w:val="lightGray"/>
        </w:rPr>
        <w:t>infúzny roztok</w:t>
      </w:r>
    </w:p>
    <w:p w14:paraId="0DE77EDD" w14:textId="1EE1E308" w:rsidR="00E332EF" w:rsidRPr="006C531D" w:rsidRDefault="00E332EF" w:rsidP="001D4259">
      <w:pPr>
        <w:pStyle w:val="Normlndobloku"/>
      </w:pPr>
      <w:r w:rsidRPr="006C531D">
        <w:t>Jeden ml roztoku obsahuje sufentanil 50 mikrogramov ako sufentanil</w:t>
      </w:r>
      <w:r w:rsidR="00921792" w:rsidRPr="006C531D">
        <w:t xml:space="preserve"> </w:t>
      </w:r>
      <w:r w:rsidRPr="006C531D">
        <w:t>citr</w:t>
      </w:r>
      <w:r w:rsidR="00921792" w:rsidRPr="006C531D">
        <w:t>át</w:t>
      </w:r>
      <w:r w:rsidRPr="006C531D">
        <w:t>.</w:t>
      </w:r>
    </w:p>
    <w:p w14:paraId="4550F443" w14:textId="6EDBEC37" w:rsidR="00E332EF" w:rsidRPr="006C531D" w:rsidRDefault="00E332EF" w:rsidP="001D4259">
      <w:pPr>
        <w:pStyle w:val="Normlndobloku"/>
      </w:pPr>
      <w:r w:rsidRPr="006C531D">
        <w:rPr>
          <w:rStyle w:val="Styl3Char"/>
        </w:rPr>
        <w:t>Pomocné látky so známym účinkom:</w:t>
      </w:r>
      <w:r w:rsidRPr="006C531D">
        <w:t xml:space="preserve"> hydroxid sodný</w:t>
      </w:r>
      <w:r w:rsidR="00003A11" w:rsidRPr="006C531D">
        <w:t xml:space="preserve"> a </w:t>
      </w:r>
      <w:r w:rsidRPr="006C531D">
        <w:t>chlorid sodný</w:t>
      </w:r>
    </w:p>
    <w:p w14:paraId="4DB778AB" w14:textId="77777777" w:rsidR="00E332EF" w:rsidRPr="006C531D" w:rsidRDefault="00E332EF" w:rsidP="001D4259">
      <w:pPr>
        <w:pStyle w:val="Normlndobloku"/>
      </w:pPr>
      <w:r w:rsidRPr="006C531D">
        <w:t>Jeden ml injekčného roztoku obsahuje 0,39 mmol sodíka (9 mg).</w:t>
      </w:r>
    </w:p>
    <w:p w14:paraId="4500C211" w14:textId="129D1928" w:rsidR="00EB51D4" w:rsidRPr="006C531D" w:rsidRDefault="00E332EF" w:rsidP="001D4259">
      <w:pPr>
        <w:pStyle w:val="Normlndobloku"/>
      </w:pPr>
      <w:r w:rsidRPr="006C531D">
        <w:t>Úplný zoznam pomocných látok, pozri časť 6.1.</w:t>
      </w:r>
    </w:p>
    <w:p w14:paraId="34DADCC5" w14:textId="2DE5FF7D" w:rsidR="00EB51D4" w:rsidRPr="006C531D" w:rsidRDefault="00B652AB">
      <w:pPr>
        <w:pStyle w:val="Styl1"/>
      </w:pPr>
      <w:r>
        <w:t xml:space="preserve"> </w:t>
      </w:r>
      <w:r w:rsidR="00EB51D4" w:rsidRPr="006C531D">
        <w:t>LIEKOVÁ FORMA</w:t>
      </w:r>
    </w:p>
    <w:p w14:paraId="205A97F8" w14:textId="0CF3879C" w:rsidR="00E332EF" w:rsidRPr="006C531D" w:rsidRDefault="00E332EF" w:rsidP="001D4259">
      <w:pPr>
        <w:pStyle w:val="Normlndobloku"/>
      </w:pPr>
      <w:r w:rsidRPr="006C531D">
        <w:t>Injekčný</w:t>
      </w:r>
      <w:r w:rsidR="007157A4" w:rsidRPr="006C531D">
        <w:t>/</w:t>
      </w:r>
      <w:r w:rsidRPr="006C531D">
        <w:t>infúzny roztok</w:t>
      </w:r>
    </w:p>
    <w:p w14:paraId="7C3C822F" w14:textId="31544635" w:rsidR="00EB51D4" w:rsidRPr="006C531D" w:rsidRDefault="00E332EF" w:rsidP="001D4259">
      <w:pPr>
        <w:pStyle w:val="Normlndobloku"/>
      </w:pPr>
      <w:r w:rsidRPr="006C531D">
        <w:t>Roztok je číry</w:t>
      </w:r>
      <w:r w:rsidR="00003A11" w:rsidRPr="006C531D">
        <w:t xml:space="preserve"> a </w:t>
      </w:r>
      <w:r w:rsidRPr="006C531D">
        <w:t>bezfarebný, bez viditeľných častíc, pH 4,0</w:t>
      </w:r>
      <w:r w:rsidR="009C0B97" w:rsidRPr="006C531D">
        <w:t> – </w:t>
      </w:r>
      <w:r w:rsidRPr="006C531D">
        <w:t>6,0</w:t>
      </w:r>
      <w:r w:rsidR="00003A11" w:rsidRPr="006C531D">
        <w:t xml:space="preserve"> a</w:t>
      </w:r>
      <w:r w:rsidR="009E0912">
        <w:t> </w:t>
      </w:r>
      <w:r w:rsidRPr="006C531D">
        <w:t>osmolalit</w:t>
      </w:r>
      <w:r w:rsidR="009E0912">
        <w:t>a je</w:t>
      </w:r>
      <w:r w:rsidRPr="006C531D">
        <w:t xml:space="preserve"> 250</w:t>
      </w:r>
      <w:r w:rsidR="009C0B97" w:rsidRPr="006C531D">
        <w:t> – </w:t>
      </w:r>
      <w:r w:rsidRPr="006C531D">
        <w:t>310 m</w:t>
      </w:r>
      <w:r w:rsidR="00345A3D">
        <w:t>o</w:t>
      </w:r>
      <w:r w:rsidRPr="006C531D">
        <w:t>smol</w:t>
      </w:r>
      <w:r w:rsidR="007157A4" w:rsidRPr="006C531D">
        <w:t>/</w:t>
      </w:r>
      <w:r w:rsidRPr="006C531D">
        <w:t>kg.</w:t>
      </w:r>
    </w:p>
    <w:p w14:paraId="1D4A4B7A" w14:textId="3DE1BCC9" w:rsidR="00EB51D4" w:rsidRPr="006C531D" w:rsidRDefault="00B652AB">
      <w:pPr>
        <w:pStyle w:val="Styl1"/>
      </w:pPr>
      <w:r>
        <w:t xml:space="preserve"> </w:t>
      </w:r>
      <w:r w:rsidR="00EB51D4" w:rsidRPr="006C531D">
        <w:t>KLINICKÉ ÚDAJE</w:t>
      </w:r>
    </w:p>
    <w:p w14:paraId="5C3197FA" w14:textId="3F00BCB8" w:rsidR="00EB51D4" w:rsidRPr="00CC30DA" w:rsidRDefault="001D4259" w:rsidP="001D4259">
      <w:pPr>
        <w:pStyle w:val="Styl2"/>
      </w:pPr>
      <w:r>
        <w:t xml:space="preserve"> </w:t>
      </w:r>
      <w:r w:rsidR="00EB51D4" w:rsidRPr="00CC30DA">
        <w:t>Terapeutické indikácie</w:t>
      </w:r>
    </w:p>
    <w:p w14:paraId="53AA2F51" w14:textId="77777777" w:rsidR="00B94ABA" w:rsidRPr="006C531D" w:rsidRDefault="00B94ABA" w:rsidP="001D4259">
      <w:pPr>
        <w:pStyle w:val="Styl3"/>
      </w:pPr>
      <w:r w:rsidRPr="006C531D">
        <w:t>Dospelí</w:t>
      </w:r>
    </w:p>
    <w:p w14:paraId="42E62000" w14:textId="6111422B" w:rsidR="00B94ABA" w:rsidRPr="006C531D" w:rsidRDefault="00B94ABA" w:rsidP="001D4259">
      <w:pPr>
        <w:pStyle w:val="Normlndobloku"/>
      </w:pPr>
      <w:r w:rsidRPr="006C531D">
        <w:t>Kombinovaná anestézia</w:t>
      </w:r>
      <w:r w:rsidR="00003A11" w:rsidRPr="006C531D">
        <w:t xml:space="preserve"> a </w:t>
      </w:r>
      <w:r w:rsidRPr="006C531D">
        <w:t>analgézia.</w:t>
      </w:r>
    </w:p>
    <w:p w14:paraId="116682AF" w14:textId="77777777" w:rsidR="00B94ABA" w:rsidRPr="006C531D" w:rsidRDefault="00B94ABA" w:rsidP="001D4259">
      <w:pPr>
        <w:pStyle w:val="Normlndobloku"/>
      </w:pPr>
      <w:r w:rsidRPr="006C531D">
        <w:t>Epidurálna analgézia pri liečbe pooperačnej bolesti.</w:t>
      </w:r>
    </w:p>
    <w:p w14:paraId="24B02F85" w14:textId="1E0D15E2" w:rsidR="00B94ABA" w:rsidRPr="006C531D" w:rsidRDefault="00B94ABA" w:rsidP="001D4259">
      <w:pPr>
        <w:pStyle w:val="Normlndobloku"/>
      </w:pPr>
      <w:r w:rsidRPr="006C531D">
        <w:t>Analgetický doplnok spoločne</w:t>
      </w:r>
      <w:r w:rsidR="00003A11" w:rsidRPr="006C531D">
        <w:t xml:space="preserve"> s </w:t>
      </w:r>
      <w:r w:rsidRPr="006C531D">
        <w:t>epidurálnym podaním bupivakaínu počas pôrodných bolestí</w:t>
      </w:r>
      <w:r w:rsidR="00003A11" w:rsidRPr="006C531D">
        <w:t xml:space="preserve"> a </w:t>
      </w:r>
      <w:r w:rsidRPr="006C531D">
        <w:t>vaginálneho pôrodu.</w:t>
      </w:r>
    </w:p>
    <w:p w14:paraId="771A8FC5" w14:textId="77777777" w:rsidR="00B94ABA" w:rsidRPr="006C531D" w:rsidRDefault="00B94ABA" w:rsidP="001D4259">
      <w:pPr>
        <w:pStyle w:val="Styl3"/>
      </w:pPr>
      <w:r w:rsidRPr="006C531D">
        <w:t>Pediatrická populácia</w:t>
      </w:r>
    </w:p>
    <w:p w14:paraId="2437F660" w14:textId="2D24D173" w:rsidR="00344800" w:rsidRPr="006C531D" w:rsidRDefault="00B94ABA" w:rsidP="001D4259">
      <w:pPr>
        <w:pStyle w:val="Normlndobloku"/>
      </w:pPr>
      <w:r w:rsidRPr="006C531D">
        <w:rPr>
          <w:rStyle w:val="Bacil"/>
        </w:rPr>
        <w:t>Intravenózne podanie:</w:t>
      </w:r>
      <w:r w:rsidRPr="006C531D">
        <w:t xml:space="preserve"> SOFENTIL je indikovaný ako analgeti</w:t>
      </w:r>
      <w:r w:rsidR="00921792" w:rsidRPr="006C531D">
        <w:t>kum</w:t>
      </w:r>
      <w:r w:rsidRPr="006C531D">
        <w:t xml:space="preserve"> počas indukcie a/alebo udrž</w:t>
      </w:r>
      <w:r w:rsidR="00921792" w:rsidRPr="006C531D">
        <w:t>i</w:t>
      </w:r>
      <w:r w:rsidR="009C0B97" w:rsidRPr="006C531D">
        <w:t>a</w:t>
      </w:r>
      <w:r w:rsidR="00921792" w:rsidRPr="006C531D">
        <w:t>van</w:t>
      </w:r>
      <w:r w:rsidR="009C0B97" w:rsidRPr="006C531D">
        <w:t>ia</w:t>
      </w:r>
      <w:r w:rsidRPr="006C531D">
        <w:t xml:space="preserve"> vyvážen</w:t>
      </w:r>
      <w:r w:rsidR="00921792" w:rsidRPr="006C531D">
        <w:t>ej</w:t>
      </w:r>
      <w:r w:rsidRPr="006C531D">
        <w:t xml:space="preserve"> celkovej anestézie u detí vo veku od 1 mesiaca</w:t>
      </w:r>
      <w:r w:rsidR="00344800">
        <w:t>.</w:t>
      </w:r>
    </w:p>
    <w:p w14:paraId="4B07BD36" w14:textId="792E4321" w:rsidR="00EB51D4" w:rsidRPr="006C531D" w:rsidRDefault="00B94ABA" w:rsidP="001D4259">
      <w:pPr>
        <w:pStyle w:val="Normlndobloku"/>
      </w:pPr>
      <w:r w:rsidRPr="006C531D">
        <w:rPr>
          <w:rStyle w:val="Bacil"/>
        </w:rPr>
        <w:t>Epiduráln</w:t>
      </w:r>
      <w:r w:rsidR="00F40983" w:rsidRPr="006C531D">
        <w:rPr>
          <w:rStyle w:val="Bacil"/>
        </w:rPr>
        <w:t>e</w:t>
      </w:r>
      <w:r w:rsidRPr="006C531D">
        <w:rPr>
          <w:rStyle w:val="Bacil"/>
        </w:rPr>
        <w:t xml:space="preserve"> podanie:</w:t>
      </w:r>
      <w:r w:rsidRPr="006C531D">
        <w:t xml:space="preserve"> SOFENTIL je indikovaný pri nutnosti tlmenia bolesti</w:t>
      </w:r>
      <w:r w:rsidR="00003A11" w:rsidRPr="006C531D">
        <w:t xml:space="preserve"> v </w:t>
      </w:r>
      <w:r w:rsidRPr="006C531D">
        <w:t>pooperačnom období po veľkom chirurgickom výkone, ortopedickej alebo hrudnej operácii u detí vo veku od 1 roka.</w:t>
      </w:r>
    </w:p>
    <w:p w14:paraId="02F2A5B3" w14:textId="2A02BA8A" w:rsidR="00EB51D4" w:rsidRPr="006C531D" w:rsidRDefault="00AD6BE5" w:rsidP="001D4259">
      <w:pPr>
        <w:pStyle w:val="Styl2"/>
      </w:pPr>
      <w:r>
        <w:t xml:space="preserve"> </w:t>
      </w:r>
      <w:r w:rsidR="00EB51D4" w:rsidRPr="006C531D">
        <w:t>Dávkovanie</w:t>
      </w:r>
      <w:r w:rsidR="00003A11" w:rsidRPr="006C531D">
        <w:t xml:space="preserve"> a </w:t>
      </w:r>
      <w:r w:rsidR="00EB51D4" w:rsidRPr="006C531D">
        <w:t>spôsob podávania</w:t>
      </w:r>
    </w:p>
    <w:p w14:paraId="71A93ED2" w14:textId="77777777" w:rsidR="00B94ABA" w:rsidRPr="006C531D" w:rsidRDefault="00B94ABA" w:rsidP="001D4259">
      <w:pPr>
        <w:pStyle w:val="Styl3"/>
      </w:pPr>
      <w:r w:rsidRPr="006C531D">
        <w:t>Dospelí</w:t>
      </w:r>
    </w:p>
    <w:p w14:paraId="04DBE71E" w14:textId="0B9DE021" w:rsidR="00B94ABA" w:rsidRPr="006C531D" w:rsidRDefault="00B94ABA" w:rsidP="001D4259">
      <w:pPr>
        <w:pStyle w:val="Normlndobloku"/>
      </w:pPr>
      <w:r w:rsidRPr="006C531D">
        <w:t>Kombinovaná anestézia</w:t>
      </w:r>
      <w:r w:rsidR="00003A11" w:rsidRPr="006C531D">
        <w:t xml:space="preserve"> a </w:t>
      </w:r>
      <w:r w:rsidRPr="006C531D">
        <w:t>analgézia:</w:t>
      </w:r>
    </w:p>
    <w:p w14:paraId="033E21E0" w14:textId="6D1BFBBE" w:rsidR="00B94ABA" w:rsidRPr="006C531D" w:rsidRDefault="00B94ABA" w:rsidP="001D4259">
      <w:pPr>
        <w:pStyle w:val="Normlndobloku"/>
      </w:pPr>
      <w:r w:rsidRPr="006C531D">
        <w:t>Analgézia: 0,5</w:t>
      </w:r>
      <w:r w:rsidR="00E1339E" w:rsidRPr="006C531D">
        <w:t> – </w:t>
      </w:r>
      <w:r w:rsidRPr="006C531D">
        <w:t>5 mikrogramov/kg i.v.</w:t>
      </w:r>
    </w:p>
    <w:p w14:paraId="01A635CB" w14:textId="1DA98E8B" w:rsidR="00B94ABA" w:rsidRPr="006C531D" w:rsidRDefault="00B94ABA" w:rsidP="001D4259">
      <w:pPr>
        <w:pStyle w:val="Normlndobloku"/>
      </w:pPr>
      <w:r w:rsidRPr="006C531D">
        <w:t>Anestézia: 25</w:t>
      </w:r>
      <w:r w:rsidR="00E1339E" w:rsidRPr="006C531D">
        <w:t> – </w:t>
      </w:r>
      <w:r w:rsidRPr="006C531D">
        <w:t>50 mikrogramov/kg i.v.</w:t>
      </w:r>
    </w:p>
    <w:p w14:paraId="606A4EB0" w14:textId="5AA2C827" w:rsidR="00B94ABA" w:rsidRPr="006C531D" w:rsidRDefault="00B94ABA" w:rsidP="001D4259">
      <w:pPr>
        <w:pStyle w:val="Normlndobloku"/>
      </w:pPr>
      <w:r w:rsidRPr="006C531D">
        <w:t>Epidurálna analgézia pri liečbe pooperačnej bolesti: 25</w:t>
      </w:r>
      <w:r w:rsidR="00E1339E" w:rsidRPr="006C531D">
        <w:t> – </w:t>
      </w:r>
      <w:r w:rsidRPr="006C531D">
        <w:t>50 mikrogramov</w:t>
      </w:r>
    </w:p>
    <w:p w14:paraId="0B5A24DE" w14:textId="7303A8CC" w:rsidR="00EB51D4" w:rsidRPr="006C531D" w:rsidRDefault="00B94ABA">
      <w:pPr>
        <w:pStyle w:val="Normlndobloku"/>
      </w:pPr>
      <w:r w:rsidRPr="006C531D">
        <w:t>Analgetický doplnok pri pôrode: 5</w:t>
      </w:r>
      <w:r w:rsidR="00E1339E" w:rsidRPr="006C531D">
        <w:t> – </w:t>
      </w:r>
      <w:r w:rsidRPr="006C531D">
        <w:t>20 mikrogramov epidurálne.</w:t>
      </w:r>
    </w:p>
    <w:p w14:paraId="2078F317" w14:textId="38A0D4D4" w:rsidR="00EB51D4" w:rsidRPr="006C531D" w:rsidRDefault="00DF6D59">
      <w:pPr>
        <w:pStyle w:val="Styl2-2"/>
      </w:pPr>
      <w:r w:rsidRPr="006C531D">
        <w:lastRenderedPageBreak/>
        <w:t>Intravenózne podanie</w:t>
      </w:r>
    </w:p>
    <w:p w14:paraId="71AE81F5" w14:textId="287E5449" w:rsidR="00EB51D4" w:rsidRPr="006C531D" w:rsidRDefault="00EB51D4">
      <w:pPr>
        <w:pStyle w:val="Normlndobloku"/>
      </w:pPr>
      <w:r w:rsidRPr="006C531D">
        <w:t>Aby sa predišlo bradykardii, odporúča sa tesne pred úvodom do anestézy podať intravenózne malú dávku anticholinergika</w:t>
      </w:r>
      <w:r w:rsidR="00E1339E" w:rsidRPr="006C531D">
        <w:t xml:space="preserve"> (</w:t>
      </w:r>
      <w:r w:rsidR="00F40983" w:rsidRPr="006C531D">
        <w:t>p</w:t>
      </w:r>
      <w:r w:rsidR="00E1339E" w:rsidRPr="006C531D">
        <w:t>ozri časť 4.4).</w:t>
      </w:r>
    </w:p>
    <w:p w14:paraId="21F7784E" w14:textId="7147839D" w:rsidR="00E1339E" w:rsidRPr="006C531D" w:rsidRDefault="00DF6D59">
      <w:pPr>
        <w:pStyle w:val="Styl2-2"/>
      </w:pPr>
      <w:r w:rsidRPr="006C531D">
        <w:t>E</w:t>
      </w:r>
      <w:r w:rsidR="00E1339E" w:rsidRPr="006C531D">
        <w:t>piduráln</w:t>
      </w:r>
      <w:r w:rsidRPr="006C531D">
        <w:t>e</w:t>
      </w:r>
      <w:r w:rsidR="00E1339E" w:rsidRPr="006C531D">
        <w:t xml:space="preserve"> podanie</w:t>
      </w:r>
    </w:p>
    <w:p w14:paraId="2DCEFD29" w14:textId="326E585A" w:rsidR="00E1339E" w:rsidRPr="006C531D" w:rsidRDefault="00E1339E">
      <w:pPr>
        <w:pStyle w:val="Normlndobloku"/>
      </w:pPr>
      <w:r w:rsidRPr="006C531D">
        <w:t>Pred injek</w:t>
      </w:r>
      <w:r w:rsidR="00633133">
        <w:t>čným podaním</w:t>
      </w:r>
      <w:r w:rsidRPr="006C531D">
        <w:t xml:space="preserve"> </w:t>
      </w:r>
      <w:r w:rsidR="007157A4" w:rsidRPr="006C531D">
        <w:t>SOFENTIL</w:t>
      </w:r>
      <w:r w:rsidR="00633133">
        <w:t>U</w:t>
      </w:r>
      <w:r w:rsidR="00B44274">
        <w:t xml:space="preserve"> </w:t>
      </w:r>
      <w:r w:rsidRPr="006C531D">
        <w:t>musí byť overené správne umiestnenie ihly alebo katétra</w:t>
      </w:r>
      <w:r w:rsidR="00003A11" w:rsidRPr="006C531D">
        <w:t xml:space="preserve"> v </w:t>
      </w:r>
      <w:r w:rsidRPr="006C531D">
        <w:t>epidurálnom priestore.</w:t>
      </w:r>
    </w:p>
    <w:p w14:paraId="78D2E9E7" w14:textId="592F0D52" w:rsidR="00E1339E" w:rsidRPr="006C531D" w:rsidRDefault="00F40983">
      <w:pPr>
        <w:pStyle w:val="Styl3"/>
      </w:pPr>
      <w:r w:rsidRPr="006C531D">
        <w:t>Pediatrická populácia</w:t>
      </w:r>
    </w:p>
    <w:p w14:paraId="4E644538" w14:textId="4E4043D2" w:rsidR="00E1339E" w:rsidRPr="006C531D" w:rsidRDefault="00DF6D59">
      <w:pPr>
        <w:pStyle w:val="Styl2-2"/>
      </w:pPr>
      <w:r w:rsidRPr="006C531D">
        <w:t>I</w:t>
      </w:r>
      <w:r w:rsidR="00E1339E" w:rsidRPr="006C531D">
        <w:t>ntravenózne podanie</w:t>
      </w:r>
    </w:p>
    <w:p w14:paraId="77C04A62" w14:textId="77777777" w:rsidR="00E1339E" w:rsidRPr="006C531D" w:rsidRDefault="00E1339E">
      <w:pPr>
        <w:pStyle w:val="Styl4"/>
      </w:pPr>
      <w:r w:rsidRPr="006C531D">
        <w:t>Deti ≤ 1 mesiac (novorodenci)</w:t>
      </w:r>
    </w:p>
    <w:p w14:paraId="26F29806" w14:textId="4BB1AAC1" w:rsidR="00E1339E" w:rsidRPr="006C531D" w:rsidRDefault="00E1339E">
      <w:pPr>
        <w:pStyle w:val="Normlndobloku"/>
      </w:pPr>
      <w:r w:rsidRPr="006C531D">
        <w:t>Vzhľadom</w:t>
      </w:r>
      <w:r w:rsidR="00003A11" w:rsidRPr="006C531D">
        <w:t xml:space="preserve"> k </w:t>
      </w:r>
      <w:r w:rsidRPr="006C531D">
        <w:t>vysokej variabilite farmakokinetických parametrov u novorodencov nie je možné uviesť žiadne odporúčania pre dávkovanie. Pozri tiež časti 4.4</w:t>
      </w:r>
      <w:r w:rsidR="00003A11" w:rsidRPr="006C531D">
        <w:t xml:space="preserve"> a </w:t>
      </w:r>
      <w:r w:rsidRPr="006C531D">
        <w:t>5.2.</w:t>
      </w:r>
    </w:p>
    <w:p w14:paraId="43BEF2EC" w14:textId="77777777" w:rsidR="00E1339E" w:rsidRPr="006C531D" w:rsidRDefault="00E1339E">
      <w:pPr>
        <w:pStyle w:val="Styl4"/>
      </w:pPr>
      <w:r w:rsidRPr="006C531D">
        <w:t>Deti&gt; 1 mesiac</w:t>
      </w:r>
    </w:p>
    <w:p w14:paraId="0F7A3249" w14:textId="4697D1C7" w:rsidR="00E1339E" w:rsidRPr="006C531D" w:rsidRDefault="00E1339E">
      <w:pPr>
        <w:pStyle w:val="Normlndobloku"/>
      </w:pPr>
      <w:r w:rsidRPr="006C531D">
        <w:t xml:space="preserve">U všetkých dávok sa odporúča premedikácia anticholinergikami (ako napr. </w:t>
      </w:r>
      <w:r w:rsidR="006C531D">
        <w:t>a</w:t>
      </w:r>
      <w:r w:rsidR="006C531D" w:rsidRPr="006C531D">
        <w:t>tropínom</w:t>
      </w:r>
      <w:r w:rsidRPr="006C531D">
        <w:t>), pokiaľ nie sú anticholinergiká kontraindikované.</w:t>
      </w:r>
    </w:p>
    <w:p w14:paraId="5DE7D93C" w14:textId="58D138B1" w:rsidR="00E1339E" w:rsidRPr="006C531D" w:rsidRDefault="00DF6D59">
      <w:pPr>
        <w:pStyle w:val="Styl4"/>
      </w:pPr>
      <w:r w:rsidRPr="006C531D">
        <w:t>I</w:t>
      </w:r>
      <w:r w:rsidR="00E1339E" w:rsidRPr="006C531D">
        <w:t>ndukcia anestézie</w:t>
      </w:r>
    </w:p>
    <w:p w14:paraId="2285ADE9" w14:textId="6A13FF47" w:rsidR="00E1339E" w:rsidRPr="006C531D" w:rsidRDefault="007157A4">
      <w:pPr>
        <w:pStyle w:val="Normlndobloku"/>
      </w:pPr>
      <w:r w:rsidRPr="006C531D">
        <w:t>SOFENTIL</w:t>
      </w:r>
      <w:r w:rsidR="00E1339E" w:rsidRPr="006C531D">
        <w:t xml:space="preserve"> možno podať ako pomalý bolus</w:t>
      </w:r>
      <w:r w:rsidR="00003A11" w:rsidRPr="006C531D">
        <w:t xml:space="preserve"> v </w:t>
      </w:r>
      <w:r w:rsidR="00E1339E" w:rsidRPr="006C531D">
        <w:t>dávke 0,2</w:t>
      </w:r>
      <w:r w:rsidR="00F40983" w:rsidRPr="006C531D">
        <w:t> – </w:t>
      </w:r>
      <w:r w:rsidR="00E1339E" w:rsidRPr="006C531D">
        <w:t>0,5 mikrogramov</w:t>
      </w:r>
      <w:r w:rsidRPr="006C531D">
        <w:t>/</w:t>
      </w:r>
      <w:r w:rsidR="00E1339E" w:rsidRPr="006C531D">
        <w:t>kg</w:t>
      </w:r>
      <w:r w:rsidR="00003A11" w:rsidRPr="006C531D">
        <w:t xml:space="preserve"> v </w:t>
      </w:r>
      <w:r w:rsidR="00E1339E" w:rsidRPr="006C531D">
        <w:t>priebehu 30</w:t>
      </w:r>
      <w:r w:rsidR="00CC30DA">
        <w:t> </w:t>
      </w:r>
      <w:r w:rsidR="00E1339E" w:rsidRPr="006C531D">
        <w:t>sekúnd alebo dlhšie</w:t>
      </w:r>
      <w:r w:rsidR="00003A11" w:rsidRPr="006C531D">
        <w:t xml:space="preserve"> v </w:t>
      </w:r>
      <w:r w:rsidR="00E1339E" w:rsidRPr="006C531D">
        <w:t>kombinácii</w:t>
      </w:r>
      <w:r w:rsidR="00003A11" w:rsidRPr="006C531D">
        <w:t xml:space="preserve"> s </w:t>
      </w:r>
      <w:r w:rsidR="00E1339E" w:rsidRPr="006C531D">
        <w:t>látkou indukujúcou anestézi</w:t>
      </w:r>
      <w:r w:rsidR="00277BDB">
        <w:t>u</w:t>
      </w:r>
      <w:r w:rsidR="00E1339E" w:rsidRPr="006C531D">
        <w:t xml:space="preserve">. Pre väčšie výkony (napr. </w:t>
      </w:r>
      <w:r w:rsidR="00F40983" w:rsidRPr="006C531D">
        <w:t>o</w:t>
      </w:r>
      <w:r w:rsidR="00E1339E" w:rsidRPr="006C531D">
        <w:t>perácie srdca) možno podať dávky až do 1 mikrogramu/kg.</w:t>
      </w:r>
    </w:p>
    <w:p w14:paraId="7D6D98AF" w14:textId="77777777" w:rsidR="00E1339E" w:rsidRPr="006C531D" w:rsidRDefault="00E1339E">
      <w:pPr>
        <w:pStyle w:val="Styl4"/>
      </w:pPr>
      <w:r w:rsidRPr="006C531D">
        <w:t>Udržiavanie anestézie u ventilovaných pacientov</w:t>
      </w:r>
    </w:p>
    <w:p w14:paraId="2389CB0D" w14:textId="4192C616" w:rsidR="00EB51D4" w:rsidRPr="006C531D" w:rsidRDefault="007157A4">
      <w:pPr>
        <w:pStyle w:val="Normlndobloku"/>
      </w:pPr>
      <w:r w:rsidRPr="006C531D">
        <w:t>SOFENTIL</w:t>
      </w:r>
      <w:r w:rsidR="00E1339E" w:rsidRPr="006C531D">
        <w:t xml:space="preserve"> možno podať ako súčasť vyváženej anestézie. Dávka závisí od dávky súčasne podaného anestetik</w:t>
      </w:r>
      <w:r w:rsidR="00B56FFE" w:rsidRPr="006C531D">
        <w:t>a</w:t>
      </w:r>
      <w:r w:rsidR="00E1339E" w:rsidRPr="006C531D">
        <w:t>, typu</w:t>
      </w:r>
      <w:r w:rsidR="00003A11" w:rsidRPr="006C531D">
        <w:t xml:space="preserve"> a </w:t>
      </w:r>
      <w:r w:rsidR="00E1339E" w:rsidRPr="006C531D">
        <w:t>trvania chirurgického výkonu. Počiatočná dávka 0,3</w:t>
      </w:r>
      <w:r w:rsidR="00B56FFE" w:rsidRPr="006C531D">
        <w:t> – </w:t>
      </w:r>
      <w:r w:rsidR="00E1339E" w:rsidRPr="006C531D">
        <w:t>2 mikrogramy/kg sa podáva ako pomalý bolus</w:t>
      </w:r>
      <w:r w:rsidR="00003A11" w:rsidRPr="006C531D">
        <w:t xml:space="preserve"> v </w:t>
      </w:r>
      <w:r w:rsidR="00B56FFE" w:rsidRPr="006C531D">
        <w:t xml:space="preserve">priebehu </w:t>
      </w:r>
      <w:r w:rsidR="00E1339E" w:rsidRPr="006C531D">
        <w:t>aspoň 30 sekúnd</w:t>
      </w:r>
      <w:r w:rsidR="00003A11" w:rsidRPr="006C531D">
        <w:t xml:space="preserve"> a </w:t>
      </w:r>
      <w:r w:rsidR="00E1339E" w:rsidRPr="006C531D">
        <w:t>ďalej je možné</w:t>
      </w:r>
      <w:r w:rsidR="00003A11" w:rsidRPr="006C531D">
        <w:t xml:space="preserve"> v </w:t>
      </w:r>
      <w:r w:rsidR="00B56FFE" w:rsidRPr="006C531D">
        <w:t xml:space="preserve">prípade </w:t>
      </w:r>
      <w:r w:rsidR="00E1339E" w:rsidRPr="006C531D">
        <w:t>potreby pridať ďalšie bolus</w:t>
      </w:r>
      <w:r w:rsidR="00B56FFE" w:rsidRPr="006C531D">
        <w:t>y</w:t>
      </w:r>
      <w:r w:rsidR="00E1339E" w:rsidRPr="006C531D">
        <w:t xml:space="preserve"> 0,1</w:t>
      </w:r>
      <w:r w:rsidR="00B56FFE" w:rsidRPr="006C531D">
        <w:t> – </w:t>
      </w:r>
      <w:r w:rsidR="00E1339E" w:rsidRPr="006C531D">
        <w:t>1 mikrogram</w:t>
      </w:r>
      <w:r w:rsidRPr="006C531D">
        <w:t>/</w:t>
      </w:r>
      <w:r w:rsidR="00E1339E" w:rsidRPr="006C531D">
        <w:t xml:space="preserve">kg až do celkovej maximálnej dávky 5 mikrogramov/kg </w:t>
      </w:r>
      <w:r w:rsidR="00B56FFE" w:rsidRPr="006C531D">
        <w:t>pri</w:t>
      </w:r>
      <w:r w:rsidR="00E1339E" w:rsidRPr="006C531D">
        <w:t xml:space="preserve"> operáci</w:t>
      </w:r>
      <w:r w:rsidR="00B56FFE" w:rsidRPr="006C531D">
        <w:t>i</w:t>
      </w:r>
      <w:r w:rsidR="00E1339E" w:rsidRPr="006C531D">
        <w:t xml:space="preserve"> srdca.</w:t>
      </w:r>
    </w:p>
    <w:p w14:paraId="27526761" w14:textId="21E6FC64" w:rsidR="00B56FFE" w:rsidRPr="006C531D" w:rsidRDefault="00DF6D59">
      <w:pPr>
        <w:pStyle w:val="Styl2-2"/>
      </w:pPr>
      <w:r w:rsidRPr="006C531D">
        <w:t>E</w:t>
      </w:r>
      <w:r w:rsidR="00B56FFE" w:rsidRPr="006C531D">
        <w:t>piduráln</w:t>
      </w:r>
      <w:r w:rsidRPr="006C531D">
        <w:t>e</w:t>
      </w:r>
      <w:r w:rsidR="00B56FFE" w:rsidRPr="006C531D">
        <w:t xml:space="preserve"> podanie</w:t>
      </w:r>
    </w:p>
    <w:p w14:paraId="1F54C816" w14:textId="73BCBE97" w:rsidR="00B56FFE" w:rsidRPr="006C531D" w:rsidRDefault="007157A4">
      <w:pPr>
        <w:pStyle w:val="Normlndobloku"/>
      </w:pPr>
      <w:r w:rsidRPr="006C531D">
        <w:t>SOFENTIL</w:t>
      </w:r>
      <w:r w:rsidR="00B56FFE" w:rsidRPr="006C531D">
        <w:t xml:space="preserve"> môže epidurálne </w:t>
      </w:r>
      <w:r w:rsidR="00F40983" w:rsidRPr="006C531D">
        <w:t xml:space="preserve">deťom </w:t>
      </w:r>
      <w:r w:rsidR="00B56FFE" w:rsidRPr="006C531D">
        <w:t>podať iba anestéziológ špeciálne vyškolený pre detskú epidurálnu anestéziu</w:t>
      </w:r>
      <w:r w:rsidR="00003A11" w:rsidRPr="006C531D">
        <w:t xml:space="preserve"> a </w:t>
      </w:r>
      <w:r w:rsidR="00B56FFE" w:rsidRPr="006C531D">
        <w:t>pre</w:t>
      </w:r>
      <w:r w:rsidR="00F40983" w:rsidRPr="006C531D">
        <w:t xml:space="preserve"> </w:t>
      </w:r>
      <w:r w:rsidR="00B56FFE" w:rsidRPr="006C531D">
        <w:t>zvládnutie respiračnej depresie spôsobenej opioidmi.</w:t>
      </w:r>
      <w:r w:rsidR="00003A11" w:rsidRPr="006C531D">
        <w:t xml:space="preserve"> </w:t>
      </w:r>
      <w:r w:rsidR="008E1D16" w:rsidRPr="006C531D">
        <w:t>K</w:t>
      </w:r>
      <w:r w:rsidR="00003A11" w:rsidRPr="006C531D">
        <w:t> </w:t>
      </w:r>
      <w:r w:rsidR="00B56FFE" w:rsidRPr="006C531D">
        <w:t>dispozícii musí byť príslušné zariadenie pre resuscitáciu, vrátane prístrojov na zabezpečenie dýchacích ciest</w:t>
      </w:r>
      <w:r w:rsidR="00003A11" w:rsidRPr="006C531D">
        <w:t xml:space="preserve"> a </w:t>
      </w:r>
      <w:r w:rsidR="00B56FFE" w:rsidRPr="006C531D">
        <w:t>antagonistov opioidov.</w:t>
      </w:r>
    </w:p>
    <w:p w14:paraId="128CB149" w14:textId="687D9DD7" w:rsidR="00B56FFE" w:rsidRPr="006C531D" w:rsidRDefault="00B56FFE">
      <w:pPr>
        <w:pStyle w:val="Normlndobloku"/>
      </w:pPr>
      <w:r w:rsidRPr="006C531D">
        <w:t xml:space="preserve">Pediatrických pacientov je potrebné monitorovať na </w:t>
      </w:r>
      <w:r w:rsidR="00506C94">
        <w:t>prejav</w:t>
      </w:r>
      <w:r w:rsidRPr="006C531D">
        <w:t xml:space="preserve">y respiračnej depresie aspoň 2 hodiny po epidurálnom podaní </w:t>
      </w:r>
      <w:r w:rsidR="007157A4" w:rsidRPr="006C531D">
        <w:t>SOFENTIL</w:t>
      </w:r>
      <w:r w:rsidR="00DA6B7E">
        <w:t>U</w:t>
      </w:r>
      <w:r w:rsidRPr="006C531D">
        <w:t>. Použitie epidurálnej anestézi</w:t>
      </w:r>
      <w:r w:rsidR="00F40983" w:rsidRPr="006C531D">
        <w:t>e</w:t>
      </w:r>
      <w:r w:rsidRPr="006C531D">
        <w:t xml:space="preserve"> pomocou sufentanilu u detských pacientov bolo dokumentované iba na malom počte pacientov.</w:t>
      </w:r>
    </w:p>
    <w:p w14:paraId="3A7A0753" w14:textId="77777777" w:rsidR="00B56FFE" w:rsidRPr="006C531D" w:rsidRDefault="00B56FFE">
      <w:pPr>
        <w:pStyle w:val="Styl4"/>
      </w:pPr>
      <w:r w:rsidRPr="006C531D">
        <w:t>Deti &lt;1 rok</w:t>
      </w:r>
    </w:p>
    <w:p w14:paraId="7677D1C4" w14:textId="30C3ACA4" w:rsidR="00B56FFE" w:rsidRPr="006C531D" w:rsidRDefault="00B56FFE">
      <w:pPr>
        <w:pStyle w:val="Normlndobloku"/>
      </w:pPr>
      <w:r w:rsidRPr="006C531D">
        <w:t>Bezpečnosť</w:t>
      </w:r>
      <w:r w:rsidR="00003A11" w:rsidRPr="006C531D">
        <w:t xml:space="preserve"> a </w:t>
      </w:r>
      <w:r w:rsidRPr="006C531D">
        <w:t>účinnosť sufentanilu u detí vo veku do 1 roka ešte nebola stanovená (pozri tiež časti 4.4</w:t>
      </w:r>
      <w:r w:rsidR="00003A11" w:rsidRPr="006C531D">
        <w:t xml:space="preserve"> a </w:t>
      </w:r>
      <w:r w:rsidRPr="006C531D">
        <w:t>5.1).</w:t>
      </w:r>
    </w:p>
    <w:p w14:paraId="6DB74B81" w14:textId="361D3ADD" w:rsidR="00B56FFE" w:rsidRPr="006C531D" w:rsidRDefault="00B56FFE">
      <w:pPr>
        <w:pStyle w:val="Normlndobloku"/>
      </w:pPr>
      <w:r w:rsidRPr="006C531D">
        <w:t>V súčasnosti dostupné údaje pre deti staršie ako 3 mesiace sú popísané</w:t>
      </w:r>
      <w:r w:rsidR="00003A11" w:rsidRPr="006C531D">
        <w:t xml:space="preserve"> v </w:t>
      </w:r>
      <w:r w:rsidR="00106707">
        <w:t>časti</w:t>
      </w:r>
      <w:r w:rsidRPr="006C531D">
        <w:t xml:space="preserve"> 5.1, ale nie je možné pre ne odporučiť žiadny dávkovací režim.</w:t>
      </w:r>
    </w:p>
    <w:p w14:paraId="2BD88515" w14:textId="6755BF58" w:rsidR="00B56FFE" w:rsidRPr="006C531D" w:rsidRDefault="00B56FFE">
      <w:pPr>
        <w:pStyle w:val="Normlndobloku"/>
      </w:pPr>
      <w:r w:rsidRPr="006C531D">
        <w:t>Pre novorodencov</w:t>
      </w:r>
      <w:r w:rsidR="00003A11" w:rsidRPr="006C531D">
        <w:t xml:space="preserve"> a </w:t>
      </w:r>
      <w:r w:rsidRPr="006C531D">
        <w:t>dojčatá mladšie ako 3 mesiace nie sú</w:t>
      </w:r>
      <w:r w:rsidR="00003A11" w:rsidRPr="006C531D">
        <w:t xml:space="preserve"> k </w:t>
      </w:r>
      <w:r w:rsidRPr="006C531D">
        <w:t>dispozícii žiadne údaje.</w:t>
      </w:r>
    </w:p>
    <w:p w14:paraId="2C763BCA" w14:textId="77777777" w:rsidR="00B56FFE" w:rsidRPr="006C531D" w:rsidRDefault="00B56FFE">
      <w:pPr>
        <w:pStyle w:val="Styl4"/>
      </w:pPr>
      <w:r w:rsidRPr="006C531D">
        <w:t>Deti&gt; 1 rok</w:t>
      </w:r>
    </w:p>
    <w:p w14:paraId="4EE080F5" w14:textId="254D944E" w:rsidR="00B56FFE" w:rsidRPr="006C531D" w:rsidRDefault="00B56FFE">
      <w:pPr>
        <w:pStyle w:val="Normlndobloku"/>
      </w:pPr>
      <w:r w:rsidRPr="006C531D">
        <w:t>Jedno</w:t>
      </w:r>
      <w:r w:rsidR="00062887">
        <w:t>razo</w:t>
      </w:r>
      <w:r w:rsidRPr="006C531D">
        <w:t>vý bolus dávky 0,25</w:t>
      </w:r>
      <w:r w:rsidR="00B03DB8" w:rsidRPr="006C531D">
        <w:t> – </w:t>
      </w:r>
      <w:r w:rsidRPr="006C531D">
        <w:t>0,75 mikrogramov/kg sufentanilu podaný počas operácie priniesol úľavu od bolesti</w:t>
      </w:r>
      <w:r w:rsidR="00003A11" w:rsidRPr="006C531D">
        <w:t xml:space="preserve"> v </w:t>
      </w:r>
      <w:r w:rsidRPr="006C531D">
        <w:t>rozmedzí 1 až 12 hodín. Trvanie účinn</w:t>
      </w:r>
      <w:r w:rsidR="00B03DB8" w:rsidRPr="006C531D">
        <w:t>ej</w:t>
      </w:r>
      <w:r w:rsidRPr="006C531D">
        <w:t xml:space="preserve"> analgézi</w:t>
      </w:r>
      <w:r w:rsidR="00F40983" w:rsidRPr="006C531D">
        <w:t>e</w:t>
      </w:r>
      <w:r w:rsidRPr="006C531D">
        <w:t xml:space="preserve"> je ovplyvnené chirurgickým výkonom</w:t>
      </w:r>
      <w:r w:rsidR="00003A11" w:rsidRPr="006C531D">
        <w:t xml:space="preserve"> a </w:t>
      </w:r>
      <w:r w:rsidRPr="006C531D">
        <w:t>sú</w:t>
      </w:r>
      <w:r w:rsidR="00062887">
        <w:t>bež</w:t>
      </w:r>
      <w:r w:rsidRPr="006C531D">
        <w:t>ným použitím epidurálnych amidových lokálnych anestetík.</w:t>
      </w:r>
    </w:p>
    <w:p w14:paraId="15C02946" w14:textId="75529570" w:rsidR="00B56FFE" w:rsidRPr="006C531D" w:rsidRDefault="00B56FFE">
      <w:pPr>
        <w:pStyle w:val="Styl4"/>
      </w:pPr>
      <w:r w:rsidRPr="006C531D">
        <w:t>Starší</w:t>
      </w:r>
      <w:r w:rsidR="00062887">
        <w:t xml:space="preserve"> pacienti</w:t>
      </w:r>
      <w:r w:rsidRPr="006C531D">
        <w:t xml:space="preserve"> (65 rokov</w:t>
      </w:r>
      <w:r w:rsidR="00003A11" w:rsidRPr="006C531D">
        <w:t xml:space="preserve"> a </w:t>
      </w:r>
      <w:r w:rsidRPr="006C531D">
        <w:t>viac)</w:t>
      </w:r>
      <w:r w:rsidR="00003A11" w:rsidRPr="006C531D">
        <w:t xml:space="preserve"> a </w:t>
      </w:r>
      <w:r w:rsidRPr="006C531D">
        <w:t>oslabení pacienti</w:t>
      </w:r>
    </w:p>
    <w:p w14:paraId="07FC15FC" w14:textId="269B559B" w:rsidR="00B56FFE" w:rsidRPr="006C531D" w:rsidRDefault="00B56FFE">
      <w:pPr>
        <w:pStyle w:val="Normlndobloku"/>
      </w:pPr>
      <w:r w:rsidRPr="006C531D">
        <w:t>Rovnako ako u ostatných opioidov m</w:t>
      </w:r>
      <w:r w:rsidR="00E13C67" w:rsidRPr="006C531D">
        <w:t>a</w:t>
      </w:r>
      <w:r w:rsidR="00B03DB8" w:rsidRPr="006C531D">
        <w:t>jú</w:t>
      </w:r>
      <w:r w:rsidRPr="006C531D">
        <w:t xml:space="preserve"> </w:t>
      </w:r>
      <w:r w:rsidR="00B03DB8" w:rsidRPr="006C531D">
        <w:t xml:space="preserve">byť </w:t>
      </w:r>
      <w:r w:rsidRPr="006C531D">
        <w:t>dávk</w:t>
      </w:r>
      <w:r w:rsidR="00B03DB8" w:rsidRPr="006C531D">
        <w:t>y</w:t>
      </w:r>
      <w:r w:rsidRPr="006C531D">
        <w:t xml:space="preserve"> u starších osôb</w:t>
      </w:r>
      <w:r w:rsidR="00003A11" w:rsidRPr="006C531D">
        <w:t xml:space="preserve"> a </w:t>
      </w:r>
      <w:r w:rsidRPr="006C531D">
        <w:t>oslabených pacientov znížené.</w:t>
      </w:r>
    </w:p>
    <w:p w14:paraId="6CE416D2" w14:textId="7AE8A5E4" w:rsidR="00B56FFE" w:rsidRPr="006C531D" w:rsidRDefault="00B03DB8">
      <w:pPr>
        <w:pStyle w:val="Normlndobloku"/>
      </w:pPr>
      <w:r w:rsidRPr="006C531D">
        <w:t xml:space="preserve">Plánovaná </w:t>
      </w:r>
      <w:r w:rsidR="00B56FFE" w:rsidRPr="006C531D">
        <w:t>celková dávka má byť starostlivo titrova</w:t>
      </w:r>
      <w:r w:rsidRPr="006C531D">
        <w:t>ná</w:t>
      </w:r>
      <w:r w:rsidR="00B56FFE" w:rsidRPr="006C531D">
        <w:t xml:space="preserve"> u pacientov</w:t>
      </w:r>
      <w:r w:rsidR="00003A11" w:rsidRPr="006C531D">
        <w:t xml:space="preserve"> s </w:t>
      </w:r>
      <w:r w:rsidR="00B56FFE" w:rsidRPr="006C531D">
        <w:t>niektorou</w:t>
      </w:r>
      <w:r w:rsidR="00003A11" w:rsidRPr="006C531D">
        <w:t xml:space="preserve"> z </w:t>
      </w:r>
      <w:r w:rsidR="00B56FFE" w:rsidRPr="006C531D">
        <w:t>nasledujúcich porúch:</w:t>
      </w:r>
    </w:p>
    <w:p w14:paraId="054C71ED" w14:textId="671D14FC" w:rsidR="00B56FFE" w:rsidRPr="006C531D" w:rsidRDefault="00B56FFE">
      <w:pPr>
        <w:pStyle w:val="Normlndoblokusodrkami"/>
      </w:pPr>
      <w:r w:rsidRPr="006C531D">
        <w:lastRenderedPageBreak/>
        <w:t>Nekompenzovaná hypotyreóza</w:t>
      </w:r>
    </w:p>
    <w:p w14:paraId="60BB397B" w14:textId="2E53584F" w:rsidR="00B56FFE" w:rsidRPr="006C531D" w:rsidRDefault="00B56FFE">
      <w:pPr>
        <w:pStyle w:val="Normlndoblokusodrkami"/>
      </w:pPr>
      <w:r w:rsidRPr="006C531D">
        <w:t>Pľúcne poruchy, najmä ak je vitálna kapacita znížená</w:t>
      </w:r>
    </w:p>
    <w:p w14:paraId="09992038" w14:textId="01F43E53" w:rsidR="00B56FFE" w:rsidRPr="006C531D" w:rsidRDefault="00B56FFE">
      <w:pPr>
        <w:pStyle w:val="Normlndoblokusodrkami"/>
      </w:pPr>
      <w:r w:rsidRPr="006C531D">
        <w:t xml:space="preserve">Alkoholizmus alebo </w:t>
      </w:r>
      <w:r w:rsidR="00921792" w:rsidRPr="006C531D">
        <w:rPr>
          <w:color w:val="000000" w:themeColor="text1"/>
        </w:rPr>
        <w:t>hepatálna</w:t>
      </w:r>
      <w:r w:rsidR="00003A11" w:rsidRPr="006C531D">
        <w:rPr>
          <w:color w:val="000000" w:themeColor="text1"/>
        </w:rPr>
        <w:t xml:space="preserve"> a </w:t>
      </w:r>
      <w:r w:rsidRPr="006C531D">
        <w:rPr>
          <w:color w:val="000000" w:themeColor="text1"/>
        </w:rPr>
        <w:t xml:space="preserve">renálna nedostatočnosť </w:t>
      </w:r>
      <w:r w:rsidRPr="006C531D">
        <w:t>(pozri tiež časť 4.4).</w:t>
      </w:r>
    </w:p>
    <w:p w14:paraId="5275B379" w14:textId="77777777" w:rsidR="00B56FFE" w:rsidRPr="006C531D" w:rsidRDefault="00B56FFE">
      <w:pPr>
        <w:pStyle w:val="Normlndobloku"/>
      </w:pPr>
      <w:r w:rsidRPr="006C531D">
        <w:t>Ďalej sa odporúča predĺžené pooperačné sledovanie týchto pacientov.</w:t>
      </w:r>
    </w:p>
    <w:p w14:paraId="7DA391EE" w14:textId="04B4953B" w:rsidR="00EB51D4" w:rsidRPr="006C531D" w:rsidRDefault="00B56FFE">
      <w:pPr>
        <w:pStyle w:val="Normlndobloku"/>
      </w:pPr>
      <w:r w:rsidRPr="006C531D">
        <w:t>Pacienti dlhodobo liečení opioidmi alebo</w:t>
      </w:r>
      <w:r w:rsidR="00003A11" w:rsidRPr="006C531D">
        <w:t xml:space="preserve"> s </w:t>
      </w:r>
      <w:r w:rsidRPr="006C531D">
        <w:t>anamnézou zneužívania opiátov môžu vyžadovať vyššie dávky.</w:t>
      </w:r>
    </w:p>
    <w:p w14:paraId="07225AF7" w14:textId="0A706117" w:rsidR="00EB51D4" w:rsidRPr="006C531D" w:rsidRDefault="00EB51D4" w:rsidP="001D4259">
      <w:pPr>
        <w:pStyle w:val="Styl2"/>
      </w:pPr>
      <w:r w:rsidRPr="006C531D">
        <w:t>Kontraindikácie</w:t>
      </w:r>
    </w:p>
    <w:p w14:paraId="0732D398" w14:textId="5697ACE6" w:rsidR="006803EE" w:rsidRPr="006C531D" w:rsidRDefault="006803EE">
      <w:pPr>
        <w:pStyle w:val="Normlndoblokusodrkami"/>
      </w:pPr>
      <w:r w:rsidRPr="006C531D">
        <w:t>Precitlivenosť na liečivo alebo na ktorúkoľvek</w:t>
      </w:r>
      <w:r w:rsidR="00003A11" w:rsidRPr="006C531D">
        <w:t xml:space="preserve"> z </w:t>
      </w:r>
      <w:r w:rsidRPr="006C531D">
        <w:t>pomocných látok uvedených</w:t>
      </w:r>
      <w:r w:rsidR="00003A11" w:rsidRPr="006C531D">
        <w:t xml:space="preserve"> v </w:t>
      </w:r>
      <w:r w:rsidRPr="006C531D">
        <w:t>časti 6.1.</w:t>
      </w:r>
    </w:p>
    <w:p w14:paraId="43EC1601" w14:textId="352FA6D8" w:rsidR="006803EE" w:rsidRPr="006C531D" w:rsidRDefault="006803EE">
      <w:pPr>
        <w:pStyle w:val="Normlndoblokusodrkami"/>
      </w:pPr>
      <w:r w:rsidRPr="006C531D">
        <w:t xml:space="preserve">Intravenózne podávanie pri pôrode alebo pred podviazaním pupočnej šnúry novorodenca počas cisárskeho rezu sa neodporúča vzhľadom na možnosť respiračnej depresie novorodenca. Naopak, epidurálne podávanie sufentanilu pri pôrode neovplyvňuje stav matky alebo novorodenca až do dávok 30 µg (pozri časť </w:t>
      </w:r>
      <w:r w:rsidR="00867B9E">
        <w:t xml:space="preserve">4.4. a </w:t>
      </w:r>
      <w:r w:rsidRPr="006C531D">
        <w:t>4.6).</w:t>
      </w:r>
    </w:p>
    <w:p w14:paraId="53150F83" w14:textId="60BD1158" w:rsidR="006803EE" w:rsidRPr="006C531D" w:rsidRDefault="006803EE">
      <w:pPr>
        <w:pStyle w:val="Normlndoblokusodrkami"/>
      </w:pPr>
      <w:r w:rsidRPr="006C531D">
        <w:t>Nadmerná bronchiálna sekrécia</w:t>
      </w:r>
    </w:p>
    <w:p w14:paraId="6A00E4B0" w14:textId="6789B4B5" w:rsidR="006803EE" w:rsidRPr="006C531D" w:rsidRDefault="006803EE">
      <w:pPr>
        <w:pStyle w:val="Normlndoblokusodrkami"/>
      </w:pPr>
      <w:r w:rsidRPr="006C531D">
        <w:t>Útlm dýchania</w:t>
      </w:r>
      <w:r w:rsidR="00003A11" w:rsidRPr="006C531D">
        <w:t xml:space="preserve"> v </w:t>
      </w:r>
      <w:r w:rsidRPr="006C531D">
        <w:t>dôsledku iných liekov</w:t>
      </w:r>
    </w:p>
    <w:p w14:paraId="3F521472" w14:textId="098EF988" w:rsidR="006803EE" w:rsidRPr="006C531D" w:rsidRDefault="006803EE">
      <w:pPr>
        <w:pStyle w:val="Normlndoblokusodrkami"/>
      </w:pPr>
      <w:r w:rsidRPr="006C531D">
        <w:t>Ochorenia, pri ktorých je potrebné sa vyvarovať depresii dýchacieho centra</w:t>
      </w:r>
    </w:p>
    <w:p w14:paraId="4AE73174" w14:textId="47148116" w:rsidR="006803EE" w:rsidRPr="006C531D" w:rsidRDefault="006803EE">
      <w:pPr>
        <w:pStyle w:val="Normlndobloku"/>
      </w:pPr>
      <w:r w:rsidRPr="006C531D">
        <w:t>Rovnako ako u iných opioidov podaných epidurálne, sufentanil nemá byť podávaný</w:t>
      </w:r>
      <w:r w:rsidR="00003A11" w:rsidRPr="006C531D">
        <w:t xml:space="preserve"> v </w:t>
      </w:r>
      <w:r w:rsidRPr="006C531D">
        <w:t>p</w:t>
      </w:r>
      <w:r w:rsidR="00921792" w:rsidRPr="006C531D">
        <w:t>rítomnosti</w:t>
      </w:r>
      <w:r w:rsidRPr="006C531D">
        <w:t>:</w:t>
      </w:r>
    </w:p>
    <w:p w14:paraId="22611964" w14:textId="0F5D7CAB" w:rsidR="006803EE" w:rsidRPr="006C531D" w:rsidRDefault="006803EE">
      <w:pPr>
        <w:pStyle w:val="Normlndoblokusodrkami"/>
      </w:pPr>
      <w:r w:rsidRPr="006C531D">
        <w:t>závažného krvácania alebo šoku</w:t>
      </w:r>
    </w:p>
    <w:p w14:paraId="0217DA8A" w14:textId="6C7B9E1F" w:rsidR="006803EE" w:rsidRPr="006C531D" w:rsidRDefault="006803EE">
      <w:pPr>
        <w:pStyle w:val="Normlndoblokusodrkami"/>
      </w:pPr>
      <w:r w:rsidRPr="006C531D">
        <w:t>septikémie</w:t>
      </w:r>
    </w:p>
    <w:p w14:paraId="68277F00" w14:textId="473B8458" w:rsidR="006803EE" w:rsidRPr="006C531D" w:rsidRDefault="006803EE">
      <w:pPr>
        <w:pStyle w:val="Normlndoblokusodrkami"/>
      </w:pPr>
      <w:r w:rsidRPr="006C531D">
        <w:t>infekcie</w:t>
      </w:r>
      <w:r w:rsidR="00003A11" w:rsidRPr="006C531D">
        <w:t xml:space="preserve"> v </w:t>
      </w:r>
      <w:r w:rsidRPr="006C531D">
        <w:t>mieste aplikácie</w:t>
      </w:r>
    </w:p>
    <w:p w14:paraId="4E401CE9" w14:textId="78BED797" w:rsidR="006803EE" w:rsidRPr="006C531D" w:rsidRDefault="006803EE">
      <w:pPr>
        <w:pStyle w:val="Normlndoblokusodrkami"/>
      </w:pPr>
      <w:r w:rsidRPr="006C531D">
        <w:t>porúch hemostázy ako je trombocytopénia</w:t>
      </w:r>
      <w:r w:rsidR="00003A11" w:rsidRPr="006C531D">
        <w:t xml:space="preserve"> a </w:t>
      </w:r>
      <w:r w:rsidRPr="006C531D">
        <w:t>koagulopatia</w:t>
      </w:r>
    </w:p>
    <w:p w14:paraId="76486061" w14:textId="32D53A2D" w:rsidR="00EB51D4" w:rsidRPr="006C531D" w:rsidRDefault="006803EE">
      <w:pPr>
        <w:pStyle w:val="Normlndoblokusodrkami"/>
      </w:pPr>
      <w:r w:rsidRPr="006C531D">
        <w:t>pri antikoagulačnej liečbe alebo pri súčasnej terapii ďalšími liekmi alebo pri stavoch</w:t>
      </w:r>
      <w:r w:rsidR="00EA739A">
        <w:t>, ktoré by mohli byť</w:t>
      </w:r>
      <w:r w:rsidR="00B652AB">
        <w:t xml:space="preserve"> </w:t>
      </w:r>
      <w:r w:rsidRPr="006C531D">
        <w:t>kontraindikáciou epidurálne</w:t>
      </w:r>
      <w:r w:rsidR="00EA739A">
        <w:t>ho podania</w:t>
      </w:r>
    </w:p>
    <w:p w14:paraId="51A65668" w14:textId="69A57154" w:rsidR="00EB51D4" w:rsidRPr="006C531D" w:rsidRDefault="00E13C67" w:rsidP="001D4259">
      <w:pPr>
        <w:pStyle w:val="Styl2"/>
      </w:pPr>
      <w:r w:rsidRPr="006C531D">
        <w:t>Osobitné upozornenia</w:t>
      </w:r>
      <w:r w:rsidR="00003A11" w:rsidRPr="006C531D">
        <w:t xml:space="preserve"> a </w:t>
      </w:r>
      <w:r w:rsidRPr="006C531D">
        <w:t>opatrenia pri používaní</w:t>
      </w:r>
    </w:p>
    <w:p w14:paraId="26796CC1" w14:textId="2B341F3A" w:rsidR="008059FA" w:rsidRPr="006C531D" w:rsidRDefault="008059FA">
      <w:pPr>
        <w:pStyle w:val="Normlndobloku"/>
      </w:pPr>
      <w:r w:rsidRPr="006C531D">
        <w:t>Intravenózne podávanie sufentanilu majú vykonávať len skúsení anestéziológovia</w:t>
      </w:r>
      <w:r w:rsidR="00003A11" w:rsidRPr="006C531D">
        <w:t xml:space="preserve"> v </w:t>
      </w:r>
      <w:r w:rsidRPr="006C531D">
        <w:t>nemocniciach alebo iných inštitúciách so zariadeniami pre endotracheálnu intubáciu</w:t>
      </w:r>
      <w:r w:rsidR="00003A11" w:rsidRPr="006C531D">
        <w:t xml:space="preserve"> a </w:t>
      </w:r>
      <w:r w:rsidRPr="006C531D">
        <w:t>mechanickú ventiláciu.</w:t>
      </w:r>
    </w:p>
    <w:p w14:paraId="1B4DE7BB" w14:textId="5CF29C41" w:rsidR="008059FA" w:rsidRPr="006C531D" w:rsidRDefault="008059FA">
      <w:pPr>
        <w:pStyle w:val="Normlndobloku"/>
      </w:pPr>
      <w:r w:rsidRPr="006C531D">
        <w:t>Životné funkcie pacienta je potrebné pravidelne monitorovať. To zahŕňa aj pooperačnú fázu.</w:t>
      </w:r>
    </w:p>
    <w:p w14:paraId="4A5114B3" w14:textId="5109F52E" w:rsidR="008059FA" w:rsidRPr="006C531D" w:rsidRDefault="008059FA">
      <w:pPr>
        <w:pStyle w:val="Styl3"/>
      </w:pPr>
      <w:r w:rsidRPr="006C531D">
        <w:t>Zhodne</w:t>
      </w:r>
      <w:r w:rsidR="00003A11" w:rsidRPr="006C531D">
        <w:t xml:space="preserve"> s </w:t>
      </w:r>
      <w:r w:rsidRPr="006C531D">
        <w:t>ostatnými silne účinnými opioidmi</w:t>
      </w:r>
    </w:p>
    <w:p w14:paraId="524C73B8" w14:textId="42D10BAD" w:rsidR="008059FA" w:rsidRPr="006C531D" w:rsidRDefault="008059FA">
      <w:pPr>
        <w:pStyle w:val="Normlndobloku"/>
      </w:pPr>
      <w:r w:rsidRPr="006C531D">
        <w:t xml:space="preserve">Úroveň respiračnej depresie závisí </w:t>
      </w:r>
      <w:r w:rsidR="00225CDB">
        <w:t>od</w:t>
      </w:r>
      <w:r w:rsidRPr="006C531D">
        <w:t xml:space="preserve"> podanej dávk</w:t>
      </w:r>
      <w:r w:rsidR="00225CDB">
        <w:t>y</w:t>
      </w:r>
      <w:r w:rsidR="00003A11" w:rsidRPr="006C531D">
        <w:t xml:space="preserve"> a </w:t>
      </w:r>
      <w:r w:rsidRPr="006C531D">
        <w:t>môže byť odvrátená špecifickým antagonistom opioidov. Keďže respiračná depresia môže trvať dlhšie ako účinok opioidného antagonistu, je potrebné pacienta sledovať</w:t>
      </w:r>
      <w:r w:rsidR="00003A11" w:rsidRPr="006C531D">
        <w:t xml:space="preserve"> a </w:t>
      </w:r>
      <w:r w:rsidRPr="006C531D">
        <w:t>môže byť nutné podať ďalšiu dávku špecifického opioidného antagonistu.</w:t>
      </w:r>
    </w:p>
    <w:p w14:paraId="5A003E65" w14:textId="68B9D27F" w:rsidR="008059FA" w:rsidRPr="006C531D" w:rsidRDefault="008059FA">
      <w:pPr>
        <w:pStyle w:val="Normlndobloku"/>
      </w:pPr>
      <w:r w:rsidRPr="006C531D">
        <w:t>Hlboká an</w:t>
      </w:r>
      <w:r w:rsidR="00225CDB">
        <w:t>est</w:t>
      </w:r>
      <w:r w:rsidRPr="006C531D">
        <w:t>ézia je sprevádzaná výraznou respiračnou depresiou</w:t>
      </w:r>
      <w:r w:rsidR="00003A11" w:rsidRPr="006C531D">
        <w:t xml:space="preserve"> a </w:t>
      </w:r>
      <w:r w:rsidRPr="006C531D">
        <w:t>stratou vedomia, ktoré môžu pretrvávať alebo sa vrátiť</w:t>
      </w:r>
      <w:r w:rsidR="00003A11" w:rsidRPr="006C531D">
        <w:t xml:space="preserve"> v </w:t>
      </w:r>
      <w:r w:rsidRPr="006C531D">
        <w:t>pooperačnom období.</w:t>
      </w:r>
    </w:p>
    <w:p w14:paraId="56669FC0" w14:textId="1B6C402D" w:rsidR="008059FA" w:rsidRPr="006C531D" w:rsidRDefault="008059FA">
      <w:pPr>
        <w:pStyle w:val="Normlndobloku"/>
      </w:pPr>
      <w:r w:rsidRPr="006C531D">
        <w:t>Hyperventilácia počas anestézie môže zmeniť pacientovu odpoveď na CO</w:t>
      </w:r>
      <w:r w:rsidRPr="00344800">
        <w:rPr>
          <w:vertAlign w:val="subscript"/>
        </w:rPr>
        <w:t>2</w:t>
      </w:r>
      <w:r w:rsidRPr="006C531D">
        <w:t>, čo môže zapríčiniť zníženú oxygenáciu</w:t>
      </w:r>
      <w:r w:rsidR="00003A11" w:rsidRPr="006C531D">
        <w:t xml:space="preserve"> v </w:t>
      </w:r>
      <w:r w:rsidRPr="006C531D">
        <w:t>období po anestézii.</w:t>
      </w:r>
    </w:p>
    <w:p w14:paraId="3A0B7AA4" w14:textId="68492AB5" w:rsidR="008059FA" w:rsidRPr="006C531D" w:rsidRDefault="008059FA">
      <w:pPr>
        <w:pStyle w:val="Normlndobloku"/>
      </w:pPr>
      <w:r w:rsidRPr="006C531D">
        <w:t xml:space="preserve">Riziko oneskorenej respiračnej depresie </w:t>
      </w:r>
      <w:r w:rsidR="00225CDB">
        <w:t>treba</w:t>
      </w:r>
      <w:r w:rsidRPr="006C531D">
        <w:t xml:space="preserve"> vždy </w:t>
      </w:r>
      <w:r w:rsidR="00225CDB">
        <w:t>vziať</w:t>
      </w:r>
      <w:r w:rsidRPr="006C531D">
        <w:t xml:space="preserve"> do úvahy</w:t>
      </w:r>
      <w:r w:rsidR="00003A11" w:rsidRPr="006C531D">
        <w:t xml:space="preserve"> a </w:t>
      </w:r>
      <w:r w:rsidRPr="006C531D">
        <w:t>pacient musí zostať pod náležitým dohľadom.</w:t>
      </w:r>
      <w:r w:rsidR="00003A11" w:rsidRPr="006C531D">
        <w:t xml:space="preserve"> </w:t>
      </w:r>
      <w:r w:rsidR="008E1D16" w:rsidRPr="006C531D">
        <w:t>K</w:t>
      </w:r>
      <w:r w:rsidR="00003A11" w:rsidRPr="006C531D">
        <w:t> </w:t>
      </w:r>
      <w:r w:rsidRPr="006C531D">
        <w:t>dispozícii musí byť resuscitačné vybavenie</w:t>
      </w:r>
      <w:r w:rsidR="00003A11" w:rsidRPr="006C531D">
        <w:t xml:space="preserve"> a </w:t>
      </w:r>
      <w:r w:rsidRPr="006C531D">
        <w:t>antagonist</w:t>
      </w:r>
      <w:r w:rsidR="00F9642D" w:rsidRPr="006C531D">
        <w:t>y</w:t>
      </w:r>
      <w:r w:rsidRPr="006C531D">
        <w:t xml:space="preserve"> opioidov.</w:t>
      </w:r>
    </w:p>
    <w:p w14:paraId="656CC303" w14:textId="09A1DDF1" w:rsidR="008059FA" w:rsidRPr="006C531D" w:rsidRDefault="008059FA">
      <w:pPr>
        <w:pStyle w:val="Normlndobloku"/>
      </w:pPr>
      <w:r w:rsidRPr="006C531D">
        <w:t>Riziko plynúce zo súčasného užívania so sedatívnymi liekmi ako sú benzodiazepíny alebo príbuzné lieky</w:t>
      </w:r>
    </w:p>
    <w:p w14:paraId="7648950B" w14:textId="1DC160B5" w:rsidR="008059FA" w:rsidRPr="006C531D" w:rsidRDefault="008059FA">
      <w:pPr>
        <w:pStyle w:val="Normlndobloku"/>
      </w:pPr>
      <w:r w:rsidRPr="006C531D">
        <w:t>Súčasné užívanie sufentanilu</w:t>
      </w:r>
      <w:r w:rsidR="00003A11" w:rsidRPr="006C531D">
        <w:t xml:space="preserve"> a </w:t>
      </w:r>
      <w:r w:rsidRPr="006C531D">
        <w:t>sedatívnych liekov, ako sú benzodiazepíny alebo príbuzné lieky, môže mať za následok sedáciu, útlm dýchania, kómu</w:t>
      </w:r>
      <w:r w:rsidR="00003A11" w:rsidRPr="006C531D">
        <w:t xml:space="preserve"> a </w:t>
      </w:r>
      <w:r w:rsidRPr="006C531D">
        <w:t xml:space="preserve">smrť. Kvôli týmto rizikám má byť súbežné predpisovanie týchto sedatívnych liekov vyhradené pacientom, pre ktorých nie sú alternatívne </w:t>
      </w:r>
      <w:r w:rsidRPr="006C531D">
        <w:lastRenderedPageBreak/>
        <w:t>možnosti liečby.</w:t>
      </w:r>
      <w:r w:rsidR="00003A11" w:rsidRPr="006C531D">
        <w:t xml:space="preserve"> V </w:t>
      </w:r>
      <w:r w:rsidR="00502074" w:rsidRPr="006C531D">
        <w:t xml:space="preserve">prípade, že sa lekár rozhodne </w:t>
      </w:r>
      <w:r w:rsidRPr="006C531D">
        <w:t>predpisovať sufentanil súbežne so sedatívnymi liekmi, má byť použitá najnižšia účinná dávka</w:t>
      </w:r>
      <w:r w:rsidR="00003A11" w:rsidRPr="006C531D">
        <w:t xml:space="preserve"> a </w:t>
      </w:r>
      <w:r w:rsidRPr="006C531D">
        <w:t>trvanie liečby má byť čo najkratši</w:t>
      </w:r>
      <w:r w:rsidR="00502074" w:rsidRPr="006C531D">
        <w:t>e</w:t>
      </w:r>
      <w:r w:rsidRPr="006C531D">
        <w:t>.</w:t>
      </w:r>
    </w:p>
    <w:p w14:paraId="598AC147" w14:textId="59F85F7B" w:rsidR="008059FA" w:rsidRPr="006C531D" w:rsidRDefault="008059FA">
      <w:pPr>
        <w:pStyle w:val="Normlndobloku"/>
      </w:pPr>
      <w:r w:rsidRPr="006C531D">
        <w:t>Pacienti majú byť starostlivo monitorovaní vzhľadom</w:t>
      </w:r>
      <w:r w:rsidR="00003A11" w:rsidRPr="006C531D">
        <w:t xml:space="preserve"> k</w:t>
      </w:r>
      <w:r w:rsidR="008850F2">
        <w:t xml:space="preserve"> prejavom a </w:t>
      </w:r>
      <w:r w:rsidRPr="006C531D">
        <w:t>príznakom respiračnej depresie</w:t>
      </w:r>
      <w:r w:rsidR="00003A11" w:rsidRPr="006C531D">
        <w:t xml:space="preserve"> a </w:t>
      </w:r>
      <w:r w:rsidRPr="006C531D">
        <w:t>sedácie.</w:t>
      </w:r>
      <w:r w:rsidR="00003A11" w:rsidRPr="006C531D">
        <w:t xml:space="preserve"> </w:t>
      </w:r>
      <w:r w:rsidR="008E1D16" w:rsidRPr="006C531D">
        <w:t>V</w:t>
      </w:r>
      <w:r w:rsidR="00003A11" w:rsidRPr="006C531D">
        <w:t> </w:t>
      </w:r>
      <w:r w:rsidRPr="006C531D">
        <w:t>tejto súvislosti sa dôrazne odporúča informovať pacientov</w:t>
      </w:r>
      <w:r w:rsidR="00003A11" w:rsidRPr="006C531D">
        <w:t xml:space="preserve"> a </w:t>
      </w:r>
      <w:r w:rsidRPr="006C531D">
        <w:t>ich opatrovateľov o týchto príznakoch (pozri časť 4.5).</w:t>
      </w:r>
    </w:p>
    <w:p w14:paraId="3B25AB6B" w14:textId="77777777" w:rsidR="008059FA" w:rsidRPr="006C531D" w:rsidRDefault="008059FA">
      <w:pPr>
        <w:pStyle w:val="Normlndobloku"/>
      </w:pPr>
      <w:r w:rsidRPr="006C531D">
        <w:t>Všeobecne sa odporúča prerušiť podávanie inhibítorov MAO dva týždne pred anestéziou alebo chirurgickými zákrokmi.</w:t>
      </w:r>
    </w:p>
    <w:p w14:paraId="1CFD28FC" w14:textId="70A736B1" w:rsidR="008059FA" w:rsidRPr="006C531D" w:rsidRDefault="008059FA">
      <w:pPr>
        <w:pStyle w:val="Normlndobloku"/>
      </w:pPr>
      <w:r w:rsidRPr="006C531D">
        <w:t>Môže dôjsť</w:t>
      </w:r>
      <w:r w:rsidR="00003A11" w:rsidRPr="006C531D">
        <w:t xml:space="preserve"> k </w:t>
      </w:r>
      <w:r w:rsidRPr="006C531D">
        <w:t xml:space="preserve">svalovej </w:t>
      </w:r>
      <w:r w:rsidR="00502074" w:rsidRPr="006C531D">
        <w:t>stuhnutosti</w:t>
      </w:r>
      <w:r w:rsidR="00003A11" w:rsidRPr="006C531D">
        <w:t xml:space="preserve"> a </w:t>
      </w:r>
      <w:r w:rsidRPr="006C531D">
        <w:t>tá môže viesť</w:t>
      </w:r>
      <w:r w:rsidR="00003A11" w:rsidRPr="006C531D">
        <w:t xml:space="preserve"> k </w:t>
      </w:r>
      <w:r w:rsidR="008850F2">
        <w:t>ú</w:t>
      </w:r>
      <w:r w:rsidRPr="006C531D">
        <w:t>tlm</w:t>
      </w:r>
      <w:r w:rsidR="008850F2">
        <w:t>u</w:t>
      </w:r>
      <w:r w:rsidRPr="006C531D">
        <w:t xml:space="preserve"> dýchania. To</w:t>
      </w:r>
      <w:r w:rsidR="004C7074" w:rsidRPr="006C531D">
        <w:t>mu je</w:t>
      </w:r>
      <w:r w:rsidRPr="006C531D">
        <w:t xml:space="preserve"> možn</w:t>
      </w:r>
      <w:r w:rsidR="004C7074" w:rsidRPr="006C531D">
        <w:t>é</w:t>
      </w:r>
      <w:r w:rsidRPr="006C531D">
        <w:t xml:space="preserve"> zabrániť pomalou i.v. injekciou (nízke dávky sú zvyčajne postačujúce), premedikáciou benzodiazepínmi</w:t>
      </w:r>
      <w:r w:rsidR="00003A11" w:rsidRPr="006C531D">
        <w:t xml:space="preserve"> a </w:t>
      </w:r>
      <w:r w:rsidRPr="006C531D">
        <w:t xml:space="preserve">použitím </w:t>
      </w:r>
      <w:r w:rsidR="008850F2">
        <w:t>myo</w:t>
      </w:r>
      <w:r w:rsidRPr="006C531D">
        <w:t>relaxancií.</w:t>
      </w:r>
    </w:p>
    <w:p w14:paraId="0B63E00C" w14:textId="36A88E4B" w:rsidR="004C7074" w:rsidRPr="006C531D" w:rsidRDefault="00EB5059">
      <w:pPr>
        <w:pStyle w:val="Styl3"/>
      </w:pPr>
      <w:r w:rsidRPr="006C531D">
        <w:t>My</w:t>
      </w:r>
      <w:r w:rsidR="004C7074" w:rsidRPr="006C531D">
        <w:t>asthenia gravis</w:t>
      </w:r>
    </w:p>
    <w:p w14:paraId="1196F591" w14:textId="3925AE02" w:rsidR="004C7074" w:rsidRPr="006C531D" w:rsidRDefault="004C7074">
      <w:pPr>
        <w:pStyle w:val="Normlndobloku"/>
      </w:pPr>
      <w:r w:rsidRPr="006C531D">
        <w:t>Sufentanil môže spôsobiť svalovú stuhnutosť po i.v. podaní, ktorá môže vyžadovať podanie</w:t>
      </w:r>
      <w:r w:rsidR="00B652AB">
        <w:t xml:space="preserve"> </w:t>
      </w:r>
      <w:r w:rsidR="008850F2">
        <w:t>myo</w:t>
      </w:r>
      <w:r w:rsidRPr="006C531D">
        <w:t>relaxancií. Sufentanil sa</w:t>
      </w:r>
      <w:r w:rsidR="00003A11" w:rsidRPr="006C531D">
        <w:t xml:space="preserve"> z </w:t>
      </w:r>
      <w:r w:rsidRPr="006C531D">
        <w:t>tohto dôvodu nemá používať u pacientov</w:t>
      </w:r>
      <w:r w:rsidR="00003A11" w:rsidRPr="006C531D">
        <w:t xml:space="preserve"> s </w:t>
      </w:r>
      <w:r w:rsidRPr="006C531D">
        <w:t>myasthenia gravis, pretože u</w:t>
      </w:r>
      <w:r w:rsidR="006C531D">
        <w:t> </w:t>
      </w:r>
      <w:r w:rsidRPr="006C531D">
        <w:t>týchto pacientov je použitie myorelaxancií nevhodné.</w:t>
      </w:r>
    </w:p>
    <w:p w14:paraId="675780E8" w14:textId="6577F120" w:rsidR="004C7074" w:rsidRPr="006C531D" w:rsidRDefault="004C7074">
      <w:pPr>
        <w:pStyle w:val="Normlndobloku"/>
      </w:pPr>
      <w:r w:rsidRPr="006C531D">
        <w:t>Môže dôjsť</w:t>
      </w:r>
      <w:r w:rsidR="00003A11" w:rsidRPr="006C531D">
        <w:t xml:space="preserve"> k </w:t>
      </w:r>
      <w:r w:rsidRPr="006C531D">
        <w:t>neepileptickým (myo)klonickým pohybom.</w:t>
      </w:r>
    </w:p>
    <w:p w14:paraId="22F93E31" w14:textId="22EAF6A2" w:rsidR="004C7074" w:rsidRPr="006C531D" w:rsidRDefault="004C7074">
      <w:pPr>
        <w:pStyle w:val="Normlndobloku"/>
      </w:pPr>
      <w:r w:rsidRPr="006C531D">
        <w:t xml:space="preserve">Pokiaľ pacientovi nebola podaná dostatočná dávka anticholinergík alebo ak je </w:t>
      </w:r>
      <w:r w:rsidR="00E13C67" w:rsidRPr="006C531D">
        <w:t>liek</w:t>
      </w:r>
      <w:r w:rsidRPr="006C531D">
        <w:t xml:space="preserve"> </w:t>
      </w:r>
      <w:r w:rsidR="007157A4" w:rsidRPr="006C531D">
        <w:t>SOFENTIL</w:t>
      </w:r>
      <w:r w:rsidRPr="006C531D">
        <w:t xml:space="preserve"> kombinovaný</w:t>
      </w:r>
      <w:r w:rsidR="00003A11" w:rsidRPr="006C531D">
        <w:t xml:space="preserve"> s</w:t>
      </w:r>
      <w:r w:rsidR="000532CA">
        <w:t> </w:t>
      </w:r>
      <w:r w:rsidRPr="006C531D">
        <w:t>myorelaxanciami</w:t>
      </w:r>
      <w:r w:rsidR="000532CA">
        <w:t xml:space="preserve"> bez anticholinergného účinku</w:t>
      </w:r>
      <w:r w:rsidRPr="006C531D">
        <w:t>, nie je možné vylúčiť výskyt bradykardie až z</w:t>
      </w:r>
      <w:r w:rsidR="00252A6E">
        <w:t>astavenie srdca</w:t>
      </w:r>
      <w:r w:rsidRPr="006C531D">
        <w:t xml:space="preserve">. Bradykardiu možno </w:t>
      </w:r>
      <w:r w:rsidR="00921792" w:rsidRPr="006C531D">
        <w:t>liečiť</w:t>
      </w:r>
      <w:r w:rsidRPr="006C531D">
        <w:t xml:space="preserve"> atropínom.</w:t>
      </w:r>
    </w:p>
    <w:p w14:paraId="4ED3A595" w14:textId="2B046345" w:rsidR="004C7074" w:rsidRPr="006C531D" w:rsidRDefault="004C7074">
      <w:pPr>
        <w:pStyle w:val="Normlndobloku"/>
      </w:pPr>
      <w:r w:rsidRPr="006C531D">
        <w:t>Opioidy môžu navodiť hypotenziu najmä u hypovolemických pacientov</w:t>
      </w:r>
      <w:r w:rsidR="00003A11" w:rsidRPr="006C531D">
        <w:t xml:space="preserve"> a </w:t>
      </w:r>
      <w:r w:rsidRPr="006C531D">
        <w:t>u pacientov so srdcovým zlyhaním. Indukčné dávky musia byť upravené</w:t>
      </w:r>
      <w:r w:rsidR="00252A6E">
        <w:t xml:space="preserve"> </w:t>
      </w:r>
      <w:r w:rsidR="00003A11" w:rsidRPr="006C531D">
        <w:t>a </w:t>
      </w:r>
      <w:r w:rsidRPr="006C531D">
        <w:t>podávané pomaly, aby sa zabránilo kardiovaskulárnej depresii. Musia byť prijaté vhodné opatrenia na udržanie stabilného arteriálneho tlaku.</w:t>
      </w:r>
    </w:p>
    <w:p w14:paraId="28841F6B" w14:textId="40484EDD" w:rsidR="004C7074" w:rsidRPr="006C531D" w:rsidRDefault="004C7074">
      <w:pPr>
        <w:pStyle w:val="Normlndobloku"/>
      </w:pPr>
      <w:r w:rsidRPr="006C531D">
        <w:t>Opatrnosť je nutná u pacientov</w:t>
      </w:r>
      <w:r w:rsidR="00003A11" w:rsidRPr="006C531D">
        <w:t xml:space="preserve"> s </w:t>
      </w:r>
      <w:r w:rsidRPr="006C531D">
        <w:t>kraniálnou mozgovou traumou</w:t>
      </w:r>
      <w:r w:rsidR="00003A11" w:rsidRPr="006C531D">
        <w:t xml:space="preserve"> a </w:t>
      </w:r>
      <w:r w:rsidRPr="006C531D">
        <w:t>zvýšeným intrakraniálnym tlakom. Rýchle bolusové injekcie opioidov sa nemajú podávať pacientom so zníženou cerebráln</w:t>
      </w:r>
      <w:r w:rsidR="002D7612">
        <w:t>ou</w:t>
      </w:r>
      <w:r w:rsidRPr="006C531D">
        <w:t xml:space="preserve"> cirkuláciou alebo intrakraniálnou kompenzáciou, pretože krátkodobé zníženie arteriálneho tlaku môže byť sprevádzané krátkodobo zníženým </w:t>
      </w:r>
      <w:r w:rsidR="002D7612">
        <w:t xml:space="preserve">mozgovým perfúznym </w:t>
      </w:r>
      <w:r w:rsidRPr="006C531D">
        <w:t>tlakom.</w:t>
      </w:r>
    </w:p>
    <w:p w14:paraId="6FB620FD" w14:textId="05A8DE71" w:rsidR="004C7074" w:rsidRPr="006C531D" w:rsidRDefault="004C7074">
      <w:pPr>
        <w:pStyle w:val="Normlndobloku"/>
      </w:pPr>
      <w:r w:rsidRPr="006C531D">
        <w:t>Pacienti, ktorí dostávajú chronickú opiátov</w:t>
      </w:r>
      <w:r w:rsidR="00E13C67" w:rsidRPr="006C531D">
        <w:t>ú</w:t>
      </w:r>
      <w:r w:rsidRPr="006C531D">
        <w:t xml:space="preserve"> terapiu alebo</w:t>
      </w:r>
      <w:r w:rsidR="00003A11" w:rsidRPr="006C531D">
        <w:t xml:space="preserve"> s </w:t>
      </w:r>
      <w:r w:rsidRPr="006C531D">
        <w:t>anamnézou zneužívania opioidov, môžu potrebovať vyššie dávky.</w:t>
      </w:r>
    </w:p>
    <w:p w14:paraId="391C70F0" w14:textId="22C592AE" w:rsidR="004C7074" w:rsidRPr="006C531D" w:rsidRDefault="004C7074">
      <w:pPr>
        <w:pStyle w:val="Normlndobloku"/>
      </w:pPr>
      <w:r w:rsidRPr="006C531D">
        <w:t xml:space="preserve">Odporúča sa znížiť dávku u starších alebo oslabených pacientov. Hoci u starších pacientov neboli </w:t>
      </w:r>
      <w:r w:rsidR="004C6A8E" w:rsidRPr="006C531D">
        <w:t xml:space="preserve">pozorované </w:t>
      </w:r>
      <w:r w:rsidRPr="006C531D">
        <w:t>dlhšie polčasy, bola u nich pozorovaná vyšši</w:t>
      </w:r>
      <w:r w:rsidR="004C6A8E" w:rsidRPr="006C531D">
        <w:t>a</w:t>
      </w:r>
      <w:r w:rsidRPr="006C531D">
        <w:t xml:space="preserve"> frekvenci</w:t>
      </w:r>
      <w:r w:rsidR="004C6A8E" w:rsidRPr="006C531D">
        <w:t>a</w:t>
      </w:r>
      <w:r w:rsidRPr="006C531D">
        <w:t xml:space="preserve"> obehových porúch.</w:t>
      </w:r>
    </w:p>
    <w:p w14:paraId="132577BD" w14:textId="7B336B0D" w:rsidR="004C7074" w:rsidRPr="006C531D" w:rsidRDefault="004C7074">
      <w:pPr>
        <w:pStyle w:val="Normlndobloku"/>
      </w:pPr>
      <w:r w:rsidRPr="006C531D">
        <w:t>Opioidy majú byť titrova</w:t>
      </w:r>
      <w:r w:rsidR="004C6A8E" w:rsidRPr="006C531D">
        <w:t>né</w:t>
      </w:r>
      <w:r w:rsidRPr="006C531D">
        <w:t xml:space="preserve"> opatrne u pacientov</w:t>
      </w:r>
      <w:r w:rsidR="00003A11" w:rsidRPr="006C531D">
        <w:t xml:space="preserve"> s </w:t>
      </w:r>
      <w:r w:rsidRPr="006C531D">
        <w:t xml:space="preserve">nasledujúcimi poruchami: nekontrolovaná hypotyreóza, pľúcne ochorenie, znížená respiračná rezerva, alkoholizmus, </w:t>
      </w:r>
      <w:r w:rsidR="00921792" w:rsidRPr="006C531D">
        <w:t>hepatálna</w:t>
      </w:r>
      <w:r w:rsidRPr="006C531D">
        <w:t xml:space="preserve"> alebo renáln</w:t>
      </w:r>
      <w:r w:rsidR="00921792" w:rsidRPr="006C531D">
        <w:t>a</w:t>
      </w:r>
      <w:r w:rsidRPr="006C531D">
        <w:t xml:space="preserve"> </w:t>
      </w:r>
      <w:r w:rsidR="00921792" w:rsidRPr="006C531D">
        <w:t>nedostatočnosť</w:t>
      </w:r>
      <w:r w:rsidRPr="006C531D">
        <w:t>. Títo pacienti vyžadujú dlhodobé pooperačné sledovanie.</w:t>
      </w:r>
    </w:p>
    <w:p w14:paraId="1F6F4B41" w14:textId="1A40A150" w:rsidR="004C7074" w:rsidRPr="006C531D" w:rsidRDefault="004C6A8E">
      <w:pPr>
        <w:pStyle w:val="Normlndobloku"/>
      </w:pPr>
      <w:r w:rsidRPr="006C531D">
        <w:t>Pri</w:t>
      </w:r>
      <w:r w:rsidR="004C7074" w:rsidRPr="006C531D">
        <w:t xml:space="preserve"> epiduráln</w:t>
      </w:r>
      <w:r w:rsidRPr="006C531D">
        <w:t>om</w:t>
      </w:r>
      <w:r w:rsidR="004C7074" w:rsidRPr="006C531D">
        <w:t xml:space="preserve"> pod</w:t>
      </w:r>
      <w:r w:rsidRPr="006C531D">
        <w:t>aní</w:t>
      </w:r>
      <w:r w:rsidR="004C7074" w:rsidRPr="006C531D">
        <w:t xml:space="preserve"> je potrebné postupovať opatrne u pacientov</w:t>
      </w:r>
      <w:r w:rsidR="00003A11" w:rsidRPr="006C531D">
        <w:t xml:space="preserve"> s </w:t>
      </w:r>
      <w:r w:rsidR="004C7074" w:rsidRPr="006C531D">
        <w:t>respiračnou depresiou alebo</w:t>
      </w:r>
      <w:r w:rsidR="00003A11" w:rsidRPr="006C531D">
        <w:t xml:space="preserve"> s </w:t>
      </w:r>
      <w:r w:rsidR="004C7074" w:rsidRPr="006C531D">
        <w:t>poškodením dýchacích ciest</w:t>
      </w:r>
      <w:r w:rsidR="00003A11" w:rsidRPr="006C531D">
        <w:t xml:space="preserve"> a </w:t>
      </w:r>
      <w:r w:rsidR="004C7074" w:rsidRPr="006C531D">
        <w:t>pri expozícii plodu. Pacient má byť dôkladne sledovaný po dobu najmenej 1 hodiny po každej dávke, pretože môže dôjsť</w:t>
      </w:r>
      <w:r w:rsidR="00003A11" w:rsidRPr="006C531D">
        <w:t xml:space="preserve"> k </w:t>
      </w:r>
      <w:r w:rsidR="004C7074" w:rsidRPr="006C531D">
        <w:t>skorej</w:t>
      </w:r>
      <w:r w:rsidR="00003A11" w:rsidRPr="006C531D">
        <w:t xml:space="preserve"> a </w:t>
      </w:r>
      <w:r w:rsidR="004C7074" w:rsidRPr="006C531D">
        <w:t>predĺženej respiračn</w:t>
      </w:r>
      <w:r w:rsidRPr="006C531D">
        <w:t>ej</w:t>
      </w:r>
      <w:r w:rsidR="004C7074" w:rsidRPr="006C531D">
        <w:t xml:space="preserve"> depresi</w:t>
      </w:r>
      <w:r w:rsidRPr="006C531D">
        <w:t>i</w:t>
      </w:r>
      <w:r w:rsidR="004C7074" w:rsidRPr="006C531D">
        <w:t>.</w:t>
      </w:r>
    </w:p>
    <w:p w14:paraId="2AAD65EA" w14:textId="2CDF88AA" w:rsidR="004C7074" w:rsidRPr="006C531D" w:rsidRDefault="004C7074">
      <w:pPr>
        <w:pStyle w:val="Normlndobloku"/>
      </w:pPr>
      <w:r w:rsidRPr="006C531D">
        <w:t>Počas epidurálneho podávania sa môže zmeniť fetáln</w:t>
      </w:r>
      <w:r w:rsidR="00B32E00" w:rsidRPr="006C531D">
        <w:t>a</w:t>
      </w:r>
      <w:r w:rsidRPr="006C531D">
        <w:t xml:space="preserve"> srdcov</w:t>
      </w:r>
      <w:r w:rsidR="00B32E00" w:rsidRPr="006C531D">
        <w:t>á</w:t>
      </w:r>
      <w:r w:rsidRPr="006C531D">
        <w:t xml:space="preserve"> frekvenci</w:t>
      </w:r>
      <w:r w:rsidR="00B32E00" w:rsidRPr="006C531D">
        <w:t>a</w:t>
      </w:r>
      <w:r w:rsidRPr="006C531D">
        <w:t>, preto je nutné frekvenciu sledovať, pričom môže byť potrebná aj liečba.</w:t>
      </w:r>
    </w:p>
    <w:p w14:paraId="0372E46D" w14:textId="19E1FCE6" w:rsidR="00B32E00" w:rsidRPr="006C531D" w:rsidRDefault="00F40983">
      <w:pPr>
        <w:pStyle w:val="Styl3"/>
      </w:pPr>
      <w:r w:rsidRPr="006C531D">
        <w:t>Pediatrická populácia</w:t>
      </w:r>
    </w:p>
    <w:p w14:paraId="69B1D521" w14:textId="12757A8C" w:rsidR="00B32E00" w:rsidRPr="006C531D" w:rsidRDefault="00B32E00">
      <w:pPr>
        <w:pStyle w:val="Normlndobloku"/>
      </w:pPr>
      <w:r w:rsidRPr="006C531D">
        <w:t>Vzhľadom</w:t>
      </w:r>
      <w:r w:rsidR="00003A11" w:rsidRPr="006C531D">
        <w:t xml:space="preserve"> k </w:t>
      </w:r>
      <w:r w:rsidRPr="006C531D">
        <w:t>vysokej variabilite farmakokinetických parametrov u novorodencov existuje riziko predávkovania alebo poddávkovania intravenóznym sufentanilom</w:t>
      </w:r>
      <w:r w:rsidR="00003A11" w:rsidRPr="006C531D">
        <w:t xml:space="preserve"> v </w:t>
      </w:r>
      <w:r w:rsidRPr="006C531D">
        <w:t>novorodeneckom období. Pozri tiež časti 4.2</w:t>
      </w:r>
      <w:r w:rsidR="00003A11" w:rsidRPr="006C531D">
        <w:t xml:space="preserve"> a </w:t>
      </w:r>
      <w:r w:rsidRPr="006C531D">
        <w:t>5.2.</w:t>
      </w:r>
    </w:p>
    <w:p w14:paraId="664A4148" w14:textId="05DA5945" w:rsidR="00B32E00" w:rsidRPr="006C531D" w:rsidRDefault="00B32E00">
      <w:pPr>
        <w:pStyle w:val="Normlndobloku"/>
      </w:pPr>
      <w:r w:rsidRPr="006C531D">
        <w:t>Bezpečnosť</w:t>
      </w:r>
      <w:r w:rsidR="00003A11" w:rsidRPr="006C531D">
        <w:t xml:space="preserve"> a </w:t>
      </w:r>
      <w:r w:rsidRPr="006C531D">
        <w:t xml:space="preserve">účinnosť lieku </w:t>
      </w:r>
      <w:r w:rsidR="007157A4" w:rsidRPr="006C531D">
        <w:t>SOFENTIL</w:t>
      </w:r>
      <w:r w:rsidRPr="006C531D">
        <w:t xml:space="preserve"> podávaného epidurálne u detí do 1 roku doteraz nebola stanovená (pozri tiež časti 4.2</w:t>
      </w:r>
      <w:r w:rsidR="00003A11" w:rsidRPr="006C531D">
        <w:t xml:space="preserve"> a </w:t>
      </w:r>
      <w:r w:rsidRPr="006C531D">
        <w:t>5.1).</w:t>
      </w:r>
    </w:p>
    <w:p w14:paraId="49B74F62" w14:textId="5AA50B26" w:rsidR="00B32E00" w:rsidRPr="006C531D" w:rsidRDefault="00B32E00">
      <w:pPr>
        <w:pStyle w:val="Normlndobloku"/>
      </w:pPr>
      <w:r w:rsidRPr="006C531D">
        <w:lastRenderedPageBreak/>
        <w:t>U novorodencov</w:t>
      </w:r>
      <w:r w:rsidR="00003A11" w:rsidRPr="006C531D">
        <w:t xml:space="preserve"> a </w:t>
      </w:r>
      <w:r w:rsidRPr="006C531D">
        <w:t>detí možno očakávať, že budú obzvlášť citliví na respiračnú depresiu</w:t>
      </w:r>
      <w:r w:rsidR="00003A11" w:rsidRPr="006C531D">
        <w:t> </w:t>
      </w:r>
      <w:r w:rsidR="003B7A96">
        <w:t xml:space="preserve">spôsobenú </w:t>
      </w:r>
      <w:r w:rsidRPr="006C531D">
        <w:t>sufentanil</w:t>
      </w:r>
      <w:r w:rsidR="003B7A96">
        <w:t>om</w:t>
      </w:r>
      <w:r w:rsidRPr="006C531D">
        <w:t>, rovnako ako aj pri iných opioidoch. Preto musí byť pomer prínosu</w:t>
      </w:r>
      <w:r w:rsidR="00003A11" w:rsidRPr="006C531D">
        <w:t xml:space="preserve"> a </w:t>
      </w:r>
      <w:r w:rsidRPr="006C531D">
        <w:t>rizika starostlivo vyhodnotený pred použitím sufentanilu u novorodencov</w:t>
      </w:r>
      <w:r w:rsidR="00003A11" w:rsidRPr="006C531D">
        <w:t xml:space="preserve"> a </w:t>
      </w:r>
      <w:r w:rsidRPr="006C531D">
        <w:t>detí.</w:t>
      </w:r>
    </w:p>
    <w:p w14:paraId="13C8968B" w14:textId="5FA0C0FE" w:rsidR="000E7F25" w:rsidRPr="006C531D" w:rsidRDefault="00B32E00">
      <w:pPr>
        <w:pStyle w:val="Normlndobloku"/>
      </w:pPr>
      <w:r w:rsidRPr="006C531D">
        <w:t>Tento liek obsahuje 9 mg sodíka</w:t>
      </w:r>
      <w:r w:rsidR="00003A11" w:rsidRPr="006C531D">
        <w:t xml:space="preserve"> v </w:t>
      </w:r>
      <w:r w:rsidRPr="006C531D">
        <w:t>1 ml injekčného roztoku, čo zodpovedá 0,45%</w:t>
      </w:r>
      <w:r w:rsidR="00DB7CE6" w:rsidRPr="006C531D">
        <w:t xml:space="preserve"> WHO odporúčaného maximálneho denného príjmu 2 g sodíka v množstve pre dospelú osobu.</w:t>
      </w:r>
    </w:p>
    <w:p w14:paraId="6883FCD4" w14:textId="57B7D680" w:rsidR="00EB51D4" w:rsidRPr="006C531D" w:rsidRDefault="00EB51D4" w:rsidP="001D4259">
      <w:pPr>
        <w:pStyle w:val="Styl2"/>
      </w:pPr>
      <w:r w:rsidRPr="006C531D">
        <w:t>Liekové</w:t>
      </w:r>
      <w:r w:rsidR="00003A11" w:rsidRPr="006C531D">
        <w:t xml:space="preserve"> a </w:t>
      </w:r>
      <w:r w:rsidRPr="006C531D">
        <w:t>iné interakcie</w:t>
      </w:r>
    </w:p>
    <w:p w14:paraId="206782FC" w14:textId="068988C5" w:rsidR="00B32E00" w:rsidRPr="006C531D" w:rsidRDefault="00B32E00">
      <w:pPr>
        <w:pStyle w:val="Styl4"/>
      </w:pPr>
      <w:r w:rsidRPr="006C531D">
        <w:t>Látky tlmiace centrálny nervový systém (CNS)</w:t>
      </w:r>
      <w:r w:rsidR="002006E7">
        <w:t xml:space="preserve"> </w:t>
      </w:r>
    </w:p>
    <w:p w14:paraId="3E18D1C4" w14:textId="78059780" w:rsidR="00B32E00" w:rsidRPr="006C531D" w:rsidRDefault="00B32E00">
      <w:pPr>
        <w:pStyle w:val="Normlndobloku"/>
      </w:pPr>
      <w:r w:rsidRPr="006C531D">
        <w:t>Barbituráty, benzodiazepíny, neuroleptiká, celkové anestetiká</w:t>
      </w:r>
      <w:r w:rsidR="00003A11" w:rsidRPr="006C531D">
        <w:t xml:space="preserve"> a </w:t>
      </w:r>
      <w:r w:rsidRPr="006C531D">
        <w:t xml:space="preserve">ďalšie neselektívne depresory CNS (napr. </w:t>
      </w:r>
      <w:r w:rsidR="00F9642D" w:rsidRPr="006C531D">
        <w:t>a</w:t>
      </w:r>
      <w:r w:rsidRPr="006C531D">
        <w:t>lkohol) môžu potenciovať respiračnú depresiu vyvolanú opioidmi.</w:t>
      </w:r>
    </w:p>
    <w:p w14:paraId="59342C56" w14:textId="257DF712" w:rsidR="00B32E00" w:rsidRPr="006C531D" w:rsidRDefault="00B32E00">
      <w:pPr>
        <w:pStyle w:val="Normlndobloku"/>
      </w:pPr>
      <w:r w:rsidRPr="006C531D">
        <w:t xml:space="preserve">Ak pacient užíva lieky tlmiace CNS, postačuje nižšia ako obvyklá dávka </w:t>
      </w:r>
      <w:r w:rsidR="007157A4" w:rsidRPr="006C531D">
        <w:t>SOFENTIL</w:t>
      </w:r>
      <w:r w:rsidR="002006E7">
        <w:t>U</w:t>
      </w:r>
      <w:r w:rsidRPr="006C531D">
        <w:t>. Súčasné podávanie</w:t>
      </w:r>
      <w:r w:rsidR="00003A11" w:rsidRPr="006C531D">
        <w:t xml:space="preserve"> s</w:t>
      </w:r>
      <w:r w:rsidR="002006E7">
        <w:t>o</w:t>
      </w:r>
      <w:r w:rsidRPr="006C531D">
        <w:t xml:space="preserve"> </w:t>
      </w:r>
      <w:r w:rsidR="007157A4" w:rsidRPr="006C531D">
        <w:t>SOFENTIL</w:t>
      </w:r>
      <w:r w:rsidR="002006E7">
        <w:t>OM</w:t>
      </w:r>
      <w:r w:rsidRPr="006C531D">
        <w:t xml:space="preserve"> u spontánne dýchajúcich pacientov môže zvyšovať riziko respiračnej depresie, hlbok</w:t>
      </w:r>
      <w:r w:rsidR="00E31B1D" w:rsidRPr="006C531D">
        <w:t>ej</w:t>
      </w:r>
      <w:r w:rsidRPr="006C531D">
        <w:t xml:space="preserve"> sedáci</w:t>
      </w:r>
      <w:r w:rsidR="00E31B1D" w:rsidRPr="006C531D">
        <w:t>e</w:t>
      </w:r>
      <w:r w:rsidRPr="006C531D">
        <w:t>, kómy</w:t>
      </w:r>
      <w:r w:rsidR="00003A11" w:rsidRPr="006C531D">
        <w:t xml:space="preserve"> a </w:t>
      </w:r>
      <w:r w:rsidRPr="006C531D">
        <w:t>smrti.</w:t>
      </w:r>
    </w:p>
    <w:p w14:paraId="4195BACE" w14:textId="6C7C3FE2" w:rsidR="00B32E00" w:rsidRPr="006C531D" w:rsidRDefault="00B32E00">
      <w:pPr>
        <w:pStyle w:val="Styl4"/>
      </w:pPr>
      <w:r w:rsidRPr="006C531D">
        <w:t xml:space="preserve">Účinky </w:t>
      </w:r>
      <w:r w:rsidR="007157A4" w:rsidRPr="006C531D">
        <w:t>SOFENTIL</w:t>
      </w:r>
      <w:r w:rsidR="002006E7">
        <w:t>U</w:t>
      </w:r>
      <w:r w:rsidRPr="006C531D">
        <w:t xml:space="preserve"> na iné lieky</w:t>
      </w:r>
    </w:p>
    <w:p w14:paraId="282C4954" w14:textId="10D363F5" w:rsidR="00B32E00" w:rsidRPr="006C531D" w:rsidRDefault="00B32E00">
      <w:pPr>
        <w:pStyle w:val="Normlndobloku"/>
      </w:pPr>
      <w:r w:rsidRPr="006C531D">
        <w:t xml:space="preserve">Po podaní lieku </w:t>
      </w:r>
      <w:r w:rsidR="007157A4" w:rsidRPr="006C531D">
        <w:t>SOFENTIL</w:t>
      </w:r>
      <w:r w:rsidRPr="006C531D">
        <w:t xml:space="preserve"> má byť znížená dávka látok </w:t>
      </w:r>
      <w:r w:rsidR="00E31B1D" w:rsidRPr="006C531D">
        <w:t>tlmiacich</w:t>
      </w:r>
      <w:r w:rsidRPr="006C531D">
        <w:t xml:space="preserve"> CNS. Je to obzvlášť dôležité po operácii, pretože hlboká </w:t>
      </w:r>
      <w:r w:rsidR="00E31B1D" w:rsidRPr="006C531D">
        <w:t>anestézia</w:t>
      </w:r>
      <w:r w:rsidRPr="006C531D">
        <w:t xml:space="preserve"> je spojená</w:t>
      </w:r>
      <w:r w:rsidR="00003A11" w:rsidRPr="006C531D">
        <w:t xml:space="preserve"> s </w:t>
      </w:r>
      <w:r w:rsidRPr="006C531D">
        <w:t>významnou respiračnou depresiou, ktorá môže</w:t>
      </w:r>
      <w:r w:rsidR="00003A11" w:rsidRPr="006C531D">
        <w:t xml:space="preserve"> v </w:t>
      </w:r>
      <w:r w:rsidRPr="006C531D">
        <w:t>pooperačnom období pretrvávať alebo sa vracať.</w:t>
      </w:r>
    </w:p>
    <w:p w14:paraId="4605E2D9" w14:textId="77777777" w:rsidR="00B32E00" w:rsidRPr="006C531D" w:rsidRDefault="00B32E00">
      <w:pPr>
        <w:pStyle w:val="Normlndobloku"/>
      </w:pPr>
      <w:r w:rsidRPr="006C531D">
        <w:t>Podanie liečiv znižujúcich aktivitu CNS ako napríklad benzodiazepínu môže počas tohto obdobia neúmerne zvýšiť riziko respiračnej depresie.</w:t>
      </w:r>
    </w:p>
    <w:p w14:paraId="6ADC75AC" w14:textId="30428FBC" w:rsidR="00B32E00" w:rsidRPr="006C531D" w:rsidRDefault="00B32E00">
      <w:pPr>
        <w:pStyle w:val="Normlndobloku"/>
      </w:pPr>
      <w:r w:rsidRPr="006C531D">
        <w:t xml:space="preserve">Pri vysokých dávkach sufentanilu môže súbežné podávanie oxidu dusného alebo dokonca malých dávok benzodiazepínov (napr. </w:t>
      </w:r>
      <w:r w:rsidR="006141BC" w:rsidRPr="006C531D">
        <w:t>d</w:t>
      </w:r>
      <w:r w:rsidRPr="006C531D">
        <w:t>iazepamu alebo midazolamu) viesť</w:t>
      </w:r>
      <w:r w:rsidR="00003A11" w:rsidRPr="006C531D">
        <w:t xml:space="preserve"> k </w:t>
      </w:r>
      <w:r w:rsidRPr="006C531D">
        <w:t>zníženiu funkcie srdca (k poklesu krvného tlaku</w:t>
      </w:r>
      <w:r w:rsidR="00003A11" w:rsidRPr="006C531D">
        <w:t xml:space="preserve"> a k </w:t>
      </w:r>
      <w:r w:rsidRPr="006C531D">
        <w:t>poklesu srdcového objemu</w:t>
      </w:r>
      <w:r w:rsidR="00003A11" w:rsidRPr="006C531D">
        <w:t xml:space="preserve"> a </w:t>
      </w:r>
      <w:r w:rsidRPr="006C531D">
        <w:t>srdcovej frekvencie).</w:t>
      </w:r>
    </w:p>
    <w:p w14:paraId="269B3555" w14:textId="52595613" w:rsidR="00B32E00" w:rsidRPr="006C531D" w:rsidRDefault="00B32E00">
      <w:pPr>
        <w:pStyle w:val="Normlndobloku"/>
      </w:pPr>
      <w:r w:rsidRPr="006C531D">
        <w:t xml:space="preserve">Podávanie sufentanilu </w:t>
      </w:r>
      <w:r w:rsidR="00E31B1D" w:rsidRPr="006C531D">
        <w:t>so</w:t>
      </w:r>
      <w:r w:rsidRPr="006C531D">
        <w:t xml:space="preserve"> suxametóniom môže vyvolať bradykardiu, najmä ak je pulz už nízky (napr. </w:t>
      </w:r>
      <w:r w:rsidR="005A5FBB" w:rsidRPr="006C531D">
        <w:t>u</w:t>
      </w:r>
      <w:r w:rsidRPr="006C531D">
        <w:t xml:space="preserve"> pacientov užívajúcich antagonisty vápnika alebo beta-blokátory). Preto je vhodné vykonať zodpovedajúce zníženie dávky jedného alebo oboch liečiv.</w:t>
      </w:r>
    </w:p>
    <w:p w14:paraId="2B59BC72" w14:textId="77777777" w:rsidR="00B32E00" w:rsidRPr="006C531D" w:rsidRDefault="00B32E00">
      <w:pPr>
        <w:pStyle w:val="Styl4"/>
      </w:pPr>
      <w:r w:rsidRPr="006C531D">
        <w:t>Inhibítory enzýmu monoaminooxidázy (IMAO)</w:t>
      </w:r>
    </w:p>
    <w:p w14:paraId="7AD0B388" w14:textId="58B288A6" w:rsidR="00A12D57" w:rsidRPr="006C531D" w:rsidRDefault="00B32E00">
      <w:pPr>
        <w:pStyle w:val="Normlndobloku"/>
      </w:pPr>
      <w:r w:rsidRPr="006C531D">
        <w:t>V prípade liečby inhibítormi MAO až 14 dní pred liečbou opioidom</w:t>
      </w:r>
      <w:r w:rsidR="00003A11" w:rsidRPr="006C531D">
        <w:t xml:space="preserve"> s </w:t>
      </w:r>
      <w:r w:rsidRPr="006C531D">
        <w:t xml:space="preserve">petidínom sa pozorovali život ohrozujúce interakcie na CNS (nepokoj, svalová </w:t>
      </w:r>
      <w:r w:rsidR="00E31B1D" w:rsidRPr="006C531D">
        <w:t>stuhnutosť</w:t>
      </w:r>
      <w:r w:rsidRPr="006C531D">
        <w:t>, vysoká horúčka, kŕče), rovnako ako na respiračné</w:t>
      </w:r>
      <w:r w:rsidR="00003A11" w:rsidRPr="006C531D">
        <w:t xml:space="preserve"> a </w:t>
      </w:r>
      <w:r w:rsidRPr="006C531D">
        <w:t>obehové funkcie (</w:t>
      </w:r>
      <w:r w:rsidR="006C531D" w:rsidRPr="006C531D">
        <w:t>cirkulačn</w:t>
      </w:r>
      <w:r w:rsidR="006C531D">
        <w:t>á</w:t>
      </w:r>
      <w:r w:rsidR="006C531D" w:rsidRPr="006C531D">
        <w:t xml:space="preserve"> </w:t>
      </w:r>
      <w:r w:rsidRPr="006C531D">
        <w:t>depresia, hypotenzia, hemodynamická nestabilita, kóma). Tieto interakcie s</w:t>
      </w:r>
      <w:r w:rsidR="00A12D57" w:rsidRPr="006C531D">
        <w:t>o</w:t>
      </w:r>
      <w:r w:rsidRPr="006C531D">
        <w:t xml:space="preserve"> sufentanilom nemožno vylúčiť,</w:t>
      </w:r>
      <w:r w:rsidR="00003A11" w:rsidRPr="006C531D">
        <w:t xml:space="preserve"> a </w:t>
      </w:r>
      <w:r w:rsidRPr="006C531D">
        <w:t>preto sa odporúča prerušiť podávanie inhibítorov MAO (aspoň) 2 týždne pred operáciou alebo anestéziou.</w:t>
      </w:r>
    </w:p>
    <w:p w14:paraId="71CB3423" w14:textId="1B068AEC" w:rsidR="00B32E00" w:rsidRPr="006C531D" w:rsidRDefault="00B32E00">
      <w:pPr>
        <w:pStyle w:val="Styl4"/>
      </w:pPr>
      <w:r w:rsidRPr="006C531D">
        <w:t>S</w:t>
      </w:r>
      <w:r w:rsidR="00367299" w:rsidRPr="006C531D">
        <w:t>é</w:t>
      </w:r>
      <w:r w:rsidRPr="006C531D">
        <w:t>rotonínergn</w:t>
      </w:r>
      <w:r w:rsidR="00E31B1D" w:rsidRPr="006C531D">
        <w:t>é</w:t>
      </w:r>
      <w:r w:rsidRPr="006C531D">
        <w:t xml:space="preserve"> lieky</w:t>
      </w:r>
    </w:p>
    <w:p w14:paraId="1B9C2864" w14:textId="6E3EB77C" w:rsidR="00B32E00" w:rsidRPr="006C531D" w:rsidRDefault="00B32E00">
      <w:pPr>
        <w:pStyle w:val="Normlndobloku"/>
      </w:pPr>
      <w:r w:rsidRPr="006C531D">
        <w:t>Súčasné podávanie sufentanilu s</w:t>
      </w:r>
      <w:r w:rsidR="00F9642D" w:rsidRPr="006C531D">
        <w:t>o</w:t>
      </w:r>
      <w:r w:rsidRPr="006C531D">
        <w:t xml:space="preserve"> </w:t>
      </w:r>
      <w:r w:rsidR="006C531D" w:rsidRPr="006C531D">
        <w:t>séroton</w:t>
      </w:r>
      <w:r w:rsidR="006C531D">
        <w:t>í</w:t>
      </w:r>
      <w:r w:rsidR="006C531D" w:rsidRPr="006C531D">
        <w:t xml:space="preserve">nergnými </w:t>
      </w:r>
      <w:r w:rsidRPr="006C531D">
        <w:t>liekmi, ako sú SSRI, SNRI alebo IMAO, môže zvyšovať riziko s</w:t>
      </w:r>
      <w:r w:rsidR="00E31B1D" w:rsidRPr="006C531D">
        <w:t>é</w:t>
      </w:r>
      <w:r w:rsidRPr="006C531D">
        <w:t>rotonínového syndrómu, potenciálne život ohrozujúceho stavu.</w:t>
      </w:r>
    </w:p>
    <w:p w14:paraId="50C6399A" w14:textId="77777777" w:rsidR="00B32E00" w:rsidRPr="006C531D" w:rsidRDefault="00B32E00">
      <w:pPr>
        <w:pStyle w:val="Styl4"/>
      </w:pPr>
      <w:r w:rsidRPr="006C531D">
        <w:t>Inhibítory CYP3A4 (cytochróm P450 3A4)</w:t>
      </w:r>
    </w:p>
    <w:p w14:paraId="1AE342F5" w14:textId="2387D409" w:rsidR="005A5FBB" w:rsidRPr="006C531D" w:rsidRDefault="005A5FBB">
      <w:pPr>
        <w:pStyle w:val="Normlndobloku"/>
      </w:pPr>
      <w:r w:rsidRPr="006C531D">
        <w:t xml:space="preserve">Sufentanil je metabolizovaný predovšetkým enzýmami ľudského cytochrómu P450 3A4. Napriek tomu nebola pozorovaná </w:t>
      </w:r>
      <w:r w:rsidRPr="006C531D">
        <w:rPr>
          <w:rStyle w:val="Bacil"/>
        </w:rPr>
        <w:t>in vivo</w:t>
      </w:r>
      <w:r w:rsidRPr="006C531D">
        <w:t xml:space="preserve"> inhibícia jeho účinkov erytromycínom (známy inhibítor enzýmov cytochrómu P450 3A4). Hoci chýbajú klinické údaje, výsledky štúdií </w:t>
      </w:r>
      <w:r w:rsidRPr="006C531D">
        <w:rPr>
          <w:rStyle w:val="Bacil"/>
        </w:rPr>
        <w:t>in vitro</w:t>
      </w:r>
      <w:r w:rsidRPr="006C531D">
        <w:t xml:space="preserve"> naznačujú, že ďalšie silné inhibítory enzýmov cytochrómu P450 3A4 (napr. ketokonazol, itrakonazol, ritonavir) môžu inhibovať metabolizmus sufentanilu. Tým by sa mohlo zvýšiť riziko predĺženej alebo </w:t>
      </w:r>
      <w:r w:rsidR="00364FA9">
        <w:t>oneskoren</w:t>
      </w:r>
      <w:r w:rsidRPr="006C531D">
        <w:t>ej respiračnej depresie. Súbežné podávanie týchto liekov vyžaduje špeciálnu starostlivosť</w:t>
      </w:r>
      <w:r w:rsidR="00003A11" w:rsidRPr="006C531D">
        <w:t xml:space="preserve"> a </w:t>
      </w:r>
      <w:r w:rsidRPr="006C531D">
        <w:t>sledovanie pacienta</w:t>
      </w:r>
      <w:r w:rsidR="00364FA9">
        <w:t>.</w:t>
      </w:r>
      <w:r w:rsidRPr="006C531D">
        <w:t xml:space="preserve"> </w:t>
      </w:r>
      <w:r w:rsidR="00364FA9">
        <w:t>Môže byť potrebné</w:t>
      </w:r>
      <w:r w:rsidRPr="006C531D">
        <w:t xml:space="preserve"> zníženie dávky sufentanilu.</w:t>
      </w:r>
    </w:p>
    <w:p w14:paraId="5C8E9FB4" w14:textId="2283E62C" w:rsidR="005A5FBB" w:rsidRPr="006C531D" w:rsidRDefault="00F9642D" w:rsidP="001D4259">
      <w:pPr>
        <w:pStyle w:val="Styl2"/>
      </w:pPr>
      <w:r w:rsidRPr="006C531D">
        <w:t>Fertilita, gravidita, laktácia</w:t>
      </w:r>
    </w:p>
    <w:p w14:paraId="7DD21DD9" w14:textId="09343D2C" w:rsidR="005A5FBB" w:rsidRPr="006C531D" w:rsidRDefault="00F9642D">
      <w:pPr>
        <w:pStyle w:val="Styl3"/>
      </w:pPr>
      <w:r w:rsidRPr="006C531D">
        <w:t>Gravidita</w:t>
      </w:r>
    </w:p>
    <w:p w14:paraId="00D00353" w14:textId="2E3D9E40" w:rsidR="005A5FBB" w:rsidRPr="006C531D" w:rsidRDefault="005A5FBB">
      <w:pPr>
        <w:pStyle w:val="Normlndobloku"/>
      </w:pPr>
      <w:r w:rsidRPr="006C531D">
        <w:t>Existuje len málo skúseností</w:t>
      </w:r>
      <w:r w:rsidR="00003A11" w:rsidRPr="006C531D">
        <w:t xml:space="preserve"> s </w:t>
      </w:r>
      <w:r w:rsidRPr="006C531D">
        <w:t>intravenóznym užívaním sufentanilu u tehotných žien. Štúdie na zvieratách nepreukázali žiadny teratogénny účinok. Rovnako ako u ostatných liekov je nutné pred podaním zhodnotiť prínos liečby</w:t>
      </w:r>
      <w:r w:rsidR="00003A11" w:rsidRPr="006C531D">
        <w:t xml:space="preserve"> v </w:t>
      </w:r>
      <w:r w:rsidRPr="006C531D">
        <w:t>porovnaní</w:t>
      </w:r>
      <w:r w:rsidR="00003A11" w:rsidRPr="006C531D">
        <w:t xml:space="preserve"> s </w:t>
      </w:r>
      <w:r w:rsidRPr="006C531D">
        <w:t>prípadným rizikom pre pacienta.</w:t>
      </w:r>
    </w:p>
    <w:p w14:paraId="471C336F" w14:textId="77777777" w:rsidR="005A5FBB" w:rsidRPr="006C531D" w:rsidRDefault="005A5FBB">
      <w:pPr>
        <w:pStyle w:val="Normlndobloku"/>
      </w:pPr>
      <w:r w:rsidRPr="006C531D">
        <w:lastRenderedPageBreak/>
        <w:t>Intravenózne podanie pri pôrode alebo pred podviazaním pupočnej šnúry počas cisárskeho rezu je kontraindikované vzhľadom na možnosť útlmu dýchania novorodenca.</w:t>
      </w:r>
    </w:p>
    <w:p w14:paraId="1FEE1094" w14:textId="491CE09A" w:rsidR="005A5FBB" w:rsidRPr="006C531D" w:rsidRDefault="005A5FBB">
      <w:pPr>
        <w:pStyle w:val="Normlndobloku"/>
      </w:pPr>
      <w:r w:rsidRPr="006C531D">
        <w:t>Sufentanil rýchlo prechádza do placenty</w:t>
      </w:r>
      <w:r w:rsidR="00003A11" w:rsidRPr="006C531D">
        <w:t xml:space="preserve"> a </w:t>
      </w:r>
      <w:r w:rsidRPr="006C531D">
        <w:t xml:space="preserve">koncentrácia stúpa lineárne </w:t>
      </w:r>
      <w:r w:rsidR="00D246DF" w:rsidRPr="006C531D">
        <w:t xml:space="preserve">vzhľadom </w:t>
      </w:r>
      <w:r w:rsidRPr="006C531D">
        <w:t>na zvýšenú koncentráciu u matky. Pomer koncentrácie</w:t>
      </w:r>
      <w:r w:rsidR="00003A11" w:rsidRPr="006C531D">
        <w:t xml:space="preserve"> v </w:t>
      </w:r>
      <w:r w:rsidRPr="006C531D">
        <w:t>pupočnej žile</w:t>
      </w:r>
      <w:r w:rsidR="00003A11" w:rsidRPr="006C531D">
        <w:t xml:space="preserve"> k </w:t>
      </w:r>
      <w:r w:rsidRPr="006C531D">
        <w:t>materskej venózn</w:t>
      </w:r>
      <w:r w:rsidR="00D246DF" w:rsidRPr="006C531D">
        <w:t>ej</w:t>
      </w:r>
      <w:r w:rsidRPr="006C531D">
        <w:t xml:space="preserve"> koncentrácii je 0,81.</w:t>
      </w:r>
    </w:p>
    <w:p w14:paraId="0AFEC83F" w14:textId="5D49DCF9" w:rsidR="005A5FBB" w:rsidRPr="006C531D" w:rsidRDefault="005A5FBB">
      <w:pPr>
        <w:pStyle w:val="Normlndobloku"/>
      </w:pPr>
      <w:r w:rsidRPr="006C531D">
        <w:t xml:space="preserve">Sufentanil môže </w:t>
      </w:r>
      <w:r w:rsidR="00D246DF" w:rsidRPr="006C531D">
        <w:t xml:space="preserve">byť </w:t>
      </w:r>
      <w:r w:rsidRPr="006C531D">
        <w:t>podáv</w:t>
      </w:r>
      <w:r w:rsidR="00D246DF" w:rsidRPr="006C531D">
        <w:t>aný</w:t>
      </w:r>
      <w:r w:rsidRPr="006C531D">
        <w:t xml:space="preserve"> epidurálne. Kontrolované klinické štúdie počas pôrodu preukázali, že sufentanil pridaný do epidurálneho bupivakaínu</w:t>
      </w:r>
      <w:r w:rsidR="00003A11" w:rsidRPr="006C531D">
        <w:t xml:space="preserve"> v </w:t>
      </w:r>
      <w:r w:rsidRPr="006C531D">
        <w:t>celkovej dávke do 30 mikrogramov nemá škodlivý účinok na matku alebo novorodenca. Sufentanil prechádza placentou. Po epidurálnom podaní celkovej dávky nepresahujúce</w:t>
      </w:r>
      <w:r w:rsidR="00D246DF" w:rsidRPr="006C531D">
        <w:t>j</w:t>
      </w:r>
      <w:r w:rsidRPr="006C531D">
        <w:t xml:space="preserve"> 30 mikrogramov boli</w:t>
      </w:r>
      <w:r w:rsidR="00003A11" w:rsidRPr="006C531D">
        <w:t xml:space="preserve"> v </w:t>
      </w:r>
      <w:r w:rsidRPr="006C531D">
        <w:t>pupočnej žile zistené priemerné plazmatické koncentrácie 0,016</w:t>
      </w:r>
      <w:r w:rsidR="00D246DF" w:rsidRPr="006C531D">
        <w:t> </w:t>
      </w:r>
      <w:r w:rsidRPr="006C531D">
        <w:t>ng/ml.</w:t>
      </w:r>
    </w:p>
    <w:p w14:paraId="6B54E17D" w14:textId="258608CA" w:rsidR="005A5FBB" w:rsidRPr="006C531D" w:rsidRDefault="005A5FBB">
      <w:pPr>
        <w:pStyle w:val="Normlndobloku"/>
      </w:pPr>
      <w:r w:rsidRPr="006C531D">
        <w:t>Antidotá pre dieťa majú byť vždy</w:t>
      </w:r>
      <w:r w:rsidR="00003A11" w:rsidRPr="006C531D">
        <w:t xml:space="preserve"> k </w:t>
      </w:r>
      <w:r w:rsidRPr="006C531D">
        <w:t>dispozícii.</w:t>
      </w:r>
    </w:p>
    <w:p w14:paraId="325B78FD" w14:textId="0662C6FC" w:rsidR="005A5FBB" w:rsidRPr="006C531D" w:rsidRDefault="00EB5059">
      <w:pPr>
        <w:pStyle w:val="Styl3"/>
      </w:pPr>
      <w:r w:rsidRPr="006C531D">
        <w:t>D</w:t>
      </w:r>
      <w:r w:rsidR="005A5FBB" w:rsidRPr="006C531D">
        <w:t>ojčenie</w:t>
      </w:r>
    </w:p>
    <w:p w14:paraId="10797785" w14:textId="7A3D500F" w:rsidR="00EB51D4" w:rsidRPr="006C531D" w:rsidRDefault="005A5FBB">
      <w:pPr>
        <w:pStyle w:val="Normlndobloku"/>
      </w:pPr>
      <w:r w:rsidRPr="006C531D">
        <w:t>Sufentanil sa vylučuje do materského mlieka. Podávanie sufentanilu dojčiacim matkám vyžaduje preto zvýšenú opatrnosť.</w:t>
      </w:r>
    </w:p>
    <w:p w14:paraId="354A30B8" w14:textId="151B9E0B" w:rsidR="00EB51D4" w:rsidRPr="006C531D" w:rsidRDefault="00EB51D4" w:rsidP="001D4259">
      <w:pPr>
        <w:pStyle w:val="Styl2"/>
      </w:pPr>
      <w:r w:rsidRPr="006C531D">
        <w:t>Ovplyvnenie schopnosti viesť vozidlá</w:t>
      </w:r>
      <w:r w:rsidR="00003A11" w:rsidRPr="006C531D">
        <w:t xml:space="preserve"> a </w:t>
      </w:r>
      <w:r w:rsidRPr="006C531D">
        <w:t>obsluhovať stroje</w:t>
      </w:r>
    </w:p>
    <w:p w14:paraId="7BFCEED9" w14:textId="6B0DFD8A" w:rsidR="00D246DF" w:rsidRPr="006C531D" w:rsidRDefault="00D246DF">
      <w:pPr>
        <w:pStyle w:val="Normlndobloku"/>
      </w:pPr>
      <w:r w:rsidRPr="006C531D">
        <w:t>Sufentanil má výrazný vplyv na schopnosť viesť</w:t>
      </w:r>
      <w:r w:rsidR="00003A11" w:rsidRPr="006C531D">
        <w:t xml:space="preserve"> a </w:t>
      </w:r>
      <w:r w:rsidRPr="006C531D">
        <w:t>obsluhovať stroje.</w:t>
      </w:r>
    </w:p>
    <w:p w14:paraId="3164059A" w14:textId="2CDE2EA5" w:rsidR="00D246DF" w:rsidRPr="006C531D" w:rsidRDefault="00D246DF">
      <w:pPr>
        <w:pStyle w:val="Normlndobloku"/>
      </w:pPr>
      <w:r w:rsidRPr="006C531D">
        <w:t>Pacienti nemajú viesť motorové vozidlá</w:t>
      </w:r>
      <w:r w:rsidR="00003A11" w:rsidRPr="006C531D">
        <w:t xml:space="preserve"> a </w:t>
      </w:r>
      <w:r w:rsidRPr="006C531D">
        <w:t xml:space="preserve">obsluhovať stroje, pokiaľ od podania </w:t>
      </w:r>
      <w:r w:rsidR="007157A4" w:rsidRPr="006C531D">
        <w:t>SOFENTIL</w:t>
      </w:r>
      <w:r w:rsidR="00F9086D">
        <w:t>U</w:t>
      </w:r>
      <w:r w:rsidRPr="006C531D">
        <w:t xml:space="preserve"> neuplynula dostatočná doba.</w:t>
      </w:r>
    </w:p>
    <w:p w14:paraId="6282FA4B" w14:textId="5E6F31C3" w:rsidR="00EB51D4" w:rsidRPr="006C531D" w:rsidRDefault="00D246DF">
      <w:pPr>
        <w:pStyle w:val="Normlndobloku"/>
      </w:pPr>
      <w:r w:rsidRPr="006C531D">
        <w:t>Pacienti nemajú byť prepustení domov bez dozoru</w:t>
      </w:r>
      <w:r w:rsidR="00003A11" w:rsidRPr="006C531D">
        <w:t xml:space="preserve"> a </w:t>
      </w:r>
      <w:r w:rsidRPr="006C531D">
        <w:t>majú byť upozornení, aby sa vyvarovali konzumácii alkoholu.</w:t>
      </w:r>
    </w:p>
    <w:p w14:paraId="55C8ECFB" w14:textId="40CE6095" w:rsidR="00EB51D4" w:rsidRPr="006C531D" w:rsidRDefault="00EB51D4" w:rsidP="001D4259">
      <w:pPr>
        <w:pStyle w:val="Styl2"/>
      </w:pPr>
      <w:r w:rsidRPr="006C531D">
        <w:t>Nežiaduce účinky</w:t>
      </w:r>
    </w:p>
    <w:p w14:paraId="7916A3A2" w14:textId="62B02D75" w:rsidR="00D246DF" w:rsidRPr="006C531D" w:rsidRDefault="00D246DF">
      <w:pPr>
        <w:pStyle w:val="Normlndobloku"/>
      </w:pPr>
      <w:r w:rsidRPr="006C531D">
        <w:t>Bezpečnosť sufentanilu bola hodnotená u 650 pacientov liečených sufentanilom, ktorí sa zúčastnili 6</w:t>
      </w:r>
      <w:r w:rsidR="00CC30DA">
        <w:t> </w:t>
      </w:r>
      <w:r w:rsidRPr="006C531D">
        <w:t>klinických štúdií.</w:t>
      </w:r>
      <w:r w:rsidR="00003A11" w:rsidRPr="006C531D">
        <w:t xml:space="preserve"> </w:t>
      </w:r>
      <w:r w:rsidR="00F9086D">
        <w:t>Z</w:t>
      </w:r>
      <w:r w:rsidR="00003A11" w:rsidRPr="006C531D">
        <w:t> </w:t>
      </w:r>
      <w:r w:rsidRPr="006C531D">
        <w:t>nich sa 78 pacientov zúčastnilo 2 štúdií,</w:t>
      </w:r>
      <w:r w:rsidR="00003A11" w:rsidRPr="006C531D">
        <w:t xml:space="preserve"> v </w:t>
      </w:r>
      <w:r w:rsidRPr="006C531D">
        <w:t>ktorých sa sufentanil podával intravenózne ako anestetikum pre navodenie</w:t>
      </w:r>
      <w:r w:rsidR="00003A11" w:rsidRPr="006C531D">
        <w:t xml:space="preserve"> a </w:t>
      </w:r>
      <w:r w:rsidRPr="006C531D">
        <w:t xml:space="preserve">udržanie anestézie u subjektov podstupujúcich veľký chirurgický zákrok (bypass koronárnych artérií alebo operáciu na otvorenom srdci). </w:t>
      </w:r>
      <w:r w:rsidR="00BE7139" w:rsidRPr="006C531D">
        <w:t xml:space="preserve">Zvyšných </w:t>
      </w:r>
      <w:r w:rsidRPr="006C531D">
        <w:t>572 subjektov sa zúčastnilo 4 štúdií</w:t>
      </w:r>
      <w:r w:rsidR="00003A11" w:rsidRPr="006C531D">
        <w:t xml:space="preserve"> s </w:t>
      </w:r>
      <w:r w:rsidRPr="006C531D">
        <w:t xml:space="preserve">epidurálnym podaním sufentanilu ako </w:t>
      </w:r>
      <w:r w:rsidR="006C531D" w:rsidRPr="006C531D">
        <w:t>postoperat</w:t>
      </w:r>
      <w:r w:rsidR="006C531D">
        <w:t>í</w:t>
      </w:r>
      <w:r w:rsidR="006C531D" w:rsidRPr="006C531D">
        <w:t xml:space="preserve">vneho </w:t>
      </w:r>
      <w:r w:rsidRPr="006C531D">
        <w:t>analgetika alebo ako analgetick</w:t>
      </w:r>
      <w:r w:rsidR="00BE7139" w:rsidRPr="006C531D">
        <w:t>ého</w:t>
      </w:r>
      <w:r w:rsidRPr="006C531D">
        <w:t xml:space="preserve"> dopln</w:t>
      </w:r>
      <w:r w:rsidR="00BE7139" w:rsidRPr="006C531D">
        <w:t>ku</w:t>
      </w:r>
      <w:r w:rsidR="00003A11" w:rsidRPr="006C531D">
        <w:t xml:space="preserve"> k </w:t>
      </w:r>
      <w:r w:rsidRPr="006C531D">
        <w:t>epidurálne podanému bupivakaínu počas pôrodných bolestí</w:t>
      </w:r>
      <w:r w:rsidR="00003A11" w:rsidRPr="006C531D">
        <w:t xml:space="preserve"> a </w:t>
      </w:r>
      <w:r w:rsidRPr="006C531D">
        <w:t>vaginálneho pôrodu. Týmto subjektom bola podaná minimálne 1 dávka sufentanilu</w:t>
      </w:r>
      <w:r w:rsidR="00003A11" w:rsidRPr="006C531D">
        <w:t xml:space="preserve"> a </w:t>
      </w:r>
      <w:r w:rsidRPr="006C531D">
        <w:t>boli zisťované údaje o bezpečnosti.</w:t>
      </w:r>
    </w:p>
    <w:p w14:paraId="2D7992EB" w14:textId="56375F93" w:rsidR="00EB51D4" w:rsidRPr="006C531D" w:rsidRDefault="00D246DF">
      <w:pPr>
        <w:pStyle w:val="Normlndobloku"/>
      </w:pPr>
      <w:r w:rsidRPr="006C531D">
        <w:t>Najčastejšie hlásené nežiaduce účinky (s incidenciou ≥ 5%) zo súhrnu údajov</w:t>
      </w:r>
      <w:r w:rsidR="00003A11" w:rsidRPr="006C531D">
        <w:t xml:space="preserve"> z </w:t>
      </w:r>
      <w:r w:rsidRPr="006C531D">
        <w:t>týchto štúdií boli: sedácia (19,5%), svrbenie (15,2%), nauzea (9,8%)</w:t>
      </w:r>
      <w:r w:rsidR="00003A11" w:rsidRPr="006C531D">
        <w:t xml:space="preserve"> a </w:t>
      </w:r>
      <w:r w:rsidRPr="006C531D">
        <w:t>vracanie (5,7%).</w:t>
      </w:r>
    </w:p>
    <w:p w14:paraId="56F4B800" w14:textId="28C882AF" w:rsidR="00D246DF" w:rsidRPr="006C531D" w:rsidRDefault="00F40983">
      <w:pPr>
        <w:pStyle w:val="Styl3"/>
      </w:pPr>
      <w:r w:rsidRPr="006C531D">
        <w:t>Pediatrická populácia</w:t>
      </w:r>
    </w:p>
    <w:p w14:paraId="0543B36B" w14:textId="58E12D72" w:rsidR="00D246DF" w:rsidRPr="006C531D" w:rsidRDefault="00D246DF">
      <w:pPr>
        <w:pStyle w:val="Normlndobloku"/>
      </w:pPr>
      <w:r w:rsidRPr="006C531D">
        <w:t>Predpokladá sa, že frekvencia, typ</w:t>
      </w:r>
      <w:r w:rsidR="00003A11" w:rsidRPr="006C531D">
        <w:t xml:space="preserve"> a </w:t>
      </w:r>
      <w:r w:rsidRPr="006C531D">
        <w:t>závažnosť nežiaducich účinkov u pediatrických pacientov sú rovnaké ako u dospelých.</w:t>
      </w:r>
    </w:p>
    <w:p w14:paraId="3275A75C" w14:textId="1A5C7253" w:rsidR="006C531D" w:rsidRDefault="00C64FFA">
      <w:pPr>
        <w:pStyle w:val="Normlndobloku"/>
      </w:pPr>
      <w:r w:rsidRPr="006C531D">
        <w:t>V nasledujúcej tabuľke sú uvedené nežiaduce účinky, ktoré boli hlásené pri použití sufentanilu</w:t>
      </w:r>
      <w:r w:rsidR="00003A11" w:rsidRPr="006C531D">
        <w:t xml:space="preserve"> z </w:t>
      </w:r>
      <w:r w:rsidRPr="006C531D">
        <w:t>klinických štúdií alebo po uvedení lieku na trh.</w:t>
      </w:r>
    </w:p>
    <w:p w14:paraId="2C05FF7D" w14:textId="6B2A383B" w:rsidR="00EB51D4" w:rsidRPr="006C531D" w:rsidRDefault="00C64FFA">
      <w:pPr>
        <w:pStyle w:val="Normlndobloku"/>
      </w:pPr>
      <w:r w:rsidRPr="006C531D">
        <w:t>Nežiaduce reakcie sú zoradené podľa frekvencie, frekvencia je určená nasledovne: veľmi časté (≥1/10), časté (≥1/100 až &lt;l/10), menej časté (≥1/1 000 až &lt;l/100), zriedkavé (≥1/10 000 až &lt;1/1 000), veľmi zriedkavé (&lt;1/10 000), neznáme (z dostupných údajov).</w:t>
      </w:r>
    </w:p>
    <w:tbl>
      <w:tblPr>
        <w:tblStyle w:val="Mriekatabuky"/>
        <w:tblW w:w="9611" w:type="dxa"/>
        <w:tblLook w:val="04A0" w:firstRow="1" w:lastRow="0" w:firstColumn="1" w:lastColumn="0" w:noHBand="0" w:noVBand="1"/>
      </w:tblPr>
      <w:tblGrid>
        <w:gridCol w:w="2018"/>
        <w:gridCol w:w="999"/>
        <w:gridCol w:w="1754"/>
        <w:gridCol w:w="1918"/>
        <w:gridCol w:w="1194"/>
        <w:gridCol w:w="1728"/>
      </w:tblGrid>
      <w:tr w:rsidR="00542F28" w:rsidRPr="006C531D" w14:paraId="49A96308" w14:textId="77777777" w:rsidTr="00513E32">
        <w:trPr>
          <w:trHeight w:val="378"/>
          <w:tblHeader/>
        </w:trPr>
        <w:tc>
          <w:tcPr>
            <w:tcW w:w="9611" w:type="dxa"/>
            <w:gridSpan w:val="6"/>
          </w:tcPr>
          <w:p w14:paraId="106D3C27" w14:textId="1BCCC037" w:rsidR="00542F28" w:rsidRPr="006C531D" w:rsidRDefault="00542F28">
            <w:pPr>
              <w:pStyle w:val="Normlndobloku"/>
              <w:rPr>
                <w:lang w:val="sk-SK"/>
              </w:rPr>
            </w:pPr>
            <w:r w:rsidRPr="006C531D">
              <w:rPr>
                <w:lang w:val="sk-SK"/>
              </w:rPr>
              <w:t xml:space="preserve">Nežiadúce </w:t>
            </w:r>
            <w:r w:rsidR="00880D5A">
              <w:rPr>
                <w:lang w:val="sk-SK"/>
              </w:rPr>
              <w:t>reakcie</w:t>
            </w:r>
            <w:r w:rsidRPr="006C531D">
              <w:rPr>
                <w:lang w:val="sk-SK"/>
              </w:rPr>
              <w:t xml:space="preserve"> </w:t>
            </w:r>
          </w:p>
        </w:tc>
      </w:tr>
      <w:tr w:rsidR="00513E32" w:rsidRPr="006C531D" w14:paraId="014378A6" w14:textId="77777777" w:rsidTr="00542F28">
        <w:trPr>
          <w:trHeight w:val="369"/>
          <w:tblHeader/>
        </w:trPr>
        <w:tc>
          <w:tcPr>
            <w:tcW w:w="2018" w:type="dxa"/>
            <w:vMerge w:val="restart"/>
          </w:tcPr>
          <w:p w14:paraId="024912F6" w14:textId="258665B9" w:rsidR="00542F28" w:rsidRPr="006C531D" w:rsidRDefault="00542F28">
            <w:pPr>
              <w:pStyle w:val="Normlndobloku"/>
              <w:rPr>
                <w:lang w:val="sk-SK"/>
              </w:rPr>
            </w:pPr>
            <w:r w:rsidRPr="006C531D">
              <w:rPr>
                <w:lang w:val="sk-SK"/>
              </w:rPr>
              <w:t>T</w:t>
            </w:r>
            <w:r w:rsidR="007157A4" w:rsidRPr="006C531D">
              <w:rPr>
                <w:lang w:val="sk-SK"/>
              </w:rPr>
              <w:t>rie</w:t>
            </w:r>
            <w:r w:rsidRPr="006C531D">
              <w:rPr>
                <w:lang w:val="sk-SK"/>
              </w:rPr>
              <w:t>d</w:t>
            </w:r>
            <w:r w:rsidR="007157A4" w:rsidRPr="006C531D">
              <w:rPr>
                <w:lang w:val="sk-SK"/>
              </w:rPr>
              <w:t>a</w:t>
            </w:r>
            <w:r w:rsidRPr="006C531D">
              <w:rPr>
                <w:lang w:val="sk-SK"/>
              </w:rPr>
              <w:t xml:space="preserve"> orgánových systém</w:t>
            </w:r>
            <w:r w:rsidR="007157A4" w:rsidRPr="006C531D">
              <w:rPr>
                <w:lang w:val="sk-SK"/>
              </w:rPr>
              <w:t>ov</w:t>
            </w:r>
          </w:p>
        </w:tc>
        <w:tc>
          <w:tcPr>
            <w:tcW w:w="7593" w:type="dxa"/>
            <w:gridSpan w:val="5"/>
          </w:tcPr>
          <w:p w14:paraId="48690DCE" w14:textId="67CEA7F5" w:rsidR="00542F28" w:rsidRPr="006C531D" w:rsidRDefault="00C76236">
            <w:pPr>
              <w:pStyle w:val="Normlndobloku"/>
              <w:rPr>
                <w:lang w:val="sk-SK"/>
              </w:rPr>
            </w:pPr>
            <w:r w:rsidRPr="006C531D">
              <w:rPr>
                <w:lang w:val="sk-SK"/>
              </w:rPr>
              <w:t>Frekvencia výskytu</w:t>
            </w:r>
          </w:p>
        </w:tc>
      </w:tr>
      <w:tr w:rsidR="00513E32" w:rsidRPr="006C531D" w14:paraId="666EFFC6" w14:textId="77777777" w:rsidTr="00542F28">
        <w:trPr>
          <w:trHeight w:val="369"/>
          <w:tblHeader/>
        </w:trPr>
        <w:tc>
          <w:tcPr>
            <w:tcW w:w="2018" w:type="dxa"/>
            <w:vMerge/>
          </w:tcPr>
          <w:p w14:paraId="14783680" w14:textId="77777777" w:rsidR="00542F28" w:rsidRPr="006C531D" w:rsidRDefault="00542F28">
            <w:pPr>
              <w:pStyle w:val="Normlndobloku"/>
              <w:rPr>
                <w:lang w:val="sk-SK"/>
              </w:rPr>
            </w:pPr>
          </w:p>
        </w:tc>
        <w:tc>
          <w:tcPr>
            <w:tcW w:w="999" w:type="dxa"/>
          </w:tcPr>
          <w:p w14:paraId="62CF76D5" w14:textId="19685418" w:rsidR="00542F28" w:rsidRPr="006C531D" w:rsidRDefault="00542F28">
            <w:pPr>
              <w:pStyle w:val="Normlndobloku"/>
              <w:rPr>
                <w:lang w:val="sk-SK"/>
              </w:rPr>
            </w:pPr>
            <w:r w:rsidRPr="006C531D">
              <w:rPr>
                <w:lang w:val="sk-SK"/>
              </w:rPr>
              <w:t>Ve</w:t>
            </w:r>
            <w:r w:rsidR="007157A4" w:rsidRPr="006C531D">
              <w:rPr>
                <w:lang w:val="sk-SK"/>
              </w:rPr>
              <w:t>ľ</w:t>
            </w:r>
            <w:r w:rsidRPr="006C531D">
              <w:rPr>
                <w:lang w:val="sk-SK"/>
              </w:rPr>
              <w:t>mi časté (≥1/10)</w:t>
            </w:r>
          </w:p>
        </w:tc>
        <w:tc>
          <w:tcPr>
            <w:tcW w:w="1754" w:type="dxa"/>
          </w:tcPr>
          <w:p w14:paraId="4C0EC6C5" w14:textId="77777777" w:rsidR="00542F28" w:rsidRPr="006C531D" w:rsidRDefault="00542F28">
            <w:pPr>
              <w:pStyle w:val="Normlndobloku"/>
              <w:rPr>
                <w:lang w:val="sk-SK"/>
              </w:rPr>
            </w:pPr>
            <w:r w:rsidRPr="006C531D">
              <w:rPr>
                <w:lang w:val="sk-SK"/>
              </w:rPr>
              <w:t>Časté (≥1/100 až &lt;1/10)</w:t>
            </w:r>
          </w:p>
        </w:tc>
        <w:tc>
          <w:tcPr>
            <w:tcW w:w="1918" w:type="dxa"/>
          </w:tcPr>
          <w:p w14:paraId="6DEC5F9C" w14:textId="3E414E38" w:rsidR="00542F28" w:rsidRPr="006C531D" w:rsidRDefault="00542F28">
            <w:pPr>
              <w:pStyle w:val="Normlndobloku"/>
              <w:rPr>
                <w:lang w:val="sk-SK"/>
              </w:rPr>
            </w:pPr>
            <w:r w:rsidRPr="006C531D">
              <w:rPr>
                <w:lang w:val="sk-SK"/>
              </w:rPr>
              <w:t>M</w:t>
            </w:r>
            <w:r w:rsidR="007157A4" w:rsidRPr="006C531D">
              <w:rPr>
                <w:lang w:val="sk-SK"/>
              </w:rPr>
              <w:t xml:space="preserve">enej </w:t>
            </w:r>
            <w:r w:rsidRPr="006C531D">
              <w:rPr>
                <w:lang w:val="sk-SK"/>
              </w:rPr>
              <w:t>časté (≥1/1000 až &lt;1/100)</w:t>
            </w:r>
          </w:p>
        </w:tc>
        <w:tc>
          <w:tcPr>
            <w:tcW w:w="1194" w:type="dxa"/>
          </w:tcPr>
          <w:p w14:paraId="201CE107" w14:textId="431C5C7B" w:rsidR="00542F28" w:rsidRPr="006C531D" w:rsidRDefault="00C76236">
            <w:pPr>
              <w:pStyle w:val="Normlndobloku"/>
              <w:rPr>
                <w:lang w:val="sk-SK"/>
              </w:rPr>
            </w:pPr>
            <w:r w:rsidRPr="006C531D">
              <w:rPr>
                <w:lang w:val="sk-SK"/>
              </w:rPr>
              <w:t xml:space="preserve">Zriedkavé </w:t>
            </w:r>
            <w:r w:rsidR="00542F28" w:rsidRPr="006C531D">
              <w:rPr>
                <w:lang w:val="sk-SK"/>
              </w:rPr>
              <w:t>(≥1/10000 až &lt;1/1000)</w:t>
            </w:r>
          </w:p>
        </w:tc>
        <w:tc>
          <w:tcPr>
            <w:tcW w:w="1728" w:type="dxa"/>
          </w:tcPr>
          <w:p w14:paraId="0EF19F0A" w14:textId="68FE42A5" w:rsidR="00542F28" w:rsidRPr="006C531D" w:rsidRDefault="00542F28">
            <w:pPr>
              <w:pStyle w:val="Normlndobloku"/>
              <w:rPr>
                <w:lang w:val="sk-SK"/>
              </w:rPr>
            </w:pPr>
            <w:r w:rsidRPr="006C531D">
              <w:rPr>
                <w:lang w:val="sk-SK"/>
              </w:rPr>
              <w:t>Ne</w:t>
            </w:r>
            <w:r w:rsidR="00C76236" w:rsidRPr="006C531D">
              <w:rPr>
                <w:lang w:val="sk-SK"/>
              </w:rPr>
              <w:t xml:space="preserve">známe </w:t>
            </w:r>
          </w:p>
        </w:tc>
      </w:tr>
      <w:tr w:rsidR="00513E32" w:rsidRPr="006C531D" w14:paraId="5F2F74FC" w14:textId="77777777" w:rsidTr="00542F28">
        <w:trPr>
          <w:trHeight w:val="627"/>
        </w:trPr>
        <w:tc>
          <w:tcPr>
            <w:tcW w:w="2018" w:type="dxa"/>
          </w:tcPr>
          <w:p w14:paraId="4B573129" w14:textId="00C633AB" w:rsidR="00542F28" w:rsidRPr="006C531D" w:rsidRDefault="00542F28">
            <w:pPr>
              <w:pStyle w:val="Normlndobloku"/>
              <w:rPr>
                <w:lang w:val="sk-SK"/>
              </w:rPr>
            </w:pPr>
            <w:r w:rsidRPr="006C531D">
              <w:rPr>
                <w:lang w:val="sk-SK"/>
              </w:rPr>
              <w:lastRenderedPageBreak/>
              <w:t>Infekcie</w:t>
            </w:r>
            <w:r w:rsidR="00003A11" w:rsidRPr="006C531D">
              <w:rPr>
                <w:lang w:val="sk-SK"/>
              </w:rPr>
              <w:t xml:space="preserve"> a </w:t>
            </w:r>
            <w:r w:rsidRPr="006C531D">
              <w:rPr>
                <w:lang w:val="sk-SK"/>
              </w:rPr>
              <w:t>nákazy</w:t>
            </w:r>
          </w:p>
        </w:tc>
        <w:tc>
          <w:tcPr>
            <w:tcW w:w="999" w:type="dxa"/>
          </w:tcPr>
          <w:p w14:paraId="6B05D0C0" w14:textId="77777777" w:rsidR="00542F28" w:rsidRPr="006C531D" w:rsidRDefault="00542F28">
            <w:pPr>
              <w:pStyle w:val="Normlndobloku"/>
              <w:rPr>
                <w:lang w:val="sk-SK"/>
              </w:rPr>
            </w:pPr>
          </w:p>
        </w:tc>
        <w:tc>
          <w:tcPr>
            <w:tcW w:w="1754" w:type="dxa"/>
          </w:tcPr>
          <w:p w14:paraId="5926544D" w14:textId="77777777" w:rsidR="00542F28" w:rsidRPr="006C531D" w:rsidRDefault="00542F28">
            <w:pPr>
              <w:pStyle w:val="Normlndobloku"/>
              <w:rPr>
                <w:lang w:val="sk-SK"/>
              </w:rPr>
            </w:pPr>
          </w:p>
        </w:tc>
        <w:tc>
          <w:tcPr>
            <w:tcW w:w="1918" w:type="dxa"/>
          </w:tcPr>
          <w:p w14:paraId="2E7D063C" w14:textId="6FBB900B" w:rsidR="00542F28" w:rsidRPr="006C531D" w:rsidRDefault="00C04D0A">
            <w:pPr>
              <w:pStyle w:val="Normlndobloku"/>
              <w:rPr>
                <w:lang w:val="sk-SK"/>
              </w:rPr>
            </w:pPr>
            <w:r w:rsidRPr="006C531D">
              <w:rPr>
                <w:lang w:val="sk-SK"/>
              </w:rPr>
              <w:t>Rinitída</w:t>
            </w:r>
          </w:p>
        </w:tc>
        <w:tc>
          <w:tcPr>
            <w:tcW w:w="1194" w:type="dxa"/>
          </w:tcPr>
          <w:p w14:paraId="0D64F3BB" w14:textId="77777777" w:rsidR="00542F28" w:rsidRPr="006C531D" w:rsidRDefault="00542F28">
            <w:pPr>
              <w:pStyle w:val="Normlndobloku"/>
              <w:rPr>
                <w:lang w:val="sk-SK"/>
              </w:rPr>
            </w:pPr>
          </w:p>
        </w:tc>
        <w:tc>
          <w:tcPr>
            <w:tcW w:w="1728" w:type="dxa"/>
          </w:tcPr>
          <w:p w14:paraId="74E70ECB" w14:textId="77777777" w:rsidR="00542F28" w:rsidRPr="006C531D" w:rsidRDefault="00542F28">
            <w:pPr>
              <w:pStyle w:val="Normlndobloku"/>
              <w:rPr>
                <w:lang w:val="sk-SK"/>
              </w:rPr>
            </w:pPr>
          </w:p>
        </w:tc>
      </w:tr>
      <w:tr w:rsidR="00513E32" w:rsidRPr="006C531D" w14:paraId="730457D2" w14:textId="77777777" w:rsidTr="00542F28">
        <w:trPr>
          <w:trHeight w:val="1641"/>
        </w:trPr>
        <w:tc>
          <w:tcPr>
            <w:tcW w:w="2018" w:type="dxa"/>
          </w:tcPr>
          <w:p w14:paraId="3AA7CF79" w14:textId="395F51DC" w:rsidR="00542F28" w:rsidRPr="006C531D" w:rsidRDefault="00542F28">
            <w:pPr>
              <w:pStyle w:val="Normlndobloku"/>
              <w:rPr>
                <w:lang w:val="sk-SK"/>
              </w:rPr>
            </w:pPr>
            <w:r w:rsidRPr="006C531D">
              <w:rPr>
                <w:lang w:val="sk-SK"/>
              </w:rPr>
              <w:t>Poruchy imunitného systému</w:t>
            </w:r>
          </w:p>
        </w:tc>
        <w:tc>
          <w:tcPr>
            <w:tcW w:w="999" w:type="dxa"/>
          </w:tcPr>
          <w:p w14:paraId="52CF2C53" w14:textId="77777777" w:rsidR="00542F28" w:rsidRPr="006C531D" w:rsidRDefault="00542F28">
            <w:pPr>
              <w:pStyle w:val="Normlndobloku"/>
              <w:rPr>
                <w:lang w:val="sk-SK"/>
              </w:rPr>
            </w:pPr>
          </w:p>
        </w:tc>
        <w:tc>
          <w:tcPr>
            <w:tcW w:w="1754" w:type="dxa"/>
          </w:tcPr>
          <w:p w14:paraId="70E43E0C" w14:textId="77777777" w:rsidR="00542F28" w:rsidRPr="006C531D" w:rsidRDefault="00542F28">
            <w:pPr>
              <w:pStyle w:val="Normlndobloku"/>
              <w:rPr>
                <w:lang w:val="sk-SK"/>
              </w:rPr>
            </w:pPr>
          </w:p>
        </w:tc>
        <w:tc>
          <w:tcPr>
            <w:tcW w:w="1918" w:type="dxa"/>
          </w:tcPr>
          <w:p w14:paraId="7F2D40A6" w14:textId="1AD9EC6A" w:rsidR="00542F28" w:rsidRPr="006C531D" w:rsidRDefault="00C04D0A">
            <w:pPr>
              <w:pStyle w:val="Normlndobloku"/>
              <w:rPr>
                <w:lang w:val="sk-SK"/>
              </w:rPr>
            </w:pPr>
            <w:r w:rsidRPr="006C531D">
              <w:rPr>
                <w:lang w:val="sk-SK"/>
              </w:rPr>
              <w:t>Hypersenzitivita</w:t>
            </w:r>
          </w:p>
        </w:tc>
        <w:tc>
          <w:tcPr>
            <w:tcW w:w="1194" w:type="dxa"/>
          </w:tcPr>
          <w:p w14:paraId="06162EE6" w14:textId="77777777" w:rsidR="00542F28" w:rsidRPr="006C531D" w:rsidRDefault="00542F28">
            <w:pPr>
              <w:pStyle w:val="Normlndobloku"/>
              <w:rPr>
                <w:lang w:val="sk-SK"/>
              </w:rPr>
            </w:pPr>
          </w:p>
        </w:tc>
        <w:tc>
          <w:tcPr>
            <w:tcW w:w="1728" w:type="dxa"/>
          </w:tcPr>
          <w:p w14:paraId="1C11D425" w14:textId="42B08497" w:rsidR="00542F28" w:rsidRPr="006C531D" w:rsidRDefault="00542F28">
            <w:pPr>
              <w:pStyle w:val="Normlndobloku"/>
              <w:rPr>
                <w:lang w:val="sk-SK"/>
              </w:rPr>
            </w:pPr>
            <w:r w:rsidRPr="006C531D">
              <w:rPr>
                <w:lang w:val="sk-SK"/>
              </w:rPr>
              <w:t>Anafylaktický šok, anafylak</w:t>
            </w:r>
            <w:r w:rsidR="00513E32" w:rsidRPr="006C531D">
              <w:rPr>
                <w:lang w:val="sk-SK"/>
              </w:rPr>
              <w:t>-</w:t>
            </w:r>
            <w:r w:rsidRPr="006C531D">
              <w:rPr>
                <w:lang w:val="sk-SK"/>
              </w:rPr>
              <w:t>tická reakcia, anafylaktoidná reakcia</w:t>
            </w:r>
          </w:p>
        </w:tc>
      </w:tr>
      <w:tr w:rsidR="00513E32" w:rsidRPr="006C531D" w14:paraId="48EBE823" w14:textId="77777777" w:rsidTr="00542F28">
        <w:trPr>
          <w:trHeight w:val="627"/>
        </w:trPr>
        <w:tc>
          <w:tcPr>
            <w:tcW w:w="2018" w:type="dxa"/>
          </w:tcPr>
          <w:p w14:paraId="08A9FEF7" w14:textId="2765659D" w:rsidR="00542F28" w:rsidRPr="006C531D" w:rsidRDefault="00C76236">
            <w:pPr>
              <w:pStyle w:val="Normlndobloku"/>
              <w:rPr>
                <w:lang w:val="sk-SK"/>
              </w:rPr>
            </w:pPr>
            <w:r w:rsidRPr="006C531D">
              <w:rPr>
                <w:lang w:val="sk-SK"/>
              </w:rPr>
              <w:t>P</w:t>
            </w:r>
            <w:r w:rsidR="00542F28" w:rsidRPr="006C531D">
              <w:rPr>
                <w:lang w:val="sk-SK"/>
              </w:rPr>
              <w:t>sychi</w:t>
            </w:r>
            <w:r w:rsidR="00C04D0A" w:rsidRPr="006C531D">
              <w:rPr>
                <w:lang w:val="sk-SK"/>
              </w:rPr>
              <w:t>cké</w:t>
            </w:r>
            <w:r w:rsidR="00542F28" w:rsidRPr="006C531D">
              <w:rPr>
                <w:lang w:val="sk-SK"/>
              </w:rPr>
              <w:t xml:space="preserve"> poruchy</w:t>
            </w:r>
          </w:p>
        </w:tc>
        <w:tc>
          <w:tcPr>
            <w:tcW w:w="999" w:type="dxa"/>
          </w:tcPr>
          <w:p w14:paraId="7CA6FDF4" w14:textId="77777777" w:rsidR="00542F28" w:rsidRPr="006C531D" w:rsidRDefault="00542F28">
            <w:pPr>
              <w:pStyle w:val="Normlndobloku"/>
              <w:rPr>
                <w:lang w:val="sk-SK"/>
              </w:rPr>
            </w:pPr>
          </w:p>
        </w:tc>
        <w:tc>
          <w:tcPr>
            <w:tcW w:w="1754" w:type="dxa"/>
          </w:tcPr>
          <w:p w14:paraId="2D696AA2" w14:textId="77777777" w:rsidR="00542F28" w:rsidRPr="006C531D" w:rsidRDefault="00542F28">
            <w:pPr>
              <w:pStyle w:val="Normlndobloku"/>
              <w:rPr>
                <w:lang w:val="sk-SK"/>
              </w:rPr>
            </w:pPr>
          </w:p>
        </w:tc>
        <w:tc>
          <w:tcPr>
            <w:tcW w:w="1918" w:type="dxa"/>
          </w:tcPr>
          <w:p w14:paraId="402C9F65" w14:textId="56F15DBA" w:rsidR="00542F28" w:rsidRPr="006C531D" w:rsidRDefault="00542F28">
            <w:pPr>
              <w:pStyle w:val="Normlndobloku"/>
              <w:rPr>
                <w:lang w:val="sk-SK"/>
              </w:rPr>
            </w:pPr>
            <w:r w:rsidRPr="006C531D">
              <w:rPr>
                <w:lang w:val="sk-SK"/>
              </w:rPr>
              <w:t>Apatia, nervozita</w:t>
            </w:r>
          </w:p>
        </w:tc>
        <w:tc>
          <w:tcPr>
            <w:tcW w:w="1194" w:type="dxa"/>
          </w:tcPr>
          <w:p w14:paraId="0AEBB7AB" w14:textId="77777777" w:rsidR="00542F28" w:rsidRPr="006C531D" w:rsidRDefault="00542F28">
            <w:pPr>
              <w:pStyle w:val="Normlndobloku"/>
              <w:rPr>
                <w:lang w:val="sk-SK"/>
              </w:rPr>
            </w:pPr>
          </w:p>
        </w:tc>
        <w:tc>
          <w:tcPr>
            <w:tcW w:w="1728" w:type="dxa"/>
          </w:tcPr>
          <w:p w14:paraId="0FF1C3A9" w14:textId="77777777" w:rsidR="00542F28" w:rsidRPr="006C531D" w:rsidRDefault="00542F28">
            <w:pPr>
              <w:pStyle w:val="Normlndobloku"/>
              <w:rPr>
                <w:lang w:val="sk-SK"/>
              </w:rPr>
            </w:pPr>
          </w:p>
        </w:tc>
      </w:tr>
      <w:tr w:rsidR="00513E32" w:rsidRPr="006C531D" w14:paraId="70A4BC29" w14:textId="77777777" w:rsidTr="00542F28">
        <w:trPr>
          <w:trHeight w:val="2156"/>
        </w:trPr>
        <w:tc>
          <w:tcPr>
            <w:tcW w:w="2018" w:type="dxa"/>
          </w:tcPr>
          <w:p w14:paraId="1D3553F8" w14:textId="764E3513" w:rsidR="00542F28" w:rsidRPr="006C531D" w:rsidRDefault="00542F28">
            <w:pPr>
              <w:pStyle w:val="Normlndobloku"/>
              <w:rPr>
                <w:lang w:val="sk-SK"/>
              </w:rPr>
            </w:pPr>
            <w:r w:rsidRPr="006C531D">
              <w:rPr>
                <w:lang w:val="sk-SK"/>
              </w:rPr>
              <w:t>Poruchy nervového systému</w:t>
            </w:r>
          </w:p>
        </w:tc>
        <w:tc>
          <w:tcPr>
            <w:tcW w:w="999" w:type="dxa"/>
          </w:tcPr>
          <w:p w14:paraId="21E30EFD" w14:textId="5582D4E9" w:rsidR="00542F28" w:rsidRPr="006C531D" w:rsidRDefault="00542F28">
            <w:pPr>
              <w:pStyle w:val="Normlndobloku"/>
              <w:rPr>
                <w:lang w:val="sk-SK"/>
              </w:rPr>
            </w:pPr>
            <w:r w:rsidRPr="006C531D">
              <w:rPr>
                <w:lang w:val="sk-SK"/>
              </w:rPr>
              <w:t>Sedácia</w:t>
            </w:r>
          </w:p>
        </w:tc>
        <w:tc>
          <w:tcPr>
            <w:tcW w:w="1754" w:type="dxa"/>
          </w:tcPr>
          <w:p w14:paraId="1EC2B4BD" w14:textId="679A944B" w:rsidR="00542F28" w:rsidRPr="006C531D" w:rsidRDefault="00542F28">
            <w:pPr>
              <w:pStyle w:val="Normlndobloku"/>
              <w:rPr>
                <w:lang w:val="sk-SK"/>
              </w:rPr>
            </w:pPr>
            <w:r w:rsidRPr="006C531D">
              <w:rPr>
                <w:lang w:val="sk-SK"/>
              </w:rPr>
              <w:t>N</w:t>
            </w:r>
            <w:r w:rsidR="00C04D0A" w:rsidRPr="006C531D">
              <w:rPr>
                <w:lang w:val="sk-SK"/>
              </w:rPr>
              <w:t>ovorodenecký</w:t>
            </w:r>
            <w:r w:rsidRPr="006C531D">
              <w:rPr>
                <w:lang w:val="sk-SK"/>
              </w:rPr>
              <w:t xml:space="preserve"> tras, závrat, bolesť hlavy</w:t>
            </w:r>
          </w:p>
        </w:tc>
        <w:tc>
          <w:tcPr>
            <w:tcW w:w="1918" w:type="dxa"/>
          </w:tcPr>
          <w:p w14:paraId="2E9C6C4F" w14:textId="18F6C83D" w:rsidR="00542F28" w:rsidRPr="006C531D" w:rsidRDefault="00542F28">
            <w:pPr>
              <w:pStyle w:val="Normlndobloku"/>
              <w:rPr>
                <w:lang w:val="sk-SK"/>
              </w:rPr>
            </w:pPr>
            <w:r w:rsidRPr="006C531D">
              <w:rPr>
                <w:lang w:val="sk-SK"/>
              </w:rPr>
              <w:t xml:space="preserve">Ataxia, </w:t>
            </w:r>
            <w:r w:rsidR="00C04D0A" w:rsidRPr="006C531D">
              <w:rPr>
                <w:lang w:val="sk-SK"/>
              </w:rPr>
              <w:t xml:space="preserve">novorodenecká </w:t>
            </w:r>
            <w:r w:rsidR="00664A6F">
              <w:rPr>
                <w:lang w:val="sk-SK"/>
              </w:rPr>
              <w:t>dys</w:t>
            </w:r>
            <w:r w:rsidRPr="006C531D">
              <w:rPr>
                <w:lang w:val="sk-SK"/>
              </w:rPr>
              <w:t>kinéza, dystónia, hyperreflexia, hypertónia, n</w:t>
            </w:r>
            <w:r w:rsidR="00C04D0A" w:rsidRPr="006C531D">
              <w:rPr>
                <w:lang w:val="sk-SK"/>
              </w:rPr>
              <w:t>ovorodenecká</w:t>
            </w:r>
            <w:r w:rsidRPr="006C531D">
              <w:rPr>
                <w:lang w:val="sk-SK"/>
              </w:rPr>
              <w:t xml:space="preserve"> hypokinéza, somnolencia</w:t>
            </w:r>
          </w:p>
        </w:tc>
        <w:tc>
          <w:tcPr>
            <w:tcW w:w="1194" w:type="dxa"/>
          </w:tcPr>
          <w:p w14:paraId="41F3EEA3" w14:textId="77777777" w:rsidR="00542F28" w:rsidRPr="006C531D" w:rsidRDefault="00542F28">
            <w:pPr>
              <w:pStyle w:val="Normlndobloku"/>
              <w:rPr>
                <w:lang w:val="sk-SK"/>
              </w:rPr>
            </w:pPr>
          </w:p>
        </w:tc>
        <w:tc>
          <w:tcPr>
            <w:tcW w:w="1728" w:type="dxa"/>
          </w:tcPr>
          <w:p w14:paraId="4616B82F" w14:textId="3037FFA7" w:rsidR="00542F28" w:rsidRPr="006C531D" w:rsidRDefault="00542F28">
            <w:pPr>
              <w:pStyle w:val="Normlndobloku"/>
              <w:rPr>
                <w:lang w:val="sk-SK"/>
              </w:rPr>
            </w:pPr>
            <w:r w:rsidRPr="006C531D">
              <w:rPr>
                <w:lang w:val="sk-SK"/>
              </w:rPr>
              <w:t>Kóma, kŕče, mimovoľné svalové kontrakcie</w:t>
            </w:r>
          </w:p>
        </w:tc>
      </w:tr>
      <w:tr w:rsidR="00513E32" w:rsidRPr="006C531D" w14:paraId="74C3F8BC" w14:textId="77777777" w:rsidTr="00542F28">
        <w:trPr>
          <w:trHeight w:val="369"/>
        </w:trPr>
        <w:tc>
          <w:tcPr>
            <w:tcW w:w="2018" w:type="dxa"/>
          </w:tcPr>
          <w:p w14:paraId="7AD36FF8" w14:textId="00B0689F" w:rsidR="00542F28" w:rsidRPr="006C531D" w:rsidRDefault="00C04D0A">
            <w:pPr>
              <w:pStyle w:val="Normlndobloku"/>
              <w:rPr>
                <w:lang w:val="sk-SK"/>
              </w:rPr>
            </w:pPr>
            <w:r w:rsidRPr="006C531D">
              <w:rPr>
                <w:lang w:val="sk-SK"/>
              </w:rPr>
              <w:t>P</w:t>
            </w:r>
            <w:r w:rsidR="00542F28" w:rsidRPr="006C531D">
              <w:rPr>
                <w:lang w:val="sk-SK"/>
              </w:rPr>
              <w:t>oruchy oka</w:t>
            </w:r>
          </w:p>
        </w:tc>
        <w:tc>
          <w:tcPr>
            <w:tcW w:w="999" w:type="dxa"/>
          </w:tcPr>
          <w:p w14:paraId="1C7B7FB2" w14:textId="77777777" w:rsidR="00542F28" w:rsidRPr="006C531D" w:rsidRDefault="00542F28">
            <w:pPr>
              <w:pStyle w:val="Normlndobloku"/>
              <w:rPr>
                <w:lang w:val="sk-SK"/>
              </w:rPr>
            </w:pPr>
          </w:p>
        </w:tc>
        <w:tc>
          <w:tcPr>
            <w:tcW w:w="1754" w:type="dxa"/>
          </w:tcPr>
          <w:p w14:paraId="48DE9A38" w14:textId="77777777" w:rsidR="00542F28" w:rsidRPr="006C531D" w:rsidRDefault="00542F28">
            <w:pPr>
              <w:pStyle w:val="Normlndobloku"/>
              <w:rPr>
                <w:lang w:val="sk-SK"/>
              </w:rPr>
            </w:pPr>
          </w:p>
        </w:tc>
        <w:tc>
          <w:tcPr>
            <w:tcW w:w="1918" w:type="dxa"/>
          </w:tcPr>
          <w:p w14:paraId="1ECF25EC" w14:textId="61AB083B" w:rsidR="00542F28" w:rsidRPr="006C531D" w:rsidRDefault="00542F28">
            <w:pPr>
              <w:pStyle w:val="Normlndobloku"/>
              <w:rPr>
                <w:lang w:val="sk-SK"/>
              </w:rPr>
            </w:pPr>
            <w:r w:rsidRPr="006C531D">
              <w:rPr>
                <w:lang w:val="sk-SK"/>
              </w:rPr>
              <w:t>Poruchy videnia</w:t>
            </w:r>
          </w:p>
        </w:tc>
        <w:tc>
          <w:tcPr>
            <w:tcW w:w="1194" w:type="dxa"/>
          </w:tcPr>
          <w:p w14:paraId="0BEE7E78" w14:textId="77777777" w:rsidR="00542F28" w:rsidRPr="006C531D" w:rsidRDefault="00542F28">
            <w:pPr>
              <w:pStyle w:val="Normlndobloku"/>
              <w:rPr>
                <w:lang w:val="sk-SK"/>
              </w:rPr>
            </w:pPr>
          </w:p>
        </w:tc>
        <w:tc>
          <w:tcPr>
            <w:tcW w:w="1728" w:type="dxa"/>
          </w:tcPr>
          <w:p w14:paraId="577669C1" w14:textId="65A2A3AF" w:rsidR="00542F28" w:rsidRPr="006C531D" w:rsidRDefault="00513E32">
            <w:pPr>
              <w:pStyle w:val="Normlndobloku"/>
              <w:rPr>
                <w:lang w:val="sk-SK"/>
              </w:rPr>
            </w:pPr>
            <w:r w:rsidRPr="006C531D">
              <w:rPr>
                <w:lang w:val="sk-SK"/>
              </w:rPr>
              <w:t>M</w:t>
            </w:r>
            <w:r w:rsidR="00542F28" w:rsidRPr="006C531D">
              <w:rPr>
                <w:lang w:val="sk-SK"/>
              </w:rPr>
              <w:t>ióza</w:t>
            </w:r>
          </w:p>
        </w:tc>
      </w:tr>
      <w:tr w:rsidR="00513E32" w:rsidRPr="006C531D" w14:paraId="7C2D2F7D" w14:textId="77777777" w:rsidTr="00542F28">
        <w:trPr>
          <w:trHeight w:val="1650"/>
        </w:trPr>
        <w:tc>
          <w:tcPr>
            <w:tcW w:w="2018" w:type="dxa"/>
          </w:tcPr>
          <w:p w14:paraId="1D2A4C85" w14:textId="248A328D" w:rsidR="00542F28" w:rsidRPr="006C531D" w:rsidRDefault="00C04D0A">
            <w:pPr>
              <w:pStyle w:val="Normlndobloku"/>
              <w:rPr>
                <w:lang w:val="sk-SK"/>
              </w:rPr>
            </w:pPr>
            <w:r w:rsidRPr="006C531D">
              <w:rPr>
                <w:lang w:val="sk-SK"/>
              </w:rPr>
              <w:t>P</w:t>
            </w:r>
            <w:r w:rsidR="00542F28" w:rsidRPr="006C531D">
              <w:rPr>
                <w:lang w:val="sk-SK"/>
              </w:rPr>
              <w:t>oruchy srdca</w:t>
            </w:r>
            <w:r w:rsidR="00003A11" w:rsidRPr="006C531D">
              <w:rPr>
                <w:lang w:val="sk-SK"/>
              </w:rPr>
              <w:t xml:space="preserve"> a </w:t>
            </w:r>
            <w:r w:rsidRPr="006C531D">
              <w:rPr>
                <w:lang w:val="sk-SK"/>
              </w:rPr>
              <w:t xml:space="preserve">srdcovej činnosti </w:t>
            </w:r>
          </w:p>
        </w:tc>
        <w:tc>
          <w:tcPr>
            <w:tcW w:w="999" w:type="dxa"/>
          </w:tcPr>
          <w:p w14:paraId="7AC6467B" w14:textId="77777777" w:rsidR="00542F28" w:rsidRPr="006C531D" w:rsidRDefault="00542F28">
            <w:pPr>
              <w:pStyle w:val="Normlndobloku"/>
              <w:rPr>
                <w:lang w:val="sk-SK"/>
              </w:rPr>
            </w:pPr>
          </w:p>
        </w:tc>
        <w:tc>
          <w:tcPr>
            <w:tcW w:w="1754" w:type="dxa"/>
          </w:tcPr>
          <w:p w14:paraId="238AD76B" w14:textId="102A6357" w:rsidR="00542F28" w:rsidRPr="006C531D" w:rsidRDefault="00C64FFA">
            <w:pPr>
              <w:pStyle w:val="Normlndobloku"/>
              <w:rPr>
                <w:lang w:val="sk-SK"/>
              </w:rPr>
            </w:pPr>
            <w:r w:rsidRPr="006C531D">
              <w:rPr>
                <w:lang w:val="sk-SK"/>
              </w:rPr>
              <w:t>T</w:t>
            </w:r>
            <w:r w:rsidR="00542F28" w:rsidRPr="006C531D">
              <w:rPr>
                <w:lang w:val="sk-SK"/>
              </w:rPr>
              <w:t>achykardia</w:t>
            </w:r>
          </w:p>
        </w:tc>
        <w:tc>
          <w:tcPr>
            <w:tcW w:w="1918" w:type="dxa"/>
          </w:tcPr>
          <w:p w14:paraId="2076EBBB" w14:textId="4E6C7FDC" w:rsidR="00542F28" w:rsidRPr="006C531D" w:rsidRDefault="00664A6F">
            <w:pPr>
              <w:pStyle w:val="Normlndobloku"/>
              <w:rPr>
                <w:lang w:val="sk-SK"/>
              </w:rPr>
            </w:pPr>
            <w:r>
              <w:rPr>
                <w:lang w:val="sk-SK"/>
              </w:rPr>
              <w:t>Á</w:t>
            </w:r>
            <w:r w:rsidR="00542F28" w:rsidRPr="006C531D">
              <w:rPr>
                <w:lang w:val="sk-SK"/>
              </w:rPr>
              <w:t>trioventrikulárna blokáda, cyanóza, bradykardia, arytmia, abnormálne EKG</w:t>
            </w:r>
          </w:p>
        </w:tc>
        <w:tc>
          <w:tcPr>
            <w:tcW w:w="1194" w:type="dxa"/>
          </w:tcPr>
          <w:p w14:paraId="0D3E1FD5" w14:textId="77777777" w:rsidR="00542F28" w:rsidRPr="006C531D" w:rsidRDefault="00542F28">
            <w:pPr>
              <w:pStyle w:val="Normlndobloku"/>
              <w:rPr>
                <w:lang w:val="sk-SK"/>
              </w:rPr>
            </w:pPr>
          </w:p>
        </w:tc>
        <w:tc>
          <w:tcPr>
            <w:tcW w:w="1728" w:type="dxa"/>
          </w:tcPr>
          <w:p w14:paraId="2357D904" w14:textId="33720180" w:rsidR="00542F28" w:rsidRPr="006C531D" w:rsidRDefault="00C64FFA">
            <w:pPr>
              <w:pStyle w:val="Normlndobloku"/>
              <w:rPr>
                <w:lang w:val="sk-SK"/>
              </w:rPr>
            </w:pPr>
            <w:r w:rsidRPr="006C531D">
              <w:rPr>
                <w:lang w:val="sk-SK"/>
              </w:rPr>
              <w:t>Z</w:t>
            </w:r>
            <w:r w:rsidR="00664A6F">
              <w:rPr>
                <w:lang w:val="sk-SK"/>
              </w:rPr>
              <w:t>astavenie</w:t>
            </w:r>
            <w:r w:rsidR="00542F28" w:rsidRPr="006C531D">
              <w:rPr>
                <w:lang w:val="sk-SK"/>
              </w:rPr>
              <w:t xml:space="preserve"> srdca</w:t>
            </w:r>
          </w:p>
        </w:tc>
      </w:tr>
      <w:tr w:rsidR="00513E32" w:rsidRPr="006C531D" w14:paraId="49C59911" w14:textId="77777777" w:rsidTr="00542F28">
        <w:trPr>
          <w:trHeight w:val="876"/>
        </w:trPr>
        <w:tc>
          <w:tcPr>
            <w:tcW w:w="2018" w:type="dxa"/>
          </w:tcPr>
          <w:p w14:paraId="6C83C1B9" w14:textId="32D9CDF3" w:rsidR="00542F28" w:rsidRPr="006C531D" w:rsidRDefault="00C04D0A">
            <w:pPr>
              <w:pStyle w:val="Normlndobloku"/>
              <w:rPr>
                <w:lang w:val="sk-SK"/>
              </w:rPr>
            </w:pPr>
            <w:r w:rsidRPr="006C531D">
              <w:rPr>
                <w:lang w:val="sk-SK"/>
              </w:rPr>
              <w:t xml:space="preserve">Poruchy ciev </w:t>
            </w:r>
          </w:p>
        </w:tc>
        <w:tc>
          <w:tcPr>
            <w:tcW w:w="999" w:type="dxa"/>
          </w:tcPr>
          <w:p w14:paraId="15ABC507" w14:textId="77777777" w:rsidR="00542F28" w:rsidRPr="006C531D" w:rsidRDefault="00542F28">
            <w:pPr>
              <w:pStyle w:val="Normlndobloku"/>
              <w:rPr>
                <w:lang w:val="sk-SK"/>
              </w:rPr>
            </w:pPr>
          </w:p>
        </w:tc>
        <w:tc>
          <w:tcPr>
            <w:tcW w:w="1754" w:type="dxa"/>
          </w:tcPr>
          <w:p w14:paraId="79B269E4" w14:textId="3FC48744" w:rsidR="00542F28" w:rsidRPr="006C531D" w:rsidRDefault="00542F28">
            <w:pPr>
              <w:pStyle w:val="Normlndobloku"/>
              <w:rPr>
                <w:lang w:val="sk-SK"/>
              </w:rPr>
            </w:pPr>
            <w:r w:rsidRPr="006C531D">
              <w:rPr>
                <w:lang w:val="sk-SK"/>
              </w:rPr>
              <w:t>Hypertenzia, hypotenzia, bledosť</w:t>
            </w:r>
          </w:p>
        </w:tc>
        <w:tc>
          <w:tcPr>
            <w:tcW w:w="1918" w:type="dxa"/>
          </w:tcPr>
          <w:p w14:paraId="4C95538D" w14:textId="77777777" w:rsidR="00542F28" w:rsidRPr="006C531D" w:rsidRDefault="00542F28">
            <w:pPr>
              <w:pStyle w:val="Normlndobloku"/>
              <w:rPr>
                <w:lang w:val="sk-SK"/>
              </w:rPr>
            </w:pPr>
          </w:p>
        </w:tc>
        <w:tc>
          <w:tcPr>
            <w:tcW w:w="1194" w:type="dxa"/>
          </w:tcPr>
          <w:p w14:paraId="17B32EA7" w14:textId="77777777" w:rsidR="00542F28" w:rsidRPr="006C531D" w:rsidRDefault="00542F28">
            <w:pPr>
              <w:pStyle w:val="Normlndobloku"/>
              <w:rPr>
                <w:lang w:val="sk-SK"/>
              </w:rPr>
            </w:pPr>
          </w:p>
        </w:tc>
        <w:tc>
          <w:tcPr>
            <w:tcW w:w="1728" w:type="dxa"/>
          </w:tcPr>
          <w:p w14:paraId="50117BC2" w14:textId="1F04593C" w:rsidR="00542F28" w:rsidRPr="006C531D" w:rsidRDefault="00C64FFA">
            <w:pPr>
              <w:pStyle w:val="Normlndobloku"/>
              <w:rPr>
                <w:lang w:val="sk-SK"/>
              </w:rPr>
            </w:pPr>
            <w:r w:rsidRPr="006C531D">
              <w:rPr>
                <w:lang w:val="sk-SK"/>
              </w:rPr>
              <w:t>Š</w:t>
            </w:r>
            <w:r w:rsidR="00542F28" w:rsidRPr="006C531D">
              <w:rPr>
                <w:lang w:val="sk-SK"/>
              </w:rPr>
              <w:t>ok</w:t>
            </w:r>
          </w:p>
        </w:tc>
      </w:tr>
      <w:tr w:rsidR="00513E32" w:rsidRPr="006C531D" w14:paraId="37BDA66F" w14:textId="77777777" w:rsidTr="00542F28">
        <w:trPr>
          <w:trHeight w:val="1899"/>
        </w:trPr>
        <w:tc>
          <w:tcPr>
            <w:tcW w:w="2018" w:type="dxa"/>
          </w:tcPr>
          <w:p w14:paraId="3C8E07FA" w14:textId="0368B2C7" w:rsidR="00542F28" w:rsidRPr="006C531D" w:rsidRDefault="00C04D0A">
            <w:pPr>
              <w:pStyle w:val="Normlndobloku"/>
              <w:rPr>
                <w:lang w:val="sk-SK"/>
              </w:rPr>
            </w:pPr>
            <w:r w:rsidRPr="006C531D">
              <w:rPr>
                <w:lang w:val="sk-SK"/>
              </w:rPr>
              <w:t>Poruchy dýchacej sústavy, hrudníka</w:t>
            </w:r>
            <w:r w:rsidR="00003A11" w:rsidRPr="006C531D">
              <w:rPr>
                <w:lang w:val="sk-SK"/>
              </w:rPr>
              <w:t xml:space="preserve"> a </w:t>
            </w:r>
            <w:r w:rsidRPr="006C531D">
              <w:rPr>
                <w:lang w:val="sk-SK"/>
              </w:rPr>
              <w:t>mediastína</w:t>
            </w:r>
          </w:p>
        </w:tc>
        <w:tc>
          <w:tcPr>
            <w:tcW w:w="999" w:type="dxa"/>
          </w:tcPr>
          <w:p w14:paraId="2FD4E3C1" w14:textId="77777777" w:rsidR="00542F28" w:rsidRPr="006C531D" w:rsidRDefault="00542F28">
            <w:pPr>
              <w:pStyle w:val="Normlndobloku"/>
              <w:rPr>
                <w:lang w:val="sk-SK"/>
              </w:rPr>
            </w:pPr>
          </w:p>
        </w:tc>
        <w:tc>
          <w:tcPr>
            <w:tcW w:w="1754" w:type="dxa"/>
          </w:tcPr>
          <w:p w14:paraId="1532261A" w14:textId="1421EF6B" w:rsidR="00542F28" w:rsidRPr="006C531D" w:rsidRDefault="00542F28">
            <w:pPr>
              <w:pStyle w:val="Normlndobloku"/>
              <w:rPr>
                <w:lang w:val="sk-SK"/>
              </w:rPr>
            </w:pPr>
            <w:r w:rsidRPr="006C531D">
              <w:rPr>
                <w:lang w:val="sk-SK"/>
              </w:rPr>
              <w:t>N</w:t>
            </w:r>
            <w:r w:rsidR="00C04D0A" w:rsidRPr="006C531D">
              <w:rPr>
                <w:lang w:val="sk-SK"/>
              </w:rPr>
              <w:t>ovorodenecká</w:t>
            </w:r>
            <w:r w:rsidRPr="006C531D">
              <w:rPr>
                <w:lang w:val="sk-SK"/>
              </w:rPr>
              <w:t xml:space="preserve"> cyanóza</w:t>
            </w:r>
          </w:p>
        </w:tc>
        <w:tc>
          <w:tcPr>
            <w:tcW w:w="1918" w:type="dxa"/>
          </w:tcPr>
          <w:p w14:paraId="3FEC75C2" w14:textId="678B8436" w:rsidR="00542F28" w:rsidRPr="006C531D" w:rsidRDefault="00542F28">
            <w:pPr>
              <w:pStyle w:val="Normlndobloku"/>
              <w:rPr>
                <w:lang w:val="sk-SK"/>
              </w:rPr>
            </w:pPr>
            <w:r w:rsidRPr="006C531D">
              <w:rPr>
                <w:lang w:val="sk-SK"/>
              </w:rPr>
              <w:t>Bronchospazmus, hypoventilácia, dysfónia, kašeľ, štikútanie, porucha dýchania</w:t>
            </w:r>
          </w:p>
        </w:tc>
        <w:tc>
          <w:tcPr>
            <w:tcW w:w="1194" w:type="dxa"/>
          </w:tcPr>
          <w:p w14:paraId="6D6E63CC" w14:textId="77777777" w:rsidR="00542F28" w:rsidRPr="006C531D" w:rsidRDefault="00542F28">
            <w:pPr>
              <w:pStyle w:val="Normlndobloku"/>
              <w:rPr>
                <w:lang w:val="sk-SK"/>
              </w:rPr>
            </w:pPr>
          </w:p>
        </w:tc>
        <w:tc>
          <w:tcPr>
            <w:tcW w:w="1728" w:type="dxa"/>
          </w:tcPr>
          <w:p w14:paraId="3EF77E86" w14:textId="70059DE0" w:rsidR="00542F28" w:rsidRPr="006C531D" w:rsidRDefault="00664A6F">
            <w:pPr>
              <w:pStyle w:val="Normlndobloku"/>
              <w:rPr>
                <w:lang w:val="sk-SK"/>
              </w:rPr>
            </w:pPr>
            <w:r>
              <w:rPr>
                <w:lang w:val="sk-SK"/>
              </w:rPr>
              <w:t>Zastavenie dýchania</w:t>
            </w:r>
            <w:r w:rsidR="00542F28" w:rsidRPr="006C531D">
              <w:rPr>
                <w:lang w:val="sk-SK"/>
              </w:rPr>
              <w:t>, apnoe, respiračná depresia, pľúcny edém, laryngospazmus</w:t>
            </w:r>
          </w:p>
        </w:tc>
      </w:tr>
      <w:tr w:rsidR="00513E32" w:rsidRPr="006C531D" w14:paraId="631A48FF" w14:textId="77777777" w:rsidTr="00542F28">
        <w:trPr>
          <w:trHeight w:val="627"/>
        </w:trPr>
        <w:tc>
          <w:tcPr>
            <w:tcW w:w="2018" w:type="dxa"/>
          </w:tcPr>
          <w:p w14:paraId="01A6BC4E" w14:textId="1D0A8F01" w:rsidR="00542F28" w:rsidRPr="006C531D" w:rsidRDefault="00C04D0A">
            <w:pPr>
              <w:pStyle w:val="Normlndobloku"/>
              <w:rPr>
                <w:lang w:val="sk-SK"/>
              </w:rPr>
            </w:pPr>
            <w:r w:rsidRPr="006C531D">
              <w:rPr>
                <w:lang w:val="sk-SK"/>
              </w:rPr>
              <w:t xml:space="preserve">Poruchy </w:t>
            </w:r>
            <w:r w:rsidR="00A22B82" w:rsidRPr="006C531D">
              <w:rPr>
                <w:lang w:val="sk-SK"/>
              </w:rPr>
              <w:t>gastrointestinálneho</w:t>
            </w:r>
            <w:r w:rsidRPr="006C531D">
              <w:rPr>
                <w:lang w:val="sk-SK"/>
              </w:rPr>
              <w:t xml:space="preserve"> traktu </w:t>
            </w:r>
          </w:p>
        </w:tc>
        <w:tc>
          <w:tcPr>
            <w:tcW w:w="999" w:type="dxa"/>
          </w:tcPr>
          <w:p w14:paraId="7492B6DA" w14:textId="77777777" w:rsidR="00542F28" w:rsidRPr="006C531D" w:rsidRDefault="00542F28">
            <w:pPr>
              <w:pStyle w:val="Normlndobloku"/>
              <w:rPr>
                <w:lang w:val="sk-SK"/>
              </w:rPr>
            </w:pPr>
          </w:p>
        </w:tc>
        <w:tc>
          <w:tcPr>
            <w:tcW w:w="1754" w:type="dxa"/>
          </w:tcPr>
          <w:p w14:paraId="3B7DC414" w14:textId="765A14B2" w:rsidR="00542F28" w:rsidRPr="006C531D" w:rsidRDefault="00542F28">
            <w:pPr>
              <w:pStyle w:val="Normlndobloku"/>
              <w:rPr>
                <w:lang w:val="sk-SK"/>
              </w:rPr>
            </w:pPr>
            <w:r w:rsidRPr="006C531D">
              <w:rPr>
                <w:lang w:val="sk-SK"/>
              </w:rPr>
              <w:t>Vracanie, nauzea</w:t>
            </w:r>
          </w:p>
        </w:tc>
        <w:tc>
          <w:tcPr>
            <w:tcW w:w="1918" w:type="dxa"/>
          </w:tcPr>
          <w:p w14:paraId="62D81472" w14:textId="77777777" w:rsidR="00542F28" w:rsidRPr="006C531D" w:rsidRDefault="00542F28">
            <w:pPr>
              <w:pStyle w:val="Normlndobloku"/>
              <w:rPr>
                <w:lang w:val="sk-SK"/>
              </w:rPr>
            </w:pPr>
          </w:p>
        </w:tc>
        <w:tc>
          <w:tcPr>
            <w:tcW w:w="1194" w:type="dxa"/>
          </w:tcPr>
          <w:p w14:paraId="169549CF" w14:textId="77777777" w:rsidR="00542F28" w:rsidRPr="006C531D" w:rsidRDefault="00542F28">
            <w:pPr>
              <w:pStyle w:val="Normlndobloku"/>
              <w:rPr>
                <w:lang w:val="sk-SK"/>
              </w:rPr>
            </w:pPr>
          </w:p>
        </w:tc>
        <w:tc>
          <w:tcPr>
            <w:tcW w:w="1728" w:type="dxa"/>
          </w:tcPr>
          <w:p w14:paraId="783D4F5B" w14:textId="77777777" w:rsidR="00542F28" w:rsidRPr="006C531D" w:rsidRDefault="00542F28">
            <w:pPr>
              <w:pStyle w:val="Normlndobloku"/>
              <w:rPr>
                <w:lang w:val="sk-SK"/>
              </w:rPr>
            </w:pPr>
          </w:p>
        </w:tc>
      </w:tr>
      <w:tr w:rsidR="00513E32" w:rsidRPr="006C531D" w14:paraId="3A6FC038" w14:textId="77777777" w:rsidTr="00542F28">
        <w:trPr>
          <w:trHeight w:val="1899"/>
        </w:trPr>
        <w:tc>
          <w:tcPr>
            <w:tcW w:w="2018" w:type="dxa"/>
          </w:tcPr>
          <w:p w14:paraId="026F510E" w14:textId="10A2029C" w:rsidR="00542F28" w:rsidRPr="006C531D" w:rsidRDefault="00542F28">
            <w:pPr>
              <w:pStyle w:val="Normlndobloku"/>
              <w:rPr>
                <w:lang w:val="sk-SK"/>
              </w:rPr>
            </w:pPr>
            <w:r w:rsidRPr="006C531D">
              <w:rPr>
                <w:lang w:val="sk-SK"/>
              </w:rPr>
              <w:lastRenderedPageBreak/>
              <w:t>Poruchy kože</w:t>
            </w:r>
            <w:r w:rsidR="00003A11" w:rsidRPr="006C531D">
              <w:rPr>
                <w:lang w:val="sk-SK"/>
              </w:rPr>
              <w:t xml:space="preserve"> a </w:t>
            </w:r>
            <w:r w:rsidRPr="006C531D">
              <w:rPr>
                <w:lang w:val="sk-SK"/>
              </w:rPr>
              <w:t>podkožného tkaniva</w:t>
            </w:r>
          </w:p>
        </w:tc>
        <w:tc>
          <w:tcPr>
            <w:tcW w:w="999" w:type="dxa"/>
          </w:tcPr>
          <w:p w14:paraId="03854794" w14:textId="50E46C64" w:rsidR="00542F28" w:rsidRPr="006C531D" w:rsidRDefault="00C04D0A">
            <w:pPr>
              <w:pStyle w:val="Normlndobloku"/>
              <w:rPr>
                <w:lang w:val="sk-SK"/>
              </w:rPr>
            </w:pPr>
            <w:r w:rsidRPr="006C531D">
              <w:rPr>
                <w:lang w:val="sk-SK"/>
              </w:rPr>
              <w:t>Pruritus</w:t>
            </w:r>
          </w:p>
        </w:tc>
        <w:tc>
          <w:tcPr>
            <w:tcW w:w="1754" w:type="dxa"/>
          </w:tcPr>
          <w:p w14:paraId="2B17A2CE" w14:textId="0A5DF9B2" w:rsidR="00542F28" w:rsidRPr="006C531D" w:rsidRDefault="00542F28">
            <w:pPr>
              <w:pStyle w:val="Normlndobloku"/>
              <w:rPr>
                <w:lang w:val="sk-SK"/>
              </w:rPr>
            </w:pPr>
            <w:r w:rsidRPr="006C531D">
              <w:rPr>
                <w:lang w:val="sk-SK"/>
              </w:rPr>
              <w:t>Zmena sfarbenia kože</w:t>
            </w:r>
          </w:p>
        </w:tc>
        <w:tc>
          <w:tcPr>
            <w:tcW w:w="1918" w:type="dxa"/>
          </w:tcPr>
          <w:p w14:paraId="44CD7F7C" w14:textId="1771719A" w:rsidR="00542F28" w:rsidRPr="006C531D" w:rsidRDefault="00542F28">
            <w:pPr>
              <w:pStyle w:val="Normlndobloku"/>
              <w:rPr>
                <w:lang w:val="sk-SK"/>
              </w:rPr>
            </w:pPr>
            <w:r w:rsidRPr="006C531D">
              <w:rPr>
                <w:lang w:val="sk-SK"/>
              </w:rPr>
              <w:t>Alergická dermatitída, hyperhidróza, vyrážka, n</w:t>
            </w:r>
            <w:r w:rsidR="00513E32" w:rsidRPr="006C531D">
              <w:rPr>
                <w:lang w:val="sk-SK"/>
              </w:rPr>
              <w:t>ovorodenecká</w:t>
            </w:r>
            <w:r w:rsidRPr="006C531D">
              <w:rPr>
                <w:lang w:val="sk-SK"/>
              </w:rPr>
              <w:t xml:space="preserve"> vyrážka, suchá pokožka</w:t>
            </w:r>
          </w:p>
        </w:tc>
        <w:tc>
          <w:tcPr>
            <w:tcW w:w="1194" w:type="dxa"/>
          </w:tcPr>
          <w:p w14:paraId="1AA08DA8" w14:textId="77777777" w:rsidR="00542F28" w:rsidRPr="006C531D" w:rsidRDefault="00542F28">
            <w:pPr>
              <w:pStyle w:val="Normlndobloku"/>
              <w:rPr>
                <w:lang w:val="sk-SK"/>
              </w:rPr>
            </w:pPr>
          </w:p>
        </w:tc>
        <w:tc>
          <w:tcPr>
            <w:tcW w:w="1728" w:type="dxa"/>
          </w:tcPr>
          <w:p w14:paraId="1C671A7C" w14:textId="77777777" w:rsidR="00542F28" w:rsidRPr="006C531D" w:rsidRDefault="00542F28">
            <w:pPr>
              <w:pStyle w:val="Normlndobloku"/>
              <w:rPr>
                <w:lang w:val="sk-SK"/>
              </w:rPr>
            </w:pPr>
            <w:r w:rsidRPr="006C531D">
              <w:rPr>
                <w:lang w:val="sk-SK"/>
              </w:rPr>
              <w:t>Erytém</w:t>
            </w:r>
          </w:p>
        </w:tc>
      </w:tr>
      <w:tr w:rsidR="00513E32" w:rsidRPr="006C531D" w14:paraId="27F201ED" w14:textId="77777777" w:rsidTr="00542F28">
        <w:trPr>
          <w:trHeight w:val="1134"/>
        </w:trPr>
        <w:tc>
          <w:tcPr>
            <w:tcW w:w="2018" w:type="dxa"/>
          </w:tcPr>
          <w:p w14:paraId="6C2DEE85" w14:textId="3E474604" w:rsidR="00542F28" w:rsidRPr="006C531D" w:rsidRDefault="00542F28">
            <w:pPr>
              <w:pStyle w:val="Normlndobloku"/>
              <w:rPr>
                <w:lang w:val="sk-SK"/>
              </w:rPr>
            </w:pPr>
            <w:r w:rsidRPr="006C531D">
              <w:rPr>
                <w:lang w:val="sk-SK"/>
              </w:rPr>
              <w:t>Poruchy kostrovej</w:t>
            </w:r>
            <w:r w:rsidR="00003A11" w:rsidRPr="006C531D">
              <w:rPr>
                <w:lang w:val="sk-SK"/>
              </w:rPr>
              <w:t xml:space="preserve"> a </w:t>
            </w:r>
            <w:r w:rsidRPr="006C531D">
              <w:rPr>
                <w:lang w:val="sk-SK"/>
              </w:rPr>
              <w:t>svalovej sústavy</w:t>
            </w:r>
            <w:r w:rsidR="00003A11" w:rsidRPr="006C531D">
              <w:rPr>
                <w:lang w:val="sk-SK"/>
              </w:rPr>
              <w:t xml:space="preserve"> a </w:t>
            </w:r>
            <w:r w:rsidR="00C04D0A" w:rsidRPr="006C531D">
              <w:rPr>
                <w:lang w:val="sk-SK"/>
              </w:rPr>
              <w:t>spojivového tkaniva</w:t>
            </w:r>
          </w:p>
        </w:tc>
        <w:tc>
          <w:tcPr>
            <w:tcW w:w="999" w:type="dxa"/>
          </w:tcPr>
          <w:p w14:paraId="39245DC7" w14:textId="77777777" w:rsidR="00542F28" w:rsidRPr="006C531D" w:rsidRDefault="00542F28">
            <w:pPr>
              <w:pStyle w:val="Normlndobloku"/>
              <w:rPr>
                <w:lang w:val="sk-SK"/>
              </w:rPr>
            </w:pPr>
          </w:p>
        </w:tc>
        <w:tc>
          <w:tcPr>
            <w:tcW w:w="1754" w:type="dxa"/>
          </w:tcPr>
          <w:p w14:paraId="432E5FB4" w14:textId="2E4946F3" w:rsidR="00542F28" w:rsidRPr="006C531D" w:rsidRDefault="00C64FFA">
            <w:pPr>
              <w:pStyle w:val="Normlndobloku"/>
              <w:rPr>
                <w:lang w:val="sk-SK"/>
              </w:rPr>
            </w:pPr>
            <w:r w:rsidRPr="006C531D">
              <w:rPr>
                <w:lang w:val="sk-SK"/>
              </w:rPr>
              <w:t>S</w:t>
            </w:r>
            <w:r w:rsidR="00542F28" w:rsidRPr="006C531D">
              <w:rPr>
                <w:lang w:val="sk-SK"/>
              </w:rPr>
              <w:t>valové zášklby</w:t>
            </w:r>
          </w:p>
        </w:tc>
        <w:tc>
          <w:tcPr>
            <w:tcW w:w="1918" w:type="dxa"/>
          </w:tcPr>
          <w:p w14:paraId="651A5002" w14:textId="761FE49A" w:rsidR="00542F28" w:rsidRPr="006C531D" w:rsidRDefault="00542F28">
            <w:pPr>
              <w:pStyle w:val="Normlndobloku"/>
              <w:rPr>
                <w:lang w:val="sk-SK"/>
              </w:rPr>
            </w:pPr>
            <w:r w:rsidRPr="006C531D">
              <w:rPr>
                <w:lang w:val="sk-SK"/>
              </w:rPr>
              <w:t>Bolesť chrbta, n</w:t>
            </w:r>
            <w:r w:rsidR="00513E32" w:rsidRPr="006C531D">
              <w:rPr>
                <w:lang w:val="sk-SK"/>
              </w:rPr>
              <w:t xml:space="preserve">ovorodenecká </w:t>
            </w:r>
            <w:r w:rsidRPr="006C531D">
              <w:rPr>
                <w:lang w:val="sk-SK"/>
              </w:rPr>
              <w:t>hypotónia, svalová stuhnutosť</w:t>
            </w:r>
          </w:p>
        </w:tc>
        <w:tc>
          <w:tcPr>
            <w:tcW w:w="1194" w:type="dxa"/>
          </w:tcPr>
          <w:p w14:paraId="3D7C51D7" w14:textId="77777777" w:rsidR="00542F28" w:rsidRPr="006C531D" w:rsidRDefault="00542F28">
            <w:pPr>
              <w:pStyle w:val="Normlndobloku"/>
              <w:rPr>
                <w:lang w:val="sk-SK"/>
              </w:rPr>
            </w:pPr>
          </w:p>
        </w:tc>
        <w:tc>
          <w:tcPr>
            <w:tcW w:w="1728" w:type="dxa"/>
          </w:tcPr>
          <w:p w14:paraId="655C7B45" w14:textId="14F894A4" w:rsidR="00542F28" w:rsidRPr="006C531D" w:rsidRDefault="00542F28">
            <w:pPr>
              <w:pStyle w:val="Normlndobloku"/>
              <w:rPr>
                <w:lang w:val="sk-SK"/>
              </w:rPr>
            </w:pPr>
            <w:r w:rsidRPr="006C531D">
              <w:rPr>
                <w:lang w:val="sk-SK"/>
              </w:rPr>
              <w:t xml:space="preserve">Svalové </w:t>
            </w:r>
            <w:r w:rsidR="00513E32" w:rsidRPr="006C531D">
              <w:rPr>
                <w:lang w:val="sk-SK"/>
              </w:rPr>
              <w:t>kŕče</w:t>
            </w:r>
          </w:p>
        </w:tc>
      </w:tr>
      <w:tr w:rsidR="00513E32" w:rsidRPr="006C531D" w14:paraId="05457D66" w14:textId="77777777" w:rsidTr="00542F28">
        <w:trPr>
          <w:trHeight w:val="635"/>
        </w:trPr>
        <w:tc>
          <w:tcPr>
            <w:tcW w:w="2018" w:type="dxa"/>
          </w:tcPr>
          <w:p w14:paraId="0A409E3E" w14:textId="296691D0" w:rsidR="00542F28" w:rsidRPr="006C531D" w:rsidRDefault="00542F28">
            <w:pPr>
              <w:pStyle w:val="Normlndobloku"/>
              <w:rPr>
                <w:lang w:val="sk-SK"/>
              </w:rPr>
            </w:pPr>
            <w:r w:rsidRPr="006C531D">
              <w:rPr>
                <w:lang w:val="sk-SK"/>
              </w:rPr>
              <w:t>Poruchy obličiek</w:t>
            </w:r>
            <w:r w:rsidR="00003A11" w:rsidRPr="006C531D">
              <w:rPr>
                <w:lang w:val="sk-SK"/>
              </w:rPr>
              <w:t xml:space="preserve"> a </w:t>
            </w:r>
            <w:r w:rsidRPr="006C531D">
              <w:rPr>
                <w:lang w:val="sk-SK"/>
              </w:rPr>
              <w:t>močových ciest</w:t>
            </w:r>
          </w:p>
        </w:tc>
        <w:tc>
          <w:tcPr>
            <w:tcW w:w="999" w:type="dxa"/>
          </w:tcPr>
          <w:p w14:paraId="6C036C64" w14:textId="77777777" w:rsidR="00542F28" w:rsidRPr="006C531D" w:rsidRDefault="00542F28">
            <w:pPr>
              <w:pStyle w:val="Normlndobloku"/>
              <w:rPr>
                <w:lang w:val="sk-SK"/>
              </w:rPr>
            </w:pPr>
          </w:p>
        </w:tc>
        <w:tc>
          <w:tcPr>
            <w:tcW w:w="1754" w:type="dxa"/>
          </w:tcPr>
          <w:p w14:paraId="5A621730" w14:textId="55AA8C3F" w:rsidR="00542F28" w:rsidRPr="006C531D" w:rsidRDefault="00542F28">
            <w:pPr>
              <w:pStyle w:val="Normlndobloku"/>
              <w:rPr>
                <w:lang w:val="sk-SK"/>
              </w:rPr>
            </w:pPr>
            <w:r w:rsidRPr="006C531D">
              <w:rPr>
                <w:lang w:val="sk-SK"/>
              </w:rPr>
              <w:t>Retencia moču, inkontinencia</w:t>
            </w:r>
            <w:r w:rsidR="00C04D0A" w:rsidRPr="006C531D">
              <w:rPr>
                <w:lang w:val="sk-SK"/>
              </w:rPr>
              <w:t xml:space="preserve"> moču</w:t>
            </w:r>
          </w:p>
        </w:tc>
        <w:tc>
          <w:tcPr>
            <w:tcW w:w="1918" w:type="dxa"/>
          </w:tcPr>
          <w:p w14:paraId="002064C8" w14:textId="77777777" w:rsidR="00542F28" w:rsidRPr="006C531D" w:rsidRDefault="00542F28">
            <w:pPr>
              <w:pStyle w:val="Normlndobloku"/>
              <w:rPr>
                <w:lang w:val="sk-SK"/>
              </w:rPr>
            </w:pPr>
          </w:p>
        </w:tc>
        <w:tc>
          <w:tcPr>
            <w:tcW w:w="1194" w:type="dxa"/>
          </w:tcPr>
          <w:p w14:paraId="75C7060C" w14:textId="77777777" w:rsidR="00542F28" w:rsidRPr="006C531D" w:rsidRDefault="00542F28">
            <w:pPr>
              <w:pStyle w:val="Normlndobloku"/>
              <w:rPr>
                <w:lang w:val="sk-SK"/>
              </w:rPr>
            </w:pPr>
          </w:p>
        </w:tc>
        <w:tc>
          <w:tcPr>
            <w:tcW w:w="1728" w:type="dxa"/>
          </w:tcPr>
          <w:p w14:paraId="6F3FFFCE" w14:textId="77777777" w:rsidR="00542F28" w:rsidRPr="006C531D" w:rsidRDefault="00542F28">
            <w:pPr>
              <w:pStyle w:val="Normlndobloku"/>
              <w:rPr>
                <w:lang w:val="sk-SK"/>
              </w:rPr>
            </w:pPr>
          </w:p>
        </w:tc>
      </w:tr>
      <w:tr w:rsidR="00513E32" w:rsidRPr="006C531D" w14:paraId="280DCD26" w14:textId="77777777" w:rsidTr="00542F28">
        <w:trPr>
          <w:trHeight w:val="2148"/>
        </w:trPr>
        <w:tc>
          <w:tcPr>
            <w:tcW w:w="2018" w:type="dxa"/>
          </w:tcPr>
          <w:p w14:paraId="55E85366" w14:textId="22869BA1" w:rsidR="00542F28" w:rsidRPr="006C531D" w:rsidRDefault="00542F28">
            <w:pPr>
              <w:pStyle w:val="Normlndobloku"/>
              <w:rPr>
                <w:lang w:val="sk-SK"/>
              </w:rPr>
            </w:pPr>
            <w:r w:rsidRPr="006C531D">
              <w:rPr>
                <w:lang w:val="sk-SK"/>
              </w:rPr>
              <w:t>Celkové poruchy</w:t>
            </w:r>
            <w:r w:rsidR="00003A11" w:rsidRPr="006C531D">
              <w:rPr>
                <w:lang w:val="sk-SK"/>
              </w:rPr>
              <w:t xml:space="preserve"> a </w:t>
            </w:r>
            <w:r w:rsidRPr="006C531D">
              <w:rPr>
                <w:lang w:val="sk-SK"/>
              </w:rPr>
              <w:t>reakcie</w:t>
            </w:r>
            <w:r w:rsidR="00003A11" w:rsidRPr="006C531D">
              <w:rPr>
                <w:lang w:val="sk-SK"/>
              </w:rPr>
              <w:t xml:space="preserve"> v </w:t>
            </w:r>
            <w:r w:rsidRPr="006C531D">
              <w:rPr>
                <w:lang w:val="sk-SK"/>
              </w:rPr>
              <w:t xml:space="preserve">mieste </w:t>
            </w:r>
            <w:r w:rsidR="00664A6F">
              <w:rPr>
                <w:lang w:val="sk-SK"/>
              </w:rPr>
              <w:t>podania</w:t>
            </w:r>
          </w:p>
        </w:tc>
        <w:tc>
          <w:tcPr>
            <w:tcW w:w="999" w:type="dxa"/>
          </w:tcPr>
          <w:p w14:paraId="4CD44360" w14:textId="77777777" w:rsidR="00542F28" w:rsidRPr="006C531D" w:rsidRDefault="00542F28">
            <w:pPr>
              <w:pStyle w:val="Normlndobloku"/>
              <w:rPr>
                <w:lang w:val="sk-SK"/>
              </w:rPr>
            </w:pPr>
          </w:p>
        </w:tc>
        <w:tc>
          <w:tcPr>
            <w:tcW w:w="1754" w:type="dxa"/>
          </w:tcPr>
          <w:p w14:paraId="0629931E" w14:textId="5862D040" w:rsidR="00542F28" w:rsidRPr="006C531D" w:rsidRDefault="00C04D0A">
            <w:pPr>
              <w:pStyle w:val="Normlndobloku"/>
              <w:rPr>
                <w:lang w:val="sk-SK"/>
              </w:rPr>
            </w:pPr>
            <w:r w:rsidRPr="006C531D">
              <w:rPr>
                <w:lang w:val="sk-SK"/>
              </w:rPr>
              <w:t>Horúčka</w:t>
            </w:r>
          </w:p>
        </w:tc>
        <w:tc>
          <w:tcPr>
            <w:tcW w:w="1918" w:type="dxa"/>
          </w:tcPr>
          <w:p w14:paraId="03FDA631" w14:textId="155B71D9" w:rsidR="00542F28" w:rsidRPr="006C531D" w:rsidRDefault="00542F28">
            <w:pPr>
              <w:pStyle w:val="Normlndobloku"/>
              <w:rPr>
                <w:lang w:val="sk-SK"/>
              </w:rPr>
            </w:pPr>
            <w:r w:rsidRPr="006C531D">
              <w:rPr>
                <w:lang w:val="sk-SK"/>
              </w:rPr>
              <w:t>Hypotermia, zníženie telesnej teploty, zvýšenie telesnej teploty, zimnica, reakcia</w:t>
            </w:r>
            <w:r w:rsidR="00003A11" w:rsidRPr="006C531D">
              <w:rPr>
                <w:lang w:val="sk-SK"/>
              </w:rPr>
              <w:t xml:space="preserve"> v </w:t>
            </w:r>
            <w:r w:rsidRPr="006C531D">
              <w:rPr>
                <w:lang w:val="sk-SK"/>
              </w:rPr>
              <w:t xml:space="preserve">mieste </w:t>
            </w:r>
            <w:r w:rsidR="00664A6F">
              <w:rPr>
                <w:lang w:val="sk-SK"/>
              </w:rPr>
              <w:t>podania injekcie</w:t>
            </w:r>
            <w:r w:rsidRPr="006C531D">
              <w:rPr>
                <w:lang w:val="sk-SK"/>
              </w:rPr>
              <w:t>, bolesť</w:t>
            </w:r>
            <w:r w:rsidR="00003A11" w:rsidRPr="006C531D">
              <w:rPr>
                <w:lang w:val="sk-SK"/>
              </w:rPr>
              <w:t xml:space="preserve"> v </w:t>
            </w:r>
            <w:r w:rsidRPr="006C531D">
              <w:rPr>
                <w:lang w:val="sk-SK"/>
              </w:rPr>
              <w:t xml:space="preserve">mieste </w:t>
            </w:r>
            <w:r w:rsidR="00664A6F">
              <w:rPr>
                <w:lang w:val="sk-SK"/>
              </w:rPr>
              <w:t>podania injekc</w:t>
            </w:r>
            <w:r w:rsidRPr="006C531D">
              <w:rPr>
                <w:lang w:val="sk-SK"/>
              </w:rPr>
              <w:t>ie, bolesť</w:t>
            </w:r>
          </w:p>
        </w:tc>
        <w:tc>
          <w:tcPr>
            <w:tcW w:w="1194" w:type="dxa"/>
          </w:tcPr>
          <w:p w14:paraId="34DD536F" w14:textId="77777777" w:rsidR="00542F28" w:rsidRPr="006C531D" w:rsidRDefault="00542F28">
            <w:pPr>
              <w:pStyle w:val="Normlndobloku"/>
              <w:rPr>
                <w:lang w:val="sk-SK"/>
              </w:rPr>
            </w:pPr>
          </w:p>
        </w:tc>
        <w:tc>
          <w:tcPr>
            <w:tcW w:w="1728" w:type="dxa"/>
          </w:tcPr>
          <w:p w14:paraId="29D6948E" w14:textId="77777777" w:rsidR="00542F28" w:rsidRPr="006C531D" w:rsidRDefault="00542F28">
            <w:pPr>
              <w:pStyle w:val="Normlndobloku"/>
              <w:rPr>
                <w:lang w:val="sk-SK"/>
              </w:rPr>
            </w:pPr>
          </w:p>
        </w:tc>
      </w:tr>
    </w:tbl>
    <w:p w14:paraId="7D272823" w14:textId="77777777" w:rsidR="00EB51D4" w:rsidRPr="006C531D" w:rsidRDefault="00EB51D4">
      <w:pPr>
        <w:pStyle w:val="Normlndobloku"/>
      </w:pPr>
    </w:p>
    <w:p w14:paraId="623BBCBA" w14:textId="4091E8F9" w:rsidR="00EB51D4" w:rsidRPr="006C531D" w:rsidRDefault="00C64FFA">
      <w:pPr>
        <w:pStyle w:val="Normlndobloku"/>
      </w:pPr>
      <w:r w:rsidRPr="006C531D">
        <w:t xml:space="preserve">Hlásenie podozrení na nežiaduce </w:t>
      </w:r>
      <w:r w:rsidR="006900B4">
        <w:t>reakcie</w:t>
      </w:r>
    </w:p>
    <w:p w14:paraId="7881458B" w14:textId="54F6D932" w:rsidR="00513E32" w:rsidRPr="006C531D" w:rsidRDefault="00513E32">
      <w:pPr>
        <w:pStyle w:val="Normlndobloku"/>
        <w:rPr>
          <w:b/>
        </w:rPr>
      </w:pPr>
      <w:r w:rsidRPr="006C531D">
        <w:t>Hlásenie podozrení na nežiaduce reakcie po registrácii lieku je dôležité. Umožňuje priebežné monitorovanie pomeru prínosu</w:t>
      </w:r>
      <w:r w:rsidR="00003A11" w:rsidRPr="006C531D">
        <w:t xml:space="preserve"> a </w:t>
      </w:r>
      <w:r w:rsidRPr="006C531D">
        <w:t xml:space="preserve">rizika lieku. Od zdravotníckych pracovníkov sa vyžaduje, aby hlásili akékoľvek podozrenia na nežiaduce reakcie na </w:t>
      </w:r>
      <w:r w:rsidRPr="006C531D">
        <w:rPr>
          <w:highlight w:val="lightGray"/>
        </w:rPr>
        <w:t>národné centrum hlásenia uvedené</w:t>
      </w:r>
      <w:r w:rsidR="00003A11" w:rsidRPr="006C531D">
        <w:rPr>
          <w:highlight w:val="lightGray"/>
        </w:rPr>
        <w:t xml:space="preserve"> v </w:t>
      </w:r>
      <w:hyperlink r:id="rId8" w:history="1">
        <w:r w:rsidRPr="006C531D">
          <w:rPr>
            <w:rStyle w:val="Hypertextovprepojenie"/>
            <w:highlight w:val="lightGray"/>
          </w:rPr>
          <w:t>Prílohe V</w:t>
        </w:r>
      </w:hyperlink>
      <w:r w:rsidRPr="006C531D">
        <w:t>.</w:t>
      </w:r>
    </w:p>
    <w:p w14:paraId="28C408B5" w14:textId="7DF2614E" w:rsidR="00EB51D4" w:rsidRPr="006C531D" w:rsidRDefault="00EB51D4" w:rsidP="001D4259">
      <w:pPr>
        <w:pStyle w:val="Styl2"/>
      </w:pPr>
      <w:r w:rsidRPr="006C531D">
        <w:t>Predávkovanie</w:t>
      </w:r>
    </w:p>
    <w:p w14:paraId="529331BD" w14:textId="702B3FC3" w:rsidR="00C64FFA" w:rsidRPr="006C531D" w:rsidRDefault="00664A6F">
      <w:pPr>
        <w:pStyle w:val="Styl3"/>
      </w:pPr>
      <w:r>
        <w:t>Prejavy a p</w:t>
      </w:r>
      <w:r w:rsidR="00C64FFA" w:rsidRPr="006C531D">
        <w:t>ríznaky</w:t>
      </w:r>
    </w:p>
    <w:p w14:paraId="73E8026A" w14:textId="4E7F3CCD" w:rsidR="00C64FFA" w:rsidRPr="006C531D" w:rsidRDefault="00C64FFA">
      <w:pPr>
        <w:pStyle w:val="Normlndobloku"/>
      </w:pPr>
      <w:r w:rsidRPr="006C531D">
        <w:t>Predávkovanie sa javí ako predĺženie farmakologických účinkov sufentanilu.</w:t>
      </w:r>
      <w:r w:rsidR="00003A11" w:rsidRPr="006C531D">
        <w:t xml:space="preserve"> </w:t>
      </w:r>
      <w:r w:rsidR="008E1D16" w:rsidRPr="006C531D">
        <w:t>V</w:t>
      </w:r>
      <w:r w:rsidR="00003A11" w:rsidRPr="006C531D">
        <w:t> </w:t>
      </w:r>
      <w:r w:rsidRPr="006C531D">
        <w:t>závislosti od individuálnej citlivosti je najzávažnejším významným účinkom predávkovania respiračná depresia, ktorá sa môže prejaviť vo všetkých stupňoch, od bradypnoe po apnoe.</w:t>
      </w:r>
    </w:p>
    <w:p w14:paraId="26B185C9" w14:textId="7B904830" w:rsidR="00C64FFA" w:rsidRPr="006C531D" w:rsidRDefault="00BD49A8">
      <w:pPr>
        <w:pStyle w:val="Styl3"/>
      </w:pPr>
      <w:r w:rsidRPr="006C531D">
        <w:t>L</w:t>
      </w:r>
      <w:r w:rsidR="00C64FFA" w:rsidRPr="006C531D">
        <w:t>iečba</w:t>
      </w:r>
    </w:p>
    <w:p w14:paraId="03662B71" w14:textId="7FC6B8A2" w:rsidR="00C64FFA" w:rsidRPr="006C531D" w:rsidRDefault="00C64FFA">
      <w:pPr>
        <w:pStyle w:val="Normlndobloku"/>
      </w:pPr>
      <w:r w:rsidRPr="006C531D">
        <w:t>V prípade hypoventilácie alebo apnoe sa vyžaduje podanie kyslíka</w:t>
      </w:r>
      <w:r w:rsidR="00003A11" w:rsidRPr="006C531D">
        <w:t xml:space="preserve"> a </w:t>
      </w:r>
      <w:r w:rsidRPr="006C531D">
        <w:t>asistované alebo riadené dýchanie. Špecifický opioidný antagonista môže byť použitý pre kontrolu respiračnej depresie. Súčasne majú byť prijaté okamžité symptomatické protiopatrenia. Vzhľadom</w:t>
      </w:r>
      <w:r w:rsidR="00003A11" w:rsidRPr="006C531D">
        <w:t xml:space="preserve"> k </w:t>
      </w:r>
      <w:r w:rsidRPr="006C531D">
        <w:t>tomu, že trvanie respiračnej depresie indukovanej sufentanilom môže trvať dlhšie ako trvanie antagonistického účinku, môž</w:t>
      </w:r>
      <w:r w:rsidR="00DD0A03" w:rsidRPr="006C531D">
        <w:t xml:space="preserve">e </w:t>
      </w:r>
      <w:r w:rsidRPr="006C531D">
        <w:t>byť potrebné opakované podanie dávky antagonistu.</w:t>
      </w:r>
    </w:p>
    <w:p w14:paraId="019D431B" w14:textId="3A8FAEFE" w:rsidR="00C64FFA" w:rsidRPr="006C531D" w:rsidRDefault="00DD0A03">
      <w:pPr>
        <w:pStyle w:val="Normlndobloku"/>
      </w:pPr>
      <w:r w:rsidRPr="006C531D">
        <w:t>Ak je útlm</w:t>
      </w:r>
      <w:r w:rsidR="00D42BC4">
        <w:t xml:space="preserve"> dýchania</w:t>
      </w:r>
      <w:r w:rsidRPr="006C531D">
        <w:t xml:space="preserve"> sprevádzaný svalovou rigiditou, </w:t>
      </w:r>
      <w:r w:rsidR="00513E32" w:rsidRPr="006C531D">
        <w:t xml:space="preserve">je </w:t>
      </w:r>
      <w:r w:rsidRPr="006C531D">
        <w:t xml:space="preserve">potrebné podať intravenózne neuromuskulárne blokátory </w:t>
      </w:r>
      <w:r w:rsidR="00C64FFA" w:rsidRPr="006C531D">
        <w:t>na uľahčenie asistovan</w:t>
      </w:r>
      <w:r w:rsidRPr="006C531D">
        <w:t>ého</w:t>
      </w:r>
      <w:r w:rsidR="00C64FFA" w:rsidRPr="006C531D">
        <w:t xml:space="preserve"> alebo </w:t>
      </w:r>
      <w:r w:rsidRPr="006C531D">
        <w:t>riadeného</w:t>
      </w:r>
      <w:r w:rsidR="00C64FFA" w:rsidRPr="006C531D">
        <w:t xml:space="preserve"> dýchani</w:t>
      </w:r>
      <w:r w:rsidRPr="006C531D">
        <w:t>a</w:t>
      </w:r>
      <w:r w:rsidR="00C64FFA" w:rsidRPr="006C531D">
        <w:t>.</w:t>
      </w:r>
    </w:p>
    <w:p w14:paraId="79C57F53" w14:textId="46C814DD" w:rsidR="00EB51D4" w:rsidRPr="006C531D" w:rsidRDefault="00DD0A03">
      <w:pPr>
        <w:pStyle w:val="Normlndobloku"/>
      </w:pPr>
      <w:r w:rsidRPr="006C531D">
        <w:rPr>
          <w:color w:val="000000"/>
        </w:rPr>
        <w:lastRenderedPageBreak/>
        <w:t>Pacient musí byť starostlivo sledovaný, musí byť monitorovaná jeho telesná teplota</w:t>
      </w:r>
      <w:r w:rsidR="00003A11" w:rsidRPr="006C531D">
        <w:rPr>
          <w:color w:val="000000"/>
        </w:rPr>
        <w:t xml:space="preserve"> a </w:t>
      </w:r>
      <w:r w:rsidRPr="006C531D">
        <w:rPr>
          <w:color w:val="000000"/>
        </w:rPr>
        <w:t xml:space="preserve">zabezpečený adekvátny prísun tekutín. </w:t>
      </w:r>
      <w:r w:rsidR="00C64FFA" w:rsidRPr="006C531D">
        <w:t>Hypovolémia má byť považovaná za možnú príčinu závažn</w:t>
      </w:r>
      <w:r w:rsidRPr="006C531D">
        <w:t>ej</w:t>
      </w:r>
      <w:r w:rsidR="00C64FFA" w:rsidRPr="006C531D">
        <w:t xml:space="preserve"> alebo pretrvávajúce</w:t>
      </w:r>
      <w:r w:rsidRPr="006C531D">
        <w:t>j</w:t>
      </w:r>
      <w:r w:rsidR="00C64FFA" w:rsidRPr="006C531D">
        <w:t xml:space="preserve"> hypotenzi</w:t>
      </w:r>
      <w:r w:rsidRPr="006C531D">
        <w:t>i</w:t>
      </w:r>
      <w:r w:rsidR="00C64FFA" w:rsidRPr="006C531D">
        <w:t>.</w:t>
      </w:r>
      <w:r w:rsidR="00003A11" w:rsidRPr="006C531D">
        <w:t xml:space="preserve"> </w:t>
      </w:r>
      <w:r w:rsidR="008E1D16" w:rsidRPr="006C531D">
        <w:t>V</w:t>
      </w:r>
      <w:r w:rsidR="00003A11" w:rsidRPr="006C531D">
        <w:t> </w:t>
      </w:r>
      <w:r w:rsidR="00C64FFA" w:rsidRPr="006C531D">
        <w:t>tomto prípade má byť kontrolovaná vhodným parenterálnym podávaním tekutín.</w:t>
      </w:r>
    </w:p>
    <w:p w14:paraId="28B27A08" w14:textId="13F45296" w:rsidR="00EB51D4" w:rsidRPr="006C531D" w:rsidRDefault="00EB51D4">
      <w:pPr>
        <w:pStyle w:val="Styl1"/>
      </w:pPr>
      <w:r w:rsidRPr="006C531D">
        <w:t>FARMAKOLOGICKÉ VLASTNOSTI</w:t>
      </w:r>
    </w:p>
    <w:p w14:paraId="3FC47F26" w14:textId="0FA2C4BF" w:rsidR="00EB51D4" w:rsidRPr="006C531D" w:rsidRDefault="00EB51D4" w:rsidP="001D4259">
      <w:pPr>
        <w:pStyle w:val="Styl2"/>
      </w:pPr>
      <w:r w:rsidRPr="006C531D">
        <w:t>Farmakodynamické vlastnosti</w:t>
      </w:r>
    </w:p>
    <w:p w14:paraId="77E26D0E" w14:textId="77777777" w:rsidR="00DD0A03" w:rsidRPr="006C531D" w:rsidRDefault="00DD0A03">
      <w:pPr>
        <w:pStyle w:val="Normlndobloku"/>
      </w:pPr>
      <w:r w:rsidRPr="006C531D">
        <w:t>Farmakoterapeutická skupina: Opioidné anestetikum, sufentanil, ATC kód: N01AH03</w:t>
      </w:r>
    </w:p>
    <w:p w14:paraId="1C98300A" w14:textId="6B6C6BE3" w:rsidR="00BB4738" w:rsidRPr="006C531D" w:rsidRDefault="00DD0A03">
      <w:pPr>
        <w:pStyle w:val="Normlndobloku"/>
      </w:pPr>
      <w:r w:rsidRPr="006C531D">
        <w:t>Sufentanil je silný syntetický opioid</w:t>
      </w:r>
      <w:r w:rsidR="00003A11" w:rsidRPr="006C531D">
        <w:t xml:space="preserve"> s </w:t>
      </w:r>
      <w:r w:rsidRPr="006C531D">
        <w:t>μ-agonistickým farmakologický</w:t>
      </w:r>
      <w:r w:rsidR="005511F4" w:rsidRPr="006C531D">
        <w:t>m</w:t>
      </w:r>
      <w:r w:rsidRPr="006C531D">
        <w:t xml:space="preserve"> účink</w:t>
      </w:r>
      <w:r w:rsidR="005511F4" w:rsidRPr="006C531D">
        <w:t>om</w:t>
      </w:r>
      <w:r w:rsidRPr="006C531D">
        <w:t xml:space="preserve">. </w:t>
      </w:r>
      <w:r w:rsidR="00BB4738" w:rsidRPr="006C531D">
        <w:t>Sufentanil je vysoko účinné opioidné centrálne anestetikum (u človeka 7</w:t>
      </w:r>
      <w:r w:rsidR="005511F4" w:rsidRPr="006C531D">
        <w:t> – </w:t>
      </w:r>
      <w:r w:rsidR="00BB4738" w:rsidRPr="006C531D">
        <w:t>10 krát účinnejší ako fentanyl) so širokým bezpečnostným indexom (LD</w:t>
      </w:r>
      <w:r w:rsidR="00BB4738" w:rsidRPr="006C531D">
        <w:rPr>
          <w:vertAlign w:val="subscript"/>
        </w:rPr>
        <w:t>50</w:t>
      </w:r>
      <w:r w:rsidR="00BB4738" w:rsidRPr="006C531D">
        <w:t>/ED</w:t>
      </w:r>
      <w:r w:rsidR="00BB4738" w:rsidRPr="006C531D">
        <w:rPr>
          <w:vertAlign w:val="subscript"/>
        </w:rPr>
        <w:t>50</w:t>
      </w:r>
      <w:r w:rsidR="00BB4738" w:rsidRPr="006C531D">
        <w:t xml:space="preserve"> pre najnižší stupeň analgézie) u</w:t>
      </w:r>
      <w:r w:rsidR="00003A11" w:rsidRPr="006C531D">
        <w:t xml:space="preserve"> </w:t>
      </w:r>
      <w:r w:rsidR="00BB4738" w:rsidRPr="006C531D">
        <w:t xml:space="preserve">potkanov, </w:t>
      </w:r>
      <w:r w:rsidR="00FF498B">
        <w:t>index s hodnotou</w:t>
      </w:r>
      <w:r w:rsidR="00BE7139" w:rsidRPr="006C531D">
        <w:t xml:space="preserve"> </w:t>
      </w:r>
      <w:r w:rsidR="00BB4738" w:rsidRPr="006C531D">
        <w:t>25</w:t>
      </w:r>
      <w:r w:rsidR="00BB4738" w:rsidRPr="00344800">
        <w:t xml:space="preserve"> 211</w:t>
      </w:r>
      <w:r w:rsidR="00BB4738" w:rsidRPr="006C531D">
        <w:t xml:space="preserve"> je vyšší ako pre fentanyl (277)</w:t>
      </w:r>
      <w:r w:rsidR="00003A11" w:rsidRPr="006C531D">
        <w:t xml:space="preserve"> a </w:t>
      </w:r>
      <w:r w:rsidR="00BB4738" w:rsidRPr="006C531D">
        <w:t>morfín (69,5).</w:t>
      </w:r>
    </w:p>
    <w:p w14:paraId="1577A3F0" w14:textId="1C865802" w:rsidR="00BB4738" w:rsidRPr="006C531D" w:rsidRDefault="00BB4738">
      <w:pPr>
        <w:pStyle w:val="Normlndobloku"/>
      </w:pPr>
      <w:r w:rsidRPr="006C531D">
        <w:t>Intravenózne aplikovaný sufentanil vykazuje rýchly nástup účinku. Obmedzená kumulácia</w:t>
      </w:r>
      <w:r w:rsidR="00003A11" w:rsidRPr="006C531D">
        <w:t xml:space="preserve"> a </w:t>
      </w:r>
      <w:r w:rsidRPr="006C531D">
        <w:t>rýchla eliminácia</w:t>
      </w:r>
      <w:r w:rsidR="00003A11" w:rsidRPr="006C531D">
        <w:t xml:space="preserve"> z </w:t>
      </w:r>
      <w:r w:rsidRPr="006C531D">
        <w:t>tkanív umožňuje rýchly návrat do</w:t>
      </w:r>
      <w:r w:rsidR="00003A11" w:rsidRPr="006C531D">
        <w:t xml:space="preserve"> </w:t>
      </w:r>
      <w:r w:rsidRPr="006C531D">
        <w:t>normálu. Hĺbka analgézie je závislá od dávky</w:t>
      </w:r>
      <w:r w:rsidR="00003A11" w:rsidRPr="006C531D">
        <w:t xml:space="preserve"> a </w:t>
      </w:r>
      <w:r w:rsidRPr="006C531D">
        <w:t>môže byť regulovaná podľa intenzity bolesti pri chirurgickom zákroku. Ako ostatné opioidné anestetiká, sufentanil</w:t>
      </w:r>
      <w:r w:rsidR="00003A11" w:rsidRPr="006C531D">
        <w:t xml:space="preserve"> v </w:t>
      </w:r>
      <w:r w:rsidRPr="006C531D">
        <w:t>závislosti od dávky</w:t>
      </w:r>
      <w:r w:rsidR="00003A11" w:rsidRPr="006C531D">
        <w:t xml:space="preserve"> a </w:t>
      </w:r>
      <w:r w:rsidRPr="006C531D">
        <w:t>rýchlosti aplikácie môže spôsobiť svalovú</w:t>
      </w:r>
      <w:r w:rsidR="00003A11" w:rsidRPr="006C531D">
        <w:t xml:space="preserve"> </w:t>
      </w:r>
      <w:r w:rsidRPr="006C531D">
        <w:t>rigiditu, eufóriu, miózu</w:t>
      </w:r>
      <w:r w:rsidR="00003A11" w:rsidRPr="006C531D">
        <w:t xml:space="preserve"> a </w:t>
      </w:r>
      <w:r w:rsidRPr="006C531D">
        <w:t>bradykardiu. Histamínový test nepreukázal možnosť uvoľňovania histamínu u pacientov, ktorým bol sufentanil aplikovaný.</w:t>
      </w:r>
    </w:p>
    <w:p w14:paraId="29D8D96C" w14:textId="59AD707A" w:rsidR="00BB4738" w:rsidRPr="006C531D" w:rsidRDefault="00BB4738">
      <w:pPr>
        <w:pStyle w:val="Normlndobloku"/>
      </w:pPr>
      <w:r w:rsidRPr="006C531D">
        <w:t>Všetky účinky sufentanilu sú okamžite</w:t>
      </w:r>
      <w:r w:rsidR="00003A11" w:rsidRPr="006C531D">
        <w:t xml:space="preserve"> a </w:t>
      </w:r>
      <w:r w:rsidRPr="006C531D">
        <w:t>plne antagonizované špecifickým opioidným antagonistom.</w:t>
      </w:r>
    </w:p>
    <w:p w14:paraId="7F19D6A7" w14:textId="781ACCFC" w:rsidR="00BB4738" w:rsidRPr="006C531D" w:rsidRDefault="00BB4738">
      <w:pPr>
        <w:pStyle w:val="Normlndobloku"/>
        <w:rPr>
          <w:b/>
          <w:i/>
        </w:rPr>
      </w:pPr>
      <w:r w:rsidRPr="006C531D">
        <w:t xml:space="preserve">Pri epidurálnej aplikácii zabezpečí </w:t>
      </w:r>
      <w:r w:rsidR="005511F4" w:rsidRPr="006C531D">
        <w:t>s</w:t>
      </w:r>
      <w:r w:rsidRPr="006C531D">
        <w:t>ufentanil spinálnu analgéziu</w:t>
      </w:r>
      <w:r w:rsidR="00003A11" w:rsidRPr="006C531D">
        <w:t xml:space="preserve"> s </w:t>
      </w:r>
      <w:r w:rsidRPr="006C531D">
        <w:t>rýchlym nástupom účinku (5</w:t>
      </w:r>
      <w:r w:rsidR="005511F4" w:rsidRPr="006C531D">
        <w:t> – </w:t>
      </w:r>
      <w:r w:rsidRPr="006C531D">
        <w:t>10 minút)</w:t>
      </w:r>
      <w:r w:rsidR="00003A11" w:rsidRPr="006C531D">
        <w:t xml:space="preserve"> a </w:t>
      </w:r>
      <w:r w:rsidRPr="006C531D">
        <w:t>stredne dlhým trvaním (obvykle 4</w:t>
      </w:r>
      <w:r w:rsidR="005511F4" w:rsidRPr="006C531D">
        <w:t> – </w:t>
      </w:r>
      <w:r w:rsidRPr="006C531D">
        <w:t>6 hodín) účinku.</w:t>
      </w:r>
    </w:p>
    <w:p w14:paraId="689B27B8" w14:textId="4E0A89E4" w:rsidR="00DD0A03" w:rsidRPr="006C531D" w:rsidRDefault="00F40983">
      <w:pPr>
        <w:pStyle w:val="Styl4"/>
      </w:pPr>
      <w:r w:rsidRPr="006C531D">
        <w:t>Pediatrická populácia</w:t>
      </w:r>
    </w:p>
    <w:p w14:paraId="234FB894" w14:textId="66A3DABE" w:rsidR="00DD0A03" w:rsidRPr="006C531D" w:rsidRDefault="00BD49A8">
      <w:pPr>
        <w:pStyle w:val="Styl3"/>
      </w:pPr>
      <w:r w:rsidRPr="006C531D">
        <w:t>E</w:t>
      </w:r>
      <w:r w:rsidR="00DD0A03" w:rsidRPr="006C531D">
        <w:t>piduráln</w:t>
      </w:r>
      <w:r w:rsidRPr="006C531D">
        <w:t>e</w:t>
      </w:r>
      <w:r w:rsidR="00DD0A03" w:rsidRPr="006C531D">
        <w:t xml:space="preserve"> podanie</w:t>
      </w:r>
    </w:p>
    <w:p w14:paraId="4468CD79" w14:textId="38A36A34" w:rsidR="00DD0A03" w:rsidRPr="006C531D" w:rsidRDefault="00DD0A03">
      <w:pPr>
        <w:pStyle w:val="Normlndobloku"/>
      </w:pPr>
      <w:r w:rsidRPr="006C531D">
        <w:t>Priemerný nástup</w:t>
      </w:r>
      <w:r w:rsidR="00003A11" w:rsidRPr="006C531D">
        <w:t xml:space="preserve"> a </w:t>
      </w:r>
      <w:r w:rsidRPr="006C531D">
        <w:t>trvanie analgézie bol</w:t>
      </w:r>
      <w:r w:rsidR="00BB4738" w:rsidRPr="006C531D">
        <w:t>o</w:t>
      </w:r>
      <w:r w:rsidRPr="006C531D">
        <w:t xml:space="preserve"> 3,0 ± 0,3</w:t>
      </w:r>
      <w:r w:rsidR="00003A11" w:rsidRPr="006C531D">
        <w:t xml:space="preserve"> a </w:t>
      </w:r>
      <w:r w:rsidRPr="006C531D">
        <w:t>198 ± 19 minút, resp. po epidurálnom podaní 0,75</w:t>
      </w:r>
      <w:r w:rsidR="006900B4">
        <w:t> </w:t>
      </w:r>
      <w:r w:rsidRPr="006C531D">
        <w:t>mikrogramov</w:t>
      </w:r>
      <w:r w:rsidR="007157A4" w:rsidRPr="006C531D">
        <w:t>/</w:t>
      </w:r>
      <w:r w:rsidRPr="006C531D">
        <w:t>kg sufentanilu u 15 detí vo veku od 4 až do 12 rokov.</w:t>
      </w:r>
    </w:p>
    <w:p w14:paraId="039F6E48" w14:textId="0427A4F0" w:rsidR="00DD0A03" w:rsidRPr="006C531D" w:rsidRDefault="00DD0A03">
      <w:pPr>
        <w:pStyle w:val="Normlndobloku"/>
      </w:pPr>
      <w:r w:rsidRPr="006C531D">
        <w:t>Epiduráln</w:t>
      </w:r>
      <w:r w:rsidR="00BB4738" w:rsidRPr="006C531D">
        <w:t>y</w:t>
      </w:r>
      <w:r w:rsidRPr="006C531D">
        <w:t xml:space="preserve"> sufentanil bol podávaný len obmedzenému počtu detí vo veku od 3 mesiacov do 1 roka ako jednorazová bolusová dávka 0,25</w:t>
      </w:r>
      <w:r w:rsidR="005511F4" w:rsidRPr="006C531D">
        <w:t> – </w:t>
      </w:r>
      <w:r w:rsidRPr="006C531D">
        <w:t>0,75 mikrogramov</w:t>
      </w:r>
      <w:r w:rsidR="007157A4" w:rsidRPr="006C531D">
        <w:t>/</w:t>
      </w:r>
      <w:r w:rsidRPr="006C531D">
        <w:t>kg pre pooperačn</w:t>
      </w:r>
      <w:r w:rsidR="00BB4738" w:rsidRPr="006C531D">
        <w:t>ú</w:t>
      </w:r>
      <w:r w:rsidRPr="006C531D">
        <w:t xml:space="preserve"> kontrolu bolesti.</w:t>
      </w:r>
    </w:p>
    <w:p w14:paraId="528BAC35" w14:textId="3973CC11" w:rsidR="0057375D" w:rsidRPr="006C531D" w:rsidRDefault="00DD0A03">
      <w:pPr>
        <w:pStyle w:val="Normlndobloku"/>
      </w:pPr>
      <w:r w:rsidRPr="006C531D">
        <w:t>Epidurálna bolusová dávka 0,1 mikrogramu</w:t>
      </w:r>
      <w:r w:rsidR="007157A4" w:rsidRPr="006C531D">
        <w:t>/</w:t>
      </w:r>
      <w:r w:rsidRPr="006C531D">
        <w:t>kg sufentanilu nasledova</w:t>
      </w:r>
      <w:r w:rsidR="005511F4" w:rsidRPr="006C531D">
        <w:t>ná</w:t>
      </w:r>
      <w:r w:rsidRPr="006C531D">
        <w:t xml:space="preserve"> epiduráln</w:t>
      </w:r>
      <w:r w:rsidR="00BB4738" w:rsidRPr="006C531D">
        <w:t>ou</w:t>
      </w:r>
      <w:r w:rsidRPr="006C531D">
        <w:t xml:space="preserve"> infúzi</w:t>
      </w:r>
      <w:r w:rsidR="00BB4738" w:rsidRPr="006C531D">
        <w:t>ou</w:t>
      </w:r>
      <w:r w:rsidRPr="006C531D">
        <w:t xml:space="preserve"> 0,03-0,3 mikrogramov</w:t>
      </w:r>
      <w:r w:rsidR="007157A4" w:rsidRPr="006C531D">
        <w:t>/</w:t>
      </w:r>
      <w:r w:rsidRPr="006C531D">
        <w:t>kg</w:t>
      </w:r>
      <w:r w:rsidR="007157A4" w:rsidRPr="006C531D">
        <w:t>/</w:t>
      </w:r>
      <w:r w:rsidRPr="006C531D">
        <w:t>h</w:t>
      </w:r>
      <w:r w:rsidR="00003A11" w:rsidRPr="006C531D">
        <w:t xml:space="preserve"> a </w:t>
      </w:r>
      <w:r w:rsidRPr="006C531D">
        <w:t>kombinovaná</w:t>
      </w:r>
      <w:r w:rsidR="00003A11" w:rsidRPr="006C531D">
        <w:t xml:space="preserve"> s </w:t>
      </w:r>
      <w:r w:rsidRPr="006C531D">
        <w:t>amidovým lokálnym anestetikom amidového typu u detí vo veku od 3 mesiacov poskytla účinnú pooperačn</w:t>
      </w:r>
      <w:r w:rsidR="00BB4738" w:rsidRPr="006C531D">
        <w:t>ú</w:t>
      </w:r>
      <w:r w:rsidRPr="006C531D">
        <w:t xml:space="preserve"> analgézi</w:t>
      </w:r>
      <w:r w:rsidR="00BB4738" w:rsidRPr="006C531D">
        <w:t>u</w:t>
      </w:r>
      <w:r w:rsidRPr="006C531D">
        <w:t xml:space="preserve"> po dobu až 72 hodín u pacientov po</w:t>
      </w:r>
      <w:r w:rsidR="0057375D" w:rsidRPr="006C531D">
        <w:t xml:space="preserve"> operácii.</w:t>
      </w:r>
    </w:p>
    <w:p w14:paraId="34ADEC53" w14:textId="73CB1FB1" w:rsidR="00EB51D4" w:rsidRPr="006C531D" w:rsidRDefault="00EB51D4" w:rsidP="001D4259">
      <w:pPr>
        <w:pStyle w:val="Styl2"/>
      </w:pPr>
      <w:r w:rsidRPr="006C531D">
        <w:t>Farmakokinetické vlastnosti</w:t>
      </w:r>
    </w:p>
    <w:p w14:paraId="75DCB2CB" w14:textId="77777777" w:rsidR="00BB4738" w:rsidRPr="006C531D" w:rsidRDefault="00BB4738">
      <w:pPr>
        <w:pStyle w:val="Styl4"/>
      </w:pPr>
      <w:r w:rsidRPr="006C531D">
        <w:t>Absorpcia</w:t>
      </w:r>
    </w:p>
    <w:p w14:paraId="2EC411AE" w14:textId="521CC61A" w:rsidR="00BB4738" w:rsidRPr="006C531D" w:rsidRDefault="00BB4738">
      <w:pPr>
        <w:pStyle w:val="Normlndobloku"/>
      </w:pPr>
      <w:r w:rsidRPr="006C531D">
        <w:t>Pri epidurálnom podaní sa maximálna plazmatická koncentrácia dosiahla do 10 minút</w:t>
      </w:r>
      <w:r w:rsidR="00003A11" w:rsidRPr="006C531D">
        <w:t xml:space="preserve"> a </w:t>
      </w:r>
      <w:r w:rsidRPr="006C531D">
        <w:t>je 4 až 6-krát nižšia ako koncentrácia</w:t>
      </w:r>
      <w:r w:rsidR="00003A11" w:rsidRPr="006C531D">
        <w:t xml:space="preserve"> v </w:t>
      </w:r>
      <w:r w:rsidRPr="006C531D">
        <w:t>plazme po intravenóznom podaní. Súčasné podávanie efedrínu (50</w:t>
      </w:r>
      <w:r w:rsidR="005511F4" w:rsidRPr="006C531D">
        <w:t xml:space="preserve"> – </w:t>
      </w:r>
      <w:r w:rsidRPr="006C531D">
        <w:t>75 mikrogramov) ďalej znižuje počiatočnú rýchlosť absorpcie o</w:t>
      </w:r>
      <w:r w:rsidR="005511F4" w:rsidRPr="006C531D">
        <w:t> </w:t>
      </w:r>
      <w:r w:rsidRPr="006C531D">
        <w:t>25</w:t>
      </w:r>
      <w:r w:rsidR="005511F4" w:rsidRPr="006C531D">
        <w:t> – </w:t>
      </w:r>
      <w:r w:rsidRPr="006C531D">
        <w:t>50%.</w:t>
      </w:r>
    </w:p>
    <w:p w14:paraId="32E70479" w14:textId="77E92694" w:rsidR="00BB4738" w:rsidRPr="006C531D" w:rsidRDefault="00BD49A8">
      <w:pPr>
        <w:pStyle w:val="Styl4"/>
      </w:pPr>
      <w:r w:rsidRPr="006C531D">
        <w:t>D</w:t>
      </w:r>
      <w:r w:rsidR="00BB4738" w:rsidRPr="006C531D">
        <w:t>istribúcia</w:t>
      </w:r>
    </w:p>
    <w:p w14:paraId="63A35BA3" w14:textId="55562B9F" w:rsidR="00BB4738" w:rsidRPr="006C531D" w:rsidRDefault="00BB4738">
      <w:pPr>
        <w:pStyle w:val="Normlndobloku"/>
      </w:pPr>
      <w:r w:rsidRPr="006C531D">
        <w:t>V štúdiách, kde boli dávky sufentanilu 250</w:t>
      </w:r>
      <w:r w:rsidR="005511F4" w:rsidRPr="006C531D">
        <w:t> – </w:t>
      </w:r>
      <w:r w:rsidRPr="006C531D">
        <w:t>1500 mikrogramov podávané intravenózne po dlhšiu dobu, boli polčasy rozpadu</w:t>
      </w:r>
      <w:r w:rsidR="00003A11" w:rsidRPr="006C531D">
        <w:t xml:space="preserve"> v </w:t>
      </w:r>
      <w:r w:rsidRPr="006C531D">
        <w:t>distribučnej fáze 2,3</w:t>
      </w:r>
      <w:r w:rsidR="005511F4" w:rsidRPr="006C531D">
        <w:t> – </w:t>
      </w:r>
      <w:r w:rsidRPr="006C531D">
        <w:t>4,5 minút</w:t>
      </w:r>
      <w:r w:rsidR="00003A11" w:rsidRPr="006C531D">
        <w:t xml:space="preserve"> a </w:t>
      </w:r>
      <w:r w:rsidRPr="006C531D">
        <w:t>35</w:t>
      </w:r>
      <w:r w:rsidR="005511F4" w:rsidRPr="006C531D">
        <w:t> – </w:t>
      </w:r>
      <w:r w:rsidRPr="006C531D">
        <w:t>73 minút, distribučný objem</w:t>
      </w:r>
      <w:r w:rsidR="00003A11" w:rsidRPr="006C531D">
        <w:t xml:space="preserve"> v </w:t>
      </w:r>
      <w:r w:rsidRPr="006C531D">
        <w:t>centrálnom kompartmente 14,2 litrov, distribučný objem</w:t>
      </w:r>
      <w:r w:rsidR="00003A11" w:rsidRPr="006C531D">
        <w:t xml:space="preserve"> v </w:t>
      </w:r>
      <w:r w:rsidRPr="006C531D">
        <w:t>ustálenom stave 344 litrov.</w:t>
      </w:r>
    </w:p>
    <w:p w14:paraId="0CFF7993" w14:textId="0AACDDB0" w:rsidR="00BB4738" w:rsidRPr="006C531D" w:rsidRDefault="00BB4738">
      <w:pPr>
        <w:pStyle w:val="Normlndobloku"/>
      </w:pPr>
      <w:r w:rsidRPr="006C531D">
        <w:t>Polčas rozpadu</w:t>
      </w:r>
      <w:r w:rsidR="00003A11" w:rsidRPr="006C531D">
        <w:t xml:space="preserve"> v </w:t>
      </w:r>
      <w:r w:rsidRPr="006C531D">
        <w:t>distribučnej fáze, skôr než polčas eliminácie (v rozmedzí od 4,1 hodiny po 250</w:t>
      </w:r>
      <w:r w:rsidR="006900B4">
        <w:t> </w:t>
      </w:r>
      <w:r w:rsidRPr="006C531D">
        <w:t>mikrogramov po dobu 10</w:t>
      </w:r>
      <w:r w:rsidR="005511F4" w:rsidRPr="006C531D">
        <w:t> – </w:t>
      </w:r>
      <w:r w:rsidRPr="006C531D">
        <w:t>16 hodín po 500</w:t>
      </w:r>
      <w:r w:rsidR="005511F4" w:rsidRPr="006C531D">
        <w:t> – </w:t>
      </w:r>
      <w:r w:rsidRPr="006C531D">
        <w:t>1500 mikrogramov), je určujúcim faktorom rýchlosti poklesu plazmatických koncentrácií</w:t>
      </w:r>
      <w:r w:rsidR="00003A11" w:rsidRPr="006C531D">
        <w:t xml:space="preserve"> z </w:t>
      </w:r>
      <w:r w:rsidRPr="006C531D">
        <w:t>terapeutického na subterapeutick</w:t>
      </w:r>
      <w:r w:rsidR="00B90981" w:rsidRPr="006C531D">
        <w:t>ý</w:t>
      </w:r>
      <w:r w:rsidRPr="006C531D">
        <w:t xml:space="preserve"> rozsah. Farmakokinetika sufentanilu je lineárna</w:t>
      </w:r>
      <w:r w:rsidR="00003A11" w:rsidRPr="006C531D">
        <w:t xml:space="preserve"> v </w:t>
      </w:r>
      <w:r w:rsidRPr="006C531D">
        <w:t xml:space="preserve">štúdiách </w:t>
      </w:r>
      <w:r w:rsidR="00F136E1">
        <w:t xml:space="preserve">rozsahu </w:t>
      </w:r>
      <w:r w:rsidRPr="006C531D">
        <w:t>dávkovani</w:t>
      </w:r>
      <w:r w:rsidR="00B90981" w:rsidRPr="006C531D">
        <w:t>a</w:t>
      </w:r>
      <w:r w:rsidRPr="006C531D">
        <w:t>.</w:t>
      </w:r>
    </w:p>
    <w:p w14:paraId="3FE7AB75" w14:textId="77777777" w:rsidR="00BB4738" w:rsidRPr="006C531D" w:rsidRDefault="00BB4738">
      <w:pPr>
        <w:pStyle w:val="Normlndobloku"/>
      </w:pPr>
      <w:r w:rsidRPr="006C531D">
        <w:t>Väzba sufentanilu na plazmatické proteíny je 92,5%.</w:t>
      </w:r>
    </w:p>
    <w:p w14:paraId="35A9840B" w14:textId="5D617123" w:rsidR="00BB4738" w:rsidRPr="006C531D" w:rsidRDefault="00B90981">
      <w:pPr>
        <w:pStyle w:val="Styl4"/>
      </w:pPr>
      <w:r w:rsidRPr="006C531D">
        <w:lastRenderedPageBreak/>
        <w:t>B</w:t>
      </w:r>
      <w:r w:rsidR="00BB4738" w:rsidRPr="006C531D">
        <w:t>iotransformáci</w:t>
      </w:r>
      <w:r w:rsidRPr="006C531D">
        <w:t>a</w:t>
      </w:r>
    </w:p>
    <w:p w14:paraId="433B59FC" w14:textId="2A687188" w:rsidR="00BB4738" w:rsidRPr="006C531D" w:rsidRDefault="00BB4738">
      <w:pPr>
        <w:pStyle w:val="Normlndobloku"/>
      </w:pPr>
      <w:r w:rsidRPr="006C531D">
        <w:t>Biotransformácia l</w:t>
      </w:r>
      <w:r w:rsidR="00F136E1">
        <w:t>iečiva</w:t>
      </w:r>
      <w:r w:rsidRPr="006C531D">
        <w:t xml:space="preserve"> nastáva primárne</w:t>
      </w:r>
      <w:r w:rsidR="00003A11" w:rsidRPr="006C531D">
        <w:t xml:space="preserve"> v </w:t>
      </w:r>
      <w:r w:rsidRPr="006C531D">
        <w:t>pečeni</w:t>
      </w:r>
      <w:r w:rsidR="00003A11" w:rsidRPr="006C531D">
        <w:t xml:space="preserve"> a </w:t>
      </w:r>
      <w:r w:rsidRPr="006C531D">
        <w:t>tenkom čreve. Sufentanil sa metabolizuje prevažne enzýmom cytochróm P450 3A4.</w:t>
      </w:r>
    </w:p>
    <w:p w14:paraId="56F7F708" w14:textId="509ECC99" w:rsidR="00BB4738" w:rsidRPr="006C531D" w:rsidRDefault="00BD49A8">
      <w:pPr>
        <w:pStyle w:val="Styl4"/>
      </w:pPr>
      <w:r w:rsidRPr="006C531D">
        <w:t>E</w:t>
      </w:r>
      <w:r w:rsidR="00BB4738" w:rsidRPr="006C531D">
        <w:t>liminácia</w:t>
      </w:r>
    </w:p>
    <w:p w14:paraId="4FBD198C" w14:textId="3C3CFAC9" w:rsidR="00EB51D4" w:rsidRPr="006C531D" w:rsidRDefault="00BB4738">
      <w:pPr>
        <w:pStyle w:val="Normlndobloku"/>
      </w:pPr>
      <w:r w:rsidRPr="006C531D">
        <w:t xml:space="preserve">Priemerný polčas </w:t>
      </w:r>
      <w:r w:rsidR="0057375D" w:rsidRPr="006C531D">
        <w:t xml:space="preserve">konečnej </w:t>
      </w:r>
      <w:r w:rsidRPr="006C531D">
        <w:t>eliminácie bol 784 (656</w:t>
      </w:r>
      <w:r w:rsidR="005511F4" w:rsidRPr="006C531D">
        <w:t> – </w:t>
      </w:r>
      <w:r w:rsidRPr="006C531D">
        <w:t>938) minút.</w:t>
      </w:r>
      <w:r w:rsidR="00003A11" w:rsidRPr="006C531D">
        <w:t xml:space="preserve"> </w:t>
      </w:r>
      <w:r w:rsidR="008E1D16" w:rsidRPr="006C531D">
        <w:t>V</w:t>
      </w:r>
      <w:r w:rsidR="00003A11" w:rsidRPr="006C531D">
        <w:t> </w:t>
      </w:r>
      <w:r w:rsidRPr="006C531D">
        <w:t>dôsledku limitu metodick</w:t>
      </w:r>
      <w:r w:rsidR="009549A4" w:rsidRPr="006C531D">
        <w:t>ej</w:t>
      </w:r>
      <w:r w:rsidRPr="006C531D">
        <w:t xml:space="preserve"> detekcie bol eliminačný polčas po dávke 250 mikrogramov významne kratš</w:t>
      </w:r>
      <w:r w:rsidR="005511F4" w:rsidRPr="006C531D">
        <w:t>í</w:t>
      </w:r>
      <w:r w:rsidRPr="006C531D">
        <w:t xml:space="preserve"> (240 minút) než po dávke 1500 mikrogramov. Rýchlosť klírensu bola 917 ml</w:t>
      </w:r>
      <w:r w:rsidR="007157A4" w:rsidRPr="006C531D">
        <w:t>/</w:t>
      </w:r>
      <w:r w:rsidRPr="006C531D">
        <w:t>min. Takmer 80% podanej dávky sa eliminoval</w:t>
      </w:r>
      <w:r w:rsidR="009549A4" w:rsidRPr="006C531D">
        <w:t>o</w:t>
      </w:r>
      <w:r w:rsidRPr="006C531D">
        <w:t xml:space="preserve"> počas 24 hodín, pričom </w:t>
      </w:r>
      <w:r w:rsidR="00F136E1" w:rsidRPr="006C531D">
        <w:t xml:space="preserve">iba </w:t>
      </w:r>
      <w:r w:rsidR="00F136E1">
        <w:t xml:space="preserve">2% </w:t>
      </w:r>
      <w:r w:rsidRPr="006C531D">
        <w:t>vo forme nezmenen</w:t>
      </w:r>
      <w:r w:rsidR="00F136E1">
        <w:t>ého liečiva.</w:t>
      </w:r>
    </w:p>
    <w:p w14:paraId="4C7B6F11" w14:textId="244A4CC0" w:rsidR="009549A4" w:rsidRPr="006C531D" w:rsidRDefault="009549A4">
      <w:pPr>
        <w:pStyle w:val="Styl2-2"/>
      </w:pPr>
      <w:r w:rsidRPr="006C531D">
        <w:t xml:space="preserve">Osobitné </w:t>
      </w:r>
      <w:r w:rsidR="005511F4" w:rsidRPr="006C531D">
        <w:t>skupiny pacientov</w:t>
      </w:r>
    </w:p>
    <w:p w14:paraId="3660B57E" w14:textId="77777777" w:rsidR="009549A4" w:rsidRPr="006C531D" w:rsidRDefault="009549A4">
      <w:pPr>
        <w:pStyle w:val="Styl4"/>
      </w:pPr>
      <w:r w:rsidRPr="006C531D">
        <w:t>Porucha funkcie pečene</w:t>
      </w:r>
    </w:p>
    <w:p w14:paraId="371F8634" w14:textId="4DC65314" w:rsidR="009549A4" w:rsidRPr="006C531D" w:rsidRDefault="009549A4">
      <w:pPr>
        <w:pStyle w:val="Normlndobloku"/>
      </w:pPr>
      <w:r w:rsidRPr="006C531D">
        <w:t>Distribučný objem je mierne zvýšený</w:t>
      </w:r>
      <w:r w:rsidR="00003A11" w:rsidRPr="006C531D">
        <w:t xml:space="preserve"> a </w:t>
      </w:r>
      <w:r w:rsidRPr="006C531D">
        <w:t>celkový klírens je mierne nižší u pacientov</w:t>
      </w:r>
      <w:r w:rsidR="00003A11" w:rsidRPr="006C531D">
        <w:t xml:space="preserve"> s </w:t>
      </w:r>
      <w:r w:rsidRPr="006C531D">
        <w:t>cirhózou ako u kontrolných pacientov. To vedie</w:t>
      </w:r>
      <w:r w:rsidR="00003A11" w:rsidRPr="006C531D">
        <w:t xml:space="preserve"> k </w:t>
      </w:r>
      <w:r w:rsidRPr="006C531D">
        <w:t>významnému predĺženiu polčasu rozpadu približne o 30%, čo často vyžaduje dlhšie pooperačné sledovanie (pozri časť 4.4).</w:t>
      </w:r>
    </w:p>
    <w:p w14:paraId="4F6C5427" w14:textId="77777777" w:rsidR="009549A4" w:rsidRPr="006C531D" w:rsidRDefault="009549A4">
      <w:pPr>
        <w:pStyle w:val="Styl4"/>
      </w:pPr>
      <w:r w:rsidRPr="006C531D">
        <w:t>Porucha funkcie obličiek</w:t>
      </w:r>
    </w:p>
    <w:p w14:paraId="09E53F27" w14:textId="12AC0C5A" w:rsidR="009549A4" w:rsidRPr="006C531D" w:rsidRDefault="009549A4">
      <w:pPr>
        <w:pStyle w:val="Normlndobloku"/>
      </w:pPr>
      <w:r w:rsidRPr="006C531D">
        <w:t>Distribučný objem</w:t>
      </w:r>
      <w:r w:rsidR="00003A11" w:rsidRPr="006C531D">
        <w:t xml:space="preserve"> v </w:t>
      </w:r>
      <w:r w:rsidRPr="006C531D">
        <w:t>rovnovážnom stave, celkový klírens</w:t>
      </w:r>
      <w:r w:rsidR="00003A11" w:rsidRPr="006C531D">
        <w:t xml:space="preserve"> a </w:t>
      </w:r>
      <w:r w:rsidRPr="006C531D">
        <w:t>terminálny polčas eliminácie u pacientov na dialýze alebo podstupujúci</w:t>
      </w:r>
      <w:r w:rsidR="002B3FEE" w:rsidRPr="006C531D">
        <w:t>ch</w:t>
      </w:r>
      <w:r w:rsidRPr="006C531D">
        <w:t xml:space="preserve"> transplantáciu obličiek sa nelíšia od zdravých kontrol. Voľná frakcia sufentanilu</w:t>
      </w:r>
      <w:r w:rsidR="00003A11" w:rsidRPr="006C531D">
        <w:t xml:space="preserve"> v </w:t>
      </w:r>
      <w:r w:rsidRPr="006C531D">
        <w:t xml:space="preserve">tejto </w:t>
      </w:r>
      <w:r w:rsidR="002B3FEE" w:rsidRPr="006C531D">
        <w:t>skupine</w:t>
      </w:r>
      <w:r w:rsidRPr="006C531D">
        <w:t xml:space="preserve"> sa nelíši od zdravých pacientov.</w:t>
      </w:r>
    </w:p>
    <w:p w14:paraId="3AB46C9F" w14:textId="394C01A8" w:rsidR="009549A4" w:rsidRPr="006C531D" w:rsidRDefault="00F40983">
      <w:pPr>
        <w:pStyle w:val="Normlndobloku"/>
        <w:rPr>
          <w:rStyle w:val="Bacil"/>
        </w:rPr>
      </w:pPr>
      <w:r w:rsidRPr="006C531D">
        <w:rPr>
          <w:rStyle w:val="Bacil"/>
        </w:rPr>
        <w:t>Pediatrická populácia</w:t>
      </w:r>
    </w:p>
    <w:p w14:paraId="36B7E51B" w14:textId="77777777" w:rsidR="009549A4" w:rsidRPr="006C531D" w:rsidRDefault="009549A4">
      <w:pPr>
        <w:pStyle w:val="Normlndobloku"/>
      </w:pPr>
      <w:r w:rsidRPr="006C531D">
        <w:t>Farmakokinetické informácie u detí sú obmedzené.</w:t>
      </w:r>
    </w:p>
    <w:p w14:paraId="47DD1260" w14:textId="4BF7826D" w:rsidR="009549A4" w:rsidRPr="006C531D" w:rsidRDefault="00BD49A8">
      <w:pPr>
        <w:pStyle w:val="Styl3"/>
      </w:pPr>
      <w:r w:rsidRPr="006C531D">
        <w:t>I</w:t>
      </w:r>
      <w:r w:rsidR="009549A4" w:rsidRPr="006C531D">
        <w:t>ntravenózne podanie</w:t>
      </w:r>
    </w:p>
    <w:p w14:paraId="0716D75A" w14:textId="7C84363D" w:rsidR="009549A4" w:rsidRPr="006C531D" w:rsidRDefault="009549A4">
      <w:pPr>
        <w:pStyle w:val="Normlndobloku"/>
      </w:pPr>
      <w:r w:rsidRPr="006C531D">
        <w:t>Väzba na plazmatické proteíny je u detí nižšia ako u dospelých</w:t>
      </w:r>
      <w:r w:rsidR="00003A11" w:rsidRPr="006C531D">
        <w:t xml:space="preserve"> a </w:t>
      </w:r>
      <w:r w:rsidRPr="006C531D">
        <w:t>zvyšuje sa</w:t>
      </w:r>
      <w:r w:rsidR="00003A11" w:rsidRPr="006C531D">
        <w:t xml:space="preserve"> s </w:t>
      </w:r>
      <w:r w:rsidRPr="006C531D">
        <w:t>vekom. U novorodencov je sufentanil približne</w:t>
      </w:r>
      <w:r w:rsidR="00003A11" w:rsidRPr="006C531D">
        <w:t xml:space="preserve"> z </w:t>
      </w:r>
      <w:r w:rsidRPr="006C531D">
        <w:t>80,5% viazaný na bielkoviny</w:t>
      </w:r>
      <w:r w:rsidR="00003A11" w:rsidRPr="006C531D">
        <w:t xml:space="preserve"> v </w:t>
      </w:r>
      <w:r w:rsidRPr="006C531D">
        <w:t>porovnaní</w:t>
      </w:r>
      <w:r w:rsidR="00003A11" w:rsidRPr="006C531D">
        <w:t xml:space="preserve"> s </w:t>
      </w:r>
      <w:r w:rsidRPr="006C531D">
        <w:t>88,5% u dojčiat, 91,9% u detí</w:t>
      </w:r>
      <w:r w:rsidR="00003A11" w:rsidRPr="006C531D">
        <w:t xml:space="preserve"> a </w:t>
      </w:r>
      <w:r w:rsidRPr="006C531D">
        <w:t>92,5% u dospelých.</w:t>
      </w:r>
    </w:p>
    <w:p w14:paraId="0CD70C2E" w14:textId="392978A7" w:rsidR="009549A4" w:rsidRPr="006C531D" w:rsidRDefault="009549A4">
      <w:pPr>
        <w:pStyle w:val="Normlndobloku"/>
      </w:pPr>
      <w:r w:rsidRPr="006C531D">
        <w:t>Po podaní intravenóznej dávky bolusu sufentanilu</w:t>
      </w:r>
      <w:r w:rsidR="00003A11" w:rsidRPr="006C531D">
        <w:t xml:space="preserve"> v </w:t>
      </w:r>
      <w:r w:rsidRPr="006C531D">
        <w:t>dávke 10</w:t>
      </w:r>
      <w:r w:rsidR="002B3FEE" w:rsidRPr="006C531D">
        <w:t> – </w:t>
      </w:r>
      <w:r w:rsidRPr="006C531D">
        <w:t>15 mikrogramov</w:t>
      </w:r>
      <w:r w:rsidR="007157A4" w:rsidRPr="006C531D">
        <w:t>/</w:t>
      </w:r>
      <w:r w:rsidRPr="006C531D">
        <w:t>kg u detských pacientov podstupujúcich kardiologickú operácii môže byť farmakokinetika sufentanilu popísaná triexponenciálnou krivkou ako u dospelých. Bolo preukázané, že klírens normalizovaný na telesnú hmotnosť bol u dojčiat</w:t>
      </w:r>
      <w:r w:rsidR="00003A11" w:rsidRPr="006C531D">
        <w:t xml:space="preserve"> a </w:t>
      </w:r>
      <w:r w:rsidRPr="006C531D">
        <w:t>detí vyšš</w:t>
      </w:r>
      <w:r w:rsidR="002B3FEE" w:rsidRPr="006C531D">
        <w:t>í</w:t>
      </w:r>
      <w:r w:rsidR="00003A11" w:rsidRPr="006C531D">
        <w:t xml:space="preserve"> v </w:t>
      </w:r>
      <w:r w:rsidRPr="006C531D">
        <w:t>porovnaní</w:t>
      </w:r>
      <w:r w:rsidR="00003A11" w:rsidRPr="006C531D">
        <w:t xml:space="preserve"> s </w:t>
      </w:r>
      <w:r w:rsidRPr="006C531D">
        <w:t>dospievajúcimi, ktorých klírens bol porovnateľný</w:t>
      </w:r>
      <w:r w:rsidR="00003A11" w:rsidRPr="006C531D">
        <w:t xml:space="preserve"> s </w:t>
      </w:r>
      <w:r w:rsidRPr="006C531D">
        <w:t>hodnotami u dospelých. U novorodencov bol klírens významne znížený</w:t>
      </w:r>
      <w:r w:rsidR="00003A11" w:rsidRPr="006C531D">
        <w:t xml:space="preserve"> a </w:t>
      </w:r>
      <w:r w:rsidRPr="006C531D">
        <w:t>vykazoval vysokú variabilitu (rozmedzie 1,2 až 8,8 ml</w:t>
      </w:r>
      <w:r w:rsidR="007157A4" w:rsidRPr="006C531D">
        <w:t>/</w:t>
      </w:r>
      <w:r w:rsidRPr="006C531D">
        <w:t>min</w:t>
      </w:r>
      <w:r w:rsidR="007157A4" w:rsidRPr="006C531D">
        <w:t>/</w:t>
      </w:r>
      <w:r w:rsidRPr="006C531D">
        <w:t>kg</w:t>
      </w:r>
      <w:r w:rsidR="00003A11" w:rsidRPr="006C531D">
        <w:t xml:space="preserve"> a </w:t>
      </w:r>
      <w:r w:rsidRPr="006C531D">
        <w:t>jednu odľahlú hodnotu 21,4 ml</w:t>
      </w:r>
      <w:r w:rsidR="007157A4" w:rsidRPr="006C531D">
        <w:t>/</w:t>
      </w:r>
      <w:r w:rsidRPr="006C531D">
        <w:t>min</w:t>
      </w:r>
      <w:r w:rsidR="007157A4" w:rsidRPr="006C531D">
        <w:t>/</w:t>
      </w:r>
      <w:r w:rsidRPr="006C531D">
        <w:t xml:space="preserve">kg). Bolo preukázané, že novorodenci majú väčší </w:t>
      </w:r>
      <w:r w:rsidR="00300857">
        <w:t xml:space="preserve">distribučný </w:t>
      </w:r>
      <w:r w:rsidRPr="006C531D">
        <w:t xml:space="preserve">objem </w:t>
      </w:r>
      <w:r w:rsidR="00003A11" w:rsidRPr="006C531D">
        <w:t>v </w:t>
      </w:r>
      <w:r w:rsidRPr="006C531D">
        <w:t>rovnovážnom stave</w:t>
      </w:r>
      <w:r w:rsidR="00003A11" w:rsidRPr="006C531D">
        <w:t xml:space="preserve"> a </w:t>
      </w:r>
      <w:r w:rsidRPr="006C531D">
        <w:t>predĺžený polčas eliminácie. Farmakodynamické rozdiely spôsobené rozdielmi vo farmakokinetických parametroch môžu byť väčšie, ak sa berie do úvahy neviazaná frakcia.</w:t>
      </w:r>
    </w:p>
    <w:p w14:paraId="61DDD860" w14:textId="34B2FB6E" w:rsidR="009549A4" w:rsidRPr="006C531D" w:rsidRDefault="009549A4">
      <w:pPr>
        <w:pStyle w:val="Normlndobloku"/>
      </w:pPr>
      <w:r w:rsidRPr="006C531D">
        <w:t>Tabuľka 2: Priemerné farmakokinetické parametre sufentanilu u detí po podaní sufentanilu 10</w:t>
      </w:r>
      <w:r w:rsidR="002B3FEE" w:rsidRPr="006C531D">
        <w:t> – </w:t>
      </w:r>
      <w:r w:rsidRPr="006C531D">
        <w:t>15 mikrogramov</w:t>
      </w:r>
      <w:r w:rsidR="007157A4" w:rsidRPr="006C531D">
        <w:t>/</w:t>
      </w:r>
      <w:r w:rsidRPr="006C531D">
        <w:t>kg ako jednorazový intravenózny bolus (N = 28).</w:t>
      </w:r>
    </w:p>
    <w:tbl>
      <w:tblPr>
        <w:tblStyle w:val="Mriekatabuky"/>
        <w:tblW w:w="0" w:type="auto"/>
        <w:tblLook w:val="04A0" w:firstRow="1" w:lastRow="0" w:firstColumn="1" w:lastColumn="0" w:noHBand="0" w:noVBand="1"/>
      </w:tblPr>
      <w:tblGrid>
        <w:gridCol w:w="2122"/>
        <w:gridCol w:w="1134"/>
        <w:gridCol w:w="1984"/>
        <w:gridCol w:w="2009"/>
        <w:gridCol w:w="1813"/>
      </w:tblGrid>
      <w:tr w:rsidR="009549A4" w:rsidRPr="006C531D" w14:paraId="10968E5F" w14:textId="77777777" w:rsidTr="007157A4">
        <w:tc>
          <w:tcPr>
            <w:tcW w:w="2122" w:type="dxa"/>
          </w:tcPr>
          <w:p w14:paraId="033591A4" w14:textId="27CFE18F" w:rsidR="009549A4" w:rsidRPr="006C531D" w:rsidRDefault="00BD49A8">
            <w:pPr>
              <w:pStyle w:val="Normlndobloku"/>
              <w:rPr>
                <w:lang w:val="sk-SK"/>
              </w:rPr>
            </w:pPr>
            <w:r w:rsidRPr="006C531D">
              <w:rPr>
                <w:lang w:val="sk-SK"/>
              </w:rPr>
              <w:t>V</w:t>
            </w:r>
            <w:r w:rsidR="009549A4" w:rsidRPr="006C531D">
              <w:rPr>
                <w:lang w:val="sk-SK"/>
              </w:rPr>
              <w:t>eková skupina</w:t>
            </w:r>
          </w:p>
        </w:tc>
        <w:tc>
          <w:tcPr>
            <w:tcW w:w="1134" w:type="dxa"/>
          </w:tcPr>
          <w:p w14:paraId="3920ECB6" w14:textId="77777777" w:rsidR="009549A4" w:rsidRPr="006C531D" w:rsidRDefault="009549A4">
            <w:pPr>
              <w:pStyle w:val="Normlndobloku"/>
              <w:rPr>
                <w:lang w:val="sk-SK"/>
              </w:rPr>
            </w:pPr>
            <w:r w:rsidRPr="006C531D">
              <w:rPr>
                <w:lang w:val="sk-SK"/>
              </w:rPr>
              <w:t>N</w:t>
            </w:r>
          </w:p>
        </w:tc>
        <w:tc>
          <w:tcPr>
            <w:tcW w:w="1984" w:type="dxa"/>
          </w:tcPr>
          <w:p w14:paraId="3F25DB6F" w14:textId="77777777" w:rsidR="009549A4" w:rsidRPr="006C531D" w:rsidRDefault="009549A4">
            <w:pPr>
              <w:pStyle w:val="Normlndobloku"/>
              <w:rPr>
                <w:lang w:val="sk-SK"/>
              </w:rPr>
            </w:pPr>
            <w:r w:rsidRPr="006C531D">
              <w:rPr>
                <w:lang w:val="sk-SK"/>
              </w:rPr>
              <w:t>V</w:t>
            </w:r>
            <w:r w:rsidRPr="006C531D">
              <w:rPr>
                <w:vertAlign w:val="subscript"/>
                <w:lang w:val="sk-SK"/>
              </w:rPr>
              <w:t xml:space="preserve">dss </w:t>
            </w:r>
            <w:r w:rsidRPr="006C531D">
              <w:rPr>
                <w:lang w:val="sk-SK"/>
              </w:rPr>
              <w:t>(l/kg)</w:t>
            </w:r>
          </w:p>
          <w:p w14:paraId="2A600F96" w14:textId="186002F0" w:rsidR="009549A4" w:rsidRPr="006C531D" w:rsidRDefault="009549A4">
            <w:pPr>
              <w:pStyle w:val="Normlndobloku"/>
              <w:rPr>
                <w:lang w:val="sk-SK"/>
              </w:rPr>
            </w:pPr>
            <w:r w:rsidRPr="006C531D">
              <w:rPr>
                <w:lang w:val="sk-SK"/>
              </w:rPr>
              <w:t>Priemer (± SD)</w:t>
            </w:r>
          </w:p>
        </w:tc>
        <w:tc>
          <w:tcPr>
            <w:tcW w:w="2009" w:type="dxa"/>
          </w:tcPr>
          <w:p w14:paraId="4242B44D" w14:textId="77777777" w:rsidR="009549A4" w:rsidRPr="006C531D" w:rsidRDefault="009549A4">
            <w:pPr>
              <w:pStyle w:val="Normlndobloku"/>
              <w:rPr>
                <w:lang w:val="sk-SK"/>
              </w:rPr>
            </w:pPr>
            <w:r w:rsidRPr="006C531D">
              <w:rPr>
                <w:lang w:val="sk-SK"/>
              </w:rPr>
              <w:t>T</w:t>
            </w:r>
            <w:r w:rsidRPr="006C531D">
              <w:rPr>
                <w:vertAlign w:val="subscript"/>
                <w:lang w:val="sk-SK"/>
              </w:rPr>
              <w:t xml:space="preserve">1/2β </w:t>
            </w:r>
            <w:r w:rsidRPr="006C531D">
              <w:rPr>
                <w:lang w:val="sk-SK"/>
              </w:rPr>
              <w:t>(min)</w:t>
            </w:r>
          </w:p>
          <w:p w14:paraId="140BBA67" w14:textId="33F11E27" w:rsidR="009549A4" w:rsidRPr="006C531D" w:rsidRDefault="009549A4">
            <w:pPr>
              <w:pStyle w:val="Normlndobloku"/>
              <w:rPr>
                <w:lang w:val="sk-SK"/>
              </w:rPr>
            </w:pPr>
            <w:r w:rsidRPr="006C531D">
              <w:rPr>
                <w:lang w:val="sk-SK"/>
              </w:rPr>
              <w:t>Priemer (± SD)</w:t>
            </w:r>
          </w:p>
        </w:tc>
        <w:tc>
          <w:tcPr>
            <w:tcW w:w="1813" w:type="dxa"/>
          </w:tcPr>
          <w:p w14:paraId="20FABF63" w14:textId="77777777" w:rsidR="009549A4" w:rsidRPr="006C531D" w:rsidRDefault="009549A4">
            <w:pPr>
              <w:pStyle w:val="Normlndobloku"/>
              <w:rPr>
                <w:lang w:val="sk-SK"/>
              </w:rPr>
            </w:pPr>
            <w:r w:rsidRPr="006C531D">
              <w:rPr>
                <w:lang w:val="sk-SK"/>
              </w:rPr>
              <w:t>Cl (ml/kg/min)</w:t>
            </w:r>
          </w:p>
          <w:p w14:paraId="4E8CF4C2" w14:textId="6172FC29" w:rsidR="009549A4" w:rsidRPr="006C531D" w:rsidRDefault="009549A4">
            <w:pPr>
              <w:pStyle w:val="Normlndobloku"/>
              <w:rPr>
                <w:lang w:val="sk-SK"/>
              </w:rPr>
            </w:pPr>
            <w:r w:rsidRPr="006C531D">
              <w:rPr>
                <w:lang w:val="sk-SK"/>
              </w:rPr>
              <w:t>Priemer (± SD)</w:t>
            </w:r>
          </w:p>
        </w:tc>
      </w:tr>
      <w:tr w:rsidR="009549A4" w:rsidRPr="006C531D" w14:paraId="290EBC58" w14:textId="77777777" w:rsidTr="007157A4">
        <w:tc>
          <w:tcPr>
            <w:tcW w:w="2122" w:type="dxa"/>
          </w:tcPr>
          <w:p w14:paraId="7AE08875" w14:textId="6C99CA7C" w:rsidR="009549A4" w:rsidRPr="006C531D" w:rsidRDefault="009549A4">
            <w:pPr>
              <w:pStyle w:val="Normlndobloku"/>
              <w:rPr>
                <w:lang w:val="sk-SK"/>
              </w:rPr>
            </w:pPr>
            <w:r w:rsidRPr="006C531D">
              <w:rPr>
                <w:lang w:val="sk-SK"/>
              </w:rPr>
              <w:t>Novorodenci (0 až 30 dní)</w:t>
            </w:r>
          </w:p>
        </w:tc>
        <w:tc>
          <w:tcPr>
            <w:tcW w:w="1134" w:type="dxa"/>
          </w:tcPr>
          <w:p w14:paraId="12DFE851" w14:textId="77777777" w:rsidR="009549A4" w:rsidRPr="006C531D" w:rsidRDefault="009549A4">
            <w:pPr>
              <w:pStyle w:val="Normlndobloku"/>
              <w:rPr>
                <w:lang w:val="sk-SK"/>
              </w:rPr>
            </w:pPr>
            <w:r w:rsidRPr="006C531D">
              <w:rPr>
                <w:lang w:val="sk-SK"/>
              </w:rPr>
              <w:t>9</w:t>
            </w:r>
          </w:p>
        </w:tc>
        <w:tc>
          <w:tcPr>
            <w:tcW w:w="1984" w:type="dxa"/>
          </w:tcPr>
          <w:p w14:paraId="32E02FFC" w14:textId="77777777" w:rsidR="009549A4" w:rsidRPr="006C531D" w:rsidRDefault="009549A4">
            <w:pPr>
              <w:pStyle w:val="Normlndobloku"/>
              <w:rPr>
                <w:lang w:val="sk-SK"/>
              </w:rPr>
            </w:pPr>
            <w:r w:rsidRPr="006C531D">
              <w:rPr>
                <w:lang w:val="sk-SK"/>
              </w:rPr>
              <w:t>4,15 (1,01)</w:t>
            </w:r>
          </w:p>
        </w:tc>
        <w:tc>
          <w:tcPr>
            <w:tcW w:w="2009" w:type="dxa"/>
          </w:tcPr>
          <w:p w14:paraId="5D9DB81A" w14:textId="77777777" w:rsidR="009549A4" w:rsidRPr="006C531D" w:rsidRDefault="009549A4">
            <w:pPr>
              <w:pStyle w:val="Normlndobloku"/>
              <w:rPr>
                <w:lang w:val="sk-SK"/>
              </w:rPr>
            </w:pPr>
            <w:r w:rsidRPr="006C531D">
              <w:rPr>
                <w:lang w:val="sk-SK"/>
              </w:rPr>
              <w:t>737 (346)</w:t>
            </w:r>
          </w:p>
        </w:tc>
        <w:tc>
          <w:tcPr>
            <w:tcW w:w="1813" w:type="dxa"/>
          </w:tcPr>
          <w:p w14:paraId="06ACAA52" w14:textId="77777777" w:rsidR="009549A4" w:rsidRPr="006C531D" w:rsidRDefault="009549A4">
            <w:pPr>
              <w:pStyle w:val="Normlndobloku"/>
              <w:rPr>
                <w:lang w:val="sk-SK"/>
              </w:rPr>
            </w:pPr>
            <w:r w:rsidRPr="006C531D">
              <w:rPr>
                <w:lang w:val="sk-SK"/>
              </w:rPr>
              <w:t>6,7 (6,1)</w:t>
            </w:r>
          </w:p>
        </w:tc>
      </w:tr>
      <w:tr w:rsidR="009549A4" w:rsidRPr="006C531D" w14:paraId="77D5AFEF" w14:textId="77777777" w:rsidTr="007157A4">
        <w:tc>
          <w:tcPr>
            <w:tcW w:w="2122" w:type="dxa"/>
          </w:tcPr>
          <w:p w14:paraId="355C4A6B" w14:textId="26451567" w:rsidR="009549A4" w:rsidRPr="006C531D" w:rsidRDefault="009549A4">
            <w:pPr>
              <w:pStyle w:val="Normlndobloku"/>
              <w:rPr>
                <w:lang w:val="sk-SK"/>
              </w:rPr>
            </w:pPr>
            <w:r w:rsidRPr="006C531D">
              <w:rPr>
                <w:lang w:val="sk-SK"/>
              </w:rPr>
              <w:t>Dojčatá (1 až 23 mesiacov)</w:t>
            </w:r>
          </w:p>
        </w:tc>
        <w:tc>
          <w:tcPr>
            <w:tcW w:w="1134" w:type="dxa"/>
          </w:tcPr>
          <w:p w14:paraId="309FCB88" w14:textId="77777777" w:rsidR="009549A4" w:rsidRPr="006C531D" w:rsidRDefault="009549A4">
            <w:pPr>
              <w:pStyle w:val="Normlndobloku"/>
              <w:rPr>
                <w:lang w:val="sk-SK"/>
              </w:rPr>
            </w:pPr>
            <w:r w:rsidRPr="006C531D">
              <w:rPr>
                <w:lang w:val="sk-SK"/>
              </w:rPr>
              <w:t>7</w:t>
            </w:r>
          </w:p>
        </w:tc>
        <w:tc>
          <w:tcPr>
            <w:tcW w:w="1984" w:type="dxa"/>
          </w:tcPr>
          <w:p w14:paraId="7D4FE004" w14:textId="77777777" w:rsidR="009549A4" w:rsidRPr="006C531D" w:rsidRDefault="009549A4">
            <w:pPr>
              <w:pStyle w:val="Normlndobloku"/>
              <w:rPr>
                <w:lang w:val="sk-SK"/>
              </w:rPr>
            </w:pPr>
            <w:r w:rsidRPr="006C531D">
              <w:rPr>
                <w:lang w:val="sk-SK"/>
              </w:rPr>
              <w:t>3,09 (0,95)</w:t>
            </w:r>
          </w:p>
        </w:tc>
        <w:tc>
          <w:tcPr>
            <w:tcW w:w="2009" w:type="dxa"/>
          </w:tcPr>
          <w:p w14:paraId="7C5201D2" w14:textId="77777777" w:rsidR="009549A4" w:rsidRPr="006C531D" w:rsidRDefault="009549A4">
            <w:pPr>
              <w:pStyle w:val="Normlndobloku"/>
              <w:rPr>
                <w:lang w:val="sk-SK"/>
              </w:rPr>
            </w:pPr>
            <w:r w:rsidRPr="006C531D">
              <w:rPr>
                <w:lang w:val="sk-SK"/>
              </w:rPr>
              <w:t>214 (41)</w:t>
            </w:r>
          </w:p>
        </w:tc>
        <w:tc>
          <w:tcPr>
            <w:tcW w:w="1813" w:type="dxa"/>
          </w:tcPr>
          <w:p w14:paraId="711CC59B" w14:textId="77777777" w:rsidR="009549A4" w:rsidRPr="006C531D" w:rsidRDefault="009549A4">
            <w:pPr>
              <w:pStyle w:val="Normlndobloku"/>
              <w:rPr>
                <w:lang w:val="sk-SK"/>
              </w:rPr>
            </w:pPr>
            <w:r w:rsidRPr="006C531D">
              <w:rPr>
                <w:lang w:val="sk-SK"/>
              </w:rPr>
              <w:t>18,1 (2,8)</w:t>
            </w:r>
          </w:p>
        </w:tc>
      </w:tr>
      <w:tr w:rsidR="009549A4" w:rsidRPr="006C531D" w14:paraId="1550397A" w14:textId="77777777" w:rsidTr="007157A4">
        <w:tc>
          <w:tcPr>
            <w:tcW w:w="2122" w:type="dxa"/>
          </w:tcPr>
          <w:p w14:paraId="5BCB61ED" w14:textId="5A5FCC48" w:rsidR="009549A4" w:rsidRPr="006C531D" w:rsidRDefault="009549A4">
            <w:pPr>
              <w:pStyle w:val="Normlndobloku"/>
              <w:rPr>
                <w:lang w:val="sk-SK"/>
              </w:rPr>
            </w:pPr>
            <w:r w:rsidRPr="006C531D">
              <w:rPr>
                <w:lang w:val="sk-SK"/>
              </w:rPr>
              <w:t>Deti (3 až 11 rokov)</w:t>
            </w:r>
          </w:p>
        </w:tc>
        <w:tc>
          <w:tcPr>
            <w:tcW w:w="1134" w:type="dxa"/>
          </w:tcPr>
          <w:p w14:paraId="2478B5EA" w14:textId="77777777" w:rsidR="009549A4" w:rsidRPr="006C531D" w:rsidRDefault="009549A4">
            <w:pPr>
              <w:pStyle w:val="Normlndobloku"/>
              <w:rPr>
                <w:lang w:val="sk-SK"/>
              </w:rPr>
            </w:pPr>
            <w:r w:rsidRPr="006C531D">
              <w:rPr>
                <w:lang w:val="sk-SK"/>
              </w:rPr>
              <w:t>7</w:t>
            </w:r>
          </w:p>
        </w:tc>
        <w:tc>
          <w:tcPr>
            <w:tcW w:w="1984" w:type="dxa"/>
          </w:tcPr>
          <w:p w14:paraId="45E78C4D" w14:textId="77777777" w:rsidR="009549A4" w:rsidRPr="006C531D" w:rsidRDefault="009549A4">
            <w:pPr>
              <w:pStyle w:val="Normlndobloku"/>
              <w:rPr>
                <w:lang w:val="sk-SK"/>
              </w:rPr>
            </w:pPr>
            <w:r w:rsidRPr="006C531D">
              <w:rPr>
                <w:lang w:val="sk-SK"/>
              </w:rPr>
              <w:t>2,73 (0,50)</w:t>
            </w:r>
          </w:p>
        </w:tc>
        <w:tc>
          <w:tcPr>
            <w:tcW w:w="2009" w:type="dxa"/>
          </w:tcPr>
          <w:p w14:paraId="5EFE4BF3" w14:textId="77777777" w:rsidR="009549A4" w:rsidRPr="006C531D" w:rsidRDefault="009549A4">
            <w:pPr>
              <w:pStyle w:val="Normlndobloku"/>
              <w:rPr>
                <w:lang w:val="sk-SK"/>
              </w:rPr>
            </w:pPr>
            <w:r w:rsidRPr="006C531D">
              <w:rPr>
                <w:lang w:val="sk-SK"/>
              </w:rPr>
              <w:t>140 (30)</w:t>
            </w:r>
          </w:p>
        </w:tc>
        <w:tc>
          <w:tcPr>
            <w:tcW w:w="1813" w:type="dxa"/>
          </w:tcPr>
          <w:p w14:paraId="5CB48B48" w14:textId="77777777" w:rsidR="009549A4" w:rsidRPr="006C531D" w:rsidRDefault="009549A4">
            <w:pPr>
              <w:pStyle w:val="Normlndobloku"/>
              <w:rPr>
                <w:lang w:val="sk-SK"/>
              </w:rPr>
            </w:pPr>
            <w:r w:rsidRPr="006C531D">
              <w:rPr>
                <w:lang w:val="sk-SK"/>
              </w:rPr>
              <w:t>16,9 (3,2)</w:t>
            </w:r>
          </w:p>
        </w:tc>
      </w:tr>
      <w:tr w:rsidR="009549A4" w:rsidRPr="006C531D" w14:paraId="7BE1D17B" w14:textId="77777777" w:rsidTr="007157A4">
        <w:tc>
          <w:tcPr>
            <w:tcW w:w="2122" w:type="dxa"/>
          </w:tcPr>
          <w:p w14:paraId="41B9BB83" w14:textId="5BE1DC5D" w:rsidR="009549A4" w:rsidRPr="006C531D" w:rsidRDefault="009549A4">
            <w:pPr>
              <w:pStyle w:val="Normlndobloku"/>
              <w:rPr>
                <w:lang w:val="sk-SK"/>
              </w:rPr>
            </w:pPr>
            <w:r w:rsidRPr="006C531D">
              <w:rPr>
                <w:lang w:val="sk-SK"/>
              </w:rPr>
              <w:t>Dospievajúci (13 až 18 rokov)</w:t>
            </w:r>
          </w:p>
        </w:tc>
        <w:tc>
          <w:tcPr>
            <w:tcW w:w="1134" w:type="dxa"/>
          </w:tcPr>
          <w:p w14:paraId="0D5B614B" w14:textId="77777777" w:rsidR="009549A4" w:rsidRPr="006C531D" w:rsidRDefault="009549A4">
            <w:pPr>
              <w:pStyle w:val="Normlndobloku"/>
              <w:rPr>
                <w:lang w:val="sk-SK"/>
              </w:rPr>
            </w:pPr>
            <w:r w:rsidRPr="006C531D">
              <w:rPr>
                <w:lang w:val="sk-SK"/>
              </w:rPr>
              <w:t>5</w:t>
            </w:r>
          </w:p>
        </w:tc>
        <w:tc>
          <w:tcPr>
            <w:tcW w:w="1984" w:type="dxa"/>
          </w:tcPr>
          <w:p w14:paraId="05B01F6A" w14:textId="77777777" w:rsidR="009549A4" w:rsidRPr="006C531D" w:rsidRDefault="009549A4">
            <w:pPr>
              <w:pStyle w:val="Normlndobloku"/>
              <w:rPr>
                <w:lang w:val="sk-SK"/>
              </w:rPr>
            </w:pPr>
            <w:r w:rsidRPr="006C531D">
              <w:rPr>
                <w:lang w:val="sk-SK"/>
              </w:rPr>
              <w:t>2,75 (0,53)</w:t>
            </w:r>
          </w:p>
        </w:tc>
        <w:tc>
          <w:tcPr>
            <w:tcW w:w="2009" w:type="dxa"/>
          </w:tcPr>
          <w:p w14:paraId="50B1DC94" w14:textId="77777777" w:rsidR="009549A4" w:rsidRPr="006C531D" w:rsidRDefault="009549A4">
            <w:pPr>
              <w:pStyle w:val="Normlndobloku"/>
              <w:rPr>
                <w:lang w:val="sk-SK"/>
              </w:rPr>
            </w:pPr>
            <w:r w:rsidRPr="006C531D">
              <w:rPr>
                <w:lang w:val="sk-SK"/>
              </w:rPr>
              <w:t>209 (23)</w:t>
            </w:r>
          </w:p>
        </w:tc>
        <w:tc>
          <w:tcPr>
            <w:tcW w:w="1813" w:type="dxa"/>
          </w:tcPr>
          <w:p w14:paraId="52680703" w14:textId="77777777" w:rsidR="009549A4" w:rsidRPr="006C531D" w:rsidRDefault="009549A4">
            <w:pPr>
              <w:pStyle w:val="Normlndobloku"/>
              <w:rPr>
                <w:lang w:val="sk-SK"/>
              </w:rPr>
            </w:pPr>
            <w:r w:rsidRPr="006C531D">
              <w:rPr>
                <w:lang w:val="sk-SK"/>
              </w:rPr>
              <w:t>13,1 (3,6)</w:t>
            </w:r>
          </w:p>
        </w:tc>
      </w:tr>
    </w:tbl>
    <w:p w14:paraId="74A79808" w14:textId="445910FF" w:rsidR="009549A4" w:rsidRPr="006C531D" w:rsidRDefault="009549A4">
      <w:pPr>
        <w:pStyle w:val="Normlndobloku"/>
      </w:pPr>
    </w:p>
    <w:p w14:paraId="712F38A8" w14:textId="07066D6C" w:rsidR="00305017" w:rsidRPr="006C531D" w:rsidRDefault="00305017">
      <w:pPr>
        <w:pStyle w:val="Normlndobloku"/>
      </w:pPr>
      <w:r w:rsidRPr="006C531D">
        <w:lastRenderedPageBreak/>
        <w:t xml:space="preserve">Cl = klírens, </w:t>
      </w:r>
      <w:r w:rsidR="00300857">
        <w:t>uprave</w:t>
      </w:r>
      <w:r w:rsidRPr="006C531D">
        <w:t>ný na telesnú hmotnosť; N = počet pacientov zahrnutých do analýzy; SD = smerodajná odchýlka; T1</w:t>
      </w:r>
      <w:r w:rsidR="007157A4" w:rsidRPr="006C531D">
        <w:t>/</w:t>
      </w:r>
      <w:r w:rsidRPr="006C531D">
        <w:t>2β = eliminačný polčas; Vdss = distribučný objem</w:t>
      </w:r>
      <w:r w:rsidR="00003A11" w:rsidRPr="006C531D">
        <w:t xml:space="preserve"> v </w:t>
      </w:r>
      <w:r w:rsidRPr="006C531D">
        <w:t xml:space="preserve">rovnovážnom stave. Uvedené vekové rozmedzie je </w:t>
      </w:r>
      <w:r w:rsidR="00300857">
        <w:t xml:space="preserve">u </w:t>
      </w:r>
      <w:r w:rsidRPr="006C531D">
        <w:t>sledovaných detí.</w:t>
      </w:r>
    </w:p>
    <w:p w14:paraId="3B9D7294" w14:textId="43CA86B2" w:rsidR="00305017" w:rsidRPr="006C531D" w:rsidRDefault="007157A4">
      <w:pPr>
        <w:pStyle w:val="Styl3"/>
      </w:pPr>
      <w:r w:rsidRPr="006C531D">
        <w:t>E</w:t>
      </w:r>
      <w:r w:rsidR="00305017" w:rsidRPr="006C531D">
        <w:t>piduráln</w:t>
      </w:r>
      <w:r w:rsidRPr="006C531D">
        <w:t>e</w:t>
      </w:r>
      <w:r w:rsidR="00305017" w:rsidRPr="006C531D">
        <w:t xml:space="preserve"> podanie</w:t>
      </w:r>
    </w:p>
    <w:p w14:paraId="224160D3" w14:textId="799235AA" w:rsidR="00305017" w:rsidRPr="006C531D" w:rsidRDefault="00305017">
      <w:pPr>
        <w:pStyle w:val="Normlndobloku"/>
      </w:pPr>
      <w:r w:rsidRPr="006C531D">
        <w:t>Po epidurálnom podaní 0,75 mikrogramov</w:t>
      </w:r>
      <w:r w:rsidR="007157A4" w:rsidRPr="006C531D">
        <w:t>/</w:t>
      </w:r>
      <w:r w:rsidRPr="006C531D">
        <w:t>kg sufentanilu u 15 detí vo veku od 4 až do 12 rokov boli plazmatické hladiny 30, 60, 120</w:t>
      </w:r>
      <w:r w:rsidR="00003A11" w:rsidRPr="006C531D">
        <w:t xml:space="preserve"> a </w:t>
      </w:r>
      <w:r w:rsidRPr="006C531D">
        <w:t>240 minút po injekcii</w:t>
      </w:r>
      <w:r w:rsidR="00003A11" w:rsidRPr="006C531D">
        <w:t xml:space="preserve"> v </w:t>
      </w:r>
      <w:r w:rsidRPr="006C531D">
        <w:t>rozmedzí od 0,08 ± 0,01 do 0,10 + 0</w:t>
      </w:r>
      <w:r w:rsidR="002B3FEE" w:rsidRPr="006C531D">
        <w:t xml:space="preserve">,01 </w:t>
      </w:r>
      <w:r w:rsidRPr="006C531D">
        <w:t>nanogramov</w:t>
      </w:r>
      <w:r w:rsidR="007157A4" w:rsidRPr="006C531D">
        <w:t>/</w:t>
      </w:r>
      <w:r w:rsidRPr="006C531D">
        <w:t>ml.</w:t>
      </w:r>
    </w:p>
    <w:p w14:paraId="27EDED11" w14:textId="235C7C39" w:rsidR="00305017" w:rsidRPr="006C531D" w:rsidRDefault="00305017">
      <w:pPr>
        <w:pStyle w:val="Normlndobloku"/>
      </w:pPr>
      <w:r w:rsidRPr="006C531D">
        <w:t>U 6 detí vo veku 5 až 12 rokov, ktorým bola podaná dávka 0,6 mikrogramov</w:t>
      </w:r>
      <w:r w:rsidR="007157A4" w:rsidRPr="006C531D">
        <w:t>/</w:t>
      </w:r>
      <w:r w:rsidRPr="006C531D">
        <w:t>kg sufentanilu</w:t>
      </w:r>
      <w:r w:rsidR="00C02FA2">
        <w:t xml:space="preserve"> bolusovou injekciou</w:t>
      </w:r>
      <w:r w:rsidRPr="006C531D">
        <w:t xml:space="preserve"> nasledovaná nepretržitou epidurálnou infúziou obsahujúcou 0,08 mikrogramov</w:t>
      </w:r>
      <w:r w:rsidR="007157A4" w:rsidRPr="006C531D">
        <w:t>/</w:t>
      </w:r>
      <w:r w:rsidRPr="006C531D">
        <w:t>kg</w:t>
      </w:r>
      <w:r w:rsidR="007157A4" w:rsidRPr="006C531D">
        <w:t>/</w:t>
      </w:r>
      <w:r w:rsidRPr="006C531D">
        <w:t>hodinu sufentanilu</w:t>
      </w:r>
      <w:r w:rsidR="00003A11" w:rsidRPr="006C531D">
        <w:t xml:space="preserve"> a </w:t>
      </w:r>
      <w:r w:rsidRPr="006C531D">
        <w:t>0,2 mg</w:t>
      </w:r>
      <w:r w:rsidR="007157A4" w:rsidRPr="006C531D">
        <w:t>/</w:t>
      </w:r>
      <w:r w:rsidRPr="006C531D">
        <w:t>kg</w:t>
      </w:r>
      <w:r w:rsidR="007157A4" w:rsidRPr="006C531D">
        <w:t>/</w:t>
      </w:r>
      <w:r w:rsidRPr="006C531D">
        <w:t>h bupivakaínu počas 48 hodín, boli dosiahnuté maximálne koncentrácie približne 20 min po injekcii bolusu</w:t>
      </w:r>
      <w:r w:rsidR="00003A11" w:rsidRPr="006C531D">
        <w:t xml:space="preserve"> a</w:t>
      </w:r>
      <w:r w:rsidR="00C02FA2">
        <w:t> boli v rozmedzí od nemerateľných</w:t>
      </w:r>
      <w:r w:rsidRPr="006C531D">
        <w:t xml:space="preserve"> (&lt;0,02 n</w:t>
      </w:r>
      <w:r w:rsidR="00C02FA2">
        <w:t>anogramov</w:t>
      </w:r>
      <w:r w:rsidR="007157A4" w:rsidRPr="006C531D">
        <w:t>/</w:t>
      </w:r>
      <w:r w:rsidRPr="006C531D">
        <w:t>ml) až do 0,074 n</w:t>
      </w:r>
      <w:r w:rsidR="00C02FA2">
        <w:t>ano</w:t>
      </w:r>
      <w:r w:rsidRPr="006C531D">
        <w:t>g</w:t>
      </w:r>
      <w:r w:rsidR="00C02FA2">
        <w:t>ramov</w:t>
      </w:r>
      <w:r w:rsidR="007157A4" w:rsidRPr="006C531D">
        <w:t>/</w:t>
      </w:r>
      <w:r w:rsidRPr="006C531D">
        <w:t>ml.</w:t>
      </w:r>
    </w:p>
    <w:p w14:paraId="596FCE5B" w14:textId="3A55BDCB" w:rsidR="00EB51D4" w:rsidRPr="006C531D" w:rsidRDefault="00EB51D4" w:rsidP="001D4259">
      <w:pPr>
        <w:pStyle w:val="Styl2"/>
      </w:pPr>
      <w:r w:rsidRPr="006C531D">
        <w:t>Predklinické údaje o bezpečnosti</w:t>
      </w:r>
    </w:p>
    <w:p w14:paraId="5523C233" w14:textId="5AE88EAF" w:rsidR="006C531D" w:rsidRDefault="009549A4">
      <w:pPr>
        <w:pStyle w:val="Normlndobloku"/>
      </w:pPr>
      <w:r w:rsidRPr="006C531D">
        <w:t>Žiadne</w:t>
      </w:r>
      <w:r w:rsidR="00C02FA2">
        <w:t>.</w:t>
      </w:r>
    </w:p>
    <w:p w14:paraId="14F15B17" w14:textId="392283A8" w:rsidR="00EB51D4" w:rsidRPr="006C531D" w:rsidRDefault="00EB51D4">
      <w:pPr>
        <w:pStyle w:val="Styl1"/>
      </w:pPr>
      <w:r w:rsidRPr="006C531D">
        <w:t>FARMACEUTICKÉ INFORMÁCIE</w:t>
      </w:r>
    </w:p>
    <w:p w14:paraId="0A40452B" w14:textId="60C437EE" w:rsidR="00EB51D4" w:rsidRPr="006C531D" w:rsidRDefault="00EB51D4" w:rsidP="001D4259">
      <w:pPr>
        <w:pStyle w:val="Styl2"/>
      </w:pPr>
      <w:r w:rsidRPr="006C531D">
        <w:t>Zoznam pomocných látok</w:t>
      </w:r>
    </w:p>
    <w:p w14:paraId="74C42C00" w14:textId="77777777" w:rsidR="00305017" w:rsidRPr="006C531D" w:rsidRDefault="00305017">
      <w:pPr>
        <w:pStyle w:val="Normlndobloku"/>
      </w:pPr>
      <w:r w:rsidRPr="006C531D">
        <w:t>Chlorid sodný</w:t>
      </w:r>
    </w:p>
    <w:p w14:paraId="24D8FEFA" w14:textId="2EB05C44" w:rsidR="00305017" w:rsidRPr="006C531D" w:rsidRDefault="00305017">
      <w:pPr>
        <w:pStyle w:val="Normlndobloku"/>
      </w:pPr>
      <w:r w:rsidRPr="006C531D">
        <w:t>Hydroxid sodný (pr</w:t>
      </w:r>
      <w:r w:rsidR="00003A11" w:rsidRPr="006C531D">
        <w:t>e</w:t>
      </w:r>
      <w:r w:rsidRPr="006C531D">
        <w:t xml:space="preserve"> úpravu pH)</w:t>
      </w:r>
    </w:p>
    <w:p w14:paraId="33BA8F51" w14:textId="5F073CAA" w:rsidR="00305017" w:rsidRPr="006C531D" w:rsidRDefault="00305017">
      <w:pPr>
        <w:pStyle w:val="Normlndobloku"/>
      </w:pPr>
      <w:r w:rsidRPr="006C531D">
        <w:t>Kyselina chlorovodíková (pr</w:t>
      </w:r>
      <w:r w:rsidR="00003A11" w:rsidRPr="006C531D">
        <w:t>e</w:t>
      </w:r>
      <w:r w:rsidRPr="006C531D">
        <w:t xml:space="preserve"> úpravu pH)</w:t>
      </w:r>
    </w:p>
    <w:p w14:paraId="093FF7F8" w14:textId="2E164F34" w:rsidR="00EB51D4" w:rsidRPr="006C531D" w:rsidRDefault="00305017">
      <w:pPr>
        <w:pStyle w:val="Normlndobloku"/>
      </w:pPr>
      <w:r w:rsidRPr="006C531D">
        <w:t>Voda na injekci</w:t>
      </w:r>
      <w:r w:rsidR="00C02FA2">
        <w:t>e</w:t>
      </w:r>
    </w:p>
    <w:p w14:paraId="267443CD" w14:textId="75DC6096" w:rsidR="00EB51D4" w:rsidRPr="006C531D" w:rsidRDefault="00EB51D4" w:rsidP="001D4259">
      <w:pPr>
        <w:pStyle w:val="Styl2"/>
      </w:pPr>
      <w:r w:rsidRPr="006C531D">
        <w:t>Inkompatibility</w:t>
      </w:r>
    </w:p>
    <w:p w14:paraId="0653D07D" w14:textId="27F9FDB4" w:rsidR="00EB51D4" w:rsidRPr="006C531D" w:rsidRDefault="00305017">
      <w:pPr>
        <w:pStyle w:val="Normlndobloku"/>
      </w:pPr>
      <w:r w:rsidRPr="006C531D">
        <w:t>Tento liek sa nesmie miešať</w:t>
      </w:r>
      <w:r w:rsidR="00003A11" w:rsidRPr="006C531D">
        <w:t xml:space="preserve"> s </w:t>
      </w:r>
      <w:r w:rsidRPr="006C531D">
        <w:t>inými liekmi okrem tých, ktoré sú uvedené</w:t>
      </w:r>
      <w:r w:rsidR="00003A11" w:rsidRPr="006C531D">
        <w:t xml:space="preserve"> v </w:t>
      </w:r>
      <w:r w:rsidRPr="006C531D">
        <w:t>časti 6.6.</w:t>
      </w:r>
    </w:p>
    <w:p w14:paraId="282C7D90" w14:textId="4A4B5B6D" w:rsidR="00EB51D4" w:rsidRPr="006C531D" w:rsidRDefault="00EB51D4" w:rsidP="001D4259">
      <w:pPr>
        <w:pStyle w:val="Styl2"/>
      </w:pPr>
      <w:r w:rsidRPr="006C531D">
        <w:t>Čas použiteľnosti</w:t>
      </w:r>
    </w:p>
    <w:p w14:paraId="28AD1955" w14:textId="77777777" w:rsidR="00305017" w:rsidRPr="006C531D" w:rsidRDefault="00305017">
      <w:pPr>
        <w:pStyle w:val="Styl3"/>
      </w:pPr>
      <w:r w:rsidRPr="006C531D">
        <w:t>Pred prvým otvorením</w:t>
      </w:r>
    </w:p>
    <w:p w14:paraId="13B1964B" w14:textId="77777777" w:rsidR="00305017" w:rsidRPr="006C531D" w:rsidRDefault="00305017">
      <w:pPr>
        <w:pStyle w:val="Normlndobloku"/>
      </w:pPr>
      <w:r w:rsidRPr="006C531D">
        <w:t>30 mesiacov</w:t>
      </w:r>
    </w:p>
    <w:p w14:paraId="1EDF6881" w14:textId="77777777" w:rsidR="00305017" w:rsidRPr="006C531D" w:rsidRDefault="00305017">
      <w:pPr>
        <w:pStyle w:val="Styl3"/>
      </w:pPr>
      <w:r w:rsidRPr="006C531D">
        <w:t>Po prvom otvorení</w:t>
      </w:r>
    </w:p>
    <w:p w14:paraId="7BB8EB9C" w14:textId="77777777" w:rsidR="00305017" w:rsidRPr="006C531D" w:rsidRDefault="00305017">
      <w:pPr>
        <w:pStyle w:val="Normlndobloku"/>
      </w:pPr>
      <w:r w:rsidRPr="006C531D">
        <w:t>Po prvom otvorení sa má liek použiť okamžite.</w:t>
      </w:r>
    </w:p>
    <w:p w14:paraId="0033BC35" w14:textId="437A5C5F" w:rsidR="00305017" w:rsidRPr="006C531D" w:rsidRDefault="00305017">
      <w:pPr>
        <w:pStyle w:val="Styl3"/>
      </w:pPr>
      <w:r w:rsidRPr="006C531D">
        <w:t xml:space="preserve">Po </w:t>
      </w:r>
      <w:r w:rsidR="007157A4" w:rsidRPr="006C531D">
        <w:t>nar</w:t>
      </w:r>
      <w:r w:rsidRPr="006C531D">
        <w:t>iedení</w:t>
      </w:r>
    </w:p>
    <w:p w14:paraId="5BC7EC88" w14:textId="3DE70C3A" w:rsidR="00305017" w:rsidRPr="006C531D" w:rsidRDefault="00305017">
      <w:pPr>
        <w:pStyle w:val="Normlndobloku"/>
      </w:pPr>
      <w:r w:rsidRPr="006C531D">
        <w:t>Chemická</w:t>
      </w:r>
      <w:r w:rsidR="00003A11" w:rsidRPr="006C531D">
        <w:t xml:space="preserve"> a </w:t>
      </w:r>
      <w:r w:rsidRPr="006C531D">
        <w:t>fyzikálna stabilita pri používaní sa stanovila na 24 hodín pri teplote do 25</w:t>
      </w:r>
      <w:r w:rsidR="00003A11" w:rsidRPr="006C531D">
        <w:t> </w:t>
      </w:r>
      <w:r w:rsidRPr="006C531D">
        <w:t>° C</w:t>
      </w:r>
      <w:r w:rsidR="00003A11" w:rsidRPr="006C531D">
        <w:t xml:space="preserve"> a </w:t>
      </w:r>
      <w:r w:rsidRPr="006C531D">
        <w:t>pri teplote 2</w:t>
      </w:r>
      <w:r w:rsidR="00003A11" w:rsidRPr="006C531D">
        <w:t> </w:t>
      </w:r>
      <w:r w:rsidRPr="006C531D">
        <w:t>°C</w:t>
      </w:r>
      <w:r w:rsidR="00003A11" w:rsidRPr="006C531D">
        <w:t> – </w:t>
      </w:r>
      <w:r w:rsidRPr="006C531D">
        <w:t>8°C.</w:t>
      </w:r>
    </w:p>
    <w:p w14:paraId="345A1BCE" w14:textId="7CAF8482" w:rsidR="00EB51D4" w:rsidRPr="006C531D" w:rsidRDefault="00305017">
      <w:pPr>
        <w:pStyle w:val="Normlndobloku"/>
      </w:pPr>
      <w:r w:rsidRPr="006C531D">
        <w:t>Z mikrobiologického hľadiska sa má liek použiť okamžite. Ak nie je použitý okamžite,</w:t>
      </w:r>
      <w:r w:rsidR="0057375D" w:rsidRPr="006C531D">
        <w:t xml:space="preserve"> za</w:t>
      </w:r>
      <w:r w:rsidRPr="006C531D">
        <w:t xml:space="preserve"> čas</w:t>
      </w:r>
      <w:r w:rsidR="00003A11" w:rsidRPr="006C531D">
        <w:t xml:space="preserve"> a </w:t>
      </w:r>
      <w:r w:rsidRPr="006C531D">
        <w:t>podmienky uchovávania pred použitím je zodpovedný používateľ</w:t>
      </w:r>
      <w:r w:rsidR="00003A11" w:rsidRPr="006C531D">
        <w:t xml:space="preserve"> a </w:t>
      </w:r>
      <w:r w:rsidRPr="006C531D">
        <w:t>normálne by nemali byť dlhšie ako 24 hodín pri teplote 2</w:t>
      </w:r>
      <w:r w:rsidR="0057375D" w:rsidRPr="006C531D">
        <w:t> </w:t>
      </w:r>
      <w:r w:rsidRPr="006C531D">
        <w:t>°C</w:t>
      </w:r>
      <w:r w:rsidR="0057375D" w:rsidRPr="006C531D">
        <w:t> – </w:t>
      </w:r>
      <w:r w:rsidRPr="006C531D">
        <w:t>8 ° C, pokiaľ nebolo riedenie vykon</w:t>
      </w:r>
      <w:r w:rsidR="0057375D" w:rsidRPr="006C531D">
        <w:t>ané</w:t>
      </w:r>
      <w:r w:rsidR="00003A11" w:rsidRPr="006C531D">
        <w:t xml:space="preserve"> v </w:t>
      </w:r>
      <w:r w:rsidRPr="006C531D">
        <w:t>kontrolovan</w:t>
      </w:r>
      <w:r w:rsidR="0057375D" w:rsidRPr="006C531D">
        <w:t>ých</w:t>
      </w:r>
      <w:r w:rsidR="00003A11" w:rsidRPr="006C531D">
        <w:t xml:space="preserve"> a </w:t>
      </w:r>
      <w:r w:rsidRPr="006C531D">
        <w:t>aseptick</w:t>
      </w:r>
      <w:r w:rsidR="0057375D" w:rsidRPr="006C531D">
        <w:t>ých</w:t>
      </w:r>
      <w:r w:rsidRPr="006C531D">
        <w:t xml:space="preserve"> podmienkach.</w:t>
      </w:r>
    </w:p>
    <w:p w14:paraId="7ED603D2" w14:textId="08AE4832" w:rsidR="006C531D" w:rsidRDefault="00003A11" w:rsidP="001D4259">
      <w:pPr>
        <w:pStyle w:val="Styl2"/>
      </w:pPr>
      <w:r w:rsidRPr="006C531D">
        <w:t>Špeciálne upozornenia na uchovávanie</w:t>
      </w:r>
    </w:p>
    <w:p w14:paraId="63962CB5" w14:textId="77777777" w:rsidR="00305017" w:rsidRPr="006C531D" w:rsidRDefault="00305017">
      <w:pPr>
        <w:pStyle w:val="Normlndobloku"/>
      </w:pPr>
      <w:r w:rsidRPr="006C531D">
        <w:t>Tento liek nevyžaduje žiadne zvláštne teplotné podmienky na uchovávanie.</w:t>
      </w:r>
    </w:p>
    <w:p w14:paraId="133E00FC" w14:textId="28E95615" w:rsidR="00305017" w:rsidRPr="006C531D" w:rsidRDefault="00305017">
      <w:pPr>
        <w:pStyle w:val="Normlndobloku"/>
      </w:pPr>
      <w:r w:rsidRPr="006C531D">
        <w:t>Uchovávajte ampulky</w:t>
      </w:r>
      <w:r w:rsidR="00003A11" w:rsidRPr="006C531D">
        <w:t xml:space="preserve"> v </w:t>
      </w:r>
      <w:r w:rsidRPr="006C531D">
        <w:t xml:space="preserve">škatuľke </w:t>
      </w:r>
      <w:r w:rsidR="00003A11" w:rsidRPr="006C531D">
        <w:t xml:space="preserve">na ochranu </w:t>
      </w:r>
      <w:r w:rsidRPr="006C531D">
        <w:t>pred svetlom.</w:t>
      </w:r>
    </w:p>
    <w:p w14:paraId="20A053E3" w14:textId="1A983574" w:rsidR="00EB51D4" w:rsidRPr="006C531D" w:rsidRDefault="00305017">
      <w:pPr>
        <w:pStyle w:val="Normlndobloku"/>
      </w:pPr>
      <w:r w:rsidRPr="006C531D">
        <w:t>Podmienky na uchovávanie lieku po jeho nariedení sú uvedené</w:t>
      </w:r>
      <w:r w:rsidR="00003A11" w:rsidRPr="006C531D">
        <w:t xml:space="preserve"> v </w:t>
      </w:r>
      <w:r w:rsidR="00C02FA2">
        <w:t>časti</w:t>
      </w:r>
      <w:r w:rsidRPr="006C531D">
        <w:t xml:space="preserve"> 6.3.</w:t>
      </w:r>
    </w:p>
    <w:p w14:paraId="7082A6C4" w14:textId="25581366" w:rsidR="006C531D" w:rsidRDefault="00003A11" w:rsidP="001D4259">
      <w:pPr>
        <w:pStyle w:val="Styl2"/>
      </w:pPr>
      <w:r w:rsidRPr="006C531D">
        <w:lastRenderedPageBreak/>
        <w:t>Druh obalu a obsah balenia</w:t>
      </w:r>
    </w:p>
    <w:p w14:paraId="7453780F" w14:textId="5C47641A" w:rsidR="00305017" w:rsidRPr="006C531D" w:rsidRDefault="00305017">
      <w:pPr>
        <w:pStyle w:val="Normlndobloku"/>
      </w:pPr>
      <w:r w:rsidRPr="006C531D">
        <w:t>Ampulky</w:t>
      </w:r>
      <w:r w:rsidR="00003A11" w:rsidRPr="006C531D">
        <w:t xml:space="preserve"> z </w:t>
      </w:r>
      <w:r w:rsidRPr="006C531D">
        <w:t>číreho skla (t</w:t>
      </w:r>
      <w:r w:rsidR="007B4671">
        <w:t>yp</w:t>
      </w:r>
      <w:r w:rsidRPr="006C531D">
        <w:t xml:space="preserve"> I)</w:t>
      </w:r>
      <w:r w:rsidR="00003A11" w:rsidRPr="006C531D">
        <w:t xml:space="preserve"> s </w:t>
      </w:r>
      <w:r w:rsidRPr="006C531D">
        <w:t>objemom 10 ml</w:t>
      </w:r>
      <w:r w:rsidR="00003A11" w:rsidRPr="006C531D">
        <w:t xml:space="preserve"> a </w:t>
      </w:r>
      <w:r w:rsidRPr="006C531D">
        <w:t>5 ml.</w:t>
      </w:r>
    </w:p>
    <w:p w14:paraId="4131CF8F" w14:textId="4643061C" w:rsidR="00305017" w:rsidRPr="006C531D" w:rsidRDefault="00305017">
      <w:pPr>
        <w:pStyle w:val="Normlndobloku"/>
      </w:pPr>
      <w:r w:rsidRPr="006C531D">
        <w:t xml:space="preserve">Ampulky </w:t>
      </w:r>
      <w:r w:rsidR="00A72DDF">
        <w:t>majú</w:t>
      </w:r>
      <w:r w:rsidRPr="006C531D">
        <w:t xml:space="preserve"> samolepiac</w:t>
      </w:r>
      <w:r w:rsidR="00A72DDF">
        <w:t>u</w:t>
      </w:r>
      <w:r w:rsidRPr="006C531D">
        <w:t xml:space="preserve"> etiketu</w:t>
      </w:r>
      <w:r w:rsidR="00003A11" w:rsidRPr="006C531D">
        <w:t xml:space="preserve"> a </w:t>
      </w:r>
      <w:r w:rsidRPr="006C531D">
        <w:t>sú vložené do PVC zásobníka (každý zásobník obsahuje 5</w:t>
      </w:r>
      <w:r w:rsidR="006900B4">
        <w:t> </w:t>
      </w:r>
      <w:r w:rsidRPr="006C531D">
        <w:t>ampuliek) uzavretého PE fóliou.</w:t>
      </w:r>
    </w:p>
    <w:p w14:paraId="2EF48162" w14:textId="64E3B4FC" w:rsidR="00305017" w:rsidRPr="006C531D" w:rsidRDefault="00A72DDF">
      <w:pPr>
        <w:pStyle w:val="Normlndobloku"/>
      </w:pPr>
      <w:r>
        <w:t xml:space="preserve">Odnímateľná </w:t>
      </w:r>
      <w:r w:rsidR="00305017" w:rsidRPr="006C531D">
        <w:t xml:space="preserve">membrána na PVC blistroch je len </w:t>
      </w:r>
      <w:r>
        <w:t>v prípade balenia</w:t>
      </w:r>
      <w:r w:rsidR="00B652AB">
        <w:t xml:space="preserve"> </w:t>
      </w:r>
      <w:r w:rsidR="00305017" w:rsidRPr="006C531D">
        <w:t>ampul</w:t>
      </w:r>
      <w:r>
        <w:t>iek</w:t>
      </w:r>
      <w:r w:rsidR="00003A11" w:rsidRPr="006C531D">
        <w:t xml:space="preserve"> s </w:t>
      </w:r>
      <w:r w:rsidR="00305017" w:rsidRPr="006C531D">
        <w:t>objemom 5 ml.</w:t>
      </w:r>
    </w:p>
    <w:p w14:paraId="4ACB6E7C" w14:textId="10B7B74A" w:rsidR="00EB51D4" w:rsidRPr="006C531D" w:rsidRDefault="00305017">
      <w:pPr>
        <w:pStyle w:val="Normlndobloku"/>
      </w:pPr>
      <w:r w:rsidRPr="006C531D">
        <w:t xml:space="preserve">Na trh nemusia byť </w:t>
      </w:r>
      <w:r w:rsidR="00003A11" w:rsidRPr="006C531D">
        <w:t xml:space="preserve">uvedené </w:t>
      </w:r>
      <w:r w:rsidRPr="006C531D">
        <w:t>všetky veľkosti balenia.</w:t>
      </w:r>
    </w:p>
    <w:p w14:paraId="795A55E6" w14:textId="18C8897B" w:rsidR="00EB51D4" w:rsidRPr="006C531D" w:rsidRDefault="00003A11" w:rsidP="001D4259">
      <w:pPr>
        <w:pStyle w:val="Styl2"/>
      </w:pPr>
      <w:r w:rsidRPr="006C531D">
        <w:t>Špeciálne opatrenia na likvidáciu a iné zaobchádzanie s liekom</w:t>
      </w:r>
    </w:p>
    <w:p w14:paraId="47C6F6F3" w14:textId="20891F74" w:rsidR="00305017" w:rsidRPr="006C531D" w:rsidRDefault="00305017">
      <w:pPr>
        <w:pStyle w:val="Normlndobloku"/>
      </w:pPr>
      <w:r w:rsidRPr="006C531D">
        <w:t>Pre infúziu môže byť zmiešaný</w:t>
      </w:r>
      <w:r w:rsidR="00003A11" w:rsidRPr="006C531D">
        <w:t xml:space="preserve"> s </w:t>
      </w:r>
      <w:r w:rsidRPr="006C531D">
        <w:t>fyziologickým roztokom,</w:t>
      </w:r>
      <w:r w:rsidR="00003A11" w:rsidRPr="006C531D">
        <w:t xml:space="preserve"> s </w:t>
      </w:r>
      <w:r w:rsidRPr="006C531D">
        <w:t>5% roztokom glukózy</w:t>
      </w:r>
      <w:r w:rsidR="00003A11" w:rsidRPr="006C531D">
        <w:t xml:space="preserve"> a</w:t>
      </w:r>
      <w:r w:rsidR="00ED14C7">
        <w:t> </w:t>
      </w:r>
      <w:r w:rsidR="007B4671">
        <w:t>Ringerovým</w:t>
      </w:r>
      <w:r w:rsidR="00003A11" w:rsidRPr="006C531D">
        <w:t> </w:t>
      </w:r>
      <w:r w:rsidRPr="006C531D">
        <w:t xml:space="preserve">roztokom </w:t>
      </w:r>
      <w:r w:rsidR="007B4671">
        <w:t>s mliečnanom</w:t>
      </w:r>
      <w:r w:rsidRPr="006C531D">
        <w:t>.</w:t>
      </w:r>
    </w:p>
    <w:p w14:paraId="6AB32B04" w14:textId="54312C42" w:rsidR="00EB51D4" w:rsidRPr="006C531D" w:rsidRDefault="00305017">
      <w:pPr>
        <w:pStyle w:val="Normlndobloku"/>
      </w:pPr>
      <w:r w:rsidRPr="006C531D">
        <w:t>Pri otváraní fľaštičky používajte rukavice. Náhodné vystavenie pokožk</w:t>
      </w:r>
      <w:r w:rsidR="00003A11" w:rsidRPr="006C531D">
        <w:t>y</w:t>
      </w:r>
      <w:r w:rsidRPr="006C531D">
        <w:t xml:space="preserve"> má byť ošetrené prepláchnutím postihnutej oblasti vodou. Nepoužívajte mydlo, alkohol</w:t>
      </w:r>
      <w:r w:rsidR="00003A11" w:rsidRPr="006C531D">
        <w:t xml:space="preserve"> a </w:t>
      </w:r>
      <w:r w:rsidRPr="006C531D">
        <w:t>iné čistiace prostriedky, ktoré môžu spôsobiť chemické alebo fyzické poškodenie pokožky.</w:t>
      </w:r>
    </w:p>
    <w:p w14:paraId="1491C9B8" w14:textId="4CD64291" w:rsidR="00EB51D4" w:rsidRPr="006C531D" w:rsidRDefault="00EB51D4">
      <w:pPr>
        <w:pStyle w:val="Styl1"/>
      </w:pPr>
      <w:r w:rsidRPr="006C531D">
        <w:t>DRŽITEĽ REGISTRÁCIE</w:t>
      </w:r>
    </w:p>
    <w:p w14:paraId="2166AA81" w14:textId="557D0207" w:rsidR="00305017" w:rsidRPr="006C531D" w:rsidRDefault="00305017">
      <w:pPr>
        <w:pStyle w:val="Normlndobloku"/>
      </w:pPr>
      <w:r w:rsidRPr="006C531D">
        <w:t>MEDOCHEMIE Ltd., 1-10 Constantinoupoleos Street, 3011 Limassol, Cyprus</w:t>
      </w:r>
    </w:p>
    <w:p w14:paraId="6D8C9E7B" w14:textId="3DF3526D" w:rsidR="00EB51D4" w:rsidRPr="006C531D" w:rsidRDefault="00EB51D4">
      <w:pPr>
        <w:pStyle w:val="Styl1"/>
      </w:pPr>
      <w:r w:rsidRPr="006C531D">
        <w:t>REGISTRAČNÉ ČÍSLO</w:t>
      </w:r>
    </w:p>
    <w:p w14:paraId="31B6A781" w14:textId="307F5255" w:rsidR="006C531D" w:rsidRDefault="007157A4">
      <w:pPr>
        <w:pStyle w:val="Normlndobloku"/>
      </w:pPr>
      <w:r w:rsidRPr="006C531D">
        <w:t>SOFENTIL</w:t>
      </w:r>
      <w:r w:rsidR="005B70A5" w:rsidRPr="006C531D">
        <w:t xml:space="preserve"> 5 mikrogramov/ml injekčný/inf</w:t>
      </w:r>
      <w:r w:rsidR="00A22B82" w:rsidRPr="006C531D">
        <w:t>ú</w:t>
      </w:r>
      <w:r w:rsidR="005B70A5" w:rsidRPr="006C531D">
        <w:t>zny roztok:</w:t>
      </w:r>
      <w:r w:rsidR="00F61F25">
        <w:t xml:space="preserve"> </w:t>
      </w:r>
      <w:r w:rsidR="00F61F25" w:rsidRPr="00F61F25">
        <w:t>65/0020/19-S</w:t>
      </w:r>
    </w:p>
    <w:p w14:paraId="51221214" w14:textId="445A1ED8" w:rsidR="00EB51D4" w:rsidRPr="006C531D" w:rsidRDefault="007157A4">
      <w:pPr>
        <w:pStyle w:val="Normlndobloku"/>
        <w:rPr>
          <w:highlight w:val="lightGray"/>
        </w:rPr>
      </w:pPr>
      <w:r w:rsidRPr="006C531D">
        <w:rPr>
          <w:highlight w:val="lightGray"/>
        </w:rPr>
        <w:t>SOFENTIL</w:t>
      </w:r>
      <w:r w:rsidR="005B70A5" w:rsidRPr="006C531D">
        <w:rPr>
          <w:highlight w:val="lightGray"/>
        </w:rPr>
        <w:t xml:space="preserve"> 50 mikrogramov/ml injekčný/inf</w:t>
      </w:r>
      <w:r w:rsidR="00A22B82" w:rsidRPr="006C531D">
        <w:rPr>
          <w:highlight w:val="lightGray"/>
        </w:rPr>
        <w:t>ú</w:t>
      </w:r>
      <w:r w:rsidR="005B70A5" w:rsidRPr="006C531D">
        <w:rPr>
          <w:highlight w:val="lightGray"/>
        </w:rPr>
        <w:t>zny roztok:</w:t>
      </w:r>
      <w:r w:rsidR="00F61F25">
        <w:rPr>
          <w:highlight w:val="lightGray"/>
        </w:rPr>
        <w:t xml:space="preserve"> </w:t>
      </w:r>
      <w:r w:rsidR="00F61F25">
        <w:t>65/0021</w:t>
      </w:r>
      <w:r w:rsidR="00F61F25" w:rsidRPr="00F61F25">
        <w:t>/19-S</w:t>
      </w:r>
    </w:p>
    <w:p w14:paraId="231C7936" w14:textId="759BD67F" w:rsidR="00EB51D4" w:rsidRPr="006C531D" w:rsidRDefault="00EB51D4">
      <w:pPr>
        <w:pStyle w:val="Styl1"/>
      </w:pPr>
      <w:r w:rsidRPr="006C531D">
        <w:t xml:space="preserve">DÁTUM </w:t>
      </w:r>
      <w:r w:rsidR="0097099C" w:rsidRPr="0097099C">
        <w:rPr>
          <w:szCs w:val="22"/>
        </w:rPr>
        <w:t>PRVEJ REGISTRÁCIE</w:t>
      </w:r>
      <w:r w:rsidR="0097099C" w:rsidRPr="00C72CBA">
        <w:rPr>
          <w:b w:val="0"/>
          <w:szCs w:val="22"/>
        </w:rPr>
        <w:t>/</w:t>
      </w:r>
      <w:r w:rsidRPr="006C531D">
        <w:t>PREDĹŽENIA REGISTRÁCIE</w:t>
      </w:r>
    </w:p>
    <w:p w14:paraId="42FFE50A" w14:textId="77777777" w:rsidR="005B70A5" w:rsidRPr="006C531D" w:rsidRDefault="005B70A5">
      <w:pPr>
        <w:pStyle w:val="Normlndobloku"/>
      </w:pPr>
      <w:r w:rsidRPr="006C531D">
        <w:t>Dátum prvej registrácie:</w:t>
      </w:r>
    </w:p>
    <w:p w14:paraId="27A73A56" w14:textId="3F07F2E3" w:rsidR="00161375" w:rsidRDefault="00EB51D4">
      <w:pPr>
        <w:pStyle w:val="Styl1"/>
      </w:pPr>
      <w:r w:rsidRPr="006C531D">
        <w:t>DÁTUM POSLEDNEJ REVÍZIE TEXTU</w:t>
      </w:r>
    </w:p>
    <w:p w14:paraId="2EFDC7EE" w14:textId="58EBCAA7" w:rsidR="00161375" w:rsidRPr="00471A71" w:rsidRDefault="00161375" w:rsidP="0097099C">
      <w:pPr>
        <w:pStyle w:val="Styl1"/>
        <w:numPr>
          <w:ilvl w:val="0"/>
          <w:numId w:val="0"/>
        </w:numPr>
        <w:ind w:left="357" w:hanging="357"/>
        <w:rPr>
          <w:b w:val="0"/>
        </w:rPr>
      </w:pPr>
      <w:r w:rsidRPr="00471A71">
        <w:rPr>
          <w:b w:val="0"/>
        </w:rPr>
        <w:t>01/2019</w:t>
      </w:r>
    </w:p>
    <w:p w14:paraId="5C9CA28D" w14:textId="77777777" w:rsidR="00EB51D4" w:rsidRPr="006C531D" w:rsidRDefault="00EB51D4">
      <w:pPr>
        <w:pStyle w:val="Normlndobloku"/>
      </w:pPr>
    </w:p>
    <w:sectPr w:rsidR="00EB51D4" w:rsidRPr="006C531D" w:rsidSect="00B652A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4549F" w14:textId="77777777" w:rsidR="005C0D46" w:rsidRDefault="005C0D46" w:rsidP="009C0B97">
      <w:pPr>
        <w:spacing w:after="0" w:line="240" w:lineRule="auto"/>
      </w:pPr>
      <w:r>
        <w:separator/>
      </w:r>
    </w:p>
  </w:endnote>
  <w:endnote w:type="continuationSeparator" w:id="0">
    <w:p w14:paraId="251F6B10" w14:textId="77777777" w:rsidR="005C0D46" w:rsidRDefault="005C0D46" w:rsidP="009C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964954"/>
      <w:docPartObj>
        <w:docPartGallery w:val="Page Numbers (Bottom of Page)"/>
        <w:docPartUnique/>
      </w:docPartObj>
    </w:sdtPr>
    <w:sdtEndPr/>
    <w:sdtContent>
      <w:p w14:paraId="4C9EEF72" w14:textId="3A14021A" w:rsidR="003B7A96" w:rsidRDefault="003B7A96">
        <w:pPr>
          <w:pStyle w:val="Pta"/>
          <w:jc w:val="center"/>
        </w:pPr>
        <w:r>
          <w:fldChar w:fldCharType="begin"/>
        </w:r>
        <w:r>
          <w:instrText>PAGE   \* MERGEFORMAT</w:instrText>
        </w:r>
        <w:r>
          <w:fldChar w:fldCharType="separate"/>
        </w:r>
        <w:r w:rsidR="00515275">
          <w:rPr>
            <w:noProof/>
          </w:rPr>
          <w:t>1</w:t>
        </w:r>
        <w:r>
          <w:fldChar w:fldCharType="end"/>
        </w:r>
      </w:p>
    </w:sdtContent>
  </w:sdt>
  <w:p w14:paraId="0B3BB9F3" w14:textId="77777777" w:rsidR="003B7A96" w:rsidRDefault="003B7A9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2C789" w14:textId="77777777" w:rsidR="005C0D46" w:rsidRDefault="005C0D46" w:rsidP="009C0B97">
      <w:pPr>
        <w:spacing w:after="0" w:line="240" w:lineRule="auto"/>
      </w:pPr>
      <w:r>
        <w:separator/>
      </w:r>
    </w:p>
  </w:footnote>
  <w:footnote w:type="continuationSeparator" w:id="0">
    <w:p w14:paraId="6F96B392" w14:textId="77777777" w:rsidR="005C0D46" w:rsidRDefault="005C0D46" w:rsidP="009C0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DDF34" w14:textId="72C708FC" w:rsidR="000E7F25" w:rsidRPr="009C0B97" w:rsidRDefault="000E7F25">
    <w:pPr>
      <w:pStyle w:val="Hlavika"/>
      <w:rPr>
        <w:rFonts w:ascii="Times New Roman" w:hAnsi="Times New Roman" w:cs="Times New Roman"/>
        <w:sz w:val="18"/>
        <w:szCs w:val="18"/>
      </w:rPr>
    </w:pPr>
    <w:r w:rsidRPr="009C0B97">
      <w:rPr>
        <w:rFonts w:ascii="Times New Roman" w:hAnsi="Times New Roman" w:cs="Times New Roman"/>
        <w:sz w:val="18"/>
        <w:szCs w:val="18"/>
      </w:rPr>
      <w:t>Schválený text</w:t>
    </w:r>
    <w:r>
      <w:rPr>
        <w:rFonts w:ascii="Times New Roman" w:hAnsi="Times New Roman" w:cs="Times New Roman"/>
        <w:sz w:val="18"/>
        <w:szCs w:val="18"/>
      </w:rPr>
      <w:t xml:space="preserve"> k </w:t>
    </w:r>
    <w:r w:rsidRPr="009C0B97">
      <w:rPr>
        <w:rFonts w:ascii="Times New Roman" w:hAnsi="Times New Roman" w:cs="Times New Roman"/>
        <w:sz w:val="18"/>
        <w:szCs w:val="18"/>
      </w:rPr>
      <w:t>rozhodnutiu o registrácii, ev. č.:</w:t>
    </w:r>
    <w:r w:rsidR="008923C8">
      <w:rPr>
        <w:rFonts w:ascii="Times New Roman" w:hAnsi="Times New Roman" w:cs="Times New Roman"/>
        <w:sz w:val="18"/>
        <w:szCs w:val="18"/>
      </w:rPr>
      <w:t xml:space="preserve"> 2018/00018-REG, 2018/00027-REG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7E42"/>
    <w:multiLevelType w:val="hybridMultilevel"/>
    <w:tmpl w:val="28F6E7CA"/>
    <w:lvl w:ilvl="0" w:tplc="9E105E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0844028"/>
    <w:multiLevelType w:val="hybridMultilevel"/>
    <w:tmpl w:val="8A488F1E"/>
    <w:lvl w:ilvl="0" w:tplc="9E105E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73D28B1"/>
    <w:multiLevelType w:val="hybridMultilevel"/>
    <w:tmpl w:val="736C692E"/>
    <w:lvl w:ilvl="0" w:tplc="8F42786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74C7DB5"/>
    <w:multiLevelType w:val="hybridMultilevel"/>
    <w:tmpl w:val="6BD8CB18"/>
    <w:lvl w:ilvl="0" w:tplc="C694CD20">
      <w:start w:val="1"/>
      <w:numFmt w:val="bullet"/>
      <w:pStyle w:val="Normlndoblokusodrkami"/>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nsid w:val="258B7EA7"/>
    <w:multiLevelType w:val="hybridMultilevel"/>
    <w:tmpl w:val="483447B2"/>
    <w:lvl w:ilvl="0" w:tplc="9E105EF4">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nsid w:val="26960090"/>
    <w:multiLevelType w:val="hybridMultilevel"/>
    <w:tmpl w:val="8CBA6566"/>
    <w:lvl w:ilvl="0" w:tplc="EECA4E36">
      <w:start w:val="1"/>
      <w:numFmt w:val="bullet"/>
      <w:pStyle w:val="Normlnedoblokusodrkami"/>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2C9467BF"/>
    <w:multiLevelType w:val="hybridMultilevel"/>
    <w:tmpl w:val="B8426FAC"/>
    <w:lvl w:ilvl="0" w:tplc="49CEC49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03C2AF8"/>
    <w:multiLevelType w:val="hybridMultilevel"/>
    <w:tmpl w:val="50A2D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ABF44AF"/>
    <w:multiLevelType w:val="multilevel"/>
    <w:tmpl w:val="EB26A976"/>
    <w:lvl w:ilvl="0">
      <w:start w:val="1"/>
      <w:numFmt w:val="decimal"/>
      <w:pStyle w:val="Styl1"/>
      <w:lvlText w:val="%1."/>
      <w:lvlJc w:val="left"/>
      <w:pPr>
        <w:ind w:left="720" w:hanging="360"/>
      </w:pPr>
      <w:rPr>
        <w:rFonts w:hint="default"/>
      </w:rPr>
    </w:lvl>
    <w:lvl w:ilvl="1">
      <w:start w:val="1"/>
      <w:numFmt w:val="decimal"/>
      <w:pStyle w:val="Styl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4D06346C"/>
    <w:multiLevelType w:val="hybridMultilevel"/>
    <w:tmpl w:val="959C0884"/>
    <w:lvl w:ilvl="0" w:tplc="9E105EF4">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612F0818"/>
    <w:multiLevelType w:val="hybridMultilevel"/>
    <w:tmpl w:val="75CEDA66"/>
    <w:lvl w:ilvl="0" w:tplc="9E105E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61BA5B5E"/>
    <w:multiLevelType w:val="hybridMultilevel"/>
    <w:tmpl w:val="51D23EBE"/>
    <w:lvl w:ilvl="0" w:tplc="9E105E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62A47800"/>
    <w:multiLevelType w:val="hybridMultilevel"/>
    <w:tmpl w:val="DF24FDAA"/>
    <w:lvl w:ilvl="0" w:tplc="9E105E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AAD4AA7"/>
    <w:multiLevelType w:val="multilevel"/>
    <w:tmpl w:val="10002F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2"/>
  </w:num>
  <w:num w:numId="3">
    <w:abstractNumId w:val="13"/>
  </w:num>
  <w:num w:numId="4">
    <w:abstractNumId w:val="13"/>
  </w:num>
  <w:num w:numId="5">
    <w:abstractNumId w:val="13"/>
  </w:num>
  <w:num w:numId="6">
    <w:abstractNumId w:val="13"/>
  </w:num>
  <w:num w:numId="7">
    <w:abstractNumId w:val="5"/>
  </w:num>
  <w:num w:numId="8">
    <w:abstractNumId w:val="3"/>
  </w:num>
  <w:num w:numId="9">
    <w:abstractNumId w:val="3"/>
  </w:num>
  <w:num w:numId="10">
    <w:abstractNumId w:val="13"/>
  </w:num>
  <w:num w:numId="11">
    <w:abstractNumId w:val="13"/>
  </w:num>
  <w:num w:numId="12">
    <w:abstractNumId w:val="13"/>
  </w:num>
  <w:num w:numId="13">
    <w:abstractNumId w:val="7"/>
  </w:num>
  <w:num w:numId="14">
    <w:abstractNumId w:val="11"/>
  </w:num>
  <w:num w:numId="15">
    <w:abstractNumId w:val="10"/>
  </w:num>
  <w:num w:numId="16">
    <w:abstractNumId w:val="0"/>
  </w:num>
  <w:num w:numId="17">
    <w:abstractNumId w:val="9"/>
  </w:num>
  <w:num w:numId="18">
    <w:abstractNumId w:val="12"/>
  </w:num>
  <w:num w:numId="19">
    <w:abstractNumId w:val="1"/>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98"/>
    <w:rsid w:val="00003A11"/>
    <w:rsid w:val="000532CA"/>
    <w:rsid w:val="00062887"/>
    <w:rsid w:val="0007685E"/>
    <w:rsid w:val="00082D9C"/>
    <w:rsid w:val="000E7F25"/>
    <w:rsid w:val="00106707"/>
    <w:rsid w:val="00132EBA"/>
    <w:rsid w:val="001465E8"/>
    <w:rsid w:val="00153483"/>
    <w:rsid w:val="00161375"/>
    <w:rsid w:val="001D4259"/>
    <w:rsid w:val="001F3E27"/>
    <w:rsid w:val="002006E7"/>
    <w:rsid w:val="00215923"/>
    <w:rsid w:val="00225CDB"/>
    <w:rsid w:val="00235248"/>
    <w:rsid w:val="00235686"/>
    <w:rsid w:val="00252A6E"/>
    <w:rsid w:val="00277BDB"/>
    <w:rsid w:val="002B3FEE"/>
    <w:rsid w:val="002C2A93"/>
    <w:rsid w:val="002D7612"/>
    <w:rsid w:val="00300857"/>
    <w:rsid w:val="00305017"/>
    <w:rsid w:val="00323483"/>
    <w:rsid w:val="00344800"/>
    <w:rsid w:val="00345A3D"/>
    <w:rsid w:val="00364FA9"/>
    <w:rsid w:val="00367299"/>
    <w:rsid w:val="003B7A96"/>
    <w:rsid w:val="00460E37"/>
    <w:rsid w:val="00461677"/>
    <w:rsid w:val="00471A71"/>
    <w:rsid w:val="004C6A8E"/>
    <w:rsid w:val="004C7074"/>
    <w:rsid w:val="00502074"/>
    <w:rsid w:val="00506C94"/>
    <w:rsid w:val="00513E32"/>
    <w:rsid w:val="00515275"/>
    <w:rsid w:val="005267F0"/>
    <w:rsid w:val="00542F28"/>
    <w:rsid w:val="005511F4"/>
    <w:rsid w:val="0057375D"/>
    <w:rsid w:val="005A5FBB"/>
    <w:rsid w:val="005B70A5"/>
    <w:rsid w:val="005C0D46"/>
    <w:rsid w:val="006141BC"/>
    <w:rsid w:val="00616F6D"/>
    <w:rsid w:val="00633133"/>
    <w:rsid w:val="00652AD7"/>
    <w:rsid w:val="00664A6F"/>
    <w:rsid w:val="006803EE"/>
    <w:rsid w:val="006900B4"/>
    <w:rsid w:val="006C531D"/>
    <w:rsid w:val="006F07C1"/>
    <w:rsid w:val="00704A60"/>
    <w:rsid w:val="007157A4"/>
    <w:rsid w:val="007161A1"/>
    <w:rsid w:val="00783345"/>
    <w:rsid w:val="00793814"/>
    <w:rsid w:val="007B4671"/>
    <w:rsid w:val="008059FA"/>
    <w:rsid w:val="00865998"/>
    <w:rsid w:val="00867B9E"/>
    <w:rsid w:val="00880D5A"/>
    <w:rsid w:val="008850F2"/>
    <w:rsid w:val="008923C8"/>
    <w:rsid w:val="008B2221"/>
    <w:rsid w:val="008E1D16"/>
    <w:rsid w:val="00921792"/>
    <w:rsid w:val="00921832"/>
    <w:rsid w:val="009549A4"/>
    <w:rsid w:val="0097099C"/>
    <w:rsid w:val="009C0B97"/>
    <w:rsid w:val="009C449C"/>
    <w:rsid w:val="009E0912"/>
    <w:rsid w:val="009F03A1"/>
    <w:rsid w:val="00A12D57"/>
    <w:rsid w:val="00A20EA4"/>
    <w:rsid w:val="00A22B82"/>
    <w:rsid w:val="00A4230C"/>
    <w:rsid w:val="00A60849"/>
    <w:rsid w:val="00A66DA3"/>
    <w:rsid w:val="00A72DDF"/>
    <w:rsid w:val="00AD6BE5"/>
    <w:rsid w:val="00B03DB8"/>
    <w:rsid w:val="00B0532C"/>
    <w:rsid w:val="00B32E00"/>
    <w:rsid w:val="00B44274"/>
    <w:rsid w:val="00B56FFE"/>
    <w:rsid w:val="00B652AB"/>
    <w:rsid w:val="00B855A1"/>
    <w:rsid w:val="00B90981"/>
    <w:rsid w:val="00B94ABA"/>
    <w:rsid w:val="00BA039E"/>
    <w:rsid w:val="00BB4738"/>
    <w:rsid w:val="00BD49A8"/>
    <w:rsid w:val="00BE7139"/>
    <w:rsid w:val="00C02FA2"/>
    <w:rsid w:val="00C04D0A"/>
    <w:rsid w:val="00C36C2A"/>
    <w:rsid w:val="00C51965"/>
    <w:rsid w:val="00C64FFA"/>
    <w:rsid w:val="00C73AF7"/>
    <w:rsid w:val="00C76236"/>
    <w:rsid w:val="00C92FD9"/>
    <w:rsid w:val="00CC30DA"/>
    <w:rsid w:val="00D14E4A"/>
    <w:rsid w:val="00D246DF"/>
    <w:rsid w:val="00D42BC4"/>
    <w:rsid w:val="00D47D78"/>
    <w:rsid w:val="00D821E0"/>
    <w:rsid w:val="00DA39B0"/>
    <w:rsid w:val="00DA6B7E"/>
    <w:rsid w:val="00DB7CE6"/>
    <w:rsid w:val="00DD01D1"/>
    <w:rsid w:val="00DD0A03"/>
    <w:rsid w:val="00DF6D59"/>
    <w:rsid w:val="00E1339E"/>
    <w:rsid w:val="00E13C67"/>
    <w:rsid w:val="00E31B1D"/>
    <w:rsid w:val="00E332EF"/>
    <w:rsid w:val="00EA739A"/>
    <w:rsid w:val="00EB5059"/>
    <w:rsid w:val="00EB51D4"/>
    <w:rsid w:val="00ED14C7"/>
    <w:rsid w:val="00F136E1"/>
    <w:rsid w:val="00F40983"/>
    <w:rsid w:val="00F61F25"/>
    <w:rsid w:val="00F9086D"/>
    <w:rsid w:val="00F9642D"/>
    <w:rsid w:val="00FF49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532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link w:val="Styl2Char"/>
    <w:autoRedefine/>
    <w:rsid w:val="00B652AB"/>
    <w:pPr>
      <w:keepNext/>
      <w:numPr>
        <w:ilvl w:val="1"/>
        <w:numId w:val="21"/>
      </w:numPr>
      <w:spacing w:before="240" w:after="120" w:line="240" w:lineRule="auto"/>
      <w:ind w:left="0" w:firstLine="0"/>
    </w:pPr>
    <w:rPr>
      <w:rFonts w:ascii="Times New Roman" w:eastAsia="Times New Roman" w:hAnsi="Times New Roman" w:cs="Times New Roman"/>
      <w:b/>
      <w:bCs/>
    </w:rPr>
  </w:style>
  <w:style w:type="character" w:customStyle="1" w:styleId="Styl2Char">
    <w:name w:val="Styl2 Char"/>
    <w:link w:val="Styl2"/>
    <w:locked/>
    <w:rsid w:val="00B652AB"/>
    <w:rPr>
      <w:rFonts w:ascii="Times New Roman" w:eastAsia="Times New Roman" w:hAnsi="Times New Roman" w:cs="Times New Roman"/>
      <w:b/>
      <w:bCs/>
    </w:rPr>
  </w:style>
  <w:style w:type="character" w:customStyle="1" w:styleId="Bacil">
    <w:name w:val="Bacil"/>
    <w:qFormat/>
    <w:rsid w:val="009C449C"/>
    <w:rPr>
      <w:i/>
    </w:rPr>
  </w:style>
  <w:style w:type="paragraph" w:customStyle="1" w:styleId="SPCaPILhlavika">
    <w:name w:val="SPC a PIL hlavička"/>
    <w:basedOn w:val="Normlny"/>
    <w:autoRedefine/>
    <w:qFormat/>
    <w:rsid w:val="00CC30DA"/>
    <w:pPr>
      <w:spacing w:before="240" w:after="120" w:line="240" w:lineRule="auto"/>
      <w:jc w:val="center"/>
    </w:pPr>
    <w:rPr>
      <w:rFonts w:ascii="Times New Roman" w:eastAsia="Times New Roman" w:hAnsi="Times New Roman" w:cs="Times New Roman"/>
      <w:b/>
      <w:szCs w:val="20"/>
    </w:rPr>
  </w:style>
  <w:style w:type="paragraph" w:customStyle="1" w:styleId="Styl1">
    <w:name w:val="Styl1"/>
    <w:basedOn w:val="Normlny"/>
    <w:autoRedefine/>
    <w:rsid w:val="00B652AB"/>
    <w:pPr>
      <w:keepNext/>
      <w:numPr>
        <w:numId w:val="21"/>
      </w:numPr>
      <w:spacing w:before="360" w:after="120" w:line="240" w:lineRule="auto"/>
      <w:ind w:left="357" w:hanging="357"/>
    </w:pPr>
    <w:rPr>
      <w:rFonts w:ascii="Times New Roman" w:eastAsia="Times New Roman" w:hAnsi="Times New Roman" w:cs="Times New Roman"/>
      <w:b/>
      <w:bCs/>
      <w:caps/>
      <w:szCs w:val="24"/>
    </w:rPr>
  </w:style>
  <w:style w:type="paragraph" w:customStyle="1" w:styleId="Styl2-2">
    <w:name w:val="Styl2-2"/>
    <w:basedOn w:val="Styl2"/>
    <w:next w:val="Normlny"/>
    <w:autoRedefine/>
    <w:qFormat/>
    <w:rsid w:val="00B0532C"/>
    <w:pPr>
      <w:numPr>
        <w:ilvl w:val="0"/>
        <w:numId w:val="0"/>
      </w:numPr>
      <w:spacing w:before="120"/>
    </w:pPr>
    <w:rPr>
      <w:szCs w:val="20"/>
    </w:rPr>
  </w:style>
  <w:style w:type="paragraph" w:customStyle="1" w:styleId="Styl3">
    <w:name w:val="Styl3"/>
    <w:basedOn w:val="Normlndobloku"/>
    <w:link w:val="Styl3Char"/>
    <w:rsid w:val="00B0532C"/>
    <w:pPr>
      <w:keepNext/>
      <w:tabs>
        <w:tab w:val="left" w:pos="6946"/>
      </w:tabs>
      <w:suppressAutoHyphens w:val="0"/>
    </w:pPr>
    <w:rPr>
      <w:u w:val="single"/>
    </w:rPr>
  </w:style>
  <w:style w:type="character" w:customStyle="1" w:styleId="Styl3Char">
    <w:name w:val="Styl3 Char"/>
    <w:link w:val="Styl3"/>
    <w:rsid w:val="00B0532C"/>
    <w:rPr>
      <w:rFonts w:ascii="Times New Roman" w:eastAsia="Calibri" w:hAnsi="Times New Roman" w:cs="Times New Roman"/>
      <w:szCs w:val="24"/>
      <w:u w:val="single"/>
    </w:rPr>
  </w:style>
  <w:style w:type="paragraph" w:customStyle="1" w:styleId="Styl4">
    <w:name w:val="Styl4"/>
    <w:basedOn w:val="Styl3"/>
    <w:autoRedefine/>
    <w:qFormat/>
    <w:rsid w:val="00B0532C"/>
    <w:pPr>
      <w:spacing w:after="60"/>
    </w:pPr>
    <w:rPr>
      <w:i/>
      <w:u w:val="none"/>
    </w:rPr>
  </w:style>
  <w:style w:type="paragraph" w:customStyle="1" w:styleId="Normlnedoblokusodrkami">
    <w:name w:val="Normálne do bloku s odrážkami"/>
    <w:basedOn w:val="Normlny"/>
    <w:rsid w:val="00A4230C"/>
    <w:pPr>
      <w:numPr>
        <w:numId w:val="7"/>
      </w:numPr>
      <w:spacing w:after="0" w:line="240" w:lineRule="auto"/>
    </w:pPr>
    <w:rPr>
      <w:rFonts w:ascii="Times New Roman" w:eastAsia="Calibri" w:hAnsi="Times New Roman" w:cs="Times New Roman"/>
      <w:lang w:val="cs-CZ"/>
    </w:rPr>
  </w:style>
  <w:style w:type="paragraph" w:customStyle="1" w:styleId="Normlndobloku">
    <w:name w:val="Normální do bloku"/>
    <w:basedOn w:val="Normlny"/>
    <w:link w:val="NormlndoblokuChar"/>
    <w:autoRedefine/>
    <w:rsid w:val="00B652AB"/>
    <w:pPr>
      <w:tabs>
        <w:tab w:val="left" w:pos="4140"/>
      </w:tabs>
      <w:suppressAutoHyphens/>
      <w:spacing w:after="120" w:line="240" w:lineRule="auto"/>
      <w:jc w:val="both"/>
    </w:pPr>
    <w:rPr>
      <w:rFonts w:ascii="Times New Roman" w:eastAsia="Calibri" w:hAnsi="Times New Roman" w:cs="Times New Roman"/>
      <w:szCs w:val="24"/>
    </w:rPr>
  </w:style>
  <w:style w:type="character" w:customStyle="1" w:styleId="NormlndoblokuChar">
    <w:name w:val="Normální do bloku Char"/>
    <w:link w:val="Normlndobloku"/>
    <w:rsid w:val="00B652AB"/>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autoRedefine/>
    <w:qFormat/>
    <w:rsid w:val="00B0532C"/>
    <w:pPr>
      <w:numPr>
        <w:numId w:val="9"/>
      </w:numPr>
      <w:tabs>
        <w:tab w:val="clear" w:pos="4140"/>
        <w:tab w:val="left" w:pos="360"/>
      </w:tabs>
    </w:pPr>
    <w:rPr>
      <w:noProof/>
    </w:rPr>
  </w:style>
  <w:style w:type="paragraph" w:customStyle="1" w:styleId="Tabulkynormlndoblokuzarovnndoleva">
    <w:name w:val="Tabulky = normální do bloku + zarovnání doleva"/>
    <w:basedOn w:val="Normlndobloku"/>
    <w:autoRedefine/>
    <w:rsid w:val="00DD01D1"/>
    <w:pPr>
      <w:tabs>
        <w:tab w:val="clear" w:pos="4140"/>
      </w:tabs>
      <w:jc w:val="left"/>
    </w:pPr>
    <w:rPr>
      <w:rFonts w:cs="TimesNewRoman"/>
      <w:szCs w:val="20"/>
    </w:rPr>
  </w:style>
  <w:style w:type="paragraph" w:customStyle="1" w:styleId="Styl5">
    <w:name w:val="Styl5"/>
    <w:basedOn w:val="Normlny"/>
    <w:autoRedefine/>
    <w:qFormat/>
    <w:rsid w:val="00DD01D1"/>
    <w:pPr>
      <w:keepNext/>
      <w:suppressAutoHyphens/>
      <w:spacing w:before="120" w:after="120" w:line="240" w:lineRule="auto"/>
    </w:pPr>
    <w:rPr>
      <w:rFonts w:ascii="TimesNewRoman" w:eastAsia="Calibri" w:hAnsi="TimesNewRoman" w:cs="TimesNewRoman"/>
      <w:b/>
      <w:szCs w:val="20"/>
      <w:lang w:val="cs-CZ"/>
    </w:rPr>
  </w:style>
  <w:style w:type="paragraph" w:customStyle="1" w:styleId="Styl1PIL">
    <w:name w:val="Styl1 PIL"/>
    <w:basedOn w:val="Normlny"/>
    <w:autoRedefine/>
    <w:rsid w:val="00542F28"/>
    <w:pPr>
      <w:keepNext/>
      <w:tabs>
        <w:tab w:val="num" w:pos="360"/>
      </w:tabs>
      <w:spacing w:before="360" w:after="240" w:line="240" w:lineRule="auto"/>
      <w:ind w:left="360" w:hanging="360"/>
    </w:pPr>
    <w:rPr>
      <w:rFonts w:ascii="Times New Roman" w:eastAsia="Times New Roman" w:hAnsi="Times New Roman" w:cs="Times New Roman"/>
      <w:b/>
      <w:bCs/>
      <w:szCs w:val="24"/>
      <w:lang w:val="cs-CZ"/>
    </w:rPr>
  </w:style>
  <w:style w:type="table" w:styleId="Mriekatabuky">
    <w:name w:val="Table Grid"/>
    <w:basedOn w:val="Normlnatabuka"/>
    <w:uiPriority w:val="59"/>
    <w:rsid w:val="00542F28"/>
    <w:pPr>
      <w:spacing w:after="0" w:line="240" w:lineRule="auto"/>
    </w:pPr>
    <w:rPr>
      <w:rFonts w:eastAsia="Calibri"/>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semiHidden/>
    <w:rsid w:val="00C64FFA"/>
    <w:rPr>
      <w:sz w:val="16"/>
      <w:szCs w:val="16"/>
    </w:rPr>
  </w:style>
  <w:style w:type="paragraph" w:customStyle="1" w:styleId="TableText">
    <w:name w:val="TableText"/>
    <w:rsid w:val="00C64FFA"/>
    <w:pPr>
      <w:keepNext/>
      <w:spacing w:after="0" w:line="240" w:lineRule="auto"/>
    </w:pPr>
    <w:rPr>
      <w:rFonts w:ascii="Times New Roman" w:eastAsia="Times New Roman" w:hAnsi="Times New Roman" w:cs="Times New Roman"/>
      <w:sz w:val="20"/>
      <w:szCs w:val="20"/>
      <w:lang w:val="en-US"/>
    </w:rPr>
  </w:style>
  <w:style w:type="paragraph" w:styleId="Hlavika">
    <w:name w:val="header"/>
    <w:basedOn w:val="Normlny"/>
    <w:link w:val="HlavikaChar"/>
    <w:uiPriority w:val="99"/>
    <w:unhideWhenUsed/>
    <w:rsid w:val="009C0B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0B97"/>
  </w:style>
  <w:style w:type="paragraph" w:styleId="Pta">
    <w:name w:val="footer"/>
    <w:basedOn w:val="Normlny"/>
    <w:link w:val="PtaChar"/>
    <w:uiPriority w:val="99"/>
    <w:unhideWhenUsed/>
    <w:rsid w:val="009C0B97"/>
    <w:pPr>
      <w:tabs>
        <w:tab w:val="center" w:pos="4536"/>
        <w:tab w:val="right" w:pos="9072"/>
      </w:tabs>
      <w:spacing w:after="0" w:line="240" w:lineRule="auto"/>
    </w:pPr>
  </w:style>
  <w:style w:type="character" w:customStyle="1" w:styleId="PtaChar">
    <w:name w:val="Päta Char"/>
    <w:basedOn w:val="Predvolenpsmoodseku"/>
    <w:link w:val="Pta"/>
    <w:uiPriority w:val="99"/>
    <w:rsid w:val="009C0B97"/>
  </w:style>
  <w:style w:type="character" w:styleId="Hypertextovprepojenie">
    <w:name w:val="Hyperlink"/>
    <w:basedOn w:val="Predvolenpsmoodseku"/>
    <w:uiPriority w:val="99"/>
    <w:unhideWhenUsed/>
    <w:rsid w:val="00513E32"/>
    <w:rPr>
      <w:color w:val="0563C1" w:themeColor="hyperlink"/>
      <w:u w:val="single"/>
    </w:rPr>
  </w:style>
  <w:style w:type="paragraph" w:styleId="PredformtovanHTML">
    <w:name w:val="HTML Preformatted"/>
    <w:basedOn w:val="Normlny"/>
    <w:link w:val="PredformtovanHTMLChar"/>
    <w:uiPriority w:val="99"/>
    <w:semiHidden/>
    <w:unhideWhenUsed/>
    <w:rsid w:val="009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921792"/>
    <w:rPr>
      <w:rFonts w:ascii="Courier New" w:eastAsia="Times New Roman" w:hAnsi="Courier New" w:cs="Courier New"/>
      <w:sz w:val="20"/>
      <w:szCs w:val="20"/>
      <w:lang w:eastAsia="sk-SK"/>
    </w:rPr>
  </w:style>
  <w:style w:type="paragraph" w:styleId="Textbubliny">
    <w:name w:val="Balloon Text"/>
    <w:basedOn w:val="Normlny"/>
    <w:link w:val="TextbublinyChar"/>
    <w:uiPriority w:val="99"/>
    <w:semiHidden/>
    <w:unhideWhenUsed/>
    <w:rsid w:val="00CC30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30DA"/>
    <w:rPr>
      <w:rFonts w:ascii="Segoe UI" w:hAnsi="Segoe UI" w:cs="Segoe UI"/>
      <w:sz w:val="18"/>
      <w:szCs w:val="18"/>
    </w:rPr>
  </w:style>
  <w:style w:type="paragraph" w:styleId="Textkomentra">
    <w:name w:val="annotation text"/>
    <w:basedOn w:val="Normlny"/>
    <w:link w:val="TextkomentraChar"/>
    <w:uiPriority w:val="99"/>
    <w:semiHidden/>
    <w:unhideWhenUsed/>
    <w:rsid w:val="008923C8"/>
    <w:pPr>
      <w:spacing w:line="240" w:lineRule="auto"/>
    </w:pPr>
    <w:rPr>
      <w:sz w:val="20"/>
      <w:szCs w:val="20"/>
    </w:rPr>
  </w:style>
  <w:style w:type="character" w:customStyle="1" w:styleId="TextkomentraChar">
    <w:name w:val="Text komentára Char"/>
    <w:basedOn w:val="Predvolenpsmoodseku"/>
    <w:link w:val="Textkomentra"/>
    <w:uiPriority w:val="99"/>
    <w:semiHidden/>
    <w:rsid w:val="008923C8"/>
    <w:rPr>
      <w:sz w:val="20"/>
      <w:szCs w:val="20"/>
    </w:rPr>
  </w:style>
  <w:style w:type="paragraph" w:styleId="Predmetkomentra">
    <w:name w:val="annotation subject"/>
    <w:basedOn w:val="Textkomentra"/>
    <w:next w:val="Textkomentra"/>
    <w:link w:val="PredmetkomentraChar"/>
    <w:uiPriority w:val="99"/>
    <w:semiHidden/>
    <w:unhideWhenUsed/>
    <w:rsid w:val="008923C8"/>
    <w:rPr>
      <w:b/>
      <w:bCs/>
    </w:rPr>
  </w:style>
  <w:style w:type="character" w:customStyle="1" w:styleId="PredmetkomentraChar">
    <w:name w:val="Predmet komentára Char"/>
    <w:basedOn w:val="TextkomentraChar"/>
    <w:link w:val="Predmetkomentra"/>
    <w:uiPriority w:val="99"/>
    <w:semiHidden/>
    <w:rsid w:val="008923C8"/>
    <w:rPr>
      <w:b/>
      <w:bCs/>
      <w:sz w:val="20"/>
      <w:szCs w:val="20"/>
    </w:rPr>
  </w:style>
  <w:style w:type="paragraph" w:styleId="Revzia">
    <w:name w:val="Revision"/>
    <w:hidden/>
    <w:uiPriority w:val="99"/>
    <w:semiHidden/>
    <w:rsid w:val="00ED14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532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link w:val="Styl2Char"/>
    <w:autoRedefine/>
    <w:rsid w:val="00B652AB"/>
    <w:pPr>
      <w:keepNext/>
      <w:numPr>
        <w:ilvl w:val="1"/>
        <w:numId w:val="21"/>
      </w:numPr>
      <w:spacing w:before="240" w:after="120" w:line="240" w:lineRule="auto"/>
      <w:ind w:left="0" w:firstLine="0"/>
    </w:pPr>
    <w:rPr>
      <w:rFonts w:ascii="Times New Roman" w:eastAsia="Times New Roman" w:hAnsi="Times New Roman" w:cs="Times New Roman"/>
      <w:b/>
      <w:bCs/>
    </w:rPr>
  </w:style>
  <w:style w:type="character" w:customStyle="1" w:styleId="Styl2Char">
    <w:name w:val="Styl2 Char"/>
    <w:link w:val="Styl2"/>
    <w:locked/>
    <w:rsid w:val="00B652AB"/>
    <w:rPr>
      <w:rFonts w:ascii="Times New Roman" w:eastAsia="Times New Roman" w:hAnsi="Times New Roman" w:cs="Times New Roman"/>
      <w:b/>
      <w:bCs/>
    </w:rPr>
  </w:style>
  <w:style w:type="character" w:customStyle="1" w:styleId="Bacil">
    <w:name w:val="Bacil"/>
    <w:qFormat/>
    <w:rsid w:val="009C449C"/>
    <w:rPr>
      <w:i/>
    </w:rPr>
  </w:style>
  <w:style w:type="paragraph" w:customStyle="1" w:styleId="SPCaPILhlavika">
    <w:name w:val="SPC a PIL hlavička"/>
    <w:basedOn w:val="Normlny"/>
    <w:autoRedefine/>
    <w:qFormat/>
    <w:rsid w:val="00CC30DA"/>
    <w:pPr>
      <w:spacing w:before="240" w:after="120" w:line="240" w:lineRule="auto"/>
      <w:jc w:val="center"/>
    </w:pPr>
    <w:rPr>
      <w:rFonts w:ascii="Times New Roman" w:eastAsia="Times New Roman" w:hAnsi="Times New Roman" w:cs="Times New Roman"/>
      <w:b/>
      <w:szCs w:val="20"/>
    </w:rPr>
  </w:style>
  <w:style w:type="paragraph" w:customStyle="1" w:styleId="Styl1">
    <w:name w:val="Styl1"/>
    <w:basedOn w:val="Normlny"/>
    <w:autoRedefine/>
    <w:rsid w:val="00B652AB"/>
    <w:pPr>
      <w:keepNext/>
      <w:numPr>
        <w:numId w:val="21"/>
      </w:numPr>
      <w:spacing w:before="360" w:after="120" w:line="240" w:lineRule="auto"/>
      <w:ind w:left="357" w:hanging="357"/>
    </w:pPr>
    <w:rPr>
      <w:rFonts w:ascii="Times New Roman" w:eastAsia="Times New Roman" w:hAnsi="Times New Roman" w:cs="Times New Roman"/>
      <w:b/>
      <w:bCs/>
      <w:caps/>
      <w:szCs w:val="24"/>
    </w:rPr>
  </w:style>
  <w:style w:type="paragraph" w:customStyle="1" w:styleId="Styl2-2">
    <w:name w:val="Styl2-2"/>
    <w:basedOn w:val="Styl2"/>
    <w:next w:val="Normlny"/>
    <w:autoRedefine/>
    <w:qFormat/>
    <w:rsid w:val="00B0532C"/>
    <w:pPr>
      <w:numPr>
        <w:ilvl w:val="0"/>
        <w:numId w:val="0"/>
      </w:numPr>
      <w:spacing w:before="120"/>
    </w:pPr>
    <w:rPr>
      <w:szCs w:val="20"/>
    </w:rPr>
  </w:style>
  <w:style w:type="paragraph" w:customStyle="1" w:styleId="Styl3">
    <w:name w:val="Styl3"/>
    <w:basedOn w:val="Normlndobloku"/>
    <w:link w:val="Styl3Char"/>
    <w:rsid w:val="00B0532C"/>
    <w:pPr>
      <w:keepNext/>
      <w:tabs>
        <w:tab w:val="left" w:pos="6946"/>
      </w:tabs>
      <w:suppressAutoHyphens w:val="0"/>
    </w:pPr>
    <w:rPr>
      <w:u w:val="single"/>
    </w:rPr>
  </w:style>
  <w:style w:type="character" w:customStyle="1" w:styleId="Styl3Char">
    <w:name w:val="Styl3 Char"/>
    <w:link w:val="Styl3"/>
    <w:rsid w:val="00B0532C"/>
    <w:rPr>
      <w:rFonts w:ascii="Times New Roman" w:eastAsia="Calibri" w:hAnsi="Times New Roman" w:cs="Times New Roman"/>
      <w:szCs w:val="24"/>
      <w:u w:val="single"/>
    </w:rPr>
  </w:style>
  <w:style w:type="paragraph" w:customStyle="1" w:styleId="Styl4">
    <w:name w:val="Styl4"/>
    <w:basedOn w:val="Styl3"/>
    <w:autoRedefine/>
    <w:qFormat/>
    <w:rsid w:val="00B0532C"/>
    <w:pPr>
      <w:spacing w:after="60"/>
    </w:pPr>
    <w:rPr>
      <w:i/>
      <w:u w:val="none"/>
    </w:rPr>
  </w:style>
  <w:style w:type="paragraph" w:customStyle="1" w:styleId="Normlnedoblokusodrkami">
    <w:name w:val="Normálne do bloku s odrážkami"/>
    <w:basedOn w:val="Normlny"/>
    <w:rsid w:val="00A4230C"/>
    <w:pPr>
      <w:numPr>
        <w:numId w:val="7"/>
      </w:numPr>
      <w:spacing w:after="0" w:line="240" w:lineRule="auto"/>
    </w:pPr>
    <w:rPr>
      <w:rFonts w:ascii="Times New Roman" w:eastAsia="Calibri" w:hAnsi="Times New Roman" w:cs="Times New Roman"/>
      <w:lang w:val="cs-CZ"/>
    </w:rPr>
  </w:style>
  <w:style w:type="paragraph" w:customStyle="1" w:styleId="Normlndobloku">
    <w:name w:val="Normální do bloku"/>
    <w:basedOn w:val="Normlny"/>
    <w:link w:val="NormlndoblokuChar"/>
    <w:autoRedefine/>
    <w:rsid w:val="00B652AB"/>
    <w:pPr>
      <w:tabs>
        <w:tab w:val="left" w:pos="4140"/>
      </w:tabs>
      <w:suppressAutoHyphens/>
      <w:spacing w:after="120" w:line="240" w:lineRule="auto"/>
      <w:jc w:val="both"/>
    </w:pPr>
    <w:rPr>
      <w:rFonts w:ascii="Times New Roman" w:eastAsia="Calibri" w:hAnsi="Times New Roman" w:cs="Times New Roman"/>
      <w:szCs w:val="24"/>
    </w:rPr>
  </w:style>
  <w:style w:type="character" w:customStyle="1" w:styleId="NormlndoblokuChar">
    <w:name w:val="Normální do bloku Char"/>
    <w:link w:val="Normlndobloku"/>
    <w:rsid w:val="00B652AB"/>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autoRedefine/>
    <w:qFormat/>
    <w:rsid w:val="00B0532C"/>
    <w:pPr>
      <w:numPr>
        <w:numId w:val="9"/>
      </w:numPr>
      <w:tabs>
        <w:tab w:val="clear" w:pos="4140"/>
        <w:tab w:val="left" w:pos="360"/>
      </w:tabs>
    </w:pPr>
    <w:rPr>
      <w:noProof/>
    </w:rPr>
  </w:style>
  <w:style w:type="paragraph" w:customStyle="1" w:styleId="Tabulkynormlndoblokuzarovnndoleva">
    <w:name w:val="Tabulky = normální do bloku + zarovnání doleva"/>
    <w:basedOn w:val="Normlndobloku"/>
    <w:autoRedefine/>
    <w:rsid w:val="00DD01D1"/>
    <w:pPr>
      <w:tabs>
        <w:tab w:val="clear" w:pos="4140"/>
      </w:tabs>
      <w:jc w:val="left"/>
    </w:pPr>
    <w:rPr>
      <w:rFonts w:cs="TimesNewRoman"/>
      <w:szCs w:val="20"/>
    </w:rPr>
  </w:style>
  <w:style w:type="paragraph" w:customStyle="1" w:styleId="Styl5">
    <w:name w:val="Styl5"/>
    <w:basedOn w:val="Normlny"/>
    <w:autoRedefine/>
    <w:qFormat/>
    <w:rsid w:val="00DD01D1"/>
    <w:pPr>
      <w:keepNext/>
      <w:suppressAutoHyphens/>
      <w:spacing w:before="120" w:after="120" w:line="240" w:lineRule="auto"/>
    </w:pPr>
    <w:rPr>
      <w:rFonts w:ascii="TimesNewRoman" w:eastAsia="Calibri" w:hAnsi="TimesNewRoman" w:cs="TimesNewRoman"/>
      <w:b/>
      <w:szCs w:val="20"/>
      <w:lang w:val="cs-CZ"/>
    </w:rPr>
  </w:style>
  <w:style w:type="paragraph" w:customStyle="1" w:styleId="Styl1PIL">
    <w:name w:val="Styl1 PIL"/>
    <w:basedOn w:val="Normlny"/>
    <w:autoRedefine/>
    <w:rsid w:val="00542F28"/>
    <w:pPr>
      <w:keepNext/>
      <w:tabs>
        <w:tab w:val="num" w:pos="360"/>
      </w:tabs>
      <w:spacing w:before="360" w:after="240" w:line="240" w:lineRule="auto"/>
      <w:ind w:left="360" w:hanging="360"/>
    </w:pPr>
    <w:rPr>
      <w:rFonts w:ascii="Times New Roman" w:eastAsia="Times New Roman" w:hAnsi="Times New Roman" w:cs="Times New Roman"/>
      <w:b/>
      <w:bCs/>
      <w:szCs w:val="24"/>
      <w:lang w:val="cs-CZ"/>
    </w:rPr>
  </w:style>
  <w:style w:type="table" w:styleId="Mriekatabuky">
    <w:name w:val="Table Grid"/>
    <w:basedOn w:val="Normlnatabuka"/>
    <w:uiPriority w:val="59"/>
    <w:rsid w:val="00542F28"/>
    <w:pPr>
      <w:spacing w:after="0" w:line="240" w:lineRule="auto"/>
    </w:pPr>
    <w:rPr>
      <w:rFonts w:eastAsia="Calibri"/>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semiHidden/>
    <w:rsid w:val="00C64FFA"/>
    <w:rPr>
      <w:sz w:val="16"/>
      <w:szCs w:val="16"/>
    </w:rPr>
  </w:style>
  <w:style w:type="paragraph" w:customStyle="1" w:styleId="TableText">
    <w:name w:val="TableText"/>
    <w:rsid w:val="00C64FFA"/>
    <w:pPr>
      <w:keepNext/>
      <w:spacing w:after="0" w:line="240" w:lineRule="auto"/>
    </w:pPr>
    <w:rPr>
      <w:rFonts w:ascii="Times New Roman" w:eastAsia="Times New Roman" w:hAnsi="Times New Roman" w:cs="Times New Roman"/>
      <w:sz w:val="20"/>
      <w:szCs w:val="20"/>
      <w:lang w:val="en-US"/>
    </w:rPr>
  </w:style>
  <w:style w:type="paragraph" w:styleId="Hlavika">
    <w:name w:val="header"/>
    <w:basedOn w:val="Normlny"/>
    <w:link w:val="HlavikaChar"/>
    <w:uiPriority w:val="99"/>
    <w:unhideWhenUsed/>
    <w:rsid w:val="009C0B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0B97"/>
  </w:style>
  <w:style w:type="paragraph" w:styleId="Pta">
    <w:name w:val="footer"/>
    <w:basedOn w:val="Normlny"/>
    <w:link w:val="PtaChar"/>
    <w:uiPriority w:val="99"/>
    <w:unhideWhenUsed/>
    <w:rsid w:val="009C0B97"/>
    <w:pPr>
      <w:tabs>
        <w:tab w:val="center" w:pos="4536"/>
        <w:tab w:val="right" w:pos="9072"/>
      </w:tabs>
      <w:spacing w:after="0" w:line="240" w:lineRule="auto"/>
    </w:pPr>
  </w:style>
  <w:style w:type="character" w:customStyle="1" w:styleId="PtaChar">
    <w:name w:val="Päta Char"/>
    <w:basedOn w:val="Predvolenpsmoodseku"/>
    <w:link w:val="Pta"/>
    <w:uiPriority w:val="99"/>
    <w:rsid w:val="009C0B97"/>
  </w:style>
  <w:style w:type="character" w:styleId="Hypertextovprepojenie">
    <w:name w:val="Hyperlink"/>
    <w:basedOn w:val="Predvolenpsmoodseku"/>
    <w:uiPriority w:val="99"/>
    <w:unhideWhenUsed/>
    <w:rsid w:val="00513E32"/>
    <w:rPr>
      <w:color w:val="0563C1" w:themeColor="hyperlink"/>
      <w:u w:val="single"/>
    </w:rPr>
  </w:style>
  <w:style w:type="paragraph" w:styleId="PredformtovanHTML">
    <w:name w:val="HTML Preformatted"/>
    <w:basedOn w:val="Normlny"/>
    <w:link w:val="PredformtovanHTMLChar"/>
    <w:uiPriority w:val="99"/>
    <w:semiHidden/>
    <w:unhideWhenUsed/>
    <w:rsid w:val="0092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921792"/>
    <w:rPr>
      <w:rFonts w:ascii="Courier New" w:eastAsia="Times New Roman" w:hAnsi="Courier New" w:cs="Courier New"/>
      <w:sz w:val="20"/>
      <w:szCs w:val="20"/>
      <w:lang w:eastAsia="sk-SK"/>
    </w:rPr>
  </w:style>
  <w:style w:type="paragraph" w:styleId="Textbubliny">
    <w:name w:val="Balloon Text"/>
    <w:basedOn w:val="Normlny"/>
    <w:link w:val="TextbublinyChar"/>
    <w:uiPriority w:val="99"/>
    <w:semiHidden/>
    <w:unhideWhenUsed/>
    <w:rsid w:val="00CC30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30DA"/>
    <w:rPr>
      <w:rFonts w:ascii="Segoe UI" w:hAnsi="Segoe UI" w:cs="Segoe UI"/>
      <w:sz w:val="18"/>
      <w:szCs w:val="18"/>
    </w:rPr>
  </w:style>
  <w:style w:type="paragraph" w:styleId="Textkomentra">
    <w:name w:val="annotation text"/>
    <w:basedOn w:val="Normlny"/>
    <w:link w:val="TextkomentraChar"/>
    <w:uiPriority w:val="99"/>
    <w:semiHidden/>
    <w:unhideWhenUsed/>
    <w:rsid w:val="008923C8"/>
    <w:pPr>
      <w:spacing w:line="240" w:lineRule="auto"/>
    </w:pPr>
    <w:rPr>
      <w:sz w:val="20"/>
      <w:szCs w:val="20"/>
    </w:rPr>
  </w:style>
  <w:style w:type="character" w:customStyle="1" w:styleId="TextkomentraChar">
    <w:name w:val="Text komentára Char"/>
    <w:basedOn w:val="Predvolenpsmoodseku"/>
    <w:link w:val="Textkomentra"/>
    <w:uiPriority w:val="99"/>
    <w:semiHidden/>
    <w:rsid w:val="008923C8"/>
    <w:rPr>
      <w:sz w:val="20"/>
      <w:szCs w:val="20"/>
    </w:rPr>
  </w:style>
  <w:style w:type="paragraph" w:styleId="Predmetkomentra">
    <w:name w:val="annotation subject"/>
    <w:basedOn w:val="Textkomentra"/>
    <w:next w:val="Textkomentra"/>
    <w:link w:val="PredmetkomentraChar"/>
    <w:uiPriority w:val="99"/>
    <w:semiHidden/>
    <w:unhideWhenUsed/>
    <w:rsid w:val="008923C8"/>
    <w:rPr>
      <w:b/>
      <w:bCs/>
    </w:rPr>
  </w:style>
  <w:style w:type="character" w:customStyle="1" w:styleId="PredmetkomentraChar">
    <w:name w:val="Predmet komentára Char"/>
    <w:basedOn w:val="TextkomentraChar"/>
    <w:link w:val="Predmetkomentra"/>
    <w:uiPriority w:val="99"/>
    <w:semiHidden/>
    <w:rsid w:val="008923C8"/>
    <w:rPr>
      <w:b/>
      <w:bCs/>
      <w:sz w:val="20"/>
      <w:szCs w:val="20"/>
    </w:rPr>
  </w:style>
  <w:style w:type="paragraph" w:styleId="Revzia">
    <w:name w:val="Revision"/>
    <w:hidden/>
    <w:uiPriority w:val="99"/>
    <w:semiHidden/>
    <w:rsid w:val="00ED1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0287">
      <w:bodyDiv w:val="1"/>
      <w:marLeft w:val="0"/>
      <w:marRight w:val="0"/>
      <w:marTop w:val="0"/>
      <w:marBottom w:val="0"/>
      <w:divBdr>
        <w:top w:val="none" w:sz="0" w:space="0" w:color="auto"/>
        <w:left w:val="none" w:sz="0" w:space="0" w:color="auto"/>
        <w:bottom w:val="none" w:sz="0" w:space="0" w:color="auto"/>
        <w:right w:val="none" w:sz="0" w:space="0" w:color="auto"/>
      </w:divBdr>
      <w:divsChild>
        <w:div w:id="918367347">
          <w:marLeft w:val="-45"/>
          <w:marRight w:val="0"/>
          <w:marTop w:val="0"/>
          <w:marBottom w:val="0"/>
          <w:divBdr>
            <w:top w:val="single" w:sz="6" w:space="0" w:color="FFFFFF"/>
            <w:left w:val="single" w:sz="6" w:space="0" w:color="FFFFFF"/>
            <w:bottom w:val="single" w:sz="6" w:space="0" w:color="FFFFFF"/>
            <w:right w:val="single" w:sz="6" w:space="0" w:color="FFFFFF"/>
          </w:divBdr>
        </w:div>
        <w:div w:id="979114209">
          <w:marLeft w:val="0"/>
          <w:marRight w:val="0"/>
          <w:marTop w:val="0"/>
          <w:marBottom w:val="0"/>
          <w:divBdr>
            <w:top w:val="none" w:sz="0" w:space="0" w:color="auto"/>
            <w:left w:val="none" w:sz="0" w:space="0" w:color="auto"/>
            <w:bottom w:val="none" w:sz="0" w:space="0" w:color="auto"/>
            <w:right w:val="none" w:sz="0" w:space="0" w:color="auto"/>
          </w:divBdr>
        </w:div>
      </w:divsChild>
    </w:div>
    <w:div w:id="254364103">
      <w:bodyDiv w:val="1"/>
      <w:marLeft w:val="0"/>
      <w:marRight w:val="0"/>
      <w:marTop w:val="0"/>
      <w:marBottom w:val="0"/>
      <w:divBdr>
        <w:top w:val="none" w:sz="0" w:space="0" w:color="auto"/>
        <w:left w:val="none" w:sz="0" w:space="0" w:color="auto"/>
        <w:bottom w:val="none" w:sz="0" w:space="0" w:color="auto"/>
        <w:right w:val="none" w:sz="0" w:space="0" w:color="auto"/>
      </w:divBdr>
    </w:div>
    <w:div w:id="262491322">
      <w:bodyDiv w:val="1"/>
      <w:marLeft w:val="0"/>
      <w:marRight w:val="0"/>
      <w:marTop w:val="0"/>
      <w:marBottom w:val="0"/>
      <w:divBdr>
        <w:top w:val="none" w:sz="0" w:space="0" w:color="auto"/>
        <w:left w:val="none" w:sz="0" w:space="0" w:color="auto"/>
        <w:bottom w:val="none" w:sz="0" w:space="0" w:color="auto"/>
        <w:right w:val="none" w:sz="0" w:space="0" w:color="auto"/>
      </w:divBdr>
    </w:div>
    <w:div w:id="460461321">
      <w:bodyDiv w:val="1"/>
      <w:marLeft w:val="0"/>
      <w:marRight w:val="0"/>
      <w:marTop w:val="0"/>
      <w:marBottom w:val="0"/>
      <w:divBdr>
        <w:top w:val="none" w:sz="0" w:space="0" w:color="auto"/>
        <w:left w:val="none" w:sz="0" w:space="0" w:color="auto"/>
        <w:bottom w:val="none" w:sz="0" w:space="0" w:color="auto"/>
        <w:right w:val="none" w:sz="0" w:space="0" w:color="auto"/>
      </w:divBdr>
    </w:div>
    <w:div w:id="756830232">
      <w:bodyDiv w:val="1"/>
      <w:marLeft w:val="0"/>
      <w:marRight w:val="0"/>
      <w:marTop w:val="0"/>
      <w:marBottom w:val="0"/>
      <w:divBdr>
        <w:top w:val="none" w:sz="0" w:space="0" w:color="auto"/>
        <w:left w:val="none" w:sz="0" w:space="0" w:color="auto"/>
        <w:bottom w:val="none" w:sz="0" w:space="0" w:color="auto"/>
        <w:right w:val="none" w:sz="0" w:space="0" w:color="auto"/>
      </w:divBdr>
      <w:divsChild>
        <w:div w:id="1846090930">
          <w:marLeft w:val="0"/>
          <w:marRight w:val="0"/>
          <w:marTop w:val="0"/>
          <w:marBottom w:val="0"/>
          <w:divBdr>
            <w:top w:val="none" w:sz="0" w:space="0" w:color="auto"/>
            <w:left w:val="none" w:sz="0" w:space="0" w:color="auto"/>
            <w:bottom w:val="none" w:sz="0" w:space="0" w:color="auto"/>
            <w:right w:val="none" w:sz="0" w:space="0" w:color="auto"/>
          </w:divBdr>
          <w:divsChild>
            <w:div w:id="2062439599">
              <w:marLeft w:val="0"/>
              <w:marRight w:val="60"/>
              <w:marTop w:val="0"/>
              <w:marBottom w:val="0"/>
              <w:divBdr>
                <w:top w:val="none" w:sz="0" w:space="0" w:color="auto"/>
                <w:left w:val="none" w:sz="0" w:space="0" w:color="auto"/>
                <w:bottom w:val="none" w:sz="0" w:space="0" w:color="auto"/>
                <w:right w:val="none" w:sz="0" w:space="0" w:color="auto"/>
              </w:divBdr>
              <w:divsChild>
                <w:div w:id="1002968455">
                  <w:marLeft w:val="0"/>
                  <w:marRight w:val="0"/>
                  <w:marTop w:val="0"/>
                  <w:marBottom w:val="120"/>
                  <w:divBdr>
                    <w:top w:val="single" w:sz="6" w:space="0" w:color="A0A0A0"/>
                    <w:left w:val="single" w:sz="6" w:space="0" w:color="B9B9B9"/>
                    <w:bottom w:val="single" w:sz="6" w:space="0" w:color="B9B9B9"/>
                    <w:right w:val="single" w:sz="6" w:space="0" w:color="B9B9B9"/>
                  </w:divBdr>
                  <w:divsChild>
                    <w:div w:id="118034868">
                      <w:marLeft w:val="0"/>
                      <w:marRight w:val="0"/>
                      <w:marTop w:val="0"/>
                      <w:marBottom w:val="0"/>
                      <w:divBdr>
                        <w:top w:val="none" w:sz="0" w:space="0" w:color="auto"/>
                        <w:left w:val="none" w:sz="0" w:space="0" w:color="auto"/>
                        <w:bottom w:val="none" w:sz="0" w:space="0" w:color="auto"/>
                        <w:right w:val="none" w:sz="0" w:space="0" w:color="auto"/>
                      </w:divBdr>
                    </w:div>
                    <w:div w:id="5714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15277">
          <w:marLeft w:val="0"/>
          <w:marRight w:val="0"/>
          <w:marTop w:val="0"/>
          <w:marBottom w:val="0"/>
          <w:divBdr>
            <w:top w:val="none" w:sz="0" w:space="0" w:color="auto"/>
            <w:left w:val="none" w:sz="0" w:space="0" w:color="auto"/>
            <w:bottom w:val="none" w:sz="0" w:space="0" w:color="auto"/>
            <w:right w:val="none" w:sz="0" w:space="0" w:color="auto"/>
          </w:divBdr>
          <w:divsChild>
            <w:div w:id="246958289">
              <w:marLeft w:val="60"/>
              <w:marRight w:val="0"/>
              <w:marTop w:val="0"/>
              <w:marBottom w:val="0"/>
              <w:divBdr>
                <w:top w:val="none" w:sz="0" w:space="0" w:color="auto"/>
                <w:left w:val="none" w:sz="0" w:space="0" w:color="auto"/>
                <w:bottom w:val="none" w:sz="0" w:space="0" w:color="auto"/>
                <w:right w:val="none" w:sz="0" w:space="0" w:color="auto"/>
              </w:divBdr>
              <w:divsChild>
                <w:div w:id="904795838">
                  <w:marLeft w:val="0"/>
                  <w:marRight w:val="0"/>
                  <w:marTop w:val="0"/>
                  <w:marBottom w:val="0"/>
                  <w:divBdr>
                    <w:top w:val="none" w:sz="0" w:space="0" w:color="auto"/>
                    <w:left w:val="none" w:sz="0" w:space="0" w:color="auto"/>
                    <w:bottom w:val="none" w:sz="0" w:space="0" w:color="auto"/>
                    <w:right w:val="none" w:sz="0" w:space="0" w:color="auto"/>
                  </w:divBdr>
                  <w:divsChild>
                    <w:div w:id="1301689923">
                      <w:marLeft w:val="0"/>
                      <w:marRight w:val="0"/>
                      <w:marTop w:val="0"/>
                      <w:marBottom w:val="120"/>
                      <w:divBdr>
                        <w:top w:val="single" w:sz="6" w:space="0" w:color="F5F5F5"/>
                        <w:left w:val="single" w:sz="6" w:space="0" w:color="F5F5F5"/>
                        <w:bottom w:val="single" w:sz="6" w:space="0" w:color="F5F5F5"/>
                        <w:right w:val="single" w:sz="6" w:space="0" w:color="F5F5F5"/>
                      </w:divBdr>
                      <w:divsChild>
                        <w:div w:id="1006324877">
                          <w:marLeft w:val="0"/>
                          <w:marRight w:val="0"/>
                          <w:marTop w:val="0"/>
                          <w:marBottom w:val="0"/>
                          <w:divBdr>
                            <w:top w:val="none" w:sz="0" w:space="0" w:color="auto"/>
                            <w:left w:val="none" w:sz="0" w:space="0" w:color="auto"/>
                            <w:bottom w:val="none" w:sz="0" w:space="0" w:color="auto"/>
                            <w:right w:val="none" w:sz="0" w:space="0" w:color="auto"/>
                          </w:divBdr>
                          <w:divsChild>
                            <w:div w:id="15656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137297">
      <w:bodyDiv w:val="1"/>
      <w:marLeft w:val="0"/>
      <w:marRight w:val="0"/>
      <w:marTop w:val="0"/>
      <w:marBottom w:val="0"/>
      <w:divBdr>
        <w:top w:val="none" w:sz="0" w:space="0" w:color="auto"/>
        <w:left w:val="none" w:sz="0" w:space="0" w:color="auto"/>
        <w:bottom w:val="none" w:sz="0" w:space="0" w:color="auto"/>
        <w:right w:val="none" w:sz="0" w:space="0" w:color="auto"/>
      </w:divBdr>
      <w:divsChild>
        <w:div w:id="1801806214">
          <w:marLeft w:val="0"/>
          <w:marRight w:val="0"/>
          <w:marTop w:val="0"/>
          <w:marBottom w:val="0"/>
          <w:divBdr>
            <w:top w:val="none" w:sz="0" w:space="0" w:color="auto"/>
            <w:left w:val="none" w:sz="0" w:space="0" w:color="auto"/>
            <w:bottom w:val="none" w:sz="0" w:space="0" w:color="auto"/>
            <w:right w:val="none" w:sz="0" w:space="0" w:color="auto"/>
          </w:divBdr>
          <w:divsChild>
            <w:div w:id="50229946">
              <w:marLeft w:val="0"/>
              <w:marRight w:val="60"/>
              <w:marTop w:val="0"/>
              <w:marBottom w:val="0"/>
              <w:divBdr>
                <w:top w:val="none" w:sz="0" w:space="0" w:color="auto"/>
                <w:left w:val="none" w:sz="0" w:space="0" w:color="auto"/>
                <w:bottom w:val="none" w:sz="0" w:space="0" w:color="auto"/>
                <w:right w:val="none" w:sz="0" w:space="0" w:color="auto"/>
              </w:divBdr>
              <w:divsChild>
                <w:div w:id="722414355">
                  <w:marLeft w:val="0"/>
                  <w:marRight w:val="0"/>
                  <w:marTop w:val="0"/>
                  <w:marBottom w:val="120"/>
                  <w:divBdr>
                    <w:top w:val="single" w:sz="6" w:space="0" w:color="A0A0A0"/>
                    <w:left w:val="single" w:sz="6" w:space="0" w:color="B9B9B9"/>
                    <w:bottom w:val="single" w:sz="6" w:space="0" w:color="B9B9B9"/>
                    <w:right w:val="single" w:sz="6" w:space="0" w:color="B9B9B9"/>
                  </w:divBdr>
                  <w:divsChild>
                    <w:div w:id="1112237916">
                      <w:marLeft w:val="0"/>
                      <w:marRight w:val="0"/>
                      <w:marTop w:val="0"/>
                      <w:marBottom w:val="0"/>
                      <w:divBdr>
                        <w:top w:val="none" w:sz="0" w:space="0" w:color="auto"/>
                        <w:left w:val="none" w:sz="0" w:space="0" w:color="auto"/>
                        <w:bottom w:val="none" w:sz="0" w:space="0" w:color="auto"/>
                        <w:right w:val="none" w:sz="0" w:space="0" w:color="auto"/>
                      </w:divBdr>
                    </w:div>
                    <w:div w:id="15089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7530">
          <w:marLeft w:val="0"/>
          <w:marRight w:val="0"/>
          <w:marTop w:val="0"/>
          <w:marBottom w:val="0"/>
          <w:divBdr>
            <w:top w:val="none" w:sz="0" w:space="0" w:color="auto"/>
            <w:left w:val="none" w:sz="0" w:space="0" w:color="auto"/>
            <w:bottom w:val="none" w:sz="0" w:space="0" w:color="auto"/>
            <w:right w:val="none" w:sz="0" w:space="0" w:color="auto"/>
          </w:divBdr>
          <w:divsChild>
            <w:div w:id="1503816695">
              <w:marLeft w:val="60"/>
              <w:marRight w:val="0"/>
              <w:marTop w:val="0"/>
              <w:marBottom w:val="0"/>
              <w:divBdr>
                <w:top w:val="none" w:sz="0" w:space="0" w:color="auto"/>
                <w:left w:val="none" w:sz="0" w:space="0" w:color="auto"/>
                <w:bottom w:val="none" w:sz="0" w:space="0" w:color="auto"/>
                <w:right w:val="none" w:sz="0" w:space="0" w:color="auto"/>
              </w:divBdr>
              <w:divsChild>
                <w:div w:id="1651324751">
                  <w:marLeft w:val="0"/>
                  <w:marRight w:val="0"/>
                  <w:marTop w:val="0"/>
                  <w:marBottom w:val="0"/>
                  <w:divBdr>
                    <w:top w:val="none" w:sz="0" w:space="0" w:color="auto"/>
                    <w:left w:val="none" w:sz="0" w:space="0" w:color="auto"/>
                    <w:bottom w:val="none" w:sz="0" w:space="0" w:color="auto"/>
                    <w:right w:val="none" w:sz="0" w:space="0" w:color="auto"/>
                  </w:divBdr>
                  <w:divsChild>
                    <w:div w:id="490603329">
                      <w:marLeft w:val="0"/>
                      <w:marRight w:val="0"/>
                      <w:marTop w:val="0"/>
                      <w:marBottom w:val="120"/>
                      <w:divBdr>
                        <w:top w:val="single" w:sz="6" w:space="0" w:color="F5F5F5"/>
                        <w:left w:val="single" w:sz="6" w:space="0" w:color="F5F5F5"/>
                        <w:bottom w:val="single" w:sz="6" w:space="0" w:color="F5F5F5"/>
                        <w:right w:val="single" w:sz="6" w:space="0" w:color="F5F5F5"/>
                      </w:divBdr>
                      <w:divsChild>
                        <w:div w:id="1396856201">
                          <w:marLeft w:val="0"/>
                          <w:marRight w:val="0"/>
                          <w:marTop w:val="0"/>
                          <w:marBottom w:val="0"/>
                          <w:divBdr>
                            <w:top w:val="none" w:sz="0" w:space="0" w:color="auto"/>
                            <w:left w:val="none" w:sz="0" w:space="0" w:color="auto"/>
                            <w:bottom w:val="none" w:sz="0" w:space="0" w:color="auto"/>
                            <w:right w:val="none" w:sz="0" w:space="0" w:color="auto"/>
                          </w:divBdr>
                          <w:divsChild>
                            <w:div w:id="19736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1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4270</Words>
  <Characters>24341</Characters>
  <Application>Microsoft Office Word</Application>
  <DocSecurity>0</DocSecurity>
  <Lines>202</Lines>
  <Paragraphs>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matuskova</dc:creator>
  <cp:lastModifiedBy>Hudecová, Martina</cp:lastModifiedBy>
  <cp:revision>4</cp:revision>
  <dcterms:created xsi:type="dcterms:W3CDTF">2019-01-25T11:30:00Z</dcterms:created>
  <dcterms:modified xsi:type="dcterms:W3CDTF">2019-01-29T08:41:00Z</dcterms:modified>
</cp:coreProperties>
</file>