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62A" w:rsidRPr="00AF1AB0" w:rsidRDefault="0010462A" w:rsidP="0010462A">
      <w:pPr>
        <w:pStyle w:val="Nadpis1"/>
        <w:rPr>
          <w:rFonts w:ascii="Times New Roman" w:hAnsi="Times New Roman"/>
          <w:sz w:val="22"/>
          <w:szCs w:val="22"/>
        </w:rPr>
      </w:pPr>
      <w:r w:rsidRPr="00AF1AB0">
        <w:rPr>
          <w:rFonts w:ascii="Times New Roman" w:hAnsi="Times New Roman"/>
          <w:sz w:val="22"/>
          <w:szCs w:val="22"/>
        </w:rPr>
        <w:t>SÚHRN CHARAKTERISTICKÝCH VLASTNOSTÍ LIEKU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1.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NÁZOV LIEKU</w:t>
      </w:r>
    </w:p>
    <w:p w:rsidR="0010462A" w:rsidRPr="001166AC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 500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F1AB0">
        <w:rPr>
          <w:rFonts w:ascii="Times New Roman" w:hAnsi="Times New Roman"/>
          <w:sz w:val="22"/>
          <w:szCs w:val="22"/>
          <w:lang w:val="sk-SK"/>
        </w:rPr>
        <w:t>mg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prášok na </w:t>
      </w:r>
      <w:r>
        <w:rPr>
          <w:rFonts w:ascii="Times New Roman" w:hAnsi="Times New Roman"/>
          <w:sz w:val="22"/>
          <w:szCs w:val="22"/>
          <w:lang w:val="sk-SK"/>
        </w:rPr>
        <w:t xml:space="preserve">infúzny </w:t>
      </w:r>
      <w:r w:rsidRPr="00D05B9F">
        <w:rPr>
          <w:rFonts w:ascii="Times New Roman" w:hAnsi="Times New Roman"/>
          <w:sz w:val="22"/>
          <w:szCs w:val="22"/>
          <w:lang w:val="sk-SK"/>
        </w:rPr>
        <w:t>koncentrát</w:t>
      </w:r>
    </w:p>
    <w:p w:rsidR="0010462A" w:rsidRPr="00801883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801883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8B4EA5">
        <w:rPr>
          <w:rFonts w:ascii="Times New Roman" w:hAnsi="Times New Roman"/>
          <w:b/>
          <w:sz w:val="22"/>
          <w:szCs w:val="22"/>
          <w:lang w:val="sk-SK"/>
        </w:rPr>
        <w:t>2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>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KVALITATÍVNE A KVANTITATÍVNE ZLOŽENIE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 xml:space="preserve">Každá injekčná liekovka obsahuje 500 mg </w:t>
      </w: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(</w:t>
      </w:r>
      <w:r>
        <w:rPr>
          <w:rFonts w:ascii="Times New Roman" w:hAnsi="Times New Roman"/>
          <w:sz w:val="22"/>
          <w:szCs w:val="22"/>
          <w:lang w:val="sk-SK"/>
        </w:rPr>
        <w:t xml:space="preserve">vo forme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sodnej soli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).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Po rozpustení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ml vody na injekciu (rekonštitúcii) obsahuje každý ml 50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mg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7B74B2">
        <w:rPr>
          <w:rFonts w:ascii="Times New Roman" w:hAnsi="Times New Roman"/>
          <w:sz w:val="22"/>
          <w:szCs w:val="22"/>
          <w:u w:val="single"/>
          <w:lang w:val="sk-SK"/>
        </w:rPr>
        <w:t>Pomocné látky so známym účinkom: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približne 43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mg </w:t>
      </w:r>
      <w:r w:rsidRPr="00BC72F8">
        <w:rPr>
          <w:rFonts w:ascii="Times New Roman" w:hAnsi="Times New Roman"/>
          <w:sz w:val="22"/>
          <w:szCs w:val="22"/>
          <w:lang w:val="sk-SK"/>
        </w:rPr>
        <w:t>(2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BC72F8">
        <w:rPr>
          <w:rFonts w:ascii="Times New Roman" w:hAnsi="Times New Roman"/>
          <w:sz w:val="22"/>
          <w:szCs w:val="22"/>
          <w:lang w:val="sk-SK"/>
        </w:rPr>
        <w:t>mekv</w:t>
      </w:r>
      <w:proofErr w:type="spellEnd"/>
      <w:r w:rsidRPr="00BC72F8">
        <w:rPr>
          <w:rFonts w:ascii="Times New Roman" w:hAnsi="Times New Roman"/>
          <w:sz w:val="22"/>
          <w:szCs w:val="22"/>
          <w:lang w:val="sk-SK"/>
        </w:rPr>
        <w:t>)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sodíka.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3.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LIEKOVÁ FORMA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 xml:space="preserve">Prášok na infúzny </w:t>
      </w:r>
      <w:r>
        <w:rPr>
          <w:rFonts w:ascii="Times New Roman" w:hAnsi="Times New Roman"/>
          <w:sz w:val="22"/>
          <w:szCs w:val="22"/>
          <w:lang w:val="sk-SK"/>
        </w:rPr>
        <w:t>koncentrát (</w:t>
      </w:r>
      <w:r w:rsidRPr="00D05B9F">
        <w:rPr>
          <w:rFonts w:ascii="Times New Roman" w:hAnsi="Times New Roman"/>
          <w:sz w:val="22"/>
          <w:szCs w:val="22"/>
          <w:lang w:val="sk-SK"/>
        </w:rPr>
        <w:t>prášok na koncentrát)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Biely až takmer biely koláč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lyofilizátu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.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1166AC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KLINICKÉ ÚDAJE</w:t>
      </w:r>
    </w:p>
    <w:p w:rsidR="0010462A" w:rsidRPr="00AF1AB0" w:rsidRDefault="0010462A" w:rsidP="0010462A">
      <w:pPr>
        <w:tabs>
          <w:tab w:val="left" w:pos="6564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4.1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Terapeutické indikácie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je indikovan</w:t>
      </w:r>
      <w:r w:rsidR="00A51AEE">
        <w:rPr>
          <w:rFonts w:ascii="Times New Roman" w:hAnsi="Times New Roman"/>
          <w:sz w:val="22"/>
          <w:szCs w:val="22"/>
          <w:lang w:val="sk-SK"/>
        </w:rPr>
        <w:t>ý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dospelým a dospievajúcim </w:t>
      </w:r>
      <w:r w:rsidR="005128E2">
        <w:rPr>
          <w:rFonts w:ascii="Times New Roman" w:hAnsi="Times New Roman"/>
          <w:sz w:val="22"/>
          <w:szCs w:val="22"/>
          <w:lang w:val="sk-SK"/>
        </w:rPr>
        <w:t xml:space="preserve">vo veku </w:t>
      </w:r>
      <w:r w:rsidRPr="00D05B9F">
        <w:rPr>
          <w:rFonts w:ascii="Times New Roman" w:hAnsi="Times New Roman"/>
          <w:sz w:val="22"/>
          <w:szCs w:val="22"/>
          <w:lang w:val="sk-SK"/>
        </w:rPr>
        <w:t>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rokov</w:t>
      </w:r>
      <w:r w:rsidR="00A51AE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128E2">
        <w:rPr>
          <w:rFonts w:ascii="Times New Roman" w:hAnsi="Times New Roman"/>
          <w:sz w:val="22"/>
          <w:szCs w:val="22"/>
          <w:lang w:val="sk-SK"/>
        </w:rPr>
        <w:t>a starším</w:t>
      </w:r>
      <w:r w:rsidRPr="00D05B9F">
        <w:rPr>
          <w:rFonts w:ascii="Times New Roman" w:hAnsi="Times New Roman"/>
          <w:sz w:val="22"/>
          <w:szCs w:val="22"/>
          <w:lang w:val="sk-SK"/>
        </w:rPr>
        <w:t>: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-</w:t>
      </w:r>
      <w:r w:rsidRPr="00D05B9F">
        <w:rPr>
          <w:rFonts w:ascii="Times New Roman" w:hAnsi="Times New Roman"/>
          <w:sz w:val="22"/>
          <w:szCs w:val="22"/>
          <w:lang w:val="sk-SK"/>
        </w:rPr>
        <w:tab/>
        <w:t xml:space="preserve">na liečbu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cytom</w:t>
      </w:r>
      <w:r>
        <w:rPr>
          <w:rFonts w:ascii="Times New Roman" w:hAnsi="Times New Roman"/>
          <w:sz w:val="22"/>
          <w:szCs w:val="22"/>
          <w:lang w:val="sk-SK"/>
        </w:rPr>
        <w:t>egalovírusových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(CMV) ochorení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imunokompromitovaným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pacientom;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CE2837">
      <w:pPr>
        <w:ind w:left="709" w:hanging="709"/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-</w:t>
      </w:r>
      <w:r w:rsidRPr="00D05B9F">
        <w:rPr>
          <w:rFonts w:ascii="Times New Roman" w:hAnsi="Times New Roman"/>
          <w:sz w:val="22"/>
          <w:szCs w:val="22"/>
          <w:lang w:val="sk-SK"/>
        </w:rPr>
        <w:tab/>
      </w:r>
      <w:r w:rsidR="00C34264" w:rsidRPr="008242C8">
        <w:rPr>
          <w:rFonts w:ascii="Times New Roman" w:hAnsi="Times New Roman"/>
          <w:sz w:val="22"/>
          <w:szCs w:val="22"/>
          <w:lang w:val="sk-SK"/>
        </w:rPr>
        <w:t xml:space="preserve">na prevenciu CMV ochorenia s použitím </w:t>
      </w:r>
      <w:proofErr w:type="spellStart"/>
      <w:r w:rsidR="00C34264" w:rsidRPr="008242C8">
        <w:rPr>
          <w:rFonts w:ascii="Times New Roman" w:hAnsi="Times New Roman"/>
          <w:sz w:val="22"/>
          <w:szCs w:val="22"/>
          <w:lang w:val="sk-SK"/>
        </w:rPr>
        <w:t>preemptívnej</w:t>
      </w:r>
      <w:proofErr w:type="spellEnd"/>
      <w:r w:rsidR="00C34264" w:rsidRPr="008242C8">
        <w:rPr>
          <w:rFonts w:ascii="Times New Roman" w:hAnsi="Times New Roman"/>
          <w:sz w:val="22"/>
          <w:szCs w:val="22"/>
          <w:lang w:val="sk-SK"/>
        </w:rPr>
        <w:t xml:space="preserve"> liečby</w:t>
      </w:r>
      <w:r w:rsidR="00CE283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pacientom s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imunosupresiou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E283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spôsobenou liekmi (napríklad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transplantácii orgánu alebo v spojitosti s chemoterapiou).</w:t>
      </w:r>
    </w:p>
    <w:p w:rsidR="002D1F9A" w:rsidRDefault="002D1F9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2D1F9A" w:rsidP="0010462A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je tiež indikovan</w:t>
      </w:r>
      <w:r w:rsidR="00125080">
        <w:rPr>
          <w:rFonts w:ascii="Times New Roman" w:hAnsi="Times New Roman"/>
          <w:sz w:val="22"/>
          <w:szCs w:val="22"/>
          <w:lang w:val="sk-SK"/>
        </w:rPr>
        <w:t>ý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D21F7">
        <w:rPr>
          <w:rFonts w:ascii="Times New Roman" w:hAnsi="Times New Roman"/>
          <w:sz w:val="22"/>
          <w:szCs w:val="22"/>
          <w:lang w:val="sk-SK"/>
        </w:rPr>
        <w:t xml:space="preserve">vo veku </w:t>
      </w:r>
      <w:r>
        <w:rPr>
          <w:rFonts w:ascii="Times New Roman" w:hAnsi="Times New Roman"/>
          <w:sz w:val="22"/>
          <w:szCs w:val="22"/>
          <w:lang w:val="sk-SK"/>
        </w:rPr>
        <w:t>od narodenia:</w:t>
      </w:r>
    </w:p>
    <w:p w:rsidR="002D1F9A" w:rsidRDefault="002D1F9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58763E" w:rsidRDefault="00C34264">
      <w:pPr>
        <w:pStyle w:val="Odsekzoznamu"/>
        <w:numPr>
          <w:ilvl w:val="0"/>
          <w:numId w:val="25"/>
        </w:numPr>
        <w:ind w:hanging="720"/>
        <w:rPr>
          <w:rFonts w:ascii="Times New Roman" w:hAnsi="Times New Roman"/>
          <w:sz w:val="22"/>
          <w:szCs w:val="22"/>
          <w:lang w:val="sk-SK"/>
        </w:rPr>
      </w:pPr>
      <w:r w:rsidRPr="00C34264">
        <w:rPr>
          <w:rFonts w:ascii="Times New Roman" w:hAnsi="Times New Roman"/>
          <w:sz w:val="22"/>
          <w:szCs w:val="22"/>
          <w:lang w:val="sk-SK"/>
        </w:rPr>
        <w:t xml:space="preserve">ako univerzálna profylaktická liečba na prevenciu CMV ochorení pacientom s </w:t>
      </w:r>
      <w:proofErr w:type="spellStart"/>
      <w:r w:rsidRPr="00C34264">
        <w:rPr>
          <w:rFonts w:ascii="Times New Roman" w:hAnsi="Times New Roman"/>
          <w:sz w:val="22"/>
          <w:szCs w:val="22"/>
          <w:lang w:val="sk-SK"/>
        </w:rPr>
        <w:t>imunosupresiou</w:t>
      </w:r>
      <w:proofErr w:type="spellEnd"/>
      <w:r w:rsidRPr="00C34264">
        <w:rPr>
          <w:rFonts w:ascii="Times New Roman" w:hAnsi="Times New Roman"/>
          <w:sz w:val="22"/>
          <w:szCs w:val="22"/>
          <w:lang w:val="sk-SK"/>
        </w:rPr>
        <w:t xml:space="preserve"> spôsobenou liekmi (napríklad po transplantácii orgánu alebo v spojitosti s chemoterapiou).</w:t>
      </w:r>
    </w:p>
    <w:p w:rsidR="002D1F9A" w:rsidRPr="00D05B9F" w:rsidRDefault="002D1F9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Správne použitie antivírusovej liečby sa má riadiť oficiálnymi odporúčaniami.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4.2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Dávkovanie a spôsob podávania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C141A7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C141A7"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382935" w:rsidRDefault="00C34264" w:rsidP="0010462A">
      <w:pPr>
        <w:rPr>
          <w:rFonts w:ascii="Times New Roman" w:hAnsi="Times New Roman"/>
          <w:i/>
          <w:sz w:val="22"/>
          <w:szCs w:val="22"/>
          <w:lang w:val="sk-SK"/>
        </w:rPr>
      </w:pPr>
      <w:r w:rsidRPr="00C34264">
        <w:rPr>
          <w:rFonts w:ascii="Times New Roman" w:hAnsi="Times New Roman"/>
          <w:b/>
          <w:i/>
          <w:sz w:val="22"/>
          <w:szCs w:val="22"/>
          <w:lang w:val="sk-SK"/>
        </w:rPr>
        <w:t>Liečba CMV ochorenia</w:t>
      </w:r>
      <w:r w:rsidR="0010462A" w:rsidRPr="00C141A7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</w:p>
    <w:p w:rsidR="0010462A" w:rsidRPr="00D05B9F" w:rsidRDefault="001D21F7" w:rsidP="0010462A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D</w:t>
      </w:r>
      <w:r w:rsidR="00382935">
        <w:rPr>
          <w:rFonts w:ascii="Times New Roman" w:hAnsi="Times New Roman"/>
          <w:i/>
          <w:sz w:val="22"/>
          <w:szCs w:val="22"/>
          <w:lang w:val="sk-SK"/>
        </w:rPr>
        <w:t>ospelí</w:t>
      </w:r>
      <w:r w:rsidR="00382935" w:rsidRPr="00C141A7">
        <w:rPr>
          <w:rFonts w:ascii="Times New Roman" w:hAnsi="Times New Roman"/>
          <w:i/>
          <w:sz w:val="22"/>
          <w:szCs w:val="22"/>
          <w:lang w:val="sk-SK"/>
        </w:rPr>
        <w:t xml:space="preserve"> a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 pediatrická populácia vo veku </w:t>
      </w:r>
      <w:r w:rsidR="00382935">
        <w:rPr>
          <w:rFonts w:ascii="Times New Roman" w:hAnsi="Times New Roman"/>
          <w:i/>
          <w:sz w:val="22"/>
          <w:szCs w:val="22"/>
          <w:lang w:val="sk-SK"/>
        </w:rPr>
        <w:t>1</w:t>
      </w:r>
      <w:r w:rsidR="00382935" w:rsidRPr="00C141A7">
        <w:rPr>
          <w:rFonts w:ascii="Times New Roman" w:hAnsi="Times New Roman"/>
          <w:i/>
          <w:sz w:val="22"/>
          <w:szCs w:val="22"/>
          <w:lang w:val="sk-SK"/>
        </w:rPr>
        <w:t>2</w:t>
      </w:r>
      <w:r w:rsidR="00382935">
        <w:rPr>
          <w:rFonts w:ascii="Times New Roman" w:hAnsi="Times New Roman"/>
          <w:i/>
          <w:sz w:val="22"/>
          <w:szCs w:val="22"/>
          <w:lang w:val="sk-SK"/>
        </w:rPr>
        <w:t> </w:t>
      </w:r>
      <w:r w:rsidR="00382935" w:rsidRPr="00C141A7">
        <w:rPr>
          <w:rFonts w:ascii="Times New Roman" w:hAnsi="Times New Roman"/>
          <w:i/>
          <w:sz w:val="22"/>
          <w:szCs w:val="22"/>
          <w:lang w:val="sk-SK"/>
        </w:rPr>
        <w:t xml:space="preserve">rokov </w:t>
      </w:r>
      <w:r w:rsidR="003D6F47">
        <w:rPr>
          <w:rFonts w:ascii="Times New Roman" w:hAnsi="Times New Roman"/>
          <w:i/>
          <w:sz w:val="22"/>
          <w:szCs w:val="22"/>
          <w:lang w:val="sk-SK"/>
        </w:rPr>
        <w:t>a </w:t>
      </w:r>
      <w:r w:rsidR="00DC44AD">
        <w:rPr>
          <w:rFonts w:ascii="Times New Roman" w:hAnsi="Times New Roman"/>
          <w:i/>
          <w:sz w:val="22"/>
          <w:szCs w:val="22"/>
          <w:lang w:val="sk-SK"/>
        </w:rPr>
        <w:t>starším</w:t>
      </w:r>
      <w:r w:rsidR="003D6F47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382935" w:rsidRPr="00C141A7">
        <w:rPr>
          <w:rFonts w:ascii="Times New Roman" w:hAnsi="Times New Roman"/>
          <w:i/>
          <w:sz w:val="22"/>
          <w:szCs w:val="22"/>
          <w:lang w:val="sk-SK"/>
        </w:rPr>
        <w:t>s normálnou funkciou obličiek: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- Úvodná (indukčná) liečba: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trvajúcej dlhšie ako jednu hodinu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podávanej každých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hodín počas 14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21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- Udržiavacia liečba: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imunokompromitovaným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pacientom, ktorým hrozí riziko recidívy, sa môže podať udržiavacia liečba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mg/kg vo forme intravenóznej infúzie trvajúcej dlhšie ako jednu hodinu raz </w:t>
      </w:r>
      <w:r w:rsidRPr="00D05B9F">
        <w:rPr>
          <w:rFonts w:ascii="Times New Roman" w:hAnsi="Times New Roman"/>
          <w:sz w:val="22"/>
          <w:szCs w:val="22"/>
          <w:lang w:val="sk-SK"/>
        </w:rPr>
        <w:lastRenderedPageBreak/>
        <w:t>denne počas 7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týždni, alebo 6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raz denne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týždni. Trvanie udržiavacej liečby má závisieť individuálne od pacienta, má sa postupovať podľa lokálnych odporúčaní pre liečbu daného ochorenia.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- Liečba progresie ochorenia: každý pacient, u ktorého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progreduje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CMV ochorenie, či už na udržiavacej liečbe alebo z dôvodu, že u neho bola liečba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ukončená, môže byť znova liečený použitím indukčného tera</w:t>
      </w:r>
      <w:r>
        <w:rPr>
          <w:rFonts w:ascii="Times New Roman" w:hAnsi="Times New Roman"/>
          <w:sz w:val="22"/>
          <w:szCs w:val="22"/>
          <w:lang w:val="sk-SK"/>
        </w:rPr>
        <w:t>peutického režimu.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7663DB" w:rsidRPr="007663DB" w:rsidRDefault="00C34264" w:rsidP="0010462A">
      <w:pPr>
        <w:rPr>
          <w:rFonts w:ascii="Times New Roman" w:hAnsi="Times New Roman"/>
          <w:i/>
          <w:sz w:val="22"/>
          <w:szCs w:val="22"/>
          <w:lang w:val="sk-SK"/>
        </w:rPr>
      </w:pP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Pediatrická populácia </w:t>
      </w:r>
      <w:r w:rsidR="001D21F7">
        <w:rPr>
          <w:rFonts w:ascii="Times New Roman" w:hAnsi="Times New Roman"/>
          <w:i/>
          <w:sz w:val="22"/>
          <w:szCs w:val="22"/>
          <w:lang w:val="sk-SK"/>
        </w:rPr>
        <w:t xml:space="preserve">vo veku 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od narodenia </w:t>
      </w:r>
      <w:r w:rsidR="001D21F7">
        <w:rPr>
          <w:rFonts w:ascii="Times New Roman" w:hAnsi="Times New Roman"/>
          <w:i/>
          <w:sz w:val="22"/>
          <w:szCs w:val="22"/>
          <w:lang w:val="sk-SK"/>
        </w:rPr>
        <w:t>do menej ako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 12 rokov:</w:t>
      </w:r>
    </w:p>
    <w:p w:rsidR="007663DB" w:rsidRDefault="007663DB" w:rsidP="0010462A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Súčasne dostupné údaje o pediatrickej populácii sú popísané v časti 5.1 a 5.2, nie je však možné vyvodiť odporúčania pre dávkovanie. </w:t>
      </w:r>
    </w:p>
    <w:p w:rsidR="007663DB" w:rsidRPr="00D05B9F" w:rsidRDefault="007663DB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7663DB" w:rsidRPr="007663DB" w:rsidRDefault="00C34264" w:rsidP="0010462A">
      <w:pPr>
        <w:rPr>
          <w:rFonts w:ascii="Times New Roman" w:hAnsi="Times New Roman"/>
          <w:b/>
          <w:i/>
          <w:sz w:val="22"/>
          <w:szCs w:val="22"/>
          <w:lang w:val="sk-SK"/>
        </w:rPr>
      </w:pPr>
      <w:r w:rsidRPr="00C34264">
        <w:rPr>
          <w:rFonts w:ascii="Times New Roman" w:hAnsi="Times New Roman"/>
          <w:b/>
          <w:i/>
          <w:sz w:val="22"/>
          <w:szCs w:val="22"/>
          <w:lang w:val="sk-SK"/>
        </w:rPr>
        <w:t xml:space="preserve">Prevencia CMV </w:t>
      </w:r>
      <w:r w:rsidRPr="008242C8">
        <w:rPr>
          <w:rFonts w:ascii="Times New Roman" w:hAnsi="Times New Roman"/>
          <w:b/>
          <w:i/>
          <w:sz w:val="22"/>
          <w:szCs w:val="22"/>
          <w:lang w:val="sk-SK"/>
        </w:rPr>
        <w:t>ochorenia</w:t>
      </w:r>
      <w:r w:rsidR="0010462A" w:rsidRPr="008242C8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8242C8">
        <w:rPr>
          <w:rFonts w:ascii="Times New Roman" w:hAnsi="Times New Roman"/>
          <w:b/>
          <w:i/>
          <w:sz w:val="22"/>
          <w:szCs w:val="22"/>
          <w:lang w:val="sk-SK"/>
        </w:rPr>
        <w:t xml:space="preserve">s použitím </w:t>
      </w:r>
      <w:proofErr w:type="spellStart"/>
      <w:r w:rsidRPr="008242C8">
        <w:rPr>
          <w:rFonts w:ascii="Times New Roman" w:hAnsi="Times New Roman"/>
          <w:b/>
          <w:i/>
          <w:sz w:val="22"/>
          <w:szCs w:val="22"/>
          <w:lang w:val="sk-SK"/>
        </w:rPr>
        <w:t>preemptívnej</w:t>
      </w:r>
      <w:proofErr w:type="spellEnd"/>
      <w:r w:rsidRPr="008242C8">
        <w:rPr>
          <w:rFonts w:ascii="Times New Roman" w:hAnsi="Times New Roman"/>
          <w:b/>
          <w:i/>
          <w:sz w:val="22"/>
          <w:szCs w:val="22"/>
          <w:lang w:val="sk-SK"/>
        </w:rPr>
        <w:t xml:space="preserve"> liečby</w:t>
      </w:r>
    </w:p>
    <w:p w:rsidR="0010462A" w:rsidRPr="00D05B9F" w:rsidRDefault="007663DB" w:rsidP="007663DB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D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ospel</w:t>
      </w:r>
      <w:r>
        <w:rPr>
          <w:rFonts w:ascii="Times New Roman" w:hAnsi="Times New Roman"/>
          <w:i/>
          <w:sz w:val="22"/>
          <w:szCs w:val="22"/>
          <w:lang w:val="sk-SK"/>
        </w:rPr>
        <w:t>í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 a</w:t>
      </w:r>
      <w:r w:rsidR="006B5FDE">
        <w:rPr>
          <w:rFonts w:ascii="Times New Roman" w:hAnsi="Times New Roman"/>
          <w:i/>
          <w:sz w:val="22"/>
          <w:szCs w:val="22"/>
          <w:lang w:val="sk-SK"/>
        </w:rPr>
        <w:t xml:space="preserve"> pediatrická populácia vo veku 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12</w:t>
      </w:r>
      <w:r>
        <w:rPr>
          <w:rFonts w:ascii="Times New Roman" w:hAnsi="Times New Roman"/>
          <w:i/>
          <w:sz w:val="22"/>
          <w:szCs w:val="22"/>
          <w:lang w:val="sk-SK"/>
        </w:rPr>
        <w:t> 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rokov </w:t>
      </w:r>
      <w:r w:rsidR="00DC44AD">
        <w:rPr>
          <w:rFonts w:ascii="Times New Roman" w:hAnsi="Times New Roman"/>
          <w:i/>
          <w:sz w:val="22"/>
          <w:szCs w:val="22"/>
          <w:lang w:val="sk-SK"/>
        </w:rPr>
        <w:t xml:space="preserve">a starším 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s normálnou funkciou obličiek</w:t>
      </w:r>
      <w:r>
        <w:rPr>
          <w:rFonts w:ascii="Times New Roman" w:hAnsi="Times New Roman"/>
          <w:i/>
          <w:sz w:val="22"/>
          <w:szCs w:val="22"/>
          <w:lang w:val="sk-SK"/>
        </w:rPr>
        <w:t>: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Indukčná liečba: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trvajúcej dlhšie ako jednu hodinu a podávanej každých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hodín počas 7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14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Udržiavacia liečba: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trvajúcej dlhšie ako jednu hodinu raz denne počas 7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týždni, alebo 6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raz denne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týždni. Trvanie udržiavacej liečby závisí od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rizika CMV ochorenia, má sa postupovať podľa lokálnych odporúčaní pre liečbu.</w:t>
      </w:r>
    </w:p>
    <w:p w:rsidR="007663DB" w:rsidRDefault="007663DB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C34264" w:rsidP="0010462A">
      <w:pPr>
        <w:rPr>
          <w:rFonts w:ascii="Times New Roman" w:hAnsi="Times New Roman"/>
          <w:i/>
          <w:sz w:val="22"/>
          <w:szCs w:val="22"/>
          <w:lang w:val="sk-SK"/>
        </w:rPr>
      </w:pP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Pediatrická populácia </w:t>
      </w:r>
      <w:r w:rsidR="006B5FDE">
        <w:rPr>
          <w:rFonts w:ascii="Times New Roman" w:hAnsi="Times New Roman"/>
          <w:i/>
          <w:sz w:val="22"/>
          <w:szCs w:val="22"/>
          <w:lang w:val="sk-SK"/>
        </w:rPr>
        <w:t xml:space="preserve">vo veku 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od narodenia </w:t>
      </w:r>
      <w:r w:rsidR="006B5FDE">
        <w:rPr>
          <w:rFonts w:ascii="Times New Roman" w:hAnsi="Times New Roman"/>
          <w:i/>
          <w:sz w:val="22"/>
          <w:szCs w:val="22"/>
          <w:lang w:val="sk-SK"/>
        </w:rPr>
        <w:t>do menej</w:t>
      </w:r>
      <w:r w:rsidR="00CE2661" w:rsidRPr="00CE266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t>ako 12 rokov:</w:t>
      </w:r>
    </w:p>
    <w:p w:rsidR="007663DB" w:rsidRDefault="007663DB" w:rsidP="007663DB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Súčasne dostupné údaje o pediatrickej populácii sú popísané v časti 5.1 a 5.2, nie je však možné vyvodiť odporúčania pre dávkovanie. </w:t>
      </w:r>
    </w:p>
    <w:p w:rsidR="007663DB" w:rsidRDefault="007663DB" w:rsidP="0010462A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7663DB" w:rsidRPr="007663DB" w:rsidRDefault="006B5FDE" w:rsidP="004258D4">
      <w:pPr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b/>
          <w:i/>
          <w:sz w:val="22"/>
          <w:szCs w:val="22"/>
          <w:lang w:val="sk-SK"/>
        </w:rPr>
        <w:t>Prevencia CMV ochorení</w:t>
      </w:r>
      <w:r w:rsidR="004258D4" w:rsidRPr="00C141A7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C34264" w:rsidRPr="008242C8">
        <w:rPr>
          <w:rFonts w:ascii="Times New Roman" w:hAnsi="Times New Roman"/>
          <w:b/>
          <w:i/>
          <w:sz w:val="22"/>
          <w:szCs w:val="22"/>
          <w:lang w:val="sk-SK"/>
        </w:rPr>
        <w:t>s použitím</w:t>
      </w:r>
      <w:r w:rsidR="004258D4">
        <w:rPr>
          <w:rFonts w:ascii="Times New Roman" w:hAnsi="Times New Roman"/>
          <w:b/>
          <w:i/>
          <w:sz w:val="22"/>
          <w:szCs w:val="22"/>
          <w:lang w:val="sk-SK"/>
        </w:rPr>
        <w:t xml:space="preserve"> univerzálnej profylaktickej liečby</w:t>
      </w:r>
    </w:p>
    <w:p w:rsidR="004258D4" w:rsidRPr="00D05B9F" w:rsidRDefault="004258D4" w:rsidP="004258D4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D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ospel</w:t>
      </w:r>
      <w:r>
        <w:rPr>
          <w:rFonts w:ascii="Times New Roman" w:hAnsi="Times New Roman"/>
          <w:i/>
          <w:sz w:val="22"/>
          <w:szCs w:val="22"/>
          <w:lang w:val="sk-SK"/>
        </w:rPr>
        <w:t>í</w:t>
      </w:r>
      <w:r w:rsidR="006B5FDE">
        <w:rPr>
          <w:rFonts w:ascii="Times New Roman" w:hAnsi="Times New Roman"/>
          <w:i/>
          <w:sz w:val="22"/>
          <w:szCs w:val="22"/>
          <w:lang w:val="sk-SK"/>
        </w:rPr>
        <w:t xml:space="preserve"> a pediatrická populácia vo veku viac </w:t>
      </w:r>
      <w:r>
        <w:rPr>
          <w:rFonts w:ascii="Times New Roman" w:hAnsi="Times New Roman"/>
          <w:i/>
          <w:sz w:val="22"/>
          <w:szCs w:val="22"/>
          <w:lang w:val="sk-SK"/>
        </w:rPr>
        <w:t>ako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 1</w:t>
      </w:r>
      <w:r>
        <w:rPr>
          <w:rFonts w:ascii="Times New Roman" w:hAnsi="Times New Roman"/>
          <w:i/>
          <w:sz w:val="22"/>
          <w:szCs w:val="22"/>
          <w:lang w:val="sk-SK"/>
        </w:rPr>
        <w:t>6 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rokov</w:t>
      </w:r>
      <w:r>
        <w:rPr>
          <w:rFonts w:ascii="Times New Roman" w:hAnsi="Times New Roman"/>
          <w:i/>
          <w:sz w:val="22"/>
          <w:szCs w:val="22"/>
          <w:lang w:val="sk-SK"/>
        </w:rPr>
        <w:t>:</w:t>
      </w:r>
    </w:p>
    <w:p w:rsidR="004258D4" w:rsidRPr="00D05B9F" w:rsidRDefault="004258D4" w:rsidP="004258D4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</w:t>
      </w:r>
      <w:r>
        <w:rPr>
          <w:rFonts w:ascii="Times New Roman" w:hAnsi="Times New Roman"/>
          <w:sz w:val="22"/>
          <w:szCs w:val="22"/>
          <w:lang w:val="sk-SK"/>
        </w:rPr>
        <w:t>ajúcej dlhšie ako jednu hodinu,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podávanej </w:t>
      </w:r>
      <w:r>
        <w:rPr>
          <w:rFonts w:ascii="Times New Roman" w:hAnsi="Times New Roman"/>
          <w:sz w:val="22"/>
          <w:szCs w:val="22"/>
          <w:lang w:val="sk-SK"/>
        </w:rPr>
        <w:t>raz denne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Pr="00D05B9F">
        <w:rPr>
          <w:rFonts w:ascii="Times New Roman" w:hAnsi="Times New Roman"/>
          <w:sz w:val="22"/>
          <w:szCs w:val="22"/>
          <w:lang w:val="sk-SK"/>
        </w:rPr>
        <w:t>7</w:t>
      </w:r>
      <w:r>
        <w:rPr>
          <w:rFonts w:ascii="Times New Roman" w:hAnsi="Times New Roman"/>
          <w:sz w:val="22"/>
          <w:szCs w:val="22"/>
          <w:lang w:val="sk-SK"/>
        </w:rPr>
        <w:t xml:space="preserve"> dní v týždni alebo </w:t>
      </w:r>
      <w:r w:rsidRPr="00D05B9F">
        <w:rPr>
          <w:rFonts w:ascii="Times New Roman" w:hAnsi="Times New Roman"/>
          <w:sz w:val="22"/>
          <w:szCs w:val="22"/>
          <w:lang w:val="sk-SK"/>
        </w:rPr>
        <w:t>6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raz denne 5</w:t>
      </w:r>
      <w:r>
        <w:rPr>
          <w:rFonts w:ascii="Times New Roman" w:hAnsi="Times New Roman"/>
          <w:sz w:val="22"/>
          <w:szCs w:val="22"/>
          <w:lang w:val="sk-SK"/>
        </w:rPr>
        <w:t xml:space="preserve"> dní v týždni. </w:t>
      </w:r>
      <w:r w:rsidRPr="00D05B9F">
        <w:rPr>
          <w:rFonts w:ascii="Times New Roman" w:hAnsi="Times New Roman"/>
          <w:sz w:val="22"/>
          <w:szCs w:val="22"/>
          <w:lang w:val="sk-SK"/>
        </w:rPr>
        <w:t>Trvanie liečby závisí od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rizika CMV ochorenia, má sa postupovať podľa lokálnych odporúčaní pre liečbu.</w:t>
      </w:r>
    </w:p>
    <w:p w:rsidR="004258D4" w:rsidRPr="00D05B9F" w:rsidRDefault="004258D4" w:rsidP="004258D4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</w:t>
      </w:r>
    </w:p>
    <w:p w:rsidR="004258D4" w:rsidRDefault="004258D4" w:rsidP="004258D4">
      <w:pPr>
        <w:rPr>
          <w:rFonts w:ascii="Times New Roman" w:hAnsi="Times New Roman"/>
          <w:i/>
          <w:sz w:val="22"/>
          <w:szCs w:val="22"/>
          <w:lang w:val="sk-SK"/>
        </w:rPr>
      </w:pPr>
      <w:r w:rsidRPr="00FE2F3C">
        <w:rPr>
          <w:rFonts w:ascii="Times New Roman" w:hAnsi="Times New Roman"/>
          <w:i/>
          <w:sz w:val="22"/>
          <w:szCs w:val="22"/>
          <w:lang w:val="sk-SK"/>
        </w:rPr>
        <w:t xml:space="preserve">Pediatrická populácia </w:t>
      </w:r>
      <w:r w:rsidR="006B5FDE">
        <w:rPr>
          <w:rFonts w:ascii="Times New Roman" w:hAnsi="Times New Roman"/>
          <w:i/>
          <w:sz w:val="22"/>
          <w:szCs w:val="22"/>
          <w:lang w:val="sk-SK"/>
        </w:rPr>
        <w:t xml:space="preserve">vo veku </w:t>
      </w:r>
      <w:r w:rsidRPr="00FE2F3C">
        <w:rPr>
          <w:rFonts w:ascii="Times New Roman" w:hAnsi="Times New Roman"/>
          <w:i/>
          <w:sz w:val="22"/>
          <w:szCs w:val="22"/>
          <w:lang w:val="sk-SK"/>
        </w:rPr>
        <w:t>od narodenia</w:t>
      </w:r>
      <w:r w:rsidR="00020E9D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243EF1">
        <w:rPr>
          <w:rFonts w:ascii="Times New Roman" w:hAnsi="Times New Roman"/>
          <w:i/>
          <w:sz w:val="22"/>
          <w:szCs w:val="22"/>
          <w:lang w:val="sk-SK"/>
        </w:rPr>
        <w:t>do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 16</w:t>
      </w:r>
      <w:r w:rsidRPr="00FE2F3C">
        <w:rPr>
          <w:rFonts w:ascii="Times New Roman" w:hAnsi="Times New Roman"/>
          <w:i/>
          <w:sz w:val="22"/>
          <w:szCs w:val="22"/>
          <w:lang w:val="sk-SK"/>
        </w:rPr>
        <w:t xml:space="preserve"> rokov:</w:t>
      </w:r>
    </w:p>
    <w:p w:rsidR="00CC7AC3" w:rsidRPr="00D05B9F" w:rsidRDefault="00C34264" w:rsidP="00CC7AC3">
      <w:pPr>
        <w:rPr>
          <w:rFonts w:ascii="Times New Roman" w:hAnsi="Times New Roman"/>
          <w:sz w:val="22"/>
          <w:szCs w:val="22"/>
          <w:lang w:val="sk-SK"/>
        </w:rPr>
      </w:pPr>
      <w:r w:rsidRPr="00C34264">
        <w:rPr>
          <w:rFonts w:ascii="Times New Roman" w:hAnsi="Times New Roman"/>
          <w:sz w:val="22"/>
          <w:szCs w:val="22"/>
          <w:lang w:val="sk-SK"/>
        </w:rPr>
        <w:t>Odporúčaná</w:t>
      </w:r>
      <w:r w:rsidR="00CC7AC3">
        <w:rPr>
          <w:rFonts w:ascii="Times New Roman" w:hAnsi="Times New Roman"/>
          <w:sz w:val="22"/>
          <w:szCs w:val="22"/>
          <w:lang w:val="sk-SK"/>
        </w:rPr>
        <w:t xml:space="preserve"> dávka </w:t>
      </w:r>
      <w:proofErr w:type="spellStart"/>
      <w:r w:rsidR="00CC7AC3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="00CC7AC3">
        <w:rPr>
          <w:rFonts w:ascii="Times New Roman" w:hAnsi="Times New Roman"/>
          <w:sz w:val="22"/>
          <w:szCs w:val="22"/>
          <w:lang w:val="sk-SK"/>
        </w:rPr>
        <w:t xml:space="preserve"> podávaná </w:t>
      </w:r>
      <w:r w:rsidR="006B5FDE">
        <w:rPr>
          <w:rFonts w:ascii="Times New Roman" w:hAnsi="Times New Roman"/>
          <w:sz w:val="22"/>
          <w:szCs w:val="22"/>
          <w:lang w:val="sk-SK"/>
        </w:rPr>
        <w:t xml:space="preserve">raz denne </w:t>
      </w:r>
      <w:r w:rsidR="00CC7AC3">
        <w:rPr>
          <w:rFonts w:ascii="Times New Roman" w:hAnsi="Times New Roman"/>
          <w:sz w:val="22"/>
          <w:szCs w:val="22"/>
          <w:lang w:val="sk-SK"/>
        </w:rPr>
        <w:t xml:space="preserve">formou intravenóznej infúzie </w:t>
      </w:r>
      <w:r w:rsidR="00CC7AC3" w:rsidRPr="00D05B9F">
        <w:rPr>
          <w:rFonts w:ascii="Times New Roman" w:hAnsi="Times New Roman"/>
          <w:sz w:val="22"/>
          <w:szCs w:val="22"/>
          <w:lang w:val="sk-SK"/>
        </w:rPr>
        <w:t>trv</w:t>
      </w:r>
      <w:r w:rsidR="00CC7AC3">
        <w:rPr>
          <w:rFonts w:ascii="Times New Roman" w:hAnsi="Times New Roman"/>
          <w:sz w:val="22"/>
          <w:szCs w:val="22"/>
          <w:lang w:val="sk-SK"/>
        </w:rPr>
        <w:t xml:space="preserve">ajúcej dlhšie ako jednu hodinu </w:t>
      </w:r>
      <w:r w:rsidR="006545FA">
        <w:rPr>
          <w:rFonts w:ascii="Times New Roman" w:hAnsi="Times New Roman"/>
          <w:sz w:val="22"/>
          <w:szCs w:val="22"/>
          <w:lang w:val="sk-SK"/>
        </w:rPr>
        <w:t>sa vypočíta</w:t>
      </w:r>
      <w:r w:rsidR="00CC7AC3">
        <w:rPr>
          <w:rFonts w:ascii="Times New Roman" w:hAnsi="Times New Roman"/>
          <w:sz w:val="22"/>
          <w:szCs w:val="22"/>
          <w:lang w:val="sk-SK"/>
        </w:rPr>
        <w:t xml:space="preserve"> z plochy povrchu tela (Body </w:t>
      </w:r>
      <w:proofErr w:type="spellStart"/>
      <w:r w:rsidR="00CC7AC3">
        <w:rPr>
          <w:rFonts w:ascii="Times New Roman" w:hAnsi="Times New Roman"/>
          <w:sz w:val="22"/>
          <w:szCs w:val="22"/>
          <w:lang w:val="sk-SK"/>
        </w:rPr>
        <w:t>Surface</w:t>
      </w:r>
      <w:proofErr w:type="spellEnd"/>
      <w:r w:rsidR="00CC7AC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C7AC3">
        <w:rPr>
          <w:rFonts w:ascii="Times New Roman" w:hAnsi="Times New Roman"/>
          <w:sz w:val="22"/>
          <w:szCs w:val="22"/>
          <w:lang w:val="sk-SK"/>
        </w:rPr>
        <w:t>Area</w:t>
      </w:r>
      <w:proofErr w:type="spellEnd"/>
      <w:r w:rsidR="00CC7AC3">
        <w:rPr>
          <w:rFonts w:ascii="Times New Roman" w:hAnsi="Times New Roman"/>
          <w:sz w:val="22"/>
          <w:szCs w:val="22"/>
          <w:lang w:val="sk-SK"/>
        </w:rPr>
        <w:t xml:space="preserve">, BSA) za použitia </w:t>
      </w:r>
      <w:proofErr w:type="spellStart"/>
      <w:r w:rsidR="00CC7AC3">
        <w:rPr>
          <w:rFonts w:ascii="Times New Roman" w:hAnsi="Times New Roman"/>
          <w:sz w:val="22"/>
          <w:szCs w:val="22"/>
          <w:lang w:val="sk-SK"/>
        </w:rPr>
        <w:t>Mostell</w:t>
      </w:r>
      <w:r w:rsidR="00C24AB2">
        <w:rPr>
          <w:rFonts w:ascii="Times New Roman" w:hAnsi="Times New Roman"/>
          <w:sz w:val="22"/>
          <w:szCs w:val="22"/>
          <w:lang w:val="sk-SK"/>
        </w:rPr>
        <w:t>a</w:t>
      </w:r>
      <w:r w:rsidR="00CC7AC3">
        <w:rPr>
          <w:rFonts w:ascii="Times New Roman" w:hAnsi="Times New Roman"/>
          <w:sz w:val="22"/>
          <w:szCs w:val="22"/>
          <w:lang w:val="sk-SK"/>
        </w:rPr>
        <w:t>rovho</w:t>
      </w:r>
      <w:proofErr w:type="spellEnd"/>
      <w:r w:rsidR="00CC7AC3">
        <w:rPr>
          <w:rFonts w:ascii="Times New Roman" w:hAnsi="Times New Roman"/>
          <w:sz w:val="22"/>
          <w:szCs w:val="22"/>
          <w:lang w:val="sk-SK"/>
        </w:rPr>
        <w:t xml:space="preserve"> vzorca pre výpočet BSA a </w:t>
      </w:r>
      <w:proofErr w:type="spellStart"/>
      <w:r w:rsidR="00CC7AC3"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 w:rsidR="00CC7AC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C7AC3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="00CC7AC3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CC7AC3">
        <w:rPr>
          <w:rFonts w:ascii="Times New Roman" w:hAnsi="Times New Roman"/>
          <w:sz w:val="22"/>
          <w:szCs w:val="22"/>
          <w:lang w:val="sk-SK"/>
        </w:rPr>
        <w:t>CrCLS</w:t>
      </w:r>
      <w:proofErr w:type="spellEnd"/>
      <w:r w:rsidR="00CC7AC3">
        <w:rPr>
          <w:rFonts w:ascii="Times New Roman" w:hAnsi="Times New Roman"/>
          <w:sz w:val="22"/>
          <w:szCs w:val="22"/>
          <w:lang w:val="sk-SK"/>
        </w:rPr>
        <w:t xml:space="preserve">) odvodeného </w:t>
      </w:r>
      <w:r w:rsidR="00BA5D0A">
        <w:rPr>
          <w:rFonts w:ascii="Times New Roman" w:hAnsi="Times New Roman"/>
          <w:sz w:val="22"/>
          <w:szCs w:val="22"/>
          <w:lang w:val="sk-SK"/>
        </w:rPr>
        <w:t xml:space="preserve">podľa </w:t>
      </w:r>
      <w:proofErr w:type="spellStart"/>
      <w:r w:rsidR="00BA5D0A">
        <w:rPr>
          <w:rFonts w:ascii="Times New Roman" w:hAnsi="Times New Roman"/>
          <w:sz w:val="22"/>
          <w:szCs w:val="22"/>
          <w:lang w:val="sk-SK"/>
        </w:rPr>
        <w:t>Schwartzovho</w:t>
      </w:r>
      <w:proofErr w:type="spellEnd"/>
      <w:r w:rsidR="00BA5D0A">
        <w:rPr>
          <w:rFonts w:ascii="Times New Roman" w:hAnsi="Times New Roman"/>
          <w:sz w:val="22"/>
          <w:szCs w:val="22"/>
          <w:lang w:val="sk-SK"/>
        </w:rPr>
        <w:t xml:space="preserve"> vzorca, </w:t>
      </w:r>
      <w:r w:rsidR="00CC7AC3">
        <w:rPr>
          <w:rFonts w:ascii="Times New Roman" w:hAnsi="Times New Roman"/>
          <w:sz w:val="22"/>
          <w:szCs w:val="22"/>
          <w:lang w:val="sk-SK"/>
        </w:rPr>
        <w:t>vypočítan</w:t>
      </w:r>
      <w:r w:rsidR="00BD238F">
        <w:rPr>
          <w:rFonts w:ascii="Times New Roman" w:hAnsi="Times New Roman"/>
          <w:sz w:val="22"/>
          <w:szCs w:val="22"/>
          <w:lang w:val="sk-SK"/>
        </w:rPr>
        <w:t>á</w:t>
      </w:r>
      <w:r w:rsidR="00CC7AC3">
        <w:rPr>
          <w:rFonts w:ascii="Times New Roman" w:hAnsi="Times New Roman"/>
          <w:sz w:val="22"/>
          <w:szCs w:val="22"/>
          <w:lang w:val="sk-SK"/>
        </w:rPr>
        <w:t xml:space="preserve"> podľa</w:t>
      </w:r>
      <w:r w:rsidR="00BA5D0A">
        <w:rPr>
          <w:rFonts w:ascii="Times New Roman" w:hAnsi="Times New Roman"/>
          <w:sz w:val="22"/>
          <w:szCs w:val="22"/>
          <w:lang w:val="sk-SK"/>
        </w:rPr>
        <w:t xml:space="preserve"> nižšie uvedenej </w:t>
      </w:r>
      <w:r w:rsidR="00CC7AC3">
        <w:rPr>
          <w:rFonts w:ascii="Times New Roman" w:hAnsi="Times New Roman"/>
          <w:sz w:val="22"/>
          <w:szCs w:val="22"/>
          <w:lang w:val="sk-SK"/>
        </w:rPr>
        <w:t xml:space="preserve">rovnice. </w:t>
      </w:r>
      <w:r w:rsidR="00CC7AC3" w:rsidRPr="00D05B9F">
        <w:rPr>
          <w:rFonts w:ascii="Times New Roman" w:hAnsi="Times New Roman"/>
          <w:sz w:val="22"/>
          <w:szCs w:val="22"/>
          <w:lang w:val="sk-SK"/>
        </w:rPr>
        <w:t xml:space="preserve">Trvanie </w:t>
      </w:r>
      <w:r w:rsidR="00CC7AC3">
        <w:rPr>
          <w:rFonts w:ascii="Times New Roman" w:hAnsi="Times New Roman"/>
          <w:sz w:val="22"/>
          <w:szCs w:val="22"/>
          <w:lang w:val="sk-SK"/>
        </w:rPr>
        <w:t xml:space="preserve">univerzálnej profylaktickej </w:t>
      </w:r>
      <w:r w:rsidR="00CC7AC3" w:rsidRPr="00D05B9F">
        <w:rPr>
          <w:rFonts w:ascii="Times New Roman" w:hAnsi="Times New Roman"/>
          <w:sz w:val="22"/>
          <w:szCs w:val="22"/>
          <w:lang w:val="sk-SK"/>
        </w:rPr>
        <w:t>liečby závisí od</w:t>
      </w:r>
      <w:r w:rsidR="00CC7AC3">
        <w:rPr>
          <w:rFonts w:ascii="Times New Roman" w:hAnsi="Times New Roman"/>
          <w:sz w:val="22"/>
          <w:szCs w:val="22"/>
          <w:lang w:val="sk-SK"/>
        </w:rPr>
        <w:t> </w:t>
      </w:r>
      <w:r w:rsidR="006545FA">
        <w:rPr>
          <w:rFonts w:ascii="Times New Roman" w:hAnsi="Times New Roman"/>
          <w:sz w:val="22"/>
          <w:szCs w:val="22"/>
          <w:lang w:val="sk-SK"/>
        </w:rPr>
        <w:t>rizika CMV ochorenia a</w:t>
      </w:r>
      <w:r w:rsidR="00CC7AC3" w:rsidRPr="00D05B9F">
        <w:rPr>
          <w:rFonts w:ascii="Times New Roman" w:hAnsi="Times New Roman"/>
          <w:sz w:val="22"/>
          <w:szCs w:val="22"/>
          <w:lang w:val="sk-SK"/>
        </w:rPr>
        <w:t xml:space="preserve"> má </w:t>
      </w:r>
      <w:r w:rsidR="006545FA">
        <w:rPr>
          <w:rFonts w:ascii="Times New Roman" w:hAnsi="Times New Roman"/>
          <w:sz w:val="22"/>
          <w:szCs w:val="22"/>
          <w:lang w:val="sk-SK"/>
        </w:rPr>
        <w:t xml:space="preserve">byť zvolené </w:t>
      </w:r>
      <w:r w:rsidR="00BD238F">
        <w:rPr>
          <w:rFonts w:ascii="Times New Roman" w:hAnsi="Times New Roman"/>
          <w:sz w:val="22"/>
          <w:szCs w:val="22"/>
          <w:lang w:val="sk-SK"/>
        </w:rPr>
        <w:t xml:space="preserve">pre </w:t>
      </w:r>
      <w:r w:rsidR="006545FA">
        <w:rPr>
          <w:rFonts w:ascii="Times New Roman" w:hAnsi="Times New Roman"/>
          <w:sz w:val="22"/>
          <w:szCs w:val="22"/>
          <w:lang w:val="sk-SK"/>
        </w:rPr>
        <w:t>individuálneho</w:t>
      </w:r>
      <w:r w:rsidR="00CC7AC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D238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545FA">
        <w:rPr>
          <w:rFonts w:ascii="Times New Roman" w:hAnsi="Times New Roman"/>
          <w:sz w:val="22"/>
          <w:szCs w:val="22"/>
          <w:lang w:val="sk-SK"/>
        </w:rPr>
        <w:t>pacienta</w:t>
      </w:r>
      <w:r w:rsidR="00CC7AC3" w:rsidRPr="00D05B9F">
        <w:rPr>
          <w:rFonts w:ascii="Times New Roman" w:hAnsi="Times New Roman"/>
          <w:sz w:val="22"/>
          <w:szCs w:val="22"/>
          <w:lang w:val="sk-SK"/>
        </w:rPr>
        <w:t>.</w:t>
      </w:r>
    </w:p>
    <w:p w:rsidR="004258D4" w:rsidRDefault="004258D4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BA5D0A" w:rsidRPr="00CC7AC3" w:rsidRDefault="00BA5D0A" w:rsidP="0010462A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Pediatrická dávka (mg) = 3x BSA x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CrCLS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(pozri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Mostellerov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vzorec na výpočet BSA a Schwartzov vzorec na výpočet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="009D0AAC">
        <w:rPr>
          <w:rFonts w:ascii="Times New Roman" w:hAnsi="Times New Roman"/>
          <w:sz w:val="22"/>
          <w:szCs w:val="22"/>
          <w:lang w:val="sk-SK"/>
        </w:rPr>
        <w:t>, uvedený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D0AAC">
        <w:rPr>
          <w:rFonts w:ascii="Times New Roman" w:hAnsi="Times New Roman"/>
          <w:sz w:val="22"/>
          <w:szCs w:val="22"/>
          <w:lang w:val="sk-SK"/>
        </w:rPr>
        <w:t>nižšie</w:t>
      </w:r>
      <w:r>
        <w:rPr>
          <w:rFonts w:ascii="Times New Roman" w:hAnsi="Times New Roman"/>
          <w:sz w:val="22"/>
          <w:szCs w:val="22"/>
          <w:lang w:val="sk-SK"/>
        </w:rPr>
        <w:t xml:space="preserve">). </w:t>
      </w:r>
    </w:p>
    <w:p w:rsidR="004258D4" w:rsidRDefault="004258D4" w:rsidP="0010462A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BA5D0A" w:rsidRPr="00020E9D" w:rsidRDefault="00C34264" w:rsidP="00020E9D">
      <w:pPr>
        <w:rPr>
          <w:rFonts w:ascii="Times New Roman" w:hAnsi="Times New Roman"/>
          <w:sz w:val="22"/>
          <w:szCs w:val="22"/>
          <w:lang w:val="sk-SK"/>
        </w:rPr>
      </w:pPr>
      <w:r w:rsidRPr="00C34264">
        <w:rPr>
          <w:rFonts w:ascii="Times New Roman" w:hAnsi="Times New Roman"/>
          <w:sz w:val="22"/>
          <w:szCs w:val="22"/>
          <w:lang w:val="sk-SK"/>
        </w:rPr>
        <w:t xml:space="preserve">Ak vypočítaný </w:t>
      </w:r>
      <w:proofErr w:type="spellStart"/>
      <w:r w:rsidRPr="00C34264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Pr="00C3426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34264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Pr="00C34264">
        <w:rPr>
          <w:rFonts w:ascii="Times New Roman" w:hAnsi="Times New Roman"/>
          <w:sz w:val="22"/>
          <w:szCs w:val="22"/>
          <w:lang w:val="sk-SK"/>
        </w:rPr>
        <w:t xml:space="preserve"> podľa Schwartza prekročí 150 ml/min/1,73 m</w:t>
      </w:r>
      <w:r w:rsidRPr="00C34264">
        <w:rPr>
          <w:rFonts w:ascii="Times New Roman" w:hAnsi="Times New Roman"/>
          <w:sz w:val="22"/>
          <w:szCs w:val="22"/>
          <w:vertAlign w:val="superscript"/>
          <w:lang w:val="sk-SK"/>
        </w:rPr>
        <w:t>2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 , má sa </w:t>
      </w:r>
      <w:r w:rsidR="009D0AAC">
        <w:rPr>
          <w:rFonts w:ascii="Times New Roman" w:hAnsi="Times New Roman"/>
          <w:sz w:val="22"/>
          <w:szCs w:val="22"/>
          <w:lang w:val="sk-SK"/>
        </w:rPr>
        <w:t>pre výpočet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 použiť maximálna hodnota 150 ml/min/1,73 m</w:t>
      </w:r>
      <w:r w:rsidRPr="00C34264">
        <w:rPr>
          <w:rFonts w:ascii="Times New Roman" w:hAnsi="Times New Roman"/>
          <w:sz w:val="22"/>
          <w:szCs w:val="22"/>
          <w:vertAlign w:val="superscript"/>
          <w:lang w:val="sk-SK"/>
        </w:rPr>
        <w:t>2</w:t>
      </w:r>
      <w:r w:rsidRPr="00C34264">
        <w:rPr>
          <w:rFonts w:ascii="Times New Roman" w:hAnsi="Times New Roman"/>
          <w:sz w:val="22"/>
          <w:szCs w:val="22"/>
          <w:lang w:val="sk-SK"/>
        </w:rPr>
        <w:t>:</w:t>
      </w:r>
    </w:p>
    <w:p w:rsidR="00020E9D" w:rsidRDefault="00020E9D" w:rsidP="00020E9D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58763E" w:rsidRDefault="00440F8F">
      <w:pPr>
        <w:jc w:val="center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 xml:space="preserve">            </w:t>
      </w:r>
      <w:proofErr w:type="spellStart"/>
      <w:r w:rsidR="00C34264" w:rsidRPr="008242C8">
        <w:rPr>
          <w:rFonts w:ascii="Times New Roman" w:hAnsi="Times New Roman"/>
          <w:i/>
          <w:sz w:val="22"/>
          <w:szCs w:val="22"/>
          <w:lang w:val="sk-SK"/>
        </w:rPr>
        <w:t>Mostellerov</w:t>
      </w:r>
      <w:proofErr w:type="spellEnd"/>
      <w:r w:rsidR="00C34264" w:rsidRPr="008242C8">
        <w:rPr>
          <w:rFonts w:ascii="Times New Roman" w:hAnsi="Times New Roman"/>
          <w:i/>
          <w:sz w:val="22"/>
          <w:szCs w:val="22"/>
          <w:lang w:val="sk-SK"/>
        </w:rPr>
        <w:t xml:space="preserve"> BSA</w:t>
      </w:r>
      <m:oMath>
        <m:r>
          <w:rPr>
            <w:rFonts w:ascii="Cambria Math" w:hAnsi="Cambria Math"/>
            <w:lang w:val="de-DE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/>
                    <w:i/>
                    <w:szCs w:val="2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de-DE"/>
                  </w:rPr>
                  <m:t>2</m:t>
                </m:r>
              </m:sup>
            </m:sSup>
          </m:e>
        </m:d>
        <m:r>
          <w:rPr>
            <w:rFonts w:ascii="Cambria Math" w:hAnsi="Cambria Math"/>
            <w:lang w:val="de-DE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d>
              <m:dPr>
                <m:ctrlPr>
                  <w:rPr>
                    <w:rFonts w:ascii="Cambria Math" w:eastAsia="Calibri" w:hAnsi="Cambria Math"/>
                    <w:i/>
                    <w:szCs w:val="22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/>
                        <w:i/>
                        <w:szCs w:val="22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v</m:t>
                    </m:r>
                    <m:r>
                      <w:rPr>
                        <w:rFonts w:ascii="Cambria Math" w:hAnsi="Cambria Math" w:hint="eastAsia"/>
                        <w:lang w:val="de-DE"/>
                      </w:rPr>
                      <m:t>ýš</m:t>
                    </m:r>
                    <m:r>
                      <w:rPr>
                        <w:rFonts w:ascii="Cambria Math" w:hAnsi="Cambria Math"/>
                      </w:rPr>
                      <m:t>ka</m:t>
                    </m:r>
                    <m:r>
                      <w:rPr>
                        <w:rFonts w:ascii="Cambria Math" w:hAnsi="Cambria Math"/>
                        <w:lang w:val="de-DE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cm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de-DE"/>
                      </w:rPr>
                      <m:t xml:space="preserve"> h</m:t>
                    </m:r>
                    <m:r>
                      <w:rPr>
                        <w:rFonts w:ascii="Cambria Math" w:hAnsi="Cambria Math"/>
                      </w:rPr>
                      <m:t>motnos</m:t>
                    </m:r>
                    <m:r>
                      <w:rPr>
                        <w:rFonts w:ascii="Cambria Math" w:hAnsi="Cambria Math" w:hint="eastAsia"/>
                        <w:lang w:val="de-DE"/>
                      </w:rPr>
                      <m:t>ť</m:t>
                    </m:r>
                    <m:r>
                      <w:rPr>
                        <w:rFonts w:ascii="Cambria Math" w:hAnsi="Cambria Math"/>
                        <w:lang w:val="de-DE"/>
                      </w:rPr>
                      <m:t xml:space="preserve"> (</m:t>
                    </m:r>
                    <m:r>
                      <w:rPr>
                        <w:rFonts w:ascii="Cambria Math" w:hAnsi="Cambria Math"/>
                      </w:rPr>
                      <m:t>kg</m:t>
                    </m:r>
                    <m:r>
                      <w:rPr>
                        <w:rFonts w:ascii="Cambria Math" w:hAnsi="Cambria Math"/>
                        <w:lang w:val="de-DE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lang w:val="de-DE"/>
                      </w:rPr>
                      <m:t>3600</m:t>
                    </m:r>
                  </m:den>
                </m:f>
              </m:e>
            </m:d>
          </m:e>
        </m:rad>
      </m:oMath>
    </w:p>
    <w:p w:rsidR="00020E9D" w:rsidRDefault="00020E9D" w:rsidP="0010462A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440F8F" w:rsidRDefault="00440F8F" w:rsidP="0010462A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020E9D" w:rsidRDefault="00AC7F8C" w:rsidP="0010462A">
      <w:pPr>
        <w:rPr>
          <w:rFonts w:ascii="Times New Roman" w:hAnsi="Times New Roman"/>
          <w:i/>
          <w:sz w:val="22"/>
          <w:szCs w:val="22"/>
          <w:u w:val="single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DF7762">
        <w:rPr>
          <w:rFonts w:ascii="Times New Roman" w:hAnsi="Times New Roman"/>
          <w:i/>
          <w:sz w:val="22"/>
          <w:szCs w:val="22"/>
          <w:lang w:val="sk-SK"/>
        </w:rPr>
        <w:t xml:space="preserve">                </w:t>
      </w:r>
      <w:r>
        <w:rPr>
          <w:rFonts w:ascii="Times New Roman" w:hAnsi="Times New Roman"/>
          <w:i/>
          <w:sz w:val="22"/>
          <w:szCs w:val="22"/>
          <w:lang w:val="sk-SK"/>
        </w:rPr>
        <w:t>Schw</w:t>
      </w:r>
      <w:r w:rsidR="009D0AAC">
        <w:rPr>
          <w:rFonts w:ascii="Times New Roman" w:hAnsi="Times New Roman"/>
          <w:i/>
          <w:sz w:val="22"/>
          <w:szCs w:val="22"/>
          <w:lang w:val="sk-SK"/>
        </w:rPr>
        <w:t>a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rtzov </w:t>
      </w: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klírens</w:t>
      </w:r>
      <w:proofErr w:type="spellEnd"/>
      <w:r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kreatinínu</w:t>
      </w:r>
      <w:proofErr w:type="spellEnd"/>
      <w:r>
        <w:rPr>
          <w:rFonts w:ascii="Times New Roman" w:hAnsi="Times New Roman"/>
          <w:i/>
          <w:sz w:val="22"/>
          <w:szCs w:val="22"/>
          <w:lang w:val="sk-SK"/>
        </w:rPr>
        <w:t xml:space="preserve"> (ml/ min/ 1,73 m</w:t>
      </w:r>
      <w:r w:rsidR="00C34264" w:rsidRPr="00C34264">
        <w:rPr>
          <w:rFonts w:ascii="Times New Roman" w:hAnsi="Times New Roman"/>
          <w:i/>
          <w:sz w:val="22"/>
          <w:szCs w:val="22"/>
          <w:vertAlign w:val="superscript"/>
          <w:lang w:val="sk-SK"/>
        </w:rPr>
        <w:t>2</w:t>
      </w:r>
      <w:r>
        <w:rPr>
          <w:rFonts w:ascii="Times New Roman" w:hAnsi="Times New Roman"/>
          <w:i/>
          <w:sz w:val="22"/>
          <w:szCs w:val="22"/>
          <w:vertAlign w:val="superscript"/>
          <w:lang w:val="sk-SK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sk-SK"/>
        </w:rPr>
        <w:t>)=</w:t>
      </w:r>
      <w:r w:rsidR="00C34264" w:rsidRPr="00C34264">
        <w:rPr>
          <w:rFonts w:ascii="Times New Roman" w:hAnsi="Times New Roman"/>
          <w:i/>
          <w:sz w:val="22"/>
          <w:szCs w:val="22"/>
          <w:u w:val="single"/>
          <w:lang w:val="sk-SK"/>
        </w:rPr>
        <w:t xml:space="preserve">     k x výška (cm)</w:t>
      </w:r>
      <w:r w:rsidR="00DF7762">
        <w:rPr>
          <w:rFonts w:ascii="Times New Roman" w:hAnsi="Times New Roman"/>
          <w:i/>
          <w:sz w:val="22"/>
          <w:szCs w:val="22"/>
          <w:u w:val="single"/>
          <w:lang w:val="sk-SK"/>
        </w:rPr>
        <w:t>______</w:t>
      </w:r>
    </w:p>
    <w:p w:rsidR="00DF7762" w:rsidRPr="005F5EB8" w:rsidRDefault="00C34264" w:rsidP="0010462A">
      <w:pPr>
        <w:rPr>
          <w:rFonts w:ascii="Times New Roman" w:hAnsi="Times New Roman"/>
          <w:i/>
          <w:sz w:val="22"/>
          <w:szCs w:val="22"/>
          <w:lang w:val="sk-SK"/>
        </w:rPr>
      </w:pP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                                                                          </w:t>
      </w:r>
      <w:r w:rsidR="00DF7762" w:rsidRPr="005F5EB8">
        <w:rPr>
          <w:rFonts w:ascii="Times New Roman" w:hAnsi="Times New Roman"/>
          <w:i/>
          <w:sz w:val="22"/>
          <w:szCs w:val="22"/>
          <w:lang w:val="sk-SK"/>
        </w:rPr>
        <w:t xml:space="preserve">                    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sérum </w:t>
      </w:r>
      <w:proofErr w:type="spellStart"/>
      <w:r w:rsidRPr="00C34264">
        <w:rPr>
          <w:rFonts w:ascii="Times New Roman" w:hAnsi="Times New Roman"/>
          <w:i/>
          <w:sz w:val="22"/>
          <w:szCs w:val="22"/>
          <w:lang w:val="sk-SK"/>
        </w:rPr>
        <w:t>kreatinínu</w:t>
      </w:r>
      <w:proofErr w:type="spellEnd"/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 (mg/ dl) 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br/>
      </w:r>
    </w:p>
    <w:p w:rsidR="00020E9D" w:rsidRDefault="00020E9D" w:rsidP="0010462A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5F5EB8" w:rsidRPr="005F5EB8" w:rsidRDefault="00C34264" w:rsidP="0010462A">
      <w:pPr>
        <w:rPr>
          <w:rFonts w:ascii="Times New Roman" w:hAnsi="Times New Roman"/>
          <w:sz w:val="22"/>
          <w:szCs w:val="22"/>
          <w:lang w:val="sk-SK"/>
        </w:rPr>
      </w:pPr>
      <w:r w:rsidRPr="00C34264">
        <w:rPr>
          <w:rFonts w:ascii="Times New Roman" w:hAnsi="Times New Roman"/>
          <w:sz w:val="22"/>
          <w:szCs w:val="22"/>
          <w:lang w:val="sk-SK"/>
        </w:rPr>
        <w:t xml:space="preserve">kde je </w:t>
      </w:r>
      <w:r w:rsidR="005F5EB8">
        <w:rPr>
          <w:rFonts w:ascii="Times New Roman" w:hAnsi="Times New Roman"/>
          <w:sz w:val="22"/>
          <w:szCs w:val="22"/>
          <w:lang w:val="sk-SK"/>
        </w:rPr>
        <w:t>„</w:t>
      </w:r>
      <w:r w:rsidRPr="00C34264">
        <w:rPr>
          <w:rFonts w:ascii="Times New Roman" w:hAnsi="Times New Roman"/>
          <w:sz w:val="22"/>
          <w:szCs w:val="22"/>
          <w:lang w:val="sk-SK"/>
        </w:rPr>
        <w:t>k</w:t>
      </w:r>
      <w:r w:rsidR="005F5EB8">
        <w:rPr>
          <w:rFonts w:ascii="Times New Roman" w:hAnsi="Times New Roman"/>
          <w:sz w:val="22"/>
          <w:szCs w:val="22"/>
          <w:lang w:val="sk-SK"/>
        </w:rPr>
        <w:t>“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 = 0,33 pre pacientov </w:t>
      </w:r>
      <w:r w:rsidR="00F22E20">
        <w:rPr>
          <w:rFonts w:ascii="Times New Roman" w:hAnsi="Times New Roman"/>
          <w:sz w:val="22"/>
          <w:szCs w:val="22"/>
          <w:lang w:val="sk-SK"/>
        </w:rPr>
        <w:t>vo veku menej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 ako 1 rok s nízkou pôrodnou hmotnosťou; 0,45 pre pacientov </w:t>
      </w:r>
      <w:r w:rsidR="00F22E20">
        <w:rPr>
          <w:rFonts w:ascii="Times New Roman" w:hAnsi="Times New Roman"/>
          <w:sz w:val="22"/>
          <w:szCs w:val="22"/>
          <w:lang w:val="sk-SK"/>
        </w:rPr>
        <w:t>vo veku menej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 ako 2 roky; 0,55 pre chlapcov vo veku </w:t>
      </w:r>
      <w:r w:rsidR="00DC1A56">
        <w:rPr>
          <w:rFonts w:ascii="Times New Roman" w:hAnsi="Times New Roman"/>
          <w:sz w:val="22"/>
          <w:szCs w:val="22"/>
          <w:lang w:val="sk-SK"/>
        </w:rPr>
        <w:t xml:space="preserve">od </w:t>
      </w:r>
      <w:r w:rsidRPr="00C34264">
        <w:rPr>
          <w:rFonts w:ascii="Times New Roman" w:hAnsi="Times New Roman"/>
          <w:sz w:val="22"/>
          <w:szCs w:val="22"/>
          <w:lang w:val="sk-SK"/>
        </w:rPr>
        <w:t>2</w:t>
      </w:r>
      <w:r w:rsidR="00A51AE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C1A56">
        <w:rPr>
          <w:rFonts w:ascii="Times New Roman" w:hAnsi="Times New Roman"/>
          <w:sz w:val="22"/>
          <w:szCs w:val="22"/>
          <w:lang w:val="sk-SK"/>
        </w:rPr>
        <w:t xml:space="preserve">do menej ako 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13 rokov a dievčatá vo veku </w:t>
      </w:r>
      <w:r w:rsidR="00DC1A56">
        <w:rPr>
          <w:rFonts w:ascii="Times New Roman" w:hAnsi="Times New Roman"/>
          <w:sz w:val="22"/>
          <w:szCs w:val="22"/>
          <w:lang w:val="sk-SK"/>
        </w:rPr>
        <w:t xml:space="preserve">od </w:t>
      </w:r>
      <w:r w:rsidRPr="00C34264">
        <w:rPr>
          <w:rFonts w:ascii="Times New Roman" w:hAnsi="Times New Roman"/>
          <w:sz w:val="22"/>
          <w:szCs w:val="22"/>
          <w:lang w:val="sk-SK"/>
        </w:rPr>
        <w:t>2</w:t>
      </w:r>
      <w:r w:rsidR="00DC1A56">
        <w:rPr>
          <w:rFonts w:ascii="Times New Roman" w:hAnsi="Times New Roman"/>
          <w:sz w:val="22"/>
          <w:szCs w:val="22"/>
          <w:lang w:val="sk-SK"/>
        </w:rPr>
        <w:t xml:space="preserve"> do</w:t>
      </w:r>
      <w:r w:rsidR="00A51AE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16 rokov a 0,7 pre chlapcov vo veku </w:t>
      </w:r>
      <w:r w:rsidR="00DC1A56">
        <w:rPr>
          <w:rFonts w:ascii="Times New Roman" w:hAnsi="Times New Roman"/>
          <w:sz w:val="22"/>
          <w:szCs w:val="22"/>
          <w:lang w:val="sk-SK"/>
        </w:rPr>
        <w:t xml:space="preserve">od </w:t>
      </w:r>
      <w:r w:rsidRPr="00C34264">
        <w:rPr>
          <w:rFonts w:ascii="Times New Roman" w:hAnsi="Times New Roman"/>
          <w:sz w:val="22"/>
          <w:szCs w:val="22"/>
          <w:lang w:val="sk-SK"/>
        </w:rPr>
        <w:t>13</w:t>
      </w:r>
      <w:r w:rsidR="00DC1A56">
        <w:rPr>
          <w:rFonts w:ascii="Times New Roman" w:hAnsi="Times New Roman"/>
          <w:sz w:val="22"/>
          <w:szCs w:val="22"/>
          <w:lang w:val="sk-SK"/>
        </w:rPr>
        <w:t xml:space="preserve"> do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16 rokov. </w:t>
      </w:r>
      <w:r w:rsidR="00F22E20">
        <w:rPr>
          <w:rFonts w:ascii="Times New Roman" w:hAnsi="Times New Roman"/>
          <w:sz w:val="22"/>
          <w:szCs w:val="22"/>
          <w:lang w:val="sk-SK"/>
        </w:rPr>
        <w:t>Pre pacientov starších ako 16 rokov pozri dávkovanie pre dospelých pacientov.</w:t>
      </w:r>
    </w:p>
    <w:p w:rsidR="005F5EB8" w:rsidRDefault="005F5EB8" w:rsidP="0010462A">
      <w:pPr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lastRenderedPageBreak/>
        <w:t xml:space="preserve"> </w:t>
      </w:r>
    </w:p>
    <w:p w:rsidR="004C7FD3" w:rsidRDefault="00DC1A56" w:rsidP="0010462A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Tieto z</w:t>
      </w:r>
      <w:r w:rsidR="00F22E20">
        <w:rPr>
          <w:rFonts w:ascii="Times New Roman" w:hAnsi="Times New Roman"/>
          <w:sz w:val="22"/>
          <w:szCs w:val="22"/>
          <w:lang w:val="sk-SK"/>
        </w:rPr>
        <w:t>volen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="005F5EB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C7FD3">
        <w:rPr>
          <w:rFonts w:ascii="Times New Roman" w:hAnsi="Times New Roman"/>
          <w:sz w:val="22"/>
          <w:szCs w:val="22"/>
          <w:lang w:val="sk-SK"/>
        </w:rPr>
        <w:t>hodnot</w:t>
      </w:r>
      <w:r>
        <w:rPr>
          <w:rFonts w:ascii="Times New Roman" w:hAnsi="Times New Roman"/>
          <w:sz w:val="22"/>
          <w:szCs w:val="22"/>
          <w:lang w:val="sk-SK"/>
        </w:rPr>
        <w:t>y</w:t>
      </w:r>
      <w:r w:rsidR="005F5EB8">
        <w:rPr>
          <w:rFonts w:ascii="Times New Roman" w:hAnsi="Times New Roman"/>
          <w:sz w:val="22"/>
          <w:szCs w:val="22"/>
          <w:lang w:val="sk-SK"/>
        </w:rPr>
        <w:t xml:space="preserve"> „k“ vychádza</w:t>
      </w:r>
      <w:r>
        <w:rPr>
          <w:rFonts w:ascii="Times New Roman" w:hAnsi="Times New Roman"/>
          <w:sz w:val="22"/>
          <w:szCs w:val="22"/>
          <w:lang w:val="sk-SK"/>
        </w:rPr>
        <w:t>jú</w:t>
      </w:r>
      <w:r w:rsidR="005F5EB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C7FD3" w:rsidRPr="004C7FD3">
        <w:rPr>
          <w:rFonts w:ascii="Times New Roman" w:hAnsi="Times New Roman"/>
          <w:sz w:val="22"/>
          <w:szCs w:val="22"/>
          <w:lang w:val="sk-SK"/>
        </w:rPr>
        <w:t>z hodnô</w:t>
      </w:r>
      <w:r w:rsidR="00C34264" w:rsidRPr="00C34264">
        <w:rPr>
          <w:rFonts w:ascii="Times New Roman" w:hAnsi="Times New Roman"/>
          <w:sz w:val="22"/>
          <w:szCs w:val="22"/>
          <w:lang w:val="sk-SK"/>
        </w:rPr>
        <w:t xml:space="preserve">t </w:t>
      </w:r>
      <w:r w:rsidR="004C7FD3">
        <w:rPr>
          <w:rFonts w:ascii="Times New Roman" w:hAnsi="Times New Roman"/>
          <w:sz w:val="22"/>
          <w:szCs w:val="22"/>
          <w:lang w:val="sk-SK"/>
        </w:rPr>
        <w:t xml:space="preserve">sérového </w:t>
      </w:r>
      <w:proofErr w:type="spellStart"/>
      <w:r w:rsidR="00C34264" w:rsidRPr="00C34264">
        <w:rPr>
          <w:rFonts w:ascii="Times New Roman" w:hAnsi="Times New Roman"/>
          <w:bCs/>
          <w:sz w:val="22"/>
          <w:szCs w:val="22"/>
          <w:lang w:val="sk-SK"/>
        </w:rPr>
        <w:t>kreatinínu</w:t>
      </w:r>
      <w:proofErr w:type="spellEnd"/>
      <w:r w:rsidR="004C7FD3" w:rsidRPr="004C7FD3">
        <w:rPr>
          <w:rFonts w:ascii="Times New Roman" w:hAnsi="Times New Roman"/>
          <w:sz w:val="22"/>
          <w:szCs w:val="22"/>
          <w:lang w:val="sk-SK"/>
        </w:rPr>
        <w:t> mera</w:t>
      </w:r>
      <w:r w:rsidR="00C34264" w:rsidRPr="00C34264">
        <w:rPr>
          <w:rFonts w:ascii="Times New Roman" w:hAnsi="Times New Roman"/>
          <w:sz w:val="22"/>
          <w:szCs w:val="22"/>
          <w:lang w:val="sk-SK"/>
        </w:rPr>
        <w:t>ných </w:t>
      </w:r>
      <w:r w:rsidR="00C34264" w:rsidRPr="00C34264">
        <w:rPr>
          <w:rFonts w:ascii="Times New Roman" w:hAnsi="Times New Roman"/>
          <w:bCs/>
          <w:sz w:val="22"/>
          <w:szCs w:val="22"/>
          <w:lang w:val="sk-SK"/>
        </w:rPr>
        <w:t xml:space="preserve">metódou </w:t>
      </w:r>
      <w:proofErr w:type="spellStart"/>
      <w:r w:rsidR="00C34264" w:rsidRPr="00C34264">
        <w:rPr>
          <w:rFonts w:ascii="Times New Roman" w:hAnsi="Times New Roman"/>
          <w:bCs/>
          <w:sz w:val="22"/>
          <w:szCs w:val="22"/>
          <w:lang w:val="sk-SK"/>
        </w:rPr>
        <w:t>Jaff</w:t>
      </w:r>
      <w:r>
        <w:rPr>
          <w:rFonts w:ascii="Times New Roman" w:hAnsi="Times New Roman"/>
          <w:bCs/>
          <w:sz w:val="22"/>
          <w:szCs w:val="22"/>
          <w:lang w:val="sk-SK"/>
        </w:rPr>
        <w:t>e</w:t>
      </w:r>
      <w:proofErr w:type="spellEnd"/>
      <w:r w:rsidR="004C7FD3">
        <w:rPr>
          <w:rFonts w:ascii="Times New Roman" w:hAnsi="Times New Roman"/>
          <w:bCs/>
          <w:sz w:val="22"/>
          <w:szCs w:val="22"/>
          <w:lang w:val="sk-SK"/>
        </w:rPr>
        <w:t xml:space="preserve"> a </w:t>
      </w:r>
      <w:r w:rsidR="00F22E20">
        <w:rPr>
          <w:rFonts w:ascii="Times New Roman" w:hAnsi="Times New Roman"/>
          <w:bCs/>
          <w:sz w:val="22"/>
          <w:szCs w:val="22"/>
          <w:lang w:val="sk-SK"/>
        </w:rPr>
        <w:t xml:space="preserve">môže byť </w:t>
      </w:r>
      <w:r>
        <w:rPr>
          <w:rFonts w:ascii="Times New Roman" w:hAnsi="Times New Roman"/>
          <w:bCs/>
          <w:sz w:val="22"/>
          <w:szCs w:val="22"/>
          <w:lang w:val="sk-SK"/>
        </w:rPr>
        <w:t>potrebná ich ú</w:t>
      </w:r>
      <w:r w:rsidR="00F22E20">
        <w:rPr>
          <w:rFonts w:ascii="Times New Roman" w:hAnsi="Times New Roman"/>
          <w:bCs/>
          <w:sz w:val="22"/>
          <w:szCs w:val="22"/>
          <w:lang w:val="sk-SK"/>
        </w:rPr>
        <w:t>pra</w:t>
      </w:r>
      <w:r>
        <w:rPr>
          <w:rFonts w:ascii="Times New Roman" w:hAnsi="Times New Roman"/>
          <w:bCs/>
          <w:sz w:val="22"/>
          <w:szCs w:val="22"/>
          <w:lang w:val="sk-SK"/>
        </w:rPr>
        <w:t>va</w:t>
      </w:r>
      <w:r w:rsidR="00F22E20">
        <w:rPr>
          <w:rFonts w:ascii="Times New Roman" w:hAnsi="Times New Roman"/>
          <w:bCs/>
          <w:sz w:val="22"/>
          <w:szCs w:val="22"/>
          <w:lang w:val="sk-SK"/>
        </w:rPr>
        <w:t>, ak sa</w:t>
      </w:r>
      <w:r w:rsidR="004C7FD3">
        <w:rPr>
          <w:rFonts w:ascii="Times New Roman" w:hAnsi="Times New Roman"/>
          <w:bCs/>
          <w:sz w:val="22"/>
          <w:szCs w:val="22"/>
          <w:lang w:val="sk-SK"/>
        </w:rPr>
        <w:t xml:space="preserve"> použi</w:t>
      </w:r>
      <w:r w:rsidR="00F22E20">
        <w:rPr>
          <w:rFonts w:ascii="Times New Roman" w:hAnsi="Times New Roman"/>
          <w:bCs/>
          <w:sz w:val="22"/>
          <w:szCs w:val="22"/>
          <w:lang w:val="sk-SK"/>
        </w:rPr>
        <w:t>jú</w:t>
      </w:r>
      <w:r w:rsidR="004C7FD3">
        <w:rPr>
          <w:rFonts w:ascii="Times New Roman" w:hAnsi="Times New Roman"/>
          <w:bCs/>
          <w:sz w:val="22"/>
          <w:szCs w:val="22"/>
          <w:lang w:val="sk-SK"/>
        </w:rPr>
        <w:t xml:space="preserve"> enzymatické metódy stanovenia </w:t>
      </w:r>
      <w:proofErr w:type="spellStart"/>
      <w:r w:rsidR="004C7FD3">
        <w:rPr>
          <w:rFonts w:ascii="Times New Roman" w:hAnsi="Times New Roman"/>
          <w:bCs/>
          <w:sz w:val="22"/>
          <w:szCs w:val="22"/>
          <w:lang w:val="sk-SK"/>
        </w:rPr>
        <w:t>klírensu</w:t>
      </w:r>
      <w:proofErr w:type="spellEnd"/>
      <w:r w:rsidR="004C7FD3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 w:rsidR="004C7FD3">
        <w:rPr>
          <w:rFonts w:ascii="Times New Roman" w:hAnsi="Times New Roman"/>
          <w:bCs/>
          <w:sz w:val="22"/>
          <w:szCs w:val="22"/>
          <w:lang w:val="sk-SK"/>
        </w:rPr>
        <w:t>kreatinínu</w:t>
      </w:r>
      <w:proofErr w:type="spellEnd"/>
      <w:r w:rsidR="004C7FD3">
        <w:rPr>
          <w:rFonts w:ascii="Times New Roman" w:hAnsi="Times New Roman"/>
          <w:bCs/>
          <w:sz w:val="22"/>
          <w:szCs w:val="22"/>
          <w:lang w:val="sk-SK"/>
        </w:rPr>
        <w:t>.</w:t>
      </w:r>
      <w:r w:rsidR="00C34264" w:rsidRPr="00C34264">
        <w:rPr>
          <w:rFonts w:ascii="Times New Roman" w:hAnsi="Times New Roman"/>
          <w:sz w:val="22"/>
          <w:szCs w:val="22"/>
          <w:lang w:val="sk-SK"/>
        </w:rPr>
        <w:t> </w:t>
      </w:r>
    </w:p>
    <w:p w:rsidR="004C7FD3" w:rsidRDefault="004C7FD3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DC1A56" w:rsidRPr="00A51AEE" w:rsidRDefault="00C34264" w:rsidP="0010462A">
      <w:pPr>
        <w:rPr>
          <w:rFonts w:ascii="Times New Roman" w:hAnsi="Times New Roman"/>
          <w:sz w:val="22"/>
          <w:szCs w:val="22"/>
          <w:lang w:val="sk-SK"/>
        </w:rPr>
      </w:pPr>
      <w:r w:rsidRPr="008242C8">
        <w:rPr>
          <w:rFonts w:ascii="Times New Roman" w:hAnsi="Times New Roman"/>
          <w:sz w:val="22"/>
          <w:szCs w:val="22"/>
          <w:lang w:val="sk-SK"/>
        </w:rPr>
        <w:t xml:space="preserve">Odporúča sa pravidelné sledovanie hladín sérového </w:t>
      </w:r>
      <w:proofErr w:type="spellStart"/>
      <w:r w:rsidRPr="008242C8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Pr="008242C8">
        <w:rPr>
          <w:rFonts w:ascii="Times New Roman" w:hAnsi="Times New Roman"/>
          <w:sz w:val="22"/>
          <w:szCs w:val="22"/>
          <w:lang w:val="sk-SK"/>
        </w:rPr>
        <w:t>, telesnej výšky a hmotnosti s náležitou úpravou dávky.</w:t>
      </w:r>
    </w:p>
    <w:p w:rsidR="00440F8F" w:rsidRDefault="00440F8F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4C7FD3" w:rsidRPr="00B42ED9" w:rsidRDefault="00C34264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C34264">
        <w:rPr>
          <w:rFonts w:ascii="Times New Roman" w:hAnsi="Times New Roman"/>
          <w:sz w:val="22"/>
          <w:szCs w:val="22"/>
          <w:u w:val="single"/>
          <w:lang w:val="sk-SK"/>
        </w:rPr>
        <w:t>Špeciálne pokyny na dávkovanie</w:t>
      </w:r>
    </w:p>
    <w:p w:rsidR="00B42ED9" w:rsidRDefault="00B42ED9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C141A7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  <w:r w:rsidRPr="00C141A7">
        <w:rPr>
          <w:rFonts w:ascii="Times New Roman" w:hAnsi="Times New Roman"/>
          <w:i/>
          <w:sz w:val="22"/>
          <w:szCs w:val="22"/>
          <w:lang w:val="sk-SK"/>
        </w:rPr>
        <w:t>Porucha funkcie obličiek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6F6D98" w:rsidRDefault="008B7B95" w:rsidP="0010462A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U pediatrických pacientov</w:t>
      </w:r>
      <w:r w:rsidR="006F6D98">
        <w:rPr>
          <w:rFonts w:ascii="Times New Roman" w:hAnsi="Times New Roman"/>
          <w:sz w:val="22"/>
          <w:szCs w:val="22"/>
          <w:lang w:val="sk-SK"/>
        </w:rPr>
        <w:t xml:space="preserve"> (od narodenia do 16 rokov) s poruchou funkcie obličiek, ktorí dostávajú profylaktickú dávku </w:t>
      </w:r>
      <w:proofErr w:type="spellStart"/>
      <w:r w:rsidR="006F6D98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="006F6D98">
        <w:rPr>
          <w:rFonts w:ascii="Times New Roman" w:hAnsi="Times New Roman"/>
          <w:sz w:val="22"/>
          <w:szCs w:val="22"/>
          <w:lang w:val="sk-SK"/>
        </w:rPr>
        <w:t xml:space="preserve"> vypočítanú podľa dávkovacieho algoritmu </w:t>
      </w:r>
      <w:r w:rsidR="006F6D98"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>3</w:t>
      </w:r>
      <w:r w:rsidR="006F6D98">
        <w:rPr>
          <w:rFonts w:ascii="Times New Roman" w:hAnsi="Times New Roman"/>
          <w:sz w:val="22"/>
          <w:szCs w:val="22"/>
          <w:lang w:val="sk-SK"/>
        </w:rPr>
        <w:t> </w:t>
      </w:r>
      <w:r w:rsidR="006F6D98"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>x</w:t>
      </w:r>
      <w:r w:rsidR="006F6D98">
        <w:rPr>
          <w:rFonts w:ascii="Times New Roman" w:hAnsi="Times New Roman"/>
          <w:sz w:val="22"/>
          <w:szCs w:val="22"/>
          <w:lang w:val="sk-SK"/>
        </w:rPr>
        <w:t> </w:t>
      </w:r>
      <w:r w:rsidR="006F6D98"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>BSA</w:t>
      </w:r>
      <w:r w:rsidR="006F6D98">
        <w:rPr>
          <w:rFonts w:ascii="Times New Roman" w:hAnsi="Times New Roman"/>
          <w:sz w:val="22"/>
          <w:szCs w:val="22"/>
          <w:lang w:val="sk-SK"/>
        </w:rPr>
        <w:t> </w:t>
      </w:r>
      <w:r w:rsidR="006F6D98" w:rsidRPr="006F6D98"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>x</w:t>
      </w:r>
      <w:r w:rsidR="006F6D98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="00C34264" w:rsidRPr="00C34264"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>CrCLS</w:t>
      </w:r>
      <w:proofErr w:type="spellEnd"/>
      <w:r w:rsidR="006F6D98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sa nevyžaduje ďalšia úprava dávky, keďže dávka je už upravená podľa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6F6D98" w:rsidRPr="00D05B9F" w:rsidRDefault="006F6D98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U pacientov </w:t>
      </w:r>
      <w:r w:rsidR="008B7B95">
        <w:rPr>
          <w:rFonts w:ascii="Times New Roman" w:hAnsi="Times New Roman"/>
          <w:sz w:val="22"/>
          <w:szCs w:val="22"/>
          <w:lang w:val="sk-SK"/>
        </w:rPr>
        <w:t xml:space="preserve">vo veku 12 rokov a starších </w:t>
      </w:r>
      <w:r w:rsidRPr="00D05B9F">
        <w:rPr>
          <w:rFonts w:ascii="Times New Roman" w:hAnsi="Times New Roman"/>
          <w:sz w:val="22"/>
          <w:szCs w:val="22"/>
          <w:lang w:val="sk-SK"/>
        </w:rPr>
        <w:t>s poruchou funkcie obličiek</w:t>
      </w:r>
      <w:r w:rsidR="008B7B95">
        <w:rPr>
          <w:rFonts w:ascii="Times New Roman" w:hAnsi="Times New Roman"/>
          <w:sz w:val="22"/>
          <w:szCs w:val="22"/>
          <w:lang w:val="sk-SK"/>
        </w:rPr>
        <w:t xml:space="preserve"> užívajúcich liečbu založenú na výpočte </w:t>
      </w:r>
      <w:r w:rsidR="00B045AE">
        <w:rPr>
          <w:rFonts w:ascii="Times New Roman" w:hAnsi="Times New Roman"/>
          <w:sz w:val="22"/>
          <w:szCs w:val="22"/>
          <w:lang w:val="sk-SK"/>
        </w:rPr>
        <w:t xml:space="preserve">na základe </w:t>
      </w:r>
      <w:r w:rsidR="008B7B95">
        <w:rPr>
          <w:rFonts w:ascii="Times New Roman" w:hAnsi="Times New Roman"/>
          <w:sz w:val="22"/>
          <w:szCs w:val="22"/>
          <w:lang w:val="sk-SK"/>
        </w:rPr>
        <w:t xml:space="preserve">telesnej hmotnosti mg/ kg za účelom </w:t>
      </w:r>
      <w:proofErr w:type="spellStart"/>
      <w:r w:rsidR="008B7B95">
        <w:rPr>
          <w:rFonts w:ascii="Times New Roman" w:hAnsi="Times New Roman"/>
          <w:sz w:val="22"/>
          <w:szCs w:val="22"/>
          <w:lang w:val="sk-SK"/>
        </w:rPr>
        <w:t>preemptívnej</w:t>
      </w:r>
      <w:proofErr w:type="spellEnd"/>
      <w:r w:rsidR="008B7B95">
        <w:rPr>
          <w:rFonts w:ascii="Times New Roman" w:hAnsi="Times New Roman"/>
          <w:sz w:val="22"/>
          <w:szCs w:val="22"/>
          <w:lang w:val="sk-SK"/>
        </w:rPr>
        <w:t xml:space="preserve"> liečby alebo liečby CMV </w:t>
      </w:r>
      <w:r w:rsidR="00F22E20">
        <w:rPr>
          <w:rFonts w:ascii="Times New Roman" w:hAnsi="Times New Roman"/>
          <w:sz w:val="22"/>
          <w:szCs w:val="22"/>
          <w:lang w:val="sk-SK"/>
        </w:rPr>
        <w:t>ochoren</w:t>
      </w:r>
      <w:r w:rsidR="00B045AE">
        <w:rPr>
          <w:rFonts w:ascii="Times New Roman" w:hAnsi="Times New Roman"/>
          <w:sz w:val="22"/>
          <w:szCs w:val="22"/>
          <w:lang w:val="sk-SK"/>
        </w:rPr>
        <w:t>ia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sa má dávk</w:t>
      </w:r>
      <w:r w:rsidR="00F22E20">
        <w:rPr>
          <w:rFonts w:ascii="Times New Roman" w:hAnsi="Times New Roman"/>
          <w:sz w:val="22"/>
          <w:szCs w:val="22"/>
          <w:lang w:val="sk-SK"/>
        </w:rPr>
        <w:t>ovanie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B7B95">
        <w:rPr>
          <w:rFonts w:ascii="Times New Roman" w:hAnsi="Times New Roman"/>
          <w:sz w:val="22"/>
          <w:szCs w:val="22"/>
          <w:lang w:val="sk-SK"/>
        </w:rPr>
        <w:t xml:space="preserve">mg/kg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upraviť podľa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, ako je uvedené </w:t>
      </w:r>
      <w:r>
        <w:rPr>
          <w:rFonts w:ascii="Times New Roman" w:hAnsi="Times New Roman"/>
          <w:sz w:val="22"/>
          <w:szCs w:val="22"/>
          <w:lang w:val="sk-SK"/>
        </w:rPr>
        <w:t>v </w:t>
      </w:r>
      <w:r w:rsidRPr="00D05B9F">
        <w:rPr>
          <w:rFonts w:ascii="Times New Roman" w:hAnsi="Times New Roman"/>
          <w:sz w:val="22"/>
          <w:szCs w:val="22"/>
          <w:lang w:val="sk-SK"/>
        </w:rPr>
        <w:t>tabuľke nižšie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5.2).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Úpravy dávok pre pacientov s poruchou funkcie obličiek</w:t>
      </w:r>
      <w:r w:rsidR="008B7B95">
        <w:rPr>
          <w:rFonts w:ascii="Times New Roman" w:hAnsi="Times New Roman"/>
          <w:sz w:val="22"/>
          <w:szCs w:val="22"/>
          <w:lang w:val="sk-SK"/>
        </w:rPr>
        <w:t xml:space="preserve"> užívajúcich dávkovanie mg/kg</w:t>
      </w:r>
      <w:r w:rsidRPr="00D05B9F">
        <w:rPr>
          <w:rFonts w:ascii="Times New Roman" w:hAnsi="Times New Roman"/>
          <w:sz w:val="22"/>
          <w:szCs w:val="22"/>
          <w:lang w:val="sk-SK"/>
        </w:rPr>
        <w:t>: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3669"/>
        <w:gridCol w:w="3738"/>
      </w:tblGrid>
      <w:tr w:rsidR="0010462A" w:rsidRPr="00C141A7" w:rsidTr="001017EC">
        <w:tc>
          <w:tcPr>
            <w:tcW w:w="1668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b/>
                <w:iCs/>
                <w:szCs w:val="24"/>
                <w:lang w:val="sk-SK" w:eastAsia="ja-JP"/>
              </w:rPr>
            </w:pPr>
            <w:proofErr w:type="spellStart"/>
            <w:r w:rsidRPr="00C141A7">
              <w:rPr>
                <w:rFonts w:ascii="Times New Roman" w:eastAsia="Arial Unicode MS" w:hAnsi="Times New Roman" w:cs="Arial"/>
                <w:b/>
                <w:iCs/>
                <w:sz w:val="22"/>
                <w:szCs w:val="24"/>
                <w:lang w:val="sk-SK" w:eastAsia="ja-JP"/>
              </w:rPr>
              <w:t>CrCl</w:t>
            </w:r>
            <w:proofErr w:type="spellEnd"/>
          </w:p>
        </w:tc>
        <w:tc>
          <w:tcPr>
            <w:tcW w:w="4009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b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b/>
                <w:iCs/>
                <w:sz w:val="22"/>
                <w:szCs w:val="24"/>
                <w:lang w:val="sk-SK" w:eastAsia="ja-JP"/>
              </w:rPr>
              <w:t>Indukčná dávka</w:t>
            </w:r>
          </w:p>
        </w:tc>
        <w:tc>
          <w:tcPr>
            <w:tcW w:w="4070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b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b/>
                <w:iCs/>
                <w:sz w:val="22"/>
                <w:szCs w:val="24"/>
                <w:lang w:val="sk-SK" w:eastAsia="ja-JP"/>
              </w:rPr>
              <w:t>Udržiavacia dávka</w:t>
            </w:r>
          </w:p>
        </w:tc>
      </w:tr>
      <w:tr w:rsidR="0010462A" w:rsidRPr="00C141A7" w:rsidTr="001017EC">
        <w:tc>
          <w:tcPr>
            <w:tcW w:w="1668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&gt;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70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5,0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každých 12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h</w:t>
            </w:r>
          </w:p>
        </w:tc>
        <w:tc>
          <w:tcPr>
            <w:tcW w:w="4070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5,0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10462A" w:rsidRPr="00C141A7" w:rsidTr="001017EC">
        <w:tc>
          <w:tcPr>
            <w:tcW w:w="1668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50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noBreakHyphen/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69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2,5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každých 12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h</w:t>
            </w:r>
          </w:p>
        </w:tc>
        <w:tc>
          <w:tcPr>
            <w:tcW w:w="4070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2,5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10462A" w:rsidRPr="00C141A7" w:rsidTr="001017EC">
        <w:tc>
          <w:tcPr>
            <w:tcW w:w="1668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noBreakHyphen/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49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2,5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  <w:tc>
          <w:tcPr>
            <w:tcW w:w="4070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1,25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10462A" w:rsidRPr="00C141A7" w:rsidTr="001017EC">
        <w:tc>
          <w:tcPr>
            <w:tcW w:w="1668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noBreakHyphen/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24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1,25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  <w:tc>
          <w:tcPr>
            <w:tcW w:w="4070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0,625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10462A" w:rsidRPr="00C15E5A" w:rsidTr="001017EC">
        <w:tc>
          <w:tcPr>
            <w:tcW w:w="1668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&lt;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1,25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3x do týždňa po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 xml:space="preserve">hemodialýze </w:t>
            </w:r>
          </w:p>
        </w:tc>
        <w:tc>
          <w:tcPr>
            <w:tcW w:w="4070" w:type="dxa"/>
          </w:tcPr>
          <w:p w:rsidR="0010462A" w:rsidRPr="00C141A7" w:rsidRDefault="0010462A" w:rsidP="001017EC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0,625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3x týždenne po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hemodialýze</w:t>
            </w:r>
          </w:p>
        </w:tc>
      </w:tr>
    </w:tbl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Odhadovaný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možno vypočítať podľa hodnôt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v sére pomocou nasledujúcich vzorcov: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C141A7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Muži: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C141A7">
        <w:rPr>
          <w:rFonts w:ascii="Times New Roman" w:hAnsi="Times New Roman"/>
          <w:sz w:val="22"/>
          <w:szCs w:val="22"/>
          <w:u w:val="single"/>
          <w:lang w:val="sk-SK"/>
        </w:rPr>
        <w:t>(140 – vek [roky] x telesná hmotnosť [kg])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ab/>
        <w:t xml:space="preserve">(72) x (0,011 x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kreatinín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v sére [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μmol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/l])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Ženy: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D05B9F">
        <w:rPr>
          <w:rFonts w:ascii="Times New Roman" w:hAnsi="Times New Roman"/>
          <w:sz w:val="22"/>
          <w:szCs w:val="22"/>
          <w:lang w:val="sk-SK"/>
        </w:rPr>
        <w:t>0,85 x hodnota u mužov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Keďže sa u pacientov s poruchou funkcie obličiek odporúča úprava dávky, majú sa sledovať hladiny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v sére alebo hodnoty odhadovaného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kreatinínu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keepNext/>
        <w:keepLines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Porucha funkcie pečene</w:t>
      </w:r>
    </w:p>
    <w:p w:rsidR="0010462A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10462A" w:rsidRPr="00F42347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Bezpečnosť a účinnosť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neskúmali u pacientov s poruchou funkcie pečene (pozri časť 5.2).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C141A7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Závažná </w:t>
      </w:r>
      <w:proofErr w:type="spellStart"/>
      <w:r w:rsidRPr="00C141A7">
        <w:rPr>
          <w:rFonts w:ascii="Times New Roman" w:hAnsi="Times New Roman"/>
          <w:i/>
          <w:sz w:val="22"/>
          <w:szCs w:val="22"/>
          <w:lang w:val="sk-SK"/>
        </w:rPr>
        <w:t>leukopénia</w:t>
      </w:r>
      <w:proofErr w:type="spellEnd"/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C141A7">
        <w:rPr>
          <w:rFonts w:ascii="Times New Roman" w:hAnsi="Times New Roman"/>
          <w:i/>
          <w:sz w:val="22"/>
          <w:szCs w:val="22"/>
          <w:lang w:val="sk-SK"/>
        </w:rPr>
        <w:t>netropénia</w:t>
      </w:r>
      <w:proofErr w:type="spellEnd"/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, anémia, </w:t>
      </w:r>
      <w:proofErr w:type="spellStart"/>
      <w:r w:rsidRPr="00C141A7">
        <w:rPr>
          <w:rFonts w:ascii="Times New Roman" w:hAnsi="Times New Roman"/>
          <w:i/>
          <w:sz w:val="22"/>
          <w:szCs w:val="22"/>
          <w:lang w:val="sk-SK"/>
        </w:rPr>
        <w:t>trombocytopénia</w:t>
      </w:r>
      <w:proofErr w:type="spellEnd"/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 a </w:t>
      </w:r>
      <w:proofErr w:type="spellStart"/>
      <w:r w:rsidRPr="00C141A7">
        <w:rPr>
          <w:rFonts w:ascii="Times New Roman" w:hAnsi="Times New Roman"/>
          <w:i/>
          <w:sz w:val="22"/>
          <w:szCs w:val="22"/>
          <w:lang w:val="sk-SK"/>
        </w:rPr>
        <w:t>pancytopénia</w:t>
      </w:r>
      <w:proofErr w:type="spellEnd"/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Pred začatím liečby 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Ak počas liečby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počet krvných elementov výrazne poklesne, má sa zvážiť liečba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hematopoetickými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rastovými faktormi a/alebo sa má zvážiť ukončenie liečby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:rsidR="0010462A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10462A" w:rsidRPr="00D22E09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  <w:r w:rsidRPr="00D22E09">
        <w:rPr>
          <w:rFonts w:ascii="Times New Roman" w:hAnsi="Times New Roman"/>
          <w:i/>
          <w:sz w:val="22"/>
          <w:szCs w:val="22"/>
          <w:lang w:val="sk-SK"/>
        </w:rPr>
        <w:t>Starší pacienti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lastRenderedPageBreak/>
        <w:t xml:space="preserve">U starších pacientov sa neuskutočnili žiadne štúdie zamerané na účinnosť a bezpečnosť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. Vzhľadom na to, že funkcia obličiek sa s narastajúcim vekom znižuje,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má starším pacientom podávať s osobitým zreteľom na funkčný stav ich obličiek (pozri časť</w:t>
      </w:r>
      <w:r>
        <w:rPr>
          <w:rFonts w:ascii="Times New Roman" w:hAnsi="Times New Roman"/>
          <w:sz w:val="22"/>
          <w:szCs w:val="22"/>
          <w:lang w:val="sk-SK"/>
        </w:rPr>
        <w:t> 5</w:t>
      </w:r>
      <w:r w:rsidRPr="00D05B9F">
        <w:rPr>
          <w:rFonts w:ascii="Times New Roman" w:hAnsi="Times New Roman"/>
          <w:sz w:val="22"/>
          <w:szCs w:val="22"/>
          <w:lang w:val="sk-SK"/>
        </w:rPr>
        <w:t>.2).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22E09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Upozornenie: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</w:t>
      </w:r>
      <w:r>
        <w:rPr>
          <w:rFonts w:ascii="Times New Roman" w:hAnsi="Times New Roman"/>
          <w:sz w:val="22"/>
          <w:szCs w:val="22"/>
          <w:lang w:val="sk-SK"/>
        </w:rPr>
        <w:t xml:space="preserve">musí </w:t>
      </w:r>
      <w:r w:rsidRPr="00D05B9F">
        <w:rPr>
          <w:rFonts w:ascii="Times New Roman" w:hAnsi="Times New Roman"/>
          <w:sz w:val="22"/>
          <w:szCs w:val="22"/>
          <w:lang w:val="sk-SK"/>
        </w:rPr>
        <w:t>podávať formou intravenóznej infúzie trvajúcej dlhšie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hodinu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koncentrácii neprevyšujúcej 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mg/ml. Nepodáva</w:t>
      </w:r>
      <w:r>
        <w:rPr>
          <w:rFonts w:ascii="Times New Roman" w:hAnsi="Times New Roman"/>
          <w:sz w:val="22"/>
          <w:szCs w:val="22"/>
          <w:lang w:val="sk-SK"/>
        </w:rPr>
        <w:t xml:space="preserve">jte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formou rýchlej ani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bolusovej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intravenóznej injekcie, pretože 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toho vyplývajúce nadmerné zvýšenie hladiny liečiva v plazme môže zvýšiť toxicitu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Nepodáva</w:t>
      </w:r>
      <w:r>
        <w:rPr>
          <w:rFonts w:ascii="Times New Roman" w:hAnsi="Times New Roman"/>
          <w:sz w:val="22"/>
          <w:szCs w:val="22"/>
          <w:lang w:val="sk-SK"/>
        </w:rPr>
        <w:t>jte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formou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vnútrosvalovej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ani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subkutánnej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injekcie, pretože to môže viesť k silnému podráždeniu tkaniva zapríčinené</w:t>
      </w:r>
      <w:r>
        <w:rPr>
          <w:rFonts w:ascii="Times New Roman" w:hAnsi="Times New Roman"/>
          <w:sz w:val="22"/>
          <w:szCs w:val="22"/>
          <w:lang w:val="sk-SK"/>
        </w:rPr>
        <w:t>mu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vysokým pH (približne 11) roztokov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Odporúčané dávkovanie, frekvencia a rýchlosť podávania nesmú byť prekročené.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je prášok na infúzny roztok. Po rozpustení vo vode na injekciu (rekonštitúcii) je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bezfarebný až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svetložltkastý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roztok, prakticky bez viditeľných čiastočiek.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Infúzia sa má podávať do žily s primeraným prietokom krvi, najlepšie pomocou plastovej kanyly.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</w:t>
      </w:r>
      <w:r>
        <w:rPr>
          <w:rFonts w:ascii="Times New Roman" w:hAnsi="Times New Roman"/>
          <w:sz w:val="22"/>
          <w:szCs w:val="22"/>
          <w:lang w:val="sk-SK"/>
        </w:rPr>
        <w:t>okyny na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rekonštitúci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lieku pred podaním, 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6.6.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22E09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Opatrenia</w:t>
      </w:r>
      <w:r w:rsidRPr="00D22E09">
        <w:rPr>
          <w:rFonts w:ascii="Times New Roman" w:hAnsi="Times New Roman"/>
          <w:i/>
          <w:sz w:val="22"/>
          <w:szCs w:val="22"/>
          <w:lang w:val="sk-SK"/>
        </w:rPr>
        <w:t xml:space="preserve"> pred </w:t>
      </w:r>
      <w:r>
        <w:rPr>
          <w:rFonts w:ascii="Times New Roman" w:hAnsi="Times New Roman"/>
          <w:i/>
          <w:sz w:val="22"/>
          <w:szCs w:val="22"/>
          <w:lang w:val="sk-SK"/>
        </w:rPr>
        <w:t>zaobchádzaním</w:t>
      </w:r>
      <w:r w:rsidRPr="00D22E0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sk-SK"/>
        </w:rPr>
        <w:t>alebo podaním lieku</w:t>
      </w:r>
      <w:r w:rsidRPr="00D22E09">
        <w:rPr>
          <w:rFonts w:ascii="Times New Roman" w:hAnsi="Times New Roman"/>
          <w:i/>
          <w:sz w:val="22"/>
          <w:szCs w:val="22"/>
          <w:lang w:val="sk-SK"/>
        </w:rPr>
        <w:t>: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Vzhľadom na to, že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považuje u ľudí za potenciálny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teratogén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 karcinogén</w:t>
      </w:r>
      <w:r w:rsidRPr="00D05B9F">
        <w:rPr>
          <w:rFonts w:ascii="Times New Roman" w:hAnsi="Times New Roman"/>
          <w:sz w:val="22"/>
          <w:szCs w:val="22"/>
          <w:lang w:val="sk-SK"/>
        </w:rPr>
        <w:t>, pri zaobchádzaní s ním je potrebná opatrnosť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6.6).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4.3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Kontraindikácie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Precitlivenosť na liečivo </w:t>
      </w:r>
      <w:r>
        <w:rPr>
          <w:rFonts w:ascii="Times New Roman" w:hAnsi="Times New Roman"/>
          <w:sz w:val="22"/>
          <w:szCs w:val="22"/>
          <w:lang w:val="sk-SK"/>
        </w:rPr>
        <w:t xml:space="preserve">alebo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alebo na ktorúkoľvek z pomocných látok uvedených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6.1.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Dojčenie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4.6).</w:t>
      </w:r>
    </w:p>
    <w:p w:rsidR="0010462A" w:rsidRDefault="0010462A" w:rsidP="0010462A">
      <w:pPr>
        <w:rPr>
          <w:rFonts w:ascii="Times New Roman" w:hAnsi="Times New Roman"/>
          <w:iCs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4.4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Osobitné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upozornenia a opatrenia pri používaní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22E09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Precitlivenosť z dôvodu skríženej reakcie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Vzhľadom na podobnosť chemickej štruktúry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acikloviru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pencikloviru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, existuje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týchto liečiv možnosť skríženej reakcie z precitlivenosti. Pri predpisovaní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pacientom so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známou </w:t>
      </w:r>
      <w:r>
        <w:rPr>
          <w:rFonts w:ascii="Times New Roman" w:hAnsi="Times New Roman"/>
          <w:sz w:val="22"/>
          <w:szCs w:val="22"/>
          <w:lang w:val="sk-SK"/>
        </w:rPr>
        <w:t>precitlivenosťou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aciklovir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penciklovir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(alebo </w:t>
      </w:r>
      <w:r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D05B9F">
        <w:rPr>
          <w:rFonts w:ascii="Times New Roman" w:hAnsi="Times New Roman"/>
          <w:sz w:val="22"/>
          <w:szCs w:val="22"/>
          <w:lang w:val="sk-SK"/>
        </w:rPr>
        <w:t>ich prekurzor</w:t>
      </w:r>
      <w:r>
        <w:rPr>
          <w:rFonts w:ascii="Times New Roman" w:hAnsi="Times New Roman"/>
          <w:sz w:val="22"/>
          <w:szCs w:val="22"/>
          <w:lang w:val="sk-SK"/>
        </w:rPr>
        <w:t>y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valaciklovir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famciklovir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), je preto potrebná opatrnosť.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22E09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Mutagenita</w:t>
      </w:r>
      <w:proofErr w:type="spellEnd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 xml:space="preserve">, </w:t>
      </w:r>
      <w:proofErr w:type="spellStart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teratogenita</w:t>
      </w:r>
      <w:proofErr w:type="spellEnd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 xml:space="preserve">, karcinogenita, </w:t>
      </w:r>
      <w:proofErr w:type="spellStart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fertilita</w:t>
      </w:r>
      <w:proofErr w:type="spellEnd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 xml:space="preserve"> a antikoncepcia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Pred začatím liečby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je potrebné upozorniť pacientky na možné riziká pre plod.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štúdiách na zvieratách sa zistilo, že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je mutagénny,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teratogénny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, karcinogénny a oslabuje plodnosť. </w:t>
      </w:r>
      <w:r w:rsidR="00F33CC6">
        <w:rPr>
          <w:rFonts w:ascii="Times New Roman" w:hAnsi="Times New Roman"/>
          <w:sz w:val="22"/>
          <w:szCs w:val="22"/>
          <w:lang w:val="sk-SK"/>
        </w:rPr>
        <w:t>Na základe klinických a pred</w:t>
      </w:r>
      <w:r w:rsidR="00C766C4">
        <w:rPr>
          <w:rFonts w:ascii="Times New Roman" w:hAnsi="Times New Roman"/>
          <w:sz w:val="22"/>
          <w:szCs w:val="22"/>
          <w:lang w:val="sk-SK"/>
        </w:rPr>
        <w:t>klinických štúdií sa p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redpokladá, že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pravdepodobne spôsobuje dočasnú alebo trvalú inhibíciu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spermatogenézy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4.6,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5.3).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by sa mal preto u ľudí považovať za potenciálny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teratogén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 karcinogén, s potenciálom spôsobenia vrodených chýb a onkologických ochorení. Ženy v plodnom veku je preto nutné upozorniť na to, aby počas liečby a najmenej 30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dní po jej ukončení používali účinnú antikoncepciu. Mužov je </w:t>
      </w:r>
      <w:r w:rsidRPr="00D05B9F">
        <w:rPr>
          <w:rFonts w:ascii="Times New Roman" w:hAnsi="Times New Roman"/>
          <w:sz w:val="22"/>
          <w:szCs w:val="22"/>
          <w:lang w:val="sk-SK"/>
        </w:rPr>
        <w:lastRenderedPageBreak/>
        <w:t xml:space="preserve">nutné upozorniť na to, aby používali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bariérovú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antikoncepčnú metódu počas liečby a najmenej 90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po jej ukončení, pokiaľ nie je isté, že partnerke nehrozí riziko otehotnenia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4.6,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5.3).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Použitie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si vyžaduje mimoriadnu opatrnosť predovšetkým v pediatrickej populácii, vzhľadom na možné riziko dlhodobej karcinogenity a toxicity na reprodukčné funkcie. Očakávaný prínos liečby sa musí starostlivo zvážiť u každého individuálne a má jednoznačne prevažovať nad jej rizikami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4.2). Pozrite odporúčania pre liečbu.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B1687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Myelosupresia</w:t>
      </w:r>
      <w:proofErr w:type="spellEnd"/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Použitie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má zvážiť u pacientov s existujúcou hematologickou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cytopéniou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alebo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pozitívnou anamnézou hematologickej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cytopénie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vyvolanej liekmi a u pacientov, ktorí sa podrobujú rádioterapii.</w:t>
      </w:r>
    </w:p>
    <w:p w:rsidR="0010462A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U pacientov liečených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sa pozorovala </w:t>
      </w:r>
      <w:r>
        <w:rPr>
          <w:rFonts w:ascii="Times New Roman" w:hAnsi="Times New Roman"/>
          <w:sz w:val="22"/>
          <w:szCs w:val="24"/>
          <w:lang w:val="sk-SK" w:eastAsia="ja-JP"/>
        </w:rPr>
        <w:t>závažná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leukopénia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neutropénia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, anémia,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trombocytopénia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pancytopénia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a </w:t>
      </w:r>
      <w:r>
        <w:rPr>
          <w:rFonts w:ascii="Times New Roman" w:hAnsi="Times New Roman"/>
          <w:sz w:val="22"/>
          <w:szCs w:val="24"/>
          <w:lang w:val="sk-SK" w:eastAsia="ja-JP"/>
        </w:rPr>
        <w:t>zlyhanie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kostnej drene. Liečba sa nemá začať v prípade, ak je absolútny počet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neutrofilov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nižší než 500/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sym w:font="Symbol" w:char="F06D"/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l, alebo ak je počet trombocytov nižší než 25 000/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sym w:font="Symbol" w:char="F06D"/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l, alebo ak je hladina hemoglobínu nižšia ako 8 g/dl (pozri časti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4.2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4.8).</w:t>
      </w:r>
    </w:p>
    <w:p w:rsidR="0010462A" w:rsidRPr="00AB1687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AB1687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AB1687">
        <w:rPr>
          <w:rFonts w:ascii="Times New Roman" w:hAnsi="Times New Roman"/>
          <w:sz w:val="22"/>
          <w:szCs w:val="24"/>
          <w:lang w:val="sk-SK" w:eastAsia="ja-JP"/>
        </w:rPr>
        <w:t>Počas liečby sa odporúča monitorovať kompletný krvný obraz vrátane počtu trombocytov. 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pacientov s poruchou funkcie obličiek</w:t>
      </w:r>
      <w:r w:rsidR="008B7B95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r w:rsidR="00F22E20">
        <w:rPr>
          <w:rFonts w:ascii="Times New Roman" w:hAnsi="Times New Roman"/>
          <w:sz w:val="22"/>
          <w:szCs w:val="24"/>
          <w:lang w:val="sk-SK" w:eastAsia="ja-JP"/>
        </w:rPr>
        <w:t xml:space="preserve">a </w:t>
      </w:r>
      <w:r w:rsidR="008B7B95">
        <w:rPr>
          <w:rFonts w:ascii="Times New Roman" w:hAnsi="Times New Roman"/>
          <w:sz w:val="22"/>
          <w:szCs w:val="24"/>
          <w:lang w:val="sk-SK" w:eastAsia="ja-JP"/>
        </w:rPr>
        <w:t>u novorodencov a dojčiat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je potrebné zvýšené sledovanie hematologických parametrov</w:t>
      </w:r>
      <w:r w:rsidR="008B7B95">
        <w:rPr>
          <w:rFonts w:ascii="Times New Roman" w:hAnsi="Times New Roman"/>
          <w:sz w:val="22"/>
          <w:szCs w:val="24"/>
          <w:lang w:val="sk-SK" w:eastAsia="ja-JP"/>
        </w:rPr>
        <w:t xml:space="preserve"> (pozri časť 4.8) 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. V priebehu prvých 14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dní podávania sa odporúča každé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dni sledovanie počtu leukocytov (ak je to možné s ich diferenciálnym rozpočtom); u pacientov s nízkou počiatočnou hladinou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neutrofilov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(menej ako 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000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neutrofilov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>/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sym w:font="Symbol" w:char="F06D"/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l), u ktorých sa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leukopénia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vyvinula počas predchádzajúcej liečby inými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myelotoxickými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látkami a u pacientov s poruchou funkcie obličiek, sa má toto vyšetrenie vykonať na dennej báze.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U pacientov s</w:t>
      </w:r>
      <w:r>
        <w:rPr>
          <w:rFonts w:ascii="Times New Roman" w:hAnsi="Times New Roman"/>
          <w:sz w:val="22"/>
          <w:szCs w:val="22"/>
          <w:lang w:val="sk-SK"/>
        </w:rPr>
        <w:t>o závažnou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leukopéniou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neutropéniou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, anémiou a/alebo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trombocytopéniou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odporúča zvážiť liečbu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hematopoetickými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rastovými faktormi a/alebo prerušenie podávania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B1687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Porucha funkcie obličiek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Pacienti s poruchou funkcie obličiek sú vystavení zvýšenému riziku toxicity (najmä hematologickej toxicity). Je potrebné zníženie dávky (pozri časti 4.2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5.2).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B1687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Súbežné použitie s inými liekmi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U pacientov dostávajúcich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imipenem</w:t>
      </w:r>
      <w:r>
        <w:rPr>
          <w:rFonts w:ascii="Times New Roman" w:hAnsi="Times New Roman"/>
          <w:sz w:val="22"/>
          <w:szCs w:val="22"/>
          <w:lang w:val="sk-SK"/>
        </w:rPr>
        <w:noBreakHyphen/>
      </w:r>
      <w:r w:rsidRPr="00D05B9F">
        <w:rPr>
          <w:rFonts w:ascii="Times New Roman" w:hAnsi="Times New Roman"/>
          <w:sz w:val="22"/>
          <w:szCs w:val="22"/>
          <w:lang w:val="sk-SK"/>
        </w:rPr>
        <w:t>cilastatín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bol hlásený výskyt</w:t>
      </w:r>
      <w:r w:rsidR="00342F0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766C4">
        <w:rPr>
          <w:rFonts w:ascii="Times New Roman" w:hAnsi="Times New Roman"/>
          <w:sz w:val="22"/>
          <w:szCs w:val="22"/>
          <w:lang w:val="sk-SK"/>
        </w:rPr>
        <w:t>záchvatov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nemá podávať súbežne s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imipenemom</w:t>
      </w:r>
      <w:r>
        <w:rPr>
          <w:rFonts w:ascii="Times New Roman" w:hAnsi="Times New Roman"/>
          <w:sz w:val="22"/>
          <w:szCs w:val="22"/>
          <w:lang w:val="sk-SK"/>
        </w:rPr>
        <w:noBreakHyphen/>
      </w:r>
      <w:r w:rsidRPr="00D05B9F">
        <w:rPr>
          <w:rFonts w:ascii="Times New Roman" w:hAnsi="Times New Roman"/>
          <w:sz w:val="22"/>
          <w:szCs w:val="22"/>
          <w:lang w:val="sk-SK"/>
        </w:rPr>
        <w:t>cilastatínom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, pokiaľ potenciálny prínos liečby neprevažuje nad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jej potenciálnymi rizikami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4.5).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Pacientov liečených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didanozínom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, liekmi, o ktorých je známe, že pôsobia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myelosupresívne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, alebo poškodzujú funkciu obličiek, je potrebné starostlivo sledovať s cieľom včas zistiť prejavy prídavnej toxicity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4.5).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B1687" w:rsidRDefault="0010462A" w:rsidP="0010462A">
      <w:pPr>
        <w:keepNext/>
        <w:keepLines/>
        <w:rPr>
          <w:rFonts w:ascii="Times New Roman" w:hAnsi="Times New Roman"/>
          <w:sz w:val="22"/>
          <w:szCs w:val="22"/>
          <w:u w:val="single"/>
          <w:lang w:val="sk-SK"/>
        </w:rPr>
      </w:pPr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Pomocné látky</w:t>
      </w:r>
    </w:p>
    <w:p w:rsidR="0010462A" w:rsidRPr="00D05B9F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Tento liek obsahuje 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mmol (43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mg) sodíka v jednej 500 mg dávke. Má </w:t>
      </w:r>
      <w:r>
        <w:rPr>
          <w:rFonts w:ascii="Times New Roman" w:hAnsi="Times New Roman"/>
          <w:sz w:val="22"/>
          <w:szCs w:val="22"/>
          <w:lang w:val="sk-SK"/>
        </w:rPr>
        <w:t xml:space="preserve">sa to vziať do úvahy </w:t>
      </w:r>
      <w:r w:rsidRPr="00D05B9F">
        <w:rPr>
          <w:rFonts w:ascii="Times New Roman" w:hAnsi="Times New Roman"/>
          <w:sz w:val="22"/>
          <w:szCs w:val="22"/>
          <w:lang w:val="sk-SK"/>
        </w:rPr>
        <w:t>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pacientov s kontrolovaným príjmom sodíka.</w:t>
      </w:r>
    </w:p>
    <w:p w:rsidR="0010462A" w:rsidRPr="00AF1AB0" w:rsidRDefault="0010462A" w:rsidP="0010462A">
      <w:pPr>
        <w:pStyle w:val="Text"/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4.5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Liekové a iné interakcie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proofErr w:type="spellStart"/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Farmakokinetické</w:t>
      </w:r>
      <w:proofErr w:type="spellEnd"/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 xml:space="preserve"> interakcie</w:t>
      </w:r>
    </w:p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u w:val="single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u w:val="single"/>
          <w:lang w:val="sk-SK" w:eastAsia="ja-JP"/>
        </w:rPr>
      </w:pPr>
      <w:proofErr w:type="spellStart"/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Probenecid</w:t>
      </w:r>
      <w:proofErr w:type="spellEnd"/>
    </w:p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Probenecid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podávaný s perorálnym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mal za následok štatisticky významný pokles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renálneho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klírensu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, čo viedlo ku klinicky významnému zvýšeniu jeho expozície. Takýto efekt sa tiež predpokladá počas súbežného intravenózneho podávania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a 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probenecidu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. Z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tohto dôvodu je potrebné pacientov dostávajúcich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probenecid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a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starostlivo sledovať z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hľadiska toxicity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  <w:proofErr w:type="spellStart"/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Didanozín</w:t>
      </w:r>
      <w:proofErr w:type="spellEnd"/>
    </w:p>
    <w:p w:rsidR="0010462A" w:rsidRPr="00794080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Zistilo sa, že plazmatické koncentrácie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didanozínu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boli pri súbežnom podávaní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didanozínu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s 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stále zvýšené. Pri intravenóznych dávkach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mg/kg/denne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10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mg/kg/denne sa pozorovalo zvýšenie AUC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didanozínu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v rozpätí od 38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% až do 67 %. Nezaznamenal sa klinicky významný vplyv na koncentráciu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. Pacientov je potrebné starostlivo sledovať z hľadiska toxicity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didanozínu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iCs/>
          <w:sz w:val="22"/>
          <w:szCs w:val="24"/>
          <w:lang w:val="sk-SK" w:eastAsia="ja-JP"/>
        </w:rPr>
        <w:t>4.4)</w:t>
      </w: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 xml:space="preserve">Iné </w:t>
      </w:r>
      <w:proofErr w:type="spellStart"/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antiretrovírusové</w:t>
      </w:r>
      <w:proofErr w:type="spellEnd"/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 xml:space="preserve"> lieky</w:t>
      </w:r>
    </w:p>
    <w:p w:rsidR="0010462A" w:rsidRPr="00794080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Izoenzýmy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cytochrómu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P450 nehrajú vo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farmakokinetike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žiadnu úlohu. Preto sa predpokladá, že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farmakokinetické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interakcie s inhibítormi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proteáz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a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nenukleozidovými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inhibítormi reverznej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transkriptázy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sú nepravdepodobné.</w:t>
      </w:r>
    </w:p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proofErr w:type="spellStart"/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Farmakodynamické</w:t>
      </w:r>
      <w:proofErr w:type="spellEnd"/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 xml:space="preserve"> interakcie</w:t>
      </w:r>
    </w:p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Imipenem</w:t>
      </w:r>
      <w:r>
        <w:rPr>
          <w:rFonts w:ascii="Times New Roman" w:hAnsi="Times New Roman"/>
          <w:i/>
          <w:sz w:val="22"/>
          <w:szCs w:val="24"/>
          <w:lang w:val="sk-SK" w:eastAsia="ja-JP"/>
        </w:rPr>
        <w:noBreakHyphen/>
      </w: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cilastatín</w:t>
      </w:r>
      <w:proofErr w:type="spellEnd"/>
    </w:p>
    <w:p w:rsidR="0010462A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Pri </w:t>
      </w:r>
      <w:r>
        <w:rPr>
          <w:rFonts w:ascii="Times New Roman" w:hAnsi="Times New Roman"/>
          <w:sz w:val="22"/>
          <w:szCs w:val="24"/>
          <w:lang w:val="sk-SK" w:eastAsia="ja-JP"/>
        </w:rPr>
        <w:t>súbežnom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podávaní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imipenem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cilastatínu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bol hlásený u pacientov výskyt</w:t>
      </w:r>
      <w:r w:rsidR="00000203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="00C766C4">
        <w:rPr>
          <w:rFonts w:ascii="Times New Roman" w:hAnsi="Times New Roman"/>
          <w:sz w:val="22"/>
          <w:szCs w:val="24"/>
          <w:lang w:val="sk-SK" w:eastAsia="ja-JP"/>
        </w:rPr>
        <w:t>záchvatov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. Tieto liečivá sa nemajú podávať </w:t>
      </w:r>
      <w:r>
        <w:rPr>
          <w:rFonts w:ascii="Times New Roman" w:hAnsi="Times New Roman"/>
          <w:sz w:val="22"/>
          <w:szCs w:val="24"/>
          <w:lang w:val="sk-SK" w:eastAsia="ja-JP"/>
        </w:rPr>
        <w:t>súbežne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, pokiaľ ich potenciálny prínos neprevyšuje možné riziká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4.4</w:t>
      </w:r>
      <w:r w:rsidRPr="00D05B9F">
        <w:rPr>
          <w:rFonts w:ascii="Times New Roman" w:hAnsi="Times New Roman"/>
          <w:iCs/>
          <w:sz w:val="22"/>
          <w:szCs w:val="24"/>
          <w:lang w:val="sk-SK" w:eastAsia="ja-JP"/>
        </w:rPr>
        <w:t>)</w:t>
      </w: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.</w:t>
      </w:r>
    </w:p>
    <w:p w:rsidR="0010462A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794080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  <w:bookmarkStart w:id="0" w:name="_Hlk493595637"/>
      <w:proofErr w:type="spellStart"/>
      <w:r w:rsidRPr="00794080">
        <w:rPr>
          <w:rFonts w:ascii="Times New Roman" w:hAnsi="Times New Roman"/>
          <w:i/>
          <w:sz w:val="22"/>
          <w:szCs w:val="24"/>
          <w:lang w:val="sk-SK" w:eastAsia="ja-JP"/>
        </w:rPr>
        <w:t>Zidovudín</w:t>
      </w:r>
      <w:proofErr w:type="spellEnd"/>
    </w:p>
    <w:p w:rsidR="0010462A" w:rsidRPr="00794080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Zidovudín</w:t>
      </w:r>
      <w:proofErr w:type="spellEnd"/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aj </w:t>
      </w: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môžu spôsobiť </w:t>
      </w: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neutropéniu</w:t>
      </w:r>
      <w:proofErr w:type="spellEnd"/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a anémiu. Počas súbežného podávania týchto liečiv môže dôjsť k </w:t>
      </w: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farmakodynamickej</w:t>
      </w:r>
      <w:proofErr w:type="spellEnd"/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interakcii. Niektorí pacienti nemusia znášať súbežnú liečbu plnými dávkami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94080">
        <w:rPr>
          <w:rFonts w:ascii="Times New Roman" w:hAnsi="Times New Roman"/>
          <w:sz w:val="22"/>
          <w:szCs w:val="24"/>
          <w:lang w:val="sk-SK" w:eastAsia="ja-JP"/>
        </w:rPr>
        <w:t>4.4)</w:t>
      </w:r>
      <w:r>
        <w:rPr>
          <w:rFonts w:ascii="Times New Roman" w:hAnsi="Times New Roman"/>
          <w:sz w:val="22"/>
          <w:szCs w:val="24"/>
          <w:lang w:val="sk-SK" w:eastAsia="ja-JP"/>
        </w:rPr>
        <w:t>.</w:t>
      </w:r>
    </w:p>
    <w:bookmarkEnd w:id="0"/>
    <w:p w:rsidR="0010462A" w:rsidRPr="00D05B9F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Ďalšie možné liekové interakcie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Toxicita sa môže zvýšiť, keď sa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podáva spolu s inými liekmi, o ktorých je známe, že sú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myelosupresívne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, alebo sa dávajú do súvislosti s poruchou funkcie obličiek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. To zahŕňa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antiinfektíva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(napríklad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dapsón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pentamidín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flucytozín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amfotericín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B, </w:t>
      </w:r>
      <w:bookmarkStart w:id="1" w:name="_Hlk493595686"/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trimetoprim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/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sulfametoxazol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),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imunosupresíva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(napr.</w:t>
      </w:r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cyklosporín</w:t>
      </w:r>
      <w:proofErr w:type="spellEnd"/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takrolimus</w:t>
      </w:r>
      <w:bookmarkEnd w:id="1"/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,</w:t>
      </w:r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mofetilmykofenolát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)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,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antineoplastické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látky (napr.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vinktristín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vinblastín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doxorubicín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a 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hydroxymočovina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)</w:t>
      </w:r>
      <w:r>
        <w:rPr>
          <w:rFonts w:ascii="Times New Roman" w:hAnsi="Times New Roman"/>
          <w:sz w:val="22"/>
          <w:szCs w:val="24"/>
          <w:lang w:val="sk-SK" w:eastAsia="ja-JP"/>
        </w:rPr>
        <w:t>,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ako aj </w:t>
      </w:r>
      <w:bookmarkStart w:id="2" w:name="_Hlk493595695"/>
      <w:r>
        <w:rPr>
          <w:rFonts w:ascii="Times New Roman" w:hAnsi="Times New Roman"/>
          <w:sz w:val="22"/>
          <w:szCs w:val="24"/>
          <w:lang w:val="sk-SK" w:eastAsia="ja-JP"/>
        </w:rPr>
        <w:t>s 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nukleozidovými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(vrátane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zidovudínu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stavudínu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a 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didanozínu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)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a 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nukleotidovými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analógmi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(vrátane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tenofoviru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adefoviru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)</w:t>
      </w:r>
      <w:bookmarkEnd w:id="2"/>
      <w:r w:rsidRPr="00D05B9F">
        <w:rPr>
          <w:rFonts w:ascii="Times New Roman" w:hAnsi="Times New Roman"/>
          <w:sz w:val="22"/>
          <w:szCs w:val="24"/>
          <w:lang w:val="sk-SK" w:eastAsia="ja-JP"/>
        </w:rPr>
        <w:t>. Z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uvedeného vyplýva, že o súbežnom podávaní týchto liekov spolu s 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možno uvažovať len v prípade, ak možný prínos prevažuje nad možnými rizikami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4.4).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05B9F" w:rsidRDefault="0010462A" w:rsidP="0010462A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Pediatrická populácia</w:t>
      </w:r>
    </w:p>
    <w:p w:rsidR="0010462A" w:rsidRPr="00CF759E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bookmarkStart w:id="3" w:name="_Hlk493595746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Interakčné štúdie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sa uskutočnili 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len u dospelých.</w:t>
      </w:r>
    </w:p>
    <w:bookmarkEnd w:id="3"/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4.6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Fertilita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>, g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>ravidita a laktácia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Fertilita</w:t>
      </w:r>
      <w:proofErr w:type="spellEnd"/>
    </w:p>
    <w:p w:rsidR="00F33CC6" w:rsidRDefault="00F33CC6" w:rsidP="00C766C4">
      <w:pPr>
        <w:rPr>
          <w:rFonts w:ascii="Times New Roman" w:hAnsi="Times New Roman"/>
          <w:sz w:val="22"/>
          <w:szCs w:val="22"/>
          <w:lang w:val="sk-SK"/>
        </w:rPr>
      </w:pPr>
    </w:p>
    <w:p w:rsidR="00C766C4" w:rsidRDefault="00C766C4" w:rsidP="00C766C4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Malá klinická štúdia s pacientmi s transplantáciou obličiek, ktorí dostávali </w:t>
      </w:r>
      <w:proofErr w:type="spellStart"/>
      <w:r w:rsidR="00992A6E">
        <w:rPr>
          <w:rFonts w:ascii="Times New Roman" w:hAnsi="Times New Roman"/>
          <w:sz w:val="22"/>
          <w:szCs w:val="22"/>
          <w:lang w:val="sk-SK"/>
        </w:rPr>
        <w:t>valganciklovir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 profylaktickej liečbe CMV až po dobu 200 dní preukázala vplyv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/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spermatogenézu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 poklesom hustoty a pohyblivosti spermií, hodnotenú po ukončení podávania liečby. Zdá sa, že tento vplyv je reverzibilný a približne po šiestich mesiacoch od ukončenia podávania </w:t>
      </w:r>
      <w:proofErr w:type="spellStart"/>
      <w:r w:rsidR="009843A1">
        <w:rPr>
          <w:rFonts w:ascii="Times New Roman" w:hAnsi="Times New Roman"/>
          <w:sz w:val="22"/>
          <w:szCs w:val="22"/>
          <w:lang w:val="sk-SK"/>
        </w:rPr>
        <w:lastRenderedPageBreak/>
        <w:t>valgancikloviru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priemerná hustota a pohyblivosť spermií vrátila späť na hladiny porovnateľné s tými, ktoré boli pozorované v skupinách bez liečby.</w:t>
      </w:r>
    </w:p>
    <w:p w:rsidR="00C766C4" w:rsidRDefault="00C766C4" w:rsidP="00C766C4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 štúdiách na zvieratách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oslabil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fertilitu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u samcov aj samíc myší, preukázal inhibíciu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spermatogenézy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 vyvolal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testikulárnu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atrofiu u myší, potkanov a psov pri dávkach, ktoré boli považované za klinicky významné. 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Vychádzajúc z </w:t>
      </w:r>
      <w:r w:rsidR="007616FF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="007616FF">
        <w:rPr>
          <w:rFonts w:ascii="Times New Roman" w:hAnsi="Times New Roman"/>
          <w:sz w:val="22"/>
          <w:szCs w:val="22"/>
          <w:lang w:val="sk-SK"/>
        </w:rPr>
        <w:t>z</w:t>
      </w:r>
      <w:proofErr w:type="spellEnd"/>
      <w:r w:rsidR="007616FF">
        <w:rPr>
          <w:rFonts w:ascii="Times New Roman" w:hAnsi="Times New Roman"/>
          <w:sz w:val="22"/>
          <w:szCs w:val="22"/>
          <w:lang w:val="sk-SK"/>
        </w:rPr>
        <w:t> klinických a </w:t>
      </w:r>
      <w:r w:rsidR="00F33CC6">
        <w:rPr>
          <w:rFonts w:ascii="Times New Roman" w:hAnsi="Times New Roman"/>
          <w:sz w:val="22"/>
          <w:szCs w:val="22"/>
          <w:lang w:val="sk-SK"/>
        </w:rPr>
        <w:t>pred</w:t>
      </w:r>
      <w:r w:rsidR="007616FF">
        <w:rPr>
          <w:rFonts w:ascii="Times New Roman" w:hAnsi="Times New Roman"/>
          <w:sz w:val="22"/>
          <w:szCs w:val="22"/>
          <w:lang w:val="sk-SK"/>
        </w:rPr>
        <w:t xml:space="preserve">klinických </w:t>
      </w:r>
      <w:r w:rsidRPr="00D05B9F">
        <w:rPr>
          <w:rFonts w:ascii="Times New Roman" w:hAnsi="Times New Roman"/>
          <w:sz w:val="22"/>
          <w:szCs w:val="22"/>
          <w:lang w:val="sk-SK"/>
        </w:rPr>
        <w:t>štúdi</w:t>
      </w:r>
      <w:r w:rsidR="007616FF">
        <w:rPr>
          <w:rFonts w:ascii="Times New Roman" w:hAnsi="Times New Roman"/>
          <w:sz w:val="22"/>
          <w:szCs w:val="22"/>
          <w:lang w:val="sk-SK"/>
        </w:rPr>
        <w:t>í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sa predpokladá, že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môže pravdepodobne dočasne alebo natrvalo spôsobiť inhibíciu ľudskej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spermatogenézy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(pozri čas</w:t>
      </w:r>
      <w:r w:rsidR="007616FF">
        <w:rPr>
          <w:rFonts w:ascii="Times New Roman" w:hAnsi="Times New Roman"/>
          <w:sz w:val="22"/>
          <w:szCs w:val="22"/>
          <w:lang w:val="sk-SK"/>
        </w:rPr>
        <w:t>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 w:rsidR="007616FF">
        <w:rPr>
          <w:rFonts w:ascii="Times New Roman" w:hAnsi="Times New Roman"/>
          <w:sz w:val="22"/>
          <w:szCs w:val="22"/>
          <w:lang w:val="sk-SK"/>
        </w:rPr>
        <w:t xml:space="preserve"> a 5.3</w:t>
      </w:r>
      <w:r w:rsidRPr="00D05B9F">
        <w:rPr>
          <w:rFonts w:ascii="Times New Roman" w:hAnsi="Times New Roman"/>
          <w:sz w:val="22"/>
          <w:szCs w:val="22"/>
          <w:lang w:val="sk-SK"/>
        </w:rPr>
        <w:t>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Gravidita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Bezpečnosť podávania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u gravidných žien nebola stanovená.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však ľahko prechádza ľudskou placentou. V štúdiách na zvieratách sa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spájal s reprodukčnou toxicitou 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teratogenitou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iCs/>
          <w:sz w:val="22"/>
          <w:szCs w:val="22"/>
          <w:lang w:val="sk-SK"/>
        </w:rPr>
        <w:t>5.3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). Z tohto dôvodu sa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nemá podávať tehotným ženám, s výnimkou prípadu, ak klinický prínos liečby pre ženu preváži nad potenciálnym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teratogénnym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rizikom pre plod.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Antikoncepcia u mužov a žien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Ako výsledok potenciálnej reprodukčnej toxicity a 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teratogenity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, ženy v plodnom veku musia byť poučené, aby počas liečby a najmenej 30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po jej ukončení používali efektívnu antikoncepciu.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Mužov treba informovať, aby počas liečby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 najmenej 90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dní po jej ukončení používali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bariérovú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antikoncepciu, pokiaľ nie je isté, že partnerke nehrozí riziko otehotnenia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iCs/>
          <w:sz w:val="22"/>
          <w:szCs w:val="22"/>
          <w:lang w:val="sk-SK"/>
        </w:rPr>
        <w:t>5.3).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Dojčenie</w:t>
      </w: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Nie je známe, či </w:t>
      </w:r>
      <w:r>
        <w:rPr>
          <w:rFonts w:ascii="Times New Roman" w:hAnsi="Times New Roman"/>
          <w:sz w:val="22"/>
          <w:szCs w:val="22"/>
          <w:lang w:val="sk-SK"/>
        </w:rPr>
        <w:t xml:space="preserve">sa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vylučuje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do </w:t>
      </w:r>
      <w:r>
        <w:rPr>
          <w:rFonts w:ascii="Times New Roman" w:hAnsi="Times New Roman"/>
          <w:sz w:val="22"/>
          <w:szCs w:val="22"/>
          <w:lang w:val="sk-SK"/>
        </w:rPr>
        <w:t xml:space="preserve">ľudského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materského mlieka, avšak nedá sa vylúčiť možnosť, že prechádza do materského mlieka a vyvolá závažné nežiaduce reakcie u dojčeného dieťaťa. </w:t>
      </w:r>
      <w:bookmarkStart w:id="4" w:name="_Hlk493595778"/>
      <w:r w:rsidRPr="00CF759E">
        <w:rPr>
          <w:rFonts w:ascii="Times New Roman" w:hAnsi="Times New Roman"/>
          <w:sz w:val="22"/>
          <w:szCs w:val="22"/>
          <w:lang w:val="sk-SK"/>
        </w:rPr>
        <w:t xml:space="preserve">Štúdie na zvieratách preukázali, že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sa vylučuje do mlieka dojčiacich potkanov</w:t>
      </w:r>
      <w:bookmarkEnd w:id="4"/>
      <w:r>
        <w:rPr>
          <w:rFonts w:ascii="Times New Roman" w:hAnsi="Times New Roman"/>
          <w:sz w:val="22"/>
          <w:szCs w:val="22"/>
          <w:lang w:val="sk-SK"/>
        </w:rPr>
        <w:t>.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Z tohto dôvodu sa musí dojčenie počas liečby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ukončiť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4.3).</w:t>
      </w:r>
    </w:p>
    <w:p w:rsidR="0010462A" w:rsidRPr="00CF759E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4.7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Ovplyvnenie schopnosti viesť vozidlá a obsluhovať stroje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D05B9F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môže mať </w:t>
      </w:r>
      <w:r>
        <w:rPr>
          <w:rFonts w:ascii="Times New Roman" w:hAnsi="Times New Roman"/>
          <w:sz w:val="22"/>
          <w:szCs w:val="22"/>
          <w:lang w:val="sk-SK"/>
        </w:rPr>
        <w:t xml:space="preserve">veľký </w:t>
      </w:r>
      <w:r w:rsidRPr="00D05B9F">
        <w:rPr>
          <w:rFonts w:ascii="Times New Roman" w:hAnsi="Times New Roman"/>
          <w:sz w:val="22"/>
          <w:szCs w:val="22"/>
          <w:lang w:val="sk-SK"/>
        </w:rPr>
        <w:t>vplyv na schopnosť viesť vozidlá a obsluhovať stroje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:rsidR="0010462A" w:rsidRPr="00AF1AB0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4.8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Nežiaduce účinky</w:t>
      </w:r>
    </w:p>
    <w:p w:rsidR="0010462A" w:rsidRPr="00CF759E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Súhrn bezpečnostného profilu</w:t>
      </w:r>
    </w:p>
    <w:p w:rsidR="0010462A" w:rsidRPr="00CF759E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V</w:t>
      </w:r>
      <w:r w:rsidRPr="00CF759E">
        <w:rPr>
          <w:rFonts w:ascii="Times New Roman" w:hAnsi="Times New Roman"/>
          <w:sz w:val="22"/>
          <w:szCs w:val="22"/>
          <w:lang w:val="sk-SK"/>
        </w:rPr>
        <w:t>alganciklovir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je prekurzorom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>, preto sa predpokladá, že nežiaduce reakcie súvisiace s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sa </w:t>
      </w:r>
      <w:r w:rsidRPr="00052D8A">
        <w:rPr>
          <w:rFonts w:ascii="Times New Roman" w:hAnsi="Times New Roman"/>
          <w:sz w:val="22"/>
          <w:szCs w:val="22"/>
          <w:lang w:val="sk-SK"/>
        </w:rPr>
        <w:t>môžu vyskytnúť</w:t>
      </w:r>
      <w:r w:rsidRPr="00AF1C88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aj 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pri podaní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. Perorálne podávaný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už nie je dostupný, avšak predpokladá sa, že nežiaduce reakcie, ktoré boli hlásené pri jeho užívaní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sa môžu vyskytnúť aj u pacientov, ktorým je pod</w:t>
      </w:r>
      <w:r>
        <w:rPr>
          <w:rFonts w:ascii="Times New Roman" w:hAnsi="Times New Roman"/>
          <w:sz w:val="22"/>
          <w:szCs w:val="22"/>
          <w:lang w:val="sk-SK"/>
        </w:rPr>
        <w:t>áv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aný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intravenózne. Z toho dôvodu sú nežiaduce reakcie</w:t>
      </w:r>
      <w:r>
        <w:rPr>
          <w:rFonts w:ascii="Times New Roman" w:hAnsi="Times New Roman"/>
          <w:sz w:val="22"/>
          <w:szCs w:val="22"/>
          <w:lang w:val="sk-SK"/>
        </w:rPr>
        <w:t xml:space="preserve"> na liek</w:t>
      </w:r>
      <w:r w:rsidRPr="00CF759E">
        <w:rPr>
          <w:rFonts w:ascii="Times New Roman" w:hAnsi="Times New Roman"/>
          <w:sz w:val="22"/>
          <w:szCs w:val="22"/>
          <w:lang w:val="sk-SK"/>
        </w:rPr>
        <w:t>, ktoré boli hlásené pri intravenózn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alebo perorálne pod</w:t>
      </w:r>
      <w:r>
        <w:rPr>
          <w:rFonts w:ascii="Times New Roman" w:hAnsi="Times New Roman"/>
          <w:sz w:val="22"/>
          <w:szCs w:val="22"/>
          <w:lang w:val="sk-SK"/>
        </w:rPr>
        <w:t>áv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anom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ganciklovire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valganciklovire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, zahrnuté v tabuľke </w:t>
      </w:r>
      <w:r>
        <w:rPr>
          <w:rFonts w:ascii="Times New Roman" w:hAnsi="Times New Roman"/>
          <w:sz w:val="22"/>
          <w:szCs w:val="22"/>
          <w:lang w:val="sk-SK"/>
        </w:rPr>
        <w:t>s </w:t>
      </w:r>
      <w:r w:rsidRPr="00CF759E">
        <w:rPr>
          <w:rFonts w:ascii="Times New Roman" w:hAnsi="Times New Roman"/>
          <w:sz w:val="22"/>
          <w:szCs w:val="22"/>
          <w:lang w:val="sk-SK"/>
        </w:rPr>
        <w:t>nežiaduci</w:t>
      </w:r>
      <w:r>
        <w:rPr>
          <w:rFonts w:ascii="Times New Roman" w:hAnsi="Times New Roman"/>
          <w:sz w:val="22"/>
          <w:szCs w:val="22"/>
          <w:lang w:val="sk-SK"/>
        </w:rPr>
        <w:t>mi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reakci</w:t>
      </w:r>
      <w:r>
        <w:rPr>
          <w:rFonts w:ascii="Times New Roman" w:hAnsi="Times New Roman"/>
          <w:sz w:val="22"/>
          <w:szCs w:val="22"/>
          <w:lang w:val="sk-SK"/>
        </w:rPr>
        <w:t>ami.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bookmarkStart w:id="5" w:name="_Hlk493596096"/>
      <w:r w:rsidRPr="005725BE">
        <w:rPr>
          <w:rFonts w:ascii="Times New Roman" w:hAnsi="Times New Roman"/>
          <w:sz w:val="22"/>
          <w:szCs w:val="22"/>
          <w:lang w:val="sk-SK"/>
        </w:rPr>
        <w:t xml:space="preserve">U pacientov, ktorí sa liečili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boli najzávažnejšími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najčastejšími nežiaducimi reakciami hematologické reakcie vrátane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neutropénie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>, anémie a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trombocytopénie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(pozri časť 4.4)</w:t>
      </w:r>
      <w:r w:rsidRPr="005725BE">
        <w:rPr>
          <w:rFonts w:ascii="Times New Roman" w:hAnsi="Times New Roman"/>
          <w:sz w:val="22"/>
          <w:szCs w:val="22"/>
          <w:lang w:val="sk-SK"/>
        </w:rPr>
        <w:t>. Ďalšie nežiaduce reakcie sú uvedené v tabuľke nižšie.</w:t>
      </w:r>
    </w:p>
    <w:p w:rsidR="0010462A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 w:rsidRPr="00933001">
        <w:rPr>
          <w:rFonts w:ascii="Times New Roman" w:hAnsi="Times New Roman"/>
          <w:sz w:val="22"/>
          <w:szCs w:val="22"/>
          <w:lang w:val="sk-SK"/>
        </w:rPr>
        <w:lastRenderedPageBreak/>
        <w:t xml:space="preserve">Frekvencie výskytu uvedené v tabuľke s nežiaducimi reakciami sú stanovené na základe súhrnnej populácie pacientov </w:t>
      </w:r>
      <w:r>
        <w:rPr>
          <w:rFonts w:ascii="Times New Roman" w:hAnsi="Times New Roman"/>
          <w:sz w:val="22"/>
          <w:szCs w:val="22"/>
          <w:lang w:val="sk-SK"/>
        </w:rPr>
        <w:t xml:space="preserve">infikovaných HIV </w:t>
      </w:r>
      <w:r w:rsidRPr="00933001">
        <w:rPr>
          <w:rFonts w:ascii="Times New Roman" w:hAnsi="Times New Roman"/>
          <w:sz w:val="22"/>
          <w:szCs w:val="22"/>
          <w:lang w:val="sk-SK"/>
        </w:rPr>
        <w:t>(n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=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704), ktorí dostávali udržiavaciu liečbu </w:t>
      </w:r>
      <w:proofErr w:type="spellStart"/>
      <w:r w:rsidRPr="00933001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933001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933001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933001">
        <w:rPr>
          <w:rFonts w:ascii="Times New Roman" w:hAnsi="Times New Roman"/>
          <w:sz w:val="22"/>
          <w:szCs w:val="22"/>
          <w:lang w:val="sk-SK"/>
        </w:rPr>
        <w:t xml:space="preserve">. Výnimkou sú </w:t>
      </w:r>
      <w:proofErr w:type="spellStart"/>
      <w:r w:rsidRPr="00933001">
        <w:rPr>
          <w:rFonts w:ascii="Times New Roman" w:hAnsi="Times New Roman"/>
          <w:sz w:val="22"/>
          <w:szCs w:val="22"/>
          <w:lang w:val="sk-SK"/>
        </w:rPr>
        <w:t>agranulocytóza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933001">
        <w:rPr>
          <w:rFonts w:ascii="Times New Roman" w:hAnsi="Times New Roman"/>
          <w:sz w:val="22"/>
          <w:szCs w:val="22"/>
          <w:lang w:val="sk-SK"/>
        </w:rPr>
        <w:t>granulocytopénia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3274D">
        <w:rPr>
          <w:rFonts w:ascii="Times New Roman" w:hAnsi="Times New Roman"/>
          <w:sz w:val="22"/>
          <w:szCs w:val="22"/>
          <w:lang w:val="sk-SK"/>
        </w:rPr>
        <w:t>anafylaktická</w:t>
      </w:r>
      <w:proofErr w:type="spellEnd"/>
      <w:r w:rsidRPr="00B3274D">
        <w:rPr>
          <w:rFonts w:ascii="Times New Roman" w:hAnsi="Times New Roman"/>
          <w:sz w:val="22"/>
          <w:szCs w:val="22"/>
          <w:lang w:val="sk-SK"/>
        </w:rPr>
        <w:t xml:space="preserve"> reakcia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, ktorých frekvencie výskytu sa stanovili na základe skúseností z obdobia po uvedení lieku na trh. </w:t>
      </w:r>
      <w:r>
        <w:rPr>
          <w:rFonts w:ascii="Times New Roman" w:hAnsi="Times New Roman"/>
          <w:sz w:val="22"/>
          <w:szCs w:val="22"/>
          <w:lang w:val="sk-SK"/>
        </w:rPr>
        <w:t xml:space="preserve">Nežiaduce reakcie sú uvedené podľa triedy orgánových systémov podľa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MedDRA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 Kategórie f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rekvencie </w:t>
      </w:r>
      <w:r>
        <w:rPr>
          <w:rFonts w:ascii="Times New Roman" w:hAnsi="Times New Roman"/>
          <w:sz w:val="22"/>
          <w:szCs w:val="22"/>
          <w:lang w:val="sk-SK"/>
        </w:rPr>
        <w:t xml:space="preserve">sú definované pomocou nasledujúcej konvencie: </w:t>
      </w:r>
      <w:r w:rsidRPr="00933001">
        <w:rPr>
          <w:rFonts w:ascii="Times New Roman" w:hAnsi="Times New Roman"/>
          <w:sz w:val="22"/>
          <w:szCs w:val="22"/>
          <w:lang w:val="sk-SK"/>
        </w:rPr>
        <w:t>veľmi časté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1/10), časté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1/100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1/10), menej časté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1/100), zriedkavé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000) a veľmi zriedkavé (&lt;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000).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EC0D13">
        <w:rPr>
          <w:rFonts w:ascii="Times New Roman" w:hAnsi="Times New Roman"/>
          <w:sz w:val="22"/>
          <w:szCs w:val="22"/>
          <w:lang w:val="sk-SK"/>
        </w:rPr>
        <w:t xml:space="preserve">Celkový bezpečnostný profil 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valgancikloviru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 je u pacientov infikovaných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HIV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pacientov po transplantácii orgánu zhodný okrem odlúpenia sietnice, ktoré bolo hlásené iba u</w:t>
      </w:r>
      <w:r>
        <w:rPr>
          <w:rFonts w:ascii="Times New Roman" w:hAnsi="Times New Roman"/>
          <w:sz w:val="22"/>
          <w:szCs w:val="22"/>
          <w:lang w:val="sk-SK"/>
        </w:rPr>
        <w:t> HIV</w:t>
      </w:r>
      <w:r>
        <w:rPr>
          <w:rFonts w:ascii="Times New Roman" w:hAnsi="Times New Roman"/>
          <w:sz w:val="22"/>
          <w:szCs w:val="22"/>
          <w:lang w:val="sk-SK"/>
        </w:rPr>
        <w:noBreakHyphen/>
        <w:t xml:space="preserve">infikovaných </w:t>
      </w:r>
      <w:r w:rsidRPr="00EC0D13">
        <w:rPr>
          <w:rFonts w:ascii="Times New Roman" w:hAnsi="Times New Roman"/>
          <w:sz w:val="22"/>
          <w:szCs w:val="22"/>
          <w:lang w:val="sk-SK"/>
        </w:rPr>
        <w:t>pacientov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CMV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retinitídou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. Vo frekvencii výskytu niektorých reakcií sú však určité rozdiely. 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EC0D13">
        <w:rPr>
          <w:rFonts w:ascii="Times New Roman" w:hAnsi="Times New Roman"/>
          <w:sz w:val="22"/>
          <w:szCs w:val="22"/>
          <w:lang w:val="sk-SK"/>
        </w:rPr>
        <w:t>ntravenózn</w:t>
      </w:r>
      <w:r>
        <w:rPr>
          <w:rFonts w:ascii="Times New Roman" w:hAnsi="Times New Roman"/>
          <w:sz w:val="22"/>
          <w:szCs w:val="22"/>
          <w:lang w:val="sk-SK"/>
        </w:rPr>
        <w:t>e podávaný</w:t>
      </w:r>
      <w:r w:rsidRPr="00EC0D1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je v porovnaní s perorálne podávaným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 spájaný s</w:t>
      </w:r>
      <w:r>
        <w:rPr>
          <w:rFonts w:ascii="Times New Roman" w:hAnsi="Times New Roman"/>
          <w:sz w:val="22"/>
          <w:szCs w:val="22"/>
          <w:lang w:val="sk-SK"/>
        </w:rPr>
        <w:t> niž</w:t>
      </w:r>
      <w:r w:rsidRPr="00EC0D13">
        <w:rPr>
          <w:rFonts w:ascii="Times New Roman" w:hAnsi="Times New Roman"/>
          <w:sz w:val="22"/>
          <w:szCs w:val="22"/>
          <w:lang w:val="sk-SK"/>
        </w:rPr>
        <w:t xml:space="preserve">ším rizikom hnačky. 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Pyrexia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kandidové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 infekcie, depresia, závažná 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neutropénia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 (ANC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500</w:t>
      </w:r>
      <w:r>
        <w:rPr>
          <w:rFonts w:ascii="Times New Roman" w:hAnsi="Times New Roman"/>
          <w:sz w:val="22"/>
          <w:szCs w:val="22"/>
          <w:lang w:val="sk-SK"/>
        </w:rPr>
        <w:t>/</w:t>
      </w:r>
      <w:r w:rsidRPr="00EC0D13">
        <w:rPr>
          <w:rFonts w:ascii="Times New Roman" w:hAnsi="Times New Roman"/>
          <w:sz w:val="22"/>
          <w:szCs w:val="22"/>
          <w:lang w:val="sk-SK"/>
        </w:rPr>
        <w:t>µl) a kožné reakcie sú častejšie hlásené u pacientov infikovaných HIV. Dysfunkcia obličiek a dysfunkcia pečene sú častejšie hlásené u pacientov po transplantácii orgánu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u w:val="single"/>
          <w:lang w:val="sk-SK"/>
        </w:rPr>
      </w:pPr>
      <w:bookmarkStart w:id="6" w:name="_Hlk493596309"/>
      <w:bookmarkEnd w:id="5"/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 xml:space="preserve">Tabuľkový </w:t>
      </w:r>
      <w:r>
        <w:rPr>
          <w:rFonts w:ascii="Times New Roman" w:hAnsi="Times New Roman"/>
          <w:sz w:val="22"/>
          <w:szCs w:val="22"/>
          <w:u w:val="single"/>
          <w:lang w:val="sk-SK"/>
        </w:rPr>
        <w:t>zoznam</w:t>
      </w: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 xml:space="preserve"> nežiaducich reakcií</w:t>
      </w:r>
    </w:p>
    <w:p w:rsidR="0010462A" w:rsidRPr="009E7821" w:rsidRDefault="0010462A" w:rsidP="0010462A">
      <w:pPr>
        <w:rPr>
          <w:rFonts w:ascii="Times New Roman" w:hAnsi="Times New Roman"/>
          <w:iCs/>
          <w:sz w:val="22"/>
          <w:szCs w:val="22"/>
          <w:lang w:val="sk-SK" w:eastAsia="sk-SK"/>
        </w:rPr>
      </w:pPr>
    </w:p>
    <w:tbl>
      <w:tblPr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8"/>
        <w:gridCol w:w="2076"/>
      </w:tblGrid>
      <w:tr w:rsidR="0010462A" w:rsidRPr="009E7821" w:rsidTr="001017EC">
        <w:trPr>
          <w:cantSplit/>
          <w:tblHeader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Nežiaduce reakcie na liek (</w:t>
            </w:r>
            <w:proofErr w:type="spellStart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adverse</w:t>
            </w:r>
            <w:proofErr w:type="spellEnd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drug</w:t>
            </w:r>
            <w:proofErr w:type="spellEnd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reactions</w:t>
            </w:r>
            <w:proofErr w:type="spellEnd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 xml:space="preserve">, </w:t>
            </w: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ADR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)</w:t>
            </w:r>
          </w:p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(</w:t>
            </w:r>
            <w:proofErr w:type="spellStart"/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MedDRA</w:t>
            </w:r>
            <w:proofErr w:type="spellEnd"/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)</w:t>
            </w:r>
          </w:p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Trieda orgánových systémov</w:t>
            </w:r>
          </w:p>
        </w:tc>
        <w:tc>
          <w:tcPr>
            <w:tcW w:w="121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Kategória frekvencie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br w:type="page"/>
            </w: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br w:type="page"/>
            </w: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Infekcie a nákazy: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Kandidové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infekcie vrátane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kandidózy</w:t>
            </w:r>
            <w:proofErr w:type="spellEnd"/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ústnej dutiny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Infekcia horných dýchacích ciest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Sepsa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Chrípka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Infekcia močových ciest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Celulitída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krvi a lymfatického systému: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Neutropénia</w:t>
            </w:r>
            <w:proofErr w:type="spellEnd"/>
          </w:p>
        </w:tc>
        <w:tc>
          <w:tcPr>
            <w:tcW w:w="1215" w:type="pct"/>
            <w:vMerge w:val="restar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Anémia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nil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Trombocytopénia</w:t>
            </w:r>
            <w:proofErr w:type="spellEnd"/>
          </w:p>
        </w:tc>
        <w:tc>
          <w:tcPr>
            <w:tcW w:w="1215" w:type="pct"/>
            <w:vMerge w:val="restar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nil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Leukopénia</w:t>
            </w:r>
            <w:proofErr w:type="spellEnd"/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Pancytopénia</w:t>
            </w:r>
            <w:proofErr w:type="spellEnd"/>
          </w:p>
        </w:tc>
        <w:tc>
          <w:tcPr>
            <w:tcW w:w="1215" w:type="pct"/>
            <w:vMerge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Zlyhanie kostnej drene</w:t>
            </w:r>
          </w:p>
        </w:tc>
        <w:tc>
          <w:tcPr>
            <w:tcW w:w="121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Aplastická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anémia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Agranulocytóza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*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Granulocytopénia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*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imunitného systému: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Precitlivenosť</w:t>
            </w:r>
          </w:p>
        </w:tc>
        <w:tc>
          <w:tcPr>
            <w:tcW w:w="121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Anafylaktická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reakcia*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metabolizmu a výživy: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Znížená chuť do jedla</w:t>
            </w:r>
          </w:p>
        </w:tc>
        <w:tc>
          <w:tcPr>
            <w:tcW w:w="121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Znížen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ie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telesn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ej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hmotnos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ti</w:t>
            </w:r>
          </w:p>
        </w:tc>
        <w:tc>
          <w:tcPr>
            <w:tcW w:w="121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lastRenderedPageBreak/>
              <w:t>Psychické poruchy: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Depresia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Stav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y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zmätenosti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Úzkosť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Agit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ovanosť</w:t>
            </w:r>
            <w:proofErr w:type="spellEnd"/>
          </w:p>
        </w:tc>
        <w:tc>
          <w:tcPr>
            <w:tcW w:w="1215" w:type="pct"/>
            <w:vMerge w:val="restar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Psychotická porucha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Abnormálne uvažovanie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Halucinácie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nervového systému: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hlavy</w:t>
            </w:r>
          </w:p>
        </w:tc>
        <w:tc>
          <w:tcPr>
            <w:tcW w:w="121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Insomnia</w:t>
            </w:r>
            <w:proofErr w:type="spellEnd"/>
          </w:p>
        </w:tc>
        <w:tc>
          <w:tcPr>
            <w:tcW w:w="1215" w:type="pct"/>
            <w:vMerge w:val="restar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Periférna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neuropatia</w:t>
            </w:r>
            <w:proofErr w:type="spellEnd"/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Závraty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Parestézia</w:t>
            </w:r>
            <w:proofErr w:type="spellEnd"/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Hypestéza</w:t>
            </w:r>
            <w:proofErr w:type="spellEnd"/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7616FF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Záchvat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Dysgeúzia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(porucha vnímania chuti)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Tremor</w:t>
            </w:r>
            <w:proofErr w:type="spellEnd"/>
          </w:p>
        </w:tc>
        <w:tc>
          <w:tcPr>
            <w:tcW w:w="121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oka: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Porucha videnia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Odlúpenie sietnice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Zákaly v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 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sklovci</w:t>
            </w:r>
            <w:proofErr w:type="spellEnd"/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oka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Konjunktivitída</w:t>
            </w:r>
            <w:proofErr w:type="spellEnd"/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Edém makuly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ucha a labyrintu: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ucha</w:t>
            </w:r>
          </w:p>
        </w:tc>
        <w:tc>
          <w:tcPr>
            <w:tcW w:w="1215" w:type="pct"/>
            <w:tcBorders>
              <w:left w:val="nil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Hluchota</w:t>
            </w:r>
          </w:p>
        </w:tc>
        <w:tc>
          <w:tcPr>
            <w:tcW w:w="121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srdca a srdcovej činnosti: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  <w:proofErr w:type="spellStart"/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rytmi</w:t>
            </w:r>
            <w:r w:rsidR="007616FF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</w:t>
            </w:r>
            <w:proofErr w:type="spellEnd"/>
          </w:p>
        </w:tc>
        <w:tc>
          <w:tcPr>
            <w:tcW w:w="121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ciev:</w:t>
            </w:r>
          </w:p>
        </w:tc>
        <w:tc>
          <w:tcPr>
            <w:tcW w:w="121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Hypotenzia</w:t>
            </w:r>
          </w:p>
        </w:tc>
        <w:tc>
          <w:tcPr>
            <w:tcW w:w="121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 xml:space="preserve">Poruchy dýchacej sústavy, hrudníka a </w:t>
            </w:r>
            <w:proofErr w:type="spellStart"/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mediastína</w:t>
            </w:r>
            <w:proofErr w:type="spellEnd"/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Kašeľ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Dyspnoe</w:t>
            </w:r>
            <w:proofErr w:type="spellEnd"/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lastRenderedPageBreak/>
              <w:t xml:space="preserve">Poruchy </w:t>
            </w:r>
            <w:proofErr w:type="spellStart"/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gastrointestinálneho</w:t>
            </w:r>
            <w:proofErr w:type="spellEnd"/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 xml:space="preserve"> traktu: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Hnačka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Nauzea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Del="003E2D7D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Vracanie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Del="003E2D7D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brucha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Dyspepsia</w:t>
            </w:r>
            <w:proofErr w:type="spellEnd"/>
          </w:p>
        </w:tc>
        <w:tc>
          <w:tcPr>
            <w:tcW w:w="1215" w:type="pct"/>
            <w:vMerge w:val="restar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Plynatosť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C15E5A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v hornej časti brucha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Zápcha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T</w:t>
            </w:r>
            <w:r w:rsidRPr="005725BE">
              <w:rPr>
                <w:rFonts w:ascii="Times New Roman" w:hAnsi="Times New Roman"/>
                <w:sz w:val="22"/>
                <w:szCs w:val="22"/>
                <w:lang w:val="sk-SK"/>
              </w:rPr>
              <w:t>vorenie vriedkov v ústnej dutine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Dysfágia</w:t>
            </w:r>
            <w:proofErr w:type="spellEnd"/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Abdominálna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distenzia</w:t>
            </w:r>
            <w:proofErr w:type="spellEnd"/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Del="003E2D7D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Pankreatitída</w:t>
            </w:r>
            <w:proofErr w:type="spellEnd"/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pečene a žlčových ciest: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Zvýšená hladina alkalickej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fosfatázy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v krvi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1017EC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Porucha funkcie pečene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Zvýšená hladina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aspartátaminotransferázy</w:t>
            </w:r>
            <w:proofErr w:type="spellEnd"/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Zvýšená hladina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alanínaminotransferázy</w:t>
            </w:r>
            <w:proofErr w:type="spellEnd"/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kože a podkožného tkaniva: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Dermatitída</w:t>
            </w:r>
          </w:p>
        </w:tc>
        <w:tc>
          <w:tcPr>
            <w:tcW w:w="121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Nočné potenie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Pruritus</w:t>
            </w:r>
            <w:proofErr w:type="spellEnd"/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Vyrážka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Alopécia</w:t>
            </w:r>
            <w:proofErr w:type="spellEnd"/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Suchosť kože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Urtikária</w:t>
            </w:r>
            <w:proofErr w:type="spellEnd"/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kostrovej a svalovej sústavy a spojivového tkaniva: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chrbta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Myalgia</w:t>
            </w:r>
            <w:proofErr w:type="spellEnd"/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Artralgia</w:t>
            </w:r>
            <w:proofErr w:type="spellEnd"/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Svalové kŕče</w:t>
            </w:r>
          </w:p>
        </w:tc>
        <w:tc>
          <w:tcPr>
            <w:tcW w:w="1215" w:type="pct"/>
            <w:vMerge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obličiek a močových ciest: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Porucha funkcie obličiek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Znížený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renálny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klírens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kreatinínu</w:t>
            </w:r>
            <w:proofErr w:type="spellEnd"/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Zvýšená hladina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kreatinínu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v krvi</w:t>
            </w:r>
          </w:p>
        </w:tc>
        <w:tc>
          <w:tcPr>
            <w:tcW w:w="1215" w:type="pct"/>
            <w:vMerge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Zlyhanie obličiek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Hematúria</w:t>
            </w:r>
            <w:proofErr w:type="spellEnd"/>
          </w:p>
        </w:tc>
        <w:tc>
          <w:tcPr>
            <w:tcW w:w="1215" w:type="pct"/>
            <w:vMerge/>
            <w:tcBorders>
              <w:left w:val="nil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reprodukčného systému a prsníkov: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Mužská neplodnosť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10462A" w:rsidRPr="009E7821" w:rsidRDefault="0010462A" w:rsidP="001017EC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lastRenderedPageBreak/>
              <w:t>Celkové poruchy a reakcie v mieste podania: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Pyrexia</w:t>
            </w:r>
            <w:proofErr w:type="spellEnd"/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Únava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Reakcia v mieste podania injekcie</w:t>
            </w:r>
          </w:p>
        </w:tc>
        <w:tc>
          <w:tcPr>
            <w:tcW w:w="1215" w:type="pct"/>
            <w:vMerge w:val="restar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Zimnica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Celková malátnosť 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Asténia</w:t>
            </w:r>
          </w:p>
        </w:tc>
        <w:tc>
          <w:tcPr>
            <w:tcW w:w="1215" w:type="pct"/>
            <w:vMerge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10462A" w:rsidRPr="009E7821" w:rsidTr="001017EC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na hrudníku</w:t>
            </w:r>
          </w:p>
        </w:tc>
        <w:tc>
          <w:tcPr>
            <w:tcW w:w="1215" w:type="pct"/>
          </w:tcPr>
          <w:p w:rsidR="0010462A" w:rsidRPr="009E7821" w:rsidRDefault="0010462A" w:rsidP="001017EC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</w:tbl>
    <w:p w:rsidR="0010462A" w:rsidRPr="009E7821" w:rsidRDefault="0010462A" w:rsidP="0010462A">
      <w:pPr>
        <w:rPr>
          <w:rFonts w:ascii="Times New Roman" w:hAnsi="Times New Roman"/>
          <w:iCs/>
          <w:sz w:val="22"/>
          <w:szCs w:val="22"/>
          <w:lang w:val="sk-SK" w:eastAsia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 w:rsidRPr="00F66201">
        <w:rPr>
          <w:rFonts w:ascii="Times New Roman" w:hAnsi="Times New Roman"/>
          <w:i/>
          <w:sz w:val="20"/>
          <w:lang w:val="sk-SK"/>
        </w:rPr>
        <w:t xml:space="preserve">* Frekvencie výskytu týchto nežiaducich účinkov sú </w:t>
      </w:r>
      <w:r>
        <w:rPr>
          <w:rFonts w:ascii="Times New Roman" w:hAnsi="Times New Roman"/>
          <w:i/>
          <w:sz w:val="20"/>
          <w:lang w:val="sk-SK"/>
        </w:rPr>
        <w:t>stanovené na základe</w:t>
      </w:r>
      <w:r w:rsidRPr="00F66201">
        <w:rPr>
          <w:rFonts w:ascii="Times New Roman" w:hAnsi="Times New Roman"/>
          <w:i/>
          <w:sz w:val="20"/>
          <w:lang w:val="sk-SK"/>
        </w:rPr>
        <w:t xml:space="preserve"> skúseností z obdobia po uvedení lieku na trh, všetky ostatné frekvencie výskytu vychádzajú z frekvencie hlásenej v klinických skúšaniach.</w:t>
      </w:r>
    </w:p>
    <w:bookmarkEnd w:id="6"/>
    <w:p w:rsidR="0010462A" w:rsidRPr="005725BE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Popis vybraných nežiaducich reakcií</w:t>
      </w:r>
    </w:p>
    <w:p w:rsidR="0010462A" w:rsidRPr="00EC148A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proofErr w:type="spellStart"/>
      <w:r w:rsidRPr="005725BE">
        <w:rPr>
          <w:rFonts w:ascii="Times New Roman" w:hAnsi="Times New Roman"/>
          <w:i/>
          <w:sz w:val="22"/>
          <w:szCs w:val="22"/>
          <w:lang w:val="sk-SK"/>
        </w:rPr>
        <w:t>Neutropénia</w:t>
      </w:r>
      <w:proofErr w:type="spellEnd"/>
    </w:p>
    <w:p w:rsidR="0010462A" w:rsidRPr="00EC148A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Riziko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neutropénie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nie je možné predvídať na základe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 počtu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neutrofilov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pred liečbou.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Neutropénia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sa zvyčajne vyskytne počas prvého alebo druhého týždňa indukčnej liečby a po podaní kumulatívnych dávok ≤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200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mg/kg. Počet krviniek sa zvyčajne vráti do normálu do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dní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ukončení liečby, alebo po znížení dávky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4.4).</w:t>
      </w:r>
    </w:p>
    <w:p w:rsidR="0010462A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694109" w:rsidRDefault="0010462A" w:rsidP="0010462A">
      <w:pPr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bookmarkStart w:id="7" w:name="_Hlk493596435"/>
      <w:r>
        <w:rPr>
          <w:rFonts w:ascii="Times New Roman" w:hAnsi="Times New Roman"/>
          <w:i/>
          <w:sz w:val="22"/>
          <w:szCs w:val="22"/>
          <w:lang w:val="sk-SK"/>
        </w:rPr>
        <w:t xml:space="preserve">Závažná </w:t>
      </w: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neutropénia</w:t>
      </w:r>
      <w:proofErr w:type="spellEnd"/>
    </w:p>
    <w:p w:rsidR="0010462A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D976E4">
        <w:rPr>
          <w:rFonts w:ascii="Times New Roman" w:hAnsi="Times New Roman"/>
          <w:sz w:val="22"/>
          <w:szCs w:val="22"/>
          <w:lang w:val="sk-SK"/>
        </w:rPr>
        <w:t xml:space="preserve">Závažná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neutropénia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bola častejšie hlásená </w:t>
      </w:r>
      <w:r w:rsidRPr="00D976E4">
        <w:rPr>
          <w:rFonts w:ascii="Times New Roman" w:hAnsi="Times New Roman"/>
          <w:sz w:val="22"/>
          <w:szCs w:val="22"/>
          <w:lang w:val="sk-SK"/>
        </w:rPr>
        <w:t>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pacientov </w:t>
      </w:r>
      <w:r>
        <w:rPr>
          <w:rFonts w:ascii="Times New Roman" w:hAnsi="Times New Roman"/>
          <w:sz w:val="22"/>
          <w:szCs w:val="22"/>
          <w:lang w:val="sk-SK"/>
        </w:rPr>
        <w:t xml:space="preserve">infikovaných HIV </w:t>
      </w:r>
      <w:r w:rsidRPr="00D976E4">
        <w:rPr>
          <w:rFonts w:ascii="Times New Roman" w:hAnsi="Times New Roman"/>
          <w:sz w:val="22"/>
          <w:szCs w:val="22"/>
          <w:lang w:val="sk-SK"/>
        </w:rPr>
        <w:t>(1</w:t>
      </w:r>
      <w:r>
        <w:rPr>
          <w:rFonts w:ascii="Times New Roman" w:hAnsi="Times New Roman"/>
          <w:sz w:val="22"/>
          <w:szCs w:val="22"/>
          <w:lang w:val="sk-SK"/>
        </w:rPr>
        <w:t>4 </w:t>
      </w:r>
      <w:r w:rsidRPr="00D976E4">
        <w:rPr>
          <w:rFonts w:ascii="Times New Roman" w:hAnsi="Times New Roman"/>
          <w:sz w:val="22"/>
          <w:szCs w:val="22"/>
          <w:lang w:val="sk-SK"/>
        </w:rPr>
        <w:t>%)</w:t>
      </w:r>
      <w:r>
        <w:rPr>
          <w:rFonts w:ascii="Times New Roman" w:hAnsi="Times New Roman"/>
          <w:sz w:val="22"/>
          <w:szCs w:val="22"/>
          <w:lang w:val="sk-SK"/>
        </w:rPr>
        <w:t xml:space="preserve">, ktorí dostávali udržiavaciu liečbu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perorálne alebo intravenózne podávaným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(n = 1 704), </w:t>
      </w:r>
      <w:r w:rsidRPr="00D976E4">
        <w:rPr>
          <w:rFonts w:ascii="Times New Roman" w:hAnsi="Times New Roman"/>
          <w:sz w:val="22"/>
          <w:szCs w:val="22"/>
          <w:lang w:val="sk-SK"/>
        </w:rPr>
        <w:t>ako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pacientov po transplantácii orgánu</w:t>
      </w:r>
      <w:r>
        <w:rPr>
          <w:rFonts w:ascii="Times New Roman" w:hAnsi="Times New Roman"/>
          <w:sz w:val="22"/>
          <w:szCs w:val="22"/>
          <w:lang w:val="sk-SK"/>
        </w:rPr>
        <w:t>, ktorí boli liečení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alebo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peroráln</w:t>
      </w:r>
      <w:r>
        <w:rPr>
          <w:rFonts w:ascii="Times New Roman" w:hAnsi="Times New Roman"/>
          <w:sz w:val="22"/>
          <w:szCs w:val="22"/>
          <w:lang w:val="sk-SK"/>
        </w:rPr>
        <w:t>e podávaným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. U pacientov, ktorí boli liečení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alebo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peroráln</w:t>
      </w:r>
      <w:r>
        <w:rPr>
          <w:rFonts w:ascii="Times New Roman" w:hAnsi="Times New Roman"/>
          <w:sz w:val="22"/>
          <w:szCs w:val="22"/>
          <w:lang w:val="sk-SK"/>
        </w:rPr>
        <w:t>e podávaným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do 100.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dňa po transplantácii, bol výskyt závažnej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neutropénie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%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%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uvedenom poradí, zatiaľ čo u pacientov, ktorí boli liečení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do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200.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dňa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transplantácii, bol výskyt závažnej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neutropénie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%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bookmarkEnd w:id="7"/>
    <w:p w:rsidR="0010462A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keepLines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proofErr w:type="spellStart"/>
      <w:r w:rsidRPr="005725BE">
        <w:rPr>
          <w:rFonts w:ascii="Times New Roman" w:hAnsi="Times New Roman"/>
          <w:i/>
          <w:sz w:val="22"/>
          <w:szCs w:val="22"/>
          <w:lang w:val="sk-SK"/>
        </w:rPr>
        <w:t>Trombocytopénia</w:t>
      </w:r>
      <w:proofErr w:type="spellEnd"/>
    </w:p>
    <w:p w:rsidR="0010462A" w:rsidRPr="005725BE" w:rsidRDefault="0010462A" w:rsidP="0010462A">
      <w:pPr>
        <w:keepNext/>
        <w:keepLines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>Pacienti</w:t>
      </w:r>
      <w:r>
        <w:rPr>
          <w:rFonts w:ascii="Times New Roman" w:hAnsi="Times New Roman"/>
          <w:sz w:val="22"/>
          <w:szCs w:val="22"/>
          <w:lang w:val="sk-SK"/>
        </w:rPr>
        <w:t>, ktorí majú na začiatku liečby</w:t>
      </w:r>
      <w:r w:rsidRPr="005725BE">
        <w:rPr>
          <w:rFonts w:ascii="Times New Roman" w:hAnsi="Times New Roman"/>
          <w:sz w:val="22"/>
          <w:szCs w:val="22"/>
          <w:lang w:val="sk-SK"/>
        </w:rPr>
        <w:t> nízky poč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5725BE">
        <w:rPr>
          <w:rFonts w:ascii="Times New Roman" w:hAnsi="Times New Roman"/>
          <w:sz w:val="22"/>
          <w:szCs w:val="22"/>
          <w:lang w:val="sk-SK"/>
        </w:rPr>
        <w:t>t trombocytov (&lt;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100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000/</w:t>
      </w:r>
      <w:r>
        <w:rPr>
          <w:rFonts w:ascii="Times New Roman" w:hAnsi="Times New Roman"/>
          <w:sz w:val="22"/>
          <w:szCs w:val="22"/>
          <w:lang w:val="sk-SK"/>
        </w:rPr>
        <w:t>µ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l) sú vystavení zvýšenému riziku rozvoja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trombocytopénie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>. Pacienti s 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iatrogénnou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imunosupresiou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sú kvôli liečbe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imunosupresívami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vystavení vyššiemu riziku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trombocytopénie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ako pacienti s AIDS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4.4). Závažná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trombocytopénia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môže byť spojená s potenciálne život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725BE">
        <w:rPr>
          <w:rFonts w:ascii="Times New Roman" w:hAnsi="Times New Roman"/>
          <w:sz w:val="22"/>
          <w:szCs w:val="22"/>
          <w:lang w:val="sk-SK"/>
        </w:rPr>
        <w:t>ohrozujúcim krvácaním.</w:t>
      </w:r>
    </w:p>
    <w:p w:rsidR="0010462A" w:rsidRPr="000F706A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Default="007616FF" w:rsidP="0010462A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Záchvaty</w:t>
      </w:r>
    </w:p>
    <w:p w:rsidR="007616FF" w:rsidRPr="005725BE" w:rsidRDefault="007616FF" w:rsidP="0010462A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U pacientov dostávajúcich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imipenem</w:t>
      </w:r>
      <w:r>
        <w:rPr>
          <w:rFonts w:ascii="Times New Roman" w:hAnsi="Times New Roman"/>
          <w:sz w:val="22"/>
          <w:szCs w:val="22"/>
          <w:lang w:val="sk-SK"/>
        </w:rPr>
        <w:noBreakHyphen/>
      </w:r>
      <w:r w:rsidRPr="005725BE">
        <w:rPr>
          <w:rFonts w:ascii="Times New Roman" w:hAnsi="Times New Roman"/>
          <w:sz w:val="22"/>
          <w:szCs w:val="22"/>
          <w:lang w:val="sk-SK"/>
        </w:rPr>
        <w:t>cilastatín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bol hlásený výskyt </w:t>
      </w:r>
      <w:r w:rsidR="007616FF">
        <w:rPr>
          <w:rFonts w:ascii="Times New Roman" w:hAnsi="Times New Roman"/>
          <w:sz w:val="22"/>
          <w:szCs w:val="22"/>
          <w:lang w:val="sk-SK"/>
        </w:rPr>
        <w:t xml:space="preserve">záchvatov </w:t>
      </w:r>
      <w:r w:rsidRPr="005725BE">
        <w:rPr>
          <w:rFonts w:ascii="Times New Roman" w:hAnsi="Times New Roman"/>
          <w:sz w:val="22"/>
          <w:szCs w:val="22"/>
          <w:lang w:val="sk-SK"/>
        </w:rPr>
        <w:t>(pozri čas</w:t>
      </w:r>
      <w:r>
        <w:rPr>
          <w:rFonts w:ascii="Times New Roman" w:hAnsi="Times New Roman"/>
          <w:sz w:val="22"/>
          <w:szCs w:val="22"/>
          <w:lang w:val="sk-SK"/>
        </w:rPr>
        <w:t>ti </w:t>
      </w:r>
      <w:r w:rsidRPr="005725BE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4.5).</w:t>
      </w:r>
    </w:p>
    <w:p w:rsidR="0010462A" w:rsidRPr="005725BE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 w:rsidRPr="005725BE">
        <w:rPr>
          <w:rFonts w:ascii="Times New Roman" w:hAnsi="Times New Roman"/>
          <w:i/>
          <w:sz w:val="22"/>
          <w:szCs w:val="22"/>
          <w:lang w:val="sk-SK"/>
        </w:rPr>
        <w:t>Odl</w:t>
      </w:r>
      <w:r>
        <w:rPr>
          <w:rFonts w:ascii="Times New Roman" w:hAnsi="Times New Roman"/>
          <w:i/>
          <w:sz w:val="22"/>
          <w:szCs w:val="22"/>
          <w:lang w:val="sk-SK"/>
        </w:rPr>
        <w:t>ú</w:t>
      </w:r>
      <w:r w:rsidRPr="005725BE">
        <w:rPr>
          <w:rFonts w:ascii="Times New Roman" w:hAnsi="Times New Roman"/>
          <w:i/>
          <w:sz w:val="22"/>
          <w:szCs w:val="22"/>
          <w:lang w:val="sk-SK"/>
        </w:rPr>
        <w:t>p</w:t>
      </w:r>
      <w:r>
        <w:rPr>
          <w:rFonts w:ascii="Times New Roman" w:hAnsi="Times New Roman"/>
          <w:i/>
          <w:sz w:val="22"/>
          <w:szCs w:val="22"/>
          <w:lang w:val="sk-SK"/>
        </w:rPr>
        <w:t>e</w:t>
      </w:r>
      <w:r w:rsidRPr="005725BE">
        <w:rPr>
          <w:rFonts w:ascii="Times New Roman" w:hAnsi="Times New Roman"/>
          <w:i/>
          <w:sz w:val="22"/>
          <w:szCs w:val="22"/>
          <w:lang w:val="sk-SK"/>
        </w:rPr>
        <w:t>nie sietnice</w:t>
      </w: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Táto nežiaduca reakcia bola hlásená len v štúdiách 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Pr="005725BE">
        <w:rPr>
          <w:rFonts w:ascii="Times New Roman" w:hAnsi="Times New Roman"/>
          <w:sz w:val="22"/>
          <w:szCs w:val="22"/>
          <w:lang w:val="sk-SK"/>
        </w:rPr>
        <w:t> pacient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s </w:t>
      </w:r>
      <w:r w:rsidR="00F22E20">
        <w:rPr>
          <w:rFonts w:ascii="Times New Roman" w:hAnsi="Times New Roman"/>
          <w:sz w:val="22"/>
          <w:szCs w:val="22"/>
          <w:lang w:val="sk-SK"/>
        </w:rPr>
        <w:t>HIV</w:t>
      </w:r>
      <w:r w:rsidR="00F22E20" w:rsidRPr="005725B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liečených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pre CMV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retinitídu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>.</w:t>
      </w:r>
    </w:p>
    <w:p w:rsidR="0010462A" w:rsidRPr="00A016B0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 w:rsidRPr="005725BE">
        <w:rPr>
          <w:rFonts w:ascii="Times New Roman" w:hAnsi="Times New Roman"/>
          <w:i/>
          <w:sz w:val="22"/>
          <w:szCs w:val="22"/>
          <w:lang w:val="sk-SK"/>
        </w:rPr>
        <w:lastRenderedPageBreak/>
        <w:t>Reakcie v mieste vpichu injekcie</w:t>
      </w:r>
    </w:p>
    <w:p w:rsidR="0010462A" w:rsidRPr="00A016B0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Reakcie v mieste vpichu injekcie sa môžu u pacientov užívajúcich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vyskytovať</w:t>
      </w:r>
      <w:r>
        <w:rPr>
          <w:rFonts w:ascii="Times New Roman" w:hAnsi="Times New Roman"/>
          <w:sz w:val="22"/>
          <w:szCs w:val="22"/>
          <w:lang w:val="sk-SK"/>
        </w:rPr>
        <w:t xml:space="preserve"> často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sa má podávať podľa odporúčaní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4.2, aby sa znížilo riziko lokálneho podráždenia tkaniva.</w:t>
      </w:r>
    </w:p>
    <w:p w:rsidR="0010462A" w:rsidRPr="005725BE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u w:val="single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Pediatrická populácia</w:t>
      </w: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U detí vo veku </w:t>
      </w:r>
      <w:r w:rsidR="003F358C" w:rsidRPr="005725B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725BE">
        <w:rPr>
          <w:rFonts w:ascii="Times New Roman" w:hAnsi="Times New Roman"/>
          <w:sz w:val="22"/>
          <w:szCs w:val="22"/>
          <w:lang w:val="sk-SK"/>
        </w:rPr>
        <w:t>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rokov</w:t>
      </w:r>
      <w:r w:rsidR="00FA4EA9"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A4EA9">
        <w:rPr>
          <w:rFonts w:ascii="Times New Roman" w:hAnsi="Times New Roman"/>
          <w:sz w:val="22"/>
          <w:szCs w:val="22"/>
          <w:lang w:val="sk-SK"/>
        </w:rPr>
        <w:t>menej</w:t>
      </w:r>
      <w:r w:rsidR="00FA4EA9" w:rsidRPr="005725B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725BE">
        <w:rPr>
          <w:rFonts w:ascii="Times New Roman" w:hAnsi="Times New Roman"/>
          <w:sz w:val="22"/>
          <w:szCs w:val="22"/>
          <w:lang w:val="sk-SK"/>
        </w:rPr>
        <w:t>neboli vykonané formálne klinické štúdie s 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zamerané na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bezpečnosť, ale zo skúseností s 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, ako prekurzorom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, je celkový bezpečnostný profil liečiva podobný u pacientov v pediatrickej a dospelej populácii. </w:t>
      </w:r>
      <w:proofErr w:type="spellStart"/>
      <w:r w:rsidR="003F358C">
        <w:rPr>
          <w:rFonts w:ascii="Times New Roman" w:hAnsi="Times New Roman"/>
          <w:sz w:val="22"/>
          <w:szCs w:val="22"/>
          <w:lang w:val="sk-SK"/>
        </w:rPr>
        <w:t>N</w:t>
      </w:r>
      <w:r w:rsidRPr="005725BE">
        <w:rPr>
          <w:rFonts w:ascii="Times New Roman" w:hAnsi="Times New Roman"/>
          <w:sz w:val="22"/>
          <w:szCs w:val="22"/>
          <w:lang w:val="sk-SK"/>
        </w:rPr>
        <w:t>eutropénia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sa vyskytuje častejšie u pediatrických pacientov, avšak medzi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neutropéniou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a infekciami, ako nežiaducimi reakciami u pediatrickej populácie, nie je žiaden súvis.</w:t>
      </w:r>
      <w:r w:rsidR="003F358C">
        <w:rPr>
          <w:rFonts w:ascii="Times New Roman" w:hAnsi="Times New Roman"/>
          <w:sz w:val="22"/>
          <w:szCs w:val="22"/>
          <w:lang w:val="sk-SK"/>
        </w:rPr>
        <w:t xml:space="preserve"> Vyššie riziko </w:t>
      </w:r>
      <w:proofErr w:type="spellStart"/>
      <w:r w:rsidR="003F358C">
        <w:rPr>
          <w:rFonts w:ascii="Times New Roman" w:hAnsi="Times New Roman"/>
          <w:sz w:val="22"/>
          <w:szCs w:val="22"/>
          <w:lang w:val="sk-SK"/>
        </w:rPr>
        <w:t>cytopéni</w:t>
      </w:r>
      <w:r w:rsidR="00FA4EA9">
        <w:rPr>
          <w:rFonts w:ascii="Times New Roman" w:hAnsi="Times New Roman"/>
          <w:sz w:val="22"/>
          <w:szCs w:val="22"/>
          <w:lang w:val="sk-SK"/>
        </w:rPr>
        <w:t>í</w:t>
      </w:r>
      <w:proofErr w:type="spellEnd"/>
      <w:r w:rsidR="003F358C">
        <w:rPr>
          <w:rFonts w:ascii="Times New Roman" w:hAnsi="Times New Roman"/>
          <w:sz w:val="22"/>
          <w:szCs w:val="22"/>
          <w:lang w:val="sk-SK"/>
        </w:rPr>
        <w:t xml:space="preserve"> u novorodencov a dojčiat si vyžaduje pozorné </w:t>
      </w:r>
      <w:r w:rsidR="00F22E20">
        <w:rPr>
          <w:rFonts w:ascii="Times New Roman" w:hAnsi="Times New Roman"/>
          <w:sz w:val="22"/>
          <w:szCs w:val="22"/>
          <w:lang w:val="sk-SK"/>
        </w:rPr>
        <w:t>monitorovanie</w:t>
      </w:r>
      <w:r w:rsidR="003F358C">
        <w:rPr>
          <w:rFonts w:ascii="Times New Roman" w:hAnsi="Times New Roman"/>
          <w:sz w:val="22"/>
          <w:szCs w:val="22"/>
          <w:lang w:val="sk-SK"/>
        </w:rPr>
        <w:t xml:space="preserve"> počtu krviniek </w:t>
      </w:r>
      <w:r w:rsidR="00F22E20">
        <w:rPr>
          <w:rFonts w:ascii="Times New Roman" w:hAnsi="Times New Roman"/>
          <w:sz w:val="22"/>
          <w:szCs w:val="22"/>
          <w:lang w:val="sk-SK"/>
        </w:rPr>
        <w:t>v</w:t>
      </w:r>
      <w:r w:rsidR="003F358C">
        <w:rPr>
          <w:rFonts w:ascii="Times New Roman" w:hAnsi="Times New Roman"/>
          <w:sz w:val="22"/>
          <w:szCs w:val="22"/>
          <w:lang w:val="sk-SK"/>
        </w:rPr>
        <w:t> týchto veko</w:t>
      </w:r>
      <w:r w:rsidR="00414973">
        <w:rPr>
          <w:rFonts w:ascii="Times New Roman" w:hAnsi="Times New Roman"/>
          <w:sz w:val="22"/>
          <w:szCs w:val="22"/>
          <w:lang w:val="sk-SK"/>
        </w:rPr>
        <w:t>v</w:t>
      </w:r>
      <w:r w:rsidR="003F358C">
        <w:rPr>
          <w:rFonts w:ascii="Times New Roman" w:hAnsi="Times New Roman"/>
          <w:sz w:val="22"/>
          <w:szCs w:val="22"/>
          <w:lang w:val="sk-SK"/>
        </w:rPr>
        <w:t xml:space="preserve">ých </w:t>
      </w:r>
      <w:r w:rsidR="00F22E20">
        <w:rPr>
          <w:rFonts w:ascii="Times New Roman" w:hAnsi="Times New Roman"/>
          <w:sz w:val="22"/>
          <w:szCs w:val="22"/>
          <w:lang w:val="sk-SK"/>
        </w:rPr>
        <w:t>skupinách</w:t>
      </w:r>
      <w:r w:rsidR="003F358C">
        <w:rPr>
          <w:rFonts w:ascii="Times New Roman" w:hAnsi="Times New Roman"/>
          <w:sz w:val="22"/>
          <w:szCs w:val="22"/>
          <w:lang w:val="sk-SK"/>
        </w:rPr>
        <w:t xml:space="preserve"> pacientov (pozri časť 4.4).</w:t>
      </w:r>
    </w:p>
    <w:p w:rsidR="0010462A" w:rsidRPr="005725BE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10462A" w:rsidRPr="005725BE" w:rsidRDefault="0010462A" w:rsidP="0010462A">
      <w:pPr>
        <w:keepNext/>
        <w:keepLines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U novorodencov a dojčiat s HIV/AIDS alebo symptomatickými vrodenými CMV infekciami liečených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sú dostupné len obmedzené údaje, napriek tomu sa zdá, že bezpečnostný profil zodpovedá známemu bezpečnostnému profilu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valgancikloviru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>.</w:t>
      </w:r>
    </w:p>
    <w:p w:rsidR="0010462A" w:rsidRPr="00A016B0" w:rsidRDefault="0010462A" w:rsidP="0010462A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:rsidR="00C15E5A" w:rsidRPr="005725BE" w:rsidRDefault="00C15E5A" w:rsidP="00C15E5A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Hlásenie podozrení na nežiaduce reakcie</w:t>
      </w:r>
    </w:p>
    <w:p w:rsidR="00C15E5A" w:rsidRPr="003F358C" w:rsidRDefault="00C15E5A" w:rsidP="00C15E5A">
      <w:pPr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</w:t>
      </w:r>
      <w:r>
        <w:rPr>
          <w:rFonts w:ascii="Times New Roman" w:hAnsi="Times New Roman"/>
          <w:sz w:val="22"/>
          <w:szCs w:val="22"/>
          <w:lang w:val="sk-SK"/>
        </w:rPr>
        <w:t xml:space="preserve">reakcie na </w:t>
      </w:r>
      <w:r w:rsidRPr="003F358C">
        <w:rPr>
          <w:rFonts w:ascii="Times New Roman" w:hAnsi="Times New Roman"/>
          <w:sz w:val="22"/>
          <w:szCs w:val="22"/>
          <w:highlight w:val="lightGray"/>
          <w:lang w:val="sk-SK"/>
        </w:rPr>
        <w:t>národné centrum hlásenia uvedené v </w:t>
      </w:r>
      <w:hyperlink r:id="rId8" w:history="1">
        <w:r w:rsidRPr="003F358C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 V</w:t>
        </w:r>
      </w:hyperlink>
      <w:r w:rsidRPr="003F358C">
        <w:rPr>
          <w:rFonts w:ascii="Times New Roman" w:hAnsi="Times New Roman"/>
          <w:sz w:val="22"/>
          <w:szCs w:val="22"/>
          <w:highlight w:val="lightGray"/>
          <w:lang w:val="sk-SK"/>
        </w:rPr>
        <w:t>.</w:t>
      </w:r>
    </w:p>
    <w:p w:rsidR="0010462A" w:rsidRPr="003F358C" w:rsidRDefault="0010462A" w:rsidP="003F358C">
      <w:pPr>
        <w:rPr>
          <w:rFonts w:ascii="Times New Roman" w:eastAsia="Calibri" w:hAnsi="Times New Roman"/>
          <w:sz w:val="22"/>
          <w:szCs w:val="22"/>
          <w:lang w:val="sk-SK" w:eastAsia="zh-CN"/>
        </w:rPr>
      </w:pPr>
    </w:p>
    <w:p w:rsidR="0010462A" w:rsidRPr="002D7A3E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4.9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Predávkovanie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u w:val="single"/>
          <w:lang w:val="sk-SK" w:eastAsia="ja-JP"/>
        </w:rPr>
        <w:t>Príznaky</w:t>
      </w: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Správy o predávkovaní intravenózne podaným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>, niektoré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fatálnym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koncom, sa získali z klinických skúšaní a z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postmarketingových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skúseností. Väčšina prípadov buď nemala súvis so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žiadnou inou nežiaducou reakciou, alebo sa vyskytla s jednou alebo viacerými nežiaducimi reakciami uvedenými nižšie:</w:t>
      </w:r>
    </w:p>
    <w:p w:rsidR="0010462A" w:rsidRPr="007419BB" w:rsidRDefault="0010462A" w:rsidP="0010462A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  <w:t xml:space="preserve">Hematologická toxicita: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myelosupresia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vrátane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pancytopénie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r w:rsidR="007616FF">
        <w:rPr>
          <w:rFonts w:ascii="Times New Roman" w:hAnsi="Times New Roman"/>
          <w:sz w:val="22"/>
          <w:szCs w:val="24"/>
          <w:lang w:val="sk-SK" w:eastAsia="ja-JP"/>
        </w:rPr>
        <w:t xml:space="preserve">zlyhanie 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kostnej drene,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leukopénia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neutropénia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granulocytopénia</w:t>
      </w:r>
      <w:proofErr w:type="spellEnd"/>
    </w:p>
    <w:p w:rsidR="0010462A" w:rsidRPr="007419BB" w:rsidRDefault="0010462A" w:rsidP="0010462A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Hepatotoxicita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>: hepatitída, porucha funkcie pečene</w:t>
      </w:r>
    </w:p>
    <w:p w:rsidR="0010462A" w:rsidRPr="007419BB" w:rsidRDefault="0010462A" w:rsidP="0010462A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Renálna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toxicita: zhoršenie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hematúrie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u pacientov s už existujúcim ochorením obličiek, akútne </w:t>
      </w:r>
      <w:r w:rsidR="007616FF">
        <w:rPr>
          <w:rFonts w:ascii="Times New Roman" w:hAnsi="Times New Roman"/>
          <w:sz w:val="22"/>
          <w:szCs w:val="24"/>
          <w:lang w:val="sk-SK" w:eastAsia="ja-JP"/>
        </w:rPr>
        <w:t xml:space="preserve">poškodenie 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obličiek, zvýšená hladina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kreatinínu</w:t>
      </w:r>
      <w:proofErr w:type="spellEnd"/>
    </w:p>
    <w:p w:rsidR="0010462A" w:rsidRPr="007419BB" w:rsidRDefault="0010462A" w:rsidP="0010462A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Gastrointestinálna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toxicita: bolesti brucha, hnačka, vracanie</w:t>
      </w:r>
    </w:p>
    <w:p w:rsidR="0010462A" w:rsidRPr="007419BB" w:rsidRDefault="0010462A" w:rsidP="0010462A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Neurotoxicita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: generalizovaný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tremor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r w:rsidR="007616FF">
        <w:rPr>
          <w:rFonts w:ascii="Times New Roman" w:hAnsi="Times New Roman"/>
          <w:sz w:val="22"/>
          <w:szCs w:val="24"/>
          <w:lang w:val="sk-SK" w:eastAsia="ja-JP"/>
        </w:rPr>
        <w:t>záchvat</w:t>
      </w: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>
        <w:rPr>
          <w:rFonts w:ascii="Times New Roman" w:hAnsi="Times New Roman"/>
          <w:sz w:val="22"/>
          <w:szCs w:val="24"/>
          <w:u w:val="single"/>
          <w:lang w:val="sk-SK" w:eastAsia="ja-JP"/>
        </w:rPr>
        <w:t>Liečba</w:t>
      </w: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sa odbúrava hemodialýzou, preto hemodialýza môže pomôcť pri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znižovaní 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expozíci</w:t>
      </w:r>
      <w:r>
        <w:rPr>
          <w:rFonts w:ascii="Times New Roman" w:hAnsi="Times New Roman"/>
          <w:sz w:val="22"/>
          <w:szCs w:val="24"/>
          <w:lang w:val="sk-SK" w:eastAsia="ja-JP"/>
        </w:rPr>
        <w:t>e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lieku u pacientov, u ktorých dôjde k predávkovaniu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5.2).</w:t>
      </w: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u w:val="single"/>
          <w:lang w:val="sk-SK" w:eastAsia="ja-JP"/>
        </w:rPr>
        <w:t>Dodatočné informácie pre osobitné populácie pacientov</w:t>
      </w:r>
    </w:p>
    <w:p w:rsidR="0010462A" w:rsidRPr="00F531D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Porucha funkcie obličiek: predpokladá sa, že predávkovanie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môže u pacientov s poruchou funkcie obličiek spôsobiť zvýšenú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renálnu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toxicitu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4.4).</w:t>
      </w:r>
    </w:p>
    <w:p w:rsidR="0010462A" w:rsidRPr="00F531D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7419BB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u w:val="single"/>
          <w:lang w:val="sk-SK" w:eastAsia="ja-JP"/>
        </w:rPr>
        <w:t>Pediatrická populácia</w:t>
      </w:r>
    </w:p>
    <w:p w:rsidR="0010462A" w:rsidRPr="00F531D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F531D2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lastRenderedPageBreak/>
        <w:t>Nie sú dostupné konkrétne informácie.</w:t>
      </w:r>
    </w:p>
    <w:p w:rsidR="0010462A" w:rsidRPr="00AF1AB0" w:rsidRDefault="0010462A" w:rsidP="0010462A">
      <w:pPr>
        <w:pStyle w:val="TextTi11"/>
        <w:spacing w:after="0" w:line="240" w:lineRule="auto"/>
        <w:jc w:val="left"/>
        <w:rPr>
          <w:szCs w:val="22"/>
          <w:lang w:val="sk-SK"/>
        </w:rPr>
      </w:pPr>
    </w:p>
    <w:p w:rsidR="0010462A" w:rsidRPr="00F531D2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5.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FARMAKOLOGICKÉ VLASTNOSTI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5.1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AF1AB0"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Farmakoterapeutická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 skupina:</w:t>
      </w:r>
      <w:r w:rsidRPr="00EF592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2"/>
          <w:lang w:val="sk-SK"/>
        </w:rPr>
        <w:t>antivirotiká</w:t>
      </w:r>
      <w:proofErr w:type="spellEnd"/>
      <w:r w:rsidRPr="00EF5929">
        <w:rPr>
          <w:rFonts w:ascii="Times New Roman" w:hAnsi="Times New Roman"/>
          <w:sz w:val="22"/>
          <w:szCs w:val="22"/>
          <w:lang w:val="sk-SK"/>
        </w:rPr>
        <w:t xml:space="preserve"> na systémové použitie, priamo pôsobiace </w:t>
      </w:r>
      <w:proofErr w:type="spellStart"/>
      <w:r w:rsidRPr="00EF5929">
        <w:rPr>
          <w:rFonts w:ascii="Times New Roman" w:hAnsi="Times New Roman"/>
          <w:sz w:val="22"/>
          <w:szCs w:val="22"/>
          <w:lang w:val="sk-SK"/>
        </w:rPr>
        <w:t>antivirotiká</w:t>
      </w:r>
      <w:proofErr w:type="spellEnd"/>
      <w:r w:rsidRPr="00EF592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F5929">
        <w:rPr>
          <w:rFonts w:ascii="Times New Roman" w:hAnsi="Times New Roman"/>
          <w:sz w:val="22"/>
          <w:szCs w:val="22"/>
          <w:lang w:val="sk-SK"/>
        </w:rPr>
        <w:t>nukleozidy</w:t>
      </w:r>
      <w:proofErr w:type="spellEnd"/>
      <w:r w:rsidRPr="00EF592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EF5929">
        <w:rPr>
          <w:rFonts w:ascii="Times New Roman" w:hAnsi="Times New Roman"/>
          <w:sz w:val="22"/>
          <w:szCs w:val="22"/>
          <w:lang w:val="sk-SK"/>
        </w:rPr>
        <w:t>nukleotidy</w:t>
      </w:r>
      <w:proofErr w:type="spellEnd"/>
      <w:r w:rsidRPr="00EF5929">
        <w:rPr>
          <w:rFonts w:ascii="Times New Roman" w:hAnsi="Times New Roman"/>
          <w:sz w:val="22"/>
          <w:szCs w:val="22"/>
          <w:lang w:val="sk-SK"/>
        </w:rPr>
        <w:t xml:space="preserve"> s výnimkou inhibítorov reverznej </w:t>
      </w:r>
      <w:proofErr w:type="spellStart"/>
      <w:r w:rsidRPr="00EF5929">
        <w:rPr>
          <w:rFonts w:ascii="Times New Roman" w:hAnsi="Times New Roman"/>
          <w:sz w:val="22"/>
          <w:szCs w:val="22"/>
          <w:lang w:val="sk-SK"/>
        </w:rPr>
        <w:t>transkriptázy</w:t>
      </w:r>
      <w:proofErr w:type="spellEnd"/>
      <w:r w:rsidRPr="00EF5929">
        <w:rPr>
          <w:rFonts w:ascii="Times New Roman" w:hAnsi="Times New Roman"/>
          <w:sz w:val="22"/>
          <w:szCs w:val="22"/>
          <w:lang w:val="sk-SK"/>
        </w:rPr>
        <w:t>,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F1AB0">
        <w:rPr>
          <w:rFonts w:ascii="Times New Roman" w:hAnsi="Times New Roman"/>
          <w:sz w:val="22"/>
          <w:szCs w:val="22"/>
          <w:lang w:val="sk-SK"/>
        </w:rPr>
        <w:t>ATC k</w:t>
      </w:r>
      <w:r>
        <w:rPr>
          <w:rFonts w:ascii="Times New Roman" w:hAnsi="Times New Roman"/>
          <w:sz w:val="22"/>
          <w:szCs w:val="22"/>
          <w:lang w:val="sk-SK"/>
        </w:rPr>
        <w:t>ód</w:t>
      </w:r>
      <w:r w:rsidRPr="00AF1AB0">
        <w:rPr>
          <w:rFonts w:ascii="Times New Roman" w:hAnsi="Times New Roman"/>
          <w:sz w:val="22"/>
          <w:szCs w:val="22"/>
          <w:lang w:val="sk-SK"/>
        </w:rPr>
        <w:t>: J05AB06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 w:rsidRPr="00167927">
        <w:rPr>
          <w:rFonts w:ascii="Times New Roman" w:hAnsi="Times New Roman"/>
          <w:sz w:val="22"/>
          <w:szCs w:val="22"/>
          <w:u w:val="single"/>
          <w:lang w:val="sk-SK"/>
        </w:rPr>
        <w:t>Mechanizmus účinku</w:t>
      </w:r>
    </w:p>
    <w:p w:rsidR="0010462A" w:rsidRPr="00AF1AB0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 je syntetický </w:t>
      </w: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analóg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guanínu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, ktorý </w:t>
      </w: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inhibuje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 replikáciu herpetických vírusov </w:t>
      </w:r>
      <w:r w:rsidRPr="00AF1AB0">
        <w:rPr>
          <w:rFonts w:ascii="Times New Roman" w:hAnsi="Times New Roman"/>
          <w:i/>
          <w:sz w:val="22"/>
          <w:szCs w:val="22"/>
          <w:lang w:val="sk-SK"/>
        </w:rPr>
        <w:t>in</w:t>
      </w:r>
      <w:r>
        <w:rPr>
          <w:rFonts w:ascii="Times New Roman" w:hAnsi="Times New Roman"/>
          <w:i/>
          <w:sz w:val="22"/>
          <w:szCs w:val="22"/>
          <w:lang w:val="sk-SK"/>
        </w:rPr>
        <w:t> </w:t>
      </w:r>
      <w:r w:rsidRPr="00AF1AB0">
        <w:rPr>
          <w:rFonts w:ascii="Times New Roman" w:hAnsi="Times New Roman"/>
          <w:i/>
          <w:sz w:val="22"/>
          <w:szCs w:val="22"/>
          <w:lang w:val="sk-SK"/>
        </w:rPr>
        <w:t>vitro</w:t>
      </w:r>
      <w:r w:rsidRPr="00AF1AB0">
        <w:rPr>
          <w:rFonts w:ascii="Times New Roman" w:hAnsi="Times New Roman"/>
          <w:sz w:val="22"/>
          <w:szCs w:val="22"/>
          <w:lang w:val="sk-SK"/>
        </w:rPr>
        <w:t xml:space="preserve"> aj </w:t>
      </w:r>
      <w:r w:rsidRPr="00AF1AB0">
        <w:rPr>
          <w:rFonts w:ascii="Times New Roman" w:hAnsi="Times New Roman"/>
          <w:i/>
          <w:sz w:val="22"/>
          <w:szCs w:val="22"/>
          <w:lang w:val="sk-SK"/>
        </w:rPr>
        <w:t>in</w:t>
      </w:r>
      <w:r w:rsidRPr="00AF1AB0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AF1AB0">
        <w:rPr>
          <w:rFonts w:ascii="Times New Roman" w:hAnsi="Times New Roman"/>
          <w:i/>
          <w:sz w:val="22"/>
          <w:szCs w:val="22"/>
          <w:lang w:val="sk-SK"/>
        </w:rPr>
        <w:t>vivo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Z humánnych vírusov sú na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citlivé ľudský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cytomegalovírus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(HCMV), vírus herpes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simplex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typu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2 (HSV1 a HSV2), ľudský vírus herpes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simplex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typu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6,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7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a 8 (HHV6, HHV7, HHV8 ),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Epsteinov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Barrovej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vírus (EBV), vírus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varicella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zoster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(VZV) a vírus hepatitídy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B. Klinické štúdie vyhodnot</w:t>
      </w:r>
      <w:r>
        <w:rPr>
          <w:rFonts w:ascii="Times New Roman" w:hAnsi="Times New Roman"/>
          <w:sz w:val="22"/>
          <w:szCs w:val="24"/>
          <w:lang w:val="sk-SK" w:eastAsia="ja-JP"/>
        </w:rPr>
        <w:t>ili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účinnos</w:t>
      </w:r>
      <w:r>
        <w:rPr>
          <w:rFonts w:ascii="Times New Roman" w:hAnsi="Times New Roman"/>
          <w:sz w:val="22"/>
          <w:szCs w:val="24"/>
          <w:lang w:val="sk-SK" w:eastAsia="ja-JP"/>
        </w:rPr>
        <w:t>ť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lieku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len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proti CMV infekciám</w:t>
      </w:r>
      <w:r>
        <w:rPr>
          <w:rFonts w:ascii="Times New Roman" w:hAnsi="Times New Roman"/>
          <w:sz w:val="22"/>
          <w:szCs w:val="24"/>
          <w:lang w:val="sk-SK" w:eastAsia="ja-JP"/>
        </w:rPr>
        <w:t>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CMV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infikovaných bunkách sa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najskôr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fosforyluje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vírusovou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proteínkinázou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pUL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97 na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monofosfát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. Účinkom niekoľkých bunkových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kináz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dochádza k ďalšej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fosforylácii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, čo vedie ku vzniku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trifosfátu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, ktorý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sa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následne pomaly intracelulárne metabolizuje. Preukázalo sa to v bunkách infikovaných vírusmi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HSV s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 biologickým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polčasom 18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hodín a vírusmi CMV s 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biologickým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polčasom 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24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hodín, po odstránení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extracelulárneho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. Keďže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fosforylácia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je vo veľkej miere závislá od vírusovej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kinázy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fosforylácia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prebieha väčšinou v bunkách infikovaných vírusom.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Virostatická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aktivita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spočíva v inhibícii syntézy vírusovej DNA a to: (1)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kompetitívnou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inhibíciou včlenenia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deoxyguanozín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trifosfátu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do DNA, DNA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polymerázou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a (2) včlenením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trifosfátu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do vírusovej DNA, čím sa spôsobí prerušenie alebo sa veľmi obmedzí predĺženie vírusovej DNA.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Antivírusová aktivita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Antivírusová aktivita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i/>
          <w:sz w:val="22"/>
          <w:szCs w:val="24"/>
          <w:lang w:val="sk-SK" w:eastAsia="ja-JP"/>
        </w:rPr>
        <w:t>in</w:t>
      </w:r>
      <w:r>
        <w:rPr>
          <w:rFonts w:ascii="Times New Roman" w:hAnsi="Times New Roman"/>
          <w:i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/>
          <w:sz w:val="22"/>
          <w:szCs w:val="24"/>
          <w:lang w:val="sk-SK" w:eastAsia="ja-JP"/>
        </w:rPr>
        <w:t>vitro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voči CMV meraná IC50 sa pohybuje v rozmedzí 0,08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mol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(0,02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g/ml) až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mol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(3,57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g/ml).</w:t>
      </w:r>
    </w:p>
    <w:p w:rsidR="0010462A" w:rsidRPr="00EF5929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u w:val="single"/>
          <w:lang w:val="sk-SK" w:eastAsia="ja-JP"/>
        </w:rPr>
        <w:t>Klinická účinnosť a bezpečnosť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i/>
          <w:sz w:val="22"/>
          <w:szCs w:val="24"/>
          <w:lang w:val="sk-SK" w:eastAsia="ja-JP"/>
        </w:rPr>
        <w:t>Vírusová rezistencia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Pravdepodobnosť vírusovej rezistencie sa má zvážiť u pacientov, ktorí opakovane dosiahli slabú klinickú odpoveď na liečbu, alebo u nich počas liečby pretrvávala kontinuálna vírusová exkrécia.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Vírusová rezistencia na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môže vzniknúť selekciou mutácií v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géne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vírusovej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kináz</w:t>
      </w:r>
      <w:r>
        <w:rPr>
          <w:rFonts w:ascii="Times New Roman" w:hAnsi="Times New Roman"/>
          <w:sz w:val="22"/>
          <w:szCs w:val="24"/>
          <w:lang w:val="sk-SK" w:eastAsia="ja-JP"/>
        </w:rPr>
        <w:t>y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(UL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97) zodpovedn</w:t>
      </w:r>
      <w:r>
        <w:rPr>
          <w:rFonts w:ascii="Times New Roman" w:hAnsi="Times New Roman"/>
          <w:sz w:val="22"/>
          <w:szCs w:val="24"/>
          <w:lang w:val="sk-SK" w:eastAsia="ja-JP"/>
        </w:rPr>
        <w:t>ej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za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monofosforyláciu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a/alebo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géne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vírusov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ej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po</w:t>
      </w:r>
      <w:r w:rsidR="00305F55">
        <w:rPr>
          <w:rFonts w:ascii="Times New Roman" w:hAnsi="Times New Roman"/>
          <w:sz w:val="22"/>
          <w:szCs w:val="24"/>
          <w:lang w:val="sk-SK" w:eastAsia="ja-JP"/>
        </w:rPr>
        <w:t>l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y</w:t>
      </w:r>
      <w:r w:rsidR="00305F55">
        <w:rPr>
          <w:rFonts w:ascii="Times New Roman" w:hAnsi="Times New Roman"/>
          <w:sz w:val="22"/>
          <w:szCs w:val="24"/>
          <w:lang w:val="sk-SK" w:eastAsia="ja-JP"/>
        </w:rPr>
        <w:t>m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eráz</w:t>
      </w:r>
      <w:r>
        <w:rPr>
          <w:rFonts w:ascii="Times New Roman" w:hAnsi="Times New Roman"/>
          <w:sz w:val="22"/>
          <w:szCs w:val="24"/>
          <w:lang w:val="sk-SK" w:eastAsia="ja-JP"/>
        </w:rPr>
        <w:t>y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54). Vírusy obsahujúce mutácie v géne 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97 sú rezistentné na samotný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>, kým vírusy s mutáciou v géne 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54 sú rezistentné na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>, avšak môžu preukázať skríženú rezistenciu aj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na iné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antivirotiká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, ktorých miestom účinku je tiež vírusová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po</w:t>
      </w:r>
      <w:r w:rsidR="00305F55">
        <w:rPr>
          <w:rFonts w:ascii="Times New Roman" w:hAnsi="Times New Roman"/>
          <w:sz w:val="22"/>
          <w:szCs w:val="24"/>
          <w:lang w:val="sk-SK" w:eastAsia="ja-JP"/>
        </w:rPr>
        <w:t>l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y</w:t>
      </w:r>
      <w:r w:rsidR="00305F55">
        <w:rPr>
          <w:rFonts w:ascii="Times New Roman" w:hAnsi="Times New Roman"/>
          <w:sz w:val="22"/>
          <w:szCs w:val="24"/>
          <w:lang w:val="sk-SK" w:eastAsia="ja-JP"/>
        </w:rPr>
        <w:t>m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eráza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>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u w:val="single"/>
          <w:lang w:val="sk-SK" w:eastAsia="ja-JP"/>
        </w:rPr>
        <w:lastRenderedPageBreak/>
        <w:t>Pediatrická populácia</w:t>
      </w:r>
    </w:p>
    <w:p w:rsidR="0010462A" w:rsidRPr="00EF5929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 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prospektívnej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štúdii</w:t>
      </w:r>
      <w:r>
        <w:rPr>
          <w:rFonts w:ascii="Times New Roman" w:hAnsi="Times New Roman"/>
          <w:sz w:val="22"/>
          <w:szCs w:val="24"/>
          <w:lang w:val="sk-SK" w:eastAsia="ja-JP"/>
        </w:rPr>
        <w:t>,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36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závažne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imunokompromitovaných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pediatrických pacientov (vo veku 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mesiacov až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rokov) s infekciou HIV a CMV dostávalo intravenózne podaný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 dávke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mg/kg denne počas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dní a následne perorálne podávaný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 priemere počas 32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týždňov.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bol účinný s profilom toxicity podobným ako u dospelých.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sa spájal s poklesom detekcie CMV kultiváciou alebo pri použití 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polymerázovej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reťazovej reakcie.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Neutropénia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bola jediná závažná nežiaduca reakcia pozorovaná v priebehu štúdie a napriek tomu, že u žiadneho dieťaťa nebolo nutné ukončiť liečbu, 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prípadoch bola nasadená liečba rastovým faktorom stimulujúcim kolónie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granulocytov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(G-CSF), aby sa udržal absolútny počet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neutrofilov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väčší </w:t>
      </w:r>
      <w:r w:rsidRPr="00EF5929">
        <w:rPr>
          <w:rFonts w:ascii="Times New Roman" w:eastAsia="Arial Unicode MS" w:hAnsi="Times New Roman" w:cs="Arial"/>
          <w:iCs/>
          <w:sz w:val="22"/>
          <w:szCs w:val="24"/>
          <w:lang w:val="sk-SK" w:eastAsia="ja-JP"/>
        </w:rPr>
        <w:t xml:space="preserve">ako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400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buniek/mm</w:t>
      </w:r>
      <w:r w:rsidRPr="00EF5929">
        <w:rPr>
          <w:rFonts w:ascii="Times New Roman" w:hAnsi="Times New Roman"/>
          <w:sz w:val="22"/>
          <w:szCs w:val="24"/>
          <w:vertAlign w:val="superscript"/>
          <w:lang w:val="sk-SK" w:eastAsia="ja-JP"/>
        </w:rPr>
        <w:t>3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 retrospektívnej štúdii dostávalo 122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pediatrických príjemcov transplantovanej pečene (vo veku 16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dní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rokov, priemerný vek 2,5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roka) minimálne počas 14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dní intravenózne podaný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mg/kg dvakrát denne s následným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preemptívnym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PCR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CMV monitoringom. 43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pacientov bolo považovaných za vysokorizikových z hľadiska rizika vzniku CMV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infekcie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79 sa považovalo riziko za bežné.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Asymptomatická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CMV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infekcia bola dete</w:t>
      </w:r>
      <w:r>
        <w:rPr>
          <w:rFonts w:ascii="Times New Roman" w:hAnsi="Times New Roman"/>
          <w:sz w:val="22"/>
          <w:szCs w:val="24"/>
          <w:lang w:val="sk-SK" w:eastAsia="ja-JP"/>
        </w:rPr>
        <w:t>g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ovaná pomocou PCR u 34,4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% pacientov a jej výskyt bol pravdepodobnejší u vysokorizikových príjemcov, ako u príjemcov s bežným rizikom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(58,1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voči 21,8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%, p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 0,0001). U dvanástich pacientov (9,8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%) sa vyvinulo ochorenie CMV (u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vysokorizikových voči 4 s bežným rizikom, 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0,03). U troch pacientov sa vyvinula akútna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rejekcia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do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mesiacov od detekcie CMV, 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ale </w:t>
      </w:r>
      <w:proofErr w:type="spellStart"/>
      <w:r>
        <w:rPr>
          <w:rFonts w:ascii="Times New Roman" w:hAnsi="Times New Roman"/>
          <w:iCs/>
          <w:sz w:val="22"/>
          <w:szCs w:val="24"/>
          <w:lang w:val="sk-SK" w:eastAsia="ja-JP"/>
        </w:rPr>
        <w:t>rejekcia</w:t>
      </w:r>
      <w:proofErr w:type="spellEnd"/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predchádzala CMV infekciu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pacientov. Smrť ako sekundárny následok CMV sa nevyskytla. Celkovo 38,5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pacientov nedostalo antivírusovú medikáciu po ich iniciálnej pooperačnej profylaxii.</w:t>
      </w:r>
    </w:p>
    <w:p w:rsidR="0010462A" w:rsidRPr="00EF5929" w:rsidRDefault="0010462A" w:rsidP="0010462A">
      <w:pPr>
        <w:rPr>
          <w:rFonts w:ascii="Times New Roman" w:hAnsi="Times New Roman"/>
          <w:iCs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V retrospektívnej analýze sa porovnávala bezpečnosť a účinnosť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v porovnaní s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valganciklovirom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92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pediatrických pacientov s transplantáciou obličky a/alebo pečene (vo veku 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mesiacov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rokov, medián veku 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rokov). Všetky deti dostávali intravenózne podaný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dávke 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mg/kg dvakrát denne počas dvoch týždňov po transplantácii. </w:t>
      </w:r>
      <w:r w:rsidRPr="00B700AF">
        <w:rPr>
          <w:rFonts w:ascii="Times New Roman" w:hAnsi="Times New Roman"/>
          <w:iCs/>
          <w:sz w:val="22"/>
          <w:szCs w:val="24"/>
          <w:lang w:val="sk-SK" w:eastAsia="ja-JP"/>
        </w:rPr>
        <w:t xml:space="preserve">Deti liečené pred rokom 2004 dostali následne perorálne podaný </w:t>
      </w:r>
      <w:proofErr w:type="spellStart"/>
      <w:r w:rsidRPr="00B700AF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B700AF">
        <w:rPr>
          <w:rFonts w:ascii="Times New Roman" w:hAnsi="Times New Roman"/>
          <w:iCs/>
          <w:sz w:val="22"/>
          <w:szCs w:val="24"/>
          <w:lang w:val="sk-SK" w:eastAsia="ja-JP"/>
        </w:rPr>
        <w:t xml:space="preserve"> trikrát denne v dávke 30 mg/kg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až do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g/dávku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(n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41), kým deti liečené po roku 2004 dostávali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valganciklovir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raz denne v dávke až do 900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mg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(n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51). Celková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incidencia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CMV bola 16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(15/92 pacientov). Čas do prepuknutia CMV infekcie bol porovnateľný v oboch skupinách.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EF5929" w:rsidRDefault="0010462A" w:rsidP="0010462A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 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randomizovanej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, kontrolovanej štúdii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dostávalo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novorodencov (vek menej ako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mesiac) so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symptomatickým vrodeným CMV ochorením s komplikáciami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CNS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týždňov intravenózne podaný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v dávke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mg/kg každých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hodín alebo žiadnu liečbu. Zo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zaradených pacientov splnilo kritériá štúdie 42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pacientov a na začiatku štúdie 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mesiacoch sa vykonalo u nich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audiometrické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hodnotenie. 25 z nich dostávalo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nedostávalo žiadnu liečbu. Po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mesiacoch v porovnaní so stavom na začiatku štúdie sa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dvadsaťjeden z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25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pacientov, ktorí dostali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, sluch zlepšil alebo zostal v norme,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porovnaní s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pacientmi zo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17 v kontrolnej skupine (84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a 59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%, v uvedenom poradí, 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0,06).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žiadneho z pacientov, ktorým bol podaný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sa neobjavilo zhoršenie sluchu od začiatku štúdie do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mesiacov, v porovnaní so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pacientmi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kontrolnej skupine (p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sym w:font="Symbol" w:char="F03C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0,01). Do jedného roka od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začiatku štúdie sa objavilo u 5/24 pacientov dostávajúcich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a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13/19 pacientov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kontrolnej skupine zhoršenie sluchu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sym w:font="Symbol" w:char="F03C"/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0,01). V priebehu štúdie sa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29/46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pacientov dostávajúcich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vyskytla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neutropénia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 v porovnaní s 9/43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pacientov v kontrolnej skupine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sym w:font="Symbol" w:char="F03C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0,1). V priebehu štúdie nastala smrť 9x, z toho 3x v skupine s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ganciklovirom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a 6x v kontrolnej skupine. Žiadna smrť nesúvisela so študijnou liečbou.</w:t>
      </w:r>
    </w:p>
    <w:p w:rsidR="0010462A" w:rsidRPr="00EF5929" w:rsidRDefault="0010462A" w:rsidP="0010462A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</w:p>
    <w:p w:rsidR="0010462A" w:rsidRPr="00EF5929" w:rsidRDefault="0010462A" w:rsidP="0010462A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lastRenderedPageBreak/>
        <w:t xml:space="preserve">V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randomizovanej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 kontrolovanej štúdii III.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fázy dostávalo 100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novorodencov (vo veku 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33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dní, medián veku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dní) so závažným symptomatickým vrodeným CMV ochorením s komplikáciami 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v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CNS buď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intravenózne v dávke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dvakrát denne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týždňov (n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48) alebo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žiadnu antivírusovú liečbu (n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52). Dojčatá, ktoré dostávali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 mali zlepšené výsledky z hľadiska neurologického vývinu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mesiacoch, v porovnaní s tými, ktoré nedostávali antivírusovú liečbu. Hoci pacienti, ktorí dostávali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</w:t>
      </w:r>
      <w:proofErr w:type="spellEnd"/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mali menšie oneskorenie 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neurologické výsledky bližšie k normálnym hodnotám, väčšina z nich bola stále pod hodnotami, ktoré zodpovedajú normálnemu vývoju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týždňoch,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mesiacoch alebo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mesiacoch veku. Bezpečnosť v štúdii nebola hodnotená.</w:t>
      </w:r>
    </w:p>
    <w:p w:rsidR="0010462A" w:rsidRPr="00EF5929" w:rsidRDefault="0010462A" w:rsidP="0010462A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</w:p>
    <w:p w:rsidR="0010462A" w:rsidRPr="00EF5929" w:rsidRDefault="0010462A" w:rsidP="0010462A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V retrospektívnej štúdii sa skúmal účinok antivírusovej liečby na neskorý nástup zhoršenia sluchu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dojčiat s vrodenou CMV infekciou (vo veku 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34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mesiacov, priemerný vek 10,3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±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7,8 mesiac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a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 medián veku 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mesiacov). V štúdii bolo zaradených 21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dojčiat s normálnym sluchom pri narodení,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ktorých sa vyvinul oneskorený nástup zhoršenia sluchu. Antivírusová liečba pozostávala buď z:</w:t>
      </w:r>
    </w:p>
    <w:p w:rsidR="0010462A" w:rsidRPr="00EF5929" w:rsidRDefault="0010462A" w:rsidP="0010462A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- intravenózne podaného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jedenkrát denne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týždňov nasledovaná perorálnym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valganciklovirom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v dávke 17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dvakrát denne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týždňov a následne jedenkrát denne až do veku 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roka, alebo</w:t>
      </w:r>
    </w:p>
    <w:p w:rsidR="0010462A" w:rsidRPr="00EF5929" w:rsidRDefault="0010462A" w:rsidP="0010462A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- perorálne podaného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valgancikloviru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17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dvakrát denne počas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týždňov a následne jedenkrát denne počas 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mesiacov.</w:t>
      </w:r>
    </w:p>
    <w:p w:rsidR="0010462A" w:rsidRPr="00EF5929" w:rsidRDefault="0010462A" w:rsidP="0010462A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</w:p>
    <w:p w:rsidR="0010462A" w:rsidRDefault="0010462A" w:rsidP="0010462A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U nikoho z detí nebol nutný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kochleárny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implantát, zhoršenie sluchu sa zlepšilo u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83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% detí postihnutých zhoršením sluchu pri zaradení do štúdie.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Neutropénia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bola jediný hlásený vedľajší účinok, u žiadneho pacienta nebolo nutné prerušiť liečbu.</w:t>
      </w:r>
    </w:p>
    <w:p w:rsidR="0010462A" w:rsidRPr="00EF5929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5.2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AF1AB0">
        <w:rPr>
          <w:rFonts w:ascii="Times New Roman" w:hAnsi="Times New Roman"/>
          <w:b/>
          <w:sz w:val="22"/>
          <w:szCs w:val="22"/>
          <w:lang w:val="sk-SK"/>
        </w:rPr>
        <w:t>Farmakokinetické</w:t>
      </w:r>
      <w:proofErr w:type="spellEnd"/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:rsidR="0010462A" w:rsidRPr="00AF1AB0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10462A" w:rsidRPr="00D327B4" w:rsidRDefault="00A00120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 xml:space="preserve">Systémová expozícia </w:t>
      </w:r>
      <w:r w:rsidR="00C34264" w:rsidRPr="00C34264">
        <w:rPr>
          <w:rFonts w:ascii="Times New Roman" w:hAnsi="Times New Roman"/>
          <w:iCs/>
          <w:sz w:val="22"/>
          <w:szCs w:val="24"/>
          <w:lang w:val="sk-SK" w:eastAsia="ja-JP"/>
        </w:rPr>
        <w:t>(AUC</w:t>
      </w:r>
      <w:r w:rsidR="00C34264" w:rsidRPr="00C3426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t>0-</w:t>
      </w:r>
      <w:r w:rsidR="00C34264" w:rsidRPr="00C34264">
        <w:rPr>
          <w:rFonts w:ascii="Times New Roman" w:hAnsi="Times New Roman"/>
          <w:sz w:val="22"/>
          <w:szCs w:val="24"/>
          <w:vertAlign w:val="subscript"/>
          <w:lang w:val="sk-SK" w:eastAsia="ja-JP"/>
        </w:rPr>
        <w:t>∞</w:t>
      </w:r>
      <w:r w:rsidR="00C34264" w:rsidRPr="00C34264">
        <w:rPr>
          <w:rFonts w:ascii="Times New Roman" w:hAnsi="Times New Roman"/>
          <w:sz w:val="22"/>
          <w:szCs w:val="24"/>
          <w:lang w:val="sk-SK" w:eastAsia="ja-JP"/>
        </w:rPr>
        <w:t xml:space="preserve">) hlásená po </w:t>
      </w:r>
      <w:r w:rsidR="003C07FD">
        <w:rPr>
          <w:rFonts w:ascii="Times New Roman" w:hAnsi="Times New Roman"/>
          <w:sz w:val="22"/>
          <w:szCs w:val="24"/>
          <w:lang w:val="sk-SK" w:eastAsia="ja-JP"/>
        </w:rPr>
        <w:t>jednorazovom</w:t>
      </w:r>
      <w:r w:rsidR="00954526">
        <w:rPr>
          <w:rFonts w:ascii="Times New Roman" w:hAnsi="Times New Roman"/>
          <w:sz w:val="22"/>
          <w:szCs w:val="24"/>
          <w:lang w:val="sk-SK" w:eastAsia="ja-JP"/>
        </w:rPr>
        <w:t xml:space="preserve"> podaní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i.v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.</w:t>
      </w:r>
      <w:r w:rsidR="00954526">
        <w:rPr>
          <w:rFonts w:ascii="Times New Roman" w:hAnsi="Times New Roman"/>
          <w:sz w:val="22"/>
          <w:szCs w:val="24"/>
          <w:lang w:val="sk-SK" w:eastAsia="ja-JP"/>
        </w:rPr>
        <w:t xml:space="preserve"> infúzie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trvajúcej hodinu, v </w:t>
      </w:r>
      <w:r w:rsidRPr="0058282F">
        <w:rPr>
          <w:rFonts w:ascii="Times New Roman" w:hAnsi="Times New Roman"/>
          <w:sz w:val="22"/>
          <w:szCs w:val="24"/>
          <w:lang w:val="sk-SK" w:eastAsia="ja-JP"/>
        </w:rPr>
        <w:t>dávke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5mg/kg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u dospel</w:t>
      </w:r>
      <w:r w:rsidR="003A6EBE">
        <w:rPr>
          <w:rFonts w:ascii="Times New Roman" w:hAnsi="Times New Roman"/>
          <w:sz w:val="22"/>
          <w:szCs w:val="24"/>
          <w:lang w:val="sk-SK" w:eastAsia="ja-JP"/>
        </w:rPr>
        <w:t>ých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pacient</w:t>
      </w:r>
      <w:r w:rsidR="003A6EBE">
        <w:rPr>
          <w:rFonts w:ascii="Times New Roman" w:hAnsi="Times New Roman"/>
          <w:sz w:val="22"/>
          <w:szCs w:val="24"/>
          <w:lang w:val="sk-SK" w:eastAsia="ja-JP"/>
        </w:rPr>
        <w:t>ov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s transplantovanou pečeňou bola v priemere </w:t>
      </w:r>
      <w:r w:rsidRPr="00A00120">
        <w:rPr>
          <w:rFonts w:ascii="Times New Roman" w:hAnsi="Times New Roman"/>
          <w:sz w:val="22"/>
          <w:szCs w:val="24"/>
          <w:lang w:val="sk-SK" w:eastAsia="ja-JP"/>
        </w:rPr>
        <w:t>50,</w:t>
      </w:r>
      <w:r w:rsidR="00C34264" w:rsidRPr="00C34264">
        <w:rPr>
          <w:rFonts w:ascii="Times New Roman" w:hAnsi="Times New Roman"/>
          <w:sz w:val="22"/>
          <w:szCs w:val="24"/>
          <w:lang w:val="sk-SK" w:eastAsia="ja-JP"/>
        </w:rPr>
        <w:t xml:space="preserve">6 </w:t>
      </w:r>
      <w:r w:rsidRPr="00A00120">
        <w:rPr>
          <w:rFonts w:ascii="Times New Roman" w:hAnsi="Times New Roman"/>
          <w:sz w:val="22"/>
          <w:szCs w:val="24"/>
          <w:lang w:val="sk-SK" w:eastAsia="ja-JP"/>
        </w:rPr>
        <w:t>µ</w:t>
      </w:r>
      <w:proofErr w:type="spellStart"/>
      <w:r w:rsidRPr="00A00120">
        <w:rPr>
          <w:rFonts w:ascii="Times New Roman" w:hAnsi="Times New Roman"/>
          <w:sz w:val="22"/>
          <w:szCs w:val="24"/>
          <w:lang w:val="sk-SK" w:eastAsia="ja-JP"/>
        </w:rPr>
        <w:t>g.h</w:t>
      </w:r>
      <w:proofErr w:type="spellEnd"/>
      <w:r w:rsidRPr="00A00120">
        <w:rPr>
          <w:rFonts w:ascii="Times New Roman" w:hAnsi="Times New Roman"/>
          <w:sz w:val="22"/>
          <w:szCs w:val="24"/>
          <w:lang w:val="sk-SK" w:eastAsia="ja-JP"/>
        </w:rPr>
        <w:t>/ml</w:t>
      </w:r>
      <w:r w:rsidR="00C34264" w:rsidRPr="00C34264">
        <w:rPr>
          <w:rFonts w:ascii="Times New Roman" w:hAnsi="Times New Roman"/>
          <w:sz w:val="22"/>
          <w:szCs w:val="24"/>
          <w:lang w:val="sk-SK" w:eastAsia="ja-JP"/>
        </w:rPr>
        <w:t xml:space="preserve"> (CV% 40).</w:t>
      </w:r>
      <w:r w:rsidR="00042929">
        <w:rPr>
          <w:rFonts w:ascii="Times New Roman" w:hAnsi="Times New Roman"/>
          <w:sz w:val="22"/>
          <w:szCs w:val="24"/>
          <w:lang w:val="sk-SK" w:eastAsia="ja-JP"/>
        </w:rPr>
        <w:t xml:space="preserve"> V tejto populácii pacientov</w:t>
      </w:r>
      <w:r w:rsidR="00954526">
        <w:rPr>
          <w:rFonts w:ascii="Times New Roman" w:hAnsi="Times New Roman"/>
          <w:sz w:val="22"/>
          <w:szCs w:val="24"/>
          <w:lang w:val="sk-SK" w:eastAsia="ja-JP"/>
        </w:rPr>
        <w:t xml:space="preserve"> bola maximálna </w:t>
      </w:r>
      <w:r w:rsidR="003C07FD">
        <w:rPr>
          <w:rFonts w:ascii="Times New Roman" w:hAnsi="Times New Roman"/>
          <w:sz w:val="22"/>
          <w:szCs w:val="24"/>
          <w:lang w:val="sk-SK" w:eastAsia="ja-JP"/>
        </w:rPr>
        <w:t xml:space="preserve">priemerná </w:t>
      </w:r>
      <w:r w:rsidR="00954526">
        <w:rPr>
          <w:rFonts w:ascii="Times New Roman" w:hAnsi="Times New Roman"/>
          <w:sz w:val="22"/>
          <w:szCs w:val="24"/>
          <w:lang w:val="sk-SK" w:eastAsia="ja-JP"/>
        </w:rPr>
        <w:t xml:space="preserve">plazmatická koncentrácia </w:t>
      </w:r>
      <w:r w:rsidR="00C34264" w:rsidRPr="00C34264">
        <w:rPr>
          <w:rFonts w:ascii="Times New Roman" w:hAnsi="Times New Roman"/>
          <w:sz w:val="22"/>
          <w:szCs w:val="24"/>
          <w:lang w:val="sk-SK" w:eastAsia="ja-JP"/>
        </w:rPr>
        <w:t>(</w:t>
      </w:r>
      <w:proofErr w:type="spellStart"/>
      <w:r w:rsidR="00C34264" w:rsidRPr="00C34264">
        <w:rPr>
          <w:rFonts w:ascii="Times New Roman" w:hAnsi="Times New Roman"/>
          <w:sz w:val="22"/>
          <w:szCs w:val="24"/>
          <w:lang w:val="sk-SK" w:eastAsia="ja-JP"/>
        </w:rPr>
        <w:t>C</w:t>
      </w:r>
      <w:r w:rsidR="00C34264" w:rsidRPr="00C34264">
        <w:rPr>
          <w:rFonts w:ascii="Times New Roman" w:hAnsi="Times New Roman"/>
          <w:sz w:val="22"/>
          <w:szCs w:val="24"/>
          <w:vertAlign w:val="subscript"/>
          <w:lang w:val="sk-SK" w:eastAsia="ja-JP"/>
        </w:rPr>
        <w:t>max</w:t>
      </w:r>
      <w:proofErr w:type="spellEnd"/>
      <w:r w:rsidR="00C34264" w:rsidRPr="00C34264">
        <w:rPr>
          <w:rFonts w:ascii="Times New Roman" w:hAnsi="Times New Roman"/>
          <w:sz w:val="22"/>
          <w:szCs w:val="24"/>
          <w:lang w:val="sk-SK" w:eastAsia="ja-JP"/>
        </w:rPr>
        <w:t>)</w:t>
      </w:r>
      <w:r w:rsidR="003C07FD" w:rsidRPr="003C07FD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="00C34264" w:rsidRPr="00C34264">
        <w:rPr>
          <w:rFonts w:ascii="Times New Roman" w:hAnsi="Times New Roman"/>
          <w:sz w:val="22"/>
          <w:szCs w:val="24"/>
          <w:lang w:val="sk-SK" w:eastAsia="ja-JP"/>
        </w:rPr>
        <w:t>12,</w:t>
      </w:r>
      <w:r w:rsidR="00954526" w:rsidRPr="00954526">
        <w:rPr>
          <w:rFonts w:ascii="Times New Roman" w:hAnsi="Times New Roman"/>
          <w:sz w:val="22"/>
          <w:szCs w:val="24"/>
          <w:lang w:val="sk-SK" w:eastAsia="ja-JP"/>
        </w:rPr>
        <w:t>2</w:t>
      </w:r>
      <w:r w:rsidR="00954526"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="00954526" w:rsidRPr="00954526">
        <w:rPr>
          <w:rFonts w:ascii="Times New Roman" w:hAnsi="Times New Roman"/>
          <w:sz w:val="22"/>
          <w:szCs w:val="24"/>
          <w:lang w:val="sk-SK" w:eastAsia="ja-JP"/>
        </w:rPr>
        <w:t>µg/ml</w:t>
      </w:r>
      <w:r w:rsidR="00C34264" w:rsidRPr="00C34264">
        <w:rPr>
          <w:rFonts w:ascii="Times New Roman" w:hAnsi="Times New Roman"/>
          <w:sz w:val="22"/>
          <w:szCs w:val="24"/>
          <w:lang w:val="sk-SK" w:eastAsia="ja-JP"/>
        </w:rPr>
        <w:t xml:space="preserve"> (CV% 24).</w:t>
      </w:r>
    </w:p>
    <w:p w:rsidR="00305F55" w:rsidRDefault="00305F55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Distribúcia: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Distribučný objem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 intravenóznom podaní koreluje s telesnou hmotnosťou. Distribučný objem v rovnovážnom stave je v rozmedzí 0,54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0,87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l/kg. Väzba na plazmatické bielkoviny je 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% pri koncentrácii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0,5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51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t>µ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g/ml.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prechádza do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mozgovo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miešneho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moku, kde boli pozorované koncentrácie dosahujúce 24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67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 plazmatickej koncentrácie.</w:t>
      </w:r>
    </w:p>
    <w:p w:rsidR="0010462A" w:rsidRPr="00D327B4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proofErr w:type="spellStart"/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Biotransformácia</w:t>
      </w:r>
      <w:proofErr w:type="spellEnd"/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sa vo významnejšej miere nemetabolizuje.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Eliminácia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i/>
          <w:sz w:val="22"/>
          <w:szCs w:val="24"/>
          <w:lang w:val="sk-SK" w:eastAsia="ja-JP"/>
        </w:rPr>
      </w:pP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sa eliminuje prevažne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renálnou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exkréciou pomocou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glomerulárnej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filtrácie a aktívnej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tubulárnej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sekrécie nezmeneného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>. U pacientov s normálnou funkciou obličiek sa viac ako 90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% intravenózne podaného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vylúči močom v nezmenenej forme do 24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hodín.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Priemerný systémový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 podaní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sa pohybuje v rozmedzí 2,64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sym w:font="Symbol" w:char="F0B1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0,38 ml/min/kg (n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15) až 4,52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sym w:font="Symbol" w:char="F0B1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2,79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ml/min/kg (</w:t>
      </w:r>
      <w:r>
        <w:rPr>
          <w:rFonts w:ascii="Times New Roman" w:hAnsi="Times New Roman"/>
          <w:sz w:val="22"/>
          <w:szCs w:val="24"/>
          <w:lang w:val="sk-SK" w:eastAsia="ja-JP"/>
        </w:rPr>
        <w:t>N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6),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renálny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sa pohybuje v rozmedzí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2,57 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0,69 ml/min/kg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15) až 3,48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0,68 ml/min/kg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20), čo zodpovedá 90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101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% podaného </w:t>
      </w:r>
      <w:proofErr w:type="spellStart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.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Polčasy u pacientov bez poruchy funkcie obličiek sa pohybovali v rozmedzí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2,73 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1,29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6) až 3,98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1,78 hodín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8).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:rsidR="0010462A" w:rsidRPr="00D327B4" w:rsidRDefault="0010462A" w:rsidP="0010462A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proofErr w:type="spellStart"/>
      <w:r w:rsidRPr="00351FF2">
        <w:rPr>
          <w:rFonts w:ascii="Times New Roman" w:hAnsi="Times New Roman"/>
          <w:sz w:val="22"/>
          <w:szCs w:val="24"/>
          <w:u w:val="single"/>
          <w:lang w:val="sk-SK" w:eastAsia="ja-JP"/>
        </w:rPr>
        <w:lastRenderedPageBreak/>
        <w:t>Linearita</w:t>
      </w:r>
      <w:proofErr w:type="spellEnd"/>
      <w:r w:rsidRPr="00351FF2">
        <w:rPr>
          <w:rFonts w:ascii="Times New Roman" w:hAnsi="Times New Roman"/>
          <w:sz w:val="22"/>
          <w:szCs w:val="24"/>
          <w:u w:val="single"/>
          <w:lang w:val="sk-SK" w:eastAsia="ja-JP"/>
        </w:rPr>
        <w:t>/</w:t>
      </w:r>
      <w:proofErr w:type="spellStart"/>
      <w:r w:rsidRPr="00351FF2">
        <w:rPr>
          <w:rFonts w:ascii="Times New Roman" w:hAnsi="Times New Roman"/>
          <w:sz w:val="22"/>
          <w:szCs w:val="24"/>
          <w:u w:val="single"/>
          <w:lang w:val="sk-SK" w:eastAsia="ja-JP"/>
        </w:rPr>
        <w:t>nelinearita</w:t>
      </w:r>
      <w:proofErr w:type="spellEnd"/>
    </w:p>
    <w:p w:rsidR="0010462A" w:rsidRPr="00D327B4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Intravenózne podaný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preukazuje lineárnu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farmakokinetiku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v rozmedzí 1,6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5,0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mg/kg.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Pacienti s poruchou funkcie obličiek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bookmarkStart w:id="8" w:name="_Hlk493596899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Celkový </w:t>
      </w:r>
      <w:r>
        <w:rPr>
          <w:rFonts w:ascii="Times New Roman" w:hAnsi="Times New Roman"/>
          <w:sz w:val="22"/>
          <w:szCs w:val="24"/>
          <w:lang w:val="sk-SK" w:eastAsia="ja-JP"/>
        </w:rPr>
        <w:t>telový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ko</w:t>
      </w:r>
      <w:r>
        <w:rPr>
          <w:rFonts w:ascii="Times New Roman" w:hAnsi="Times New Roman"/>
          <w:sz w:val="22"/>
          <w:szCs w:val="24"/>
          <w:lang w:val="sk-SK" w:eastAsia="ja-JP"/>
        </w:rPr>
        <w:t>rel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uje lineárne s 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klírensom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kreatinínu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>. U pacientov s miern</w:t>
      </w:r>
      <w:r>
        <w:rPr>
          <w:rFonts w:ascii="Times New Roman" w:hAnsi="Times New Roman"/>
          <w:sz w:val="22"/>
          <w:szCs w:val="24"/>
          <w:lang w:val="sk-SK" w:eastAsia="ja-JP"/>
        </w:rPr>
        <w:t>ou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, stredne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ťažkou 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a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 ťažkou 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</w:t>
      </w:r>
      <w:r>
        <w:rPr>
          <w:rFonts w:ascii="Times New Roman" w:hAnsi="Times New Roman"/>
          <w:sz w:val="22"/>
          <w:szCs w:val="24"/>
          <w:lang w:val="sk-SK" w:eastAsia="ja-JP"/>
        </w:rPr>
        <w:t>ruchou funkcie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obličiek bol pozorovaný priemerný systémový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2,1;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a 0,3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ml/min./kg. Pacienti s poruchou funkcie obličiek majú dlhší polčas eliminácie</w:t>
      </w:r>
      <w:r>
        <w:rPr>
          <w:rFonts w:ascii="Times New Roman" w:hAnsi="Times New Roman"/>
          <w:sz w:val="22"/>
          <w:szCs w:val="24"/>
          <w:lang w:val="sk-SK" w:eastAsia="ja-JP"/>
        </w:rPr>
        <w:t>. U pacientov s ťažkou poruchou funkcie obličiek sa polčas eliminácie predĺžil 10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násobne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bookmarkEnd w:id="8"/>
      <w:r w:rsidRPr="00D327B4">
        <w:rPr>
          <w:rFonts w:ascii="Times New Roman" w:hAnsi="Times New Roman"/>
          <w:sz w:val="22"/>
          <w:szCs w:val="24"/>
          <w:lang w:val="sk-SK" w:eastAsia="ja-JP"/>
        </w:rPr>
        <w:t>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4.2. pre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úpravu dávky </w:t>
      </w:r>
      <w:r>
        <w:rPr>
          <w:rFonts w:ascii="Times New Roman" w:hAnsi="Times New Roman"/>
          <w:sz w:val="22"/>
          <w:szCs w:val="24"/>
          <w:lang w:val="sk-SK" w:eastAsia="ja-JP"/>
        </w:rPr>
        <w:t>u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paciento</w:t>
      </w:r>
      <w:r>
        <w:rPr>
          <w:rFonts w:ascii="Times New Roman" w:hAnsi="Times New Roman"/>
          <w:sz w:val="22"/>
          <w:szCs w:val="24"/>
          <w:lang w:val="sk-SK" w:eastAsia="ja-JP"/>
        </w:rPr>
        <w:t>v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 poruchou funkcie obličiek).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Pacienti s poruchou funkcie obličiek podstupujúci hemodialýzu</w:t>
      </w:r>
    </w:p>
    <w:p w:rsidR="0010462A" w:rsidRPr="00D327B4" w:rsidRDefault="0010462A" w:rsidP="0010462A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:rsidR="0010462A" w:rsidRPr="00D327B4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Hemodialýza redukuje plazmatickú koncentráciu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približne 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50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 po jeho intravenóznom podaní počas 4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hodinovej hemodialýzy.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Počas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intermitentnej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hemodialýzy sa odhaduje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v rozmedzí od 42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92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ml/min,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dialyzačným polčasom 3,3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4,5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hod</w:t>
      </w:r>
      <w:r>
        <w:rPr>
          <w:rFonts w:ascii="Times New Roman" w:hAnsi="Times New Roman"/>
          <w:sz w:val="22"/>
          <w:szCs w:val="24"/>
          <w:lang w:val="sk-SK" w:eastAsia="ja-JP"/>
        </w:rPr>
        <w:t>i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n</w:t>
      </w:r>
      <w:r>
        <w:rPr>
          <w:rFonts w:ascii="Times New Roman" w:hAnsi="Times New Roman"/>
          <w:sz w:val="22"/>
          <w:szCs w:val="24"/>
          <w:lang w:val="sk-SK" w:eastAsia="ja-JP"/>
        </w:rPr>
        <w:t>y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. Frakcia odobratého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počas jednej dialýzy sa pohybovala medzi 50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sz w:val="22"/>
          <w:szCs w:val="24"/>
          <w:lang w:val="sk-SK" w:eastAsia="ja-JP"/>
        </w:rPr>
        <w:t> až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63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%. Odhady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pri kontinuálnej dialýze boli nižšie (4,0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29,6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ml/min), avšak vyústili do väčšej eliminácie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počas intervalu dávky.</w:t>
      </w:r>
    </w:p>
    <w:p w:rsidR="0010462A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92492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bookmarkStart w:id="9" w:name="_Hlk493596924"/>
      <w:r w:rsidRPr="00D92492">
        <w:rPr>
          <w:rFonts w:ascii="Times New Roman" w:hAnsi="Times New Roman"/>
          <w:sz w:val="22"/>
          <w:szCs w:val="24"/>
          <w:u w:val="single"/>
          <w:lang w:val="sk-SK" w:eastAsia="ja-JP"/>
        </w:rPr>
        <w:t>Pacienti s poruchou funkcie pečene</w:t>
      </w:r>
    </w:p>
    <w:p w:rsidR="0010462A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D92492">
        <w:rPr>
          <w:rFonts w:ascii="Times New Roman" w:hAnsi="Times New Roman"/>
          <w:sz w:val="22"/>
          <w:szCs w:val="24"/>
          <w:lang w:val="sk-SK" w:eastAsia="ja-JP"/>
        </w:rPr>
        <w:t xml:space="preserve">Bezpečnosť a účinnosť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sa neskúmali </w:t>
      </w:r>
      <w:r w:rsidRPr="00D92492">
        <w:rPr>
          <w:rFonts w:ascii="Times New Roman" w:hAnsi="Times New Roman"/>
          <w:sz w:val="22"/>
          <w:szCs w:val="24"/>
          <w:lang w:val="sk-SK" w:eastAsia="ja-JP"/>
        </w:rPr>
        <w:t xml:space="preserve">u pacientov s poruchou funkcie pečene. Porucha funkcie pečene by nemala ovplyvniť </w:t>
      </w:r>
      <w:proofErr w:type="spellStart"/>
      <w:r w:rsidRPr="00D92492">
        <w:rPr>
          <w:rFonts w:ascii="Times New Roman" w:hAnsi="Times New Roman"/>
          <w:sz w:val="22"/>
          <w:szCs w:val="24"/>
          <w:lang w:val="sk-SK" w:eastAsia="ja-JP"/>
        </w:rPr>
        <w:t>farmakokinetiku</w:t>
      </w:r>
      <w:proofErr w:type="spellEnd"/>
      <w:r w:rsidRPr="00D92492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92492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92492">
        <w:rPr>
          <w:rFonts w:ascii="Times New Roman" w:hAnsi="Times New Roman"/>
          <w:sz w:val="22"/>
          <w:szCs w:val="24"/>
          <w:lang w:val="sk-SK" w:eastAsia="ja-JP"/>
        </w:rPr>
        <w:t>, pretože sa vylučuje obličkami,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92492">
        <w:rPr>
          <w:rFonts w:ascii="Times New Roman" w:hAnsi="Times New Roman"/>
          <w:sz w:val="22"/>
          <w:szCs w:val="24"/>
          <w:lang w:val="sk-SK" w:eastAsia="ja-JP"/>
        </w:rPr>
        <w:t>preto nie je uvedené žiadne špecifické odporúčanie na dávkovanie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(pozri časť 4.2).</w:t>
      </w:r>
    </w:p>
    <w:bookmarkEnd w:id="9"/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D327B4" w:rsidRDefault="0010462A" w:rsidP="0010462A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Pediatrická populácia</w:t>
      </w:r>
    </w:p>
    <w:p w:rsidR="00B46925" w:rsidRDefault="00B46925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:rsidR="00B46925" w:rsidRDefault="00B46925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F</w:t>
      </w:r>
      <w:r>
        <w:rPr>
          <w:rFonts w:ascii="Times New Roman" w:hAnsi="Times New Roman"/>
          <w:sz w:val="22"/>
          <w:szCs w:val="24"/>
          <w:lang w:val="sk-SK" w:eastAsia="ja-JP"/>
        </w:rPr>
        <w:t>armakokinetika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intravenózne podáva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ného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(v dávke 200 mg/m</w:t>
      </w:r>
      <w:r w:rsidR="00C34264" w:rsidRPr="00C34264">
        <w:rPr>
          <w:rFonts w:ascii="Times New Roman" w:hAnsi="Times New Roman"/>
          <w:sz w:val="22"/>
          <w:szCs w:val="24"/>
          <w:vertAlign w:val="superscript"/>
          <w:lang w:val="sk-SK" w:eastAsia="ja-JP"/>
        </w:rPr>
        <w:t>2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) 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>bola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skúma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>ná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v dvoch štúdiách u pediatrických pacientov s transplantáciou pečene (n=18) a obličiek (n=25) vo veku 3 m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esiace až 16 rokov a </w:t>
      </w:r>
      <w:r w:rsidR="00E36DA0">
        <w:rPr>
          <w:rFonts w:ascii="Times New Roman" w:hAnsi="Times New Roman"/>
          <w:sz w:val="22"/>
          <w:szCs w:val="24"/>
          <w:lang w:val="sk-SK" w:eastAsia="ja-JP"/>
        </w:rPr>
        <w:t>h</w:t>
      </w:r>
      <w:r>
        <w:rPr>
          <w:rFonts w:ascii="Times New Roman" w:hAnsi="Times New Roman"/>
          <w:sz w:val="22"/>
          <w:szCs w:val="24"/>
          <w:lang w:val="sk-SK" w:eastAsia="ja-JP"/>
        </w:rPr>
        <w:t>odnot</w:t>
      </w:r>
      <w:r w:rsidR="00E36DA0">
        <w:rPr>
          <w:rFonts w:ascii="Times New Roman" w:hAnsi="Times New Roman"/>
          <w:sz w:val="22"/>
          <w:szCs w:val="24"/>
          <w:lang w:val="sk-SK" w:eastAsia="ja-JP"/>
        </w:rPr>
        <w:t xml:space="preserve">ená </w:t>
      </w:r>
      <w:r w:rsidR="00796838">
        <w:rPr>
          <w:rFonts w:ascii="Times New Roman" w:hAnsi="Times New Roman"/>
          <w:sz w:val="22"/>
          <w:szCs w:val="24"/>
          <w:lang w:val="sk-SK" w:eastAsia="ja-JP"/>
        </w:rPr>
        <w:t>pomocou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populačných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farmakokinetických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modelov.</w:t>
      </w:r>
    </w:p>
    <w:p w:rsidR="00B46925" w:rsidRDefault="00E36DA0" w:rsidP="00E36DA0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kreatinínu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(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CrCL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) </w:t>
      </w:r>
      <w:r w:rsidR="006810A4">
        <w:rPr>
          <w:rFonts w:ascii="Times New Roman" w:hAnsi="Times New Roman"/>
          <w:sz w:val="22"/>
          <w:szCs w:val="24"/>
          <w:lang w:val="sk-SK" w:eastAsia="ja-JP"/>
        </w:rPr>
        <w:t>bol stanovený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za štatisticky </w:t>
      </w:r>
      <w:r w:rsidR="004029A3">
        <w:rPr>
          <w:rFonts w:ascii="Times New Roman" w:hAnsi="Times New Roman"/>
          <w:sz w:val="22"/>
          <w:szCs w:val="24"/>
          <w:lang w:val="sk-SK" w:eastAsia="ja-JP"/>
        </w:rPr>
        <w:t>významnú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="00C34264" w:rsidRPr="008242C8">
        <w:rPr>
          <w:rFonts w:ascii="Times New Roman" w:hAnsi="Times New Roman"/>
          <w:sz w:val="22"/>
          <w:szCs w:val="24"/>
          <w:lang w:val="sk-SK" w:eastAsia="ja-JP"/>
        </w:rPr>
        <w:t>premennú</w:t>
      </w:r>
      <w:r w:rsidR="004029A3" w:rsidRPr="008242C8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8242C8">
        <w:rPr>
          <w:rFonts w:ascii="Times New Roman" w:hAnsi="Times New Roman"/>
          <w:sz w:val="22"/>
          <w:szCs w:val="24"/>
          <w:lang w:val="sk-SK" w:eastAsia="ja-JP"/>
        </w:rPr>
        <w:t>klírensu</w:t>
      </w:r>
      <w:proofErr w:type="spellEnd"/>
      <w:r w:rsidRPr="008242C8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="000F5085" w:rsidRPr="008242C8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8242C8">
        <w:rPr>
          <w:rFonts w:ascii="Times New Roman" w:hAnsi="Times New Roman"/>
          <w:sz w:val="22"/>
          <w:szCs w:val="24"/>
          <w:lang w:val="sk-SK" w:eastAsia="ja-JP"/>
        </w:rPr>
        <w:t xml:space="preserve"> a výška pacienta bola stanovená </w:t>
      </w:r>
      <w:r w:rsidR="000F5085" w:rsidRPr="008242C8">
        <w:rPr>
          <w:rFonts w:ascii="Times New Roman" w:hAnsi="Times New Roman"/>
          <w:sz w:val="22"/>
          <w:szCs w:val="24"/>
          <w:lang w:val="sk-SK" w:eastAsia="ja-JP"/>
        </w:rPr>
        <w:t>za</w:t>
      </w:r>
      <w:r w:rsidRPr="008242C8">
        <w:rPr>
          <w:rFonts w:ascii="Times New Roman" w:hAnsi="Times New Roman"/>
          <w:sz w:val="22"/>
          <w:szCs w:val="24"/>
          <w:lang w:val="sk-SK" w:eastAsia="ja-JP"/>
        </w:rPr>
        <w:t xml:space="preserve"> štatisticky významn</w:t>
      </w:r>
      <w:r w:rsidR="00C32517" w:rsidRPr="008242C8">
        <w:rPr>
          <w:rFonts w:ascii="Times New Roman" w:hAnsi="Times New Roman"/>
          <w:sz w:val="22"/>
          <w:szCs w:val="24"/>
          <w:lang w:val="sk-SK" w:eastAsia="ja-JP"/>
        </w:rPr>
        <w:t>ú</w:t>
      </w:r>
      <w:r w:rsidRPr="008242C8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="00C34264" w:rsidRPr="008242C8">
        <w:rPr>
          <w:rFonts w:ascii="Times New Roman" w:hAnsi="Times New Roman"/>
          <w:sz w:val="22"/>
          <w:szCs w:val="24"/>
          <w:lang w:val="sk-SK" w:eastAsia="ja-JP"/>
        </w:rPr>
        <w:t>premennú</w:t>
      </w:r>
      <w:r w:rsidRPr="008242C8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8242C8">
        <w:rPr>
          <w:rFonts w:ascii="Times New Roman" w:hAnsi="Times New Roman"/>
          <w:sz w:val="22"/>
          <w:szCs w:val="24"/>
          <w:lang w:val="sk-SK" w:eastAsia="ja-JP"/>
        </w:rPr>
        <w:t>klí</w:t>
      </w:r>
      <w:r>
        <w:rPr>
          <w:rFonts w:ascii="Times New Roman" w:hAnsi="Times New Roman"/>
          <w:sz w:val="22"/>
          <w:szCs w:val="24"/>
          <w:lang w:val="sk-SK" w:eastAsia="ja-JP"/>
        </w:rPr>
        <w:t>rensu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="000F5085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r w:rsidR="00FB0CC7">
        <w:rPr>
          <w:rFonts w:ascii="Times New Roman" w:hAnsi="Times New Roman"/>
          <w:sz w:val="22"/>
          <w:szCs w:val="24"/>
          <w:lang w:val="sk-SK" w:eastAsia="ja-JP"/>
        </w:rPr>
        <w:t xml:space="preserve">distribučného </w:t>
      </w:r>
      <w:r w:rsidR="00796838">
        <w:rPr>
          <w:rFonts w:ascii="Times New Roman" w:hAnsi="Times New Roman"/>
          <w:sz w:val="22"/>
          <w:szCs w:val="24"/>
          <w:lang w:val="sk-SK" w:eastAsia="ja-JP"/>
        </w:rPr>
        <w:t>objemu v </w:t>
      </w:r>
      <w:r>
        <w:rPr>
          <w:rFonts w:ascii="Times New Roman" w:hAnsi="Times New Roman"/>
          <w:sz w:val="22"/>
          <w:szCs w:val="24"/>
          <w:lang w:val="sk-SK" w:eastAsia="ja-JP"/>
        </w:rPr>
        <w:t>rovnovážn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>om stave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a</w:t>
      </w:r>
      <w:r w:rsidR="000F5085">
        <w:rPr>
          <w:rFonts w:ascii="Times New Roman" w:hAnsi="Times New Roman"/>
          <w:sz w:val="22"/>
          <w:szCs w:val="24"/>
          <w:lang w:val="sk-SK" w:eastAsia="ja-JP"/>
        </w:rPr>
        <w:t xml:space="preserve"> objemu 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periférnej </w:t>
      </w:r>
      <w:r w:rsidR="000F5085">
        <w:rPr>
          <w:rFonts w:ascii="Times New Roman" w:hAnsi="Times New Roman"/>
          <w:sz w:val="22"/>
          <w:szCs w:val="24"/>
          <w:lang w:val="sk-SK" w:eastAsia="ja-JP"/>
        </w:rPr>
        <w:t>distribúcie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. Keď boli </w:t>
      </w:r>
      <w:proofErr w:type="spellStart"/>
      <w:r w:rsidR="0025115B">
        <w:rPr>
          <w:rFonts w:ascii="Times New Roman" w:hAnsi="Times New Roman"/>
          <w:sz w:val="22"/>
          <w:szCs w:val="24"/>
          <w:lang w:val="sk-SK" w:eastAsia="ja-JP"/>
        </w:rPr>
        <w:t>CrCL</w:t>
      </w:r>
      <w:proofErr w:type="spellEnd"/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 a výška súčasťou modelu, </w:t>
      </w:r>
      <w:r w:rsidR="003868B5">
        <w:rPr>
          <w:rFonts w:ascii="Times New Roman" w:hAnsi="Times New Roman"/>
          <w:sz w:val="22"/>
          <w:szCs w:val="24"/>
          <w:lang w:val="sk-SK" w:eastAsia="ja-JP"/>
        </w:rPr>
        <w:t xml:space="preserve">boli im pripisované 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zjavné rozdiely vo </w:t>
      </w:r>
      <w:proofErr w:type="spellStart"/>
      <w:r w:rsidR="0025115B">
        <w:rPr>
          <w:rFonts w:ascii="Times New Roman" w:hAnsi="Times New Roman"/>
          <w:sz w:val="22"/>
          <w:szCs w:val="24"/>
          <w:lang w:val="sk-SK" w:eastAsia="ja-JP"/>
        </w:rPr>
        <w:t>farmakokinetike</w:t>
      </w:r>
      <w:proofErr w:type="spellEnd"/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="0025115B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 v rôznych vekových skupinách</w:t>
      </w:r>
      <w:r w:rsidR="002F0D5A">
        <w:rPr>
          <w:rFonts w:ascii="Times New Roman" w:hAnsi="Times New Roman"/>
          <w:sz w:val="22"/>
          <w:szCs w:val="24"/>
          <w:lang w:val="sk-SK" w:eastAsia="ja-JP"/>
        </w:rPr>
        <w:t>,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="003868B5">
        <w:rPr>
          <w:rFonts w:ascii="Times New Roman" w:hAnsi="Times New Roman"/>
          <w:sz w:val="22"/>
          <w:szCs w:val="24"/>
          <w:lang w:val="sk-SK" w:eastAsia="ja-JP"/>
        </w:rPr>
        <w:t xml:space="preserve">a </w:t>
      </w:r>
      <w:r w:rsidR="000F5085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="003868B5">
        <w:rPr>
          <w:rFonts w:ascii="Times New Roman" w:hAnsi="Times New Roman"/>
          <w:sz w:val="22"/>
          <w:szCs w:val="24"/>
          <w:lang w:val="sk-SK" w:eastAsia="ja-JP"/>
        </w:rPr>
        <w:t>ani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 vek, pohlavi</w:t>
      </w:r>
      <w:r w:rsidR="003868B5">
        <w:rPr>
          <w:rFonts w:ascii="Times New Roman" w:hAnsi="Times New Roman"/>
          <w:sz w:val="22"/>
          <w:szCs w:val="24"/>
          <w:lang w:val="sk-SK" w:eastAsia="ja-JP"/>
        </w:rPr>
        <w:t>e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>,</w:t>
      </w:r>
      <w:r w:rsidR="0025115B" w:rsidRPr="0025115B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="003C07FD">
        <w:rPr>
          <w:rFonts w:ascii="Times New Roman" w:hAnsi="Times New Roman"/>
          <w:sz w:val="22"/>
          <w:szCs w:val="24"/>
          <w:lang w:val="sk-SK" w:eastAsia="ja-JP"/>
        </w:rPr>
        <w:t xml:space="preserve">ani typ transplantovaného </w:t>
      </w:r>
      <w:r w:rsidR="00C32517">
        <w:rPr>
          <w:rFonts w:ascii="Times New Roman" w:hAnsi="Times New Roman"/>
          <w:sz w:val="22"/>
          <w:szCs w:val="24"/>
          <w:lang w:val="sk-SK" w:eastAsia="ja-JP"/>
        </w:rPr>
        <w:t>orgá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nu </w:t>
      </w:r>
      <w:r w:rsidR="003868B5">
        <w:rPr>
          <w:rFonts w:ascii="Times New Roman" w:hAnsi="Times New Roman"/>
          <w:sz w:val="22"/>
          <w:szCs w:val="24"/>
          <w:lang w:val="sk-SK" w:eastAsia="ja-JP"/>
        </w:rPr>
        <w:t>neboli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 v</w:t>
      </w:r>
      <w:r w:rsidR="00C32517">
        <w:rPr>
          <w:rFonts w:ascii="Times New Roman" w:hAnsi="Times New Roman"/>
          <w:sz w:val="22"/>
          <w:szCs w:val="24"/>
          <w:lang w:val="sk-SK" w:eastAsia="ja-JP"/>
        </w:rPr>
        <w:t>ýznamnou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="00C34264" w:rsidRPr="008242C8">
        <w:rPr>
          <w:rFonts w:ascii="Times New Roman" w:hAnsi="Times New Roman"/>
          <w:sz w:val="22"/>
          <w:szCs w:val="24"/>
          <w:lang w:val="sk-SK" w:eastAsia="ja-JP"/>
        </w:rPr>
        <w:t>premennou</w:t>
      </w:r>
      <w:r w:rsidR="00C32517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v týchto </w:t>
      </w:r>
      <w:r w:rsidR="00A51AEE">
        <w:rPr>
          <w:rFonts w:ascii="Times New Roman" w:hAnsi="Times New Roman"/>
          <w:sz w:val="22"/>
          <w:szCs w:val="24"/>
          <w:lang w:val="sk-SK" w:eastAsia="ja-JP"/>
        </w:rPr>
        <w:t>populáciách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 pacientov. Tabuľka 1 uvádza odhadované </w:t>
      </w:r>
      <w:proofErr w:type="spellStart"/>
      <w:r w:rsidR="0025115B">
        <w:rPr>
          <w:rFonts w:ascii="Times New Roman" w:hAnsi="Times New Roman"/>
          <w:sz w:val="22"/>
          <w:szCs w:val="24"/>
          <w:lang w:val="sk-SK" w:eastAsia="ja-JP"/>
        </w:rPr>
        <w:t>farmakokinetické</w:t>
      </w:r>
      <w:proofErr w:type="spellEnd"/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 parametre podľa </w:t>
      </w:r>
      <w:r w:rsidR="003C07FD">
        <w:rPr>
          <w:rFonts w:ascii="Times New Roman" w:hAnsi="Times New Roman"/>
          <w:sz w:val="22"/>
          <w:szCs w:val="24"/>
          <w:lang w:val="sk-SK" w:eastAsia="ja-JP"/>
        </w:rPr>
        <w:t xml:space="preserve">vekových 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 xml:space="preserve">skupín </w:t>
      </w:r>
      <w:r w:rsidR="00796838">
        <w:rPr>
          <w:rFonts w:ascii="Times New Roman" w:hAnsi="Times New Roman"/>
          <w:sz w:val="22"/>
          <w:szCs w:val="24"/>
          <w:lang w:val="sk-SK" w:eastAsia="ja-JP"/>
        </w:rPr>
        <w:t>pacientov</w:t>
      </w:r>
      <w:r w:rsidR="0025115B">
        <w:rPr>
          <w:rFonts w:ascii="Times New Roman" w:hAnsi="Times New Roman"/>
          <w:sz w:val="22"/>
          <w:szCs w:val="24"/>
          <w:lang w:val="sk-SK" w:eastAsia="ja-JP"/>
        </w:rPr>
        <w:t>.</w:t>
      </w:r>
    </w:p>
    <w:p w:rsidR="0025115B" w:rsidRDefault="0025115B" w:rsidP="00E36DA0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:rsidR="0025115B" w:rsidRDefault="00C34264" w:rsidP="00E36DA0">
      <w:pPr>
        <w:keepNext/>
        <w:keepLines/>
        <w:rPr>
          <w:rFonts w:ascii="Times New Roman" w:hAnsi="Times New Roman"/>
          <w:b/>
          <w:sz w:val="22"/>
          <w:szCs w:val="24"/>
          <w:lang w:val="sk-SK" w:eastAsia="ja-JP"/>
        </w:rPr>
      </w:pPr>
      <w:r w:rsidRPr="00C34264">
        <w:rPr>
          <w:rFonts w:ascii="Times New Roman" w:hAnsi="Times New Roman"/>
          <w:b/>
          <w:sz w:val="22"/>
          <w:szCs w:val="24"/>
          <w:lang w:val="sk-SK" w:eastAsia="ja-JP"/>
        </w:rPr>
        <w:t>Tabuľka 1</w:t>
      </w:r>
      <w:r w:rsidR="00796838">
        <w:rPr>
          <w:rFonts w:ascii="Times New Roman" w:hAnsi="Times New Roman"/>
          <w:b/>
          <w:sz w:val="22"/>
          <w:szCs w:val="24"/>
          <w:lang w:val="sk-SK" w:eastAsia="ja-JP"/>
        </w:rPr>
        <w:t xml:space="preserve">  </w:t>
      </w:r>
      <w:proofErr w:type="spellStart"/>
      <w:r w:rsidR="00796838">
        <w:rPr>
          <w:rFonts w:ascii="Times New Roman" w:hAnsi="Times New Roman"/>
          <w:b/>
          <w:sz w:val="22"/>
          <w:szCs w:val="24"/>
          <w:lang w:val="sk-SK" w:eastAsia="ja-JP"/>
        </w:rPr>
        <w:t>Farmakokinetické</w:t>
      </w:r>
      <w:proofErr w:type="spellEnd"/>
      <w:r w:rsidR="00796838">
        <w:rPr>
          <w:rFonts w:ascii="Times New Roman" w:hAnsi="Times New Roman"/>
          <w:b/>
          <w:sz w:val="22"/>
          <w:szCs w:val="24"/>
          <w:lang w:val="sk-SK" w:eastAsia="ja-JP"/>
        </w:rPr>
        <w:t xml:space="preserve"> parametre po </w:t>
      </w:r>
      <w:proofErr w:type="spellStart"/>
      <w:r w:rsidR="00796838">
        <w:rPr>
          <w:rFonts w:ascii="Times New Roman" w:hAnsi="Times New Roman"/>
          <w:b/>
          <w:sz w:val="22"/>
          <w:szCs w:val="24"/>
          <w:lang w:val="sk-SK" w:eastAsia="ja-JP"/>
        </w:rPr>
        <w:t>i.v</w:t>
      </w:r>
      <w:proofErr w:type="spellEnd"/>
      <w:r w:rsidR="00796838">
        <w:rPr>
          <w:rFonts w:ascii="Times New Roman" w:hAnsi="Times New Roman"/>
          <w:b/>
          <w:sz w:val="22"/>
          <w:szCs w:val="24"/>
          <w:lang w:val="sk-SK" w:eastAsia="ja-JP"/>
        </w:rPr>
        <w:t xml:space="preserve">. podaní </w:t>
      </w:r>
      <w:proofErr w:type="spellStart"/>
      <w:r w:rsidR="00796838">
        <w:rPr>
          <w:rFonts w:ascii="Times New Roman" w:hAnsi="Times New Roman"/>
          <w:b/>
          <w:sz w:val="22"/>
          <w:szCs w:val="24"/>
          <w:lang w:val="sk-SK" w:eastAsia="ja-JP"/>
        </w:rPr>
        <w:t>gancikloviru</w:t>
      </w:r>
      <w:proofErr w:type="spellEnd"/>
      <w:r w:rsidR="00796838">
        <w:rPr>
          <w:rFonts w:ascii="Times New Roman" w:hAnsi="Times New Roman"/>
          <w:b/>
          <w:sz w:val="22"/>
          <w:szCs w:val="24"/>
          <w:lang w:val="sk-SK" w:eastAsia="ja-JP"/>
        </w:rPr>
        <w:t xml:space="preserve"> podľa BSA (200mg/m</w:t>
      </w:r>
      <w:r w:rsidRPr="00C34264">
        <w:rPr>
          <w:rFonts w:ascii="Times New Roman" w:hAnsi="Times New Roman"/>
          <w:b/>
          <w:sz w:val="22"/>
          <w:szCs w:val="24"/>
          <w:vertAlign w:val="superscript"/>
          <w:lang w:val="sk-SK" w:eastAsia="ja-JP"/>
        </w:rPr>
        <w:t>2</w:t>
      </w:r>
      <w:r w:rsidR="00796838">
        <w:rPr>
          <w:rFonts w:ascii="Times New Roman" w:hAnsi="Times New Roman"/>
          <w:b/>
          <w:sz w:val="22"/>
          <w:szCs w:val="24"/>
          <w:lang w:val="sk-SK" w:eastAsia="ja-JP"/>
        </w:rPr>
        <w:t>) u pacientov s transplantáciou solídnych orgánov obličiek a pečene, vyjadrené mediánom (minimum- maximum).</w:t>
      </w:r>
    </w:p>
    <w:p w:rsidR="00796838" w:rsidRPr="00414973" w:rsidRDefault="00796838" w:rsidP="00796838">
      <w:pPr>
        <w:rPr>
          <w:b/>
          <w:lang w:val="sk-SK"/>
        </w:rPr>
      </w:pPr>
    </w:p>
    <w:tbl>
      <w:tblPr>
        <w:tblW w:w="9147" w:type="dxa"/>
        <w:tblInd w:w="5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6"/>
        <w:gridCol w:w="2340"/>
        <w:gridCol w:w="2340"/>
        <w:gridCol w:w="2341"/>
      </w:tblGrid>
      <w:tr w:rsidR="00796838" w:rsidRPr="00C15E5A" w:rsidTr="003E52EF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96838" w:rsidRPr="00402E19" w:rsidRDefault="00796838" w:rsidP="003E52EF">
            <w:pPr>
              <w:pStyle w:val="TableCell10Left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96838" w:rsidRPr="00F2713F" w:rsidRDefault="00796838" w:rsidP="00F2713F">
            <w:pPr>
              <w:pStyle w:val="TableCell10Center"/>
              <w:rPr>
                <w:rFonts w:ascii="Times New Roman" w:hAnsi="Times New Roman"/>
                <w:sz w:val="22"/>
                <w:lang w:val="sk-SK"/>
              </w:rPr>
            </w:pPr>
            <w:r w:rsidRPr="00AD1612">
              <w:rPr>
                <w:rFonts w:ascii="Times New Roman" w:hAnsi="Times New Roman"/>
                <w:sz w:val="22"/>
              </w:rPr>
              <w:t xml:space="preserve">&lt; 6 </w:t>
            </w:r>
            <w:r w:rsidR="00F2713F">
              <w:rPr>
                <w:rFonts w:ascii="Times New Roman" w:hAnsi="Times New Roman"/>
                <w:sz w:val="22"/>
                <w:lang w:val="sk-SK"/>
              </w:rPr>
              <w:t>rokov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96838" w:rsidRPr="00F2713F" w:rsidRDefault="00796838" w:rsidP="00F2713F">
            <w:pPr>
              <w:pStyle w:val="TableCell10Center"/>
              <w:rPr>
                <w:rFonts w:ascii="Times New Roman" w:hAnsi="Times New Roman"/>
                <w:sz w:val="22"/>
                <w:lang w:val="sk-SK"/>
              </w:rPr>
            </w:pPr>
            <w:r w:rsidRPr="00AD1612">
              <w:rPr>
                <w:rFonts w:ascii="Times New Roman" w:hAnsi="Times New Roman"/>
                <w:sz w:val="22"/>
              </w:rPr>
              <w:t>6</w:t>
            </w:r>
            <w:r w:rsidR="00F2713F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F2713F">
              <w:rPr>
                <w:rFonts w:ascii="Times New Roman" w:hAnsi="Times New Roman"/>
                <w:sz w:val="22"/>
              </w:rPr>
              <w:t>až</w:t>
            </w:r>
            <w:proofErr w:type="spellEnd"/>
            <w:r w:rsidR="00F2713F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F2713F">
              <w:rPr>
                <w:rFonts w:ascii="Times New Roman" w:hAnsi="Times New Roman"/>
                <w:sz w:val="22"/>
              </w:rPr>
              <w:t>menej</w:t>
            </w:r>
            <w:proofErr w:type="spellEnd"/>
            <w:r w:rsidR="00F2713F">
              <w:rPr>
                <w:rFonts w:ascii="Times New Roman" w:hAnsi="Times New Roman"/>
                <w:sz w:val="22"/>
              </w:rPr>
              <w:t xml:space="preserve"> ako</w:t>
            </w:r>
            <w:r w:rsidRPr="00AD1612">
              <w:rPr>
                <w:rFonts w:ascii="Times New Roman" w:hAnsi="Times New Roman"/>
                <w:sz w:val="22"/>
              </w:rPr>
              <w:t xml:space="preserve">12 </w:t>
            </w:r>
            <w:r w:rsidR="00F2713F">
              <w:rPr>
                <w:rFonts w:ascii="Times New Roman" w:hAnsi="Times New Roman"/>
                <w:sz w:val="22"/>
                <w:lang w:val="sk-SK"/>
              </w:rPr>
              <w:t>rokov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838" w:rsidRPr="00F2713F" w:rsidRDefault="00C34264" w:rsidP="00F2713F">
            <w:pPr>
              <w:pStyle w:val="TableCell10Center"/>
              <w:rPr>
                <w:rFonts w:ascii="Times New Roman" w:hAnsi="Times New Roman"/>
                <w:sz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lang w:val="sk-SK"/>
              </w:rPr>
              <w:t>12</w:t>
            </w:r>
            <w:r w:rsidR="003868B5">
              <w:rPr>
                <w:rFonts w:ascii="Times New Roman" w:hAnsi="Times New Roman"/>
                <w:sz w:val="22"/>
                <w:lang w:val="sk-SK"/>
              </w:rPr>
              <w:t xml:space="preserve"> rokov</w:t>
            </w:r>
            <w:r w:rsidRPr="00C34264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  <w:r w:rsidR="00F2713F">
              <w:rPr>
                <w:rFonts w:ascii="Times New Roman" w:hAnsi="Times New Roman"/>
                <w:sz w:val="22"/>
                <w:lang w:val="sk-SK"/>
              </w:rPr>
              <w:t>a</w:t>
            </w:r>
            <w:r w:rsidR="003868B5">
              <w:rPr>
                <w:rFonts w:ascii="Times New Roman" w:hAnsi="Times New Roman"/>
                <w:sz w:val="22"/>
                <w:lang w:val="sk-SK"/>
              </w:rPr>
              <w:t>ž</w:t>
            </w:r>
            <w:r w:rsidR="00F2713F">
              <w:rPr>
                <w:rFonts w:ascii="Times New Roman" w:hAnsi="Times New Roman"/>
                <w:sz w:val="22"/>
                <w:lang w:val="sk-SK"/>
              </w:rPr>
              <w:t xml:space="preserve"> menej ako </w:t>
            </w:r>
            <w:r w:rsidRPr="00C34264">
              <w:rPr>
                <w:rFonts w:ascii="Times New Roman" w:hAnsi="Times New Roman"/>
                <w:sz w:val="22"/>
                <w:lang w:val="sk-SK"/>
              </w:rPr>
              <w:t xml:space="preserve">16 </w:t>
            </w:r>
            <w:r w:rsidR="00F2713F">
              <w:rPr>
                <w:rFonts w:ascii="Times New Roman" w:hAnsi="Times New Roman"/>
                <w:sz w:val="22"/>
                <w:lang w:val="sk-SK"/>
              </w:rPr>
              <w:t>rokov</w:t>
            </w:r>
          </w:p>
        </w:tc>
      </w:tr>
      <w:tr w:rsidR="00796838" w:rsidTr="003E52EF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6838" w:rsidRPr="00402E19" w:rsidRDefault="00796838" w:rsidP="003E52EF">
            <w:pPr>
              <w:pStyle w:val="TableCell10Left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796838" w:rsidRPr="00AD1612" w:rsidRDefault="00796838" w:rsidP="003E52EF">
            <w:pPr>
              <w:pStyle w:val="TableCell10Center"/>
              <w:rPr>
                <w:rFonts w:ascii="Times New Roman" w:hAnsi="Times New Roman"/>
                <w:sz w:val="22"/>
              </w:rPr>
            </w:pPr>
            <w:r w:rsidRPr="00AD1612">
              <w:rPr>
                <w:rFonts w:ascii="Times New Roman" w:hAnsi="Times New Roman"/>
                <w:sz w:val="22"/>
              </w:rPr>
              <w:t>n=17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796838" w:rsidRPr="00AD1612" w:rsidRDefault="00796838" w:rsidP="003E52EF">
            <w:pPr>
              <w:pStyle w:val="TableCell10Center"/>
              <w:rPr>
                <w:rFonts w:ascii="Times New Roman" w:hAnsi="Times New Roman"/>
                <w:sz w:val="22"/>
              </w:rPr>
            </w:pPr>
            <w:r w:rsidRPr="00AD1612">
              <w:rPr>
                <w:rFonts w:ascii="Times New Roman" w:hAnsi="Times New Roman"/>
                <w:sz w:val="22"/>
              </w:rPr>
              <w:t>n=9</w:t>
            </w:r>
          </w:p>
        </w:tc>
        <w:tc>
          <w:tcPr>
            <w:tcW w:w="2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96838" w:rsidRPr="00AD1612" w:rsidRDefault="00796838" w:rsidP="003E52EF">
            <w:pPr>
              <w:pStyle w:val="TableCell10Center"/>
              <w:rPr>
                <w:rFonts w:ascii="Times New Roman" w:hAnsi="Times New Roman"/>
                <w:sz w:val="22"/>
              </w:rPr>
            </w:pPr>
            <w:r w:rsidRPr="00AD1612">
              <w:rPr>
                <w:rFonts w:ascii="Times New Roman" w:hAnsi="Times New Roman"/>
                <w:sz w:val="22"/>
              </w:rPr>
              <w:t>n=17</w:t>
            </w:r>
          </w:p>
        </w:tc>
      </w:tr>
      <w:tr w:rsidR="00796838" w:rsidTr="003E52EF">
        <w:trPr>
          <w:cantSplit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96838" w:rsidRPr="00AD1612" w:rsidRDefault="00F2713F" w:rsidP="003E52EF">
            <w:pPr>
              <w:pStyle w:val="TableCell10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CL(l</w:t>
            </w:r>
            <w:r w:rsidR="00796838" w:rsidRPr="00AD1612">
              <w:rPr>
                <w:rFonts w:ascii="Times New Roman" w:hAnsi="Times New Roman"/>
                <w:sz w:val="22"/>
              </w:rPr>
              <w:t>/h)</w:t>
            </w:r>
          </w:p>
        </w:tc>
        <w:tc>
          <w:tcPr>
            <w:tcW w:w="2340" w:type="dxa"/>
            <w:shd w:val="clear" w:color="auto" w:fill="auto"/>
          </w:tcPr>
          <w:p w:rsidR="00796838" w:rsidRPr="00AD1612" w:rsidRDefault="00F2713F" w:rsidP="003E52EF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4,23 (2,11-7,</w:t>
            </w:r>
            <w:r w:rsidR="00796838" w:rsidRPr="00AD1612">
              <w:rPr>
                <w:rFonts w:ascii="Times New Roman" w:hAnsi="Times New Roman"/>
                <w:sz w:val="22"/>
              </w:rPr>
              <w:t>92)</w:t>
            </w:r>
          </w:p>
        </w:tc>
        <w:tc>
          <w:tcPr>
            <w:tcW w:w="2340" w:type="dxa"/>
            <w:shd w:val="clear" w:color="auto" w:fill="auto"/>
          </w:tcPr>
          <w:p w:rsidR="00796838" w:rsidRPr="00AD1612" w:rsidRDefault="00F2713F" w:rsidP="003E52EF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4,03 (1,88-7,</w:t>
            </w:r>
            <w:r w:rsidR="00796838" w:rsidRPr="00AD1612">
              <w:rPr>
                <w:rFonts w:ascii="Times New Roman" w:hAnsi="Times New Roman"/>
                <w:sz w:val="22"/>
              </w:rPr>
              <w:t>8)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shd w:val="clear" w:color="auto" w:fill="auto"/>
          </w:tcPr>
          <w:p w:rsidR="00796838" w:rsidRPr="00AD1612" w:rsidRDefault="00F2713F" w:rsidP="003E52EF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7,53 (2,89-16,</w:t>
            </w:r>
            <w:r w:rsidR="00796838" w:rsidRPr="00AD1612">
              <w:rPr>
                <w:rFonts w:ascii="Times New Roman" w:hAnsi="Times New Roman"/>
                <w:sz w:val="22"/>
              </w:rPr>
              <w:t>8)</w:t>
            </w:r>
          </w:p>
        </w:tc>
      </w:tr>
      <w:tr w:rsidR="00796838" w:rsidTr="003E52EF">
        <w:trPr>
          <w:cantSplit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96838" w:rsidRPr="00AD1612" w:rsidRDefault="00F2713F" w:rsidP="003E52EF">
            <w:pPr>
              <w:pStyle w:val="TableCell10Left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Vcent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(l</w:t>
            </w:r>
            <w:r w:rsidR="00796838" w:rsidRPr="00AD1612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:rsidR="00796838" w:rsidRPr="00AD1612" w:rsidRDefault="00F2713F" w:rsidP="003E52EF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1,83 (0,45-5,</w:t>
            </w:r>
            <w:r w:rsidR="00796838" w:rsidRPr="00AD1612">
              <w:rPr>
                <w:rFonts w:ascii="Times New Roman" w:hAnsi="Times New Roman"/>
                <w:sz w:val="22"/>
              </w:rPr>
              <w:t>05)</w:t>
            </w:r>
          </w:p>
        </w:tc>
        <w:tc>
          <w:tcPr>
            <w:tcW w:w="2340" w:type="dxa"/>
            <w:shd w:val="clear" w:color="auto" w:fill="auto"/>
          </w:tcPr>
          <w:p w:rsidR="00796838" w:rsidRPr="00AD1612" w:rsidRDefault="00F2713F" w:rsidP="003E52EF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6,48 (3,34-9,</w:t>
            </w:r>
            <w:r w:rsidR="00796838" w:rsidRPr="00AD1612">
              <w:rPr>
                <w:rFonts w:ascii="Times New Roman" w:hAnsi="Times New Roman"/>
                <w:sz w:val="22"/>
              </w:rPr>
              <w:t>95)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shd w:val="clear" w:color="auto" w:fill="auto"/>
          </w:tcPr>
          <w:p w:rsidR="00796838" w:rsidRPr="00AD1612" w:rsidRDefault="00F2713F" w:rsidP="003E52EF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12,1 (3,6-18,</w:t>
            </w:r>
            <w:r w:rsidR="00796838" w:rsidRPr="00AD1612">
              <w:rPr>
                <w:rFonts w:ascii="Times New Roman" w:hAnsi="Times New Roman"/>
                <w:sz w:val="22"/>
              </w:rPr>
              <w:t>4)</w:t>
            </w:r>
          </w:p>
        </w:tc>
      </w:tr>
      <w:tr w:rsidR="00796838" w:rsidTr="003E52EF">
        <w:trPr>
          <w:cantSplit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96838" w:rsidRPr="00AD1612" w:rsidRDefault="00F2713F" w:rsidP="003E52EF">
            <w:pPr>
              <w:pStyle w:val="TableCell10Left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Vperiph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(l</w:t>
            </w:r>
            <w:r w:rsidR="00796838" w:rsidRPr="00AD1612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:rsidR="00796838" w:rsidRPr="00AD1612" w:rsidRDefault="00F2713F" w:rsidP="003E52EF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5,81 (2,9-11,</w:t>
            </w:r>
            <w:r w:rsidR="00796838" w:rsidRPr="00AD1612">
              <w:rPr>
                <w:rFonts w:ascii="Times New Roman" w:hAnsi="Times New Roman"/>
                <w:sz w:val="22"/>
              </w:rPr>
              <w:t>5)</w:t>
            </w:r>
          </w:p>
        </w:tc>
        <w:tc>
          <w:tcPr>
            <w:tcW w:w="2340" w:type="dxa"/>
            <w:shd w:val="clear" w:color="auto" w:fill="auto"/>
          </w:tcPr>
          <w:p w:rsidR="00796838" w:rsidRPr="00AD1612" w:rsidRDefault="00F2713F" w:rsidP="003E52EF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16,4 (11,3-20,</w:t>
            </w:r>
            <w:r w:rsidR="00796838" w:rsidRPr="00AD1612">
              <w:rPr>
                <w:rFonts w:ascii="Times New Roman" w:hAnsi="Times New Roman"/>
                <w:sz w:val="22"/>
              </w:rPr>
              <w:t>1)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shd w:val="clear" w:color="auto" w:fill="auto"/>
          </w:tcPr>
          <w:p w:rsidR="00796838" w:rsidRPr="00AD1612" w:rsidRDefault="00F2713F" w:rsidP="003E52EF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 (10,6-39,</w:t>
            </w:r>
            <w:r w:rsidR="00796838" w:rsidRPr="00AD1612">
              <w:rPr>
                <w:rFonts w:ascii="Times New Roman" w:hAnsi="Times New Roman"/>
                <w:sz w:val="22"/>
              </w:rPr>
              <w:t>3)</w:t>
            </w:r>
          </w:p>
        </w:tc>
      </w:tr>
      <w:tr w:rsidR="00796838" w:rsidTr="003E52EF">
        <w:trPr>
          <w:cantSplit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6838" w:rsidRPr="004A30C1" w:rsidRDefault="00F2713F" w:rsidP="003E52EF">
            <w:pPr>
              <w:pStyle w:val="TableCell10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Vss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(l</w:t>
            </w:r>
            <w:r w:rsidR="00796838" w:rsidRPr="004A30C1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796838" w:rsidRPr="004A30C1" w:rsidRDefault="00796838" w:rsidP="003E52EF">
            <w:pPr>
              <w:pStyle w:val="Paragraph"/>
              <w:rPr>
                <w:rFonts w:ascii="Times New Roman" w:hAnsi="Times New Roman"/>
                <w:sz w:val="22"/>
                <w:szCs w:val="22"/>
              </w:rPr>
            </w:pPr>
            <w:r w:rsidRPr="004A30C1">
              <w:rPr>
                <w:rFonts w:ascii="Times New Roman" w:hAnsi="Times New Roman"/>
                <w:sz w:val="22"/>
                <w:szCs w:val="22"/>
              </w:rPr>
              <w:t>AUC</w:t>
            </w:r>
            <w:r w:rsidRPr="004A30C1">
              <w:rPr>
                <w:rFonts w:ascii="Times New Roman" w:hAnsi="Times New Roman"/>
                <w:sz w:val="22"/>
                <w:szCs w:val="22"/>
                <w:vertAlign w:val="subscript"/>
              </w:rPr>
              <w:t>0-24h</w:t>
            </w:r>
            <w:r w:rsidR="00F2713F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F2713F">
              <w:rPr>
                <w:rFonts w:ascii="Times New Roman" w:hAnsi="Times New Roman"/>
                <w:sz w:val="22"/>
                <w:szCs w:val="22"/>
              </w:rPr>
              <w:t>μg.h</w:t>
            </w:r>
            <w:proofErr w:type="spellEnd"/>
            <w:r w:rsidR="00F2713F">
              <w:rPr>
                <w:rFonts w:ascii="Times New Roman" w:hAnsi="Times New Roman"/>
                <w:sz w:val="22"/>
                <w:szCs w:val="22"/>
              </w:rPr>
              <w:t>/ml</w:t>
            </w:r>
            <w:r w:rsidRPr="004A30C1">
              <w:rPr>
                <w:rFonts w:ascii="Times New Roman" w:hAnsi="Times New Roman"/>
                <w:sz w:val="22"/>
                <w:szCs w:val="22"/>
              </w:rPr>
              <w:t>)</w:t>
            </w:r>
            <w:r w:rsidRPr="004A30C1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r w:rsidR="00F2713F">
              <w:rPr>
                <w:rFonts w:ascii="Times New Roman" w:hAnsi="Times New Roman"/>
                <w:sz w:val="22"/>
                <w:szCs w:val="22"/>
              </w:rPr>
              <w:t>Cmax</w:t>
            </w:r>
            <w:proofErr w:type="spellEnd"/>
            <w:r w:rsidR="00F2713F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F2713F">
              <w:rPr>
                <w:rFonts w:ascii="Times New Roman" w:hAnsi="Times New Roman"/>
                <w:sz w:val="22"/>
                <w:szCs w:val="22"/>
              </w:rPr>
              <w:t>μg</w:t>
            </w:r>
            <w:proofErr w:type="spellEnd"/>
            <w:r w:rsidR="00F2713F">
              <w:rPr>
                <w:rFonts w:ascii="Times New Roman" w:hAnsi="Times New Roman"/>
                <w:sz w:val="22"/>
                <w:szCs w:val="22"/>
              </w:rPr>
              <w:t>/ml</w:t>
            </w:r>
            <w:r w:rsidRPr="004A30C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796838" w:rsidRPr="004A30C1" w:rsidRDefault="00796838" w:rsidP="003E52EF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 w:rsidRPr="004A30C1">
              <w:rPr>
                <w:rFonts w:ascii="Times New Roman" w:hAnsi="Times New Roman"/>
                <w:sz w:val="22"/>
                <w:szCs w:val="22"/>
              </w:rPr>
              <w:t>8</w:t>
            </w:r>
            <w:r w:rsidR="00F2713F">
              <w:rPr>
                <w:rFonts w:ascii="Times New Roman" w:hAnsi="Times New Roman"/>
                <w:sz w:val="22"/>
                <w:szCs w:val="22"/>
              </w:rPr>
              <w:t>,06 (3,35-16,</w:t>
            </w:r>
            <w:r w:rsidRPr="004A30C1">
              <w:rPr>
                <w:rFonts w:ascii="Times New Roman" w:hAnsi="Times New Roman"/>
                <w:sz w:val="22"/>
                <w:szCs w:val="22"/>
              </w:rPr>
              <w:t>6)</w:t>
            </w:r>
          </w:p>
          <w:p w:rsidR="00796838" w:rsidRPr="004A30C1" w:rsidRDefault="00F2713F" w:rsidP="003E52EF">
            <w:pPr>
              <w:pStyle w:val="TableCell10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24,3 (14,1-38,</w:t>
            </w:r>
            <w:r w:rsidR="00796838" w:rsidRPr="004A30C1">
              <w:rPr>
                <w:rFonts w:ascii="Times New Roman" w:hAnsi="Times New Roman"/>
                <w:sz w:val="22"/>
                <w:szCs w:val="22"/>
                <w:lang w:val="en-GB"/>
              </w:rPr>
              <w:t>9)</w:t>
            </w:r>
          </w:p>
          <w:p w:rsidR="00796838" w:rsidRPr="004A30C1" w:rsidRDefault="00F2713F" w:rsidP="003E52EF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12,1 (9,</w:t>
            </w:r>
            <w:r w:rsidR="00796838" w:rsidRPr="004A30C1">
              <w:rPr>
                <w:rFonts w:ascii="Times New Roman" w:hAnsi="Times New Roman"/>
                <w:sz w:val="22"/>
                <w:szCs w:val="22"/>
              </w:rPr>
              <w:t>17-15)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796838" w:rsidRPr="00A11CC4" w:rsidRDefault="00F2713F" w:rsidP="003E52EF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 w:rsidRPr="00A11CC4">
              <w:rPr>
                <w:rFonts w:ascii="Times New Roman" w:hAnsi="Times New Roman"/>
                <w:sz w:val="22"/>
                <w:szCs w:val="22"/>
              </w:rPr>
              <w:t>22,1 (14,6-30,</w:t>
            </w:r>
            <w:r w:rsidR="00796838" w:rsidRPr="00A11CC4">
              <w:rPr>
                <w:rFonts w:ascii="Times New Roman" w:hAnsi="Times New Roman"/>
                <w:sz w:val="22"/>
                <w:szCs w:val="22"/>
              </w:rPr>
              <w:t>1)</w:t>
            </w:r>
          </w:p>
          <w:p w:rsidR="00796838" w:rsidRPr="00A11CC4" w:rsidRDefault="00C34264" w:rsidP="003E52EF">
            <w:pPr>
              <w:pStyle w:val="TableCell10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en-GB"/>
              </w:rPr>
              <w:t>40,4 (17,7-48,6)</w:t>
            </w:r>
          </w:p>
          <w:p w:rsidR="00796838" w:rsidRPr="00A11CC4" w:rsidRDefault="00F2713F" w:rsidP="003E52EF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 w:rsidRPr="00A11CC4">
              <w:rPr>
                <w:rFonts w:ascii="Times New Roman" w:hAnsi="Times New Roman"/>
                <w:sz w:val="22"/>
                <w:szCs w:val="22"/>
              </w:rPr>
              <w:t>13,3 (4,</w:t>
            </w:r>
            <w:r w:rsidR="00796838" w:rsidRPr="00A11CC4">
              <w:rPr>
                <w:rFonts w:ascii="Times New Roman" w:hAnsi="Times New Roman"/>
                <w:sz w:val="22"/>
                <w:szCs w:val="22"/>
              </w:rPr>
              <w:t>73-15)</w:t>
            </w:r>
          </w:p>
        </w:tc>
        <w:tc>
          <w:tcPr>
            <w:tcW w:w="2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38" w:rsidRPr="00A11CC4" w:rsidRDefault="00F2713F" w:rsidP="003E52EF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 w:rsidRPr="00A11CC4">
              <w:rPr>
                <w:rFonts w:ascii="Times New Roman" w:hAnsi="Times New Roman"/>
                <w:sz w:val="22"/>
                <w:szCs w:val="22"/>
              </w:rPr>
              <w:t>37,9 (16,5-57,</w:t>
            </w:r>
            <w:r w:rsidR="00796838" w:rsidRPr="00A11CC4">
              <w:rPr>
                <w:rFonts w:ascii="Times New Roman" w:hAnsi="Times New Roman"/>
                <w:sz w:val="22"/>
                <w:szCs w:val="22"/>
              </w:rPr>
              <w:t>2)</w:t>
            </w:r>
          </w:p>
          <w:p w:rsidR="00796838" w:rsidRPr="00A11CC4" w:rsidRDefault="00C34264" w:rsidP="003E52EF">
            <w:pPr>
              <w:pStyle w:val="TableCell10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en-GB"/>
              </w:rPr>
              <w:t>37,6 (19,2-80,2)</w:t>
            </w:r>
          </w:p>
          <w:p w:rsidR="00796838" w:rsidRPr="00A11CC4" w:rsidRDefault="00F2713F" w:rsidP="003E52EF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 w:rsidRPr="00A11CC4">
              <w:rPr>
                <w:rFonts w:ascii="Times New Roman" w:hAnsi="Times New Roman"/>
                <w:sz w:val="22"/>
                <w:szCs w:val="22"/>
              </w:rPr>
              <w:t>12,4 (4,57-30,</w:t>
            </w:r>
            <w:r w:rsidR="00796838" w:rsidRPr="00A11CC4">
              <w:rPr>
                <w:rFonts w:ascii="Times New Roman" w:hAnsi="Times New Roman"/>
                <w:sz w:val="22"/>
                <w:szCs w:val="22"/>
              </w:rPr>
              <w:t>8)</w:t>
            </w:r>
          </w:p>
        </w:tc>
      </w:tr>
    </w:tbl>
    <w:p w:rsidR="0010462A" w:rsidRPr="00D327B4" w:rsidRDefault="0010462A" w:rsidP="0010462A">
      <w:pPr>
        <w:rPr>
          <w:rFonts w:ascii="Times New Roman" w:hAnsi="Times New Roman"/>
          <w:iCs/>
          <w:sz w:val="22"/>
          <w:szCs w:val="24"/>
          <w:lang w:val="sk-SK" w:eastAsia="ja-JP"/>
        </w:rPr>
      </w:pPr>
    </w:p>
    <w:p w:rsidR="000B6F07" w:rsidRPr="000B6F07" w:rsidRDefault="0072363B" w:rsidP="000B6F07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Okrem toho </w:t>
      </w:r>
      <w:proofErr w:type="spellStart"/>
      <w:r>
        <w:rPr>
          <w:rFonts w:ascii="Times New Roman" w:hAnsi="Times New Roman"/>
          <w:iCs/>
          <w:sz w:val="22"/>
          <w:szCs w:val="24"/>
          <w:lang w:val="sk-SK" w:eastAsia="ja-JP"/>
        </w:rPr>
        <w:t>f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armakokinetika</w:t>
      </w:r>
      <w:proofErr w:type="spellEnd"/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intravenózne podaného </w:t>
      </w:r>
      <w:proofErr w:type="spellStart"/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, podľa dávkovacieho režimu schváleného pre dospelých pacientov </w:t>
      </w:r>
      <w:r w:rsidR="00C34264" w:rsidRPr="00C34264">
        <w:rPr>
          <w:rFonts w:ascii="Times New Roman" w:eastAsia="Arial Unicode MS" w:hAnsi="Times New Roman"/>
          <w:sz w:val="22"/>
          <w:lang w:val="sk-SK" w:eastAsia="ja-JP"/>
        </w:rPr>
        <w:t xml:space="preserve">(5mg/kg </w:t>
      </w:r>
      <w:proofErr w:type="spellStart"/>
      <w:r w:rsidR="00C34264" w:rsidRPr="00C34264">
        <w:rPr>
          <w:rFonts w:ascii="Times New Roman" w:eastAsia="Arial Unicode MS" w:hAnsi="Times New Roman"/>
          <w:sz w:val="22"/>
          <w:lang w:val="sk-SK" w:eastAsia="ja-JP"/>
        </w:rPr>
        <w:t>i.v</w:t>
      </w:r>
      <w:proofErr w:type="spellEnd"/>
      <w:r w:rsidR="00C34264" w:rsidRPr="00C34264">
        <w:rPr>
          <w:rFonts w:ascii="Times New Roman" w:eastAsia="Arial Unicode MS" w:hAnsi="Times New Roman"/>
          <w:sz w:val="22"/>
          <w:lang w:val="sk-SK" w:eastAsia="ja-JP"/>
        </w:rPr>
        <w:t>.</w:t>
      </w:r>
      <w:r>
        <w:rPr>
          <w:rFonts w:ascii="Times New Roman" w:eastAsia="Arial Unicode MS" w:hAnsi="Times New Roman"/>
          <w:sz w:val="22"/>
          <w:lang w:val="sk-SK" w:eastAsia="ja-JP"/>
        </w:rPr>
        <w:t xml:space="preserve"> </w:t>
      </w:r>
      <w:r w:rsidR="005248A3">
        <w:rPr>
          <w:rFonts w:ascii="Times New Roman" w:eastAsia="Arial Unicode MS" w:hAnsi="Times New Roman"/>
          <w:sz w:val="22"/>
          <w:lang w:val="sk-SK" w:eastAsia="ja-JP"/>
        </w:rPr>
        <w:t xml:space="preserve">infúzia </w:t>
      </w:r>
      <w:r>
        <w:rPr>
          <w:rFonts w:ascii="Times New Roman" w:eastAsia="Arial Unicode MS" w:hAnsi="Times New Roman"/>
          <w:sz w:val="22"/>
          <w:lang w:val="sk-SK" w:eastAsia="ja-JP"/>
        </w:rPr>
        <w:t>po</w:t>
      </w:r>
      <w:r w:rsidR="005248A3">
        <w:rPr>
          <w:rFonts w:ascii="Times New Roman" w:eastAsia="Arial Unicode MS" w:hAnsi="Times New Roman"/>
          <w:sz w:val="22"/>
          <w:lang w:val="sk-SK" w:eastAsia="ja-JP"/>
        </w:rPr>
        <w:t xml:space="preserve">daná v trvaní viac ako </w:t>
      </w:r>
      <w:r w:rsidR="00C34264" w:rsidRPr="00C34264">
        <w:rPr>
          <w:rFonts w:ascii="Times New Roman" w:eastAsia="Arial Unicode MS" w:hAnsi="Times New Roman"/>
          <w:sz w:val="22"/>
          <w:lang w:val="sk-SK" w:eastAsia="ja-JP"/>
        </w:rPr>
        <w:t>1 ho</w:t>
      </w:r>
      <w:r w:rsidR="005248A3">
        <w:rPr>
          <w:rFonts w:ascii="Times New Roman" w:eastAsia="Arial Unicode MS" w:hAnsi="Times New Roman"/>
          <w:sz w:val="22"/>
          <w:lang w:val="sk-SK" w:eastAsia="ja-JP"/>
        </w:rPr>
        <w:t>din</w:t>
      </w:r>
      <w:r w:rsidR="000B6F07">
        <w:rPr>
          <w:rFonts w:ascii="Times New Roman" w:eastAsia="Arial Unicode MS" w:hAnsi="Times New Roman"/>
          <w:sz w:val="22"/>
          <w:lang w:val="sk-SK" w:eastAsia="ja-JP"/>
        </w:rPr>
        <w:t>u</w:t>
      </w:r>
      <w:r w:rsidR="00C34264" w:rsidRPr="00C34264">
        <w:rPr>
          <w:rFonts w:ascii="Times New Roman" w:eastAsia="Arial Unicode MS" w:hAnsi="Times New Roman"/>
          <w:sz w:val="22"/>
          <w:lang w:val="sk-SK" w:eastAsia="ja-JP"/>
        </w:rPr>
        <w:t>)</w:t>
      </w:r>
      <w:r w:rsidR="00C34264" w:rsidRPr="00C34264"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 xml:space="preserve"> 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sa skúmala </w:t>
      </w:r>
      <w:r w:rsidR="005248A3">
        <w:rPr>
          <w:rFonts w:ascii="Times New Roman" w:hAnsi="Times New Roman"/>
          <w:iCs/>
          <w:sz w:val="22"/>
          <w:szCs w:val="24"/>
          <w:lang w:val="sk-SK" w:eastAsia="ja-JP"/>
        </w:rPr>
        <w:t xml:space="preserve">v malých skupinách 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dojčiat a detí s normálnou funkciou obličiek vo veku od</w:t>
      </w:r>
      <w:r w:rsidR="0010462A">
        <w:rPr>
          <w:rFonts w:ascii="Times New Roman" w:hAnsi="Times New Roman"/>
          <w:sz w:val="22"/>
          <w:szCs w:val="24"/>
          <w:lang w:val="sk-SK" w:eastAsia="ja-JP"/>
        </w:rPr>
        <w:t>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9</w:t>
      </w:r>
      <w:r w:rsidR="0010462A">
        <w:rPr>
          <w:rFonts w:ascii="Times New Roman" w:hAnsi="Times New Roman"/>
          <w:sz w:val="22"/>
          <w:szCs w:val="24"/>
          <w:lang w:val="sk-SK" w:eastAsia="ja-JP"/>
        </w:rPr>
        <w:t>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mesiacov do</w:t>
      </w:r>
      <w:r w:rsidR="0010462A">
        <w:rPr>
          <w:rFonts w:ascii="Times New Roman" w:hAnsi="Times New Roman"/>
          <w:sz w:val="22"/>
          <w:szCs w:val="24"/>
          <w:lang w:val="sk-SK" w:eastAsia="ja-JP"/>
        </w:rPr>
        <w:t>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12</w:t>
      </w:r>
      <w:r w:rsidR="0010462A">
        <w:rPr>
          <w:rFonts w:ascii="Times New Roman" w:hAnsi="Times New Roman"/>
          <w:sz w:val="22"/>
          <w:szCs w:val="24"/>
          <w:lang w:val="sk-SK" w:eastAsia="ja-JP"/>
        </w:rPr>
        <w:t>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rokov</w:t>
      </w:r>
      <w:r w:rsidR="005248A3">
        <w:rPr>
          <w:rFonts w:ascii="Times New Roman" w:hAnsi="Times New Roman"/>
          <w:iCs/>
          <w:sz w:val="22"/>
          <w:szCs w:val="24"/>
          <w:lang w:val="sk-SK" w:eastAsia="ja-JP"/>
        </w:rPr>
        <w:t xml:space="preserve"> (n= 10; priemerný vek 3,1 roka)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.</w:t>
      </w:r>
      <w:r w:rsidR="0010462A">
        <w:rPr>
          <w:rFonts w:ascii="Times New Roman" w:hAnsi="Times New Roman"/>
          <w:iCs/>
          <w:sz w:val="22"/>
          <w:szCs w:val="24"/>
          <w:lang w:val="sk-SK" w:eastAsia="ja-JP"/>
        </w:rPr>
        <w:t xml:space="preserve"> </w:t>
      </w:r>
      <w:r w:rsidR="0010462A" w:rsidRPr="00D327B4">
        <w:rPr>
          <w:rFonts w:ascii="Times New Roman" w:hAnsi="Times New Roman"/>
          <w:sz w:val="22"/>
          <w:szCs w:val="24"/>
          <w:lang w:val="sk-SK" w:eastAsia="ja-JP"/>
        </w:rPr>
        <w:t xml:space="preserve">Expozícia meraná priemerným 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AUC</w:t>
      </w:r>
      <w:r w:rsidR="0010462A"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t>0</w:t>
      </w:r>
      <w:r w:rsidR="0010462A"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sym w:font="Symbol" w:char="F02D"/>
      </w:r>
      <w:r w:rsidR="0010462A"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t>∞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bola v</w:t>
      </w:r>
      <w:r w:rsidR="0010462A">
        <w:rPr>
          <w:rFonts w:ascii="Times New Roman" w:hAnsi="Times New Roman"/>
          <w:sz w:val="22"/>
          <w:szCs w:val="24"/>
          <w:lang w:val="sk-SK" w:eastAsia="ja-JP"/>
        </w:rPr>
        <w:t>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1.</w:t>
      </w:r>
      <w:r w:rsidR="0010462A">
        <w:rPr>
          <w:rFonts w:ascii="Times New Roman" w:hAnsi="Times New Roman"/>
          <w:sz w:val="22"/>
          <w:szCs w:val="24"/>
          <w:lang w:val="sk-SK" w:eastAsia="ja-JP"/>
        </w:rPr>
        <w:t>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deň </w:t>
      </w:r>
      <w:r w:rsidR="005248A3">
        <w:rPr>
          <w:rFonts w:ascii="Times New Roman" w:hAnsi="Times New Roman"/>
          <w:iCs/>
          <w:sz w:val="22"/>
          <w:szCs w:val="24"/>
          <w:lang w:val="sk-SK" w:eastAsia="ja-JP"/>
        </w:rPr>
        <w:t xml:space="preserve">(n=10) </w:t>
      </w:r>
      <w:r w:rsidR="00820DF8" w:rsidRPr="00D327B4">
        <w:rPr>
          <w:rFonts w:ascii="Times New Roman" w:hAnsi="Times New Roman"/>
          <w:iCs/>
          <w:sz w:val="22"/>
          <w:szCs w:val="24"/>
          <w:lang w:val="sk-SK" w:eastAsia="ja-JP"/>
        </w:rPr>
        <w:t>19,4 </w:t>
      </w:r>
      <w:r w:rsidR="00820DF8"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="00820DF8" w:rsidRPr="00D327B4">
        <w:rPr>
          <w:rFonts w:ascii="Times New Roman" w:hAnsi="Times New Roman"/>
          <w:iCs/>
          <w:sz w:val="22"/>
          <w:szCs w:val="24"/>
          <w:lang w:val="sk-SK" w:eastAsia="ja-JP"/>
        </w:rPr>
        <w:t> 7,1</w:t>
      </w:r>
      <w:r w:rsidR="00820DF8">
        <w:rPr>
          <w:rFonts w:ascii="Times New Roman" w:hAnsi="Times New Roman"/>
          <w:iCs/>
          <w:sz w:val="22"/>
          <w:szCs w:val="24"/>
          <w:lang w:val="sk-SK" w:eastAsia="ja-JP"/>
        </w:rPr>
        <w:t xml:space="preserve"> </w:t>
      </w:r>
      <w:r w:rsidR="005248A3">
        <w:rPr>
          <w:rFonts w:ascii="Times New Roman" w:hAnsi="Times New Roman"/>
          <w:iCs/>
          <w:sz w:val="22"/>
          <w:szCs w:val="24"/>
          <w:lang w:val="sk-SK" w:eastAsia="ja-JP"/>
        </w:rPr>
        <w:t>a </w:t>
      </w:r>
      <w:r w:rsidR="00C34264" w:rsidRPr="00C34264">
        <w:rPr>
          <w:rFonts w:ascii="Times New Roman" w:hAnsi="Times New Roman"/>
          <w:sz w:val="22"/>
          <w:lang w:val="sk-SK" w:eastAsia="ja-JP"/>
        </w:rPr>
        <w:t>AUC</w:t>
      </w:r>
      <w:r w:rsidR="00C34264" w:rsidRPr="00C34264">
        <w:rPr>
          <w:rFonts w:ascii="Times New Roman" w:hAnsi="Times New Roman"/>
          <w:sz w:val="22"/>
          <w:vertAlign w:val="subscript"/>
          <w:lang w:val="sk-SK" w:eastAsia="ja-JP"/>
        </w:rPr>
        <w:t>0-</w:t>
      </w:r>
      <w:r w:rsidR="00820DF8">
        <w:rPr>
          <w:rFonts w:ascii="Times New Roman" w:hAnsi="Times New Roman"/>
          <w:sz w:val="22"/>
          <w:szCs w:val="24"/>
          <w:lang w:val="sk-SK" w:eastAsia="ja-JP"/>
        </w:rPr>
        <w:t> </w:t>
      </w:r>
      <w:r w:rsidR="00C34264" w:rsidRPr="00C34264">
        <w:rPr>
          <w:rFonts w:ascii="Times New Roman" w:hAnsi="Times New Roman"/>
          <w:sz w:val="22"/>
          <w:vertAlign w:val="subscript"/>
          <w:lang w:val="sk-SK" w:eastAsia="ja-JP"/>
        </w:rPr>
        <w:t>12</w:t>
      </w:r>
      <w:r w:rsidR="00C34264" w:rsidRPr="00C34264">
        <w:rPr>
          <w:rFonts w:ascii="Times New Roman" w:hAnsi="Times New Roman"/>
          <w:sz w:val="22"/>
          <w:lang w:val="sk-SK" w:eastAsia="ja-JP"/>
        </w:rPr>
        <w:t xml:space="preserve"> 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v</w:t>
      </w:r>
      <w:r w:rsidR="0010462A">
        <w:rPr>
          <w:rFonts w:ascii="Times New Roman" w:hAnsi="Times New Roman"/>
          <w:sz w:val="22"/>
          <w:szCs w:val="24"/>
          <w:lang w:val="sk-SK" w:eastAsia="ja-JP"/>
        </w:rPr>
        <w:t>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14.</w:t>
      </w:r>
      <w:r w:rsidR="0010462A">
        <w:rPr>
          <w:rFonts w:ascii="Times New Roman" w:hAnsi="Times New Roman"/>
          <w:sz w:val="22"/>
          <w:szCs w:val="24"/>
          <w:lang w:val="sk-SK" w:eastAsia="ja-JP"/>
        </w:rPr>
        <w:t>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deň </w:t>
      </w:r>
      <w:r w:rsidR="00820DF8">
        <w:rPr>
          <w:rFonts w:ascii="Times New Roman" w:hAnsi="Times New Roman"/>
          <w:sz w:val="22"/>
          <w:lang w:val="sk-SK" w:eastAsia="ja-JP"/>
        </w:rPr>
        <w:t xml:space="preserve">(n=7) 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24,1 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 14,6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proofErr w:type="spellStart"/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g.h</w:t>
      </w:r>
      <w:proofErr w:type="spellEnd"/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/ml, hodnoty zodpovedajúceho </w:t>
      </w:r>
      <w:proofErr w:type="spellStart"/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C</w:t>
      </w:r>
      <w:r w:rsidR="0010462A"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t>max</w:t>
      </w:r>
      <w:proofErr w:type="spellEnd"/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boli 7,59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 3,21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g/ml (1.</w:t>
      </w:r>
      <w:r w:rsidR="0010462A">
        <w:rPr>
          <w:rFonts w:ascii="Times New Roman" w:hAnsi="Times New Roman"/>
          <w:sz w:val="22"/>
          <w:szCs w:val="24"/>
          <w:lang w:val="sk-SK" w:eastAsia="ja-JP"/>
        </w:rPr>
        <w:t>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deň) a 8,31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 4,9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>g/ml (14.</w:t>
      </w:r>
      <w:r w:rsidR="0010462A">
        <w:rPr>
          <w:rFonts w:ascii="Times New Roman" w:hAnsi="Times New Roman"/>
          <w:sz w:val="22"/>
          <w:szCs w:val="24"/>
          <w:lang w:val="sk-SK" w:eastAsia="ja-JP"/>
        </w:rPr>
        <w:t> </w:t>
      </w:r>
      <w:r w:rsidR="0010462A"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deň). </w:t>
      </w:r>
      <w:r w:rsidR="000B6F07">
        <w:rPr>
          <w:rFonts w:ascii="Times New Roman" w:hAnsi="Times New Roman"/>
          <w:sz w:val="22"/>
          <w:szCs w:val="24"/>
          <w:lang w:val="sk-SK" w:eastAsia="ja-JP"/>
        </w:rPr>
        <w:t xml:space="preserve">V tejto štúdii </w:t>
      </w:r>
      <w:r w:rsidR="00714C38">
        <w:rPr>
          <w:rFonts w:ascii="Times New Roman" w:hAnsi="Times New Roman"/>
          <w:sz w:val="22"/>
          <w:szCs w:val="24"/>
          <w:lang w:val="sk-SK" w:eastAsia="ja-JP"/>
        </w:rPr>
        <w:t xml:space="preserve">bola </w:t>
      </w:r>
      <w:r w:rsidR="00AE7DA4">
        <w:rPr>
          <w:rFonts w:ascii="Times New Roman" w:hAnsi="Times New Roman"/>
          <w:sz w:val="22"/>
          <w:szCs w:val="24"/>
          <w:lang w:val="sk-SK" w:eastAsia="ja-JP"/>
        </w:rPr>
        <w:t xml:space="preserve">pri dávkovaní odvodenom od telesnej hmotnosti </w:t>
      </w:r>
      <w:r w:rsidR="000B6F07">
        <w:rPr>
          <w:rFonts w:ascii="Times New Roman" w:hAnsi="Times New Roman"/>
          <w:sz w:val="22"/>
          <w:szCs w:val="24"/>
          <w:lang w:val="sk-SK" w:eastAsia="ja-JP"/>
        </w:rPr>
        <w:t xml:space="preserve">pozorovaná tendencia poklesu smerom k nižším expozíciám </w:t>
      </w:r>
      <w:r w:rsidR="00AE7DA4">
        <w:rPr>
          <w:rFonts w:ascii="Times New Roman" w:hAnsi="Times New Roman"/>
          <w:sz w:val="22"/>
          <w:szCs w:val="24"/>
          <w:lang w:val="sk-SK" w:eastAsia="ja-JP"/>
        </w:rPr>
        <w:t>v</w:t>
      </w:r>
      <w:r w:rsidR="000B6F07">
        <w:rPr>
          <w:rFonts w:ascii="Times New Roman" w:hAnsi="Times New Roman"/>
          <w:sz w:val="22"/>
          <w:szCs w:val="24"/>
          <w:lang w:val="sk-SK" w:eastAsia="ja-JP"/>
        </w:rPr>
        <w:t xml:space="preserve"> mladšej </w:t>
      </w:r>
      <w:r w:rsidR="00AE7DA4">
        <w:rPr>
          <w:rFonts w:ascii="Times New Roman" w:hAnsi="Times New Roman"/>
          <w:sz w:val="22"/>
          <w:szCs w:val="24"/>
          <w:lang w:val="sk-SK" w:eastAsia="ja-JP"/>
        </w:rPr>
        <w:t>pediatrickej populácii.</w:t>
      </w:r>
      <w:r w:rsidR="000B6F07">
        <w:rPr>
          <w:rFonts w:ascii="Times New Roman" w:hAnsi="Times New Roman"/>
          <w:sz w:val="22"/>
          <w:szCs w:val="24"/>
          <w:lang w:val="sk-SK" w:eastAsia="ja-JP"/>
        </w:rPr>
        <w:t xml:space="preserve"> U pediatrických pacientov vo veku do 5 rokov bola priemerná hodnota </w:t>
      </w:r>
      <w:r w:rsidR="00C34264" w:rsidRPr="00C34264">
        <w:rPr>
          <w:rFonts w:ascii="Times New Roman" w:hAnsi="Times New Roman"/>
          <w:sz w:val="22"/>
          <w:szCs w:val="24"/>
          <w:lang w:val="sk-SK" w:eastAsia="ja-JP"/>
        </w:rPr>
        <w:t>AUC</w:t>
      </w:r>
      <w:r w:rsidR="00C34264" w:rsidRPr="00C34264">
        <w:rPr>
          <w:rFonts w:ascii="Times New Roman" w:hAnsi="Times New Roman"/>
          <w:sz w:val="22"/>
          <w:szCs w:val="24"/>
          <w:vertAlign w:val="subscript"/>
          <w:lang w:val="sk-SK" w:eastAsia="ja-JP"/>
        </w:rPr>
        <w:t>0-∞</w:t>
      </w:r>
      <w:r w:rsidR="00C34264" w:rsidRPr="00C34264">
        <w:rPr>
          <w:rFonts w:ascii="Times New Roman" w:hAnsi="Times New Roman"/>
          <w:sz w:val="22"/>
          <w:szCs w:val="24"/>
          <w:lang w:val="sk-SK" w:eastAsia="ja-JP"/>
        </w:rPr>
        <w:t xml:space="preserve"> v</w:t>
      </w:r>
      <w:r w:rsidR="000B6F07">
        <w:rPr>
          <w:rFonts w:ascii="Times New Roman" w:hAnsi="Times New Roman"/>
          <w:sz w:val="22"/>
          <w:szCs w:val="24"/>
          <w:lang w:val="sk-SK" w:eastAsia="ja-JP"/>
        </w:rPr>
        <w:t> 1.</w:t>
      </w:r>
      <w:r w:rsidR="000B6F07" w:rsidRPr="000B6F07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="000B6F07">
        <w:rPr>
          <w:rFonts w:ascii="Times New Roman" w:hAnsi="Times New Roman"/>
          <w:sz w:val="22"/>
          <w:szCs w:val="24"/>
          <w:lang w:val="sk-SK" w:eastAsia="ja-JP"/>
        </w:rPr>
        <w:t> deň</w:t>
      </w:r>
      <w:r w:rsidR="00AE7DA4" w:rsidRPr="00AE7DA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="00C34264" w:rsidRPr="00C34264">
        <w:rPr>
          <w:rFonts w:ascii="Times New Roman" w:hAnsi="Times New Roman"/>
          <w:sz w:val="22"/>
          <w:szCs w:val="24"/>
          <w:lang w:val="sk-SK" w:eastAsia="ja-JP"/>
        </w:rPr>
        <w:t xml:space="preserve">(n=7) </w:t>
      </w:r>
      <w:r w:rsidR="000B6F07">
        <w:rPr>
          <w:rFonts w:ascii="Times New Roman" w:hAnsi="Times New Roman"/>
          <w:sz w:val="22"/>
          <w:szCs w:val="24"/>
          <w:lang w:val="sk-SK" w:eastAsia="ja-JP"/>
        </w:rPr>
        <w:t>17,7 ± 5,</w:t>
      </w:r>
      <w:r w:rsidR="000B6F07" w:rsidRPr="00016467">
        <w:rPr>
          <w:rFonts w:ascii="Times New Roman" w:hAnsi="Times New Roman"/>
          <w:sz w:val="22"/>
          <w:szCs w:val="24"/>
          <w:lang w:val="sk-SK" w:eastAsia="ja-JP"/>
        </w:rPr>
        <w:t xml:space="preserve">5 </w:t>
      </w:r>
      <w:r w:rsidR="000B6F07" w:rsidRPr="000B6F07">
        <w:rPr>
          <w:rFonts w:ascii="Times New Roman" w:hAnsi="Times New Roman"/>
          <w:sz w:val="22"/>
          <w:szCs w:val="24"/>
          <w:lang w:val="sk-SK" w:eastAsia="ja-JP"/>
        </w:rPr>
        <w:t>a</w:t>
      </w:r>
      <w:r w:rsidR="00C34264" w:rsidRPr="00C34264">
        <w:rPr>
          <w:rFonts w:ascii="Times New Roman" w:hAnsi="Times New Roman"/>
          <w:sz w:val="22"/>
          <w:szCs w:val="24"/>
          <w:lang w:val="sk-SK" w:eastAsia="ja-JP"/>
        </w:rPr>
        <w:t xml:space="preserve"> AUC</w:t>
      </w:r>
      <w:r w:rsidR="00C34264" w:rsidRPr="00C34264">
        <w:rPr>
          <w:rFonts w:ascii="Times New Roman" w:hAnsi="Times New Roman"/>
          <w:sz w:val="22"/>
          <w:szCs w:val="24"/>
          <w:vertAlign w:val="subscript"/>
          <w:lang w:val="sk-SK" w:eastAsia="ja-JP"/>
        </w:rPr>
        <w:t>0-12h</w:t>
      </w:r>
      <w:r w:rsidR="00C34264" w:rsidRPr="00C3426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="000B6F07">
        <w:rPr>
          <w:rFonts w:ascii="Times New Roman" w:hAnsi="Times New Roman"/>
          <w:sz w:val="22"/>
          <w:szCs w:val="24"/>
          <w:lang w:val="sk-SK" w:eastAsia="ja-JP"/>
        </w:rPr>
        <w:t>v 14.</w:t>
      </w:r>
      <w:r w:rsidR="000B6F07" w:rsidRPr="000B6F07">
        <w:rPr>
          <w:rFonts w:ascii="Times New Roman" w:hAnsi="Times New Roman"/>
          <w:sz w:val="22"/>
          <w:szCs w:val="24"/>
          <w:lang w:val="sk-SK" w:eastAsia="ja-JP"/>
        </w:rPr>
        <w:t xml:space="preserve"> deň</w:t>
      </w:r>
      <w:r w:rsidR="00C34264" w:rsidRPr="00C34264">
        <w:rPr>
          <w:rFonts w:ascii="Times New Roman" w:hAnsi="Times New Roman"/>
          <w:sz w:val="22"/>
          <w:szCs w:val="24"/>
          <w:lang w:val="sk-SK" w:eastAsia="ja-JP"/>
        </w:rPr>
        <w:t xml:space="preserve"> (n=4) </w:t>
      </w:r>
      <w:r w:rsidR="000B6F07" w:rsidRPr="000B6F07">
        <w:rPr>
          <w:rFonts w:ascii="Times New Roman" w:hAnsi="Times New Roman"/>
          <w:sz w:val="22"/>
          <w:szCs w:val="24"/>
          <w:lang w:val="sk-SK" w:eastAsia="ja-JP"/>
        </w:rPr>
        <w:t>17,1 ± 7,5 µ</w:t>
      </w:r>
      <w:proofErr w:type="spellStart"/>
      <w:r w:rsidR="000B6F07" w:rsidRPr="000B6F07">
        <w:rPr>
          <w:rFonts w:ascii="Times New Roman" w:hAnsi="Times New Roman"/>
          <w:sz w:val="22"/>
          <w:szCs w:val="24"/>
          <w:lang w:val="sk-SK" w:eastAsia="ja-JP"/>
        </w:rPr>
        <w:t>g.h</w:t>
      </w:r>
      <w:proofErr w:type="spellEnd"/>
      <w:r w:rsidR="000B6F07" w:rsidRPr="000B6F07">
        <w:rPr>
          <w:rFonts w:ascii="Times New Roman" w:hAnsi="Times New Roman"/>
          <w:sz w:val="22"/>
          <w:szCs w:val="24"/>
          <w:lang w:val="sk-SK" w:eastAsia="ja-JP"/>
        </w:rPr>
        <w:t>/ml</w:t>
      </w:r>
      <w:r w:rsidR="00C34264" w:rsidRPr="00C34264">
        <w:rPr>
          <w:rFonts w:ascii="Times New Roman" w:hAnsi="Times New Roman"/>
          <w:sz w:val="22"/>
          <w:szCs w:val="24"/>
          <w:lang w:val="sk-SK" w:eastAsia="ja-JP"/>
        </w:rPr>
        <w:t>.</w:t>
      </w:r>
    </w:p>
    <w:p w:rsidR="0010462A" w:rsidRPr="00D327B4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Default="00AE7DA4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="00714C38">
        <w:rPr>
          <w:rFonts w:ascii="Times New Roman" w:hAnsi="Times New Roman"/>
          <w:sz w:val="22"/>
          <w:szCs w:val="24"/>
          <w:lang w:val="sk-SK" w:eastAsia="ja-JP"/>
        </w:rPr>
        <w:t xml:space="preserve">, ktorý bol </w:t>
      </w:r>
      <w:r>
        <w:rPr>
          <w:rFonts w:ascii="Times New Roman" w:hAnsi="Times New Roman"/>
          <w:sz w:val="22"/>
          <w:szCs w:val="24"/>
          <w:lang w:val="sk-SK" w:eastAsia="ja-JP"/>
        </w:rPr>
        <w:t>podávaný intravenózne</w:t>
      </w:r>
      <w:r w:rsidR="00994DCB">
        <w:rPr>
          <w:rFonts w:ascii="Times New Roman" w:hAnsi="Times New Roman"/>
          <w:sz w:val="22"/>
          <w:szCs w:val="24"/>
          <w:lang w:val="sk-SK" w:eastAsia="ja-JP"/>
        </w:rPr>
        <w:t>,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s dávkovacím režimom </w:t>
      </w:r>
      <w:r w:rsidR="00714C38">
        <w:rPr>
          <w:rFonts w:ascii="Times New Roman" w:hAnsi="Times New Roman"/>
          <w:sz w:val="22"/>
          <w:szCs w:val="24"/>
          <w:lang w:val="sk-SK" w:eastAsia="ja-JP"/>
        </w:rPr>
        <w:t xml:space="preserve">vypočítaným z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BSA a</w:t>
      </w:r>
      <w:r w:rsidR="00714C38">
        <w:rPr>
          <w:rFonts w:ascii="Times New Roman" w:hAnsi="Times New Roman"/>
          <w:sz w:val="22"/>
          <w:szCs w:val="24"/>
          <w:lang w:val="sk-SK" w:eastAsia="ja-JP"/>
        </w:rPr>
        <w:t xml:space="preserve"> podľa  </w:t>
      </w:r>
      <w:r>
        <w:rPr>
          <w:rFonts w:ascii="Times New Roman" w:hAnsi="Times New Roman"/>
          <w:sz w:val="22"/>
          <w:szCs w:val="24"/>
          <w:lang w:val="sk-SK" w:eastAsia="ja-JP"/>
        </w:rPr>
        <w:t>funkcie</w:t>
      </w:r>
      <w:r w:rsidR="004702F7">
        <w:rPr>
          <w:rFonts w:ascii="Times New Roman" w:hAnsi="Times New Roman"/>
          <w:sz w:val="22"/>
          <w:szCs w:val="24"/>
          <w:lang w:val="sk-SK" w:eastAsia="ja-JP"/>
        </w:rPr>
        <w:t xml:space="preserve"> obličiek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(3x BSA x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CrCLS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)</w:t>
      </w:r>
      <w:r w:rsidR="00714C38">
        <w:rPr>
          <w:rFonts w:ascii="Times New Roman" w:hAnsi="Times New Roman"/>
          <w:sz w:val="22"/>
          <w:szCs w:val="24"/>
          <w:lang w:val="sk-SK" w:eastAsia="ja-JP"/>
        </w:rPr>
        <w:t xml:space="preserve"> a </w:t>
      </w:r>
      <w:r w:rsidR="004702F7">
        <w:rPr>
          <w:rFonts w:ascii="Times New Roman" w:hAnsi="Times New Roman"/>
          <w:sz w:val="22"/>
          <w:szCs w:val="24"/>
          <w:lang w:val="sk-SK" w:eastAsia="ja-JP"/>
        </w:rPr>
        <w:t xml:space="preserve">odvodený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od </w:t>
      </w:r>
      <w:r w:rsidR="004702F7">
        <w:rPr>
          <w:rFonts w:ascii="Times New Roman" w:hAnsi="Times New Roman"/>
          <w:sz w:val="22"/>
          <w:szCs w:val="24"/>
          <w:lang w:val="sk-SK" w:eastAsia="ja-JP"/>
        </w:rPr>
        <w:t xml:space="preserve">pediatrického dávkovacieho algoritmu </w:t>
      </w:r>
      <w:proofErr w:type="spellStart"/>
      <w:r w:rsidR="004702F7">
        <w:rPr>
          <w:rFonts w:ascii="Times New Roman" w:hAnsi="Times New Roman"/>
          <w:sz w:val="22"/>
          <w:szCs w:val="24"/>
          <w:lang w:val="sk-SK" w:eastAsia="ja-JP"/>
        </w:rPr>
        <w:t>valgancikloviru</w:t>
      </w:r>
      <w:proofErr w:type="spellEnd"/>
      <w:r w:rsidR="00714C38">
        <w:rPr>
          <w:rFonts w:ascii="Times New Roman" w:hAnsi="Times New Roman"/>
          <w:sz w:val="22"/>
          <w:szCs w:val="24"/>
          <w:lang w:val="sk-SK" w:eastAsia="ja-JP"/>
        </w:rPr>
        <w:t>,</w:t>
      </w:r>
      <w:r w:rsidR="004702F7">
        <w:rPr>
          <w:rFonts w:ascii="Times New Roman" w:hAnsi="Times New Roman"/>
          <w:sz w:val="22"/>
          <w:szCs w:val="24"/>
          <w:lang w:val="sk-SK" w:eastAsia="ja-JP"/>
        </w:rPr>
        <w:t xml:space="preserve"> viedol k podobným expozíc</w:t>
      </w:r>
      <w:r w:rsidR="00E753A4">
        <w:rPr>
          <w:rFonts w:ascii="Times New Roman" w:hAnsi="Times New Roman"/>
          <w:sz w:val="22"/>
          <w:szCs w:val="24"/>
          <w:lang w:val="sk-SK" w:eastAsia="ja-JP"/>
        </w:rPr>
        <w:t>i</w:t>
      </w:r>
      <w:r w:rsidR="004702F7">
        <w:rPr>
          <w:rFonts w:ascii="Times New Roman" w:hAnsi="Times New Roman"/>
          <w:sz w:val="22"/>
          <w:szCs w:val="24"/>
          <w:lang w:val="sk-SK" w:eastAsia="ja-JP"/>
        </w:rPr>
        <w:t xml:space="preserve">ám </w:t>
      </w:r>
      <w:proofErr w:type="spellStart"/>
      <w:r w:rsidR="004702F7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="004702F7">
        <w:rPr>
          <w:rFonts w:ascii="Times New Roman" w:hAnsi="Times New Roman"/>
          <w:sz w:val="22"/>
          <w:szCs w:val="24"/>
          <w:lang w:val="sk-SK" w:eastAsia="ja-JP"/>
        </w:rPr>
        <w:t xml:space="preserve"> v pediatrickej populácii vo veku o</w:t>
      </w:r>
      <w:r w:rsidR="00714C38">
        <w:rPr>
          <w:rFonts w:ascii="Times New Roman" w:hAnsi="Times New Roman"/>
          <w:sz w:val="22"/>
          <w:szCs w:val="24"/>
          <w:lang w:val="sk-SK" w:eastAsia="ja-JP"/>
        </w:rPr>
        <w:t>d narodenia do 16 rokov (pozri t</w:t>
      </w:r>
      <w:r w:rsidR="004702F7">
        <w:rPr>
          <w:rFonts w:ascii="Times New Roman" w:hAnsi="Times New Roman"/>
          <w:sz w:val="22"/>
          <w:szCs w:val="24"/>
          <w:lang w:val="sk-SK" w:eastAsia="ja-JP"/>
        </w:rPr>
        <w:t>abuľku 2).</w:t>
      </w:r>
    </w:p>
    <w:p w:rsidR="004702F7" w:rsidRDefault="004702F7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E753A4" w:rsidRPr="00414973" w:rsidRDefault="00C34264" w:rsidP="00E753A4">
      <w:pPr>
        <w:rPr>
          <w:rFonts w:ascii="Times New Roman" w:hAnsi="Times New Roman"/>
          <w:b/>
          <w:sz w:val="22"/>
          <w:szCs w:val="22"/>
          <w:lang w:val="sk-SK"/>
        </w:rPr>
      </w:pPr>
      <w:r w:rsidRPr="00C34264">
        <w:rPr>
          <w:rFonts w:ascii="Times New Roman" w:hAnsi="Times New Roman"/>
          <w:b/>
          <w:sz w:val="22"/>
          <w:szCs w:val="22"/>
          <w:lang w:val="sk-SK"/>
        </w:rPr>
        <w:t>Tabuľka</w:t>
      </w:r>
      <w:r w:rsidR="00B84AF1" w:rsidRPr="00B84AF1">
        <w:rPr>
          <w:rFonts w:ascii="Times New Roman" w:hAnsi="Times New Roman"/>
          <w:b/>
          <w:sz w:val="22"/>
          <w:szCs w:val="22"/>
          <w:lang w:val="sk-SK"/>
        </w:rPr>
        <w:t xml:space="preserve">  2 Simu</w:t>
      </w:r>
      <w:r w:rsidR="00B84AF1">
        <w:rPr>
          <w:rFonts w:ascii="Times New Roman" w:hAnsi="Times New Roman"/>
          <w:b/>
          <w:sz w:val="22"/>
          <w:szCs w:val="22"/>
          <w:lang w:val="sk-SK"/>
        </w:rPr>
        <w:t>l</w:t>
      </w:r>
      <w:r w:rsidR="00B84AF1" w:rsidRPr="00B84AF1">
        <w:rPr>
          <w:rFonts w:ascii="Times New Roman" w:hAnsi="Times New Roman"/>
          <w:b/>
          <w:sz w:val="22"/>
          <w:szCs w:val="22"/>
          <w:lang w:val="sk-SK"/>
        </w:rPr>
        <w:t>ácia</w:t>
      </w:r>
      <w:r w:rsidRPr="00C34264">
        <w:rPr>
          <w:rFonts w:ascii="Times New Roman" w:hAnsi="Times New Roman"/>
          <w:b/>
          <w:sz w:val="22"/>
          <w:szCs w:val="22"/>
          <w:lang w:val="sk-SK"/>
        </w:rPr>
        <w:t>* AUC</w:t>
      </w:r>
      <w:r w:rsidRPr="00C34264">
        <w:rPr>
          <w:rFonts w:ascii="Times New Roman" w:hAnsi="Times New Roman"/>
          <w:b/>
          <w:sz w:val="22"/>
          <w:szCs w:val="22"/>
          <w:vertAlign w:val="subscript"/>
          <w:lang w:val="sk-SK"/>
        </w:rPr>
        <w:t xml:space="preserve">0-24h </w:t>
      </w:r>
      <w:r w:rsidRPr="00C34264">
        <w:rPr>
          <w:rFonts w:ascii="Times New Roman" w:hAnsi="Times New Roman"/>
          <w:b/>
          <w:sz w:val="22"/>
          <w:szCs w:val="22"/>
          <w:lang w:val="sk-SK"/>
        </w:rPr>
        <w:t>(</w:t>
      </w:r>
      <w:r w:rsidRPr="00C34264">
        <w:rPr>
          <w:rFonts w:ascii="Times New Roman" w:hAnsi="Times New Roman"/>
          <w:b/>
          <w:sz w:val="22"/>
          <w:szCs w:val="22"/>
        </w:rPr>
        <w:sym w:font="Symbol" w:char="F06D"/>
      </w:r>
      <w:r w:rsidRPr="00C34264">
        <w:rPr>
          <w:rFonts w:ascii="Times New Roman" w:hAnsi="Times New Roman"/>
          <w:b/>
          <w:sz w:val="22"/>
          <w:szCs w:val="22"/>
          <w:lang w:val="sk-SK"/>
        </w:rPr>
        <w:t>g </w:t>
      </w:r>
      <w:r w:rsidRPr="00C34264">
        <w:rPr>
          <w:rFonts w:ascii="Times New Roman" w:hAnsi="Times New Roman"/>
          <w:b/>
          <w:position w:val="2"/>
          <w:sz w:val="22"/>
          <w:szCs w:val="22"/>
        </w:rPr>
        <w:sym w:font="Symbol" w:char="F0B7"/>
      </w:r>
      <w:r w:rsidRPr="00C34264">
        <w:rPr>
          <w:rFonts w:ascii="Times New Roman" w:hAnsi="Times New Roman"/>
          <w:b/>
          <w:sz w:val="22"/>
          <w:szCs w:val="22"/>
          <w:lang w:val="sk-SK"/>
        </w:rPr>
        <w:t xml:space="preserve"> h/ml) </w:t>
      </w:r>
      <w:proofErr w:type="spellStart"/>
      <w:r w:rsidR="00714C38" w:rsidRPr="00714C38">
        <w:rPr>
          <w:rFonts w:ascii="Times New Roman" w:hAnsi="Times New Roman"/>
          <w:b/>
          <w:sz w:val="22"/>
          <w:szCs w:val="22"/>
          <w:lang w:val="sk-SK"/>
        </w:rPr>
        <w:t>gancik</w:t>
      </w:r>
      <w:r w:rsidRPr="00C34264">
        <w:rPr>
          <w:rFonts w:ascii="Times New Roman" w:hAnsi="Times New Roman"/>
          <w:b/>
          <w:sz w:val="22"/>
          <w:szCs w:val="22"/>
          <w:lang w:val="sk-SK"/>
        </w:rPr>
        <w:t>loviru</w:t>
      </w:r>
      <w:proofErr w:type="spellEnd"/>
      <w:r w:rsidRPr="00C34264">
        <w:rPr>
          <w:rFonts w:ascii="Times New Roman" w:hAnsi="Times New Roman"/>
          <w:b/>
          <w:sz w:val="22"/>
          <w:szCs w:val="22"/>
          <w:lang w:val="sk-SK"/>
        </w:rPr>
        <w:t xml:space="preserve"> u pediatrických pacientov liečených dávkou</w:t>
      </w:r>
      <w:r w:rsidR="002709EB" w:rsidRPr="002709E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="002709EB" w:rsidRPr="002709EB">
        <w:rPr>
          <w:rFonts w:ascii="Times New Roman" w:hAnsi="Times New Roman"/>
          <w:b/>
          <w:sz w:val="22"/>
          <w:szCs w:val="22"/>
          <w:lang w:val="sk-SK"/>
        </w:rPr>
        <w:t>gancik</w:t>
      </w:r>
      <w:r w:rsidRPr="00C34264">
        <w:rPr>
          <w:rFonts w:ascii="Times New Roman" w:hAnsi="Times New Roman"/>
          <w:b/>
          <w:sz w:val="22"/>
          <w:szCs w:val="22"/>
          <w:lang w:val="sk-SK"/>
        </w:rPr>
        <w:t>loviru</w:t>
      </w:r>
      <w:proofErr w:type="spellEnd"/>
      <w:r w:rsidR="002709EB" w:rsidRPr="002709EB">
        <w:rPr>
          <w:rFonts w:ascii="Times New Roman" w:hAnsi="Times New Roman"/>
          <w:b/>
          <w:sz w:val="22"/>
          <w:szCs w:val="22"/>
          <w:lang w:val="sk-SK"/>
        </w:rPr>
        <w:t xml:space="preserve"> (mg) </w:t>
      </w:r>
      <w:r w:rsidRPr="00C34264">
        <w:rPr>
          <w:rFonts w:ascii="Times New Roman" w:hAnsi="Times New Roman"/>
          <w:b/>
          <w:sz w:val="22"/>
          <w:szCs w:val="22"/>
          <w:lang w:val="sk-SK"/>
        </w:rPr>
        <w:t xml:space="preserve">3x BSA x </w:t>
      </w:r>
      <w:proofErr w:type="spellStart"/>
      <w:r w:rsidRPr="00C34264">
        <w:rPr>
          <w:rFonts w:ascii="Times New Roman" w:hAnsi="Times New Roman"/>
          <w:b/>
          <w:sz w:val="22"/>
          <w:szCs w:val="22"/>
          <w:lang w:val="sk-SK"/>
        </w:rPr>
        <w:t>CrCLS</w:t>
      </w:r>
      <w:proofErr w:type="spellEnd"/>
      <w:r w:rsidRPr="00C34264">
        <w:rPr>
          <w:rFonts w:ascii="Times New Roman" w:hAnsi="Times New Roman"/>
          <w:b/>
          <w:sz w:val="22"/>
          <w:szCs w:val="22"/>
          <w:lang w:val="sk-SK"/>
        </w:rPr>
        <w:t xml:space="preserve"> podávanou formou 1 hodinovej infúzie.</w:t>
      </w:r>
    </w:p>
    <w:tbl>
      <w:tblPr>
        <w:tblW w:w="8638" w:type="dxa"/>
        <w:tblInd w:w="5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69"/>
        <w:gridCol w:w="1094"/>
        <w:gridCol w:w="1156"/>
        <w:gridCol w:w="1034"/>
        <w:gridCol w:w="1095"/>
        <w:gridCol w:w="1095"/>
        <w:gridCol w:w="1095"/>
      </w:tblGrid>
      <w:tr w:rsidR="00E753A4" w:rsidRPr="00040673" w:rsidTr="003E52EF">
        <w:trPr>
          <w:cantSplit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753A4" w:rsidRPr="00402E19" w:rsidRDefault="00E753A4" w:rsidP="003E52EF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3C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 4 mesiace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753A4" w:rsidRPr="00A11CC4" w:rsidRDefault="00C34264" w:rsidP="00414973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B3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4 mesiace až  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A3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2 roky 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753A4" w:rsidRPr="00A11CC4" w:rsidRDefault="00C34264" w:rsidP="00414973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3E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2 až 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3C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 6 roky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753A4" w:rsidRPr="00A11CC4" w:rsidRDefault="00C34264" w:rsidP="00414973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B3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6 až 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3C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 12 rokov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753A4" w:rsidRPr="00A11CC4" w:rsidRDefault="00C34264" w:rsidP="00414973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B3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12 až 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A3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 16 rokov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všetci pacienti</w:t>
            </w:r>
          </w:p>
        </w:tc>
      </w:tr>
      <w:tr w:rsidR="00E753A4" w:rsidRPr="00040673" w:rsidTr="003E52EF">
        <w:trPr>
          <w:cantSplit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53A4" w:rsidRPr="00A11CC4" w:rsidRDefault="00C34264" w:rsidP="00414973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počet</w:t>
            </w:r>
            <w:r w:rsidRPr="00C3426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4264">
              <w:rPr>
                <w:rFonts w:ascii="Times New Roman" w:hAnsi="Times New Roman"/>
                <w:sz w:val="22"/>
                <w:szCs w:val="22"/>
              </w:rPr>
              <w:t>pacientov</w:t>
            </w:r>
            <w:proofErr w:type="spellEnd"/>
            <w:r w:rsidRPr="00C34264"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 w:rsidRPr="00C34264">
              <w:rPr>
                <w:rFonts w:ascii="Times New Roman" w:hAnsi="Times New Roman"/>
                <w:sz w:val="22"/>
                <w:szCs w:val="22"/>
              </w:rPr>
              <w:t>simulácii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781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384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86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96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126</w:t>
            </w: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1473</w:t>
            </w:r>
          </w:p>
        </w:tc>
      </w:tr>
      <w:tr w:rsidR="00E753A4" w:rsidRPr="00040673" w:rsidTr="003E52EF">
        <w:trPr>
          <w:cantSplit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m</w:t>
            </w:r>
            <w:proofErr w:type="spellStart"/>
            <w:r w:rsidRPr="00C34264">
              <w:rPr>
                <w:rFonts w:ascii="Times New Roman" w:hAnsi="Times New Roman"/>
                <w:sz w:val="22"/>
                <w:szCs w:val="22"/>
              </w:rPr>
              <w:t>edián</w:t>
            </w:r>
            <w:proofErr w:type="spellEnd"/>
          </w:p>
        </w:tc>
        <w:tc>
          <w:tcPr>
            <w:tcW w:w="1094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55,6</w:t>
            </w:r>
          </w:p>
        </w:tc>
        <w:tc>
          <w:tcPr>
            <w:tcW w:w="1156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56,9</w:t>
            </w:r>
          </w:p>
        </w:tc>
        <w:tc>
          <w:tcPr>
            <w:tcW w:w="1034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54,4</w:t>
            </w:r>
          </w:p>
        </w:tc>
        <w:tc>
          <w:tcPr>
            <w:tcW w:w="1095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51,3</w:t>
            </w:r>
          </w:p>
        </w:tc>
        <w:tc>
          <w:tcPr>
            <w:tcW w:w="1095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51,4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55,4</w:t>
            </w:r>
          </w:p>
        </w:tc>
      </w:tr>
      <w:tr w:rsidR="00E753A4" w:rsidRPr="00040673" w:rsidTr="003E52EF">
        <w:trPr>
          <w:cantSplit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priemer</w:t>
            </w:r>
          </w:p>
        </w:tc>
        <w:tc>
          <w:tcPr>
            <w:tcW w:w="1094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57,1</w:t>
            </w:r>
          </w:p>
        </w:tc>
        <w:tc>
          <w:tcPr>
            <w:tcW w:w="1156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58,0</w:t>
            </w:r>
          </w:p>
        </w:tc>
        <w:tc>
          <w:tcPr>
            <w:tcW w:w="1034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55,1</w:t>
            </w:r>
          </w:p>
        </w:tc>
        <w:tc>
          <w:tcPr>
            <w:tcW w:w="1095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52,6</w:t>
            </w:r>
          </w:p>
        </w:tc>
        <w:tc>
          <w:tcPr>
            <w:tcW w:w="1095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51,8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56,4</w:t>
            </w:r>
          </w:p>
        </w:tc>
      </w:tr>
      <w:tr w:rsidR="00E753A4" w:rsidRPr="00040673" w:rsidTr="003E52EF">
        <w:trPr>
          <w:cantSplit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</w:rPr>
            </w:pPr>
            <w:r w:rsidRPr="00C34264">
              <w:rPr>
                <w:rFonts w:ascii="Times New Roman" w:hAnsi="Times New Roman"/>
                <w:sz w:val="22"/>
                <w:szCs w:val="22"/>
              </w:rPr>
              <w:t>Min</w:t>
            </w:r>
          </w:p>
        </w:tc>
        <w:tc>
          <w:tcPr>
            <w:tcW w:w="1094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24,9</w:t>
            </w:r>
          </w:p>
        </w:tc>
        <w:tc>
          <w:tcPr>
            <w:tcW w:w="1156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24,3</w:t>
            </w:r>
          </w:p>
        </w:tc>
        <w:tc>
          <w:tcPr>
            <w:tcW w:w="1034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16,5</w:t>
            </w:r>
          </w:p>
        </w:tc>
        <w:tc>
          <w:tcPr>
            <w:tcW w:w="1095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23,9</w:t>
            </w:r>
          </w:p>
        </w:tc>
        <w:tc>
          <w:tcPr>
            <w:tcW w:w="1095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22,6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16,5</w:t>
            </w:r>
          </w:p>
        </w:tc>
      </w:tr>
      <w:tr w:rsidR="00E753A4" w:rsidRPr="00040673" w:rsidTr="003E52EF">
        <w:trPr>
          <w:cantSplit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</w:rPr>
            </w:pPr>
            <w:r w:rsidRPr="00C34264">
              <w:rPr>
                <w:rFonts w:ascii="Times New Roman" w:hAnsi="Times New Roman"/>
                <w:sz w:val="22"/>
                <w:szCs w:val="22"/>
              </w:rPr>
              <w:t>Max</w:t>
            </w:r>
          </w:p>
        </w:tc>
        <w:tc>
          <w:tcPr>
            <w:tcW w:w="1094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124,1</w:t>
            </w:r>
          </w:p>
        </w:tc>
        <w:tc>
          <w:tcPr>
            <w:tcW w:w="1156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133,0</w:t>
            </w:r>
          </w:p>
        </w:tc>
        <w:tc>
          <w:tcPr>
            <w:tcW w:w="1034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105,7</w:t>
            </w:r>
          </w:p>
        </w:tc>
        <w:tc>
          <w:tcPr>
            <w:tcW w:w="1095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115,2</w:t>
            </w:r>
          </w:p>
        </w:tc>
        <w:tc>
          <w:tcPr>
            <w:tcW w:w="1095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94,1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133,0</w:t>
            </w:r>
          </w:p>
        </w:tc>
      </w:tr>
      <w:tr w:rsidR="00E753A4" w:rsidRPr="00040673" w:rsidTr="003E52EF">
        <w:trPr>
          <w:cantSplit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  <w:lang w:val="pt-BR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pacienti s</w:t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br/>
              <w:t>AUC 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3C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 40 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6D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g </w:t>
            </w:r>
            <w:r w:rsidRPr="00C34264">
              <w:rPr>
                <w:rFonts w:ascii="Times New Roman" w:hAnsi="Times New Roman"/>
                <w:position w:val="2"/>
                <w:sz w:val="22"/>
                <w:szCs w:val="22"/>
              </w:rPr>
              <w:sym w:font="Symbol" w:char="F0B7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 h/ml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89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(11%)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38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(10%)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13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(15%)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23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(24%)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28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(22%)</w:t>
            </w: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191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(13%)</w:t>
            </w:r>
          </w:p>
        </w:tc>
      </w:tr>
      <w:tr w:rsidR="00E753A4" w:rsidRPr="00040673" w:rsidTr="003E52EF">
        <w:trPr>
          <w:cantSplit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  <w:lang w:val="pt-BR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pacienti s</w:t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br/>
              <w:t>AUC 40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2D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60 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6D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g </w:t>
            </w:r>
            <w:r w:rsidRPr="00C34264">
              <w:rPr>
                <w:rFonts w:ascii="Times New Roman" w:hAnsi="Times New Roman"/>
                <w:position w:val="2"/>
                <w:sz w:val="22"/>
                <w:szCs w:val="22"/>
              </w:rPr>
              <w:sym w:font="Symbol" w:char="F0B7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 h/ml</w:t>
            </w:r>
          </w:p>
        </w:tc>
        <w:tc>
          <w:tcPr>
            <w:tcW w:w="1094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398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(51%)</w:t>
            </w:r>
          </w:p>
        </w:tc>
        <w:tc>
          <w:tcPr>
            <w:tcW w:w="1156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195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(51%)</w:t>
            </w:r>
          </w:p>
        </w:tc>
        <w:tc>
          <w:tcPr>
            <w:tcW w:w="1034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44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(51%)</w:t>
            </w:r>
          </w:p>
        </w:tc>
        <w:tc>
          <w:tcPr>
            <w:tcW w:w="1095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41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(43%)</w:t>
            </w:r>
          </w:p>
        </w:tc>
        <w:tc>
          <w:tcPr>
            <w:tcW w:w="1095" w:type="dxa"/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63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(50%)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741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(50%)</w:t>
            </w:r>
          </w:p>
        </w:tc>
      </w:tr>
      <w:tr w:rsidR="00E753A4" w:rsidRPr="00040673" w:rsidTr="003E52EF">
        <w:trPr>
          <w:cantSplit/>
        </w:trPr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  <w:lang w:val="pt-BR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pacienti s </w:t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br/>
              <w:t>AUC 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3E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 60 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6D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g </w:t>
            </w:r>
            <w:r w:rsidRPr="00C34264">
              <w:rPr>
                <w:rFonts w:ascii="Times New Roman" w:hAnsi="Times New Roman"/>
                <w:position w:val="2"/>
                <w:sz w:val="22"/>
                <w:szCs w:val="22"/>
              </w:rPr>
              <w:sym w:font="Symbol" w:char="F0B7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 h/ml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294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(38%)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151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(39%)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29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(34%)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32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(33%)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35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(28%)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541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(37%)</w:t>
            </w:r>
          </w:p>
        </w:tc>
      </w:tr>
      <w:tr w:rsidR="00E753A4" w:rsidRPr="00C15E5A" w:rsidTr="003E52EF">
        <w:trPr>
          <w:cantSplit/>
        </w:trPr>
        <w:tc>
          <w:tcPr>
            <w:tcW w:w="863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E753A4" w:rsidRPr="00A11CC4" w:rsidRDefault="00C34264" w:rsidP="003E52EF">
            <w:pPr>
              <w:keepNext/>
              <w:keepLines/>
              <w:spacing w:before="40" w:line="240" w:lineRule="exact"/>
              <w:ind w:left="29"/>
              <w:rPr>
                <w:rFonts w:ascii="Times New Roman" w:eastAsia="SimSun" w:hAnsi="Times New Roman"/>
                <w:i/>
                <w:szCs w:val="22"/>
                <w:lang w:val="sk-SK" w:eastAsia="zh-CN"/>
              </w:rPr>
            </w:pP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AUC 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sym w:font="Symbol" w:char="F03D"/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 (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area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under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the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plasma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concentration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) plocha pod </w:t>
            </w:r>
            <w:r w:rsidR="006E1F3E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časovou krivkou  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plazmatick</w:t>
            </w:r>
            <w:r w:rsidR="006E1F3E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ej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koncentráci</w:t>
            </w:r>
            <w:r w:rsidR="006E1F3E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e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; BSA 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sym w:font="Symbol" w:char="F03D"/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 (body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surface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area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) </w:t>
            </w:r>
            <w:r w:rsidR="00B84AF1" w:rsidRPr="00A11CC4">
              <w:rPr>
                <w:rFonts w:ascii="Times New Roman" w:hAnsi="Times New Roman"/>
                <w:sz w:val="22"/>
                <w:szCs w:val="22"/>
                <w:lang w:val="sk-SK"/>
              </w:rPr>
              <w:t>plocha povrchu tela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;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CrCL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 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sym w:font="Symbol" w:char="F03D"/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 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klírens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kreatinínu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; max 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sym w:font="Symbol" w:char="F03D"/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 maximum; min 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sym w:font="Symbol" w:char="F03D"/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 minimum.</w:t>
            </w:r>
          </w:p>
          <w:p w:rsidR="00E753A4" w:rsidRPr="00A11CC4" w:rsidRDefault="00C34264" w:rsidP="002709EB">
            <w:pPr>
              <w:keepNext/>
              <w:keepLines/>
              <w:spacing w:before="40" w:line="240" w:lineRule="exact"/>
              <w:ind w:left="245" w:hanging="216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sk-SK"/>
              </w:rPr>
              <w:t>*</w:t>
            </w:r>
            <w:r w:rsidRPr="00C34264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sk-SK"/>
              </w:rPr>
              <w:tab/>
            </w:r>
            <w:r w:rsidRPr="00C34264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Simulácie sa vykonali použitím validovaných populačných pediatrických PK modelov a demografických údajov od pediatrických pacientov, ktorí dostávali liečbu </w:t>
            </w:r>
            <w:proofErr w:type="spellStart"/>
            <w:r w:rsidRPr="00C34264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valganciklovirom</w:t>
            </w:r>
            <w:proofErr w:type="spellEnd"/>
            <w:r w:rsidRPr="00C34264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Pr="00C34264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ganciklovirom</w:t>
            </w:r>
            <w:proofErr w:type="spellEnd"/>
            <w:r w:rsidRPr="00C34264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v klinických štúdiách (n=1473 záznamov údajov)</w:t>
            </w:r>
          </w:p>
        </w:tc>
      </w:tr>
    </w:tbl>
    <w:p w:rsidR="00AE7DA4" w:rsidRPr="00471103" w:rsidRDefault="00AE7DA4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7270FC" w:rsidRDefault="0010462A" w:rsidP="0010462A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7270FC">
        <w:rPr>
          <w:rFonts w:ascii="Times New Roman" w:hAnsi="Times New Roman"/>
          <w:sz w:val="22"/>
          <w:szCs w:val="22"/>
          <w:u w:val="single"/>
          <w:lang w:val="sk-SK"/>
        </w:rPr>
        <w:t>Staršie osoby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Neboli vykonané žiadne štúdie s dospelými staršími ako 65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F1AB0">
        <w:rPr>
          <w:rFonts w:ascii="Times New Roman" w:hAnsi="Times New Roman"/>
          <w:sz w:val="22"/>
          <w:szCs w:val="22"/>
          <w:lang w:val="sk-SK"/>
        </w:rPr>
        <w:t>rokov</w:t>
      </w:r>
      <w:r>
        <w:rPr>
          <w:rFonts w:ascii="Times New Roman" w:hAnsi="Times New Roman"/>
          <w:sz w:val="22"/>
          <w:szCs w:val="22"/>
          <w:lang w:val="sk-SK"/>
        </w:rPr>
        <w:t xml:space="preserve"> (pozri časť 4.2)</w:t>
      </w:r>
      <w:r w:rsidRPr="00AF1AB0">
        <w:rPr>
          <w:rFonts w:ascii="Times New Roman" w:hAnsi="Times New Roman"/>
          <w:sz w:val="22"/>
          <w:szCs w:val="22"/>
          <w:lang w:val="sk-SK"/>
        </w:rPr>
        <w:t>.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5.3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Predklinické údaje o bezpečnosti</w:t>
      </w:r>
    </w:p>
    <w:p w:rsidR="0010462A" w:rsidRDefault="0010462A" w:rsidP="0010462A">
      <w:pPr>
        <w:pStyle w:val="TextTi12"/>
        <w:keepNext/>
        <w:keepLines/>
        <w:jc w:val="left"/>
        <w:rPr>
          <w:sz w:val="22"/>
          <w:szCs w:val="22"/>
          <w:lang w:val="sk-SK"/>
        </w:rPr>
      </w:pPr>
    </w:p>
    <w:p w:rsidR="0010462A" w:rsidRPr="00AF1AB0" w:rsidRDefault="0010462A" w:rsidP="0010462A">
      <w:pPr>
        <w:pStyle w:val="TextTi12"/>
        <w:keepNext/>
        <w:keepLines/>
        <w:jc w:val="left"/>
        <w:rPr>
          <w:sz w:val="22"/>
          <w:szCs w:val="22"/>
          <w:lang w:val="sk-SK"/>
        </w:rPr>
      </w:pPr>
      <w:proofErr w:type="spellStart"/>
      <w:r w:rsidRPr="00AF1AB0">
        <w:rPr>
          <w:sz w:val="22"/>
          <w:szCs w:val="22"/>
          <w:lang w:val="sk-SK"/>
        </w:rPr>
        <w:t>Ganciklovir</w:t>
      </w:r>
      <w:proofErr w:type="spellEnd"/>
      <w:r w:rsidRPr="00AF1AB0">
        <w:rPr>
          <w:sz w:val="22"/>
          <w:szCs w:val="22"/>
          <w:lang w:val="sk-SK"/>
        </w:rPr>
        <w:t xml:space="preserve"> bol mutagénny v myšacích </w:t>
      </w:r>
      <w:proofErr w:type="spellStart"/>
      <w:r w:rsidRPr="00AF1AB0">
        <w:rPr>
          <w:sz w:val="22"/>
          <w:szCs w:val="22"/>
          <w:lang w:val="sk-SK"/>
        </w:rPr>
        <w:t>lymfómových</w:t>
      </w:r>
      <w:proofErr w:type="spellEnd"/>
      <w:r w:rsidRPr="00AF1AB0">
        <w:rPr>
          <w:sz w:val="22"/>
          <w:szCs w:val="22"/>
          <w:lang w:val="sk-SK"/>
        </w:rPr>
        <w:t xml:space="preserve"> bunkách a </w:t>
      </w:r>
      <w:proofErr w:type="spellStart"/>
      <w:r w:rsidRPr="00AF1AB0">
        <w:rPr>
          <w:sz w:val="22"/>
          <w:szCs w:val="22"/>
          <w:lang w:val="sk-SK"/>
        </w:rPr>
        <w:t>klastogénny</w:t>
      </w:r>
      <w:proofErr w:type="spellEnd"/>
      <w:r w:rsidRPr="00AF1AB0">
        <w:rPr>
          <w:sz w:val="22"/>
          <w:szCs w:val="22"/>
          <w:lang w:val="sk-SK"/>
        </w:rPr>
        <w:t xml:space="preserve"> v cicavčích bunkách.</w:t>
      </w:r>
      <w:r>
        <w:rPr>
          <w:sz w:val="22"/>
          <w:szCs w:val="22"/>
          <w:lang w:val="sk-SK"/>
        </w:rPr>
        <w:t xml:space="preserve"> </w:t>
      </w:r>
      <w:r w:rsidRPr="00AF1AB0">
        <w:rPr>
          <w:sz w:val="22"/>
          <w:szCs w:val="22"/>
          <w:lang w:val="sk-SK"/>
        </w:rPr>
        <w:t xml:space="preserve">Tieto výsledky zodpovedajú pozitívnej karcinogenite v štúdii s </w:t>
      </w:r>
      <w:proofErr w:type="spellStart"/>
      <w:r w:rsidRPr="00AF1AB0">
        <w:rPr>
          <w:sz w:val="22"/>
          <w:szCs w:val="22"/>
          <w:lang w:val="sk-SK"/>
        </w:rPr>
        <w:t>ganciklovirom</w:t>
      </w:r>
      <w:proofErr w:type="spellEnd"/>
      <w:r w:rsidRPr="00AF1AB0">
        <w:rPr>
          <w:sz w:val="22"/>
          <w:szCs w:val="22"/>
          <w:lang w:val="sk-SK"/>
        </w:rPr>
        <w:t xml:space="preserve"> na myšiach. </w:t>
      </w:r>
      <w:proofErr w:type="spellStart"/>
      <w:r w:rsidRPr="00AF1AB0">
        <w:rPr>
          <w:sz w:val="22"/>
          <w:szCs w:val="22"/>
          <w:lang w:val="sk-SK"/>
        </w:rPr>
        <w:t>Ganciclovir</w:t>
      </w:r>
      <w:proofErr w:type="spellEnd"/>
      <w:r w:rsidRPr="00AF1AB0">
        <w:rPr>
          <w:sz w:val="22"/>
          <w:szCs w:val="22"/>
          <w:lang w:val="sk-SK"/>
        </w:rPr>
        <w:t xml:space="preserve"> je potenciálny karcinogén.</w:t>
      </w:r>
    </w:p>
    <w:p w:rsidR="0010462A" w:rsidRDefault="0010462A" w:rsidP="0010462A">
      <w:pPr>
        <w:pStyle w:val="TextTi12"/>
        <w:spacing w:after="0" w:line="240" w:lineRule="auto"/>
        <w:jc w:val="left"/>
        <w:rPr>
          <w:snapToGrid w:val="0"/>
          <w:sz w:val="22"/>
          <w:szCs w:val="22"/>
          <w:lang w:val="sk-SK"/>
        </w:rPr>
      </w:pPr>
    </w:p>
    <w:p w:rsidR="0010462A" w:rsidRDefault="0010462A" w:rsidP="0010462A">
      <w:pPr>
        <w:pStyle w:val="TextTi12"/>
        <w:spacing w:after="0" w:line="240" w:lineRule="auto"/>
        <w:jc w:val="left"/>
        <w:rPr>
          <w:snapToGrid w:val="0"/>
          <w:sz w:val="22"/>
          <w:szCs w:val="22"/>
          <w:lang w:val="sk-SK"/>
        </w:rPr>
      </w:pPr>
      <w:proofErr w:type="spellStart"/>
      <w:r w:rsidRPr="004256FA">
        <w:rPr>
          <w:snapToGrid w:val="0"/>
          <w:sz w:val="22"/>
          <w:szCs w:val="22"/>
          <w:lang w:val="sk-SK"/>
        </w:rPr>
        <w:t>Ganciklovir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poškodzuje plodnosť a má </w:t>
      </w:r>
      <w:proofErr w:type="spellStart"/>
      <w:r w:rsidRPr="004256FA">
        <w:rPr>
          <w:snapToGrid w:val="0"/>
          <w:sz w:val="22"/>
          <w:szCs w:val="22"/>
          <w:lang w:val="sk-SK"/>
        </w:rPr>
        <w:t>teratogénne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účinky u zvierat. Na základe štúdií na zvieratách, u ktorých systémovo pôsobiaci </w:t>
      </w:r>
      <w:proofErr w:type="spellStart"/>
      <w:r w:rsidRPr="004256FA">
        <w:rPr>
          <w:snapToGrid w:val="0"/>
          <w:sz w:val="22"/>
          <w:szCs w:val="22"/>
          <w:lang w:val="sk-SK"/>
        </w:rPr>
        <w:t>g</w:t>
      </w:r>
      <w:r>
        <w:rPr>
          <w:snapToGrid w:val="0"/>
          <w:sz w:val="22"/>
          <w:szCs w:val="22"/>
          <w:lang w:val="sk-SK"/>
        </w:rPr>
        <w:t>a</w:t>
      </w:r>
      <w:r w:rsidRPr="004256FA">
        <w:rPr>
          <w:snapToGrid w:val="0"/>
          <w:sz w:val="22"/>
          <w:szCs w:val="22"/>
          <w:lang w:val="sk-SK"/>
        </w:rPr>
        <w:t>nciklovir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indukoval </w:t>
      </w:r>
      <w:r w:rsidR="007616FF">
        <w:rPr>
          <w:snapToGrid w:val="0"/>
          <w:sz w:val="22"/>
          <w:szCs w:val="22"/>
          <w:lang w:val="sk-SK"/>
        </w:rPr>
        <w:t xml:space="preserve">inhibíciu </w:t>
      </w:r>
      <w:proofErr w:type="spellStart"/>
      <w:r w:rsidRPr="004256FA">
        <w:rPr>
          <w:snapToGrid w:val="0"/>
          <w:sz w:val="22"/>
          <w:szCs w:val="22"/>
          <w:lang w:val="sk-SK"/>
        </w:rPr>
        <w:t>spermatogenéz</w:t>
      </w:r>
      <w:r w:rsidR="005C700F">
        <w:rPr>
          <w:snapToGrid w:val="0"/>
          <w:sz w:val="22"/>
          <w:szCs w:val="22"/>
          <w:lang w:val="sk-SK"/>
        </w:rPr>
        <w:t>y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pri jeho </w:t>
      </w:r>
      <w:proofErr w:type="spellStart"/>
      <w:r w:rsidRPr="004256FA">
        <w:rPr>
          <w:snapToGrid w:val="0"/>
          <w:sz w:val="22"/>
          <w:szCs w:val="22"/>
          <w:lang w:val="sk-SK"/>
        </w:rPr>
        <w:t>subterapeutických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hladinách, sa pokladá za pravdepodobné, že </w:t>
      </w:r>
      <w:proofErr w:type="spellStart"/>
      <w:r w:rsidRPr="004256FA">
        <w:rPr>
          <w:snapToGrid w:val="0"/>
          <w:sz w:val="22"/>
          <w:szCs w:val="22"/>
          <w:lang w:val="sk-SK"/>
        </w:rPr>
        <w:t>ganciklovir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by mohol zapríčiniť inhibíciu </w:t>
      </w:r>
      <w:proofErr w:type="spellStart"/>
      <w:r w:rsidRPr="004256FA">
        <w:rPr>
          <w:snapToGrid w:val="0"/>
          <w:sz w:val="22"/>
          <w:szCs w:val="22"/>
          <w:lang w:val="sk-SK"/>
        </w:rPr>
        <w:t>spermatogenézy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u mužov.</w:t>
      </w:r>
    </w:p>
    <w:p w:rsidR="0010462A" w:rsidRPr="0051192C" w:rsidRDefault="0010462A" w:rsidP="0010462A">
      <w:pPr>
        <w:pStyle w:val="Text"/>
        <w:rPr>
          <w:rFonts w:ascii="Times New Roman" w:hAnsi="Times New Roman"/>
          <w:sz w:val="22"/>
          <w:szCs w:val="22"/>
          <w:lang w:val="sk-SK"/>
        </w:rPr>
      </w:pPr>
    </w:p>
    <w:p w:rsidR="0010462A" w:rsidRPr="00D92492" w:rsidRDefault="0010462A" w:rsidP="0010462A">
      <w:pPr>
        <w:rPr>
          <w:rFonts w:ascii="Times New Roman" w:hAnsi="Times New Roman"/>
          <w:caps/>
          <w:sz w:val="22"/>
          <w:szCs w:val="22"/>
          <w:lang w:val="sk-SK"/>
        </w:rPr>
      </w:pPr>
    </w:p>
    <w:p w:rsidR="0010462A" w:rsidRPr="00AF1AB0" w:rsidRDefault="0010462A" w:rsidP="0010462A">
      <w:pPr>
        <w:keepNext/>
        <w:keepLines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6.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Farmaceutické informácie</w:t>
      </w:r>
    </w:p>
    <w:p w:rsidR="0010462A" w:rsidRPr="00D92492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6.1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Zoznam pomocných látok</w:t>
      </w:r>
    </w:p>
    <w:p w:rsidR="0010462A" w:rsidRPr="00AF1AB0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10462A" w:rsidRPr="001D2AF2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Hydroxid sodný (na úpravu pH)</w:t>
      </w:r>
    </w:p>
    <w:p w:rsidR="0010462A" w:rsidRPr="001D2AF2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Kyselina chlorovodíková (na úpravu pH)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6.2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Inkompatibility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lastRenderedPageBreak/>
        <w:t xml:space="preserve">Nevykonali sa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štúdie kompatibility,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preto sa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tento liek nesmie </w:t>
      </w:r>
      <w:r>
        <w:rPr>
          <w:rFonts w:ascii="Times New Roman" w:hAnsi="Times New Roman"/>
          <w:sz w:val="22"/>
          <w:szCs w:val="24"/>
          <w:lang w:val="sk-SK" w:eastAsia="ja-JP"/>
        </w:rPr>
        <w:t>miešať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s inými liekmi </w:t>
      </w:r>
      <w:r>
        <w:rPr>
          <w:rFonts w:ascii="Times New Roman" w:hAnsi="Times New Roman"/>
          <w:sz w:val="22"/>
          <w:szCs w:val="24"/>
          <w:lang w:val="sk-SK" w:eastAsia="ja-JP"/>
        </w:rPr>
        <w:t>okrem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tých, ktoré sú uvedené v časti 6.6. Nepoužívať 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bakteriostatickú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vodu na injekciu s prísadou 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parabénov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(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parahydroxybenzoáty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), pretože sú s 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inkompatibilné a môžu spôsobovať 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precipitáciu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>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6.3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Čas použiteľnosti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F1AB0">
        <w:rPr>
          <w:rFonts w:ascii="Times New Roman" w:hAnsi="Times New Roman"/>
          <w:sz w:val="22"/>
          <w:szCs w:val="22"/>
          <w:lang w:val="sk-SK"/>
        </w:rPr>
        <w:t>roky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Po rekonštitúcii:</w:t>
      </w: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Chemická a fyzikálna stabilita pre použitie bola u rekonštituovaného lieku (po jeho rozpustení vo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vode na injekciu) preukázaná počas 12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hodín pri teplote 25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°C. Neuchovávajte v chladničke alebo mrazničke.</w:t>
      </w: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Z mikrobiologického hľadiska sa má rekonštituovaný roztok použiť okamžite. Ak sa nepoužije okamžite, za dobu uchovávania a za podmienky pred použitím je zodpovedný používateľ.</w:t>
      </w: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Po rozriedení:</w:t>
      </w: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Chemická a fyzikálna stabilita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pre použitie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sa preukázala počas 24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hodín pri teplote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°C (nezmrazujte).</w:t>
      </w: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Z mikrobiologického hľadiska sa má infúzny roztok 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použiť okamžite. Ak sa nepoužije okamžite, za dobu uchovávania a za podmienky pred použitím je zodpovedný používateľ, doba nesmie prekročiť 24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hodín pri teplote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°C až 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°C, </w:t>
      </w:r>
      <w:r>
        <w:rPr>
          <w:rFonts w:ascii="Times New Roman" w:hAnsi="Times New Roman"/>
          <w:sz w:val="22"/>
          <w:szCs w:val="24"/>
          <w:lang w:val="sk-SK" w:eastAsia="ja-JP"/>
        </w:rPr>
        <w:t>pokiaľ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rozpustenie vo vode na injekciu (rekonštitúcia)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riedenie </w:t>
      </w:r>
      <w:r>
        <w:rPr>
          <w:rFonts w:ascii="Times New Roman" w:hAnsi="Times New Roman"/>
          <w:sz w:val="22"/>
          <w:szCs w:val="24"/>
          <w:lang w:val="sk-SK" w:eastAsia="ja-JP"/>
        </w:rPr>
        <w:t>ne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prebehlo za kontrolovaných 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validovaných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aseptických podmienok.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6.4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Špeciálne u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>pozorneni</w:t>
      </w:r>
      <w:r>
        <w:rPr>
          <w:rFonts w:ascii="Times New Roman" w:hAnsi="Times New Roman"/>
          <w:b/>
          <w:sz w:val="22"/>
          <w:szCs w:val="22"/>
          <w:lang w:val="sk-SK"/>
        </w:rPr>
        <w:t>a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na </w:t>
      </w:r>
      <w:r>
        <w:rPr>
          <w:rFonts w:ascii="Times New Roman" w:hAnsi="Times New Roman"/>
          <w:b/>
          <w:sz w:val="22"/>
          <w:szCs w:val="22"/>
          <w:lang w:val="sk-SK"/>
        </w:rPr>
        <w:t>uchovávanie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Tento liek nevyžaduje žiadne zvláštne podmienky na </w:t>
      </w:r>
      <w:r>
        <w:rPr>
          <w:rFonts w:ascii="Times New Roman" w:hAnsi="Times New Roman"/>
          <w:sz w:val="22"/>
          <w:szCs w:val="24"/>
          <w:lang w:val="sk-SK" w:eastAsia="ja-JP"/>
        </w:rPr>
        <w:t>uchovávanie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.</w:t>
      </w:r>
    </w:p>
    <w:p w:rsidR="0010462A" w:rsidRPr="001D2AF2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P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odmienky </w:t>
      </w:r>
      <w:r w:rsidRPr="00E20E82">
        <w:rPr>
          <w:rFonts w:ascii="Times New Roman" w:hAnsi="Times New Roman"/>
          <w:sz w:val="22"/>
          <w:szCs w:val="24"/>
          <w:lang w:val="sk-SK" w:eastAsia="ja-JP"/>
        </w:rPr>
        <w:t>na uchovávanie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po rekonštitúcii a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riedení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lieku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, 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6.3.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6.5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Druh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obalu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a obsah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balenia</w:t>
      </w:r>
    </w:p>
    <w:p w:rsidR="0010462A" w:rsidRPr="00AF1AB0" w:rsidRDefault="0010462A" w:rsidP="0010462A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10462A" w:rsidRPr="00F073EA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F073EA">
        <w:rPr>
          <w:rFonts w:ascii="Times New Roman" w:hAnsi="Times New Roman"/>
          <w:sz w:val="22"/>
          <w:szCs w:val="24"/>
          <w:lang w:val="sk-SK" w:eastAsia="ja-JP"/>
        </w:rPr>
        <w:t>Balenie na jedno použitie obsahuje jednu 10 ml sklenenú injekčnú liekovku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proofErr w:type="spellStart"/>
      <w:r w:rsidRPr="00F073EA">
        <w:rPr>
          <w:rFonts w:ascii="Times New Roman" w:hAnsi="Times New Roman"/>
          <w:sz w:val="22"/>
          <w:szCs w:val="24"/>
          <w:lang w:val="sk-SK" w:eastAsia="ja-JP"/>
        </w:rPr>
        <w:t>fluoro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živicov</w:t>
      </w:r>
      <w:r>
        <w:rPr>
          <w:rFonts w:ascii="Times New Roman" w:hAnsi="Times New Roman"/>
          <w:sz w:val="22"/>
          <w:szCs w:val="24"/>
          <w:lang w:val="sk-SK" w:eastAsia="ja-JP"/>
        </w:rPr>
        <w:t>ou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zalaminovan</w:t>
      </w:r>
      <w:r>
        <w:rPr>
          <w:rFonts w:ascii="Times New Roman" w:hAnsi="Times New Roman"/>
          <w:sz w:val="22"/>
          <w:szCs w:val="24"/>
          <w:lang w:val="sk-SK" w:eastAsia="ja-JP"/>
        </w:rPr>
        <w:t>ou/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silikonizovanou</w:t>
      </w:r>
      <w:proofErr w:type="spellEnd"/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kaučuko</w:t>
      </w:r>
      <w:r>
        <w:rPr>
          <w:rFonts w:ascii="Times New Roman" w:hAnsi="Times New Roman"/>
          <w:sz w:val="22"/>
          <w:szCs w:val="24"/>
          <w:lang w:val="sk-SK" w:eastAsia="ja-JP"/>
        </w:rPr>
        <w:t>vou zátkou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a hliníkovým uz</w:t>
      </w:r>
      <w:r>
        <w:rPr>
          <w:rFonts w:ascii="Times New Roman" w:hAnsi="Times New Roman"/>
          <w:sz w:val="22"/>
          <w:szCs w:val="24"/>
          <w:lang w:val="sk-SK" w:eastAsia="ja-JP"/>
        </w:rPr>
        <w:t>áverom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s odtrhávacím viečkom (</w:t>
      </w:r>
      <w:proofErr w:type="spellStart"/>
      <w:r w:rsidRPr="00F073EA">
        <w:rPr>
          <w:rFonts w:ascii="Times New Roman" w:hAnsi="Times New Roman"/>
          <w:sz w:val="22"/>
          <w:szCs w:val="24"/>
          <w:lang w:val="sk-SK" w:eastAsia="ja-JP"/>
        </w:rPr>
        <w:t>flip-off</w:t>
      </w:r>
      <w:proofErr w:type="spellEnd"/>
      <w:r w:rsidRPr="00F073EA">
        <w:rPr>
          <w:rFonts w:ascii="Times New Roman" w:hAnsi="Times New Roman"/>
          <w:sz w:val="22"/>
          <w:szCs w:val="24"/>
          <w:lang w:val="sk-SK" w:eastAsia="ja-JP"/>
        </w:rPr>
        <w:t>).</w:t>
      </w:r>
    </w:p>
    <w:p w:rsidR="0010462A" w:rsidRPr="00F073EA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F073EA">
        <w:rPr>
          <w:rFonts w:ascii="Times New Roman" w:hAnsi="Times New Roman"/>
          <w:sz w:val="22"/>
          <w:szCs w:val="24"/>
          <w:lang w:val="sk-SK" w:eastAsia="ja-JP"/>
        </w:rPr>
        <w:t>Dostupné v baleniach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alebo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injekčnými liekovkami.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F073EA">
        <w:rPr>
          <w:rFonts w:ascii="Times New Roman" w:hAnsi="Times New Roman"/>
          <w:sz w:val="22"/>
          <w:szCs w:val="24"/>
          <w:lang w:val="sk-SK" w:eastAsia="ja-JP"/>
        </w:rPr>
        <w:t>Na trh nemusia byť uvedené všetky veľkosti balenia.</w:t>
      </w:r>
    </w:p>
    <w:p w:rsidR="0010462A" w:rsidRPr="00AF1AB0" w:rsidRDefault="0010462A" w:rsidP="0010462A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6.6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Špeciálne opatrenia na likvidáciu a na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zaobchádzani</w:t>
      </w:r>
      <w:r>
        <w:rPr>
          <w:rFonts w:ascii="Times New Roman" w:hAnsi="Times New Roman"/>
          <w:b/>
          <w:sz w:val="22"/>
          <w:szCs w:val="22"/>
          <w:lang w:val="sk-SK"/>
        </w:rPr>
        <w:t>e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s liekom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C86475" w:rsidRDefault="0010462A" w:rsidP="0010462A">
      <w:pPr>
        <w:rPr>
          <w:rFonts w:ascii="Times New Roman" w:hAnsi="Times New Roman"/>
          <w:b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Pri zaobchádzaní s </w:t>
      </w:r>
      <w:proofErr w:type="spellStart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 xml:space="preserve"> je potrebná opatrnosť.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Keďže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sa pokladá u ľudí za potenciálne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teratogénne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a karcinogénne, pri zaobchádzaní s ním je potrebná opatrnosť. Je nutné zabrániť inhalácii prášku alebo priamemu kontaktu prášku v liekovkách, alebo pripraveného roztoku s kožou alebo sliznicami. Roztok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je alkalický (pH je približne 11). Pri náhodnom kontakte je potrebné zasiahnutú časť dôkladne umyť mydlom a vodou, zasiahnuté oči dôkladne vypláchnuť čistou vodou.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u w:val="single"/>
          <w:lang w:val="sk-SK" w:eastAsia="ja-JP"/>
        </w:rPr>
        <w:t>Príprava rekonštituovaného koncentrátu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Rekonštitúcia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lyofilizátu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má prebiehať za aseptických podmienok.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b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1. Odtrhávacie viečko sa má odstrániť, aby sa sprístupnila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stredná časť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kaučukov</w:t>
      </w:r>
      <w:r>
        <w:rPr>
          <w:rFonts w:ascii="Times New Roman" w:hAnsi="Times New Roman"/>
          <w:sz w:val="22"/>
          <w:szCs w:val="24"/>
          <w:lang w:val="sk-SK" w:eastAsia="ja-JP"/>
        </w:rPr>
        <w:t>ej zátky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. Natiahnite 10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ml vody na injekciu do striekačky a potom pomaly vstrieknite stredom kaučukov</w:t>
      </w:r>
      <w:r>
        <w:rPr>
          <w:rFonts w:ascii="Times New Roman" w:hAnsi="Times New Roman"/>
          <w:sz w:val="22"/>
          <w:szCs w:val="24"/>
          <w:lang w:val="sk-SK" w:eastAsia="ja-JP"/>
        </w:rPr>
        <w:t>ej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ja-JP"/>
        </w:rPr>
        <w:t>zátky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do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injekčnej liekovky, ihlu striekačky nasmerujte k stene liekovky. </w:t>
      </w:r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 xml:space="preserve">Nepoužívať </w:t>
      </w:r>
      <w:proofErr w:type="spellStart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bakteriostatickú</w:t>
      </w:r>
      <w:proofErr w:type="spellEnd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 xml:space="preserve"> vodu </w:t>
      </w:r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lastRenderedPageBreak/>
        <w:t xml:space="preserve">na injekciu s prísadou </w:t>
      </w:r>
      <w:proofErr w:type="spellStart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parabénov</w:t>
      </w:r>
      <w:proofErr w:type="spellEnd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 xml:space="preserve"> (</w:t>
      </w:r>
      <w:proofErr w:type="spellStart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parahydroxybenzoáty</w:t>
      </w:r>
      <w:proofErr w:type="spellEnd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), pretože nie je s </w:t>
      </w:r>
      <w:proofErr w:type="spellStart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 xml:space="preserve"> kompatibilná.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2. Injekčnou liekovkou sa má jemne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zakrúžiť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, aby sa zaistilo, že sa látka rozpustí.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3. Injekčnou liekovkou sa má niekoľko minút jemne krúžiť/triasť, aby sa dosiahol čistý, rekonštituovaný roztok.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4. Rekonštituovaný roztok sa má starostlivo skontrolovať, aby sa zaistilo, že liek je rozpustený a prakticky bez viditeľných častíc ešte pred rozriedením kompatibilným rozpúšťadlom. Farba rekonštituovaného roztoku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môže byť bezfarebná až svetložltá.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P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odmienky </w:t>
      </w:r>
      <w:r>
        <w:rPr>
          <w:rFonts w:ascii="Times New Roman" w:hAnsi="Times New Roman"/>
          <w:sz w:val="22"/>
          <w:szCs w:val="24"/>
          <w:lang w:val="sk-SK" w:eastAsia="ja-JP"/>
        </w:rPr>
        <w:t>na uchovávanie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rekonštituovaného koncentrátu, 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6.3.</w:t>
      </w:r>
    </w:p>
    <w:p w:rsidR="0010462A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u w:val="single"/>
          <w:lang w:val="sk-SK" w:eastAsia="ja-JP"/>
        </w:rPr>
        <w:t>Príprava konečného riedeného roztoku na infúziu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Na základe telesnej hmotnosti pacienta sa ihlou z injekčnej liekovky odoberie adekvátny objem a následne sa nariedi do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príslušného roztoku na infúziu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. Do rekonštituovaného roztoku sa pridá 100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ml riediaceho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roztoku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. Infúzne koncentrácie väčšie než 10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mg/ml sa neodporúčajú.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Chlorid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sodný,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%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dextróza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Ringerov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roztok alebo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Ringerov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roztok s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mliečnanom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sodným sú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určené ako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chemicky alebo fyzikálne kompatibilné s 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>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sa nemá miešať s inými liekmi podávanými intravenózne.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Zriedený roztok sa má následne podať intravenóznou infúziou počas viac ako 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hodiny, ako je uvedené 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časti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4.2. Nepodávajte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intramuskulárnou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alebo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subkutánnou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injekciou, pretože to môže vyvolať závažné podráždenie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tkaniva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z dôvodu vysokého pH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(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približne 11) roztoku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>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P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odmienky </w:t>
      </w:r>
      <w:r>
        <w:rPr>
          <w:rFonts w:ascii="Times New Roman" w:hAnsi="Times New Roman"/>
          <w:sz w:val="22"/>
          <w:szCs w:val="24"/>
          <w:lang w:val="sk-SK" w:eastAsia="ja-JP"/>
        </w:rPr>
        <w:t>na uchovávanie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nariedeného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infúzneho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roztoku, 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6.3.</w:t>
      </w:r>
    </w:p>
    <w:p w:rsidR="0010462A" w:rsidRPr="00C86475" w:rsidRDefault="0010462A" w:rsidP="0010462A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:rsidR="0010462A" w:rsidRPr="00C86475" w:rsidRDefault="0010462A" w:rsidP="0010462A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u w:val="single"/>
          <w:lang w:val="sk-SK" w:eastAsia="ja-JP"/>
        </w:rPr>
        <w:t>Likvidácia</w:t>
      </w:r>
    </w:p>
    <w:p w:rsidR="0010462A" w:rsidRPr="00C86475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:rsidR="0010462A" w:rsidRPr="00C86475" w:rsidRDefault="0010462A" w:rsidP="0010462A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Len na jednorazové použitie. Všetok nepoužitý liek alebo odpad vzniknutý z lieku sa má zlikvidovať v súlade s národnými požiadavkami.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7.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Držiteľ rozhodnutia o registrácii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2C6B2A" w:rsidRDefault="002C6B2A" w:rsidP="002C6B2A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CHEPLAPHARM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Arzneimittel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GmbH</w:t>
      </w:r>
      <w:proofErr w:type="spellEnd"/>
    </w:p>
    <w:p w:rsidR="002C6B2A" w:rsidRDefault="002C6B2A" w:rsidP="002C6B2A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Ziegelhof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24</w:t>
      </w:r>
    </w:p>
    <w:p w:rsidR="002C6B2A" w:rsidRPr="0095307C" w:rsidRDefault="002C6B2A" w:rsidP="002C6B2A">
      <w:pPr>
        <w:rPr>
          <w:rFonts w:ascii="Times New Roman" w:hAnsi="Times New Roman"/>
          <w:iCs/>
          <w:sz w:val="22"/>
          <w:szCs w:val="22"/>
          <w:lang w:val="sk-SK"/>
        </w:rPr>
      </w:pPr>
      <w:r w:rsidRPr="0095307C">
        <w:rPr>
          <w:rFonts w:ascii="Times New Roman" w:hAnsi="Times New Roman"/>
          <w:iCs/>
          <w:sz w:val="22"/>
          <w:szCs w:val="22"/>
          <w:lang w:val="sk-SK"/>
        </w:rPr>
        <w:t xml:space="preserve">17489 </w:t>
      </w:r>
      <w:proofErr w:type="spellStart"/>
      <w:r w:rsidRPr="0095307C">
        <w:rPr>
          <w:rFonts w:ascii="Times New Roman" w:hAnsi="Times New Roman"/>
          <w:iCs/>
          <w:sz w:val="22"/>
          <w:szCs w:val="22"/>
          <w:lang w:val="sk-SK"/>
        </w:rPr>
        <w:t>Greifswald</w:t>
      </w:r>
      <w:proofErr w:type="spellEnd"/>
    </w:p>
    <w:p w:rsidR="002C6B2A" w:rsidRPr="00910C70" w:rsidRDefault="002C6B2A" w:rsidP="002C6B2A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Nemecko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8.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Registračné číslo</w:t>
      </w:r>
    </w:p>
    <w:p w:rsidR="0010462A" w:rsidRPr="000F6AA6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42/0138/91-C/S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9.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 xml:space="preserve">dátum 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 xml:space="preserve">PRVEJ </w:t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REGISTRÁCIE/predĺženia registrácie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6D4FD5">
        <w:rPr>
          <w:rFonts w:ascii="Times New Roman" w:hAnsi="Times New Roman"/>
          <w:sz w:val="22"/>
          <w:szCs w:val="22"/>
          <w:lang w:val="sk-SK"/>
        </w:rPr>
        <w:t xml:space="preserve">Dátum prvej registrácie: </w:t>
      </w:r>
      <w:r w:rsidRPr="00AF1AB0">
        <w:rPr>
          <w:rFonts w:ascii="Times New Roman" w:hAnsi="Times New Roman"/>
          <w:sz w:val="22"/>
          <w:szCs w:val="22"/>
          <w:lang w:val="sk-SK"/>
        </w:rPr>
        <w:t>20.</w:t>
      </w:r>
      <w:r>
        <w:rPr>
          <w:rFonts w:ascii="Times New Roman" w:hAnsi="Times New Roman"/>
          <w:sz w:val="22"/>
          <w:szCs w:val="22"/>
          <w:lang w:val="sk-SK"/>
        </w:rPr>
        <w:t xml:space="preserve"> marca </w:t>
      </w:r>
      <w:r w:rsidRPr="00AF1AB0">
        <w:rPr>
          <w:rFonts w:ascii="Times New Roman" w:hAnsi="Times New Roman"/>
          <w:sz w:val="22"/>
          <w:szCs w:val="22"/>
          <w:lang w:val="sk-SK"/>
        </w:rPr>
        <w:t>1991</w:t>
      </w: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  <w:r w:rsidRPr="006D4FD5">
        <w:rPr>
          <w:rFonts w:ascii="Times New Roman" w:hAnsi="Times New Roman"/>
          <w:sz w:val="22"/>
          <w:szCs w:val="22"/>
          <w:lang w:val="sk-SK"/>
        </w:rPr>
        <w:t xml:space="preserve">Dátum posledného predĺženia registrácie: </w:t>
      </w:r>
      <w:r>
        <w:rPr>
          <w:rFonts w:ascii="Times New Roman" w:hAnsi="Times New Roman"/>
          <w:sz w:val="22"/>
          <w:szCs w:val="22"/>
          <w:lang w:val="sk-SK"/>
        </w:rPr>
        <w:t>28. apríla 2016</w:t>
      </w:r>
    </w:p>
    <w:p w:rsidR="0010462A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Pr="00AF1AB0" w:rsidRDefault="0010462A" w:rsidP="0010462A">
      <w:pPr>
        <w:rPr>
          <w:rFonts w:ascii="Times New Roman" w:hAnsi="Times New Ro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lastRenderedPageBreak/>
        <w:t>10.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Dátum revízie textu</w:t>
      </w:r>
    </w:p>
    <w:p w:rsidR="0010462A" w:rsidRPr="000F6AA6" w:rsidRDefault="0010462A" w:rsidP="0010462A">
      <w:pPr>
        <w:rPr>
          <w:rFonts w:ascii="Times New Roman" w:hAnsi="Times New Roman"/>
          <w:caps/>
          <w:sz w:val="22"/>
          <w:szCs w:val="22"/>
          <w:lang w:val="sk-SK"/>
        </w:rPr>
      </w:pPr>
    </w:p>
    <w:p w:rsidR="00D95E9A" w:rsidRDefault="000A2A52" w:rsidP="0010462A">
      <w:pPr>
        <w:outlineLvl w:val="0"/>
        <w:rPr>
          <w:rFonts w:ascii="Times New Roman" w:hAnsi="Times New Roman"/>
          <w:sz w:val="22"/>
          <w:szCs w:val="22"/>
          <w:lang w:val="sk-SK"/>
        </w:rPr>
      </w:pPr>
      <w:bookmarkStart w:id="10" w:name="_GoBack"/>
      <w:bookmarkEnd w:id="10"/>
      <w:r>
        <w:rPr>
          <w:rFonts w:ascii="Times New Roman" w:hAnsi="Times New Roman"/>
          <w:sz w:val="22"/>
          <w:szCs w:val="22"/>
          <w:lang w:val="sk-SK"/>
        </w:rPr>
        <w:t>02/2019</w:t>
      </w:r>
    </w:p>
    <w:p w:rsidR="00C26556" w:rsidRDefault="0010462A" w:rsidP="0010462A">
      <w:pPr>
        <w:outlineLvl w:val="0"/>
        <w:rPr>
          <w:rFonts w:ascii="Times New Roman" w:hAnsi="Times New Roman"/>
          <w:sz w:val="22"/>
          <w:szCs w:val="22"/>
          <w:lang w:val="sk-SK"/>
        </w:rPr>
      </w:pPr>
      <w:r w:rsidRPr="00B3607B">
        <w:rPr>
          <w:rFonts w:ascii="Times New Roman" w:hAnsi="Times New Roman"/>
          <w:sz w:val="22"/>
          <w:szCs w:val="22"/>
          <w:lang w:val="sk-SK"/>
        </w:rPr>
        <w:t xml:space="preserve">Podrobné </w:t>
      </w:r>
      <w:r>
        <w:rPr>
          <w:rFonts w:ascii="Times New Roman" w:hAnsi="Times New Roman"/>
          <w:sz w:val="22"/>
          <w:szCs w:val="22"/>
          <w:lang w:val="sk-SK"/>
        </w:rPr>
        <w:t xml:space="preserve">informácie o tomto lieku sú dostupné na internetovej stránke </w:t>
      </w:r>
      <w:hyperlink r:id="rId9" w:history="1">
        <w:r w:rsidRPr="00A9670C">
          <w:rPr>
            <w:rStyle w:val="Hypertextovprepojenie"/>
            <w:rFonts w:ascii="Times New Roman" w:hAnsi="Times New Roman"/>
            <w:sz w:val="22"/>
            <w:szCs w:val="22"/>
            <w:lang w:val="sk-SK"/>
          </w:rPr>
          <w:t>www.sukl.sk</w:t>
        </w:r>
      </w:hyperlink>
    </w:p>
    <w:sectPr w:rsidR="00C26556" w:rsidSect="00B3403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21E" w:rsidRDefault="0076521E" w:rsidP="0010462A">
      <w:r>
        <w:separator/>
      </w:r>
    </w:p>
  </w:endnote>
  <w:endnote w:type="continuationSeparator" w:id="0">
    <w:p w:rsidR="0076521E" w:rsidRDefault="0076521E" w:rsidP="0010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065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C6B2A" w:rsidRDefault="002C6B2A">
        <w:pPr>
          <w:pStyle w:val="Pta"/>
          <w:jc w:val="center"/>
        </w:pPr>
        <w:r w:rsidRPr="00B36561">
          <w:rPr>
            <w:rFonts w:ascii="Times New Roman" w:hAnsi="Times New Roman"/>
            <w:sz w:val="22"/>
            <w:szCs w:val="22"/>
          </w:rPr>
          <w:fldChar w:fldCharType="begin"/>
        </w:r>
        <w:r w:rsidRPr="00B3656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B36561">
          <w:rPr>
            <w:rFonts w:ascii="Times New Roman" w:hAnsi="Times New Roman"/>
            <w:sz w:val="22"/>
            <w:szCs w:val="22"/>
          </w:rPr>
          <w:fldChar w:fldCharType="separate"/>
        </w:r>
        <w:r w:rsidR="00E31D87">
          <w:rPr>
            <w:rFonts w:ascii="Times New Roman" w:hAnsi="Times New Roman"/>
            <w:noProof/>
            <w:sz w:val="22"/>
            <w:szCs w:val="22"/>
          </w:rPr>
          <w:t>20</w:t>
        </w:r>
        <w:r w:rsidRPr="00B3656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C6B2A" w:rsidRDefault="002C6B2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21E" w:rsidRDefault="0076521E" w:rsidP="0010462A">
      <w:r>
        <w:separator/>
      </w:r>
    </w:p>
  </w:footnote>
  <w:footnote w:type="continuationSeparator" w:id="0">
    <w:p w:rsidR="0076521E" w:rsidRDefault="0076521E" w:rsidP="00104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B2A" w:rsidRPr="007020AD" w:rsidRDefault="002C6B2A" w:rsidP="002C6B2A">
    <w:pPr>
      <w:pStyle w:val="Hlavika"/>
      <w:rPr>
        <w:rFonts w:ascii="Times New Roman" w:hAnsi="Times New Roman"/>
        <w:sz w:val="18"/>
        <w:szCs w:val="18"/>
      </w:rPr>
    </w:pPr>
    <w:proofErr w:type="spellStart"/>
    <w:r w:rsidRPr="007020AD">
      <w:rPr>
        <w:rFonts w:ascii="Times New Roman" w:hAnsi="Times New Roman"/>
        <w:sz w:val="18"/>
        <w:szCs w:val="18"/>
      </w:rPr>
      <w:t>Schválený</w:t>
    </w:r>
    <w:proofErr w:type="spellEnd"/>
    <w:r w:rsidRPr="007020AD">
      <w:rPr>
        <w:rFonts w:ascii="Times New Roman" w:hAnsi="Times New Roman"/>
        <w:sz w:val="18"/>
        <w:szCs w:val="18"/>
      </w:rPr>
      <w:t xml:space="preserve"> text k </w:t>
    </w:r>
    <w:proofErr w:type="spellStart"/>
    <w:r w:rsidRPr="007020AD">
      <w:rPr>
        <w:rFonts w:ascii="Times New Roman" w:hAnsi="Times New Roman"/>
        <w:sz w:val="18"/>
        <w:szCs w:val="18"/>
      </w:rPr>
      <w:t>rozhodnutiu</w:t>
    </w:r>
    <w:proofErr w:type="spellEnd"/>
    <w:r w:rsidRPr="007020AD">
      <w:rPr>
        <w:rFonts w:ascii="Times New Roman" w:hAnsi="Times New Roman"/>
        <w:sz w:val="18"/>
        <w:szCs w:val="18"/>
      </w:rPr>
      <w:t xml:space="preserve"> o </w:t>
    </w:r>
    <w:proofErr w:type="spellStart"/>
    <w:r w:rsidR="00AD48BC">
      <w:rPr>
        <w:rFonts w:ascii="Times New Roman" w:hAnsi="Times New Roman"/>
        <w:sz w:val="18"/>
        <w:szCs w:val="18"/>
      </w:rPr>
      <w:t>prevode</w:t>
    </w:r>
    <w:proofErr w:type="spellEnd"/>
    <w:r w:rsidRPr="007020AD">
      <w:rPr>
        <w:rFonts w:ascii="Times New Roman" w:hAnsi="Times New Roman"/>
        <w:sz w:val="18"/>
        <w:szCs w:val="18"/>
      </w:rPr>
      <w:t xml:space="preserve">, </w:t>
    </w:r>
    <w:proofErr w:type="spellStart"/>
    <w:r w:rsidRPr="007020AD">
      <w:rPr>
        <w:rFonts w:ascii="Times New Roman" w:hAnsi="Times New Roman"/>
        <w:sz w:val="18"/>
        <w:szCs w:val="18"/>
      </w:rPr>
      <w:t>ev.č</w:t>
    </w:r>
    <w:proofErr w:type="spellEnd"/>
    <w:r w:rsidRPr="007020AD">
      <w:rPr>
        <w:rFonts w:ascii="Times New Roman" w:hAnsi="Times New Roman"/>
        <w:sz w:val="18"/>
        <w:szCs w:val="18"/>
      </w:rPr>
      <w:t xml:space="preserve">. </w:t>
    </w:r>
    <w:r w:rsidR="00AD48BC">
      <w:rPr>
        <w:rFonts w:ascii="Times New Roman" w:hAnsi="Times New Roman"/>
        <w:sz w:val="18"/>
        <w:szCs w:val="18"/>
      </w:rPr>
      <w:t>2018/07624-TR</w:t>
    </w:r>
  </w:p>
  <w:p w:rsidR="002C6B2A" w:rsidRPr="00C766C4" w:rsidRDefault="002C6B2A" w:rsidP="00627089">
    <w:pPr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85E48"/>
    <w:multiLevelType w:val="singleLevel"/>
    <w:tmpl w:val="6C5C92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59F4D74"/>
    <w:multiLevelType w:val="hybridMultilevel"/>
    <w:tmpl w:val="41BE7D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E6BB7"/>
    <w:multiLevelType w:val="singleLevel"/>
    <w:tmpl w:val="2E086E46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A8547FA"/>
    <w:multiLevelType w:val="singleLevel"/>
    <w:tmpl w:val="08B0C2DC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76541B1"/>
    <w:multiLevelType w:val="hybridMultilevel"/>
    <w:tmpl w:val="EE386C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958E2"/>
    <w:multiLevelType w:val="hybridMultilevel"/>
    <w:tmpl w:val="1922A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14CAF"/>
    <w:multiLevelType w:val="hybridMultilevel"/>
    <w:tmpl w:val="8DB00202"/>
    <w:lvl w:ilvl="0" w:tplc="65BA1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93795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9" w15:restartNumberingAfterBreak="0">
    <w:nsid w:val="35927311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0" w15:restartNumberingAfterBreak="0">
    <w:nsid w:val="395C3056"/>
    <w:multiLevelType w:val="hybridMultilevel"/>
    <w:tmpl w:val="4EF23108"/>
    <w:lvl w:ilvl="0" w:tplc="61A43C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55DCE"/>
    <w:multiLevelType w:val="hybridMultilevel"/>
    <w:tmpl w:val="FEEA2630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4843A57"/>
    <w:multiLevelType w:val="singleLevel"/>
    <w:tmpl w:val="AC00199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DB718DD"/>
    <w:multiLevelType w:val="hybridMultilevel"/>
    <w:tmpl w:val="1BB093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18A5F15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5" w15:restartNumberingAfterBreak="0">
    <w:nsid w:val="5A5B28CE"/>
    <w:multiLevelType w:val="hybridMultilevel"/>
    <w:tmpl w:val="54E8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433C3"/>
    <w:multiLevelType w:val="hybridMultilevel"/>
    <w:tmpl w:val="D362EA74"/>
    <w:lvl w:ilvl="0" w:tplc="2FF666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66972"/>
    <w:multiLevelType w:val="hybridMultilevel"/>
    <w:tmpl w:val="28BCF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82077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9" w15:restartNumberingAfterBreak="0">
    <w:nsid w:val="61507594"/>
    <w:multiLevelType w:val="hybridMultilevel"/>
    <w:tmpl w:val="24C034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CC283F"/>
    <w:multiLevelType w:val="hybridMultilevel"/>
    <w:tmpl w:val="572A3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BE4F59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22" w15:restartNumberingAfterBreak="0">
    <w:nsid w:val="78505BCA"/>
    <w:multiLevelType w:val="hybridMultilevel"/>
    <w:tmpl w:val="64348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96534"/>
    <w:multiLevelType w:val="hybridMultilevel"/>
    <w:tmpl w:val="703A0356"/>
    <w:lvl w:ilvl="0" w:tplc="08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7B97189A"/>
    <w:multiLevelType w:val="hybridMultilevel"/>
    <w:tmpl w:val="0F384C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8"/>
  </w:num>
  <w:num w:numId="4">
    <w:abstractNumId w:val="9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3"/>
  </w:num>
  <w:num w:numId="8">
    <w:abstractNumId w:val="23"/>
  </w:num>
  <w:num w:numId="9">
    <w:abstractNumId w:val="2"/>
  </w:num>
  <w:num w:numId="10">
    <w:abstractNumId w:val="19"/>
  </w:num>
  <w:num w:numId="11">
    <w:abstractNumId w:val="5"/>
  </w:num>
  <w:num w:numId="12">
    <w:abstractNumId w:val="20"/>
  </w:num>
  <w:num w:numId="13">
    <w:abstractNumId w:val="22"/>
  </w:num>
  <w:num w:numId="14">
    <w:abstractNumId w:val="24"/>
  </w:num>
  <w:num w:numId="15">
    <w:abstractNumId w:val="11"/>
  </w:num>
  <w:num w:numId="16">
    <w:abstractNumId w:val="6"/>
  </w:num>
  <w:num w:numId="17">
    <w:abstractNumId w:val="17"/>
  </w:num>
  <w:num w:numId="18">
    <w:abstractNumId w:val="1"/>
  </w:num>
  <w:num w:numId="19">
    <w:abstractNumId w:val="12"/>
  </w:num>
  <w:num w:numId="20">
    <w:abstractNumId w:val="3"/>
  </w:num>
  <w:num w:numId="21">
    <w:abstractNumId w:val="4"/>
  </w:num>
  <w:num w:numId="22">
    <w:abstractNumId w:val="15"/>
  </w:num>
  <w:num w:numId="23">
    <w:abstractNumId w:val="7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C2"/>
    <w:rsid w:val="00000203"/>
    <w:rsid w:val="00020E9D"/>
    <w:rsid w:val="00040673"/>
    <w:rsid w:val="00042929"/>
    <w:rsid w:val="000A2A52"/>
    <w:rsid w:val="000B6F07"/>
    <w:rsid w:val="000C00E6"/>
    <w:rsid w:val="000D015B"/>
    <w:rsid w:val="000E11AE"/>
    <w:rsid w:val="000E5DAD"/>
    <w:rsid w:val="000F5085"/>
    <w:rsid w:val="001017EC"/>
    <w:rsid w:val="001041B8"/>
    <w:rsid w:val="0010462A"/>
    <w:rsid w:val="00114996"/>
    <w:rsid w:val="00121D69"/>
    <w:rsid w:val="00125080"/>
    <w:rsid w:val="00126027"/>
    <w:rsid w:val="00157D89"/>
    <w:rsid w:val="00164723"/>
    <w:rsid w:val="001C7AB9"/>
    <w:rsid w:val="001D21F7"/>
    <w:rsid w:val="001D66CC"/>
    <w:rsid w:val="001F28E7"/>
    <w:rsid w:val="002022F8"/>
    <w:rsid w:val="00205A91"/>
    <w:rsid w:val="002357F5"/>
    <w:rsid w:val="00243EF1"/>
    <w:rsid w:val="0025115B"/>
    <w:rsid w:val="00262656"/>
    <w:rsid w:val="002709EB"/>
    <w:rsid w:val="00274B84"/>
    <w:rsid w:val="0027595E"/>
    <w:rsid w:val="002A2832"/>
    <w:rsid w:val="002B0B2C"/>
    <w:rsid w:val="002C5183"/>
    <w:rsid w:val="002C6B2A"/>
    <w:rsid w:val="002D1F9A"/>
    <w:rsid w:val="002F0D5A"/>
    <w:rsid w:val="00305F55"/>
    <w:rsid w:val="00342F0C"/>
    <w:rsid w:val="003559D6"/>
    <w:rsid w:val="00372A3B"/>
    <w:rsid w:val="003766DF"/>
    <w:rsid w:val="00380DBA"/>
    <w:rsid w:val="00382935"/>
    <w:rsid w:val="003868B5"/>
    <w:rsid w:val="003A534F"/>
    <w:rsid w:val="003A6EBE"/>
    <w:rsid w:val="003C07FD"/>
    <w:rsid w:val="003D112E"/>
    <w:rsid w:val="003D3594"/>
    <w:rsid w:val="003D6F47"/>
    <w:rsid w:val="003E52EF"/>
    <w:rsid w:val="003F358C"/>
    <w:rsid w:val="004029A3"/>
    <w:rsid w:val="00402E19"/>
    <w:rsid w:val="00403154"/>
    <w:rsid w:val="00414973"/>
    <w:rsid w:val="004258D4"/>
    <w:rsid w:val="00440601"/>
    <w:rsid w:val="00440F8F"/>
    <w:rsid w:val="004573AB"/>
    <w:rsid w:val="00460D49"/>
    <w:rsid w:val="004702F7"/>
    <w:rsid w:val="00470F06"/>
    <w:rsid w:val="00471103"/>
    <w:rsid w:val="004B04E8"/>
    <w:rsid w:val="004C7FD3"/>
    <w:rsid w:val="0051192C"/>
    <w:rsid w:val="005128E2"/>
    <w:rsid w:val="005248A3"/>
    <w:rsid w:val="0053338B"/>
    <w:rsid w:val="0054499F"/>
    <w:rsid w:val="005748CA"/>
    <w:rsid w:val="00577C07"/>
    <w:rsid w:val="00582CC2"/>
    <w:rsid w:val="0058763E"/>
    <w:rsid w:val="00594BCC"/>
    <w:rsid w:val="005B307F"/>
    <w:rsid w:val="005C700F"/>
    <w:rsid w:val="005F5EB8"/>
    <w:rsid w:val="00613D12"/>
    <w:rsid w:val="00627089"/>
    <w:rsid w:val="00640F9A"/>
    <w:rsid w:val="006545FA"/>
    <w:rsid w:val="00671087"/>
    <w:rsid w:val="006810A4"/>
    <w:rsid w:val="006A18EA"/>
    <w:rsid w:val="006A538D"/>
    <w:rsid w:val="006B5FDE"/>
    <w:rsid w:val="006E1F3E"/>
    <w:rsid w:val="006F19A5"/>
    <w:rsid w:val="006F6D98"/>
    <w:rsid w:val="00712A61"/>
    <w:rsid w:val="00714C38"/>
    <w:rsid w:val="007232CC"/>
    <w:rsid w:val="0072363B"/>
    <w:rsid w:val="007548E2"/>
    <w:rsid w:val="007616FF"/>
    <w:rsid w:val="0076521E"/>
    <w:rsid w:val="007663DB"/>
    <w:rsid w:val="007846F5"/>
    <w:rsid w:val="007910D4"/>
    <w:rsid w:val="00796838"/>
    <w:rsid w:val="007B4DDC"/>
    <w:rsid w:val="007C08F5"/>
    <w:rsid w:val="007E68A6"/>
    <w:rsid w:val="008122C5"/>
    <w:rsid w:val="00820DF8"/>
    <w:rsid w:val="00822CBE"/>
    <w:rsid w:val="008242C8"/>
    <w:rsid w:val="00841CDA"/>
    <w:rsid w:val="0084768E"/>
    <w:rsid w:val="008B7B95"/>
    <w:rsid w:val="00906C94"/>
    <w:rsid w:val="009109BB"/>
    <w:rsid w:val="00950413"/>
    <w:rsid w:val="00953055"/>
    <w:rsid w:val="00954526"/>
    <w:rsid w:val="00965D34"/>
    <w:rsid w:val="009716C2"/>
    <w:rsid w:val="009843A1"/>
    <w:rsid w:val="009876A2"/>
    <w:rsid w:val="00992A6E"/>
    <w:rsid w:val="00994DCB"/>
    <w:rsid w:val="009B336C"/>
    <w:rsid w:val="009D0AAC"/>
    <w:rsid w:val="009D0ECE"/>
    <w:rsid w:val="00A00120"/>
    <w:rsid w:val="00A11CC4"/>
    <w:rsid w:val="00A13F3A"/>
    <w:rsid w:val="00A51AEE"/>
    <w:rsid w:val="00AC7F8C"/>
    <w:rsid w:val="00AD48BC"/>
    <w:rsid w:val="00AE7DA4"/>
    <w:rsid w:val="00AF29AD"/>
    <w:rsid w:val="00AF574B"/>
    <w:rsid w:val="00B03A84"/>
    <w:rsid w:val="00B045AE"/>
    <w:rsid w:val="00B34036"/>
    <w:rsid w:val="00B34520"/>
    <w:rsid w:val="00B36561"/>
    <w:rsid w:val="00B42ED9"/>
    <w:rsid w:val="00B46925"/>
    <w:rsid w:val="00B57133"/>
    <w:rsid w:val="00B84AF1"/>
    <w:rsid w:val="00B96113"/>
    <w:rsid w:val="00BA5D0A"/>
    <w:rsid w:val="00BA765F"/>
    <w:rsid w:val="00BB678D"/>
    <w:rsid w:val="00BC04B1"/>
    <w:rsid w:val="00BC0D8D"/>
    <w:rsid w:val="00BD238F"/>
    <w:rsid w:val="00BE62EE"/>
    <w:rsid w:val="00C15E5A"/>
    <w:rsid w:val="00C17F62"/>
    <w:rsid w:val="00C24AB2"/>
    <w:rsid w:val="00C26556"/>
    <w:rsid w:val="00C32517"/>
    <w:rsid w:val="00C3276E"/>
    <w:rsid w:val="00C34264"/>
    <w:rsid w:val="00C766C4"/>
    <w:rsid w:val="00C87A4B"/>
    <w:rsid w:val="00C94A04"/>
    <w:rsid w:val="00CC7AC3"/>
    <w:rsid w:val="00CE2661"/>
    <w:rsid w:val="00CE2837"/>
    <w:rsid w:val="00CE2E4F"/>
    <w:rsid w:val="00D241D4"/>
    <w:rsid w:val="00D4063C"/>
    <w:rsid w:val="00D5736F"/>
    <w:rsid w:val="00D751D9"/>
    <w:rsid w:val="00D8608D"/>
    <w:rsid w:val="00D95E9A"/>
    <w:rsid w:val="00DA13AF"/>
    <w:rsid w:val="00DB6D16"/>
    <w:rsid w:val="00DC1A56"/>
    <w:rsid w:val="00DC44AD"/>
    <w:rsid w:val="00DD7A34"/>
    <w:rsid w:val="00DF7762"/>
    <w:rsid w:val="00E1661E"/>
    <w:rsid w:val="00E31D87"/>
    <w:rsid w:val="00E36DA0"/>
    <w:rsid w:val="00E40939"/>
    <w:rsid w:val="00E75177"/>
    <w:rsid w:val="00E753A4"/>
    <w:rsid w:val="00E77886"/>
    <w:rsid w:val="00EE3E19"/>
    <w:rsid w:val="00F22E20"/>
    <w:rsid w:val="00F2713F"/>
    <w:rsid w:val="00F33CC6"/>
    <w:rsid w:val="00FA4EA9"/>
    <w:rsid w:val="00FB0CC7"/>
    <w:rsid w:val="00FE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7813CE-0B5C-45BE-9275-9CB56018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62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Nadpis1">
    <w:name w:val="heading 1"/>
    <w:basedOn w:val="Normlny"/>
    <w:next w:val="Normlny"/>
    <w:link w:val="Nadpis1Char"/>
    <w:qFormat/>
    <w:rsid w:val="0010462A"/>
    <w:pPr>
      <w:keepNext/>
      <w:jc w:val="center"/>
      <w:outlineLvl w:val="0"/>
    </w:pPr>
    <w:rPr>
      <w:b/>
      <w:sz w:val="20"/>
      <w:lang w:val="sk-SK"/>
    </w:rPr>
  </w:style>
  <w:style w:type="paragraph" w:styleId="Nadpis5">
    <w:name w:val="heading 5"/>
    <w:basedOn w:val="Normlny"/>
    <w:next w:val="Normlny"/>
    <w:link w:val="Nadpis5Char"/>
    <w:qFormat/>
    <w:rsid w:val="001046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10462A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462A"/>
    <w:rPr>
      <w:rFonts w:ascii="Arial" w:eastAsia="Times New Roman" w:hAnsi="Arial" w:cs="Times New Roman"/>
      <w:b/>
      <w:sz w:val="20"/>
      <w:szCs w:val="20"/>
    </w:rPr>
  </w:style>
  <w:style w:type="character" w:customStyle="1" w:styleId="Nadpis5Char">
    <w:name w:val="Nadpis 5 Char"/>
    <w:basedOn w:val="Predvolenpsmoodseku"/>
    <w:link w:val="Nadpis5"/>
    <w:rsid w:val="0010462A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Nadpis7Char">
    <w:name w:val="Nadpis 7 Char"/>
    <w:basedOn w:val="Predvolenpsmoodseku"/>
    <w:link w:val="Nadpis7"/>
    <w:rsid w:val="001046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rsid w:val="0010462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10462A"/>
    <w:rPr>
      <w:rFonts w:ascii="Arial" w:eastAsia="Times New Roman" w:hAnsi="Arial" w:cs="Times New Roman"/>
      <w:sz w:val="24"/>
      <w:szCs w:val="20"/>
    </w:rPr>
  </w:style>
  <w:style w:type="character" w:styleId="slostrany">
    <w:name w:val="page number"/>
    <w:basedOn w:val="Predvolenpsmoodseku"/>
    <w:rsid w:val="0010462A"/>
  </w:style>
  <w:style w:type="paragraph" w:styleId="Textbubliny">
    <w:name w:val="Balloon Text"/>
    <w:basedOn w:val="Normlny"/>
    <w:link w:val="TextbublinyChar"/>
    <w:semiHidden/>
    <w:rsid w:val="001046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10462A"/>
    <w:rPr>
      <w:rFonts w:ascii="Tahoma" w:eastAsia="Times New Roman" w:hAnsi="Tahoma" w:cs="Tahoma"/>
      <w:sz w:val="16"/>
      <w:szCs w:val="16"/>
      <w:lang w:val="en-US"/>
    </w:rPr>
  </w:style>
  <w:style w:type="paragraph" w:customStyle="1" w:styleId="Text">
    <w:name w:val="Text"/>
    <w:link w:val="TextChar1"/>
    <w:rsid w:val="0010462A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Zkladntext2">
    <w:name w:val="Body Text 2"/>
    <w:basedOn w:val="Normlny"/>
    <w:link w:val="Zkladntext2Char"/>
    <w:rsid w:val="0010462A"/>
    <w:pPr>
      <w:tabs>
        <w:tab w:val="left" w:pos="-720"/>
      </w:tabs>
      <w:suppressAutoHyphens/>
      <w:jc w:val="both"/>
    </w:pPr>
    <w:rPr>
      <w:sz w:val="20"/>
      <w:lang w:eastAsia="ja-JP"/>
    </w:rPr>
  </w:style>
  <w:style w:type="character" w:customStyle="1" w:styleId="Zkladntext2Char">
    <w:name w:val="Základný text 2 Char"/>
    <w:basedOn w:val="Predvolenpsmoodseku"/>
    <w:link w:val="Zkladntext2"/>
    <w:rsid w:val="0010462A"/>
    <w:rPr>
      <w:rFonts w:ascii="Arial" w:eastAsia="Times New Roman" w:hAnsi="Arial" w:cs="Times New Roman"/>
      <w:sz w:val="20"/>
      <w:szCs w:val="20"/>
      <w:lang w:val="en-US" w:eastAsia="ja-JP"/>
    </w:rPr>
  </w:style>
  <w:style w:type="paragraph" w:styleId="Zkladntext3">
    <w:name w:val="Body Text 3"/>
    <w:basedOn w:val="Normlny"/>
    <w:link w:val="Zkladntext3Char"/>
    <w:rsid w:val="0010462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0462A"/>
    <w:rPr>
      <w:rFonts w:ascii="Arial" w:eastAsia="Times New Roman" w:hAnsi="Arial" w:cs="Times New Roman"/>
      <w:sz w:val="16"/>
      <w:szCs w:val="16"/>
      <w:lang w:val="en-US"/>
    </w:rPr>
  </w:style>
  <w:style w:type="paragraph" w:styleId="Zkladntext">
    <w:name w:val="Body Text"/>
    <w:basedOn w:val="Normlny"/>
    <w:link w:val="ZkladntextChar"/>
    <w:rsid w:val="0010462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10462A"/>
    <w:rPr>
      <w:rFonts w:ascii="Arial" w:eastAsia="Times New Roman" w:hAnsi="Arial" w:cs="Times New Roman"/>
      <w:sz w:val="24"/>
      <w:szCs w:val="20"/>
      <w:lang w:val="en-US"/>
    </w:rPr>
  </w:style>
  <w:style w:type="paragraph" w:styleId="Textkomentra">
    <w:name w:val="annotation text"/>
    <w:basedOn w:val="Normlny"/>
    <w:link w:val="TextkomentraChar"/>
    <w:semiHidden/>
    <w:rsid w:val="0010462A"/>
    <w:pPr>
      <w:suppressAutoHyphens/>
    </w:pPr>
    <w:rPr>
      <w:sz w:val="20"/>
      <w:lang w:eastAsia="ja-JP"/>
    </w:rPr>
  </w:style>
  <w:style w:type="character" w:customStyle="1" w:styleId="TextkomentraChar">
    <w:name w:val="Text komentára Char"/>
    <w:basedOn w:val="Predvolenpsmoodseku"/>
    <w:link w:val="Textkomentra"/>
    <w:semiHidden/>
    <w:rsid w:val="0010462A"/>
    <w:rPr>
      <w:rFonts w:ascii="Arial" w:eastAsia="Times New Roman" w:hAnsi="Arial" w:cs="Times New Roman"/>
      <w:sz w:val="20"/>
      <w:szCs w:val="20"/>
      <w:lang w:val="en-US" w:eastAsia="ja-JP"/>
    </w:rPr>
  </w:style>
  <w:style w:type="paragraph" w:customStyle="1" w:styleId="TextTi11">
    <w:name w:val="Text:Ti11"/>
    <w:basedOn w:val="Normlny"/>
    <w:rsid w:val="0010462A"/>
    <w:pPr>
      <w:spacing w:after="170" w:line="260" w:lineRule="atLeast"/>
      <w:jc w:val="both"/>
    </w:pPr>
    <w:rPr>
      <w:rFonts w:ascii="Times New Roman" w:hAnsi="Times New Roman"/>
      <w:sz w:val="22"/>
      <w:lang w:eastAsia="ja-JP"/>
    </w:rPr>
  </w:style>
  <w:style w:type="paragraph" w:customStyle="1" w:styleId="TextTi12">
    <w:name w:val="Text:Ti12"/>
    <w:basedOn w:val="Normlny"/>
    <w:rsid w:val="0010462A"/>
    <w:pPr>
      <w:spacing w:after="170" w:line="280" w:lineRule="atLeast"/>
      <w:jc w:val="both"/>
    </w:pPr>
    <w:rPr>
      <w:rFonts w:ascii="Times New Roman" w:hAnsi="Times New Roman"/>
      <w:lang w:eastAsia="ja-JP"/>
    </w:rPr>
  </w:style>
  <w:style w:type="character" w:styleId="Hypertextovprepojenie">
    <w:name w:val="Hyperlink"/>
    <w:rsid w:val="0010462A"/>
    <w:rPr>
      <w:color w:val="0000FF"/>
      <w:u w:val="single"/>
    </w:rPr>
  </w:style>
  <w:style w:type="paragraph" w:styleId="Normlnywebov">
    <w:name w:val="Normal (Web)"/>
    <w:basedOn w:val="Normlny"/>
    <w:rsid w:val="0010462A"/>
    <w:pPr>
      <w:spacing w:before="100" w:beforeAutospacing="1" w:after="100" w:afterAutospacing="1"/>
    </w:pPr>
    <w:rPr>
      <w:rFonts w:ascii="Times New Roman" w:hAnsi="Times New Roman"/>
      <w:szCs w:val="24"/>
      <w:lang w:val="sk-SK" w:eastAsia="sk-SK"/>
    </w:rPr>
  </w:style>
  <w:style w:type="paragraph" w:customStyle="1" w:styleId="ItalicHeading">
    <w:name w:val="Italic Heading"/>
    <w:basedOn w:val="Text"/>
    <w:rsid w:val="0010462A"/>
    <w:pPr>
      <w:keepNext/>
    </w:pPr>
    <w:rPr>
      <w:b/>
      <w:i/>
    </w:rPr>
  </w:style>
  <w:style w:type="character" w:styleId="Odkaznakomentr">
    <w:name w:val="annotation reference"/>
    <w:semiHidden/>
    <w:rsid w:val="0010462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10462A"/>
    <w:pPr>
      <w:suppressAutoHyphens w:val="0"/>
    </w:pPr>
    <w:rPr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10462A"/>
    <w:rPr>
      <w:rFonts w:ascii="Arial" w:eastAsia="Times New Roman" w:hAnsi="Arial" w:cs="Times New Roman"/>
      <w:b/>
      <w:bCs/>
      <w:sz w:val="20"/>
      <w:szCs w:val="20"/>
      <w:lang w:val="en-US" w:eastAsia="ja-JP"/>
    </w:rPr>
  </w:style>
  <w:style w:type="paragraph" w:styleId="Hlavika">
    <w:name w:val="header"/>
    <w:basedOn w:val="Normlny"/>
    <w:link w:val="HlavikaChar"/>
    <w:uiPriority w:val="99"/>
    <w:rsid w:val="0010462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0462A"/>
    <w:rPr>
      <w:rFonts w:ascii="Arial" w:eastAsia="Times New Roman" w:hAnsi="Arial" w:cs="Times New Roman"/>
      <w:sz w:val="24"/>
      <w:szCs w:val="20"/>
      <w:lang w:val="en-US"/>
    </w:rPr>
  </w:style>
  <w:style w:type="character" w:styleId="PouitHypertextovPrepojenie">
    <w:name w:val="FollowedHyperlink"/>
    <w:rsid w:val="0010462A"/>
    <w:rPr>
      <w:color w:val="800080"/>
      <w:u w:val="single"/>
    </w:rPr>
  </w:style>
  <w:style w:type="paragraph" w:styleId="Revzia">
    <w:name w:val="Revision"/>
    <w:hidden/>
    <w:uiPriority w:val="99"/>
    <w:semiHidden/>
    <w:rsid w:val="0010462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TextChar1">
    <w:name w:val="Text Char1"/>
    <w:link w:val="Text"/>
    <w:locked/>
    <w:rsid w:val="004B04E8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Odsekzoznamu">
    <w:name w:val="List Paragraph"/>
    <w:basedOn w:val="Normlny"/>
    <w:uiPriority w:val="34"/>
    <w:qFormat/>
    <w:rsid w:val="002D1F9A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020E9D"/>
    <w:rPr>
      <w:color w:val="808080"/>
    </w:rPr>
  </w:style>
  <w:style w:type="character" w:styleId="Zvraznenie">
    <w:name w:val="Emphasis"/>
    <w:basedOn w:val="Predvolenpsmoodseku"/>
    <w:uiPriority w:val="20"/>
    <w:qFormat/>
    <w:rsid w:val="005F5EB8"/>
    <w:rPr>
      <w:i/>
      <w:iCs/>
    </w:rPr>
  </w:style>
  <w:style w:type="paragraph" w:customStyle="1" w:styleId="Paragraph">
    <w:name w:val="Paragraph"/>
    <w:basedOn w:val="Normlny"/>
    <w:link w:val="ParagraphChar"/>
    <w:rsid w:val="00796838"/>
    <w:pPr>
      <w:spacing w:after="170" w:line="280" w:lineRule="exact"/>
    </w:pPr>
    <w:rPr>
      <w:sz w:val="20"/>
      <w:lang w:eastAsia="ja-JP"/>
    </w:rPr>
  </w:style>
  <w:style w:type="character" w:customStyle="1" w:styleId="ParagraphChar">
    <w:name w:val="Paragraph Char"/>
    <w:link w:val="Paragraph"/>
    <w:locked/>
    <w:rsid w:val="00796838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TableCell10Left">
    <w:name w:val="Table Cell 10 Left"/>
    <w:basedOn w:val="Normlny"/>
    <w:link w:val="TableCell10LeftChar"/>
    <w:rsid w:val="00796838"/>
    <w:pPr>
      <w:keepNext/>
      <w:keepLines/>
      <w:spacing w:before="50" w:after="50" w:line="240" w:lineRule="exact"/>
    </w:pPr>
    <w:rPr>
      <w:sz w:val="20"/>
      <w:lang w:eastAsia="ja-JP"/>
    </w:rPr>
  </w:style>
  <w:style w:type="character" w:customStyle="1" w:styleId="TableCell10LeftChar">
    <w:name w:val="Table Cell 10 Left Char"/>
    <w:link w:val="TableCell10Left"/>
    <w:locked/>
    <w:rsid w:val="00796838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TableCell10Center">
    <w:name w:val="Table Cell 10 Center"/>
    <w:basedOn w:val="TableCell10Left"/>
    <w:rsid w:val="0079683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0612D-0B3C-4CE3-8A0E-1869D863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7150</Words>
  <Characters>40757</Characters>
  <Application>Microsoft Office Word</Application>
  <DocSecurity>0</DocSecurity>
  <Lines>339</Lines>
  <Paragraphs>95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47812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Repiščáková</dc:creator>
  <cp:lastModifiedBy>Repiščáková, Janka</cp:lastModifiedBy>
  <cp:revision>6</cp:revision>
  <cp:lastPrinted>2018-03-14T10:19:00Z</cp:lastPrinted>
  <dcterms:created xsi:type="dcterms:W3CDTF">2019-02-06T15:10:00Z</dcterms:created>
  <dcterms:modified xsi:type="dcterms:W3CDTF">2019-02-06T15:52:00Z</dcterms:modified>
</cp:coreProperties>
</file>