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FBA56" w14:textId="77777777" w:rsidR="006070FD" w:rsidRPr="00275093" w:rsidRDefault="006070FD" w:rsidP="001C3198">
      <w:pPr>
        <w:outlineLvl w:val="0"/>
        <w:rPr>
          <w:sz w:val="22"/>
          <w:szCs w:val="22"/>
        </w:rPr>
      </w:pPr>
    </w:p>
    <w:p w14:paraId="654C7A8A" w14:textId="77777777" w:rsidR="001C3198" w:rsidRPr="00275093" w:rsidRDefault="001C3198" w:rsidP="00EC52C5">
      <w:pPr>
        <w:jc w:val="center"/>
        <w:outlineLvl w:val="0"/>
        <w:rPr>
          <w:b/>
          <w:sz w:val="22"/>
          <w:szCs w:val="22"/>
        </w:rPr>
      </w:pPr>
      <w:bookmarkStart w:id="0" w:name="_GoBack"/>
      <w:bookmarkEnd w:id="0"/>
      <w:r w:rsidRPr="00275093">
        <w:rPr>
          <w:b/>
          <w:sz w:val="22"/>
          <w:szCs w:val="22"/>
        </w:rPr>
        <w:t>SÚHRN CHARAKTERISTICKÝCH VLASTNOSTÍ LIEKU</w:t>
      </w:r>
    </w:p>
    <w:p w14:paraId="4205DF5E" w14:textId="77777777" w:rsidR="001C3198" w:rsidRPr="00275093" w:rsidRDefault="001C3198" w:rsidP="001C3198">
      <w:pPr>
        <w:rPr>
          <w:sz w:val="22"/>
          <w:szCs w:val="22"/>
        </w:rPr>
      </w:pPr>
    </w:p>
    <w:p w14:paraId="7656EDD0" w14:textId="77777777" w:rsidR="00641ACA" w:rsidRPr="00275093" w:rsidRDefault="00641ACA" w:rsidP="001C3198">
      <w:pPr>
        <w:rPr>
          <w:sz w:val="22"/>
          <w:szCs w:val="22"/>
        </w:rPr>
      </w:pPr>
    </w:p>
    <w:p w14:paraId="7FEE4E80" w14:textId="77777777" w:rsidR="001C3198" w:rsidRPr="00275093" w:rsidRDefault="001C3198" w:rsidP="001C3198">
      <w:pPr>
        <w:rPr>
          <w:sz w:val="22"/>
          <w:szCs w:val="22"/>
        </w:rPr>
      </w:pPr>
      <w:r w:rsidRPr="00275093">
        <w:rPr>
          <w:b/>
          <w:sz w:val="22"/>
          <w:szCs w:val="22"/>
        </w:rPr>
        <w:t>1.</w:t>
      </w:r>
      <w:r w:rsidRPr="00275093">
        <w:rPr>
          <w:b/>
          <w:sz w:val="22"/>
          <w:szCs w:val="22"/>
        </w:rPr>
        <w:tab/>
        <w:t>NÁZOV LIEKU</w:t>
      </w:r>
    </w:p>
    <w:p w14:paraId="74469422" w14:textId="77777777" w:rsidR="001C3198" w:rsidRPr="00275093" w:rsidRDefault="001C3198" w:rsidP="001C3198">
      <w:pPr>
        <w:rPr>
          <w:sz w:val="22"/>
          <w:szCs w:val="22"/>
        </w:rPr>
      </w:pPr>
    </w:p>
    <w:p w14:paraId="52ADE47F" w14:textId="77777777" w:rsidR="00A17CBD" w:rsidRPr="00275093" w:rsidRDefault="001C3198" w:rsidP="001C3198">
      <w:pPr>
        <w:outlineLvl w:val="0"/>
        <w:rPr>
          <w:sz w:val="22"/>
          <w:szCs w:val="22"/>
        </w:rPr>
      </w:pPr>
      <w:bookmarkStart w:id="1" w:name="OLE_LINK2"/>
      <w:r w:rsidRPr="00275093">
        <w:rPr>
          <w:sz w:val="22"/>
          <w:szCs w:val="22"/>
        </w:rPr>
        <w:t>Trileptal</w:t>
      </w:r>
      <w:r w:rsidRPr="00275093">
        <w:rPr>
          <w:sz w:val="22"/>
          <w:szCs w:val="22"/>
          <w:vertAlign w:val="superscript"/>
        </w:rPr>
        <w:t xml:space="preserve"> </w:t>
      </w:r>
      <w:r w:rsidRPr="00275093">
        <w:rPr>
          <w:sz w:val="22"/>
          <w:szCs w:val="22"/>
        </w:rPr>
        <w:t>300 mg</w:t>
      </w:r>
      <w:r w:rsidR="002E010E" w:rsidRPr="00275093">
        <w:rPr>
          <w:sz w:val="22"/>
          <w:szCs w:val="22"/>
        </w:rPr>
        <w:t xml:space="preserve"> </w:t>
      </w:r>
    </w:p>
    <w:p w14:paraId="7423B79F" w14:textId="77777777" w:rsidR="001C3198" w:rsidRPr="00275093" w:rsidRDefault="002E010E" w:rsidP="001C3198">
      <w:pPr>
        <w:outlineLvl w:val="0"/>
        <w:rPr>
          <w:sz w:val="22"/>
          <w:szCs w:val="22"/>
        </w:rPr>
      </w:pPr>
      <w:r w:rsidRPr="00275093">
        <w:rPr>
          <w:sz w:val="22"/>
          <w:szCs w:val="22"/>
        </w:rPr>
        <w:t>filmom obalené tablety</w:t>
      </w:r>
    </w:p>
    <w:bookmarkEnd w:id="1"/>
    <w:p w14:paraId="194846A6" w14:textId="77777777" w:rsidR="001C3198" w:rsidRPr="00275093" w:rsidRDefault="001C3198" w:rsidP="001C3198">
      <w:pPr>
        <w:rPr>
          <w:sz w:val="22"/>
          <w:szCs w:val="22"/>
        </w:rPr>
      </w:pPr>
    </w:p>
    <w:p w14:paraId="04CB19C3" w14:textId="77777777" w:rsidR="001C3198" w:rsidRPr="00275093" w:rsidRDefault="001C3198" w:rsidP="001C3198">
      <w:pPr>
        <w:rPr>
          <w:sz w:val="22"/>
          <w:szCs w:val="22"/>
        </w:rPr>
      </w:pPr>
    </w:p>
    <w:p w14:paraId="7EA7FDF1" w14:textId="77777777" w:rsidR="001C3198" w:rsidRPr="00275093" w:rsidRDefault="001C3198" w:rsidP="001C3198">
      <w:pPr>
        <w:rPr>
          <w:sz w:val="22"/>
          <w:szCs w:val="22"/>
        </w:rPr>
      </w:pPr>
      <w:r w:rsidRPr="00275093">
        <w:rPr>
          <w:b/>
          <w:sz w:val="22"/>
          <w:szCs w:val="22"/>
        </w:rPr>
        <w:t>2.</w:t>
      </w:r>
      <w:r w:rsidRPr="00275093">
        <w:rPr>
          <w:b/>
          <w:sz w:val="22"/>
          <w:szCs w:val="22"/>
        </w:rPr>
        <w:tab/>
        <w:t>KVALITATÍVNE A KVANTITATÍVNE ZLOŽENIE</w:t>
      </w:r>
    </w:p>
    <w:p w14:paraId="0DC5F7EC" w14:textId="77777777" w:rsidR="001C3198" w:rsidRPr="00275093" w:rsidRDefault="001C3198" w:rsidP="001C3198">
      <w:pPr>
        <w:rPr>
          <w:sz w:val="22"/>
          <w:szCs w:val="22"/>
        </w:rPr>
      </w:pPr>
    </w:p>
    <w:p w14:paraId="7EC4C577" w14:textId="77777777" w:rsidR="001C3198" w:rsidRPr="00275093" w:rsidRDefault="001C3198" w:rsidP="001C3198">
      <w:pPr>
        <w:rPr>
          <w:sz w:val="22"/>
          <w:szCs w:val="22"/>
        </w:rPr>
      </w:pPr>
      <w:r w:rsidRPr="00275093">
        <w:rPr>
          <w:sz w:val="22"/>
          <w:szCs w:val="22"/>
        </w:rPr>
        <w:t>Každá filmom obalená tableta obsahuje</w:t>
      </w:r>
      <w:r w:rsidR="00DC3920" w:rsidRPr="00275093">
        <w:rPr>
          <w:sz w:val="22"/>
          <w:szCs w:val="22"/>
        </w:rPr>
        <w:t xml:space="preserve"> </w:t>
      </w:r>
      <w:r w:rsidRPr="00275093">
        <w:rPr>
          <w:sz w:val="22"/>
          <w:szCs w:val="22"/>
        </w:rPr>
        <w:t xml:space="preserve">300 mg </w:t>
      </w:r>
      <w:r w:rsidR="002E010E" w:rsidRPr="00275093">
        <w:rPr>
          <w:sz w:val="22"/>
          <w:szCs w:val="22"/>
        </w:rPr>
        <w:t>oxkarbazepínu</w:t>
      </w:r>
      <w:r w:rsidRPr="00275093">
        <w:rPr>
          <w:sz w:val="22"/>
          <w:szCs w:val="22"/>
        </w:rPr>
        <w:t>.</w:t>
      </w:r>
    </w:p>
    <w:p w14:paraId="5DD850ED" w14:textId="77777777" w:rsidR="001C3198" w:rsidRPr="00275093" w:rsidRDefault="001C3198" w:rsidP="001C3198">
      <w:pPr>
        <w:outlineLvl w:val="0"/>
        <w:rPr>
          <w:sz w:val="22"/>
          <w:szCs w:val="22"/>
        </w:rPr>
      </w:pPr>
    </w:p>
    <w:p w14:paraId="4EA5871D" w14:textId="77777777" w:rsidR="001C3198" w:rsidRPr="00275093" w:rsidRDefault="001C3198" w:rsidP="001C3198">
      <w:pPr>
        <w:outlineLvl w:val="0"/>
        <w:rPr>
          <w:sz w:val="22"/>
          <w:szCs w:val="22"/>
        </w:rPr>
      </w:pPr>
      <w:r w:rsidRPr="00275093">
        <w:rPr>
          <w:sz w:val="22"/>
          <w:szCs w:val="22"/>
        </w:rPr>
        <w:t>Úplný zoznam pomocných látok, pozri časť 6.1.</w:t>
      </w:r>
    </w:p>
    <w:p w14:paraId="3F3D3668" w14:textId="77777777" w:rsidR="001C3198" w:rsidRPr="00275093" w:rsidRDefault="001C3198" w:rsidP="001C3198">
      <w:pPr>
        <w:rPr>
          <w:sz w:val="22"/>
          <w:szCs w:val="22"/>
        </w:rPr>
      </w:pPr>
    </w:p>
    <w:p w14:paraId="2A5D0993" w14:textId="77777777" w:rsidR="001C3198" w:rsidRPr="00275093" w:rsidRDefault="001C3198" w:rsidP="001C3198">
      <w:pPr>
        <w:rPr>
          <w:sz w:val="22"/>
          <w:szCs w:val="22"/>
        </w:rPr>
      </w:pPr>
    </w:p>
    <w:p w14:paraId="4E45256B" w14:textId="77777777" w:rsidR="001C3198" w:rsidRPr="00275093" w:rsidRDefault="001C3198" w:rsidP="001C3198">
      <w:pPr>
        <w:rPr>
          <w:caps/>
          <w:sz w:val="22"/>
          <w:szCs w:val="22"/>
        </w:rPr>
      </w:pPr>
      <w:r w:rsidRPr="00275093">
        <w:rPr>
          <w:b/>
          <w:sz w:val="22"/>
          <w:szCs w:val="22"/>
        </w:rPr>
        <w:t>3.</w:t>
      </w:r>
      <w:r w:rsidRPr="00275093">
        <w:rPr>
          <w:b/>
          <w:sz w:val="22"/>
          <w:szCs w:val="22"/>
        </w:rPr>
        <w:tab/>
        <w:t>LIEKOVÁ FORMA</w:t>
      </w:r>
    </w:p>
    <w:p w14:paraId="4DB94B9E" w14:textId="77777777" w:rsidR="001C3198" w:rsidRPr="00275093" w:rsidRDefault="001C3198" w:rsidP="001C3198">
      <w:pPr>
        <w:rPr>
          <w:sz w:val="22"/>
          <w:szCs w:val="22"/>
        </w:rPr>
      </w:pPr>
    </w:p>
    <w:p w14:paraId="5896CCC1" w14:textId="13B7717A" w:rsidR="001C3198" w:rsidRPr="00275093" w:rsidRDefault="001C3198" w:rsidP="001C3198">
      <w:pPr>
        <w:outlineLvl w:val="0"/>
        <w:rPr>
          <w:sz w:val="22"/>
          <w:szCs w:val="22"/>
        </w:rPr>
      </w:pPr>
      <w:r w:rsidRPr="00275093">
        <w:rPr>
          <w:sz w:val="22"/>
          <w:szCs w:val="22"/>
        </w:rPr>
        <w:t>Filmom obalené tablety</w:t>
      </w:r>
    </w:p>
    <w:p w14:paraId="2C39F895" w14:textId="77777777" w:rsidR="0031250B" w:rsidRPr="00275093" w:rsidRDefault="0031250B" w:rsidP="00CC19D5">
      <w:pPr>
        <w:rPr>
          <w:sz w:val="22"/>
          <w:szCs w:val="22"/>
        </w:rPr>
      </w:pPr>
    </w:p>
    <w:p w14:paraId="47023842" w14:textId="7F8914EE" w:rsidR="00BA46A4" w:rsidRPr="00275093" w:rsidRDefault="00FC7430" w:rsidP="00CC19D5">
      <w:pPr>
        <w:rPr>
          <w:sz w:val="22"/>
          <w:szCs w:val="22"/>
        </w:rPr>
      </w:pPr>
      <w:r w:rsidRPr="00275093">
        <w:rPr>
          <w:sz w:val="22"/>
          <w:szCs w:val="22"/>
        </w:rPr>
        <w:t>Ž</w:t>
      </w:r>
      <w:r w:rsidR="001C3198" w:rsidRPr="00275093">
        <w:rPr>
          <w:sz w:val="22"/>
          <w:szCs w:val="22"/>
        </w:rPr>
        <w:t>lté oválne</w:t>
      </w:r>
      <w:r w:rsidR="00BA46A4" w:rsidRPr="00275093">
        <w:rPr>
          <w:sz w:val="22"/>
          <w:szCs w:val="22"/>
        </w:rPr>
        <w:t>,</w:t>
      </w:r>
      <w:r w:rsidR="001C3198" w:rsidRPr="00275093">
        <w:rPr>
          <w:sz w:val="22"/>
          <w:szCs w:val="22"/>
        </w:rPr>
        <w:t xml:space="preserve"> </w:t>
      </w:r>
      <w:r w:rsidR="00BA46A4" w:rsidRPr="00275093">
        <w:rPr>
          <w:sz w:val="22"/>
          <w:szCs w:val="22"/>
        </w:rPr>
        <w:t xml:space="preserve">mierne bikonvexné </w:t>
      </w:r>
      <w:r w:rsidR="001C3198" w:rsidRPr="00275093">
        <w:rPr>
          <w:sz w:val="22"/>
          <w:szCs w:val="22"/>
        </w:rPr>
        <w:t xml:space="preserve">tablety s poliacou ryhou na oboch stranách, s vyrazeným </w:t>
      </w:r>
    </w:p>
    <w:p w14:paraId="3B35046F" w14:textId="77777777" w:rsidR="001C3198" w:rsidRPr="00275093" w:rsidRDefault="001C3198" w:rsidP="00CC19D5">
      <w:pPr>
        <w:rPr>
          <w:sz w:val="22"/>
          <w:szCs w:val="22"/>
        </w:rPr>
      </w:pPr>
      <w:r w:rsidRPr="00275093">
        <w:rPr>
          <w:sz w:val="22"/>
          <w:szCs w:val="22"/>
        </w:rPr>
        <w:t>označením TE/TE na jednej strane a CG/CG na druhej strane</w:t>
      </w:r>
      <w:r w:rsidR="002E010E" w:rsidRPr="00275093">
        <w:rPr>
          <w:sz w:val="22"/>
          <w:szCs w:val="22"/>
        </w:rPr>
        <w:t>.</w:t>
      </w:r>
    </w:p>
    <w:p w14:paraId="7BF7E299" w14:textId="77777777" w:rsidR="00C94E77" w:rsidRPr="00275093" w:rsidRDefault="00C94E77" w:rsidP="001C3198">
      <w:pPr>
        <w:rPr>
          <w:noProof/>
          <w:sz w:val="22"/>
          <w:szCs w:val="22"/>
        </w:rPr>
      </w:pPr>
    </w:p>
    <w:p w14:paraId="6FBD0456" w14:textId="29130073" w:rsidR="00C94E77" w:rsidRPr="00275093" w:rsidRDefault="00E6107F" w:rsidP="001C3198">
      <w:pPr>
        <w:rPr>
          <w:noProof/>
          <w:sz w:val="22"/>
          <w:szCs w:val="22"/>
        </w:rPr>
      </w:pPr>
      <w:r w:rsidRPr="00275093">
        <w:rPr>
          <w:noProof/>
          <w:sz w:val="22"/>
          <w:szCs w:val="22"/>
        </w:rPr>
        <w:t>Tableta sa môže rozdeliť na rovnaké dávky</w:t>
      </w:r>
      <w:r w:rsidR="00C94E77" w:rsidRPr="00275093">
        <w:rPr>
          <w:noProof/>
          <w:sz w:val="22"/>
          <w:szCs w:val="22"/>
        </w:rPr>
        <w:t>.</w:t>
      </w:r>
    </w:p>
    <w:p w14:paraId="415C41B7" w14:textId="77777777" w:rsidR="001C3198" w:rsidRPr="00275093" w:rsidRDefault="001C3198" w:rsidP="001C3198">
      <w:pPr>
        <w:rPr>
          <w:sz w:val="22"/>
          <w:szCs w:val="22"/>
        </w:rPr>
      </w:pPr>
    </w:p>
    <w:p w14:paraId="0B51E7AB" w14:textId="77777777" w:rsidR="001C3198" w:rsidRPr="00275093" w:rsidRDefault="001C3198" w:rsidP="001C3198">
      <w:pPr>
        <w:rPr>
          <w:sz w:val="22"/>
          <w:szCs w:val="22"/>
        </w:rPr>
      </w:pPr>
    </w:p>
    <w:p w14:paraId="60314AF5" w14:textId="77777777" w:rsidR="001C3198" w:rsidRPr="00275093" w:rsidRDefault="001C3198" w:rsidP="001C3198">
      <w:pPr>
        <w:rPr>
          <w:caps/>
          <w:sz w:val="22"/>
          <w:szCs w:val="22"/>
        </w:rPr>
      </w:pPr>
      <w:r w:rsidRPr="00275093">
        <w:rPr>
          <w:b/>
          <w:caps/>
          <w:sz w:val="22"/>
          <w:szCs w:val="22"/>
        </w:rPr>
        <w:t>4.</w:t>
      </w:r>
      <w:r w:rsidRPr="00275093">
        <w:rPr>
          <w:b/>
          <w:caps/>
          <w:sz w:val="22"/>
          <w:szCs w:val="22"/>
        </w:rPr>
        <w:tab/>
        <w:t>KLINICKÉ ÚDAJE</w:t>
      </w:r>
    </w:p>
    <w:p w14:paraId="5E158FEA" w14:textId="77777777" w:rsidR="001C3198" w:rsidRPr="00275093" w:rsidRDefault="001C3198" w:rsidP="001C3198">
      <w:pPr>
        <w:rPr>
          <w:sz w:val="22"/>
          <w:szCs w:val="22"/>
        </w:rPr>
      </w:pPr>
    </w:p>
    <w:p w14:paraId="7C3EE7F5" w14:textId="77777777" w:rsidR="001C3198" w:rsidRPr="00275093" w:rsidRDefault="001C3198" w:rsidP="001C3198">
      <w:pPr>
        <w:rPr>
          <w:sz w:val="22"/>
          <w:szCs w:val="22"/>
        </w:rPr>
      </w:pPr>
      <w:r w:rsidRPr="00275093">
        <w:rPr>
          <w:b/>
          <w:sz w:val="22"/>
          <w:szCs w:val="22"/>
        </w:rPr>
        <w:t>4.1</w:t>
      </w:r>
      <w:r w:rsidRPr="00275093">
        <w:rPr>
          <w:b/>
          <w:sz w:val="22"/>
          <w:szCs w:val="22"/>
        </w:rPr>
        <w:tab/>
        <w:t>Terapeutické indikácie</w:t>
      </w:r>
    </w:p>
    <w:p w14:paraId="1455AE0C" w14:textId="77777777" w:rsidR="001C3198" w:rsidRPr="00275093" w:rsidRDefault="001C3198" w:rsidP="001C3198">
      <w:pPr>
        <w:rPr>
          <w:sz w:val="22"/>
          <w:szCs w:val="22"/>
        </w:rPr>
      </w:pPr>
    </w:p>
    <w:p w14:paraId="3602C891" w14:textId="77777777" w:rsidR="001C3198" w:rsidRPr="00275093" w:rsidRDefault="001C3198" w:rsidP="001C3198">
      <w:pPr>
        <w:rPr>
          <w:sz w:val="22"/>
          <w:szCs w:val="22"/>
        </w:rPr>
      </w:pPr>
      <w:r w:rsidRPr="00275093">
        <w:rPr>
          <w:sz w:val="22"/>
          <w:szCs w:val="22"/>
        </w:rPr>
        <w:t>Trileptal je indikovaný na liečbu parciálnych epileptických záchvatov s</w:t>
      </w:r>
      <w:r w:rsidR="002E010E" w:rsidRPr="00275093">
        <w:rPr>
          <w:sz w:val="22"/>
          <w:szCs w:val="22"/>
        </w:rPr>
        <w:t>o</w:t>
      </w:r>
      <w:r w:rsidRPr="00275093">
        <w:rPr>
          <w:sz w:val="22"/>
          <w:szCs w:val="22"/>
        </w:rPr>
        <w:t xml:space="preserve"> sekundárn</w:t>
      </w:r>
      <w:r w:rsidR="002E010E" w:rsidRPr="00275093">
        <w:rPr>
          <w:sz w:val="22"/>
          <w:szCs w:val="22"/>
        </w:rPr>
        <w:t>ou</w:t>
      </w:r>
      <w:r w:rsidRPr="00275093">
        <w:rPr>
          <w:sz w:val="22"/>
          <w:szCs w:val="22"/>
        </w:rPr>
        <w:t xml:space="preserve"> generalizáci</w:t>
      </w:r>
      <w:r w:rsidR="002E010E" w:rsidRPr="00275093">
        <w:rPr>
          <w:sz w:val="22"/>
          <w:szCs w:val="22"/>
        </w:rPr>
        <w:t>ou</w:t>
      </w:r>
      <w:r w:rsidRPr="00275093">
        <w:rPr>
          <w:sz w:val="22"/>
          <w:szCs w:val="22"/>
        </w:rPr>
        <w:t xml:space="preserve"> do tonicko-klonických záchvatov</w:t>
      </w:r>
      <w:r w:rsidR="002E010E" w:rsidRPr="00275093">
        <w:rPr>
          <w:sz w:val="22"/>
          <w:szCs w:val="22"/>
        </w:rPr>
        <w:t xml:space="preserve"> alebo bez nej.</w:t>
      </w:r>
    </w:p>
    <w:p w14:paraId="23D54416" w14:textId="77777777" w:rsidR="00E1098D" w:rsidRPr="00275093" w:rsidRDefault="00E1098D" w:rsidP="001C3198">
      <w:pPr>
        <w:rPr>
          <w:sz w:val="22"/>
          <w:szCs w:val="22"/>
        </w:rPr>
      </w:pPr>
    </w:p>
    <w:p w14:paraId="47A1B890" w14:textId="77777777" w:rsidR="001C3198" w:rsidRPr="00275093" w:rsidRDefault="001C3198" w:rsidP="001C3198">
      <w:pPr>
        <w:rPr>
          <w:sz w:val="22"/>
          <w:szCs w:val="22"/>
        </w:rPr>
      </w:pPr>
      <w:r w:rsidRPr="00275093">
        <w:rPr>
          <w:sz w:val="22"/>
          <w:szCs w:val="22"/>
        </w:rPr>
        <w:t>Trileptal je indikovaný na použitie v monoterapii alebo v prídavnej terapii u dospelých a 6-ročných a starších detí.</w:t>
      </w:r>
    </w:p>
    <w:p w14:paraId="22324B79" w14:textId="77777777" w:rsidR="001C3198" w:rsidRPr="00275093" w:rsidRDefault="001C3198" w:rsidP="001C3198">
      <w:pPr>
        <w:rPr>
          <w:sz w:val="22"/>
          <w:szCs w:val="22"/>
        </w:rPr>
      </w:pPr>
    </w:p>
    <w:p w14:paraId="7E862EA7" w14:textId="77777777" w:rsidR="001C3198" w:rsidRPr="00275093" w:rsidRDefault="001C3198" w:rsidP="001C3198">
      <w:pPr>
        <w:rPr>
          <w:sz w:val="22"/>
          <w:szCs w:val="22"/>
        </w:rPr>
      </w:pPr>
      <w:r w:rsidRPr="00275093">
        <w:rPr>
          <w:b/>
          <w:sz w:val="22"/>
          <w:szCs w:val="22"/>
        </w:rPr>
        <w:t>4.2</w:t>
      </w:r>
      <w:r w:rsidRPr="00275093">
        <w:rPr>
          <w:b/>
          <w:sz w:val="22"/>
          <w:szCs w:val="22"/>
        </w:rPr>
        <w:tab/>
        <w:t>Dávkovanie a spôsob podávania</w:t>
      </w:r>
    </w:p>
    <w:p w14:paraId="7CB8CABB" w14:textId="77777777" w:rsidR="001C3198" w:rsidRPr="00275093" w:rsidRDefault="001C3198" w:rsidP="001C3198">
      <w:pPr>
        <w:pStyle w:val="Zkladntext2"/>
        <w:rPr>
          <w:szCs w:val="22"/>
        </w:rPr>
      </w:pPr>
    </w:p>
    <w:p w14:paraId="584650C2" w14:textId="77777777" w:rsidR="00C94E77" w:rsidRPr="00275093" w:rsidRDefault="00C94E77" w:rsidP="00C94E77">
      <w:pPr>
        <w:rPr>
          <w:sz w:val="22"/>
          <w:szCs w:val="22"/>
          <w:u w:val="single"/>
        </w:rPr>
      </w:pPr>
      <w:r w:rsidRPr="00275093">
        <w:rPr>
          <w:noProof/>
          <w:sz w:val="22"/>
          <w:szCs w:val="22"/>
          <w:u w:val="single"/>
        </w:rPr>
        <w:t>Dávkovanie</w:t>
      </w:r>
    </w:p>
    <w:p w14:paraId="1C9500D0" w14:textId="77777777" w:rsidR="001C3198" w:rsidRPr="00275093" w:rsidRDefault="001C3198" w:rsidP="001C3198">
      <w:pPr>
        <w:pStyle w:val="Zkladntext2"/>
        <w:rPr>
          <w:szCs w:val="22"/>
        </w:rPr>
      </w:pPr>
      <w:r w:rsidRPr="00275093">
        <w:rPr>
          <w:szCs w:val="22"/>
        </w:rPr>
        <w:t>V</w:t>
      </w:r>
      <w:r w:rsidR="00167EB5" w:rsidRPr="00275093">
        <w:rPr>
          <w:szCs w:val="22"/>
        </w:rPr>
        <w:t> </w:t>
      </w:r>
      <w:r w:rsidRPr="00275093">
        <w:rPr>
          <w:szCs w:val="22"/>
        </w:rPr>
        <w:t>mono</w:t>
      </w:r>
      <w:r w:rsidR="00167EB5" w:rsidRPr="00275093">
        <w:rPr>
          <w:szCs w:val="22"/>
        </w:rPr>
        <w:t xml:space="preserve"> </w:t>
      </w:r>
      <w:r w:rsidRPr="00275093">
        <w:rPr>
          <w:szCs w:val="22"/>
        </w:rPr>
        <w:t>- aj prídavnej terapii sa liečba Trileptalom začína klinicky účinnou dávkou, ktorá sa podáva rozdelená na dve čiastkové dávky. Dávku možno zvýšiť v závislosti od klinickej odpovede pacienta. Keď sa iné antiepileptiká nahradia Trileptalom, dávka súčasne podávaných antiepileptík sa má po začatí liečby Trileptalom postupne znižovať. V prídavnej liečbe, pretože sa zvyšuje celkové zaťaženie pacienta antiepileptikami, dávku súčasne podávaných antiepileptík možno bude potrebné znížiť a/alebo dávku Trileptalu zvyšovať pomalšie (pozri časť 4.5).</w:t>
      </w:r>
    </w:p>
    <w:p w14:paraId="1B4CF957" w14:textId="77777777" w:rsidR="00C94E77" w:rsidRPr="00275093" w:rsidRDefault="00C94E77" w:rsidP="001C3198">
      <w:pPr>
        <w:pStyle w:val="Zkladntext2"/>
        <w:rPr>
          <w:szCs w:val="22"/>
        </w:rPr>
      </w:pPr>
    </w:p>
    <w:p w14:paraId="730646E9" w14:textId="77777777" w:rsidR="00641ACA" w:rsidRPr="00275093" w:rsidRDefault="00BA46A4" w:rsidP="00CC19D5">
      <w:pPr>
        <w:pStyle w:val="Zkladntext2"/>
        <w:keepNext/>
        <w:keepLines/>
        <w:rPr>
          <w:b/>
          <w:szCs w:val="22"/>
        </w:rPr>
      </w:pPr>
      <w:r w:rsidRPr="00275093">
        <w:rPr>
          <w:b/>
          <w:szCs w:val="22"/>
        </w:rPr>
        <w:t>Terapeutické monitorovanie liečiva</w:t>
      </w:r>
    </w:p>
    <w:p w14:paraId="52DB3D59" w14:textId="77777777" w:rsidR="00BA46A4" w:rsidRPr="00275093" w:rsidRDefault="00BA46A4" w:rsidP="001C3198">
      <w:pPr>
        <w:pStyle w:val="Zkladntext2"/>
        <w:rPr>
          <w:szCs w:val="22"/>
        </w:rPr>
      </w:pPr>
      <w:r w:rsidRPr="00275093">
        <w:rPr>
          <w:szCs w:val="22"/>
        </w:rPr>
        <w:t xml:space="preserve">Terapeutický účinok oxkarbazepínu sa </w:t>
      </w:r>
      <w:r w:rsidR="00D146AF" w:rsidRPr="00275093">
        <w:rPr>
          <w:szCs w:val="22"/>
        </w:rPr>
        <w:t>primárne dosahuje prostredníctvom aktívneho metabolitu 10-monohydroxyderivátu (MHD) oxkarbazepínu (pozri časť 5).</w:t>
      </w:r>
    </w:p>
    <w:p w14:paraId="3FCD5DF8" w14:textId="77777777" w:rsidR="00D146AF" w:rsidRPr="00275093" w:rsidRDefault="00D146AF" w:rsidP="001C3198">
      <w:pPr>
        <w:pStyle w:val="Zkladntext2"/>
        <w:rPr>
          <w:szCs w:val="22"/>
        </w:rPr>
      </w:pPr>
    </w:p>
    <w:p w14:paraId="449AB661" w14:textId="77777777" w:rsidR="00D146AF" w:rsidRPr="00275093" w:rsidRDefault="006A2F16" w:rsidP="001C3198">
      <w:pPr>
        <w:pStyle w:val="Zkladntext2"/>
        <w:rPr>
          <w:szCs w:val="22"/>
        </w:rPr>
      </w:pPr>
      <w:r w:rsidRPr="00275093">
        <w:rPr>
          <w:szCs w:val="22"/>
        </w:rPr>
        <w:t xml:space="preserve">Nie je dôvod </w:t>
      </w:r>
      <w:r w:rsidR="00D146AF" w:rsidRPr="00275093">
        <w:rPr>
          <w:szCs w:val="22"/>
        </w:rPr>
        <w:t xml:space="preserve">na rutinné monitorovanie koncentrácie oxkarbazepínu alebo MHD v plazme. Môže </w:t>
      </w:r>
      <w:r w:rsidR="00FF3D9A" w:rsidRPr="00275093">
        <w:rPr>
          <w:szCs w:val="22"/>
        </w:rPr>
        <w:t xml:space="preserve">to </w:t>
      </w:r>
      <w:r w:rsidR="00D146AF" w:rsidRPr="00275093">
        <w:rPr>
          <w:szCs w:val="22"/>
        </w:rPr>
        <w:t xml:space="preserve">však byť užitočné v situáciách, keď sa očakáva zmena klírensu MHD (pozri časť 4.4). V takýchto </w:t>
      </w:r>
      <w:r w:rsidR="00D146AF" w:rsidRPr="00275093">
        <w:rPr>
          <w:szCs w:val="22"/>
        </w:rPr>
        <w:lastRenderedPageBreak/>
        <w:t>situáciách môže byť potrebné upraviť dávku Trileptalu (na základe koncentráci</w:t>
      </w:r>
      <w:r w:rsidRPr="00275093">
        <w:rPr>
          <w:szCs w:val="22"/>
        </w:rPr>
        <w:t>í</w:t>
      </w:r>
      <w:r w:rsidR="00D146AF" w:rsidRPr="00275093">
        <w:rPr>
          <w:szCs w:val="22"/>
        </w:rPr>
        <w:t xml:space="preserve"> v plazme stanoven</w:t>
      </w:r>
      <w:r w:rsidRPr="00275093">
        <w:rPr>
          <w:szCs w:val="22"/>
        </w:rPr>
        <w:t>ých</w:t>
      </w:r>
      <w:r w:rsidR="00D146AF" w:rsidRPr="00275093">
        <w:rPr>
          <w:szCs w:val="22"/>
        </w:rPr>
        <w:t xml:space="preserve"> 2 – 4 hodiny po podaní)</w:t>
      </w:r>
      <w:r w:rsidRPr="00275093">
        <w:rPr>
          <w:szCs w:val="22"/>
        </w:rPr>
        <w:t>, aby sa udržali</w:t>
      </w:r>
      <w:r w:rsidR="00FF3D9A" w:rsidRPr="00275093">
        <w:rPr>
          <w:szCs w:val="22"/>
        </w:rPr>
        <w:t xml:space="preserve"> maximáln</w:t>
      </w:r>
      <w:r w:rsidRPr="00275093">
        <w:rPr>
          <w:szCs w:val="22"/>
        </w:rPr>
        <w:t>e</w:t>
      </w:r>
      <w:r w:rsidR="00FF3D9A" w:rsidRPr="00275093">
        <w:rPr>
          <w:szCs w:val="22"/>
        </w:rPr>
        <w:t xml:space="preserve"> koncentráci</w:t>
      </w:r>
      <w:r w:rsidRPr="00275093">
        <w:rPr>
          <w:szCs w:val="22"/>
        </w:rPr>
        <w:t>e</w:t>
      </w:r>
      <w:r w:rsidR="00FF3D9A" w:rsidRPr="00275093">
        <w:rPr>
          <w:szCs w:val="22"/>
        </w:rPr>
        <w:t xml:space="preserve"> MHD v plazme &lt; 35 mg/l.</w:t>
      </w:r>
    </w:p>
    <w:p w14:paraId="7E53856B" w14:textId="77777777" w:rsidR="001C3198" w:rsidRPr="00275093" w:rsidRDefault="001C3198" w:rsidP="001C3198">
      <w:pPr>
        <w:pStyle w:val="Nadpis2"/>
        <w:rPr>
          <w:b w:val="0"/>
          <w:i w:val="0"/>
          <w:szCs w:val="22"/>
        </w:rPr>
      </w:pPr>
    </w:p>
    <w:p w14:paraId="6532666F" w14:textId="77777777" w:rsidR="001C3198" w:rsidRPr="00275093" w:rsidRDefault="001C3198" w:rsidP="001C3198">
      <w:pPr>
        <w:pStyle w:val="Nadpis2"/>
        <w:rPr>
          <w:b w:val="0"/>
          <w:bCs/>
          <w:i w:val="0"/>
          <w:szCs w:val="22"/>
          <w:u w:val="single"/>
        </w:rPr>
      </w:pPr>
      <w:r w:rsidRPr="00275093">
        <w:rPr>
          <w:b w:val="0"/>
          <w:bCs/>
          <w:i w:val="0"/>
          <w:szCs w:val="22"/>
          <w:u w:val="single"/>
        </w:rPr>
        <w:t>Dospelí pacienti</w:t>
      </w:r>
    </w:p>
    <w:p w14:paraId="5990A73C" w14:textId="77777777" w:rsidR="001C3198" w:rsidRPr="00275093" w:rsidRDefault="001C3198" w:rsidP="001C3198">
      <w:pPr>
        <w:pStyle w:val="Nadpis3"/>
        <w:rPr>
          <w:iCs/>
          <w:szCs w:val="22"/>
        </w:rPr>
      </w:pPr>
      <w:r w:rsidRPr="00275093">
        <w:rPr>
          <w:iCs/>
          <w:szCs w:val="22"/>
        </w:rPr>
        <w:t>Monoterapia</w:t>
      </w:r>
    </w:p>
    <w:p w14:paraId="1D6C8CC1" w14:textId="590510F8" w:rsidR="00FF3D9A" w:rsidRPr="00275093" w:rsidRDefault="00FF3D9A" w:rsidP="001C3198">
      <w:pPr>
        <w:rPr>
          <w:b/>
          <w:sz w:val="22"/>
          <w:szCs w:val="22"/>
        </w:rPr>
      </w:pPr>
      <w:r w:rsidRPr="00275093">
        <w:rPr>
          <w:b/>
          <w:sz w:val="22"/>
          <w:szCs w:val="22"/>
        </w:rPr>
        <w:t xml:space="preserve">Odporúčaná </w:t>
      </w:r>
      <w:r w:rsidR="00A17CBD" w:rsidRPr="00275093">
        <w:rPr>
          <w:b/>
          <w:sz w:val="22"/>
          <w:szCs w:val="22"/>
        </w:rPr>
        <w:t>úvodná</w:t>
      </w:r>
      <w:r w:rsidRPr="00275093">
        <w:rPr>
          <w:b/>
          <w:sz w:val="22"/>
          <w:szCs w:val="22"/>
        </w:rPr>
        <w:t xml:space="preserve"> dávka</w:t>
      </w:r>
    </w:p>
    <w:p w14:paraId="6860876D" w14:textId="77777777" w:rsidR="00FF3D9A" w:rsidRPr="00275093" w:rsidRDefault="001C3198" w:rsidP="001C3198">
      <w:pPr>
        <w:rPr>
          <w:sz w:val="22"/>
          <w:szCs w:val="22"/>
        </w:rPr>
      </w:pPr>
      <w:r w:rsidRPr="00275093">
        <w:rPr>
          <w:sz w:val="22"/>
          <w:szCs w:val="22"/>
        </w:rPr>
        <w:t xml:space="preserve">Liečba Trileptalom sa má začať dávkou 600 mg/deň (8 – 10 mg/kg/deň), ktorá sa podáva rozdelená na 2 čiastkové dávky. </w:t>
      </w:r>
    </w:p>
    <w:p w14:paraId="5A384D18" w14:textId="77777777" w:rsidR="00FF3D9A" w:rsidRPr="00275093" w:rsidRDefault="00FF3D9A" w:rsidP="001C3198">
      <w:pPr>
        <w:rPr>
          <w:b/>
          <w:sz w:val="22"/>
          <w:szCs w:val="22"/>
        </w:rPr>
      </w:pPr>
    </w:p>
    <w:p w14:paraId="3CF26C28" w14:textId="77777777" w:rsidR="00FF3D9A" w:rsidRPr="00275093" w:rsidRDefault="00FF3D9A" w:rsidP="001C3198">
      <w:pPr>
        <w:rPr>
          <w:b/>
          <w:sz w:val="22"/>
          <w:szCs w:val="22"/>
        </w:rPr>
      </w:pPr>
      <w:r w:rsidRPr="00275093">
        <w:rPr>
          <w:b/>
          <w:sz w:val="22"/>
          <w:szCs w:val="22"/>
        </w:rPr>
        <w:t>Udržiavacia dávka</w:t>
      </w:r>
    </w:p>
    <w:p w14:paraId="3B2C1D96" w14:textId="3268E817" w:rsidR="001C3198" w:rsidRPr="00275093" w:rsidRDefault="001C3198" w:rsidP="001C3198">
      <w:pPr>
        <w:rPr>
          <w:sz w:val="22"/>
          <w:szCs w:val="22"/>
        </w:rPr>
      </w:pPr>
      <w:r w:rsidRPr="00275093">
        <w:rPr>
          <w:sz w:val="22"/>
          <w:szCs w:val="22"/>
        </w:rPr>
        <w:t xml:space="preserve">Ak je to klinicky indikované, dávku možno zvyšovať najviac o 600 mg/deň v približne týždňových intervaloch od </w:t>
      </w:r>
      <w:r w:rsidR="00A17CBD" w:rsidRPr="00275093">
        <w:rPr>
          <w:sz w:val="22"/>
          <w:szCs w:val="22"/>
        </w:rPr>
        <w:t>úvodnej</w:t>
      </w:r>
      <w:r w:rsidRPr="00275093">
        <w:rPr>
          <w:sz w:val="22"/>
          <w:szCs w:val="22"/>
        </w:rPr>
        <w:t xml:space="preserve"> dávky, aby sa dosiahla želaná klinická odpoveď. Terapeutické účinky sa pozorujú pri dávkach medzi 600 mg/deň a 2 400 mg/deň.</w:t>
      </w:r>
    </w:p>
    <w:p w14:paraId="2677E247" w14:textId="77777777" w:rsidR="00C94E77" w:rsidRPr="00275093" w:rsidRDefault="00C94E77" w:rsidP="001C3198">
      <w:pPr>
        <w:rPr>
          <w:sz w:val="22"/>
          <w:szCs w:val="22"/>
        </w:rPr>
      </w:pPr>
    </w:p>
    <w:p w14:paraId="60308F03" w14:textId="77777777" w:rsidR="001C3198" w:rsidRPr="00275093" w:rsidRDefault="001C3198" w:rsidP="001C3198">
      <w:pPr>
        <w:rPr>
          <w:sz w:val="22"/>
          <w:szCs w:val="22"/>
        </w:rPr>
      </w:pPr>
      <w:r w:rsidRPr="00275093">
        <w:rPr>
          <w:sz w:val="22"/>
          <w:szCs w:val="22"/>
        </w:rPr>
        <w:t>V kontrolovaných klinických skúšaniach monoterapie u pacientov, ktorí sa v danom čase neliečili antiepileptikami, ukázala sa ako účinná dávka 1 200 mg/deň; dávka 2 400 mg/deň sa však ukázala účinná u refraktérnejších pacientov, ktorí prešli z iných antiepileptík na monoterapiu Trileptalom.</w:t>
      </w:r>
    </w:p>
    <w:p w14:paraId="41EB6265" w14:textId="77777777" w:rsidR="00FF3D9A" w:rsidRPr="00275093" w:rsidRDefault="00FF3D9A" w:rsidP="001C3198">
      <w:pPr>
        <w:rPr>
          <w:sz w:val="22"/>
          <w:szCs w:val="22"/>
        </w:rPr>
      </w:pPr>
    </w:p>
    <w:p w14:paraId="7E2AA3A4" w14:textId="77777777" w:rsidR="00FF3D9A" w:rsidRPr="00275093" w:rsidRDefault="00FF3D9A" w:rsidP="001C3198">
      <w:pPr>
        <w:rPr>
          <w:b/>
          <w:sz w:val="22"/>
          <w:szCs w:val="22"/>
        </w:rPr>
      </w:pPr>
      <w:r w:rsidRPr="00275093">
        <w:rPr>
          <w:b/>
          <w:sz w:val="22"/>
          <w:szCs w:val="22"/>
        </w:rPr>
        <w:t>Maximálna odporúčaná dávka</w:t>
      </w:r>
    </w:p>
    <w:p w14:paraId="44D4BA72" w14:textId="77777777" w:rsidR="001C3198" w:rsidRPr="00275093" w:rsidRDefault="001C3198" w:rsidP="001C3198">
      <w:pPr>
        <w:rPr>
          <w:sz w:val="22"/>
          <w:szCs w:val="22"/>
        </w:rPr>
      </w:pPr>
      <w:r w:rsidRPr="00275093">
        <w:rPr>
          <w:sz w:val="22"/>
          <w:szCs w:val="22"/>
        </w:rPr>
        <w:t>U hospitalizovaných pacientov sa dosiahlo zvýšenie dávky až na 2 400 mg/deň v priebehu 48 hodín.</w:t>
      </w:r>
    </w:p>
    <w:p w14:paraId="30018899" w14:textId="77777777" w:rsidR="001C3198" w:rsidRPr="00275093" w:rsidRDefault="001C3198" w:rsidP="001C3198">
      <w:pPr>
        <w:pStyle w:val="Nadpis3"/>
        <w:rPr>
          <w:szCs w:val="22"/>
        </w:rPr>
      </w:pPr>
    </w:p>
    <w:p w14:paraId="45E21F9C" w14:textId="77777777" w:rsidR="001C3198" w:rsidRPr="00275093" w:rsidRDefault="001C3198" w:rsidP="001C3198">
      <w:pPr>
        <w:pStyle w:val="Nadpis3"/>
        <w:rPr>
          <w:iCs/>
          <w:szCs w:val="22"/>
        </w:rPr>
      </w:pPr>
      <w:r w:rsidRPr="00275093">
        <w:rPr>
          <w:iCs/>
          <w:szCs w:val="22"/>
        </w:rPr>
        <w:t>Prídavná terapia</w:t>
      </w:r>
    </w:p>
    <w:p w14:paraId="0EE38F33" w14:textId="7D9C86B4" w:rsidR="00FF3D9A" w:rsidRPr="00275093" w:rsidRDefault="00FF3D9A" w:rsidP="00FF3D9A">
      <w:pPr>
        <w:rPr>
          <w:b/>
          <w:sz w:val="22"/>
          <w:szCs w:val="22"/>
        </w:rPr>
      </w:pPr>
      <w:r w:rsidRPr="00275093">
        <w:rPr>
          <w:b/>
          <w:sz w:val="22"/>
          <w:szCs w:val="22"/>
        </w:rPr>
        <w:t xml:space="preserve">Odporúčaná </w:t>
      </w:r>
      <w:r w:rsidR="00A17CBD" w:rsidRPr="00275093">
        <w:rPr>
          <w:b/>
          <w:sz w:val="22"/>
          <w:szCs w:val="22"/>
        </w:rPr>
        <w:t>úvodná</w:t>
      </w:r>
      <w:r w:rsidRPr="00275093">
        <w:rPr>
          <w:b/>
          <w:sz w:val="22"/>
          <w:szCs w:val="22"/>
        </w:rPr>
        <w:t xml:space="preserve"> dávka</w:t>
      </w:r>
    </w:p>
    <w:p w14:paraId="4AF93DBE" w14:textId="77777777" w:rsidR="00FF3D9A" w:rsidRPr="00275093" w:rsidRDefault="001C3198" w:rsidP="001C3198">
      <w:pPr>
        <w:rPr>
          <w:sz w:val="22"/>
          <w:szCs w:val="22"/>
        </w:rPr>
      </w:pPr>
      <w:r w:rsidRPr="00275093">
        <w:rPr>
          <w:sz w:val="22"/>
          <w:szCs w:val="22"/>
        </w:rPr>
        <w:t xml:space="preserve">Liečba Trileptalom sa má začať dávkou 600 mg/deň (8 – 10 mg/kg/deň), ktorá sa podáva rozdelená na 2 čiastkové dávky. </w:t>
      </w:r>
    </w:p>
    <w:p w14:paraId="56C26DED" w14:textId="77777777" w:rsidR="00FF3D9A" w:rsidRPr="00275093" w:rsidRDefault="00FF3D9A" w:rsidP="001C3198">
      <w:pPr>
        <w:rPr>
          <w:sz w:val="22"/>
          <w:szCs w:val="22"/>
        </w:rPr>
      </w:pPr>
    </w:p>
    <w:p w14:paraId="7BFFF702" w14:textId="77777777" w:rsidR="00FF3D9A" w:rsidRPr="00275093" w:rsidRDefault="00FF3D9A" w:rsidP="00FF3D9A">
      <w:pPr>
        <w:rPr>
          <w:b/>
          <w:sz w:val="22"/>
          <w:szCs w:val="22"/>
        </w:rPr>
      </w:pPr>
      <w:r w:rsidRPr="00275093">
        <w:rPr>
          <w:b/>
          <w:sz w:val="22"/>
          <w:szCs w:val="22"/>
        </w:rPr>
        <w:t>Udržiavacia dávka</w:t>
      </w:r>
    </w:p>
    <w:p w14:paraId="25B406BB" w14:textId="10F95DF7" w:rsidR="001C3198" w:rsidRPr="00275093" w:rsidRDefault="001C3198" w:rsidP="001C3198">
      <w:pPr>
        <w:rPr>
          <w:sz w:val="22"/>
          <w:szCs w:val="22"/>
        </w:rPr>
      </w:pPr>
      <w:r w:rsidRPr="00275093">
        <w:rPr>
          <w:sz w:val="22"/>
          <w:szCs w:val="22"/>
        </w:rPr>
        <w:t xml:space="preserve">Ak je to klinicky indikované, dávku možno zvyšovať najviac o 600 mg/deň v približne týždňových intervaloch od </w:t>
      </w:r>
      <w:r w:rsidR="00A17CBD" w:rsidRPr="00275093">
        <w:rPr>
          <w:sz w:val="22"/>
          <w:szCs w:val="22"/>
        </w:rPr>
        <w:t>úvodnej</w:t>
      </w:r>
      <w:r w:rsidRPr="00275093">
        <w:rPr>
          <w:sz w:val="22"/>
          <w:szCs w:val="22"/>
        </w:rPr>
        <w:t xml:space="preserve"> dávky, aby sa dosiahla želaná klinická odpoveď. Terapeutická odpoveď sa pozoruje pri dávkach medzi 600 mg/deň a 2 400 mg/deň.</w:t>
      </w:r>
    </w:p>
    <w:p w14:paraId="06730948" w14:textId="77777777" w:rsidR="00C94E77" w:rsidRPr="00275093" w:rsidRDefault="00C94E77" w:rsidP="001C3198">
      <w:pPr>
        <w:rPr>
          <w:sz w:val="22"/>
          <w:szCs w:val="22"/>
        </w:rPr>
      </w:pPr>
    </w:p>
    <w:p w14:paraId="0637BE5D" w14:textId="77777777" w:rsidR="00FF3D9A" w:rsidRPr="00275093" w:rsidRDefault="00FF3D9A" w:rsidP="00FF3D9A">
      <w:pPr>
        <w:rPr>
          <w:b/>
          <w:sz w:val="22"/>
          <w:szCs w:val="22"/>
        </w:rPr>
      </w:pPr>
      <w:r w:rsidRPr="00275093">
        <w:rPr>
          <w:b/>
          <w:sz w:val="22"/>
          <w:szCs w:val="22"/>
        </w:rPr>
        <w:t>Maximálna odporúčaná dávka</w:t>
      </w:r>
    </w:p>
    <w:p w14:paraId="238EB9E6" w14:textId="77777777" w:rsidR="001C3198" w:rsidRPr="00275093" w:rsidRDefault="001C3198" w:rsidP="001C3198">
      <w:pPr>
        <w:rPr>
          <w:sz w:val="22"/>
          <w:szCs w:val="22"/>
        </w:rPr>
      </w:pPr>
      <w:r w:rsidRPr="00275093">
        <w:rPr>
          <w:sz w:val="22"/>
          <w:szCs w:val="22"/>
        </w:rPr>
        <w:t>V kontrolovaných klinických skúšaniach prídavnej terapie sa ako účinné ukázali dávky 600 až 2 400 mg/deň, hoci väčšina pacientov, najmä pre nežiaduce účinky na CNS, neznášala dávku 2 400 mg/deň bez zníženia dávky súčasne podávaných antiepileptík. Denné dávky vyššie ako 2 400 mg/deň sa v klinických skúšaniach systematicky nesledovali.</w:t>
      </w:r>
    </w:p>
    <w:p w14:paraId="357E644D" w14:textId="77777777" w:rsidR="001C3198" w:rsidRPr="00275093" w:rsidRDefault="001C3198" w:rsidP="001C3198">
      <w:pPr>
        <w:rPr>
          <w:sz w:val="22"/>
          <w:szCs w:val="22"/>
        </w:rPr>
      </w:pPr>
    </w:p>
    <w:p w14:paraId="4CDABD35" w14:textId="49968BE5" w:rsidR="001C3198" w:rsidRPr="00275093" w:rsidRDefault="001C3198" w:rsidP="001C3198">
      <w:pPr>
        <w:pStyle w:val="Zkladntext2"/>
        <w:outlineLvl w:val="0"/>
        <w:rPr>
          <w:bCs/>
          <w:szCs w:val="22"/>
          <w:u w:val="single"/>
        </w:rPr>
      </w:pPr>
      <w:r w:rsidRPr="00275093">
        <w:rPr>
          <w:bCs/>
          <w:szCs w:val="22"/>
          <w:u w:val="single"/>
        </w:rPr>
        <w:t xml:space="preserve">Starší </w:t>
      </w:r>
      <w:r w:rsidR="00A17CBD" w:rsidRPr="00275093">
        <w:rPr>
          <w:bCs/>
          <w:szCs w:val="22"/>
          <w:u w:val="single"/>
        </w:rPr>
        <w:t>pacienti</w:t>
      </w:r>
      <w:r w:rsidR="00697C99" w:rsidRPr="00275093">
        <w:rPr>
          <w:bCs/>
          <w:szCs w:val="22"/>
          <w:u w:val="single"/>
        </w:rPr>
        <w:t xml:space="preserve"> (vo veku 65 rokov a viac)</w:t>
      </w:r>
    </w:p>
    <w:p w14:paraId="7E996EEB" w14:textId="2F81AEC1" w:rsidR="00697C99" w:rsidRPr="00275093" w:rsidRDefault="00642484" w:rsidP="001C3198">
      <w:pPr>
        <w:pStyle w:val="Zkladntext2"/>
        <w:rPr>
          <w:szCs w:val="22"/>
        </w:rPr>
      </w:pPr>
      <w:r w:rsidRPr="00275093">
        <w:rPr>
          <w:szCs w:val="22"/>
        </w:rPr>
        <w:t xml:space="preserve">Nie sú potrebné osobitné odporúčania pre dávkovanie u starších pacientov, pretože terapeutické dávky sa individuálne upravujú. Úprava dávky sa odporúča u starších pacientov s poruchou funkcie obličiek (klírens kreatinínu </w:t>
      </w:r>
      <w:r w:rsidR="00FC7430" w:rsidRPr="00275093">
        <w:rPr>
          <w:szCs w:val="22"/>
        </w:rPr>
        <w:t xml:space="preserve">nižší ako </w:t>
      </w:r>
      <w:r w:rsidRPr="00275093">
        <w:rPr>
          <w:szCs w:val="22"/>
        </w:rPr>
        <w:t>30 ml/min) (informácie o dávkovaní pri poruche funkcie obličiek, pozri nižšie). Dôsledné monitorovanie koncentrácie sodíka sa vyžaduje u pacientov s rizikom hyponatriémie (pozri časť 4.4).</w:t>
      </w:r>
    </w:p>
    <w:p w14:paraId="5F413750" w14:textId="77777777" w:rsidR="00697C99" w:rsidRPr="00275093" w:rsidRDefault="00697C99" w:rsidP="001C3198">
      <w:pPr>
        <w:pStyle w:val="Zkladntext2"/>
        <w:rPr>
          <w:szCs w:val="22"/>
        </w:rPr>
      </w:pPr>
    </w:p>
    <w:p w14:paraId="63F3E156" w14:textId="77777777" w:rsidR="001C3198" w:rsidRPr="00275093" w:rsidRDefault="001C3198" w:rsidP="001C3198">
      <w:pPr>
        <w:pStyle w:val="Nadpis2"/>
        <w:rPr>
          <w:b w:val="0"/>
          <w:bCs/>
          <w:i w:val="0"/>
          <w:szCs w:val="22"/>
          <w:u w:val="single"/>
        </w:rPr>
      </w:pPr>
      <w:r w:rsidRPr="00275093">
        <w:rPr>
          <w:b w:val="0"/>
          <w:bCs/>
          <w:i w:val="0"/>
          <w:szCs w:val="22"/>
          <w:u w:val="single"/>
        </w:rPr>
        <w:t>Pacienti s po</w:t>
      </w:r>
      <w:r w:rsidR="00C94E77" w:rsidRPr="00275093">
        <w:rPr>
          <w:b w:val="0"/>
          <w:bCs/>
          <w:i w:val="0"/>
          <w:szCs w:val="22"/>
          <w:u w:val="single"/>
        </w:rPr>
        <w:t>ruchou</w:t>
      </w:r>
      <w:r w:rsidRPr="00275093">
        <w:rPr>
          <w:b w:val="0"/>
          <w:bCs/>
          <w:i w:val="0"/>
          <w:szCs w:val="22"/>
          <w:u w:val="single"/>
        </w:rPr>
        <w:t xml:space="preserve"> funkcie pečene</w:t>
      </w:r>
    </w:p>
    <w:p w14:paraId="1E1881F3" w14:textId="04770445" w:rsidR="001C3198" w:rsidRPr="00275093" w:rsidRDefault="001C3198" w:rsidP="001C3198">
      <w:pPr>
        <w:pStyle w:val="Nadpis2"/>
        <w:rPr>
          <w:b w:val="0"/>
          <w:i w:val="0"/>
          <w:szCs w:val="22"/>
        </w:rPr>
      </w:pPr>
      <w:r w:rsidRPr="00275093">
        <w:rPr>
          <w:b w:val="0"/>
          <w:i w:val="0"/>
          <w:szCs w:val="22"/>
        </w:rPr>
        <w:t xml:space="preserve">U pacientov s </w:t>
      </w:r>
      <w:r w:rsidR="00F12721" w:rsidRPr="00275093">
        <w:rPr>
          <w:b w:val="0"/>
          <w:i w:val="0"/>
          <w:szCs w:val="22"/>
        </w:rPr>
        <w:t>ľahkou</w:t>
      </w:r>
      <w:r w:rsidRPr="00275093">
        <w:rPr>
          <w:b w:val="0"/>
          <w:i w:val="0"/>
          <w:szCs w:val="22"/>
        </w:rPr>
        <w:t xml:space="preserve"> až stredne ťažk</w:t>
      </w:r>
      <w:r w:rsidR="00C94E77" w:rsidRPr="00275093">
        <w:rPr>
          <w:b w:val="0"/>
          <w:i w:val="0"/>
          <w:szCs w:val="22"/>
        </w:rPr>
        <w:t>ou</w:t>
      </w:r>
      <w:r w:rsidRPr="00275093">
        <w:rPr>
          <w:b w:val="0"/>
          <w:i w:val="0"/>
          <w:szCs w:val="22"/>
        </w:rPr>
        <w:t xml:space="preserve"> po</w:t>
      </w:r>
      <w:r w:rsidR="00C94E77" w:rsidRPr="00275093">
        <w:rPr>
          <w:b w:val="0"/>
          <w:i w:val="0"/>
          <w:szCs w:val="22"/>
        </w:rPr>
        <w:t>ruchou</w:t>
      </w:r>
      <w:r w:rsidRPr="00275093">
        <w:rPr>
          <w:b w:val="0"/>
          <w:i w:val="0"/>
          <w:szCs w:val="22"/>
        </w:rPr>
        <w:t xml:space="preserve"> funkcie pečene sa nevyžaduje úprava dávkovania. Trileptal sa nesledoval u pacientov s ťažk</w:t>
      </w:r>
      <w:r w:rsidR="00C94E77" w:rsidRPr="00275093">
        <w:rPr>
          <w:b w:val="0"/>
          <w:i w:val="0"/>
          <w:szCs w:val="22"/>
        </w:rPr>
        <w:t>ou</w:t>
      </w:r>
      <w:r w:rsidRPr="00275093">
        <w:rPr>
          <w:b w:val="0"/>
          <w:i w:val="0"/>
          <w:szCs w:val="22"/>
        </w:rPr>
        <w:t xml:space="preserve"> po</w:t>
      </w:r>
      <w:r w:rsidR="00C94E77" w:rsidRPr="00275093">
        <w:rPr>
          <w:b w:val="0"/>
          <w:i w:val="0"/>
          <w:szCs w:val="22"/>
        </w:rPr>
        <w:t>ruchou</w:t>
      </w:r>
      <w:r w:rsidRPr="00275093">
        <w:rPr>
          <w:b w:val="0"/>
          <w:i w:val="0"/>
          <w:szCs w:val="22"/>
        </w:rPr>
        <w:t xml:space="preserve"> funkcie pečene, preto sa má postupovať opatrne pri podávaní pacientom s ťažk</w:t>
      </w:r>
      <w:r w:rsidR="008300A9" w:rsidRPr="00275093">
        <w:rPr>
          <w:b w:val="0"/>
          <w:i w:val="0"/>
          <w:szCs w:val="22"/>
        </w:rPr>
        <w:t>ou</w:t>
      </w:r>
      <w:r w:rsidRPr="00275093">
        <w:rPr>
          <w:b w:val="0"/>
          <w:i w:val="0"/>
          <w:szCs w:val="22"/>
        </w:rPr>
        <w:t xml:space="preserve"> po</w:t>
      </w:r>
      <w:r w:rsidR="008300A9" w:rsidRPr="00275093">
        <w:rPr>
          <w:b w:val="0"/>
          <w:i w:val="0"/>
          <w:szCs w:val="22"/>
        </w:rPr>
        <w:t>ruchou</w:t>
      </w:r>
      <w:r w:rsidRPr="00275093">
        <w:rPr>
          <w:b w:val="0"/>
          <w:i w:val="0"/>
          <w:szCs w:val="22"/>
        </w:rPr>
        <w:t xml:space="preserve"> (pozri časť 5.2).</w:t>
      </w:r>
    </w:p>
    <w:p w14:paraId="2D3E1BB9" w14:textId="77777777" w:rsidR="001C3198" w:rsidRPr="00275093" w:rsidRDefault="001C3198" w:rsidP="001C3198">
      <w:pPr>
        <w:rPr>
          <w:sz w:val="22"/>
          <w:szCs w:val="22"/>
        </w:rPr>
      </w:pPr>
    </w:p>
    <w:p w14:paraId="42BA56E2" w14:textId="77777777" w:rsidR="001C3198" w:rsidRPr="00275093" w:rsidRDefault="001C3198" w:rsidP="001C3198">
      <w:pPr>
        <w:pStyle w:val="Nadpis2"/>
        <w:rPr>
          <w:b w:val="0"/>
          <w:bCs/>
          <w:i w:val="0"/>
          <w:szCs w:val="22"/>
          <w:u w:val="single"/>
        </w:rPr>
      </w:pPr>
      <w:r w:rsidRPr="00275093">
        <w:rPr>
          <w:b w:val="0"/>
          <w:bCs/>
          <w:i w:val="0"/>
          <w:szCs w:val="22"/>
          <w:u w:val="single"/>
        </w:rPr>
        <w:t>Pacienti s po</w:t>
      </w:r>
      <w:r w:rsidR="00C94E77" w:rsidRPr="00275093">
        <w:rPr>
          <w:b w:val="0"/>
          <w:bCs/>
          <w:i w:val="0"/>
          <w:szCs w:val="22"/>
          <w:u w:val="single"/>
        </w:rPr>
        <w:t>ruchou</w:t>
      </w:r>
      <w:r w:rsidRPr="00275093">
        <w:rPr>
          <w:b w:val="0"/>
          <w:bCs/>
          <w:i w:val="0"/>
          <w:szCs w:val="22"/>
          <w:u w:val="single"/>
        </w:rPr>
        <w:t xml:space="preserve"> funkcie obličiek</w:t>
      </w:r>
    </w:p>
    <w:p w14:paraId="01A3EB4E" w14:textId="77777777" w:rsidR="001C3198" w:rsidRPr="00275093" w:rsidRDefault="001C3198" w:rsidP="001C3198">
      <w:pPr>
        <w:pStyle w:val="Nadpis2"/>
        <w:rPr>
          <w:b w:val="0"/>
          <w:i w:val="0"/>
          <w:szCs w:val="22"/>
        </w:rPr>
      </w:pPr>
      <w:r w:rsidRPr="00275093">
        <w:rPr>
          <w:b w:val="0"/>
          <w:i w:val="0"/>
          <w:szCs w:val="22"/>
        </w:rPr>
        <w:t>U pacientov s po</w:t>
      </w:r>
      <w:r w:rsidR="00C94E77" w:rsidRPr="00275093">
        <w:rPr>
          <w:b w:val="0"/>
          <w:i w:val="0"/>
          <w:szCs w:val="22"/>
        </w:rPr>
        <w:t>ruchou</w:t>
      </w:r>
      <w:r w:rsidRPr="00275093">
        <w:rPr>
          <w:b w:val="0"/>
          <w:i w:val="0"/>
          <w:szCs w:val="22"/>
        </w:rPr>
        <w:t xml:space="preserve"> funkcie obličiek (klírens kreatinínu nižší ako 30 ml/min) sa má liečba Trileptalom začať polovicou zvyčajnej začiatočnej dávky (300 mg/deň) a dávka zvyšovať najmenej v týždňových intervaloch, aby sa dosiahla želaná klinická odpoveď (pozri časť 5.2).</w:t>
      </w:r>
    </w:p>
    <w:p w14:paraId="0886C297" w14:textId="77777777" w:rsidR="00C94E77" w:rsidRPr="00275093" w:rsidRDefault="00C94E77" w:rsidP="001C3198">
      <w:pPr>
        <w:rPr>
          <w:sz w:val="22"/>
          <w:szCs w:val="22"/>
        </w:rPr>
      </w:pPr>
    </w:p>
    <w:p w14:paraId="34E3D7A0" w14:textId="77777777" w:rsidR="001C3198" w:rsidRPr="00275093" w:rsidRDefault="001C3198" w:rsidP="001C3198">
      <w:pPr>
        <w:rPr>
          <w:sz w:val="22"/>
          <w:szCs w:val="22"/>
        </w:rPr>
      </w:pPr>
      <w:r w:rsidRPr="00275093">
        <w:rPr>
          <w:sz w:val="22"/>
          <w:szCs w:val="22"/>
        </w:rPr>
        <w:lastRenderedPageBreak/>
        <w:t>Pri zvyšovaní dávky u pacientov s po</w:t>
      </w:r>
      <w:r w:rsidR="00C94E77" w:rsidRPr="00275093">
        <w:rPr>
          <w:sz w:val="22"/>
          <w:szCs w:val="22"/>
        </w:rPr>
        <w:t>ruchou</w:t>
      </w:r>
      <w:r w:rsidRPr="00275093">
        <w:rPr>
          <w:sz w:val="22"/>
          <w:szCs w:val="22"/>
        </w:rPr>
        <w:t xml:space="preserve"> funkcie obličiek môže byť potrebné starostlivejšie sledovanie.</w:t>
      </w:r>
    </w:p>
    <w:p w14:paraId="23D3E005" w14:textId="77777777" w:rsidR="00592DC4" w:rsidRPr="00275093" w:rsidRDefault="00592DC4" w:rsidP="00592DC4">
      <w:pPr>
        <w:rPr>
          <w:noProof/>
          <w:sz w:val="22"/>
          <w:szCs w:val="22"/>
          <w:u w:val="single"/>
        </w:rPr>
      </w:pPr>
    </w:p>
    <w:p w14:paraId="1245D535" w14:textId="77777777" w:rsidR="00592DC4" w:rsidRPr="00275093" w:rsidRDefault="00592DC4" w:rsidP="00592DC4">
      <w:pPr>
        <w:rPr>
          <w:b/>
          <w:sz w:val="22"/>
          <w:szCs w:val="22"/>
          <w:u w:val="single"/>
        </w:rPr>
      </w:pPr>
      <w:r w:rsidRPr="00275093">
        <w:rPr>
          <w:noProof/>
          <w:sz w:val="22"/>
          <w:szCs w:val="22"/>
          <w:u w:val="single"/>
        </w:rPr>
        <w:t>Pediatrická populácia</w:t>
      </w:r>
    </w:p>
    <w:p w14:paraId="1C11029F" w14:textId="64EB8A87" w:rsidR="00FC0104" w:rsidRPr="00275093" w:rsidRDefault="00FC0104" w:rsidP="00FC0104">
      <w:pPr>
        <w:rPr>
          <w:b/>
          <w:sz w:val="22"/>
          <w:szCs w:val="22"/>
        </w:rPr>
      </w:pPr>
      <w:r w:rsidRPr="00275093">
        <w:rPr>
          <w:b/>
          <w:sz w:val="22"/>
          <w:szCs w:val="22"/>
        </w:rPr>
        <w:t xml:space="preserve">Odporúčaná </w:t>
      </w:r>
      <w:r w:rsidR="00A17CBD" w:rsidRPr="00275093">
        <w:rPr>
          <w:b/>
          <w:sz w:val="22"/>
          <w:szCs w:val="22"/>
        </w:rPr>
        <w:t>úvodná</w:t>
      </w:r>
      <w:r w:rsidRPr="00275093">
        <w:rPr>
          <w:b/>
          <w:sz w:val="22"/>
          <w:szCs w:val="22"/>
        </w:rPr>
        <w:t xml:space="preserve"> dávka</w:t>
      </w:r>
    </w:p>
    <w:p w14:paraId="539E5DF9" w14:textId="77777777" w:rsidR="00FC0104" w:rsidRPr="00275093" w:rsidRDefault="00592DC4" w:rsidP="00592DC4">
      <w:pPr>
        <w:pStyle w:val="Zkladntext2"/>
        <w:rPr>
          <w:szCs w:val="22"/>
        </w:rPr>
      </w:pPr>
      <w:r w:rsidRPr="00275093">
        <w:rPr>
          <w:szCs w:val="22"/>
        </w:rPr>
        <w:t xml:space="preserve">V mono- a prídavnej terapii sa má liečba Trileptalom začať dávkou 8 – 10 mg/kg/deň, ktorá sa podáva rozdelená na 2 čiastkové dávky. </w:t>
      </w:r>
    </w:p>
    <w:p w14:paraId="7D87F13B" w14:textId="77777777" w:rsidR="00FC0104" w:rsidRPr="00275093" w:rsidRDefault="00FC0104" w:rsidP="00592DC4">
      <w:pPr>
        <w:pStyle w:val="Zkladntext2"/>
        <w:rPr>
          <w:szCs w:val="22"/>
        </w:rPr>
      </w:pPr>
    </w:p>
    <w:p w14:paraId="633E6FCC" w14:textId="77777777" w:rsidR="00FC0104" w:rsidRPr="00275093" w:rsidRDefault="00FC0104" w:rsidP="00FC0104">
      <w:pPr>
        <w:rPr>
          <w:b/>
          <w:sz w:val="22"/>
          <w:szCs w:val="22"/>
        </w:rPr>
      </w:pPr>
      <w:r w:rsidRPr="00275093">
        <w:rPr>
          <w:b/>
          <w:sz w:val="22"/>
          <w:szCs w:val="22"/>
        </w:rPr>
        <w:t>Udržiavacia dávka</w:t>
      </w:r>
    </w:p>
    <w:p w14:paraId="6D53DF9D" w14:textId="77777777" w:rsidR="00FC0104" w:rsidRPr="00275093" w:rsidRDefault="006A2F16" w:rsidP="00592DC4">
      <w:pPr>
        <w:pStyle w:val="Zkladntext2"/>
        <w:rPr>
          <w:szCs w:val="22"/>
        </w:rPr>
      </w:pPr>
      <w:r w:rsidRPr="00275093">
        <w:rPr>
          <w:szCs w:val="22"/>
        </w:rPr>
        <w:t xml:space="preserve">V klinických skúšaniach </w:t>
      </w:r>
      <w:r w:rsidR="00FC0104" w:rsidRPr="00275093">
        <w:rPr>
          <w:szCs w:val="22"/>
        </w:rPr>
        <w:t>prídavnej liečb</w:t>
      </w:r>
      <w:r w:rsidRPr="00275093">
        <w:rPr>
          <w:szCs w:val="22"/>
        </w:rPr>
        <w:t>y</w:t>
      </w:r>
      <w:r w:rsidR="00FC0104" w:rsidRPr="00275093">
        <w:rPr>
          <w:szCs w:val="22"/>
        </w:rPr>
        <w:t xml:space="preserve"> sa udržiavacia dávka 30-46 mg/kg/deň, ktorá sa dosiahla za dva týždne, ukázala u detí ako účinná a dobre znášaná. T</w:t>
      </w:r>
      <w:r w:rsidR="00592DC4" w:rsidRPr="00275093">
        <w:rPr>
          <w:szCs w:val="22"/>
        </w:rPr>
        <w:t xml:space="preserve">erapeutické účinky </w:t>
      </w:r>
      <w:r w:rsidR="00FC0104" w:rsidRPr="00275093">
        <w:rPr>
          <w:szCs w:val="22"/>
        </w:rPr>
        <w:t xml:space="preserve">sa </w:t>
      </w:r>
      <w:r w:rsidR="00592DC4" w:rsidRPr="00275093">
        <w:rPr>
          <w:szCs w:val="22"/>
        </w:rPr>
        <w:t xml:space="preserve">pozorovali pri mediáne udržiavacej dávky približne 30 mg/kg/deň. </w:t>
      </w:r>
    </w:p>
    <w:p w14:paraId="45B68990" w14:textId="77777777" w:rsidR="00FC0104" w:rsidRPr="00275093" w:rsidRDefault="00FC0104" w:rsidP="00592DC4">
      <w:pPr>
        <w:pStyle w:val="Zkladntext2"/>
        <w:rPr>
          <w:szCs w:val="22"/>
        </w:rPr>
      </w:pPr>
    </w:p>
    <w:p w14:paraId="06C83926" w14:textId="77777777" w:rsidR="000D6CBA" w:rsidRPr="00275093" w:rsidRDefault="000D6CBA" w:rsidP="000D6CBA">
      <w:pPr>
        <w:rPr>
          <w:b/>
          <w:sz w:val="22"/>
          <w:szCs w:val="22"/>
        </w:rPr>
      </w:pPr>
      <w:r w:rsidRPr="00275093">
        <w:rPr>
          <w:b/>
          <w:sz w:val="22"/>
          <w:szCs w:val="22"/>
        </w:rPr>
        <w:t>Maximálna odporúčaná dávka</w:t>
      </w:r>
    </w:p>
    <w:p w14:paraId="4A45267E" w14:textId="3B2E577A" w:rsidR="00592DC4" w:rsidRPr="00275093" w:rsidRDefault="00592DC4" w:rsidP="00592DC4">
      <w:pPr>
        <w:pStyle w:val="Zkladntext2"/>
        <w:rPr>
          <w:szCs w:val="22"/>
        </w:rPr>
      </w:pPr>
      <w:r w:rsidRPr="00275093">
        <w:rPr>
          <w:szCs w:val="22"/>
        </w:rPr>
        <w:t xml:space="preserve">Ak je to klinicky indikované, dávku možno zvyšovať najviac o 10 mg/kg/deň v približne týždňových intervaloch od </w:t>
      </w:r>
      <w:r w:rsidR="00A17CBD" w:rsidRPr="00275093">
        <w:rPr>
          <w:szCs w:val="22"/>
        </w:rPr>
        <w:t>úvodnej</w:t>
      </w:r>
      <w:r w:rsidRPr="00275093">
        <w:rPr>
          <w:szCs w:val="22"/>
        </w:rPr>
        <w:t xml:space="preserve"> dávky až do maximálnej dávky 46 mg/kg/deň, aby sa dosiahla želaná klinická odpoveď (pozri časť 5.2).</w:t>
      </w:r>
    </w:p>
    <w:p w14:paraId="59E298BF" w14:textId="77777777" w:rsidR="00592DC4" w:rsidRPr="00275093" w:rsidRDefault="00592DC4" w:rsidP="00592DC4">
      <w:pPr>
        <w:pStyle w:val="Zkladntext2"/>
        <w:rPr>
          <w:szCs w:val="22"/>
        </w:rPr>
      </w:pPr>
    </w:p>
    <w:p w14:paraId="650AC395" w14:textId="7CD6729C" w:rsidR="00592DC4" w:rsidRPr="00275093" w:rsidRDefault="00592DC4" w:rsidP="00592DC4">
      <w:pPr>
        <w:pStyle w:val="Zkladntext2"/>
        <w:rPr>
          <w:szCs w:val="22"/>
        </w:rPr>
      </w:pPr>
      <w:r w:rsidRPr="00275093">
        <w:rPr>
          <w:szCs w:val="22"/>
        </w:rPr>
        <w:t>Použitie Trileptalu sa odporúča u</w:t>
      </w:r>
      <w:r w:rsidR="00A17CBD" w:rsidRPr="00275093">
        <w:rPr>
          <w:szCs w:val="22"/>
        </w:rPr>
        <w:t xml:space="preserve"> detí vo veku od </w:t>
      </w:r>
      <w:r w:rsidRPr="00275093">
        <w:rPr>
          <w:szCs w:val="22"/>
        </w:rPr>
        <w:t>6</w:t>
      </w:r>
      <w:r w:rsidR="00A17CBD" w:rsidRPr="00275093">
        <w:rPr>
          <w:szCs w:val="22"/>
        </w:rPr>
        <w:t xml:space="preserve"> rokov.</w:t>
      </w:r>
      <w:r w:rsidRPr="00275093">
        <w:rPr>
          <w:szCs w:val="22"/>
        </w:rPr>
        <w:t xml:space="preserve"> Bezpečnosť a účinnosť sa vyhodnotila v kontrolovaných klinických skúšaniach s približne 230 deťmi vo veku menej ako 6 rokov (od 1 mesiaca). Použitie Trileptalu sa neodporúča u</w:t>
      </w:r>
      <w:r w:rsidR="00A17CBD" w:rsidRPr="00275093">
        <w:rPr>
          <w:szCs w:val="22"/>
        </w:rPr>
        <w:t xml:space="preserve"> detí </w:t>
      </w:r>
      <w:r w:rsidRPr="00275093">
        <w:rPr>
          <w:szCs w:val="22"/>
        </w:rPr>
        <w:t>mladších ako 6</w:t>
      </w:r>
      <w:r w:rsidR="00A17CBD" w:rsidRPr="00275093">
        <w:rPr>
          <w:szCs w:val="22"/>
        </w:rPr>
        <w:t xml:space="preserve"> rokov</w:t>
      </w:r>
      <w:r w:rsidRPr="00275093">
        <w:rPr>
          <w:szCs w:val="22"/>
        </w:rPr>
        <w:t>, pretože jeho bezpečnosť a účinnosť sa dostatočne nepreukázali.</w:t>
      </w:r>
    </w:p>
    <w:p w14:paraId="68FE100E" w14:textId="77777777" w:rsidR="00592DC4" w:rsidRPr="00275093" w:rsidRDefault="00592DC4" w:rsidP="00592DC4">
      <w:pPr>
        <w:pStyle w:val="Nadpis2"/>
        <w:rPr>
          <w:b w:val="0"/>
          <w:i w:val="0"/>
          <w:szCs w:val="22"/>
        </w:rPr>
      </w:pPr>
    </w:p>
    <w:p w14:paraId="75BADC9F" w14:textId="4D6428CE" w:rsidR="00592DC4" w:rsidRPr="00275093" w:rsidRDefault="00592DC4" w:rsidP="00592DC4">
      <w:pPr>
        <w:pStyle w:val="Nadpis2"/>
        <w:rPr>
          <w:b w:val="0"/>
          <w:i w:val="0"/>
          <w:szCs w:val="22"/>
        </w:rPr>
      </w:pPr>
      <w:r w:rsidRPr="00275093">
        <w:rPr>
          <w:b w:val="0"/>
          <w:i w:val="0"/>
          <w:szCs w:val="22"/>
        </w:rPr>
        <w:t xml:space="preserve">Všetky uvedené odporúčania pre dávkovanie (pre dospelých, starších </w:t>
      </w:r>
      <w:r w:rsidR="000D6CBA" w:rsidRPr="00275093">
        <w:rPr>
          <w:b w:val="0"/>
          <w:i w:val="0"/>
          <w:szCs w:val="22"/>
        </w:rPr>
        <w:t xml:space="preserve">ľudí </w:t>
      </w:r>
      <w:r w:rsidRPr="00275093">
        <w:rPr>
          <w:b w:val="0"/>
          <w:i w:val="0"/>
          <w:szCs w:val="22"/>
        </w:rPr>
        <w:t>a det</w:t>
      </w:r>
      <w:r w:rsidR="00A17CBD" w:rsidRPr="00275093">
        <w:rPr>
          <w:b w:val="0"/>
          <w:i w:val="0"/>
          <w:szCs w:val="22"/>
        </w:rPr>
        <w:t>í</w:t>
      </w:r>
      <w:r w:rsidRPr="00275093">
        <w:rPr>
          <w:b w:val="0"/>
          <w:i w:val="0"/>
          <w:szCs w:val="22"/>
        </w:rPr>
        <w:t>)</w:t>
      </w:r>
      <w:r w:rsidRPr="00275093">
        <w:rPr>
          <w:szCs w:val="22"/>
        </w:rPr>
        <w:t xml:space="preserve"> </w:t>
      </w:r>
      <w:r w:rsidRPr="00275093">
        <w:rPr>
          <w:b w:val="0"/>
          <w:i w:val="0"/>
          <w:szCs w:val="22"/>
        </w:rPr>
        <w:t xml:space="preserve">sa zakladajú na dávkach sledovaných v klinických skúšaniach so všetkými vekovými skupinami. Možno však </w:t>
      </w:r>
      <w:r w:rsidR="00A17CBD" w:rsidRPr="00275093">
        <w:rPr>
          <w:b w:val="0"/>
          <w:i w:val="0"/>
          <w:szCs w:val="22"/>
        </w:rPr>
        <w:t>z</w:t>
      </w:r>
      <w:r w:rsidRPr="00275093">
        <w:rPr>
          <w:b w:val="0"/>
          <w:i w:val="0"/>
          <w:szCs w:val="22"/>
        </w:rPr>
        <w:t xml:space="preserve">vážiť aj nižšie </w:t>
      </w:r>
      <w:r w:rsidR="00A17CBD" w:rsidRPr="00275093">
        <w:rPr>
          <w:b w:val="0"/>
          <w:i w:val="0"/>
          <w:szCs w:val="22"/>
        </w:rPr>
        <w:t>úvodné</w:t>
      </w:r>
      <w:r w:rsidRPr="00275093">
        <w:rPr>
          <w:b w:val="0"/>
          <w:i w:val="0"/>
          <w:szCs w:val="22"/>
        </w:rPr>
        <w:t xml:space="preserve"> dávky, ak </w:t>
      </w:r>
      <w:r w:rsidR="006A2F16" w:rsidRPr="00275093">
        <w:rPr>
          <w:b w:val="0"/>
          <w:i w:val="0"/>
          <w:szCs w:val="22"/>
        </w:rPr>
        <w:t xml:space="preserve">sa to považuje za </w:t>
      </w:r>
      <w:r w:rsidRPr="00275093">
        <w:rPr>
          <w:b w:val="0"/>
          <w:i w:val="0"/>
          <w:szCs w:val="22"/>
        </w:rPr>
        <w:t>vhodné.</w:t>
      </w:r>
    </w:p>
    <w:p w14:paraId="1CAEC36A" w14:textId="77777777" w:rsidR="001C3198" w:rsidRPr="00275093" w:rsidRDefault="001C3198" w:rsidP="001C3198">
      <w:pPr>
        <w:rPr>
          <w:sz w:val="22"/>
          <w:szCs w:val="22"/>
        </w:rPr>
      </w:pPr>
    </w:p>
    <w:p w14:paraId="778B7286" w14:textId="77777777" w:rsidR="000D6CBA" w:rsidRPr="00275093" w:rsidRDefault="000D6CBA" w:rsidP="001C3198">
      <w:pPr>
        <w:rPr>
          <w:sz w:val="22"/>
          <w:szCs w:val="22"/>
          <w:u w:val="single"/>
        </w:rPr>
      </w:pPr>
      <w:r w:rsidRPr="00275093">
        <w:rPr>
          <w:sz w:val="22"/>
          <w:szCs w:val="22"/>
          <w:u w:val="single"/>
        </w:rPr>
        <w:t>Spôsob podávania</w:t>
      </w:r>
    </w:p>
    <w:p w14:paraId="3BB587A6" w14:textId="37038C82" w:rsidR="000D6CBA" w:rsidRPr="00275093" w:rsidRDefault="000D6CBA" w:rsidP="000D6CBA">
      <w:pPr>
        <w:rPr>
          <w:sz w:val="22"/>
          <w:szCs w:val="22"/>
        </w:rPr>
      </w:pPr>
      <w:r w:rsidRPr="00275093">
        <w:rPr>
          <w:sz w:val="22"/>
          <w:szCs w:val="22"/>
        </w:rPr>
        <w:t xml:space="preserve">Tablety majú </w:t>
      </w:r>
      <w:r w:rsidR="00A17CBD" w:rsidRPr="00275093">
        <w:rPr>
          <w:sz w:val="22"/>
          <w:szCs w:val="22"/>
        </w:rPr>
        <w:t>deliacu</w:t>
      </w:r>
      <w:r w:rsidRPr="00275093">
        <w:rPr>
          <w:sz w:val="22"/>
          <w:szCs w:val="22"/>
        </w:rPr>
        <w:t xml:space="preserve"> ryhu a možno ich roz</w:t>
      </w:r>
      <w:r w:rsidR="00820485" w:rsidRPr="00275093">
        <w:rPr>
          <w:sz w:val="22"/>
          <w:szCs w:val="22"/>
        </w:rPr>
        <w:t>d</w:t>
      </w:r>
      <w:r w:rsidR="00A17CBD" w:rsidRPr="00275093">
        <w:rPr>
          <w:sz w:val="22"/>
          <w:szCs w:val="22"/>
        </w:rPr>
        <w:t>eliť</w:t>
      </w:r>
      <w:r w:rsidRPr="00275093">
        <w:rPr>
          <w:sz w:val="22"/>
          <w:szCs w:val="22"/>
        </w:rPr>
        <w:t xml:space="preserve"> na </w:t>
      </w:r>
      <w:r w:rsidR="002F7CBE" w:rsidRPr="00275093">
        <w:rPr>
          <w:sz w:val="22"/>
          <w:szCs w:val="22"/>
        </w:rPr>
        <w:t xml:space="preserve">dve rovnaké </w:t>
      </w:r>
      <w:r w:rsidRPr="00275093">
        <w:rPr>
          <w:sz w:val="22"/>
          <w:szCs w:val="22"/>
        </w:rPr>
        <w:t>polovice, aby sa pacientovi uľahčilo ich prehĺtanie</w:t>
      </w:r>
      <w:r w:rsidR="002F7CBE" w:rsidRPr="00275093">
        <w:rPr>
          <w:sz w:val="22"/>
          <w:szCs w:val="22"/>
        </w:rPr>
        <w:t>, ako aj na úpravu dávky</w:t>
      </w:r>
      <w:r w:rsidRPr="00275093">
        <w:rPr>
          <w:sz w:val="22"/>
          <w:szCs w:val="22"/>
        </w:rPr>
        <w:t xml:space="preserve">. </w:t>
      </w:r>
    </w:p>
    <w:p w14:paraId="3E21C6A5" w14:textId="77777777" w:rsidR="00592DC4" w:rsidRPr="00275093" w:rsidRDefault="00592DC4" w:rsidP="001C3198">
      <w:pPr>
        <w:rPr>
          <w:sz w:val="22"/>
          <w:szCs w:val="22"/>
        </w:rPr>
      </w:pPr>
    </w:p>
    <w:p w14:paraId="30CE6B87" w14:textId="77777777" w:rsidR="000D6CBA" w:rsidRPr="00275093" w:rsidRDefault="000D6CBA" w:rsidP="000D6CBA">
      <w:pPr>
        <w:pStyle w:val="Zkladntext2"/>
        <w:keepNext/>
        <w:keepLines/>
        <w:rPr>
          <w:szCs w:val="22"/>
        </w:rPr>
      </w:pPr>
      <w:r w:rsidRPr="00275093">
        <w:rPr>
          <w:szCs w:val="22"/>
        </w:rPr>
        <w:t>Trileptal sa môže užívať s jedlom alebo bez jedla.</w:t>
      </w:r>
    </w:p>
    <w:p w14:paraId="79FFEDBC" w14:textId="77777777" w:rsidR="000D6CBA" w:rsidRPr="00275093" w:rsidRDefault="000D6CBA" w:rsidP="001C3198">
      <w:pPr>
        <w:rPr>
          <w:sz w:val="22"/>
          <w:szCs w:val="22"/>
        </w:rPr>
      </w:pPr>
    </w:p>
    <w:p w14:paraId="6A504160" w14:textId="77777777" w:rsidR="001C3198" w:rsidRPr="00275093" w:rsidRDefault="001C3198" w:rsidP="001C3198">
      <w:pPr>
        <w:rPr>
          <w:b/>
          <w:sz w:val="22"/>
          <w:szCs w:val="22"/>
        </w:rPr>
      </w:pPr>
      <w:r w:rsidRPr="00275093">
        <w:rPr>
          <w:b/>
          <w:sz w:val="22"/>
          <w:szCs w:val="22"/>
        </w:rPr>
        <w:t>4.3</w:t>
      </w:r>
      <w:r w:rsidRPr="00275093">
        <w:rPr>
          <w:b/>
          <w:sz w:val="22"/>
          <w:szCs w:val="22"/>
        </w:rPr>
        <w:tab/>
        <w:t>Kontraindikácie</w:t>
      </w:r>
    </w:p>
    <w:p w14:paraId="23E8F849" w14:textId="77777777" w:rsidR="001C3198" w:rsidRPr="00275093" w:rsidRDefault="001C3198" w:rsidP="001C3198">
      <w:pPr>
        <w:rPr>
          <w:sz w:val="22"/>
          <w:szCs w:val="22"/>
        </w:rPr>
      </w:pPr>
    </w:p>
    <w:p w14:paraId="3B89DE63" w14:textId="77777777" w:rsidR="001C3198" w:rsidRPr="00275093" w:rsidRDefault="001C3198" w:rsidP="001C3198">
      <w:pPr>
        <w:rPr>
          <w:sz w:val="22"/>
          <w:szCs w:val="22"/>
        </w:rPr>
      </w:pPr>
      <w:r w:rsidRPr="00275093">
        <w:rPr>
          <w:sz w:val="22"/>
          <w:szCs w:val="22"/>
        </w:rPr>
        <w:t>Precitlivenosť na liečivo</w:t>
      </w:r>
      <w:r w:rsidR="009A2174" w:rsidRPr="00275093">
        <w:rPr>
          <w:sz w:val="22"/>
          <w:szCs w:val="22"/>
        </w:rPr>
        <w:t xml:space="preserve">, </w:t>
      </w:r>
      <w:r w:rsidR="00F12721" w:rsidRPr="00275093">
        <w:rPr>
          <w:sz w:val="22"/>
          <w:szCs w:val="22"/>
        </w:rPr>
        <w:t xml:space="preserve">na </w:t>
      </w:r>
      <w:r w:rsidR="000A62D5" w:rsidRPr="00275093">
        <w:rPr>
          <w:sz w:val="22"/>
          <w:szCs w:val="22"/>
        </w:rPr>
        <w:t xml:space="preserve">eslikarbazepín </w:t>
      </w:r>
      <w:r w:rsidRPr="00275093">
        <w:rPr>
          <w:sz w:val="22"/>
          <w:szCs w:val="22"/>
        </w:rPr>
        <w:t>alebo na ktorú</w:t>
      </w:r>
      <w:r w:rsidR="002E010E" w:rsidRPr="00275093">
        <w:rPr>
          <w:sz w:val="22"/>
          <w:szCs w:val="22"/>
        </w:rPr>
        <w:t>koľvek</w:t>
      </w:r>
      <w:r w:rsidRPr="00275093">
        <w:rPr>
          <w:sz w:val="22"/>
          <w:szCs w:val="22"/>
        </w:rPr>
        <w:t xml:space="preserve"> z pomocných látok</w:t>
      </w:r>
      <w:r w:rsidR="00C94E77" w:rsidRPr="00275093">
        <w:rPr>
          <w:sz w:val="22"/>
          <w:szCs w:val="22"/>
        </w:rPr>
        <w:t xml:space="preserve"> </w:t>
      </w:r>
      <w:r w:rsidR="00C94E77" w:rsidRPr="00275093">
        <w:rPr>
          <w:noProof/>
          <w:sz w:val="22"/>
          <w:szCs w:val="22"/>
        </w:rPr>
        <w:t>uvedených v časti 6.1</w:t>
      </w:r>
      <w:r w:rsidRPr="00275093">
        <w:rPr>
          <w:sz w:val="22"/>
          <w:szCs w:val="22"/>
        </w:rPr>
        <w:t>.</w:t>
      </w:r>
    </w:p>
    <w:p w14:paraId="33255BF3" w14:textId="77777777" w:rsidR="001C3198" w:rsidRPr="00275093" w:rsidRDefault="001C3198" w:rsidP="001C3198">
      <w:pPr>
        <w:rPr>
          <w:sz w:val="22"/>
          <w:szCs w:val="22"/>
        </w:rPr>
      </w:pPr>
    </w:p>
    <w:p w14:paraId="3B4546E7" w14:textId="77777777" w:rsidR="001C3198" w:rsidRPr="00275093" w:rsidRDefault="001C3198" w:rsidP="001C3198">
      <w:pPr>
        <w:rPr>
          <w:sz w:val="22"/>
          <w:szCs w:val="22"/>
        </w:rPr>
      </w:pPr>
      <w:r w:rsidRPr="00275093">
        <w:rPr>
          <w:b/>
          <w:sz w:val="22"/>
          <w:szCs w:val="22"/>
        </w:rPr>
        <w:t>4.4</w:t>
      </w:r>
      <w:r w:rsidRPr="00275093">
        <w:rPr>
          <w:b/>
          <w:sz w:val="22"/>
          <w:szCs w:val="22"/>
        </w:rPr>
        <w:tab/>
        <w:t>Osobitné upozornenia a opatrenia pri používaní</w:t>
      </w:r>
    </w:p>
    <w:p w14:paraId="6BBDECA6" w14:textId="77777777" w:rsidR="001C3198" w:rsidRPr="00275093" w:rsidRDefault="001C3198" w:rsidP="001C3198">
      <w:pPr>
        <w:pStyle w:val="Zkladntext2"/>
        <w:rPr>
          <w:szCs w:val="22"/>
        </w:rPr>
      </w:pPr>
    </w:p>
    <w:p w14:paraId="702C893F" w14:textId="77777777" w:rsidR="001C3198" w:rsidRPr="00275093" w:rsidRDefault="001C3198" w:rsidP="001C3198">
      <w:pPr>
        <w:pStyle w:val="Zkladntext2"/>
        <w:rPr>
          <w:bCs/>
          <w:szCs w:val="22"/>
          <w:u w:val="single"/>
        </w:rPr>
      </w:pPr>
      <w:r w:rsidRPr="00275093">
        <w:rPr>
          <w:bCs/>
          <w:szCs w:val="22"/>
          <w:u w:val="single"/>
        </w:rPr>
        <w:t>Precitlivenosť</w:t>
      </w:r>
    </w:p>
    <w:p w14:paraId="779A3A48" w14:textId="77777777" w:rsidR="001C3198" w:rsidRPr="00275093" w:rsidRDefault="001C3198" w:rsidP="001C3198">
      <w:pPr>
        <w:pStyle w:val="Zkladntext2"/>
        <w:rPr>
          <w:szCs w:val="22"/>
        </w:rPr>
      </w:pPr>
      <w:r w:rsidRPr="00275093">
        <w:rPr>
          <w:szCs w:val="22"/>
        </w:rPr>
        <w:t>Reakcie z precitlivenosti typu I (okamžité) vrátane exantému, pruritu, urtikárie, angioedému a správ o anafylaxii sa zaznamenali v období po uvedení lieku na trh. Prípady anafylaxie a angioedému s postihnutím laryngu, hlasivky, pier a očných viečok boli hlásené u pacientov po užití prvej alebo ďalších dávok Trileptalu. Ak u pacienta vzniknú tieto reakcie po podaní Trileptalu, liek sa má vysadiť a začať alternatívna liečba.</w:t>
      </w:r>
    </w:p>
    <w:p w14:paraId="72BADADB" w14:textId="77777777" w:rsidR="00C94E77" w:rsidRPr="00275093" w:rsidRDefault="00C94E77" w:rsidP="001C3198">
      <w:pPr>
        <w:pStyle w:val="Zkladntext2"/>
        <w:rPr>
          <w:szCs w:val="22"/>
        </w:rPr>
      </w:pPr>
    </w:p>
    <w:p w14:paraId="056B09C2" w14:textId="77777777" w:rsidR="001C3198" w:rsidRPr="00275093" w:rsidRDefault="001C3198" w:rsidP="001C3198">
      <w:pPr>
        <w:pStyle w:val="Zkladntext2"/>
        <w:rPr>
          <w:szCs w:val="22"/>
        </w:rPr>
      </w:pPr>
      <w:r w:rsidRPr="00275093">
        <w:rPr>
          <w:szCs w:val="22"/>
        </w:rPr>
        <w:t>Pacientov, u ktorých sa vyskytli reakcie z precitlivenosti na karbamazepín, je potrebné upozorniť, že u približne 25 – 30</w:t>
      </w:r>
      <w:r w:rsidR="00C21D02" w:rsidRPr="00275093">
        <w:rPr>
          <w:szCs w:val="22"/>
        </w:rPr>
        <w:t> %</w:t>
      </w:r>
      <w:r w:rsidRPr="00275093">
        <w:rPr>
          <w:szCs w:val="22"/>
        </w:rPr>
        <w:t xml:space="preserve"> takýchto pacientov môžu vzniknúť reakcie z precitlivenosti (napr. závažné kožné reakcie) na Trileptal (pozri časť 4.8).</w:t>
      </w:r>
    </w:p>
    <w:p w14:paraId="7662173D" w14:textId="77777777" w:rsidR="00C94E77" w:rsidRPr="00275093" w:rsidRDefault="00C94E77" w:rsidP="001C3198">
      <w:pPr>
        <w:pStyle w:val="Zkladntext2"/>
        <w:rPr>
          <w:szCs w:val="22"/>
        </w:rPr>
      </w:pPr>
    </w:p>
    <w:p w14:paraId="2C226F1B" w14:textId="77777777" w:rsidR="001C3198" w:rsidRPr="00275093" w:rsidRDefault="001C3198" w:rsidP="001C3198">
      <w:pPr>
        <w:pStyle w:val="Zkladntext2"/>
        <w:rPr>
          <w:szCs w:val="22"/>
        </w:rPr>
      </w:pPr>
      <w:r w:rsidRPr="00275093">
        <w:rPr>
          <w:szCs w:val="22"/>
        </w:rPr>
        <w:t xml:space="preserve">Reakcie z precitlivenosti, vrátane multiorgánových reakcií z precitlivenosti, sa môžu vyskytnúť aj u pacientov, ktorí nemajú v anamnéze precitlivenosť na karbamazepín. Takéto reakcie môžu postihnúť kožu, pečeň, krv, lymfatický systém alebo iné orgány, a to buď jednotlivo, alebo súbežne v súvislosti </w:t>
      </w:r>
      <w:r w:rsidRPr="00275093">
        <w:rPr>
          <w:szCs w:val="22"/>
        </w:rPr>
        <w:lastRenderedPageBreak/>
        <w:t>so systémovou reakciou (pozri časť 4.8). Vo všeobecnosti, ak sa vyskytnú príznaky a prejavy naznačujúce reakcie z precitlivenosti, Trileptal sa má okamžite vysadiť.</w:t>
      </w:r>
    </w:p>
    <w:p w14:paraId="400D20AC" w14:textId="77777777" w:rsidR="001C3198" w:rsidRPr="00275093" w:rsidRDefault="001C3198" w:rsidP="001C3198">
      <w:pPr>
        <w:pStyle w:val="Zkladntext2"/>
        <w:rPr>
          <w:szCs w:val="22"/>
        </w:rPr>
      </w:pPr>
    </w:p>
    <w:p w14:paraId="52AB335C" w14:textId="77777777" w:rsidR="001C3198" w:rsidRPr="00275093" w:rsidRDefault="001C3198" w:rsidP="0031250B">
      <w:pPr>
        <w:pStyle w:val="Zkladntext2"/>
        <w:keepNext/>
        <w:rPr>
          <w:bCs/>
          <w:szCs w:val="22"/>
          <w:u w:val="single"/>
        </w:rPr>
      </w:pPr>
      <w:r w:rsidRPr="00275093">
        <w:rPr>
          <w:bCs/>
          <w:szCs w:val="22"/>
          <w:u w:val="single"/>
        </w:rPr>
        <w:t>Účinky na kožu</w:t>
      </w:r>
    </w:p>
    <w:p w14:paraId="0CDE3833" w14:textId="1E32332A" w:rsidR="001C3198" w:rsidRPr="00275093" w:rsidRDefault="001C3198" w:rsidP="001C3198">
      <w:pPr>
        <w:pStyle w:val="Zkladntext2"/>
        <w:rPr>
          <w:szCs w:val="22"/>
        </w:rPr>
      </w:pPr>
      <w:r w:rsidRPr="00275093">
        <w:rPr>
          <w:szCs w:val="22"/>
        </w:rPr>
        <w:t>Závažné kožné reakcie vrátane Stevensovho-Johnsonovho syndrómu, toxickej epidermálnej nekrolýzy (Lyellov syndróm) a multiformného erytému sa veľmi zriedka zaznamenali v súvislosti s použitím Trileptalu. U pacientov so závažnými kožnými reakciami môže byť potrebná hospitalizácia, pretože tieto ochorenia môžu ohrozovať život a veľmi zriedka byť smrteľné. Prípady súvisiace s Trileptalom sa vyskytli u detí aj dospelých. Medián času do nástupu ochorenia bol 19 dní. Niekoľko ojedinelých prípadov recidívy závažnej kožnej reakcie bolo hlásených po opätovnom podaní Trileptalu. Ak u pacientov vznikne kožná reakcia na Trileptal, majú sa ihneď vyšetriť a Trileptal sa má okamžite vysadiť, pokiaľ nie je isté, že exantém nesúvisí s liekom. V prípade ukončenia liečby sa má uvážiť nahradenie Trileptalu inými antiepileptikami, aby sa zabránilo epileptickým záchvatom vyvolaným vysadením liečby. Trileptal sa nemá znovu podať pacientom, ktorí ukončili liečbu pre reakciu z precitlivenosti (pozri časť 4.3).</w:t>
      </w:r>
    </w:p>
    <w:p w14:paraId="441EC5F5" w14:textId="77777777" w:rsidR="00C94E77" w:rsidRPr="00275093" w:rsidRDefault="00C94E77" w:rsidP="001C3198">
      <w:pPr>
        <w:pStyle w:val="Zkladntext2"/>
        <w:rPr>
          <w:szCs w:val="22"/>
        </w:rPr>
      </w:pPr>
    </w:p>
    <w:p w14:paraId="6B9D2224" w14:textId="5DE05FB1" w:rsidR="001C3198" w:rsidRPr="00275093" w:rsidRDefault="002726FE" w:rsidP="001C3198">
      <w:pPr>
        <w:pStyle w:val="Zkladntext2"/>
        <w:rPr>
          <w:szCs w:val="22"/>
          <w:u w:val="single"/>
        </w:rPr>
      </w:pPr>
      <w:r w:rsidRPr="00275093">
        <w:rPr>
          <w:szCs w:val="22"/>
          <w:u w:val="single"/>
        </w:rPr>
        <w:t>Alela HLA-B*1502 u</w:t>
      </w:r>
      <w:r w:rsidR="00F36208" w:rsidRPr="00275093">
        <w:rPr>
          <w:szCs w:val="22"/>
          <w:u w:val="single"/>
        </w:rPr>
        <w:t xml:space="preserve"> Číňanov </w:t>
      </w:r>
      <w:r w:rsidRPr="00275093">
        <w:rPr>
          <w:szCs w:val="22"/>
          <w:u w:val="single"/>
        </w:rPr>
        <w:t xml:space="preserve">národnosti Han, </w:t>
      </w:r>
      <w:r w:rsidR="00C94E77" w:rsidRPr="00275093">
        <w:rPr>
          <w:szCs w:val="22"/>
          <w:u w:val="single"/>
        </w:rPr>
        <w:t>T</w:t>
      </w:r>
      <w:r w:rsidR="004A08A2" w:rsidRPr="00275093">
        <w:rPr>
          <w:szCs w:val="22"/>
          <w:u w:val="single"/>
        </w:rPr>
        <w:t>h</w:t>
      </w:r>
      <w:r w:rsidRPr="00275093">
        <w:rPr>
          <w:szCs w:val="22"/>
          <w:u w:val="single"/>
        </w:rPr>
        <w:t>ajčanov a</w:t>
      </w:r>
      <w:r w:rsidR="00F36208" w:rsidRPr="00275093">
        <w:rPr>
          <w:szCs w:val="22"/>
          <w:u w:val="single"/>
        </w:rPr>
        <w:t> </w:t>
      </w:r>
      <w:r w:rsidRPr="00275093">
        <w:rPr>
          <w:szCs w:val="22"/>
          <w:u w:val="single"/>
        </w:rPr>
        <w:t>in</w:t>
      </w:r>
      <w:r w:rsidR="00F36208" w:rsidRPr="00275093">
        <w:rPr>
          <w:szCs w:val="22"/>
          <w:u w:val="single"/>
        </w:rPr>
        <w:t xml:space="preserve">ých </w:t>
      </w:r>
      <w:r w:rsidRPr="00275093">
        <w:rPr>
          <w:szCs w:val="22"/>
          <w:u w:val="single"/>
        </w:rPr>
        <w:t>ázijsk</w:t>
      </w:r>
      <w:r w:rsidR="00F36208" w:rsidRPr="00275093">
        <w:rPr>
          <w:szCs w:val="22"/>
          <w:u w:val="single"/>
        </w:rPr>
        <w:t>ých</w:t>
      </w:r>
      <w:r w:rsidRPr="00275093">
        <w:rPr>
          <w:szCs w:val="22"/>
          <w:u w:val="single"/>
        </w:rPr>
        <w:t xml:space="preserve"> populáci</w:t>
      </w:r>
      <w:r w:rsidR="00F36208" w:rsidRPr="00275093">
        <w:rPr>
          <w:szCs w:val="22"/>
          <w:u w:val="single"/>
        </w:rPr>
        <w:t>í</w:t>
      </w:r>
    </w:p>
    <w:p w14:paraId="0633ACA1" w14:textId="16BF8EEE" w:rsidR="004C3B3F" w:rsidRPr="00275093" w:rsidRDefault="002544A9" w:rsidP="001C3198">
      <w:pPr>
        <w:pStyle w:val="Zkladntext2"/>
        <w:rPr>
          <w:szCs w:val="22"/>
        </w:rPr>
      </w:pPr>
      <w:r w:rsidRPr="00275093">
        <w:rPr>
          <w:szCs w:val="22"/>
        </w:rPr>
        <w:t>U</w:t>
      </w:r>
      <w:r w:rsidR="00764EA8" w:rsidRPr="00275093">
        <w:rPr>
          <w:szCs w:val="22"/>
        </w:rPr>
        <w:t> </w:t>
      </w:r>
      <w:r w:rsidRPr="00275093">
        <w:rPr>
          <w:szCs w:val="22"/>
        </w:rPr>
        <w:t>osôb</w:t>
      </w:r>
      <w:r w:rsidR="00764EA8" w:rsidRPr="00275093">
        <w:rPr>
          <w:szCs w:val="22"/>
        </w:rPr>
        <w:t xml:space="preserve"> pochádzajúcich z</w:t>
      </w:r>
      <w:r w:rsidRPr="00275093">
        <w:rPr>
          <w:szCs w:val="22"/>
        </w:rPr>
        <w:t xml:space="preserve"> národnosti Han </w:t>
      </w:r>
      <w:r w:rsidR="00764EA8" w:rsidRPr="00275093">
        <w:rPr>
          <w:szCs w:val="22"/>
        </w:rPr>
        <w:t xml:space="preserve">v Číne </w:t>
      </w:r>
      <w:r w:rsidRPr="00275093">
        <w:rPr>
          <w:szCs w:val="22"/>
        </w:rPr>
        <w:t>a</w:t>
      </w:r>
      <w:r w:rsidR="00764EA8" w:rsidRPr="00275093">
        <w:rPr>
          <w:szCs w:val="22"/>
        </w:rPr>
        <w:t> z </w:t>
      </w:r>
      <w:r w:rsidR="004A08A2" w:rsidRPr="00275093">
        <w:rPr>
          <w:szCs w:val="22"/>
        </w:rPr>
        <w:t>Th</w:t>
      </w:r>
      <w:r w:rsidRPr="00275093">
        <w:rPr>
          <w:szCs w:val="22"/>
        </w:rPr>
        <w:t>aj</w:t>
      </w:r>
      <w:r w:rsidR="00764EA8" w:rsidRPr="00275093">
        <w:rPr>
          <w:szCs w:val="22"/>
        </w:rPr>
        <w:t xml:space="preserve">ska </w:t>
      </w:r>
      <w:r w:rsidRPr="00275093">
        <w:rPr>
          <w:szCs w:val="22"/>
        </w:rPr>
        <w:t xml:space="preserve">liečených karbamazepínom </w:t>
      </w:r>
      <w:r w:rsidR="008300A9" w:rsidRPr="00275093">
        <w:rPr>
          <w:szCs w:val="22"/>
        </w:rPr>
        <w:t xml:space="preserve">alela </w:t>
      </w:r>
      <w:r w:rsidRPr="00275093">
        <w:rPr>
          <w:szCs w:val="22"/>
        </w:rPr>
        <w:t>HLA-B*1502 úzko súvisela s rizikom vzniku ťažkých kožných reakcií, známych ako Stevens</w:t>
      </w:r>
      <w:r w:rsidR="008300A9" w:rsidRPr="00275093">
        <w:rPr>
          <w:szCs w:val="22"/>
        </w:rPr>
        <w:t>ov</w:t>
      </w:r>
      <w:r w:rsidRPr="00275093">
        <w:rPr>
          <w:szCs w:val="22"/>
        </w:rPr>
        <w:t>-Johnsonov syndróm (SJS)</w:t>
      </w:r>
      <w:r w:rsidR="009A2174" w:rsidRPr="00275093">
        <w:rPr>
          <w:szCs w:val="22"/>
        </w:rPr>
        <w:t>/toxická epidermálna nekrolýza (TEN)</w:t>
      </w:r>
      <w:r w:rsidRPr="00275093">
        <w:rPr>
          <w:szCs w:val="22"/>
        </w:rPr>
        <w:t>.</w:t>
      </w:r>
      <w:r w:rsidR="004C3B3F" w:rsidRPr="00275093">
        <w:rPr>
          <w:szCs w:val="22"/>
        </w:rPr>
        <w:t xml:space="preserve"> Chemická štruktúra oxk</w:t>
      </w:r>
      <w:r w:rsidRPr="00275093">
        <w:rPr>
          <w:szCs w:val="22"/>
        </w:rPr>
        <w:t>arbamazepínu je podobná</w:t>
      </w:r>
      <w:r w:rsidR="00DC3920" w:rsidRPr="00275093">
        <w:rPr>
          <w:szCs w:val="22"/>
        </w:rPr>
        <w:t xml:space="preserve"> </w:t>
      </w:r>
      <w:r w:rsidRPr="00275093">
        <w:rPr>
          <w:szCs w:val="22"/>
        </w:rPr>
        <w:t>karbamazepínu a je možné</w:t>
      </w:r>
      <w:r w:rsidR="00C94E77" w:rsidRPr="00275093">
        <w:rPr>
          <w:szCs w:val="22"/>
        </w:rPr>
        <w:t>,</w:t>
      </w:r>
      <w:r w:rsidRPr="00275093">
        <w:rPr>
          <w:szCs w:val="22"/>
        </w:rPr>
        <w:t xml:space="preserve"> že </w:t>
      </w:r>
      <w:r w:rsidR="008300A9" w:rsidRPr="00275093">
        <w:rPr>
          <w:szCs w:val="22"/>
        </w:rPr>
        <w:t xml:space="preserve">pacienti s pozitivitou </w:t>
      </w:r>
      <w:r w:rsidRPr="00275093">
        <w:rPr>
          <w:szCs w:val="22"/>
        </w:rPr>
        <w:t>HLA-B*1502</w:t>
      </w:r>
      <w:r w:rsidR="004C3B3F" w:rsidRPr="00275093">
        <w:rPr>
          <w:szCs w:val="22"/>
        </w:rPr>
        <w:t xml:space="preserve"> </w:t>
      </w:r>
      <w:r w:rsidRPr="00275093">
        <w:rPr>
          <w:szCs w:val="22"/>
        </w:rPr>
        <w:t>môžu byť ohrození SJS</w:t>
      </w:r>
      <w:r w:rsidR="009A2174" w:rsidRPr="00275093">
        <w:rPr>
          <w:szCs w:val="22"/>
        </w:rPr>
        <w:t>/TEN</w:t>
      </w:r>
      <w:r w:rsidRPr="00275093">
        <w:rPr>
          <w:szCs w:val="22"/>
        </w:rPr>
        <w:t xml:space="preserve"> </w:t>
      </w:r>
      <w:r w:rsidR="00F12721" w:rsidRPr="00275093">
        <w:rPr>
          <w:szCs w:val="22"/>
        </w:rPr>
        <w:t xml:space="preserve">aj </w:t>
      </w:r>
      <w:r w:rsidRPr="00275093">
        <w:rPr>
          <w:szCs w:val="22"/>
        </w:rPr>
        <w:t>po liečbe oxkarbazep</w:t>
      </w:r>
      <w:r w:rsidR="00C94E77" w:rsidRPr="00275093">
        <w:rPr>
          <w:szCs w:val="22"/>
        </w:rPr>
        <w:t>í</w:t>
      </w:r>
      <w:r w:rsidRPr="00275093">
        <w:rPr>
          <w:szCs w:val="22"/>
        </w:rPr>
        <w:t>nom.</w:t>
      </w:r>
      <w:r w:rsidR="00DC3920" w:rsidRPr="00275093">
        <w:rPr>
          <w:szCs w:val="22"/>
        </w:rPr>
        <w:t xml:space="preserve"> </w:t>
      </w:r>
      <w:r w:rsidRPr="00275093">
        <w:rPr>
          <w:szCs w:val="22"/>
        </w:rPr>
        <w:t>Existujú údaje, ktoré svedčia pre súvislosť s oxkarbazepínom. Prevalencia nositeľov HLA-B*1502 u Číňanov národnosti Han a thajskej populácie je asi 10</w:t>
      </w:r>
      <w:r w:rsidR="0080230C" w:rsidRPr="00275093">
        <w:rPr>
          <w:szCs w:val="22"/>
        </w:rPr>
        <w:t xml:space="preserve"> </w:t>
      </w:r>
      <w:r w:rsidRPr="00275093">
        <w:rPr>
          <w:szCs w:val="22"/>
        </w:rPr>
        <w:t>%.</w:t>
      </w:r>
      <w:r w:rsidR="003A0A6F" w:rsidRPr="00275093">
        <w:rPr>
          <w:szCs w:val="22"/>
        </w:rPr>
        <w:t xml:space="preserve"> Podľa možnost</w:t>
      </w:r>
      <w:r w:rsidR="008300A9" w:rsidRPr="00275093">
        <w:rPr>
          <w:szCs w:val="22"/>
        </w:rPr>
        <w:t>i</w:t>
      </w:r>
      <w:r w:rsidR="003A0A6F" w:rsidRPr="00275093">
        <w:rPr>
          <w:szCs w:val="22"/>
        </w:rPr>
        <w:t xml:space="preserve"> je u týchto </w:t>
      </w:r>
      <w:r w:rsidR="00764EA8" w:rsidRPr="00275093">
        <w:rPr>
          <w:szCs w:val="22"/>
        </w:rPr>
        <w:t>osôb</w:t>
      </w:r>
      <w:r w:rsidR="003A0A6F" w:rsidRPr="00275093">
        <w:rPr>
          <w:szCs w:val="22"/>
        </w:rPr>
        <w:t xml:space="preserve"> </w:t>
      </w:r>
      <w:r w:rsidR="004C3B3F" w:rsidRPr="00275093">
        <w:rPr>
          <w:szCs w:val="22"/>
        </w:rPr>
        <w:t xml:space="preserve">potrebné </w:t>
      </w:r>
      <w:r w:rsidR="003A0A6F" w:rsidRPr="00275093">
        <w:rPr>
          <w:szCs w:val="22"/>
        </w:rPr>
        <w:t>urobiť skríning na túto alelu pred začatím liečby karbamazepínom alebo chemicky podobným liečiv</w:t>
      </w:r>
      <w:r w:rsidR="00764EA8" w:rsidRPr="00275093">
        <w:rPr>
          <w:szCs w:val="22"/>
        </w:rPr>
        <w:t>o</w:t>
      </w:r>
      <w:r w:rsidR="003A0A6F" w:rsidRPr="00275093">
        <w:rPr>
          <w:szCs w:val="22"/>
        </w:rPr>
        <w:t xml:space="preserve">m. Ak </w:t>
      </w:r>
      <w:r w:rsidR="00F12721" w:rsidRPr="00275093">
        <w:rPr>
          <w:szCs w:val="22"/>
        </w:rPr>
        <w:t xml:space="preserve">je u </w:t>
      </w:r>
      <w:r w:rsidR="003A0A6F" w:rsidRPr="00275093">
        <w:rPr>
          <w:szCs w:val="22"/>
        </w:rPr>
        <w:t>pacient</w:t>
      </w:r>
      <w:r w:rsidR="00F12721" w:rsidRPr="00275093">
        <w:rPr>
          <w:szCs w:val="22"/>
        </w:rPr>
        <w:t>ov</w:t>
      </w:r>
      <w:r w:rsidR="003A0A6F" w:rsidRPr="00275093">
        <w:rPr>
          <w:szCs w:val="22"/>
        </w:rPr>
        <w:t xml:space="preserve"> t</w:t>
      </w:r>
      <w:r w:rsidR="00764EA8" w:rsidRPr="00275093">
        <w:rPr>
          <w:szCs w:val="22"/>
        </w:rPr>
        <w:t xml:space="preserve">akéhoto pôvodu </w:t>
      </w:r>
      <w:r w:rsidR="003A0A6F" w:rsidRPr="00275093">
        <w:rPr>
          <w:szCs w:val="22"/>
        </w:rPr>
        <w:t>pozitívn</w:t>
      </w:r>
      <w:r w:rsidR="00F12721" w:rsidRPr="00275093">
        <w:rPr>
          <w:szCs w:val="22"/>
        </w:rPr>
        <w:t>y test</w:t>
      </w:r>
      <w:r w:rsidR="003A0A6F" w:rsidRPr="00275093">
        <w:rPr>
          <w:szCs w:val="22"/>
        </w:rPr>
        <w:t xml:space="preserve"> na </w:t>
      </w:r>
      <w:r w:rsidR="006A2F16" w:rsidRPr="00275093">
        <w:rPr>
          <w:szCs w:val="22"/>
        </w:rPr>
        <w:t xml:space="preserve">alelu </w:t>
      </w:r>
      <w:r w:rsidR="003A0A6F" w:rsidRPr="00275093">
        <w:rPr>
          <w:szCs w:val="22"/>
        </w:rPr>
        <w:t>HLA-B*1502</w:t>
      </w:r>
      <w:r w:rsidR="00C94E77" w:rsidRPr="00275093">
        <w:rPr>
          <w:szCs w:val="22"/>
        </w:rPr>
        <w:t>,</w:t>
      </w:r>
      <w:r w:rsidR="003A0A6F" w:rsidRPr="00275093">
        <w:rPr>
          <w:szCs w:val="22"/>
        </w:rPr>
        <w:t xml:space="preserve"> </w:t>
      </w:r>
      <w:r w:rsidR="004C3B3F" w:rsidRPr="00275093">
        <w:rPr>
          <w:szCs w:val="22"/>
        </w:rPr>
        <w:t xml:space="preserve">použitie </w:t>
      </w:r>
      <w:r w:rsidR="003A0A6F" w:rsidRPr="00275093">
        <w:rPr>
          <w:szCs w:val="22"/>
        </w:rPr>
        <w:t>oxkarbazepínu možno zvážiť</w:t>
      </w:r>
      <w:r w:rsidR="00C94E77" w:rsidRPr="00275093">
        <w:rPr>
          <w:szCs w:val="22"/>
        </w:rPr>
        <w:t>,</w:t>
      </w:r>
      <w:r w:rsidR="003A0A6F" w:rsidRPr="00275093">
        <w:rPr>
          <w:szCs w:val="22"/>
        </w:rPr>
        <w:t xml:space="preserve"> ak sa predpokladá</w:t>
      </w:r>
      <w:r w:rsidR="004C3B3F" w:rsidRPr="00275093">
        <w:rPr>
          <w:szCs w:val="22"/>
        </w:rPr>
        <w:t>,</w:t>
      </w:r>
      <w:r w:rsidR="003A0A6F" w:rsidRPr="00275093">
        <w:rPr>
          <w:szCs w:val="22"/>
        </w:rPr>
        <w:t xml:space="preserve"> že prínosy prevážia riziká.</w:t>
      </w:r>
    </w:p>
    <w:p w14:paraId="07723F2F" w14:textId="77777777" w:rsidR="00C94E77" w:rsidRPr="00275093" w:rsidRDefault="00C94E77" w:rsidP="001C3198">
      <w:pPr>
        <w:pStyle w:val="Zkladntext2"/>
        <w:rPr>
          <w:szCs w:val="22"/>
        </w:rPr>
      </w:pPr>
    </w:p>
    <w:p w14:paraId="44EEA55F" w14:textId="1E08FE2D" w:rsidR="003A0A6F" w:rsidRPr="00275093" w:rsidRDefault="001B5A88" w:rsidP="001C3198">
      <w:pPr>
        <w:pStyle w:val="Zkladntext2"/>
        <w:rPr>
          <w:szCs w:val="22"/>
        </w:rPr>
      </w:pPr>
      <w:r w:rsidRPr="00275093">
        <w:rPr>
          <w:szCs w:val="22"/>
        </w:rPr>
        <w:t>V</w:t>
      </w:r>
      <w:r w:rsidR="00985452" w:rsidRPr="00275093">
        <w:rPr>
          <w:szCs w:val="22"/>
        </w:rPr>
        <w:t>z</w:t>
      </w:r>
      <w:r w:rsidRPr="00275093">
        <w:rPr>
          <w:szCs w:val="22"/>
        </w:rPr>
        <w:t>hľadom na prevalenciu</w:t>
      </w:r>
      <w:r w:rsidR="003A0A6F" w:rsidRPr="00275093">
        <w:rPr>
          <w:szCs w:val="22"/>
        </w:rPr>
        <w:t xml:space="preserve"> tejto alely u iných ázi</w:t>
      </w:r>
      <w:r w:rsidR="00C05C5D" w:rsidRPr="00275093">
        <w:rPr>
          <w:szCs w:val="22"/>
        </w:rPr>
        <w:t>j</w:t>
      </w:r>
      <w:r w:rsidR="003A0A6F" w:rsidRPr="00275093">
        <w:rPr>
          <w:szCs w:val="22"/>
        </w:rPr>
        <w:t xml:space="preserve">ských </w:t>
      </w:r>
      <w:r w:rsidR="00764EA8" w:rsidRPr="00275093">
        <w:rPr>
          <w:szCs w:val="22"/>
        </w:rPr>
        <w:t xml:space="preserve">populácií </w:t>
      </w:r>
      <w:r w:rsidR="003A0A6F" w:rsidRPr="00275093">
        <w:rPr>
          <w:szCs w:val="22"/>
        </w:rPr>
        <w:t xml:space="preserve">(napr. </w:t>
      </w:r>
      <w:r w:rsidR="006A2F16" w:rsidRPr="00275093">
        <w:rPr>
          <w:szCs w:val="22"/>
        </w:rPr>
        <w:t xml:space="preserve">viac ako </w:t>
      </w:r>
      <w:r w:rsidR="003A0A6F" w:rsidRPr="00275093">
        <w:rPr>
          <w:szCs w:val="22"/>
        </w:rPr>
        <w:t>15</w:t>
      </w:r>
      <w:r w:rsidR="0080230C" w:rsidRPr="00275093">
        <w:rPr>
          <w:szCs w:val="22"/>
        </w:rPr>
        <w:t xml:space="preserve"> </w:t>
      </w:r>
      <w:r w:rsidR="003A0A6F" w:rsidRPr="00275093">
        <w:rPr>
          <w:szCs w:val="22"/>
        </w:rPr>
        <w:t xml:space="preserve">% </w:t>
      </w:r>
      <w:r w:rsidR="00764EA8" w:rsidRPr="00275093">
        <w:rPr>
          <w:szCs w:val="22"/>
        </w:rPr>
        <w:t>na </w:t>
      </w:r>
      <w:r w:rsidR="003A0A6F" w:rsidRPr="00275093">
        <w:rPr>
          <w:szCs w:val="22"/>
        </w:rPr>
        <w:t>Filipín</w:t>
      </w:r>
      <w:r w:rsidR="00764EA8" w:rsidRPr="00275093">
        <w:rPr>
          <w:szCs w:val="22"/>
        </w:rPr>
        <w:t>ach a v </w:t>
      </w:r>
      <w:r w:rsidR="003A0A6F" w:rsidRPr="00275093">
        <w:rPr>
          <w:szCs w:val="22"/>
        </w:rPr>
        <w:t>Malaj</w:t>
      </w:r>
      <w:r w:rsidR="00764EA8" w:rsidRPr="00275093">
        <w:rPr>
          <w:szCs w:val="22"/>
        </w:rPr>
        <w:t>zii</w:t>
      </w:r>
      <w:r w:rsidR="003A0A6F" w:rsidRPr="00275093">
        <w:rPr>
          <w:szCs w:val="22"/>
        </w:rPr>
        <w:t>) možno zvážiť genetické testovanie na prítomnosť HLA-B*1502</w:t>
      </w:r>
      <w:r w:rsidR="00DC3920" w:rsidRPr="00275093">
        <w:rPr>
          <w:szCs w:val="22"/>
        </w:rPr>
        <w:t xml:space="preserve"> </w:t>
      </w:r>
      <w:r w:rsidR="003A0A6F" w:rsidRPr="00275093">
        <w:rPr>
          <w:szCs w:val="22"/>
        </w:rPr>
        <w:t xml:space="preserve">u rizikových </w:t>
      </w:r>
      <w:r w:rsidRPr="00275093">
        <w:rPr>
          <w:szCs w:val="22"/>
        </w:rPr>
        <w:t>populácií.</w:t>
      </w:r>
    </w:p>
    <w:p w14:paraId="124B094D" w14:textId="77777777" w:rsidR="00DC3920" w:rsidRPr="00275093" w:rsidRDefault="00DC3920" w:rsidP="001C3198">
      <w:pPr>
        <w:pStyle w:val="Zkladntext2"/>
        <w:rPr>
          <w:bCs/>
          <w:szCs w:val="22"/>
        </w:rPr>
      </w:pPr>
    </w:p>
    <w:p w14:paraId="63B09601" w14:textId="34117BA6" w:rsidR="002544A9" w:rsidRPr="00275093" w:rsidRDefault="001B5A88" w:rsidP="001C3198">
      <w:pPr>
        <w:pStyle w:val="Zkladntext2"/>
        <w:rPr>
          <w:szCs w:val="22"/>
        </w:rPr>
      </w:pPr>
      <w:r w:rsidRPr="00275093">
        <w:rPr>
          <w:bCs/>
          <w:szCs w:val="22"/>
        </w:rPr>
        <w:t xml:space="preserve">Prevalencia </w:t>
      </w:r>
      <w:r w:rsidR="008300A9" w:rsidRPr="00275093">
        <w:rPr>
          <w:szCs w:val="22"/>
        </w:rPr>
        <w:t xml:space="preserve">alely </w:t>
      </w:r>
      <w:r w:rsidRPr="00275093">
        <w:rPr>
          <w:szCs w:val="22"/>
        </w:rPr>
        <w:t xml:space="preserve">HLA-B*1502 </w:t>
      </w:r>
      <w:r w:rsidR="00764EA8" w:rsidRPr="00275093">
        <w:rPr>
          <w:szCs w:val="22"/>
        </w:rPr>
        <w:t xml:space="preserve">je zanedbateľná </w:t>
      </w:r>
      <w:r w:rsidRPr="00275093">
        <w:rPr>
          <w:szCs w:val="22"/>
        </w:rPr>
        <w:t>napr. </w:t>
      </w:r>
      <w:r w:rsidR="00B56DF3" w:rsidRPr="00275093">
        <w:rPr>
          <w:szCs w:val="22"/>
        </w:rPr>
        <w:t xml:space="preserve">u potomkov </w:t>
      </w:r>
      <w:r w:rsidRPr="00275093">
        <w:rPr>
          <w:szCs w:val="22"/>
        </w:rPr>
        <w:t xml:space="preserve">Európanov, </w:t>
      </w:r>
      <w:r w:rsidR="00B56DF3" w:rsidRPr="00275093">
        <w:rPr>
          <w:szCs w:val="22"/>
        </w:rPr>
        <w:t xml:space="preserve">vybraných populácií </w:t>
      </w:r>
      <w:r w:rsidRPr="00275093">
        <w:rPr>
          <w:szCs w:val="22"/>
        </w:rPr>
        <w:t>Afričano</w:t>
      </w:r>
      <w:r w:rsidR="008300A9" w:rsidRPr="00275093">
        <w:rPr>
          <w:szCs w:val="22"/>
        </w:rPr>
        <w:t>v</w:t>
      </w:r>
      <w:r w:rsidR="00F12721" w:rsidRPr="00275093">
        <w:rPr>
          <w:szCs w:val="22"/>
        </w:rPr>
        <w:t xml:space="preserve"> a </w:t>
      </w:r>
      <w:r w:rsidRPr="00275093">
        <w:rPr>
          <w:szCs w:val="22"/>
        </w:rPr>
        <w:t>Hispáncov</w:t>
      </w:r>
      <w:r w:rsidR="00F12721" w:rsidRPr="00275093">
        <w:rPr>
          <w:szCs w:val="22"/>
        </w:rPr>
        <w:t>,</w:t>
      </w:r>
      <w:r w:rsidRPr="00275093">
        <w:rPr>
          <w:szCs w:val="22"/>
        </w:rPr>
        <w:t xml:space="preserve"> a</w:t>
      </w:r>
      <w:r w:rsidR="00F12721" w:rsidRPr="00275093">
        <w:rPr>
          <w:szCs w:val="22"/>
        </w:rPr>
        <w:t>ko aj</w:t>
      </w:r>
      <w:r w:rsidRPr="00275093">
        <w:rPr>
          <w:szCs w:val="22"/>
        </w:rPr>
        <w:t> u Japoncov a K</w:t>
      </w:r>
      <w:r w:rsidR="004A08A2" w:rsidRPr="00275093">
        <w:rPr>
          <w:szCs w:val="22"/>
        </w:rPr>
        <w:t>ó</w:t>
      </w:r>
      <w:r w:rsidRPr="00275093">
        <w:rPr>
          <w:szCs w:val="22"/>
        </w:rPr>
        <w:t>rej</w:t>
      </w:r>
      <w:r w:rsidR="00B56DF3" w:rsidRPr="00275093">
        <w:rPr>
          <w:szCs w:val="22"/>
        </w:rPr>
        <w:t>čanov</w:t>
      </w:r>
      <w:r w:rsidRPr="00275093">
        <w:rPr>
          <w:szCs w:val="22"/>
        </w:rPr>
        <w:t xml:space="preserve"> </w:t>
      </w:r>
      <w:r w:rsidRPr="00275093">
        <w:rPr>
          <w:bCs/>
          <w:color w:val="000000"/>
          <w:szCs w:val="22"/>
        </w:rPr>
        <w:t>(&lt; 1</w:t>
      </w:r>
      <w:r w:rsidR="0080230C" w:rsidRPr="00275093">
        <w:rPr>
          <w:bCs/>
          <w:color w:val="000000"/>
          <w:szCs w:val="22"/>
        </w:rPr>
        <w:t xml:space="preserve"> </w:t>
      </w:r>
      <w:r w:rsidRPr="00275093">
        <w:rPr>
          <w:bCs/>
          <w:color w:val="000000"/>
          <w:szCs w:val="22"/>
        </w:rPr>
        <w:t>%)</w:t>
      </w:r>
      <w:r w:rsidR="008300A9" w:rsidRPr="00275093">
        <w:rPr>
          <w:bCs/>
          <w:color w:val="000000"/>
          <w:szCs w:val="22"/>
        </w:rPr>
        <w:t>,</w:t>
      </w:r>
    </w:p>
    <w:p w14:paraId="087785B3" w14:textId="77777777" w:rsidR="001B5A88" w:rsidRPr="00275093" w:rsidRDefault="001B5A88" w:rsidP="001C3198">
      <w:pPr>
        <w:pStyle w:val="Zkladntext2"/>
        <w:rPr>
          <w:szCs w:val="22"/>
        </w:rPr>
      </w:pPr>
    </w:p>
    <w:p w14:paraId="6C50D5A1" w14:textId="77777777" w:rsidR="0034330C" w:rsidRPr="00275093" w:rsidRDefault="00B175E0" w:rsidP="001C3198">
      <w:pPr>
        <w:pStyle w:val="Zkladntext2"/>
        <w:rPr>
          <w:szCs w:val="22"/>
        </w:rPr>
      </w:pPr>
      <w:r w:rsidRPr="00275093">
        <w:rPr>
          <w:szCs w:val="22"/>
        </w:rPr>
        <w:t>Frekvenci</w:t>
      </w:r>
      <w:r w:rsidR="00155946" w:rsidRPr="00275093">
        <w:rPr>
          <w:szCs w:val="22"/>
        </w:rPr>
        <w:t>e</w:t>
      </w:r>
      <w:r w:rsidRPr="00275093">
        <w:rPr>
          <w:szCs w:val="22"/>
        </w:rPr>
        <w:t xml:space="preserve"> alely označuj</w:t>
      </w:r>
      <w:r w:rsidR="00155946" w:rsidRPr="00275093">
        <w:rPr>
          <w:szCs w:val="22"/>
        </w:rPr>
        <w:t>ú</w:t>
      </w:r>
      <w:r w:rsidRPr="00275093">
        <w:rPr>
          <w:szCs w:val="22"/>
        </w:rPr>
        <w:t xml:space="preserve"> percentuálny podiel chromozómov v populácii, ktoré obsahujú danú alelu. </w:t>
      </w:r>
      <w:r w:rsidR="00155946" w:rsidRPr="00275093">
        <w:rPr>
          <w:szCs w:val="22"/>
        </w:rPr>
        <w:t xml:space="preserve">Keďže jedinec má dve kópie každého chromozómu, ale už jedna kópia alely </w:t>
      </w:r>
      <w:r w:rsidR="00155946" w:rsidRPr="00275093">
        <w:rPr>
          <w:bCs/>
          <w:color w:val="000000"/>
          <w:szCs w:val="22"/>
        </w:rPr>
        <w:t xml:space="preserve">HLA-B*1502 môže postačovať na zvýšenie rizika SJS, percentuálny podiel pacientov, ktorí môžu byť ohrození, je takmer dvojnásobkom frekvencie alely. </w:t>
      </w:r>
    </w:p>
    <w:p w14:paraId="742064C4" w14:textId="77777777" w:rsidR="0034330C" w:rsidRPr="00275093" w:rsidRDefault="0034330C" w:rsidP="001C3198">
      <w:pPr>
        <w:pStyle w:val="Zkladntext2"/>
        <w:rPr>
          <w:szCs w:val="22"/>
        </w:rPr>
      </w:pPr>
    </w:p>
    <w:p w14:paraId="19C6A6F8" w14:textId="666C4CD6" w:rsidR="001B5A88" w:rsidRPr="00275093" w:rsidRDefault="001B5A88" w:rsidP="001C3198">
      <w:pPr>
        <w:pStyle w:val="Zkladntext2"/>
        <w:rPr>
          <w:szCs w:val="22"/>
          <w:u w:val="single"/>
        </w:rPr>
      </w:pPr>
      <w:r w:rsidRPr="00275093">
        <w:rPr>
          <w:szCs w:val="22"/>
          <w:u w:val="single"/>
        </w:rPr>
        <w:t>Alela HLA-</w:t>
      </w:r>
      <w:r w:rsidR="0012387C" w:rsidRPr="00275093">
        <w:rPr>
          <w:szCs w:val="22"/>
          <w:u w:val="single"/>
        </w:rPr>
        <w:t>A</w:t>
      </w:r>
      <w:r w:rsidRPr="00275093">
        <w:rPr>
          <w:szCs w:val="22"/>
          <w:u w:val="single"/>
        </w:rPr>
        <w:t>*3101 u populáci</w:t>
      </w:r>
      <w:r w:rsidR="00B56DF3" w:rsidRPr="00275093">
        <w:rPr>
          <w:szCs w:val="22"/>
          <w:u w:val="single"/>
        </w:rPr>
        <w:t>í</w:t>
      </w:r>
      <w:r w:rsidRPr="00275093">
        <w:rPr>
          <w:szCs w:val="22"/>
          <w:u w:val="single"/>
        </w:rPr>
        <w:t xml:space="preserve"> </w:t>
      </w:r>
      <w:r w:rsidR="00B56DF3" w:rsidRPr="00275093">
        <w:rPr>
          <w:szCs w:val="22"/>
          <w:u w:val="single"/>
        </w:rPr>
        <w:t>potomkov E</w:t>
      </w:r>
      <w:r w:rsidRPr="00275093">
        <w:rPr>
          <w:szCs w:val="22"/>
          <w:u w:val="single"/>
        </w:rPr>
        <w:t>uróp</w:t>
      </w:r>
      <w:r w:rsidR="00B56DF3" w:rsidRPr="00275093">
        <w:rPr>
          <w:szCs w:val="22"/>
          <w:u w:val="single"/>
        </w:rPr>
        <w:t xml:space="preserve">anov </w:t>
      </w:r>
      <w:r w:rsidRPr="00275093">
        <w:rPr>
          <w:szCs w:val="22"/>
          <w:u w:val="single"/>
        </w:rPr>
        <w:t>a</w:t>
      </w:r>
      <w:r w:rsidR="00B56DF3" w:rsidRPr="00275093">
        <w:rPr>
          <w:szCs w:val="22"/>
          <w:u w:val="single"/>
        </w:rPr>
        <w:t> u J</w:t>
      </w:r>
      <w:r w:rsidRPr="00275093">
        <w:rPr>
          <w:szCs w:val="22"/>
          <w:u w:val="single"/>
        </w:rPr>
        <w:t>apon</w:t>
      </w:r>
      <w:r w:rsidR="00B56DF3" w:rsidRPr="00275093">
        <w:rPr>
          <w:szCs w:val="22"/>
          <w:u w:val="single"/>
        </w:rPr>
        <w:t>cov</w:t>
      </w:r>
    </w:p>
    <w:p w14:paraId="750043FE" w14:textId="5E2903AB" w:rsidR="001B5A88" w:rsidRPr="00275093" w:rsidRDefault="001B5A88" w:rsidP="001C3198">
      <w:pPr>
        <w:pStyle w:val="Zkladntext2"/>
        <w:rPr>
          <w:szCs w:val="22"/>
        </w:rPr>
      </w:pPr>
      <w:r w:rsidRPr="00275093">
        <w:rPr>
          <w:szCs w:val="22"/>
        </w:rPr>
        <w:t>Existujú údaje, ktoré nasvedču</w:t>
      </w:r>
      <w:r w:rsidR="004C3B3F" w:rsidRPr="00275093">
        <w:rPr>
          <w:szCs w:val="22"/>
        </w:rPr>
        <w:t>j</w:t>
      </w:r>
      <w:r w:rsidRPr="00275093">
        <w:rPr>
          <w:szCs w:val="22"/>
        </w:rPr>
        <w:t>ú</w:t>
      </w:r>
      <w:r w:rsidR="004C3B3F" w:rsidRPr="00275093">
        <w:rPr>
          <w:szCs w:val="22"/>
        </w:rPr>
        <w:t xml:space="preserve">, </w:t>
      </w:r>
      <w:r w:rsidRPr="00275093">
        <w:rPr>
          <w:szCs w:val="22"/>
        </w:rPr>
        <w:t>že alela HLA-</w:t>
      </w:r>
      <w:r w:rsidR="0012387C" w:rsidRPr="00275093">
        <w:rPr>
          <w:szCs w:val="22"/>
        </w:rPr>
        <w:t>A</w:t>
      </w:r>
      <w:r w:rsidRPr="00275093">
        <w:rPr>
          <w:szCs w:val="22"/>
        </w:rPr>
        <w:t xml:space="preserve">*3101 </w:t>
      </w:r>
      <w:r w:rsidR="00356D26" w:rsidRPr="00275093">
        <w:rPr>
          <w:szCs w:val="22"/>
        </w:rPr>
        <w:t xml:space="preserve">súvisí </w:t>
      </w:r>
      <w:r w:rsidR="008A2F06" w:rsidRPr="00275093">
        <w:rPr>
          <w:szCs w:val="22"/>
        </w:rPr>
        <w:t>u</w:t>
      </w:r>
      <w:r w:rsidR="00B56DF3" w:rsidRPr="00275093">
        <w:rPr>
          <w:szCs w:val="22"/>
        </w:rPr>
        <w:t xml:space="preserve"> potomkov </w:t>
      </w:r>
      <w:r w:rsidR="008A2F06" w:rsidRPr="00275093">
        <w:rPr>
          <w:szCs w:val="22"/>
        </w:rPr>
        <w:t>Európanov a</w:t>
      </w:r>
      <w:r w:rsidR="00B56DF3" w:rsidRPr="00275093">
        <w:rPr>
          <w:szCs w:val="22"/>
        </w:rPr>
        <w:t xml:space="preserve"> u </w:t>
      </w:r>
      <w:r w:rsidR="008A2F06" w:rsidRPr="00275093">
        <w:rPr>
          <w:szCs w:val="22"/>
        </w:rPr>
        <w:t xml:space="preserve">Japoncov </w:t>
      </w:r>
      <w:r w:rsidRPr="00275093">
        <w:rPr>
          <w:szCs w:val="22"/>
        </w:rPr>
        <w:t xml:space="preserve">so zvýšeným rizikom kožných nežiaducich </w:t>
      </w:r>
      <w:r w:rsidR="006A2F16" w:rsidRPr="00275093">
        <w:rPr>
          <w:szCs w:val="22"/>
        </w:rPr>
        <w:t>reakcií</w:t>
      </w:r>
      <w:r w:rsidRPr="00275093">
        <w:rPr>
          <w:szCs w:val="22"/>
        </w:rPr>
        <w:t xml:space="preserve"> </w:t>
      </w:r>
      <w:r w:rsidR="00B56DF3" w:rsidRPr="00275093">
        <w:rPr>
          <w:szCs w:val="22"/>
        </w:rPr>
        <w:t xml:space="preserve">vyvolaných </w:t>
      </w:r>
      <w:r w:rsidRPr="00275093">
        <w:rPr>
          <w:szCs w:val="22"/>
        </w:rPr>
        <w:t>karbamazepínom</w:t>
      </w:r>
      <w:r w:rsidR="00356D26" w:rsidRPr="00275093">
        <w:rPr>
          <w:szCs w:val="22"/>
        </w:rPr>
        <w:t>,</w:t>
      </w:r>
      <w:r w:rsidR="00DC3920" w:rsidRPr="00275093">
        <w:rPr>
          <w:szCs w:val="22"/>
        </w:rPr>
        <w:t xml:space="preserve"> </w:t>
      </w:r>
      <w:r w:rsidR="008A2F06" w:rsidRPr="00275093">
        <w:rPr>
          <w:szCs w:val="22"/>
        </w:rPr>
        <w:t xml:space="preserve">vrátane SJS, </w:t>
      </w:r>
      <w:r w:rsidR="006A2F16" w:rsidRPr="00275093">
        <w:rPr>
          <w:szCs w:val="22"/>
        </w:rPr>
        <w:t>TEN</w:t>
      </w:r>
      <w:r w:rsidR="008A2F06" w:rsidRPr="00275093">
        <w:rPr>
          <w:szCs w:val="22"/>
        </w:rPr>
        <w:t xml:space="preserve">, </w:t>
      </w:r>
      <w:r w:rsidR="008B2681" w:rsidRPr="00275093">
        <w:rPr>
          <w:szCs w:val="22"/>
        </w:rPr>
        <w:t>exantému vyvolaného liekom</w:t>
      </w:r>
      <w:r w:rsidR="00404C6E" w:rsidRPr="00275093">
        <w:rPr>
          <w:szCs w:val="22"/>
        </w:rPr>
        <w:t xml:space="preserve"> s eozinofíliou </w:t>
      </w:r>
      <w:r w:rsidRPr="00275093">
        <w:rPr>
          <w:szCs w:val="22"/>
        </w:rPr>
        <w:t>(DRESS)</w:t>
      </w:r>
      <w:r w:rsidR="00356D26" w:rsidRPr="00275093">
        <w:rPr>
          <w:szCs w:val="22"/>
        </w:rPr>
        <w:t>,</w:t>
      </w:r>
      <w:r w:rsidRPr="00275093">
        <w:rPr>
          <w:szCs w:val="22"/>
        </w:rPr>
        <w:t xml:space="preserve"> alebo menej závažn</w:t>
      </w:r>
      <w:r w:rsidR="008A2F06" w:rsidRPr="00275093">
        <w:rPr>
          <w:szCs w:val="22"/>
        </w:rPr>
        <w:t>ej</w:t>
      </w:r>
      <w:r w:rsidRPr="00275093">
        <w:rPr>
          <w:szCs w:val="22"/>
        </w:rPr>
        <w:t xml:space="preserve"> akútn</w:t>
      </w:r>
      <w:r w:rsidR="008A2F06" w:rsidRPr="00275093">
        <w:rPr>
          <w:szCs w:val="22"/>
        </w:rPr>
        <w:t>ej generalizovanej</w:t>
      </w:r>
      <w:r w:rsidRPr="00275093">
        <w:rPr>
          <w:szCs w:val="22"/>
        </w:rPr>
        <w:t xml:space="preserve"> exantematózn</w:t>
      </w:r>
      <w:r w:rsidR="008A2F06" w:rsidRPr="00275093">
        <w:rPr>
          <w:szCs w:val="22"/>
        </w:rPr>
        <w:t>ej</w:t>
      </w:r>
      <w:r w:rsidRPr="00275093">
        <w:rPr>
          <w:szCs w:val="22"/>
        </w:rPr>
        <w:t xml:space="preserve"> pustul</w:t>
      </w:r>
      <w:r w:rsidR="008A2F06" w:rsidRPr="00275093">
        <w:rPr>
          <w:szCs w:val="22"/>
        </w:rPr>
        <w:t>ózy</w:t>
      </w:r>
      <w:r w:rsidRPr="00275093">
        <w:rPr>
          <w:szCs w:val="22"/>
        </w:rPr>
        <w:t xml:space="preserve"> (AGEP) a</w:t>
      </w:r>
      <w:r w:rsidR="008A2F06" w:rsidRPr="00275093">
        <w:rPr>
          <w:szCs w:val="22"/>
        </w:rPr>
        <w:t> </w:t>
      </w:r>
      <w:r w:rsidRPr="00275093">
        <w:rPr>
          <w:szCs w:val="22"/>
        </w:rPr>
        <w:t>makulopapulózn</w:t>
      </w:r>
      <w:r w:rsidR="008A2F06" w:rsidRPr="00275093">
        <w:rPr>
          <w:szCs w:val="22"/>
        </w:rPr>
        <w:t xml:space="preserve">eho </w:t>
      </w:r>
      <w:r w:rsidR="008B2681" w:rsidRPr="00275093">
        <w:rPr>
          <w:szCs w:val="22"/>
        </w:rPr>
        <w:t>exantému</w:t>
      </w:r>
      <w:r w:rsidRPr="00275093">
        <w:rPr>
          <w:szCs w:val="22"/>
        </w:rPr>
        <w:t>.</w:t>
      </w:r>
    </w:p>
    <w:p w14:paraId="263D678D" w14:textId="77777777" w:rsidR="00DC3920" w:rsidRPr="00275093" w:rsidRDefault="00DC3920" w:rsidP="001C3198">
      <w:pPr>
        <w:pStyle w:val="Zkladntext2"/>
        <w:rPr>
          <w:szCs w:val="22"/>
        </w:rPr>
      </w:pPr>
    </w:p>
    <w:p w14:paraId="1CBA64DE" w14:textId="7359CBC2" w:rsidR="008A2F06" w:rsidRPr="00275093" w:rsidRDefault="008A2F06" w:rsidP="001C3198">
      <w:pPr>
        <w:pStyle w:val="Zkladntext2"/>
        <w:rPr>
          <w:szCs w:val="22"/>
        </w:rPr>
      </w:pPr>
      <w:r w:rsidRPr="00275093">
        <w:rPr>
          <w:szCs w:val="22"/>
        </w:rPr>
        <w:t xml:space="preserve">Frekvencia </w:t>
      </w:r>
      <w:r w:rsidR="006A2F16" w:rsidRPr="00275093">
        <w:rPr>
          <w:szCs w:val="22"/>
        </w:rPr>
        <w:t xml:space="preserve">alely </w:t>
      </w:r>
      <w:r w:rsidRPr="00275093">
        <w:rPr>
          <w:szCs w:val="22"/>
        </w:rPr>
        <w:t>HLA-</w:t>
      </w:r>
      <w:r w:rsidR="0012387C" w:rsidRPr="00275093">
        <w:rPr>
          <w:szCs w:val="22"/>
        </w:rPr>
        <w:t>A</w:t>
      </w:r>
      <w:r w:rsidRPr="00275093">
        <w:rPr>
          <w:szCs w:val="22"/>
        </w:rPr>
        <w:t xml:space="preserve">*3101 je veľmi rozdielna </w:t>
      </w:r>
      <w:r w:rsidR="004C3B3F" w:rsidRPr="00275093">
        <w:rPr>
          <w:szCs w:val="22"/>
        </w:rPr>
        <w:t>v</w:t>
      </w:r>
      <w:r w:rsidRPr="00275093">
        <w:rPr>
          <w:szCs w:val="22"/>
        </w:rPr>
        <w:t xml:space="preserve"> rôznych </w:t>
      </w:r>
      <w:r w:rsidR="008B2681" w:rsidRPr="00275093">
        <w:rPr>
          <w:szCs w:val="22"/>
        </w:rPr>
        <w:t xml:space="preserve">etnických </w:t>
      </w:r>
      <w:r w:rsidR="004C3B3F" w:rsidRPr="00275093">
        <w:rPr>
          <w:szCs w:val="22"/>
        </w:rPr>
        <w:t>populáciách</w:t>
      </w:r>
      <w:r w:rsidR="006A2F16" w:rsidRPr="00275093">
        <w:rPr>
          <w:szCs w:val="22"/>
        </w:rPr>
        <w:t>. P</w:t>
      </w:r>
      <w:r w:rsidRPr="00275093">
        <w:rPr>
          <w:szCs w:val="22"/>
        </w:rPr>
        <w:t>revalencia alely HLA-</w:t>
      </w:r>
      <w:r w:rsidR="0012387C" w:rsidRPr="00275093">
        <w:rPr>
          <w:szCs w:val="22"/>
        </w:rPr>
        <w:t>A</w:t>
      </w:r>
      <w:r w:rsidRPr="00275093">
        <w:rPr>
          <w:szCs w:val="22"/>
        </w:rPr>
        <w:t>*3101 je 2</w:t>
      </w:r>
      <w:r w:rsidR="008B2681" w:rsidRPr="00275093">
        <w:rPr>
          <w:szCs w:val="22"/>
        </w:rPr>
        <w:t xml:space="preserve"> až</w:t>
      </w:r>
      <w:r w:rsidRPr="00275093">
        <w:rPr>
          <w:szCs w:val="22"/>
        </w:rPr>
        <w:t xml:space="preserve"> 5</w:t>
      </w:r>
      <w:r w:rsidR="0080230C" w:rsidRPr="00275093">
        <w:rPr>
          <w:szCs w:val="22"/>
        </w:rPr>
        <w:t xml:space="preserve"> </w:t>
      </w:r>
      <w:r w:rsidRPr="00275093">
        <w:rPr>
          <w:szCs w:val="22"/>
        </w:rPr>
        <w:t xml:space="preserve">% </w:t>
      </w:r>
      <w:r w:rsidR="00F12721" w:rsidRPr="00275093">
        <w:rPr>
          <w:szCs w:val="22"/>
        </w:rPr>
        <w:t>v</w:t>
      </w:r>
      <w:r w:rsidR="008B2681" w:rsidRPr="00275093">
        <w:rPr>
          <w:szCs w:val="22"/>
        </w:rPr>
        <w:t> populáci</w:t>
      </w:r>
      <w:r w:rsidR="00F12721" w:rsidRPr="00275093">
        <w:rPr>
          <w:szCs w:val="22"/>
        </w:rPr>
        <w:t>ách</w:t>
      </w:r>
      <w:r w:rsidR="008B2681" w:rsidRPr="00275093">
        <w:rPr>
          <w:szCs w:val="22"/>
        </w:rPr>
        <w:t xml:space="preserve"> Európanov </w:t>
      </w:r>
      <w:r w:rsidRPr="00275093">
        <w:rPr>
          <w:szCs w:val="22"/>
        </w:rPr>
        <w:t>a</w:t>
      </w:r>
      <w:r w:rsidR="008300A9" w:rsidRPr="00275093">
        <w:rPr>
          <w:szCs w:val="22"/>
        </w:rPr>
        <w:t> </w:t>
      </w:r>
      <w:r w:rsidR="008B2681" w:rsidRPr="00275093">
        <w:rPr>
          <w:szCs w:val="22"/>
        </w:rPr>
        <w:t>asi</w:t>
      </w:r>
      <w:r w:rsidRPr="00275093">
        <w:rPr>
          <w:szCs w:val="22"/>
        </w:rPr>
        <w:t xml:space="preserve"> 10</w:t>
      </w:r>
      <w:r w:rsidR="0080230C" w:rsidRPr="00275093">
        <w:rPr>
          <w:szCs w:val="22"/>
        </w:rPr>
        <w:t xml:space="preserve"> </w:t>
      </w:r>
      <w:r w:rsidRPr="00275093">
        <w:rPr>
          <w:szCs w:val="22"/>
        </w:rPr>
        <w:t>% u Japoncov.</w:t>
      </w:r>
    </w:p>
    <w:p w14:paraId="35BC478E" w14:textId="77777777" w:rsidR="00DC3920" w:rsidRPr="00275093" w:rsidRDefault="00DC3920" w:rsidP="001C3198">
      <w:pPr>
        <w:pStyle w:val="Zkladntext2"/>
        <w:rPr>
          <w:szCs w:val="22"/>
        </w:rPr>
      </w:pPr>
    </w:p>
    <w:p w14:paraId="1311E130" w14:textId="068F7396" w:rsidR="008A2F06" w:rsidRPr="00275093" w:rsidRDefault="008A2F06" w:rsidP="001C3198">
      <w:pPr>
        <w:pStyle w:val="Zkladntext2"/>
        <w:rPr>
          <w:szCs w:val="22"/>
        </w:rPr>
      </w:pPr>
      <w:r w:rsidRPr="00275093">
        <w:rPr>
          <w:szCs w:val="22"/>
        </w:rPr>
        <w:t>Prítomnosť alely HLA-</w:t>
      </w:r>
      <w:r w:rsidR="0012387C" w:rsidRPr="00275093">
        <w:rPr>
          <w:szCs w:val="22"/>
        </w:rPr>
        <w:t>A</w:t>
      </w:r>
      <w:r w:rsidRPr="00275093">
        <w:rPr>
          <w:szCs w:val="22"/>
        </w:rPr>
        <w:t>*3101 môže zvyšovať riziko kožných rea</w:t>
      </w:r>
      <w:r w:rsidR="0080230C" w:rsidRPr="00275093">
        <w:rPr>
          <w:szCs w:val="22"/>
        </w:rPr>
        <w:t>k</w:t>
      </w:r>
      <w:r w:rsidRPr="00275093">
        <w:rPr>
          <w:szCs w:val="22"/>
        </w:rPr>
        <w:t xml:space="preserve">cií (obvykle menej závažných) </w:t>
      </w:r>
      <w:r w:rsidR="008B2681" w:rsidRPr="00275093">
        <w:rPr>
          <w:szCs w:val="22"/>
        </w:rPr>
        <w:t xml:space="preserve">vyvolaných </w:t>
      </w:r>
      <w:r w:rsidRPr="00275093">
        <w:rPr>
          <w:szCs w:val="22"/>
        </w:rPr>
        <w:t>karbamazepínom z</w:t>
      </w:r>
      <w:r w:rsidR="0080230C" w:rsidRPr="00275093">
        <w:rPr>
          <w:szCs w:val="22"/>
        </w:rPr>
        <w:t> </w:t>
      </w:r>
      <w:r w:rsidRPr="00275093">
        <w:rPr>
          <w:szCs w:val="22"/>
        </w:rPr>
        <w:t>5</w:t>
      </w:r>
      <w:r w:rsidR="0080230C" w:rsidRPr="00275093">
        <w:rPr>
          <w:szCs w:val="22"/>
        </w:rPr>
        <w:t xml:space="preserve"> </w:t>
      </w:r>
      <w:r w:rsidRPr="00275093">
        <w:rPr>
          <w:szCs w:val="22"/>
        </w:rPr>
        <w:t>% u cel</w:t>
      </w:r>
      <w:r w:rsidR="008B2681" w:rsidRPr="00275093">
        <w:rPr>
          <w:szCs w:val="22"/>
        </w:rPr>
        <w:t>kov</w:t>
      </w:r>
      <w:r w:rsidRPr="00275093">
        <w:rPr>
          <w:szCs w:val="22"/>
        </w:rPr>
        <w:t>ej populácie na 26</w:t>
      </w:r>
      <w:r w:rsidR="008300A9" w:rsidRPr="00275093">
        <w:rPr>
          <w:szCs w:val="22"/>
        </w:rPr>
        <w:t xml:space="preserve"> </w:t>
      </w:r>
      <w:r w:rsidRPr="00275093">
        <w:rPr>
          <w:szCs w:val="22"/>
        </w:rPr>
        <w:t>% u potomkov Európanov</w:t>
      </w:r>
      <w:r w:rsidR="006A2F16" w:rsidRPr="00275093">
        <w:rPr>
          <w:szCs w:val="22"/>
        </w:rPr>
        <w:t>, zatiaľ čo j</w:t>
      </w:r>
      <w:r w:rsidRPr="00275093">
        <w:rPr>
          <w:szCs w:val="22"/>
        </w:rPr>
        <w:t>e</w:t>
      </w:r>
      <w:r w:rsidR="007E48C9" w:rsidRPr="00275093">
        <w:rPr>
          <w:szCs w:val="22"/>
        </w:rPr>
        <w:t>j</w:t>
      </w:r>
      <w:r w:rsidRPr="00275093">
        <w:rPr>
          <w:szCs w:val="22"/>
        </w:rPr>
        <w:t xml:space="preserve"> neprítomnosť môže zn</w:t>
      </w:r>
      <w:r w:rsidR="0080230C" w:rsidRPr="00275093">
        <w:rPr>
          <w:szCs w:val="22"/>
        </w:rPr>
        <w:t>í</w:t>
      </w:r>
      <w:r w:rsidRPr="00275093">
        <w:rPr>
          <w:szCs w:val="22"/>
        </w:rPr>
        <w:t>žiť riziko z</w:t>
      </w:r>
      <w:r w:rsidR="00F12721" w:rsidRPr="00275093">
        <w:rPr>
          <w:szCs w:val="22"/>
        </w:rPr>
        <w:t> </w:t>
      </w:r>
      <w:r w:rsidR="0088791F" w:rsidRPr="00275093">
        <w:rPr>
          <w:szCs w:val="22"/>
        </w:rPr>
        <w:t>5</w:t>
      </w:r>
      <w:r w:rsidR="00F12721" w:rsidRPr="00275093">
        <w:rPr>
          <w:szCs w:val="22"/>
        </w:rPr>
        <w:t>,0</w:t>
      </w:r>
      <w:r w:rsidR="0080230C" w:rsidRPr="00275093">
        <w:rPr>
          <w:szCs w:val="22"/>
        </w:rPr>
        <w:t xml:space="preserve"> </w:t>
      </w:r>
      <w:r w:rsidR="0088791F" w:rsidRPr="00275093">
        <w:rPr>
          <w:szCs w:val="22"/>
        </w:rPr>
        <w:t>%</w:t>
      </w:r>
      <w:r w:rsidRPr="00275093">
        <w:rPr>
          <w:szCs w:val="22"/>
        </w:rPr>
        <w:t xml:space="preserve"> na 3,8</w:t>
      </w:r>
      <w:r w:rsidR="0080230C" w:rsidRPr="00275093">
        <w:rPr>
          <w:szCs w:val="22"/>
        </w:rPr>
        <w:t xml:space="preserve"> </w:t>
      </w:r>
      <w:r w:rsidRPr="00275093">
        <w:rPr>
          <w:szCs w:val="22"/>
        </w:rPr>
        <w:t>%.</w:t>
      </w:r>
    </w:p>
    <w:p w14:paraId="2FF8B6AB" w14:textId="77777777" w:rsidR="00DC3920" w:rsidRPr="00275093" w:rsidRDefault="00DC3920" w:rsidP="001C3198">
      <w:pPr>
        <w:pStyle w:val="Zkladntext2"/>
        <w:rPr>
          <w:szCs w:val="22"/>
        </w:rPr>
      </w:pPr>
    </w:p>
    <w:p w14:paraId="73849BDB" w14:textId="77777777" w:rsidR="00B3765D" w:rsidRPr="00275093" w:rsidRDefault="00B3765D" w:rsidP="001C3198">
      <w:pPr>
        <w:pStyle w:val="Zkladntext2"/>
        <w:rPr>
          <w:szCs w:val="22"/>
        </w:rPr>
      </w:pPr>
      <w:r w:rsidRPr="00275093">
        <w:rPr>
          <w:bCs/>
          <w:iCs/>
          <w:color w:val="000000"/>
          <w:szCs w:val="22"/>
          <w:u w:val="single"/>
        </w:rPr>
        <w:t>Alela HLA-A*3101 – populácie iného pôvodu</w:t>
      </w:r>
    </w:p>
    <w:p w14:paraId="415C0350" w14:textId="0BC2392C" w:rsidR="00B3765D" w:rsidRPr="00275093" w:rsidRDefault="00B3765D" w:rsidP="0012387C">
      <w:pPr>
        <w:autoSpaceDE w:val="0"/>
        <w:autoSpaceDN w:val="0"/>
        <w:adjustRightInd w:val="0"/>
        <w:rPr>
          <w:bCs/>
          <w:color w:val="000000"/>
          <w:sz w:val="22"/>
          <w:szCs w:val="22"/>
        </w:rPr>
      </w:pPr>
      <w:r w:rsidRPr="00275093">
        <w:rPr>
          <w:bCs/>
          <w:color w:val="000000"/>
          <w:sz w:val="22"/>
          <w:szCs w:val="22"/>
        </w:rPr>
        <w:t>Odhaduje sa, že frekvencia tejto alely je nižšia ako 5</w:t>
      </w:r>
      <w:r w:rsidR="0000550A" w:rsidRPr="00275093">
        <w:rPr>
          <w:bCs/>
          <w:color w:val="000000"/>
          <w:sz w:val="22"/>
          <w:szCs w:val="22"/>
        </w:rPr>
        <w:t> %</w:t>
      </w:r>
      <w:r w:rsidRPr="00275093">
        <w:rPr>
          <w:bCs/>
          <w:color w:val="000000"/>
          <w:sz w:val="22"/>
          <w:szCs w:val="22"/>
        </w:rPr>
        <w:t xml:space="preserve"> u väčšiny populácií Austrálie, Ázie, Afriky a Severnej Ameriky, s niekoľkými výnimkami v rozmedzí 5 </w:t>
      </w:r>
      <w:r w:rsidR="005D3E3A" w:rsidRPr="00275093">
        <w:rPr>
          <w:bCs/>
          <w:color w:val="000000"/>
          <w:sz w:val="22"/>
          <w:szCs w:val="22"/>
        </w:rPr>
        <w:t xml:space="preserve">až </w:t>
      </w:r>
      <w:r w:rsidRPr="00275093">
        <w:rPr>
          <w:bCs/>
          <w:color w:val="000000"/>
          <w:sz w:val="22"/>
          <w:szCs w:val="22"/>
        </w:rPr>
        <w:t>12</w:t>
      </w:r>
      <w:r w:rsidR="0000550A" w:rsidRPr="00275093">
        <w:rPr>
          <w:bCs/>
          <w:color w:val="000000"/>
          <w:sz w:val="22"/>
          <w:szCs w:val="22"/>
        </w:rPr>
        <w:t> %</w:t>
      </w:r>
      <w:r w:rsidRPr="00275093">
        <w:rPr>
          <w:bCs/>
          <w:color w:val="000000"/>
          <w:sz w:val="22"/>
          <w:szCs w:val="22"/>
        </w:rPr>
        <w:t>. Frekvencia vyššia ako 15</w:t>
      </w:r>
      <w:r w:rsidR="0000550A" w:rsidRPr="00275093">
        <w:rPr>
          <w:bCs/>
          <w:color w:val="000000"/>
          <w:sz w:val="22"/>
          <w:szCs w:val="22"/>
        </w:rPr>
        <w:t> %</w:t>
      </w:r>
      <w:r w:rsidRPr="00275093">
        <w:rPr>
          <w:bCs/>
          <w:color w:val="000000"/>
          <w:sz w:val="22"/>
          <w:szCs w:val="22"/>
        </w:rPr>
        <w:t xml:space="preserve"> sa </w:t>
      </w:r>
      <w:r w:rsidRPr="00275093">
        <w:rPr>
          <w:bCs/>
          <w:color w:val="000000"/>
          <w:sz w:val="22"/>
          <w:szCs w:val="22"/>
        </w:rPr>
        <w:lastRenderedPageBreak/>
        <w:t>odhadla u niektorých etnických skupín Južnej Ameriky (Argentína a Brazília), Severnej Ameriky (Navajo a Sioux v USA a Sonora Seri v Mexiku) a </w:t>
      </w:r>
      <w:r w:rsidR="006A2F16" w:rsidRPr="00275093">
        <w:rPr>
          <w:bCs/>
          <w:color w:val="000000"/>
          <w:sz w:val="22"/>
          <w:szCs w:val="22"/>
        </w:rPr>
        <w:t>juhu</w:t>
      </w:r>
      <w:r w:rsidRPr="00275093">
        <w:rPr>
          <w:bCs/>
          <w:color w:val="000000"/>
          <w:sz w:val="22"/>
          <w:szCs w:val="22"/>
        </w:rPr>
        <w:t xml:space="preserve"> Indie (Tamil Nadu) a v rozmedzí </w:t>
      </w:r>
      <w:r w:rsidR="005D3E3A" w:rsidRPr="00275093">
        <w:rPr>
          <w:bCs/>
          <w:color w:val="000000"/>
          <w:sz w:val="22"/>
          <w:szCs w:val="22"/>
        </w:rPr>
        <w:t xml:space="preserve">medzi </w:t>
      </w:r>
      <w:r w:rsidRPr="00275093">
        <w:rPr>
          <w:bCs/>
          <w:color w:val="000000"/>
          <w:sz w:val="22"/>
          <w:szCs w:val="22"/>
        </w:rPr>
        <w:t xml:space="preserve">10 </w:t>
      </w:r>
      <w:r w:rsidR="005D3E3A" w:rsidRPr="00275093">
        <w:rPr>
          <w:bCs/>
          <w:color w:val="000000"/>
          <w:sz w:val="22"/>
          <w:szCs w:val="22"/>
        </w:rPr>
        <w:t>až</w:t>
      </w:r>
      <w:r w:rsidRPr="00275093">
        <w:rPr>
          <w:bCs/>
          <w:color w:val="000000"/>
          <w:sz w:val="22"/>
          <w:szCs w:val="22"/>
        </w:rPr>
        <w:t xml:space="preserve"> 15</w:t>
      </w:r>
      <w:r w:rsidR="0000550A" w:rsidRPr="00275093">
        <w:rPr>
          <w:bCs/>
          <w:color w:val="000000"/>
          <w:sz w:val="22"/>
          <w:szCs w:val="22"/>
        </w:rPr>
        <w:t> %</w:t>
      </w:r>
      <w:r w:rsidRPr="00275093">
        <w:rPr>
          <w:bCs/>
          <w:color w:val="000000"/>
          <w:sz w:val="22"/>
          <w:szCs w:val="22"/>
        </w:rPr>
        <w:t xml:space="preserve"> u iných domorodých etnických skupín v týchto oblastiach. </w:t>
      </w:r>
    </w:p>
    <w:p w14:paraId="01F7FD7E" w14:textId="77777777" w:rsidR="00B3765D" w:rsidRPr="00275093" w:rsidRDefault="00B3765D" w:rsidP="0012387C">
      <w:pPr>
        <w:autoSpaceDE w:val="0"/>
        <w:autoSpaceDN w:val="0"/>
        <w:adjustRightInd w:val="0"/>
        <w:rPr>
          <w:bCs/>
          <w:color w:val="000000"/>
          <w:sz w:val="22"/>
          <w:szCs w:val="22"/>
        </w:rPr>
      </w:pPr>
    </w:p>
    <w:p w14:paraId="21C46DB1" w14:textId="35181404" w:rsidR="00B3765D" w:rsidRPr="00275093" w:rsidRDefault="00B3765D" w:rsidP="00B3765D">
      <w:pPr>
        <w:pStyle w:val="Zkladntext2"/>
        <w:rPr>
          <w:szCs w:val="22"/>
        </w:rPr>
      </w:pPr>
      <w:r w:rsidRPr="00275093">
        <w:rPr>
          <w:szCs w:val="22"/>
        </w:rPr>
        <w:t xml:space="preserve">Frekvencie alely označujú percentuálny podiel chromozómov v populácii, ktoré obsahujú danú alelu. Keďže jedinec má dve kópie každého chromozómu, ale už jedna kópia alely </w:t>
      </w:r>
      <w:r w:rsidR="00156A97" w:rsidRPr="00275093">
        <w:rPr>
          <w:bCs/>
          <w:iCs/>
          <w:color w:val="000000"/>
          <w:szCs w:val="22"/>
        </w:rPr>
        <w:t>HLA-A*3101</w:t>
      </w:r>
      <w:r w:rsidR="005D3E3A" w:rsidRPr="00275093">
        <w:rPr>
          <w:bCs/>
          <w:iCs/>
          <w:color w:val="000000"/>
          <w:szCs w:val="22"/>
          <w:u w:val="single"/>
        </w:rPr>
        <w:t xml:space="preserve"> </w:t>
      </w:r>
      <w:r w:rsidRPr="00275093">
        <w:rPr>
          <w:bCs/>
          <w:color w:val="000000"/>
          <w:szCs w:val="22"/>
        </w:rPr>
        <w:t xml:space="preserve">môže postačovať na zvýšenie rizika SJS, percentuálny podiel pacientov, ktorí môžu byť ohrození, je takmer dvojnásobkom frekvencie alely. </w:t>
      </w:r>
    </w:p>
    <w:p w14:paraId="07B0EB82" w14:textId="77777777" w:rsidR="00B3765D" w:rsidRPr="00275093" w:rsidRDefault="00B3765D" w:rsidP="0012387C">
      <w:pPr>
        <w:autoSpaceDE w:val="0"/>
        <w:autoSpaceDN w:val="0"/>
        <w:adjustRightInd w:val="0"/>
        <w:rPr>
          <w:bCs/>
          <w:color w:val="000000"/>
          <w:sz w:val="22"/>
          <w:szCs w:val="22"/>
        </w:rPr>
      </w:pPr>
    </w:p>
    <w:p w14:paraId="29479A4B" w14:textId="77777777" w:rsidR="0088791F" w:rsidRPr="00275093" w:rsidRDefault="0088791F" w:rsidP="001C3198">
      <w:pPr>
        <w:pStyle w:val="Zkladntext2"/>
        <w:rPr>
          <w:szCs w:val="22"/>
        </w:rPr>
      </w:pPr>
      <w:r w:rsidRPr="00275093">
        <w:rPr>
          <w:szCs w:val="22"/>
        </w:rPr>
        <w:t>Údaje podpor</w:t>
      </w:r>
      <w:r w:rsidR="0080230C" w:rsidRPr="00275093">
        <w:rPr>
          <w:szCs w:val="22"/>
        </w:rPr>
        <w:t>uj</w:t>
      </w:r>
      <w:r w:rsidRPr="00275093">
        <w:rPr>
          <w:szCs w:val="22"/>
        </w:rPr>
        <w:t>úce odporúčanie robiť skríning na HLA-</w:t>
      </w:r>
      <w:r w:rsidR="00CC3318" w:rsidRPr="00275093">
        <w:rPr>
          <w:szCs w:val="22"/>
        </w:rPr>
        <w:t>A</w:t>
      </w:r>
      <w:r w:rsidRPr="00275093">
        <w:rPr>
          <w:szCs w:val="22"/>
        </w:rPr>
        <w:t>*3101</w:t>
      </w:r>
      <w:r w:rsidR="006A2F16" w:rsidRPr="00275093">
        <w:rPr>
          <w:szCs w:val="22"/>
        </w:rPr>
        <w:t xml:space="preserve"> </w:t>
      </w:r>
      <w:r w:rsidRPr="00275093">
        <w:rPr>
          <w:szCs w:val="22"/>
        </w:rPr>
        <w:t>pred začatím liečby karbamazepínom a chemicky podobnými látkami sú nedost</w:t>
      </w:r>
      <w:r w:rsidR="0080230C" w:rsidRPr="00275093">
        <w:rPr>
          <w:szCs w:val="22"/>
        </w:rPr>
        <w:t>at</w:t>
      </w:r>
      <w:r w:rsidRPr="00275093">
        <w:rPr>
          <w:szCs w:val="22"/>
        </w:rPr>
        <w:t>očné.</w:t>
      </w:r>
    </w:p>
    <w:p w14:paraId="3AF6EE56" w14:textId="77777777" w:rsidR="008300A9" w:rsidRPr="00275093" w:rsidRDefault="008300A9" w:rsidP="001C3198">
      <w:pPr>
        <w:pStyle w:val="Zkladntext2"/>
        <w:rPr>
          <w:szCs w:val="22"/>
        </w:rPr>
      </w:pPr>
    </w:p>
    <w:p w14:paraId="2E2230D6" w14:textId="3CDD7C15" w:rsidR="001B5A88" w:rsidRPr="00275093" w:rsidRDefault="0088791F" w:rsidP="001C3198">
      <w:pPr>
        <w:pStyle w:val="Zkladntext2"/>
        <w:rPr>
          <w:szCs w:val="22"/>
        </w:rPr>
      </w:pPr>
      <w:r w:rsidRPr="00275093">
        <w:rPr>
          <w:szCs w:val="22"/>
        </w:rPr>
        <w:t>Ak pacienti</w:t>
      </w:r>
      <w:r w:rsidR="005D3E3A" w:rsidRPr="00275093">
        <w:rPr>
          <w:szCs w:val="22"/>
        </w:rPr>
        <w:t>, ktorí sú potomkami Európanov</w:t>
      </w:r>
      <w:r w:rsidRPr="00275093">
        <w:rPr>
          <w:szCs w:val="22"/>
        </w:rPr>
        <w:t xml:space="preserve"> a</w:t>
      </w:r>
      <w:r w:rsidR="005D3E3A" w:rsidRPr="00275093">
        <w:rPr>
          <w:szCs w:val="22"/>
        </w:rPr>
        <w:t>lebo pochádzajú z J</w:t>
      </w:r>
      <w:r w:rsidRPr="00275093">
        <w:rPr>
          <w:szCs w:val="22"/>
        </w:rPr>
        <w:t>aponsk</w:t>
      </w:r>
      <w:r w:rsidR="005D3E3A" w:rsidRPr="00275093">
        <w:rPr>
          <w:szCs w:val="22"/>
        </w:rPr>
        <w:t>a,</w:t>
      </w:r>
      <w:r w:rsidR="008300A9" w:rsidRPr="00275093">
        <w:rPr>
          <w:szCs w:val="22"/>
        </w:rPr>
        <w:t xml:space="preserve"> majú pozitivitu</w:t>
      </w:r>
      <w:r w:rsidRPr="00275093">
        <w:rPr>
          <w:szCs w:val="22"/>
        </w:rPr>
        <w:t xml:space="preserve"> alel</w:t>
      </w:r>
      <w:r w:rsidR="00C46CB6" w:rsidRPr="00275093">
        <w:rPr>
          <w:szCs w:val="22"/>
        </w:rPr>
        <w:t>y</w:t>
      </w:r>
      <w:r w:rsidRPr="00275093">
        <w:rPr>
          <w:szCs w:val="22"/>
        </w:rPr>
        <w:t xml:space="preserve"> HLA-</w:t>
      </w:r>
      <w:r w:rsidR="00CC3318" w:rsidRPr="00275093">
        <w:rPr>
          <w:szCs w:val="22"/>
        </w:rPr>
        <w:t>A</w:t>
      </w:r>
      <w:r w:rsidRPr="00275093">
        <w:rPr>
          <w:szCs w:val="22"/>
        </w:rPr>
        <w:t>*3101</w:t>
      </w:r>
      <w:r w:rsidR="00DC3920" w:rsidRPr="00275093">
        <w:rPr>
          <w:szCs w:val="22"/>
        </w:rPr>
        <w:t>,</w:t>
      </w:r>
      <w:r w:rsidRPr="00275093">
        <w:rPr>
          <w:szCs w:val="22"/>
        </w:rPr>
        <w:t xml:space="preserve"> použitie karbamzepínu a</w:t>
      </w:r>
      <w:r w:rsidR="005D3E3A" w:rsidRPr="00275093">
        <w:rPr>
          <w:szCs w:val="22"/>
        </w:rPr>
        <w:t>lebo</w:t>
      </w:r>
      <w:r w:rsidRPr="00275093">
        <w:rPr>
          <w:szCs w:val="22"/>
        </w:rPr>
        <w:t> chemicky podobných látok možno zvážiť</w:t>
      </w:r>
      <w:r w:rsidR="00DC3920" w:rsidRPr="00275093">
        <w:rPr>
          <w:szCs w:val="22"/>
        </w:rPr>
        <w:t>,</w:t>
      </w:r>
      <w:r w:rsidRPr="00275093">
        <w:rPr>
          <w:szCs w:val="22"/>
        </w:rPr>
        <w:t xml:space="preserve"> ak prínosy prevážia riziká.</w:t>
      </w:r>
    </w:p>
    <w:p w14:paraId="70B8422E" w14:textId="77777777" w:rsidR="001B5A88" w:rsidRPr="00275093" w:rsidRDefault="001B5A88" w:rsidP="001C3198">
      <w:pPr>
        <w:pStyle w:val="Zkladntext2"/>
        <w:rPr>
          <w:bCs/>
          <w:szCs w:val="22"/>
          <w:u w:val="single"/>
        </w:rPr>
      </w:pPr>
    </w:p>
    <w:p w14:paraId="67CFC0A4" w14:textId="77777777" w:rsidR="00654E63" w:rsidRPr="00275093" w:rsidRDefault="00654E63" w:rsidP="001C3198">
      <w:pPr>
        <w:pStyle w:val="Zkladntext2"/>
        <w:rPr>
          <w:bCs/>
          <w:szCs w:val="22"/>
          <w:u w:val="single"/>
        </w:rPr>
      </w:pPr>
      <w:r w:rsidRPr="00275093">
        <w:rPr>
          <w:bCs/>
          <w:szCs w:val="22"/>
          <w:u w:val="single"/>
        </w:rPr>
        <w:t>Obmedzenie genetického skríningu</w:t>
      </w:r>
    </w:p>
    <w:p w14:paraId="281E3D01" w14:textId="17EE149D" w:rsidR="00654E63" w:rsidRPr="00275093" w:rsidRDefault="00654E63" w:rsidP="001C3198">
      <w:pPr>
        <w:pStyle w:val="Zkladntext2"/>
        <w:rPr>
          <w:bCs/>
          <w:szCs w:val="22"/>
        </w:rPr>
      </w:pPr>
      <w:r w:rsidRPr="00275093">
        <w:rPr>
          <w:bCs/>
          <w:szCs w:val="22"/>
        </w:rPr>
        <w:t xml:space="preserve">Výsledky genetického skríningu nikdy nesmú nahradiť primeranú klinickú </w:t>
      </w:r>
      <w:r w:rsidR="006A2F16" w:rsidRPr="00275093">
        <w:rPr>
          <w:bCs/>
          <w:szCs w:val="22"/>
        </w:rPr>
        <w:t>opatrnosť</w:t>
      </w:r>
      <w:r w:rsidRPr="00275093">
        <w:rPr>
          <w:bCs/>
          <w:szCs w:val="22"/>
        </w:rPr>
        <w:t xml:space="preserve"> a</w:t>
      </w:r>
      <w:r w:rsidR="008822B0" w:rsidRPr="00275093">
        <w:rPr>
          <w:bCs/>
          <w:szCs w:val="22"/>
        </w:rPr>
        <w:t xml:space="preserve"> starostlivosť o </w:t>
      </w:r>
      <w:r w:rsidRPr="00275093">
        <w:rPr>
          <w:bCs/>
          <w:szCs w:val="22"/>
        </w:rPr>
        <w:t xml:space="preserve">pacienta. U mnohých ázijských pacientov s pozitivitou </w:t>
      </w:r>
      <w:r w:rsidRPr="00275093">
        <w:rPr>
          <w:rFonts w:eastAsia="MS Mincho"/>
          <w:bCs/>
          <w:color w:val="000000"/>
          <w:szCs w:val="22"/>
          <w:lang w:eastAsia="ja-JP"/>
        </w:rPr>
        <w:t>HLA-B*1502 liečených Trileptalom sa nikdy nevyvinie SJS/TEN a u pacientov s negativitou HLA-B*1502</w:t>
      </w:r>
      <w:r w:rsidR="009C4E7A" w:rsidRPr="00275093">
        <w:rPr>
          <w:rFonts w:eastAsia="MS Mincho"/>
          <w:bCs/>
          <w:color w:val="000000"/>
          <w:szCs w:val="22"/>
          <w:lang w:eastAsia="ja-JP"/>
        </w:rPr>
        <w:t xml:space="preserve"> akéhokoľvek etnického pôvodu sa predsa môže vyvinúť SJS/TEN. To isté platí</w:t>
      </w:r>
      <w:r w:rsidR="00D10260" w:rsidRPr="00275093">
        <w:rPr>
          <w:rFonts w:eastAsia="MS Mincho"/>
          <w:bCs/>
          <w:color w:val="000000"/>
          <w:szCs w:val="22"/>
          <w:lang w:eastAsia="ja-JP"/>
        </w:rPr>
        <w:t xml:space="preserve"> </w:t>
      </w:r>
      <w:r w:rsidR="009C4E7A" w:rsidRPr="00275093">
        <w:rPr>
          <w:rFonts w:eastAsia="MS Mincho"/>
          <w:bCs/>
          <w:color w:val="000000"/>
          <w:szCs w:val="22"/>
          <w:lang w:eastAsia="ja-JP"/>
        </w:rPr>
        <w:t>pre HLA-A*3101 vzhľadom na riziko SJS, TEN, DRESS, AGEP alebo makulopapul</w:t>
      </w:r>
      <w:r w:rsidR="00193F6F" w:rsidRPr="00275093">
        <w:rPr>
          <w:rFonts w:eastAsia="MS Mincho"/>
          <w:bCs/>
          <w:color w:val="000000"/>
          <w:szCs w:val="22"/>
          <w:lang w:eastAsia="ja-JP"/>
        </w:rPr>
        <w:t xml:space="preserve">ózneho </w:t>
      </w:r>
      <w:r w:rsidR="008C4F77" w:rsidRPr="00275093">
        <w:rPr>
          <w:rFonts w:eastAsia="MS Mincho"/>
          <w:bCs/>
          <w:color w:val="000000"/>
          <w:szCs w:val="22"/>
          <w:lang w:eastAsia="ja-JP"/>
        </w:rPr>
        <w:t>exantému</w:t>
      </w:r>
      <w:r w:rsidR="009C4E7A" w:rsidRPr="00275093">
        <w:rPr>
          <w:rFonts w:eastAsia="MS Mincho"/>
          <w:bCs/>
          <w:color w:val="000000"/>
          <w:szCs w:val="22"/>
          <w:lang w:eastAsia="ja-JP"/>
        </w:rPr>
        <w:t xml:space="preserve">. Vznik týchto závažných </w:t>
      </w:r>
      <w:r w:rsidR="0002373B" w:rsidRPr="00275093">
        <w:rPr>
          <w:rFonts w:eastAsia="MS Mincho"/>
          <w:bCs/>
          <w:color w:val="000000"/>
          <w:szCs w:val="22"/>
          <w:lang w:eastAsia="ja-JP"/>
        </w:rPr>
        <w:t xml:space="preserve">kožných nežiaducich reakcií a s nimi súvisiacou morbiditou v dôsledku iných možných faktorov, napr. dávky antiepileptika, dodržiavania </w:t>
      </w:r>
      <w:r w:rsidR="0069249F" w:rsidRPr="00275093">
        <w:rPr>
          <w:rFonts w:eastAsia="MS Mincho"/>
          <w:bCs/>
          <w:color w:val="000000"/>
          <w:szCs w:val="22"/>
          <w:lang w:eastAsia="ja-JP"/>
        </w:rPr>
        <w:t xml:space="preserve">režimu </w:t>
      </w:r>
      <w:r w:rsidR="0002373B" w:rsidRPr="00275093">
        <w:rPr>
          <w:rFonts w:eastAsia="MS Mincho"/>
          <w:bCs/>
          <w:color w:val="000000"/>
          <w:szCs w:val="22"/>
          <w:lang w:eastAsia="ja-JP"/>
        </w:rPr>
        <w:t>liečby, súbežne používaných liekov, sprievodných chorôb a úrovne dermatologického monitorovania sa neskúmali.</w:t>
      </w:r>
    </w:p>
    <w:p w14:paraId="2B1718A5" w14:textId="77777777" w:rsidR="0002373B" w:rsidRPr="00275093" w:rsidRDefault="0002373B" w:rsidP="00CC3318">
      <w:pPr>
        <w:pStyle w:val="Default"/>
        <w:rPr>
          <w:rFonts w:eastAsia="MS Mincho"/>
          <w:bCs/>
          <w:color w:val="000000"/>
          <w:sz w:val="22"/>
          <w:szCs w:val="22"/>
          <w:lang w:val="sk-SK" w:eastAsia="ja-JP"/>
        </w:rPr>
      </w:pPr>
    </w:p>
    <w:p w14:paraId="30193E25" w14:textId="77777777" w:rsidR="00CC3318" w:rsidRPr="00275093" w:rsidRDefault="0002373B" w:rsidP="00CC3318">
      <w:pPr>
        <w:pStyle w:val="Default"/>
        <w:rPr>
          <w:rFonts w:eastAsia="MS Mincho"/>
          <w:bCs/>
          <w:color w:val="000000"/>
          <w:sz w:val="22"/>
          <w:szCs w:val="22"/>
          <w:u w:val="single"/>
          <w:lang w:val="sk-SK" w:eastAsia="ja-JP"/>
        </w:rPr>
      </w:pPr>
      <w:r w:rsidRPr="00275093">
        <w:rPr>
          <w:rFonts w:eastAsia="MS Mincho"/>
          <w:bCs/>
          <w:color w:val="000000"/>
          <w:sz w:val="22"/>
          <w:szCs w:val="22"/>
          <w:u w:val="single"/>
          <w:lang w:val="sk-SK" w:eastAsia="ja-JP"/>
        </w:rPr>
        <w:t>Informácia pre zdravotníckych pracovníkov</w:t>
      </w:r>
    </w:p>
    <w:p w14:paraId="5371E0DD" w14:textId="77777777" w:rsidR="0002373B" w:rsidRPr="00275093" w:rsidRDefault="00193F6F" w:rsidP="00CC3318">
      <w:pPr>
        <w:pStyle w:val="Default"/>
        <w:rPr>
          <w:rFonts w:eastAsia="MS Mincho"/>
          <w:bCs/>
          <w:color w:val="000000"/>
          <w:sz w:val="22"/>
          <w:szCs w:val="22"/>
          <w:lang w:val="sk-SK" w:eastAsia="ja-JP"/>
        </w:rPr>
      </w:pPr>
      <w:r w:rsidRPr="00275093">
        <w:rPr>
          <w:rFonts w:eastAsia="MS Mincho"/>
          <w:bCs/>
          <w:color w:val="000000"/>
          <w:sz w:val="22"/>
          <w:szCs w:val="22"/>
          <w:lang w:val="sk-SK" w:eastAsia="ja-JP"/>
        </w:rPr>
        <w:t xml:space="preserve">Ak sa vykoná testovanie na prítomnosť alely </w:t>
      </w:r>
      <w:r w:rsidRPr="00275093">
        <w:rPr>
          <w:bCs/>
          <w:color w:val="000000"/>
          <w:sz w:val="22"/>
          <w:szCs w:val="22"/>
          <w:lang w:val="sk-SK"/>
        </w:rPr>
        <w:t xml:space="preserve">HLA-B*1502, odporúča sa „HLA-B*1502 genotyping“ s vysokou rozlišovacou schopnosťou. Test je pozitívny, ak sa zistia buď jedna, alebo dve alely HLA-B*1502, a negatívny, ak sa nezistia žiadne alely HLA-B*1502. Podobne ak sa </w:t>
      </w:r>
      <w:r w:rsidRPr="00275093">
        <w:rPr>
          <w:rFonts w:eastAsia="MS Mincho"/>
          <w:bCs/>
          <w:color w:val="000000"/>
          <w:sz w:val="22"/>
          <w:szCs w:val="22"/>
          <w:lang w:val="sk-SK" w:eastAsia="ja-JP"/>
        </w:rPr>
        <w:t xml:space="preserve">vykoná testovanie na prítomnosť alely </w:t>
      </w:r>
      <w:r w:rsidRPr="00275093">
        <w:rPr>
          <w:bCs/>
          <w:color w:val="000000"/>
          <w:sz w:val="22"/>
          <w:szCs w:val="22"/>
          <w:lang w:val="sk-SK"/>
        </w:rPr>
        <w:t>HLA-A*3101, odporúča sa „HLA-A*3101 genotyping“ s vysokou rozlišovacou schopnosťou. Test je pozitívny, ak sa zistia buď jedna, alebo dve alely HLA-A*3101, a negatívny, ak sa nezistia žiadne alely HLA-A*3101.</w:t>
      </w:r>
    </w:p>
    <w:p w14:paraId="52CC6CCE" w14:textId="77777777" w:rsidR="0002373B" w:rsidRPr="00275093" w:rsidRDefault="0002373B" w:rsidP="00CC3318">
      <w:pPr>
        <w:pStyle w:val="Text"/>
        <w:spacing w:before="0"/>
        <w:jc w:val="left"/>
        <w:rPr>
          <w:bCs/>
          <w:color w:val="000000"/>
          <w:sz w:val="22"/>
          <w:szCs w:val="22"/>
          <w:lang w:val="sk-SK"/>
        </w:rPr>
      </w:pPr>
    </w:p>
    <w:p w14:paraId="0776F19B" w14:textId="77777777" w:rsidR="00CC3318" w:rsidRPr="00275093" w:rsidRDefault="00193F6F" w:rsidP="00CC3318">
      <w:pPr>
        <w:pStyle w:val="Text"/>
        <w:spacing w:before="0"/>
        <w:jc w:val="left"/>
        <w:rPr>
          <w:bCs/>
          <w:color w:val="000000"/>
          <w:sz w:val="22"/>
          <w:szCs w:val="22"/>
          <w:u w:val="single"/>
          <w:lang w:val="sk-SK"/>
        </w:rPr>
      </w:pPr>
      <w:r w:rsidRPr="00275093">
        <w:rPr>
          <w:bCs/>
          <w:color w:val="000000"/>
          <w:sz w:val="22"/>
          <w:szCs w:val="22"/>
          <w:u w:val="single"/>
          <w:lang w:val="sk-SK"/>
        </w:rPr>
        <w:t>Riziko zhoršenia epileptických záchvatov</w:t>
      </w:r>
    </w:p>
    <w:p w14:paraId="791F87D2" w14:textId="77777777" w:rsidR="00193F6F" w:rsidRPr="00275093" w:rsidRDefault="00474A99" w:rsidP="00193F6F">
      <w:pPr>
        <w:pStyle w:val="Text"/>
        <w:spacing w:before="0"/>
        <w:jc w:val="left"/>
        <w:rPr>
          <w:bCs/>
          <w:color w:val="000000"/>
          <w:sz w:val="22"/>
          <w:szCs w:val="22"/>
          <w:lang w:val="sk-SK"/>
        </w:rPr>
      </w:pPr>
      <w:r w:rsidRPr="00275093">
        <w:rPr>
          <w:bCs/>
          <w:color w:val="000000"/>
          <w:sz w:val="22"/>
          <w:szCs w:val="22"/>
          <w:lang w:val="sk-SK"/>
        </w:rPr>
        <w:t>Pri Trileptale sa zaznamenalo r</w:t>
      </w:r>
      <w:r w:rsidR="00193F6F" w:rsidRPr="00275093">
        <w:rPr>
          <w:bCs/>
          <w:color w:val="000000"/>
          <w:sz w:val="22"/>
          <w:szCs w:val="22"/>
          <w:lang w:val="sk-SK"/>
        </w:rPr>
        <w:t>iziko zhoršenia epileptických záchvatov</w:t>
      </w:r>
      <w:r w:rsidRPr="00275093">
        <w:rPr>
          <w:bCs/>
          <w:color w:val="000000"/>
          <w:sz w:val="22"/>
          <w:szCs w:val="22"/>
          <w:lang w:val="sk-SK"/>
        </w:rPr>
        <w:t>. Riziko zhoršenia epileptických záchvatov sa pozoruje najmä u detí, ale môže sa vyskytnúť aj u dospelých. V prípade zhoršenia epileptických záchvatov sa Trileptal má vysadiť.</w:t>
      </w:r>
    </w:p>
    <w:p w14:paraId="49AA6C30" w14:textId="77777777" w:rsidR="00193F6F" w:rsidRPr="00275093" w:rsidRDefault="00193F6F" w:rsidP="00CC3318">
      <w:pPr>
        <w:pStyle w:val="Text"/>
        <w:spacing w:before="0"/>
        <w:jc w:val="left"/>
        <w:rPr>
          <w:bCs/>
          <w:sz w:val="22"/>
          <w:szCs w:val="22"/>
          <w:lang w:val="sk-SK"/>
        </w:rPr>
      </w:pPr>
    </w:p>
    <w:p w14:paraId="2A0552AB" w14:textId="77777777" w:rsidR="001C3198" w:rsidRPr="00275093" w:rsidRDefault="001C3198" w:rsidP="001C3198">
      <w:pPr>
        <w:pStyle w:val="Zkladntext2"/>
        <w:rPr>
          <w:bCs/>
          <w:szCs w:val="22"/>
          <w:u w:val="single"/>
        </w:rPr>
      </w:pPr>
      <w:r w:rsidRPr="00275093">
        <w:rPr>
          <w:bCs/>
          <w:szCs w:val="22"/>
          <w:u w:val="single"/>
        </w:rPr>
        <w:t>Hyponatriémia</w:t>
      </w:r>
    </w:p>
    <w:p w14:paraId="29412CCF" w14:textId="304D5487" w:rsidR="001C3198" w:rsidRPr="00275093" w:rsidRDefault="00D011DD" w:rsidP="001C3198">
      <w:pPr>
        <w:rPr>
          <w:sz w:val="22"/>
          <w:szCs w:val="22"/>
        </w:rPr>
      </w:pPr>
      <w:r w:rsidRPr="00275093">
        <w:rPr>
          <w:sz w:val="22"/>
          <w:szCs w:val="22"/>
        </w:rPr>
        <w:t>Koncentrácie</w:t>
      </w:r>
      <w:r w:rsidR="001C3198" w:rsidRPr="00275093">
        <w:rPr>
          <w:sz w:val="22"/>
          <w:szCs w:val="22"/>
        </w:rPr>
        <w:t xml:space="preserve"> sodíka v sére nižšie ako 125 mmol/l, zvyčajne asymptomatické a nevyžadujúce úpravu liečby, sa pozorovali až u 2,7</w:t>
      </w:r>
      <w:r w:rsidR="00C21D02" w:rsidRPr="00275093">
        <w:rPr>
          <w:sz w:val="22"/>
          <w:szCs w:val="22"/>
        </w:rPr>
        <w:t> %</w:t>
      </w:r>
      <w:r w:rsidR="001C3198" w:rsidRPr="00275093">
        <w:rPr>
          <w:sz w:val="22"/>
          <w:szCs w:val="22"/>
        </w:rPr>
        <w:t xml:space="preserve"> pacientov liečených Trileptalom. Skúsenosti z klinických skúšaní ukazujú, že </w:t>
      </w:r>
      <w:r w:rsidRPr="00275093">
        <w:rPr>
          <w:sz w:val="22"/>
          <w:szCs w:val="22"/>
        </w:rPr>
        <w:t>koncentrácie</w:t>
      </w:r>
      <w:r w:rsidR="001C3198" w:rsidRPr="00275093">
        <w:rPr>
          <w:sz w:val="22"/>
          <w:szCs w:val="22"/>
        </w:rPr>
        <w:t xml:space="preserve"> sodíka sa vrátili na normálne hodnoty, keď sa znížila dávka Trileptalu, ukončilo sa jeho podávanie, alebo pacient dostal konzervatívnu liečbu (napr. obmedzený príjem tekutín). U pacientov, ktorí už majú ochorenia obličiek spojené s nízkou </w:t>
      </w:r>
      <w:r w:rsidRPr="00275093">
        <w:rPr>
          <w:sz w:val="22"/>
          <w:szCs w:val="22"/>
        </w:rPr>
        <w:t>koncentrác</w:t>
      </w:r>
      <w:r w:rsidR="001C3198" w:rsidRPr="00275093">
        <w:rPr>
          <w:sz w:val="22"/>
          <w:szCs w:val="22"/>
        </w:rPr>
        <w:t>iou sodíka</w:t>
      </w:r>
      <w:r w:rsidR="008822B0" w:rsidRPr="00275093">
        <w:rPr>
          <w:sz w:val="22"/>
          <w:szCs w:val="22"/>
        </w:rPr>
        <w:t xml:space="preserve"> (napr. syndróm </w:t>
      </w:r>
      <w:r w:rsidR="00D10F26" w:rsidRPr="00275093">
        <w:rPr>
          <w:sz w:val="22"/>
          <w:szCs w:val="22"/>
        </w:rPr>
        <w:t>podobný neprimeranej sekrécii ADH)</w:t>
      </w:r>
      <w:r w:rsidR="001C3198" w:rsidRPr="00275093">
        <w:rPr>
          <w:sz w:val="22"/>
          <w:szCs w:val="22"/>
        </w:rPr>
        <w:t xml:space="preserve">, alebo u pacientov, ktorí sa súčasne liečia liekmi znižujúcimi </w:t>
      </w:r>
      <w:r w:rsidRPr="00275093">
        <w:rPr>
          <w:sz w:val="22"/>
          <w:szCs w:val="22"/>
        </w:rPr>
        <w:t>koncentráciu</w:t>
      </w:r>
      <w:r w:rsidR="001C3198" w:rsidRPr="00275093">
        <w:rPr>
          <w:sz w:val="22"/>
          <w:szCs w:val="22"/>
        </w:rPr>
        <w:t xml:space="preserve"> sodíka (napr. diuretikami, desmopresínom), ako aj nesteroidnými antiflogistikami (napr. indometacínom), </w:t>
      </w:r>
      <w:r w:rsidRPr="00275093">
        <w:rPr>
          <w:sz w:val="22"/>
          <w:szCs w:val="22"/>
        </w:rPr>
        <w:t>koncentrácie</w:t>
      </w:r>
      <w:r w:rsidR="001C3198" w:rsidRPr="00275093">
        <w:rPr>
          <w:sz w:val="22"/>
          <w:szCs w:val="22"/>
        </w:rPr>
        <w:t xml:space="preserve"> sodíka v sére sa majú stanoviť pred začatím liečby. Potom sa majú </w:t>
      </w:r>
      <w:r w:rsidRPr="00275093">
        <w:rPr>
          <w:sz w:val="22"/>
          <w:szCs w:val="22"/>
        </w:rPr>
        <w:t>koncentrácie</w:t>
      </w:r>
      <w:r w:rsidR="001C3198" w:rsidRPr="00275093">
        <w:rPr>
          <w:sz w:val="22"/>
          <w:szCs w:val="22"/>
        </w:rPr>
        <w:t xml:space="preserve"> sodíka v sére stanoviť po približne dvoch týždňoch a neskôr v mesačných intervaloch počas prvých troch mesiacov liečby, alebo podľa klinickej potreby. Tieto rizikové faktory sa môžu vyskytnúť najmä u starších pacientov. Rovnako sa má pri kontrole sodíka postupovať u pacientov, ktorí počas liečby Trileptalom začnú užívať lieky znižujúce </w:t>
      </w:r>
      <w:r w:rsidRPr="00275093">
        <w:rPr>
          <w:sz w:val="22"/>
          <w:szCs w:val="22"/>
        </w:rPr>
        <w:t>koncentráciu</w:t>
      </w:r>
      <w:r w:rsidR="001C3198" w:rsidRPr="00275093">
        <w:rPr>
          <w:sz w:val="22"/>
          <w:szCs w:val="22"/>
        </w:rPr>
        <w:t xml:space="preserve"> sodíka. Vo všeobecnosti, ak sa počas liečby Trileptalom vyskytnú klinické symptómy naznačujúce </w:t>
      </w:r>
      <w:r w:rsidR="001C3198" w:rsidRPr="00275093">
        <w:rPr>
          <w:sz w:val="22"/>
          <w:szCs w:val="22"/>
        </w:rPr>
        <w:lastRenderedPageBreak/>
        <w:t xml:space="preserve">hyponatriémiu (pozri časť 4.8), má sa uvážiť stanovenie sodíka v sére. U iných pacientov môže byť stanovenie </w:t>
      </w:r>
      <w:r w:rsidR="00F12721" w:rsidRPr="00275093">
        <w:rPr>
          <w:sz w:val="22"/>
          <w:szCs w:val="22"/>
        </w:rPr>
        <w:t xml:space="preserve">koncentrácie </w:t>
      </w:r>
      <w:r w:rsidR="001C3198" w:rsidRPr="00275093">
        <w:rPr>
          <w:sz w:val="22"/>
          <w:szCs w:val="22"/>
        </w:rPr>
        <w:t>sodíka v sére súčasťou ich bežných laboratórnych vyšetrení.</w:t>
      </w:r>
    </w:p>
    <w:p w14:paraId="4460CE00" w14:textId="77777777" w:rsidR="00DC3920" w:rsidRPr="00275093" w:rsidRDefault="00DC3920" w:rsidP="001C3198">
      <w:pPr>
        <w:rPr>
          <w:sz w:val="22"/>
          <w:szCs w:val="22"/>
        </w:rPr>
      </w:pPr>
    </w:p>
    <w:p w14:paraId="50CBB6CF" w14:textId="77777777" w:rsidR="001C3198" w:rsidRPr="00275093" w:rsidRDefault="001C3198" w:rsidP="001C3198">
      <w:pPr>
        <w:rPr>
          <w:sz w:val="22"/>
          <w:szCs w:val="22"/>
        </w:rPr>
      </w:pPr>
      <w:r w:rsidRPr="00275093">
        <w:rPr>
          <w:sz w:val="22"/>
          <w:szCs w:val="22"/>
        </w:rPr>
        <w:t>U všetkých pacientov so srdcovou insuficienciou a sekundárnym zlyh</w:t>
      </w:r>
      <w:r w:rsidR="004E42C1" w:rsidRPr="00275093">
        <w:rPr>
          <w:sz w:val="22"/>
          <w:szCs w:val="22"/>
        </w:rPr>
        <w:t>áv</w:t>
      </w:r>
      <w:r w:rsidRPr="00275093">
        <w:rPr>
          <w:sz w:val="22"/>
          <w:szCs w:val="22"/>
        </w:rPr>
        <w:t xml:space="preserve">aním srdca sa má pravidelne stanovovať </w:t>
      </w:r>
      <w:r w:rsidR="00F12721" w:rsidRPr="00275093">
        <w:rPr>
          <w:sz w:val="22"/>
          <w:szCs w:val="22"/>
        </w:rPr>
        <w:t xml:space="preserve">telesná </w:t>
      </w:r>
      <w:r w:rsidRPr="00275093">
        <w:rPr>
          <w:sz w:val="22"/>
          <w:szCs w:val="22"/>
        </w:rPr>
        <w:t xml:space="preserve">hmotnosť, aby sa zistilo, či dochádza k retencii tekutiny. Pri retencii tekutín alebo zhoršení ochorenia srdca sa má stanoviť </w:t>
      </w:r>
      <w:r w:rsidR="00F12721" w:rsidRPr="00275093">
        <w:rPr>
          <w:sz w:val="22"/>
          <w:szCs w:val="22"/>
        </w:rPr>
        <w:t xml:space="preserve">koncentrácia </w:t>
      </w:r>
      <w:r w:rsidRPr="00275093">
        <w:rPr>
          <w:sz w:val="22"/>
          <w:szCs w:val="22"/>
        </w:rPr>
        <w:t>sodík</w:t>
      </w:r>
      <w:r w:rsidR="00F12721" w:rsidRPr="00275093">
        <w:rPr>
          <w:sz w:val="22"/>
          <w:szCs w:val="22"/>
        </w:rPr>
        <w:t>a</w:t>
      </w:r>
      <w:r w:rsidRPr="00275093">
        <w:rPr>
          <w:sz w:val="22"/>
          <w:szCs w:val="22"/>
        </w:rPr>
        <w:t xml:space="preserve"> v sére. Ak sa pozoruje hyponatriémia, dôležitým protiopatrením je obmedzenie príjmu vody. Pretože oxkarbazepín môže veľmi zriedkavo vyvolať zhoršenie vedenia vzruchov v srdci, je potrebné starostlivo sledovať pacientov, ktorí už majú poruchy vedenia vzruchov (napr. </w:t>
      </w:r>
      <w:r w:rsidR="00DC3920" w:rsidRPr="00275093">
        <w:rPr>
          <w:sz w:val="22"/>
          <w:szCs w:val="22"/>
        </w:rPr>
        <w:t>á</w:t>
      </w:r>
      <w:r w:rsidRPr="00275093">
        <w:rPr>
          <w:sz w:val="22"/>
          <w:szCs w:val="22"/>
        </w:rPr>
        <w:t>trioventrikulárnu blokádu, arytmiu).</w:t>
      </w:r>
    </w:p>
    <w:p w14:paraId="3230F0C0" w14:textId="77777777" w:rsidR="00D10F26" w:rsidRPr="00275093" w:rsidRDefault="00D10F26" w:rsidP="001C3198">
      <w:pPr>
        <w:rPr>
          <w:sz w:val="22"/>
          <w:szCs w:val="22"/>
        </w:rPr>
      </w:pPr>
    </w:p>
    <w:p w14:paraId="1A90CF84" w14:textId="77777777" w:rsidR="00D10F26" w:rsidRPr="00275093" w:rsidRDefault="00D10F26" w:rsidP="001C3198">
      <w:pPr>
        <w:rPr>
          <w:sz w:val="22"/>
          <w:szCs w:val="22"/>
          <w:u w:val="single"/>
        </w:rPr>
      </w:pPr>
      <w:r w:rsidRPr="00275093">
        <w:rPr>
          <w:sz w:val="22"/>
          <w:szCs w:val="22"/>
          <w:u w:val="single"/>
        </w:rPr>
        <w:t>Hypotyreóza</w:t>
      </w:r>
    </w:p>
    <w:p w14:paraId="4075C5A8" w14:textId="21B09836" w:rsidR="001C3198" w:rsidRPr="00275093" w:rsidRDefault="00D10F26" w:rsidP="001C3198">
      <w:pPr>
        <w:rPr>
          <w:sz w:val="22"/>
          <w:szCs w:val="22"/>
        </w:rPr>
      </w:pPr>
      <w:r w:rsidRPr="00275093">
        <w:rPr>
          <w:sz w:val="22"/>
          <w:szCs w:val="22"/>
        </w:rPr>
        <w:t>Hypotyreóza je nežiaduca reakcia na oxkarbazepín (s frekvenciou</w:t>
      </w:r>
      <w:r w:rsidR="00B13026" w:rsidRPr="00275093">
        <w:rPr>
          <w:sz w:val="22"/>
          <w:szCs w:val="22"/>
        </w:rPr>
        <w:t xml:space="preserve"> „neznáme“</w:t>
      </w:r>
      <w:r w:rsidRPr="00275093">
        <w:rPr>
          <w:sz w:val="22"/>
          <w:szCs w:val="22"/>
        </w:rPr>
        <w:t>, pozri časť 4.8). Vzhľadom na dôležitosť hormónov štítnej žľazy pre vývin detí po narodení sa u pediatrickej vekovej skupiny počas liečby Trileptalom odporúča monitorova</w:t>
      </w:r>
      <w:r w:rsidR="0069249F" w:rsidRPr="00275093">
        <w:rPr>
          <w:sz w:val="22"/>
          <w:szCs w:val="22"/>
        </w:rPr>
        <w:t>ť</w:t>
      </w:r>
      <w:r w:rsidRPr="00275093">
        <w:rPr>
          <w:sz w:val="22"/>
          <w:szCs w:val="22"/>
        </w:rPr>
        <w:t xml:space="preserve"> funkci</w:t>
      </w:r>
      <w:r w:rsidR="0069249F" w:rsidRPr="00275093">
        <w:rPr>
          <w:sz w:val="22"/>
          <w:szCs w:val="22"/>
        </w:rPr>
        <w:t>u</w:t>
      </w:r>
      <w:r w:rsidRPr="00275093">
        <w:rPr>
          <w:sz w:val="22"/>
          <w:szCs w:val="22"/>
        </w:rPr>
        <w:t xml:space="preserve"> štítnej žľazy.</w:t>
      </w:r>
    </w:p>
    <w:p w14:paraId="012C9B8C" w14:textId="77777777" w:rsidR="00D10F26" w:rsidRPr="00275093" w:rsidRDefault="00D10F26" w:rsidP="001C3198">
      <w:pPr>
        <w:rPr>
          <w:sz w:val="22"/>
          <w:szCs w:val="22"/>
        </w:rPr>
      </w:pPr>
    </w:p>
    <w:p w14:paraId="2757F159" w14:textId="77777777" w:rsidR="001C3198" w:rsidRPr="00275093" w:rsidRDefault="001C3198" w:rsidP="001C3198">
      <w:pPr>
        <w:rPr>
          <w:bCs/>
          <w:sz w:val="22"/>
          <w:szCs w:val="22"/>
          <w:u w:val="single"/>
        </w:rPr>
      </w:pPr>
      <w:r w:rsidRPr="00275093">
        <w:rPr>
          <w:bCs/>
          <w:sz w:val="22"/>
          <w:szCs w:val="22"/>
          <w:u w:val="single"/>
        </w:rPr>
        <w:t>Funkcia pečene</w:t>
      </w:r>
    </w:p>
    <w:p w14:paraId="73D2B29B" w14:textId="77777777" w:rsidR="001C3198" w:rsidRPr="00275093" w:rsidRDefault="001C3198" w:rsidP="001C3198">
      <w:pPr>
        <w:rPr>
          <w:sz w:val="22"/>
          <w:szCs w:val="22"/>
        </w:rPr>
      </w:pPr>
      <w:r w:rsidRPr="00275093">
        <w:rPr>
          <w:sz w:val="22"/>
          <w:szCs w:val="22"/>
        </w:rPr>
        <w:t>Zaznamenali sa veľmi zriedkavé prípady hepatitídy, ktoré sa väčšinou skončili priaznivo. V prípade podozrenia na nežiaduci účinok na pečeň sa má vyhodnotiť funkcia pečene a uvážiť vysadenie Trileptalu.</w:t>
      </w:r>
      <w:r w:rsidR="005A0DF9" w:rsidRPr="00275093">
        <w:rPr>
          <w:sz w:val="22"/>
          <w:szCs w:val="22"/>
        </w:rPr>
        <w:t xml:space="preserve"> Pri liečbe pacientov so závažnou poruchou funkcie pečene sa má postupovať opatrne (pozri časti 4.2 a 5.2).</w:t>
      </w:r>
    </w:p>
    <w:p w14:paraId="751AD064" w14:textId="77777777" w:rsidR="005A0DF9" w:rsidRPr="00275093" w:rsidRDefault="005A0DF9" w:rsidP="001C3198">
      <w:pPr>
        <w:rPr>
          <w:sz w:val="22"/>
          <w:szCs w:val="22"/>
        </w:rPr>
      </w:pPr>
    </w:p>
    <w:p w14:paraId="20B97A1A" w14:textId="77777777" w:rsidR="005A0DF9" w:rsidRPr="00275093" w:rsidRDefault="005A0DF9" w:rsidP="001C3198">
      <w:pPr>
        <w:rPr>
          <w:sz w:val="22"/>
          <w:szCs w:val="22"/>
          <w:u w:val="single"/>
        </w:rPr>
      </w:pPr>
      <w:r w:rsidRPr="00275093">
        <w:rPr>
          <w:sz w:val="22"/>
          <w:szCs w:val="22"/>
          <w:u w:val="single"/>
        </w:rPr>
        <w:t>Funkcia obličiek</w:t>
      </w:r>
    </w:p>
    <w:p w14:paraId="068DEEF9" w14:textId="77777777" w:rsidR="005A0DF9" w:rsidRPr="00275093" w:rsidRDefault="00866D07" w:rsidP="001C3198">
      <w:pPr>
        <w:rPr>
          <w:sz w:val="22"/>
          <w:szCs w:val="22"/>
        </w:rPr>
      </w:pPr>
      <w:r w:rsidRPr="00275093">
        <w:rPr>
          <w:sz w:val="22"/>
          <w:szCs w:val="22"/>
        </w:rPr>
        <w:t xml:space="preserve">Pri liečbe pacientov s poruchou funkcie obličiek (klírens kreatinínu nižší ako 30 ml/min) sa má počas liečby Trileptalom postupovať opatrne, zvlášť vzhľadom na začiatočnú dávku a titrovanie dávky nahor. Môže sa zvážiť </w:t>
      </w:r>
      <w:r w:rsidR="00C91265" w:rsidRPr="00275093">
        <w:rPr>
          <w:sz w:val="22"/>
          <w:szCs w:val="22"/>
        </w:rPr>
        <w:t>monitorovanie plazmatickej koncentrácie MHD (pozri časti 4.2 a 5.2).</w:t>
      </w:r>
    </w:p>
    <w:p w14:paraId="0E156A6D" w14:textId="77777777" w:rsidR="005A0DF9" w:rsidRPr="00275093" w:rsidRDefault="005A0DF9" w:rsidP="001C3198">
      <w:pPr>
        <w:rPr>
          <w:sz w:val="22"/>
          <w:szCs w:val="22"/>
        </w:rPr>
      </w:pPr>
    </w:p>
    <w:p w14:paraId="66A09244" w14:textId="77777777" w:rsidR="001C3198" w:rsidRPr="00275093" w:rsidRDefault="001C3198" w:rsidP="001C3198">
      <w:pPr>
        <w:rPr>
          <w:bCs/>
          <w:sz w:val="22"/>
          <w:szCs w:val="22"/>
          <w:u w:val="single"/>
        </w:rPr>
      </w:pPr>
      <w:r w:rsidRPr="00275093">
        <w:rPr>
          <w:bCs/>
          <w:sz w:val="22"/>
          <w:szCs w:val="22"/>
          <w:u w:val="single"/>
        </w:rPr>
        <w:t>Hematologické účinky</w:t>
      </w:r>
    </w:p>
    <w:p w14:paraId="39181D29" w14:textId="77777777" w:rsidR="001C3198" w:rsidRPr="00275093" w:rsidRDefault="001C3198" w:rsidP="001C3198">
      <w:pPr>
        <w:rPr>
          <w:sz w:val="22"/>
          <w:szCs w:val="22"/>
        </w:rPr>
      </w:pPr>
      <w:r w:rsidRPr="00275093">
        <w:rPr>
          <w:sz w:val="22"/>
          <w:szCs w:val="22"/>
        </w:rPr>
        <w:t xml:space="preserve">Veľmi zriedkavé správy o agranulocytóze, aplastickej anémii a pancytopénii sa zaznamenali u pacientov užívajúcich Trileptal po jeho uvedení na trh (pozri časť 4.8). </w:t>
      </w:r>
    </w:p>
    <w:p w14:paraId="6D237B4B" w14:textId="77777777" w:rsidR="00DC3920" w:rsidRPr="00275093" w:rsidRDefault="00DC3920" w:rsidP="001C3198">
      <w:pPr>
        <w:rPr>
          <w:sz w:val="22"/>
          <w:szCs w:val="22"/>
        </w:rPr>
      </w:pPr>
    </w:p>
    <w:p w14:paraId="053DDE71" w14:textId="77777777" w:rsidR="001C3198" w:rsidRPr="00275093" w:rsidRDefault="001C3198" w:rsidP="001C3198">
      <w:pPr>
        <w:rPr>
          <w:sz w:val="22"/>
          <w:szCs w:val="22"/>
        </w:rPr>
      </w:pPr>
      <w:r w:rsidRPr="00275093">
        <w:rPr>
          <w:sz w:val="22"/>
          <w:szCs w:val="22"/>
        </w:rPr>
        <w:t>Vysadenie lieku má sa uvážiť, ak sa objaví akýkoľvek dôkaz o významnom útlme kostnej drene.</w:t>
      </w:r>
    </w:p>
    <w:p w14:paraId="318B41A2" w14:textId="77777777" w:rsidR="001C3198" w:rsidRPr="00275093" w:rsidRDefault="001C3198" w:rsidP="001C3198">
      <w:pPr>
        <w:rPr>
          <w:sz w:val="22"/>
          <w:szCs w:val="22"/>
        </w:rPr>
      </w:pPr>
    </w:p>
    <w:p w14:paraId="4661C09D" w14:textId="77777777" w:rsidR="001C3198" w:rsidRPr="00275093" w:rsidRDefault="001C3198" w:rsidP="001C3198">
      <w:pPr>
        <w:rPr>
          <w:sz w:val="22"/>
          <w:szCs w:val="22"/>
          <w:u w:val="single"/>
        </w:rPr>
      </w:pPr>
      <w:r w:rsidRPr="00275093">
        <w:rPr>
          <w:sz w:val="22"/>
          <w:szCs w:val="22"/>
          <w:u w:val="single"/>
        </w:rPr>
        <w:t>Suicidálne správanie</w:t>
      </w:r>
    </w:p>
    <w:p w14:paraId="2F271BEE" w14:textId="447FB74E" w:rsidR="001C3198" w:rsidRPr="00275093" w:rsidRDefault="001C3198" w:rsidP="001C3198">
      <w:pPr>
        <w:rPr>
          <w:sz w:val="22"/>
          <w:szCs w:val="22"/>
        </w:rPr>
      </w:pPr>
      <w:r w:rsidRPr="00275093">
        <w:rPr>
          <w:sz w:val="22"/>
          <w:szCs w:val="22"/>
        </w:rPr>
        <w:t xml:space="preserve">Pri liečbe antiepileptikami v niekoľkých indikáciách boli u pacientov hlásené suicidálne myšlienky a správanie. Metaanalýza randomizovaných, placebom kontrolovaných štúdií s antiepileptikami </w:t>
      </w:r>
      <w:r w:rsidR="00F12721" w:rsidRPr="00275093">
        <w:rPr>
          <w:sz w:val="22"/>
          <w:szCs w:val="22"/>
        </w:rPr>
        <w:t xml:space="preserve">tiež </w:t>
      </w:r>
      <w:r w:rsidRPr="00275093">
        <w:rPr>
          <w:sz w:val="22"/>
          <w:szCs w:val="22"/>
        </w:rPr>
        <w:t xml:space="preserve">ukázala malé zvýšenie rizika suicidálnych myšlienok a správania. Mechanizmus tohto rizika nie je známy a dostupné údaje nevylučujú možnosť zvýšeného rizika pri oxkarbazepíne. </w:t>
      </w:r>
      <w:r w:rsidR="00F12721" w:rsidRPr="00275093">
        <w:rPr>
          <w:sz w:val="22"/>
          <w:szCs w:val="22"/>
        </w:rPr>
        <w:t>U p</w:t>
      </w:r>
      <w:r w:rsidRPr="00275093">
        <w:rPr>
          <w:sz w:val="22"/>
          <w:szCs w:val="22"/>
        </w:rPr>
        <w:t>acientov je preto potrebné sledovať príznaky a </w:t>
      </w:r>
      <w:r w:rsidR="00C46CB6" w:rsidRPr="00275093">
        <w:rPr>
          <w:sz w:val="22"/>
          <w:szCs w:val="22"/>
        </w:rPr>
        <w:t>prejavy</w:t>
      </w:r>
      <w:r w:rsidRPr="00275093">
        <w:rPr>
          <w:sz w:val="22"/>
          <w:szCs w:val="22"/>
        </w:rPr>
        <w:t xml:space="preserve"> suicidálnych myšlienok a správania a je potrebné zvážiť vhodnú liečbu. Pacientom (a opatrovateľom pacientov) je potrebné odporučiť, aby vyhľadali lekársku pomoc, ak sa objavia príznaky suicidálnych myšlienok alebo správania.</w:t>
      </w:r>
    </w:p>
    <w:p w14:paraId="0A674B96" w14:textId="77777777" w:rsidR="001C3198" w:rsidRPr="00275093" w:rsidRDefault="001C3198" w:rsidP="001C3198">
      <w:pPr>
        <w:rPr>
          <w:sz w:val="22"/>
          <w:szCs w:val="22"/>
        </w:rPr>
      </w:pPr>
    </w:p>
    <w:p w14:paraId="37CB6FF7" w14:textId="77777777" w:rsidR="001C3198" w:rsidRPr="00275093" w:rsidRDefault="001C3198" w:rsidP="001C3198">
      <w:pPr>
        <w:pStyle w:val="Nadpis3"/>
        <w:rPr>
          <w:bCs/>
          <w:i w:val="0"/>
          <w:szCs w:val="22"/>
          <w:u w:val="single"/>
        </w:rPr>
      </w:pPr>
      <w:r w:rsidRPr="00275093">
        <w:rPr>
          <w:bCs/>
          <w:i w:val="0"/>
          <w:szCs w:val="22"/>
          <w:u w:val="single"/>
        </w:rPr>
        <w:t>Hormonálne antikoncepčné prostriedky</w:t>
      </w:r>
    </w:p>
    <w:p w14:paraId="12933298" w14:textId="72A7F630" w:rsidR="001C3198" w:rsidRPr="00275093" w:rsidRDefault="001C3198" w:rsidP="001C3198">
      <w:pPr>
        <w:rPr>
          <w:sz w:val="22"/>
          <w:szCs w:val="22"/>
        </w:rPr>
      </w:pPr>
      <w:r w:rsidRPr="00275093">
        <w:rPr>
          <w:sz w:val="22"/>
          <w:szCs w:val="22"/>
        </w:rPr>
        <w:t xml:space="preserve">Pacientky v plodnom veku majú byť varované, že súčasné užívanie Trileptalu a hormonálnych antikoncepčných prostriedkov môže spôsobiť neúčinnosť </w:t>
      </w:r>
      <w:r w:rsidR="00F12721" w:rsidRPr="00275093">
        <w:rPr>
          <w:sz w:val="22"/>
          <w:szCs w:val="22"/>
        </w:rPr>
        <w:t xml:space="preserve">tohto typu </w:t>
      </w:r>
      <w:r w:rsidRPr="00275093">
        <w:rPr>
          <w:sz w:val="22"/>
          <w:szCs w:val="22"/>
        </w:rPr>
        <w:t>antikoncepčných prostriedkov (pozri časť 4.5). Počas užívania Trileptalu sa odporúča používať aj ďalšie, nie hormonálne formy antikoncepcie.</w:t>
      </w:r>
    </w:p>
    <w:p w14:paraId="3408BF38" w14:textId="77777777" w:rsidR="001C3198" w:rsidRPr="00275093" w:rsidRDefault="001C3198" w:rsidP="001C3198">
      <w:pPr>
        <w:rPr>
          <w:sz w:val="22"/>
          <w:szCs w:val="22"/>
        </w:rPr>
      </w:pPr>
    </w:p>
    <w:p w14:paraId="4E9CA48E" w14:textId="77777777" w:rsidR="001C3198" w:rsidRPr="00275093" w:rsidRDefault="001C3198" w:rsidP="001C3198">
      <w:pPr>
        <w:rPr>
          <w:bCs/>
          <w:sz w:val="22"/>
          <w:szCs w:val="22"/>
          <w:u w:val="single"/>
        </w:rPr>
      </w:pPr>
      <w:r w:rsidRPr="00275093">
        <w:rPr>
          <w:bCs/>
          <w:sz w:val="22"/>
          <w:szCs w:val="22"/>
          <w:u w:val="single"/>
        </w:rPr>
        <w:t>Alkohol</w:t>
      </w:r>
    </w:p>
    <w:p w14:paraId="6A61B3ED" w14:textId="7E231C38" w:rsidR="001C3198" w:rsidRPr="00275093" w:rsidRDefault="001C3198" w:rsidP="001C3198">
      <w:pPr>
        <w:rPr>
          <w:sz w:val="22"/>
          <w:szCs w:val="22"/>
        </w:rPr>
      </w:pPr>
      <w:r w:rsidRPr="00275093">
        <w:rPr>
          <w:sz w:val="22"/>
          <w:szCs w:val="22"/>
        </w:rPr>
        <w:t xml:space="preserve">Vzhľadom na prípadný aditívny tlmivý účinok je potrebná opatrnosť pri požívaní alkoholu </w:t>
      </w:r>
      <w:r w:rsidR="006A0094" w:rsidRPr="00275093">
        <w:rPr>
          <w:sz w:val="22"/>
          <w:szCs w:val="22"/>
        </w:rPr>
        <w:t>počas liečby</w:t>
      </w:r>
      <w:r w:rsidRPr="00275093">
        <w:rPr>
          <w:sz w:val="22"/>
          <w:szCs w:val="22"/>
        </w:rPr>
        <w:t xml:space="preserve"> Trileptalom.</w:t>
      </w:r>
    </w:p>
    <w:p w14:paraId="41406ADB" w14:textId="77777777" w:rsidR="001C3198" w:rsidRPr="00275093" w:rsidRDefault="001C3198" w:rsidP="001C3198">
      <w:pPr>
        <w:rPr>
          <w:sz w:val="22"/>
          <w:szCs w:val="22"/>
        </w:rPr>
      </w:pPr>
    </w:p>
    <w:p w14:paraId="5F5032A4" w14:textId="77777777" w:rsidR="001C3198" w:rsidRPr="00275093" w:rsidRDefault="001C3198" w:rsidP="001C3198">
      <w:pPr>
        <w:rPr>
          <w:bCs/>
          <w:sz w:val="22"/>
          <w:szCs w:val="22"/>
          <w:u w:val="single"/>
        </w:rPr>
      </w:pPr>
      <w:r w:rsidRPr="00275093">
        <w:rPr>
          <w:bCs/>
          <w:sz w:val="22"/>
          <w:szCs w:val="22"/>
          <w:u w:val="single"/>
        </w:rPr>
        <w:t>Ukončenie liečby</w:t>
      </w:r>
    </w:p>
    <w:p w14:paraId="22B3AAAD" w14:textId="77777777" w:rsidR="001C3198" w:rsidRPr="00275093" w:rsidRDefault="001C3198" w:rsidP="001C3198">
      <w:pPr>
        <w:rPr>
          <w:sz w:val="22"/>
          <w:szCs w:val="22"/>
        </w:rPr>
      </w:pPr>
      <w:r w:rsidRPr="00275093">
        <w:rPr>
          <w:sz w:val="22"/>
          <w:szCs w:val="22"/>
        </w:rPr>
        <w:t xml:space="preserve">Tak ako pri iných antiepileptikách je potrebné vysadiť Trileptal postupne, aby sa minimalizovala možnosť zvýšenia frekvencie </w:t>
      </w:r>
      <w:r w:rsidR="00C21D02" w:rsidRPr="00275093">
        <w:rPr>
          <w:sz w:val="22"/>
          <w:szCs w:val="22"/>
        </w:rPr>
        <w:t xml:space="preserve">epileptických </w:t>
      </w:r>
      <w:r w:rsidRPr="00275093">
        <w:rPr>
          <w:sz w:val="22"/>
          <w:szCs w:val="22"/>
        </w:rPr>
        <w:t>záchvatov.</w:t>
      </w:r>
    </w:p>
    <w:p w14:paraId="61A7744E" w14:textId="77777777" w:rsidR="001C3198" w:rsidRPr="00275093" w:rsidRDefault="001C3198" w:rsidP="001C3198">
      <w:pPr>
        <w:rPr>
          <w:sz w:val="22"/>
          <w:szCs w:val="22"/>
        </w:rPr>
      </w:pPr>
    </w:p>
    <w:p w14:paraId="7025BCC9" w14:textId="77777777" w:rsidR="00C91265" w:rsidRPr="00275093" w:rsidRDefault="00C91265" w:rsidP="00C91265">
      <w:pPr>
        <w:pStyle w:val="Reference"/>
        <w:spacing w:before="0" w:after="0"/>
        <w:rPr>
          <w:sz w:val="22"/>
          <w:szCs w:val="22"/>
          <w:u w:val="single"/>
          <w:lang w:val="sk-SK"/>
        </w:rPr>
      </w:pPr>
      <w:r w:rsidRPr="00275093">
        <w:rPr>
          <w:sz w:val="22"/>
          <w:szCs w:val="22"/>
          <w:u w:val="single"/>
          <w:lang w:val="sk-SK"/>
        </w:rPr>
        <w:t>Monitorovanie plazmatických koncentrácií</w:t>
      </w:r>
    </w:p>
    <w:p w14:paraId="72C84CCC" w14:textId="77777777" w:rsidR="00813EEE" w:rsidRPr="00275093" w:rsidRDefault="00813EEE" w:rsidP="00C91265">
      <w:pPr>
        <w:pStyle w:val="Text"/>
        <w:spacing w:before="0"/>
        <w:jc w:val="left"/>
        <w:rPr>
          <w:sz w:val="22"/>
          <w:szCs w:val="22"/>
          <w:lang w:val="sk-SK"/>
        </w:rPr>
      </w:pPr>
      <w:r w:rsidRPr="00275093">
        <w:rPr>
          <w:sz w:val="22"/>
          <w:szCs w:val="22"/>
          <w:lang w:val="sk-SK"/>
        </w:rPr>
        <w:t>Hoci korelácie medzi dávkovaním a koncentráciami oxkarbazepínu v plazme a medzi koncentráciami v plazme a klinickou účinnosťou alebo znášanlivosťou sú dosť</w:t>
      </w:r>
      <w:r w:rsidR="00BC20FB" w:rsidRPr="00275093">
        <w:rPr>
          <w:sz w:val="22"/>
          <w:szCs w:val="22"/>
          <w:lang w:val="sk-SK"/>
        </w:rPr>
        <w:t xml:space="preserve"> slabé, monitorovanie koncentrácií v plazme môže byť užitočné v nasledujúcich situáciách, aby sa vylúčilo nedodržiavanie </w:t>
      </w:r>
      <w:r w:rsidR="0069249F" w:rsidRPr="00275093">
        <w:rPr>
          <w:sz w:val="22"/>
          <w:szCs w:val="22"/>
          <w:lang w:val="sk-SK"/>
        </w:rPr>
        <w:t xml:space="preserve">režimu </w:t>
      </w:r>
      <w:r w:rsidR="00BC20FB" w:rsidRPr="00275093">
        <w:rPr>
          <w:sz w:val="22"/>
          <w:szCs w:val="22"/>
          <w:lang w:val="sk-SK"/>
        </w:rPr>
        <w:t>liečby, alebo v situáciách, keď sa očakáva zmena klírensu MHD, vrátane:</w:t>
      </w:r>
    </w:p>
    <w:p w14:paraId="09372FF7" w14:textId="77777777" w:rsidR="00C91265" w:rsidRPr="00275093" w:rsidRDefault="00BC20FB" w:rsidP="00C91265">
      <w:pPr>
        <w:pStyle w:val="Text"/>
        <w:keepLines/>
        <w:numPr>
          <w:ilvl w:val="0"/>
          <w:numId w:val="3"/>
        </w:numPr>
        <w:spacing w:before="0"/>
        <w:rPr>
          <w:sz w:val="22"/>
          <w:szCs w:val="22"/>
          <w:lang w:val="sk-SK"/>
        </w:rPr>
      </w:pPr>
      <w:r w:rsidRPr="00275093">
        <w:rPr>
          <w:sz w:val="22"/>
          <w:szCs w:val="22"/>
          <w:lang w:val="sk-SK"/>
        </w:rPr>
        <w:t xml:space="preserve">zmenenej funkcie obličiek </w:t>
      </w:r>
      <w:r w:rsidR="00C91265" w:rsidRPr="00275093">
        <w:rPr>
          <w:sz w:val="22"/>
          <w:szCs w:val="22"/>
          <w:lang w:val="sk-SK"/>
        </w:rPr>
        <w:t>(</w:t>
      </w:r>
      <w:r w:rsidRPr="00275093">
        <w:rPr>
          <w:sz w:val="22"/>
          <w:szCs w:val="22"/>
          <w:lang w:val="sk-SK"/>
        </w:rPr>
        <w:t xml:space="preserve">pozri poruchu funkcie obličiek v časti </w:t>
      </w:r>
      <w:r w:rsidR="00C91265" w:rsidRPr="00275093">
        <w:rPr>
          <w:sz w:val="22"/>
          <w:szCs w:val="22"/>
          <w:lang w:val="sk-SK"/>
        </w:rPr>
        <w:t xml:space="preserve">4.2). </w:t>
      </w:r>
    </w:p>
    <w:p w14:paraId="2537C1F7" w14:textId="23FE94AB" w:rsidR="00C91265" w:rsidRPr="00275093" w:rsidRDefault="00BC20FB" w:rsidP="00C91265">
      <w:pPr>
        <w:pStyle w:val="Text"/>
        <w:keepLines/>
        <w:numPr>
          <w:ilvl w:val="0"/>
          <w:numId w:val="3"/>
        </w:numPr>
        <w:spacing w:before="0"/>
        <w:rPr>
          <w:sz w:val="22"/>
          <w:szCs w:val="22"/>
          <w:lang w:val="en-GB"/>
        </w:rPr>
      </w:pPr>
      <w:r w:rsidRPr="00275093">
        <w:rPr>
          <w:sz w:val="22"/>
          <w:szCs w:val="22"/>
          <w:lang w:val="en-GB"/>
        </w:rPr>
        <w:t>gravidity</w:t>
      </w:r>
      <w:r w:rsidR="00C91265" w:rsidRPr="00275093">
        <w:rPr>
          <w:sz w:val="22"/>
          <w:szCs w:val="22"/>
          <w:lang w:val="en-GB"/>
        </w:rPr>
        <w:t xml:space="preserve"> (</w:t>
      </w:r>
      <w:r w:rsidRPr="00275093">
        <w:rPr>
          <w:sz w:val="22"/>
          <w:szCs w:val="22"/>
          <w:lang w:val="en-GB"/>
        </w:rPr>
        <w:t>pozri čas</w:t>
      </w:r>
      <w:r w:rsidR="00820485" w:rsidRPr="00275093">
        <w:rPr>
          <w:sz w:val="22"/>
          <w:szCs w:val="22"/>
          <w:lang w:val="sk-SK"/>
        </w:rPr>
        <w:t>ť</w:t>
      </w:r>
      <w:r w:rsidRPr="00275093">
        <w:rPr>
          <w:sz w:val="22"/>
          <w:szCs w:val="22"/>
          <w:lang w:val="en-GB"/>
        </w:rPr>
        <w:t xml:space="preserve"> </w:t>
      </w:r>
      <w:r w:rsidR="00C91265" w:rsidRPr="00275093">
        <w:rPr>
          <w:sz w:val="22"/>
          <w:szCs w:val="22"/>
          <w:lang w:val="en-GB"/>
        </w:rPr>
        <w:t>4.6 a 5).</w:t>
      </w:r>
    </w:p>
    <w:p w14:paraId="6718F326" w14:textId="77777777" w:rsidR="00C91265" w:rsidRPr="00275093" w:rsidRDefault="00BC20FB" w:rsidP="00C91265">
      <w:pPr>
        <w:pStyle w:val="Text"/>
        <w:keepLines/>
        <w:numPr>
          <w:ilvl w:val="0"/>
          <w:numId w:val="3"/>
        </w:numPr>
        <w:spacing w:before="0"/>
        <w:rPr>
          <w:sz w:val="22"/>
          <w:szCs w:val="22"/>
          <w:lang w:val="en-GB"/>
        </w:rPr>
      </w:pPr>
      <w:r w:rsidRPr="00275093">
        <w:rPr>
          <w:sz w:val="22"/>
          <w:szCs w:val="22"/>
          <w:lang w:val="en-GB"/>
        </w:rPr>
        <w:t>súbežného používania liekov indukujúcich pečeňové enzýmy</w:t>
      </w:r>
      <w:r w:rsidR="00C91265" w:rsidRPr="00275093">
        <w:rPr>
          <w:sz w:val="22"/>
          <w:szCs w:val="22"/>
          <w:lang w:val="en-GB"/>
        </w:rPr>
        <w:t xml:space="preserve"> (</w:t>
      </w:r>
      <w:r w:rsidRPr="00275093">
        <w:rPr>
          <w:sz w:val="22"/>
          <w:szCs w:val="22"/>
          <w:lang w:val="en-GB"/>
        </w:rPr>
        <w:t xml:space="preserve">pozri časť </w:t>
      </w:r>
      <w:r w:rsidR="00C91265" w:rsidRPr="00275093">
        <w:rPr>
          <w:sz w:val="22"/>
          <w:szCs w:val="22"/>
          <w:lang w:val="en-GB"/>
        </w:rPr>
        <w:t>4.5).</w:t>
      </w:r>
    </w:p>
    <w:p w14:paraId="4334F184" w14:textId="77777777" w:rsidR="00C91265" w:rsidRPr="00275093" w:rsidRDefault="00C91265" w:rsidP="001C3198">
      <w:pPr>
        <w:rPr>
          <w:sz w:val="22"/>
          <w:szCs w:val="22"/>
        </w:rPr>
      </w:pPr>
    </w:p>
    <w:p w14:paraId="61222054" w14:textId="77777777" w:rsidR="001C3198" w:rsidRPr="00275093" w:rsidRDefault="001C3198" w:rsidP="001C3198">
      <w:pPr>
        <w:rPr>
          <w:sz w:val="22"/>
          <w:szCs w:val="22"/>
        </w:rPr>
      </w:pPr>
      <w:r w:rsidRPr="00275093">
        <w:rPr>
          <w:b/>
          <w:sz w:val="22"/>
          <w:szCs w:val="22"/>
        </w:rPr>
        <w:t>4.5</w:t>
      </w:r>
      <w:r w:rsidRPr="00275093">
        <w:rPr>
          <w:b/>
          <w:sz w:val="22"/>
          <w:szCs w:val="22"/>
        </w:rPr>
        <w:tab/>
        <w:t>Liekové a iné interakcie</w:t>
      </w:r>
    </w:p>
    <w:p w14:paraId="753F2C60" w14:textId="77777777" w:rsidR="001C3198" w:rsidRPr="00275093" w:rsidRDefault="001C3198" w:rsidP="001C3198">
      <w:pPr>
        <w:pStyle w:val="Nadpis2"/>
        <w:rPr>
          <w:b w:val="0"/>
          <w:i w:val="0"/>
          <w:szCs w:val="22"/>
        </w:rPr>
      </w:pPr>
    </w:p>
    <w:p w14:paraId="1396545E" w14:textId="77777777" w:rsidR="001C3198" w:rsidRPr="00275093" w:rsidRDefault="001C3198" w:rsidP="001C3198">
      <w:pPr>
        <w:pStyle w:val="Nadpis2"/>
        <w:rPr>
          <w:b w:val="0"/>
          <w:bCs/>
          <w:i w:val="0"/>
          <w:szCs w:val="22"/>
          <w:u w:val="single"/>
        </w:rPr>
      </w:pPr>
      <w:r w:rsidRPr="00275093">
        <w:rPr>
          <w:b w:val="0"/>
          <w:bCs/>
          <w:i w:val="0"/>
          <w:szCs w:val="22"/>
          <w:u w:val="single"/>
        </w:rPr>
        <w:t>Indukcia enzýmov</w:t>
      </w:r>
    </w:p>
    <w:p w14:paraId="092F466F" w14:textId="789A3591" w:rsidR="001C3198" w:rsidRPr="00275093" w:rsidRDefault="001C3198" w:rsidP="001C3198">
      <w:pPr>
        <w:rPr>
          <w:sz w:val="22"/>
          <w:szCs w:val="22"/>
        </w:rPr>
      </w:pPr>
      <w:r w:rsidRPr="00275093">
        <w:rPr>
          <w:sz w:val="22"/>
          <w:szCs w:val="22"/>
        </w:rPr>
        <w:t xml:space="preserve">Oxkarbazepín a jeho farmakologicky aktívny metabolit (monohydroxyderivát, MHD) sú </w:t>
      </w:r>
      <w:r w:rsidRPr="00275093">
        <w:rPr>
          <w:i/>
          <w:sz w:val="22"/>
          <w:szCs w:val="22"/>
        </w:rPr>
        <w:t>in vitro</w:t>
      </w:r>
      <w:r w:rsidRPr="00275093">
        <w:rPr>
          <w:sz w:val="22"/>
          <w:szCs w:val="22"/>
        </w:rPr>
        <w:t xml:space="preserve"> a </w:t>
      </w:r>
      <w:r w:rsidRPr="00275093">
        <w:rPr>
          <w:i/>
          <w:sz w:val="22"/>
          <w:szCs w:val="22"/>
        </w:rPr>
        <w:t>in vivo</w:t>
      </w:r>
      <w:r w:rsidRPr="00275093">
        <w:rPr>
          <w:sz w:val="22"/>
          <w:szCs w:val="22"/>
        </w:rPr>
        <w:t xml:space="preserve"> slabé induktory enzýmov CYP3A4 a CYP3A5 cytochrómu P450, ktoré zodpovedajú za metabolizmus veľ</w:t>
      </w:r>
      <w:r w:rsidR="00E52D3D" w:rsidRPr="00275093">
        <w:rPr>
          <w:sz w:val="22"/>
          <w:szCs w:val="22"/>
        </w:rPr>
        <w:t>kého počtu</w:t>
      </w:r>
      <w:r w:rsidRPr="00275093">
        <w:rPr>
          <w:sz w:val="22"/>
          <w:szCs w:val="22"/>
        </w:rPr>
        <w:t xml:space="preserve"> liečiv, ako sú imunosupresíva (napr. cyklosporín, takrolimus), perorálne antikoncepčné prostriedky (pozri nižšie) a niektoré iné antiepileptiká (napr. karbamazepín), čo má za následok zníženie plazmatických koncentrácií týchto liečiv (pozri tabuľku nižšie, ktorá zhŕňa výsledky s inými antiepileptikami).</w:t>
      </w:r>
    </w:p>
    <w:p w14:paraId="75ADD136" w14:textId="77777777" w:rsidR="001C3198" w:rsidRPr="00275093" w:rsidRDefault="001C3198" w:rsidP="001C3198">
      <w:pPr>
        <w:rPr>
          <w:sz w:val="22"/>
          <w:szCs w:val="22"/>
        </w:rPr>
      </w:pPr>
    </w:p>
    <w:p w14:paraId="283FE9FF" w14:textId="77777777" w:rsidR="001C3198" w:rsidRPr="00275093" w:rsidRDefault="001C3198" w:rsidP="001C3198">
      <w:pPr>
        <w:rPr>
          <w:sz w:val="22"/>
          <w:szCs w:val="22"/>
        </w:rPr>
      </w:pPr>
      <w:r w:rsidRPr="00275093">
        <w:rPr>
          <w:sz w:val="22"/>
          <w:szCs w:val="22"/>
        </w:rPr>
        <w:t xml:space="preserve">Oxkarbazepín a MHD sú </w:t>
      </w:r>
      <w:r w:rsidRPr="00275093">
        <w:rPr>
          <w:i/>
          <w:sz w:val="22"/>
          <w:szCs w:val="22"/>
        </w:rPr>
        <w:t>in vitro</w:t>
      </w:r>
      <w:r w:rsidRPr="00275093">
        <w:rPr>
          <w:sz w:val="22"/>
          <w:szCs w:val="22"/>
        </w:rPr>
        <w:t xml:space="preserve"> slabými induktormi UDP-glukuronyltransferáz (účinky na konkrétne enzýmy tejto skupiny nie sú známe). Preto oxkarbazepín a MHD môžu mať </w:t>
      </w:r>
      <w:r w:rsidRPr="00275093">
        <w:rPr>
          <w:i/>
          <w:sz w:val="22"/>
          <w:szCs w:val="22"/>
        </w:rPr>
        <w:t>in vivo</w:t>
      </w:r>
      <w:r w:rsidRPr="00275093">
        <w:rPr>
          <w:sz w:val="22"/>
          <w:szCs w:val="22"/>
        </w:rPr>
        <w:t xml:space="preserve"> malý indukujúci účinok na metabolizmus liečiv, ktoré sa eliminujú hlavne konjugáciou sprostredkovanou UDP-glukuronyltransferázami. Keď sa začína liečba Trileptalom alebo sa mení jeho dávka, môže trvať 2 až 3 týždne, kým sa dosiahne nová hladina indukcie.</w:t>
      </w:r>
    </w:p>
    <w:p w14:paraId="3700AC56" w14:textId="77777777" w:rsidR="001C3198" w:rsidRPr="00275093" w:rsidRDefault="001C3198" w:rsidP="001C3198">
      <w:pPr>
        <w:rPr>
          <w:sz w:val="22"/>
          <w:szCs w:val="22"/>
        </w:rPr>
      </w:pPr>
    </w:p>
    <w:p w14:paraId="2FE02AC5" w14:textId="77777777" w:rsidR="001C3198" w:rsidRPr="00275093" w:rsidRDefault="001C3198" w:rsidP="001C3198">
      <w:pPr>
        <w:rPr>
          <w:sz w:val="22"/>
          <w:szCs w:val="22"/>
        </w:rPr>
      </w:pPr>
      <w:r w:rsidRPr="00275093">
        <w:rPr>
          <w:sz w:val="22"/>
          <w:szCs w:val="22"/>
        </w:rPr>
        <w:t xml:space="preserve">V prípade ukončenia liečby Trileptalom môže byť potrebné znížiť dávku súčasne podávaných liekov, o čom sa má rozhodnúť na základe klinického sledovania a/alebo monitorovania </w:t>
      </w:r>
      <w:r w:rsidR="002E1B3D" w:rsidRPr="00275093">
        <w:rPr>
          <w:sz w:val="22"/>
          <w:szCs w:val="22"/>
        </w:rPr>
        <w:t>koncentrácií</w:t>
      </w:r>
      <w:r w:rsidRPr="00275093">
        <w:rPr>
          <w:sz w:val="22"/>
          <w:szCs w:val="22"/>
        </w:rPr>
        <w:t xml:space="preserve"> v plazme. Indukcia sa pravdepodobne zníži počas 2 až 3 týždňov po ukončení liečby.</w:t>
      </w:r>
    </w:p>
    <w:p w14:paraId="45D5A501" w14:textId="77777777" w:rsidR="001C3198" w:rsidRPr="00275093" w:rsidRDefault="001C3198" w:rsidP="001C3198">
      <w:pPr>
        <w:rPr>
          <w:sz w:val="22"/>
          <w:szCs w:val="22"/>
        </w:rPr>
      </w:pPr>
    </w:p>
    <w:p w14:paraId="3027DE3F" w14:textId="77777777" w:rsidR="001C3198" w:rsidRPr="00275093" w:rsidRDefault="001C3198" w:rsidP="001C3198">
      <w:pPr>
        <w:pStyle w:val="Nadpis3"/>
        <w:rPr>
          <w:i w:val="0"/>
          <w:szCs w:val="22"/>
        </w:rPr>
      </w:pPr>
      <w:bookmarkStart w:id="2" w:name="OLE_LINK1"/>
      <w:r w:rsidRPr="00275093">
        <w:rPr>
          <w:i w:val="0"/>
          <w:szCs w:val="22"/>
        </w:rPr>
        <w:t xml:space="preserve">Hormonálne antikoncepčné prostriedky: </w:t>
      </w:r>
      <w:bookmarkEnd w:id="2"/>
      <w:r w:rsidRPr="00275093">
        <w:rPr>
          <w:i w:val="0"/>
          <w:szCs w:val="22"/>
        </w:rPr>
        <w:t>Zistilo sa, že Trileptal má vplyv na dve zložky perorálnych antikoncepčných prostriedkov, a to na etinylestradiol (EE) a levonorgestrel (LNG). Priemerné hodnoty AUC sa pri EE znížili o 48 – 52</w:t>
      </w:r>
      <w:r w:rsidR="00C21D02" w:rsidRPr="00275093">
        <w:rPr>
          <w:i w:val="0"/>
          <w:szCs w:val="22"/>
        </w:rPr>
        <w:t> %</w:t>
      </w:r>
      <w:r w:rsidRPr="00275093">
        <w:rPr>
          <w:i w:val="0"/>
          <w:szCs w:val="22"/>
        </w:rPr>
        <w:t xml:space="preserve"> a pri LNG o 32 – 52</w:t>
      </w:r>
      <w:r w:rsidR="00C21D02" w:rsidRPr="00275093">
        <w:rPr>
          <w:i w:val="0"/>
          <w:szCs w:val="22"/>
        </w:rPr>
        <w:t> %</w:t>
      </w:r>
      <w:r w:rsidRPr="00275093">
        <w:rPr>
          <w:i w:val="0"/>
          <w:szCs w:val="22"/>
        </w:rPr>
        <w:t>. Preto súčasné použitie Trileptalu s hormonálnymi antikoncepčnými prostriedkami môže spôsobiť stratu účinnosti týchto antikoncepčných prostriedkov (pozri časť 4.4). Má sa použiť iná spoľahlivá metóda antikoncepcie.</w:t>
      </w:r>
    </w:p>
    <w:p w14:paraId="0485EA49" w14:textId="77777777" w:rsidR="001C3198" w:rsidRPr="00275093" w:rsidRDefault="001C3198" w:rsidP="001C3198">
      <w:pPr>
        <w:pStyle w:val="Nadpis2"/>
        <w:rPr>
          <w:b w:val="0"/>
          <w:i w:val="0"/>
          <w:szCs w:val="22"/>
        </w:rPr>
      </w:pPr>
    </w:p>
    <w:p w14:paraId="2079AC5E" w14:textId="77777777" w:rsidR="001C3198" w:rsidRPr="00275093" w:rsidRDefault="001C3198" w:rsidP="001C3198">
      <w:pPr>
        <w:pStyle w:val="Nadpis2"/>
        <w:rPr>
          <w:b w:val="0"/>
          <w:bCs/>
          <w:i w:val="0"/>
          <w:szCs w:val="22"/>
          <w:u w:val="single"/>
        </w:rPr>
      </w:pPr>
      <w:r w:rsidRPr="00275093">
        <w:rPr>
          <w:b w:val="0"/>
          <w:bCs/>
          <w:i w:val="0"/>
          <w:szCs w:val="22"/>
          <w:u w:val="single"/>
        </w:rPr>
        <w:t>Inhibícia enzýmov</w:t>
      </w:r>
    </w:p>
    <w:p w14:paraId="76D64E50" w14:textId="77777777" w:rsidR="001C3198" w:rsidRPr="00275093" w:rsidRDefault="001C3198" w:rsidP="001C3198">
      <w:pPr>
        <w:rPr>
          <w:sz w:val="22"/>
          <w:szCs w:val="22"/>
        </w:rPr>
      </w:pPr>
      <w:r w:rsidRPr="00275093">
        <w:rPr>
          <w:sz w:val="22"/>
          <w:szCs w:val="22"/>
        </w:rPr>
        <w:t xml:space="preserve">Oxkarbazepín a MHD inhibujú CYP2C19. Preto môžu vzniknúť interakcie pri súčasnom podávaní vysokých dávok Trileptalu s liečivami, ktoré metabolizuje najmä CYP2C19 (napr. fenytoín). </w:t>
      </w:r>
      <w:r w:rsidR="002E1B3D" w:rsidRPr="00275093">
        <w:rPr>
          <w:sz w:val="22"/>
          <w:szCs w:val="22"/>
        </w:rPr>
        <w:t>Koncentrácie</w:t>
      </w:r>
      <w:r w:rsidRPr="00275093">
        <w:rPr>
          <w:sz w:val="22"/>
          <w:szCs w:val="22"/>
        </w:rPr>
        <w:t xml:space="preserve"> fenytoínu v plazme sa zvýšili až o 40</w:t>
      </w:r>
      <w:r w:rsidR="00C21D02" w:rsidRPr="00275093">
        <w:rPr>
          <w:sz w:val="22"/>
          <w:szCs w:val="22"/>
        </w:rPr>
        <w:t> %</w:t>
      </w:r>
      <w:r w:rsidRPr="00275093">
        <w:rPr>
          <w:sz w:val="22"/>
          <w:szCs w:val="22"/>
        </w:rPr>
        <w:t>, keď sa Trileptal podával v dávkach vyšších ako 1 200 mg/deň (pozri tabuľku nižšie, ktorá zhŕňa výsledky s inými antiepileptikami). V takomto prípade môže byť potrebné znížiť dávku súčasne podávaného fenytoínu (pozri časť 4.2).</w:t>
      </w:r>
    </w:p>
    <w:p w14:paraId="16874DCC" w14:textId="77777777" w:rsidR="001C3198" w:rsidRPr="00275093" w:rsidRDefault="001C3198" w:rsidP="001C3198">
      <w:pPr>
        <w:rPr>
          <w:sz w:val="22"/>
          <w:szCs w:val="22"/>
        </w:rPr>
      </w:pPr>
    </w:p>
    <w:p w14:paraId="5FC052F7" w14:textId="77777777" w:rsidR="001C3198" w:rsidRPr="00275093" w:rsidRDefault="001C3198" w:rsidP="001C3198">
      <w:pPr>
        <w:pStyle w:val="Nadpis3"/>
        <w:rPr>
          <w:i w:val="0"/>
          <w:szCs w:val="22"/>
          <w:u w:val="single"/>
        </w:rPr>
      </w:pPr>
      <w:r w:rsidRPr="00275093">
        <w:rPr>
          <w:i w:val="0"/>
          <w:szCs w:val="22"/>
          <w:u w:val="single"/>
        </w:rPr>
        <w:t>Antiepileptiká</w:t>
      </w:r>
      <w:r w:rsidR="00B13026" w:rsidRPr="00275093">
        <w:rPr>
          <w:i w:val="0"/>
          <w:szCs w:val="22"/>
          <w:u w:val="single"/>
        </w:rPr>
        <w:t xml:space="preserve"> a lieky indukujúce enzýmy</w:t>
      </w:r>
    </w:p>
    <w:p w14:paraId="703BAEFC" w14:textId="77777777" w:rsidR="001C3198" w:rsidRPr="00275093" w:rsidRDefault="001C3198" w:rsidP="001C3198">
      <w:pPr>
        <w:rPr>
          <w:sz w:val="22"/>
          <w:szCs w:val="22"/>
        </w:rPr>
      </w:pPr>
      <w:r w:rsidRPr="00275093">
        <w:rPr>
          <w:sz w:val="22"/>
          <w:szCs w:val="22"/>
        </w:rPr>
        <w:t>Prípadné interakcie medzi Trileptalom a inými antiepileptikami sa zisťovali v klinických skúšaniach. Účinok týchto interakcií na priemerné AUC a C</w:t>
      </w:r>
      <w:r w:rsidRPr="00275093">
        <w:rPr>
          <w:sz w:val="22"/>
          <w:szCs w:val="22"/>
          <w:vertAlign w:val="subscript"/>
        </w:rPr>
        <w:t>min</w:t>
      </w:r>
      <w:r w:rsidRPr="00275093">
        <w:rPr>
          <w:sz w:val="22"/>
          <w:szCs w:val="22"/>
        </w:rPr>
        <w:t xml:space="preserve"> sú zhrnuté v nasledujúcej tabuľke.</w:t>
      </w:r>
    </w:p>
    <w:p w14:paraId="3CB4F0E8" w14:textId="77777777" w:rsidR="001C3198" w:rsidRPr="00275093" w:rsidRDefault="001C3198" w:rsidP="001C3198">
      <w:pPr>
        <w:rPr>
          <w:sz w:val="22"/>
          <w:szCs w:val="22"/>
        </w:rPr>
      </w:pPr>
    </w:p>
    <w:p w14:paraId="048ADBC3" w14:textId="77777777" w:rsidR="001C3198" w:rsidRPr="00275093" w:rsidRDefault="001C3198" w:rsidP="001C3198">
      <w:pPr>
        <w:pStyle w:val="Nadpis2"/>
        <w:rPr>
          <w:b w:val="0"/>
          <w:bCs/>
          <w:i w:val="0"/>
          <w:szCs w:val="22"/>
        </w:rPr>
      </w:pPr>
      <w:r w:rsidRPr="00275093">
        <w:rPr>
          <w:b w:val="0"/>
          <w:bCs/>
          <w:i w:val="0"/>
          <w:szCs w:val="22"/>
        </w:rPr>
        <w:lastRenderedPageBreak/>
        <w:t>Zhrnutie interakcií antiepileptík s Trileptalom</w:t>
      </w:r>
    </w:p>
    <w:tbl>
      <w:tblPr>
        <w:tblW w:w="9294" w:type="dxa"/>
        <w:tblLayout w:type="fixed"/>
        <w:tblLook w:val="0000" w:firstRow="0" w:lastRow="0" w:firstColumn="0" w:lastColumn="0" w:noHBand="0" w:noVBand="0"/>
      </w:tblPr>
      <w:tblGrid>
        <w:gridCol w:w="3098"/>
        <w:gridCol w:w="3098"/>
        <w:gridCol w:w="3098"/>
      </w:tblGrid>
      <w:tr w:rsidR="001C3198" w:rsidRPr="00275093" w14:paraId="204E2C2A" w14:textId="77777777">
        <w:tc>
          <w:tcPr>
            <w:tcW w:w="3098" w:type="dxa"/>
            <w:tcBorders>
              <w:top w:val="single" w:sz="6" w:space="0" w:color="auto"/>
            </w:tcBorders>
          </w:tcPr>
          <w:p w14:paraId="5E1D7565"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Antiepileptikum</w:t>
            </w:r>
          </w:p>
        </w:tc>
        <w:tc>
          <w:tcPr>
            <w:tcW w:w="3098" w:type="dxa"/>
            <w:tcBorders>
              <w:top w:val="single" w:sz="6" w:space="0" w:color="auto"/>
            </w:tcBorders>
          </w:tcPr>
          <w:p w14:paraId="2B2D8E51"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Vplyv Trileptalu na antiepileptikum</w:t>
            </w:r>
          </w:p>
        </w:tc>
        <w:tc>
          <w:tcPr>
            <w:tcW w:w="3098" w:type="dxa"/>
            <w:tcBorders>
              <w:top w:val="single" w:sz="6" w:space="0" w:color="auto"/>
            </w:tcBorders>
          </w:tcPr>
          <w:p w14:paraId="0DB97F1D"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Vplyv antiepileptika na MHD</w:t>
            </w:r>
          </w:p>
        </w:tc>
      </w:tr>
      <w:tr w:rsidR="001C3198" w:rsidRPr="00275093" w14:paraId="2315CCFF" w14:textId="77777777">
        <w:tc>
          <w:tcPr>
            <w:tcW w:w="3098" w:type="dxa"/>
            <w:tcBorders>
              <w:bottom w:val="single" w:sz="4" w:space="0" w:color="auto"/>
            </w:tcBorders>
          </w:tcPr>
          <w:p w14:paraId="72011CAC"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Súčasne podávané</w:t>
            </w:r>
          </w:p>
        </w:tc>
        <w:tc>
          <w:tcPr>
            <w:tcW w:w="3098" w:type="dxa"/>
            <w:tcBorders>
              <w:bottom w:val="single" w:sz="4" w:space="0" w:color="auto"/>
            </w:tcBorders>
          </w:tcPr>
          <w:p w14:paraId="2FB5F563"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Koncentrácia</w:t>
            </w:r>
          </w:p>
        </w:tc>
        <w:tc>
          <w:tcPr>
            <w:tcW w:w="3098" w:type="dxa"/>
            <w:tcBorders>
              <w:bottom w:val="single" w:sz="4" w:space="0" w:color="auto"/>
            </w:tcBorders>
          </w:tcPr>
          <w:p w14:paraId="72939707"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Koncentrácia</w:t>
            </w:r>
          </w:p>
        </w:tc>
      </w:tr>
      <w:tr w:rsidR="001C3198" w:rsidRPr="00275093" w14:paraId="1D20A44F" w14:textId="77777777">
        <w:tc>
          <w:tcPr>
            <w:tcW w:w="3098" w:type="dxa"/>
            <w:tcBorders>
              <w:top w:val="single" w:sz="4" w:space="0" w:color="auto"/>
            </w:tcBorders>
          </w:tcPr>
          <w:p w14:paraId="16662A61"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Karbamazepín</w:t>
            </w:r>
          </w:p>
        </w:tc>
        <w:tc>
          <w:tcPr>
            <w:tcW w:w="3098" w:type="dxa"/>
            <w:tcBorders>
              <w:top w:val="single" w:sz="4" w:space="0" w:color="auto"/>
            </w:tcBorders>
          </w:tcPr>
          <w:p w14:paraId="6874999C"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Pokles o 0 – 22</w:t>
            </w:r>
            <w:r w:rsidR="00C21D02" w:rsidRPr="00275093">
              <w:rPr>
                <w:rFonts w:ascii="Times New Roman" w:hAnsi="Times New Roman"/>
                <w:sz w:val="22"/>
                <w:szCs w:val="22"/>
                <w:lang w:val="sk-SK"/>
              </w:rPr>
              <w:t> %</w:t>
            </w:r>
            <w:r w:rsidRPr="00275093">
              <w:rPr>
                <w:rFonts w:ascii="Times New Roman" w:hAnsi="Times New Roman"/>
                <w:sz w:val="22"/>
                <w:szCs w:val="22"/>
                <w:lang w:val="sk-SK"/>
              </w:rPr>
              <w:t xml:space="preserve"> (vzostup karbamazepínepoxidu o 30</w:t>
            </w:r>
            <w:r w:rsidR="00C21D02" w:rsidRPr="00275093">
              <w:rPr>
                <w:rFonts w:ascii="Times New Roman" w:hAnsi="Times New Roman"/>
                <w:sz w:val="22"/>
                <w:szCs w:val="22"/>
                <w:lang w:val="sk-SK"/>
              </w:rPr>
              <w:t> %</w:t>
            </w:r>
            <w:r w:rsidRPr="00275093">
              <w:rPr>
                <w:rFonts w:ascii="Times New Roman" w:hAnsi="Times New Roman"/>
                <w:sz w:val="22"/>
                <w:szCs w:val="22"/>
                <w:lang w:val="sk-SK"/>
              </w:rPr>
              <w:t>)</w:t>
            </w:r>
          </w:p>
        </w:tc>
        <w:tc>
          <w:tcPr>
            <w:tcW w:w="3098" w:type="dxa"/>
            <w:tcBorders>
              <w:top w:val="single" w:sz="4" w:space="0" w:color="auto"/>
            </w:tcBorders>
          </w:tcPr>
          <w:p w14:paraId="5C35F5B9"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Pokles o 40</w:t>
            </w:r>
            <w:r w:rsidR="00C21D02" w:rsidRPr="00275093">
              <w:rPr>
                <w:rFonts w:ascii="Times New Roman" w:hAnsi="Times New Roman"/>
                <w:sz w:val="22"/>
                <w:szCs w:val="22"/>
                <w:lang w:val="sk-SK"/>
              </w:rPr>
              <w:t> %</w:t>
            </w:r>
          </w:p>
        </w:tc>
      </w:tr>
      <w:tr w:rsidR="001C3198" w:rsidRPr="00275093" w14:paraId="49548FA4" w14:textId="77777777">
        <w:tc>
          <w:tcPr>
            <w:tcW w:w="3098" w:type="dxa"/>
          </w:tcPr>
          <w:p w14:paraId="084C25F9"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Klobazam</w:t>
            </w:r>
          </w:p>
        </w:tc>
        <w:tc>
          <w:tcPr>
            <w:tcW w:w="3098" w:type="dxa"/>
          </w:tcPr>
          <w:p w14:paraId="6C596891"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Nesledoval sa</w:t>
            </w:r>
          </w:p>
        </w:tc>
        <w:tc>
          <w:tcPr>
            <w:tcW w:w="3098" w:type="dxa"/>
          </w:tcPr>
          <w:p w14:paraId="3D0D7BD6"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Žiadny vplyv</w:t>
            </w:r>
          </w:p>
        </w:tc>
      </w:tr>
      <w:tr w:rsidR="001C3198" w:rsidRPr="00275093" w14:paraId="55FDA178" w14:textId="77777777">
        <w:tc>
          <w:tcPr>
            <w:tcW w:w="3098" w:type="dxa"/>
          </w:tcPr>
          <w:p w14:paraId="4C176AAF"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Felbamát</w:t>
            </w:r>
          </w:p>
        </w:tc>
        <w:tc>
          <w:tcPr>
            <w:tcW w:w="3098" w:type="dxa"/>
          </w:tcPr>
          <w:p w14:paraId="396488D3"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Nesledoval sa</w:t>
            </w:r>
          </w:p>
        </w:tc>
        <w:tc>
          <w:tcPr>
            <w:tcW w:w="3098" w:type="dxa"/>
          </w:tcPr>
          <w:p w14:paraId="60E1EAE8"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Žiadny vplyv</w:t>
            </w:r>
          </w:p>
        </w:tc>
      </w:tr>
      <w:tr w:rsidR="001C3198" w:rsidRPr="00275093" w14:paraId="52828598" w14:textId="77777777">
        <w:tc>
          <w:tcPr>
            <w:tcW w:w="3098" w:type="dxa"/>
          </w:tcPr>
          <w:p w14:paraId="7E28549A"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Lamotrigín</w:t>
            </w:r>
          </w:p>
        </w:tc>
        <w:tc>
          <w:tcPr>
            <w:tcW w:w="3098" w:type="dxa"/>
          </w:tcPr>
          <w:p w14:paraId="6C429A3E" w14:textId="77777777" w:rsidR="001C3198" w:rsidRPr="00275093" w:rsidRDefault="00BC20FB"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Žiadny vplyv</w:t>
            </w:r>
          </w:p>
        </w:tc>
        <w:tc>
          <w:tcPr>
            <w:tcW w:w="3098" w:type="dxa"/>
          </w:tcPr>
          <w:p w14:paraId="522437EE"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Žiadny vplyv</w:t>
            </w:r>
          </w:p>
        </w:tc>
      </w:tr>
      <w:tr w:rsidR="001C3198" w:rsidRPr="00275093" w14:paraId="72FFC26D" w14:textId="77777777">
        <w:tc>
          <w:tcPr>
            <w:tcW w:w="3098" w:type="dxa"/>
          </w:tcPr>
          <w:p w14:paraId="744BF3C7"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Fenobarbital</w:t>
            </w:r>
          </w:p>
        </w:tc>
        <w:tc>
          <w:tcPr>
            <w:tcW w:w="3098" w:type="dxa"/>
          </w:tcPr>
          <w:p w14:paraId="20D41826"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Vzostup o 14 – 15</w:t>
            </w:r>
            <w:r w:rsidR="00C21D02" w:rsidRPr="00275093">
              <w:rPr>
                <w:rFonts w:ascii="Times New Roman" w:hAnsi="Times New Roman"/>
                <w:sz w:val="22"/>
                <w:szCs w:val="22"/>
                <w:lang w:val="sk-SK"/>
              </w:rPr>
              <w:t> %</w:t>
            </w:r>
          </w:p>
        </w:tc>
        <w:tc>
          <w:tcPr>
            <w:tcW w:w="3098" w:type="dxa"/>
          </w:tcPr>
          <w:p w14:paraId="03AF3137"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Pokles o 30 – 31</w:t>
            </w:r>
            <w:r w:rsidR="00C21D02" w:rsidRPr="00275093">
              <w:rPr>
                <w:rFonts w:ascii="Times New Roman" w:hAnsi="Times New Roman"/>
                <w:sz w:val="22"/>
                <w:szCs w:val="22"/>
                <w:lang w:val="sk-SK"/>
              </w:rPr>
              <w:t> %</w:t>
            </w:r>
          </w:p>
        </w:tc>
      </w:tr>
      <w:tr w:rsidR="001C3198" w:rsidRPr="00275093" w14:paraId="3772DFAA" w14:textId="77777777">
        <w:tc>
          <w:tcPr>
            <w:tcW w:w="3098" w:type="dxa"/>
          </w:tcPr>
          <w:p w14:paraId="58D2B952"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Fenytoín</w:t>
            </w:r>
          </w:p>
        </w:tc>
        <w:tc>
          <w:tcPr>
            <w:tcW w:w="3098" w:type="dxa"/>
          </w:tcPr>
          <w:p w14:paraId="271C6405"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Vzostup o 0 – 40</w:t>
            </w:r>
            <w:r w:rsidR="00C21D02" w:rsidRPr="00275093">
              <w:rPr>
                <w:rFonts w:ascii="Times New Roman" w:hAnsi="Times New Roman"/>
                <w:sz w:val="22"/>
                <w:szCs w:val="22"/>
                <w:lang w:val="sk-SK"/>
              </w:rPr>
              <w:t> %</w:t>
            </w:r>
          </w:p>
        </w:tc>
        <w:tc>
          <w:tcPr>
            <w:tcW w:w="3098" w:type="dxa"/>
          </w:tcPr>
          <w:p w14:paraId="0735D682"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Pokles o 29 – 35</w:t>
            </w:r>
            <w:r w:rsidR="00C21D02" w:rsidRPr="00275093">
              <w:rPr>
                <w:rFonts w:ascii="Times New Roman" w:hAnsi="Times New Roman"/>
                <w:sz w:val="22"/>
                <w:szCs w:val="22"/>
                <w:lang w:val="sk-SK"/>
              </w:rPr>
              <w:t> %</w:t>
            </w:r>
          </w:p>
        </w:tc>
      </w:tr>
      <w:tr w:rsidR="001C3198" w:rsidRPr="00275093" w14:paraId="71919771" w14:textId="77777777">
        <w:tc>
          <w:tcPr>
            <w:tcW w:w="3098" w:type="dxa"/>
            <w:tcBorders>
              <w:bottom w:val="single" w:sz="6" w:space="0" w:color="auto"/>
            </w:tcBorders>
          </w:tcPr>
          <w:p w14:paraId="4CFB5D91"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Kyselina valproová</w:t>
            </w:r>
          </w:p>
        </w:tc>
        <w:tc>
          <w:tcPr>
            <w:tcW w:w="3098" w:type="dxa"/>
            <w:tcBorders>
              <w:bottom w:val="single" w:sz="6" w:space="0" w:color="auto"/>
            </w:tcBorders>
          </w:tcPr>
          <w:p w14:paraId="6241513A"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Žiadny vplyv</w:t>
            </w:r>
          </w:p>
        </w:tc>
        <w:tc>
          <w:tcPr>
            <w:tcW w:w="3098" w:type="dxa"/>
            <w:tcBorders>
              <w:bottom w:val="single" w:sz="6" w:space="0" w:color="auto"/>
            </w:tcBorders>
          </w:tcPr>
          <w:p w14:paraId="7ED5F7D5" w14:textId="77777777" w:rsidR="001C3198" w:rsidRPr="00275093" w:rsidRDefault="001C3198" w:rsidP="00CC19D5">
            <w:pPr>
              <w:pStyle w:val="table0"/>
              <w:spacing w:before="0" w:after="0"/>
              <w:rPr>
                <w:rFonts w:ascii="Times New Roman" w:hAnsi="Times New Roman"/>
                <w:sz w:val="22"/>
                <w:szCs w:val="22"/>
                <w:lang w:val="sk-SK"/>
              </w:rPr>
            </w:pPr>
            <w:r w:rsidRPr="00275093">
              <w:rPr>
                <w:rFonts w:ascii="Times New Roman" w:hAnsi="Times New Roman"/>
                <w:sz w:val="22"/>
                <w:szCs w:val="22"/>
                <w:lang w:val="sk-SK"/>
              </w:rPr>
              <w:t>Pokles o 0 – 18</w:t>
            </w:r>
            <w:r w:rsidR="00C21D02" w:rsidRPr="00275093">
              <w:rPr>
                <w:rFonts w:ascii="Times New Roman" w:hAnsi="Times New Roman"/>
                <w:sz w:val="22"/>
                <w:szCs w:val="22"/>
                <w:lang w:val="sk-SK"/>
              </w:rPr>
              <w:t> %</w:t>
            </w:r>
          </w:p>
        </w:tc>
      </w:tr>
    </w:tbl>
    <w:p w14:paraId="796BCDFF" w14:textId="77777777" w:rsidR="001C3198" w:rsidRPr="00275093" w:rsidRDefault="001C3198" w:rsidP="001C3198">
      <w:pPr>
        <w:rPr>
          <w:sz w:val="22"/>
          <w:szCs w:val="22"/>
        </w:rPr>
      </w:pPr>
    </w:p>
    <w:p w14:paraId="37CAAAE5" w14:textId="59FD4A6F" w:rsidR="001C3198" w:rsidRPr="00275093" w:rsidRDefault="001C3198" w:rsidP="001C3198">
      <w:pPr>
        <w:rPr>
          <w:sz w:val="22"/>
          <w:szCs w:val="22"/>
        </w:rPr>
      </w:pPr>
      <w:r w:rsidRPr="00275093">
        <w:rPr>
          <w:sz w:val="22"/>
          <w:szCs w:val="22"/>
        </w:rPr>
        <w:t>Ukázalo sa, že silné induktory enzýmov cytochrómu P450</w:t>
      </w:r>
      <w:r w:rsidR="00B13026" w:rsidRPr="00275093">
        <w:rPr>
          <w:sz w:val="22"/>
          <w:szCs w:val="22"/>
        </w:rPr>
        <w:t xml:space="preserve"> a/alebo UGT</w:t>
      </w:r>
      <w:r w:rsidRPr="00275093">
        <w:rPr>
          <w:sz w:val="22"/>
          <w:szCs w:val="22"/>
        </w:rPr>
        <w:t xml:space="preserve"> (t.j. </w:t>
      </w:r>
      <w:r w:rsidR="00B13026" w:rsidRPr="00275093">
        <w:rPr>
          <w:sz w:val="22"/>
          <w:szCs w:val="22"/>
        </w:rPr>
        <w:t xml:space="preserve">rifampicín, </w:t>
      </w:r>
      <w:r w:rsidRPr="00275093">
        <w:rPr>
          <w:sz w:val="22"/>
          <w:szCs w:val="22"/>
        </w:rPr>
        <w:t xml:space="preserve">karbamazepín, fenytoín a fenobarbital) znižujú </w:t>
      </w:r>
      <w:r w:rsidR="002E1B3D" w:rsidRPr="00275093">
        <w:rPr>
          <w:sz w:val="22"/>
          <w:szCs w:val="22"/>
        </w:rPr>
        <w:t>koncentráciu</w:t>
      </w:r>
      <w:r w:rsidRPr="00275093">
        <w:rPr>
          <w:sz w:val="22"/>
          <w:szCs w:val="22"/>
        </w:rPr>
        <w:t xml:space="preserve"> MHD v</w:t>
      </w:r>
      <w:r w:rsidR="00B13026" w:rsidRPr="00275093">
        <w:rPr>
          <w:sz w:val="22"/>
          <w:szCs w:val="22"/>
        </w:rPr>
        <w:t> </w:t>
      </w:r>
      <w:r w:rsidRPr="00275093">
        <w:rPr>
          <w:sz w:val="22"/>
          <w:szCs w:val="22"/>
        </w:rPr>
        <w:t>plazme</w:t>
      </w:r>
      <w:r w:rsidR="00B13026" w:rsidRPr="00275093">
        <w:rPr>
          <w:sz w:val="22"/>
          <w:szCs w:val="22"/>
        </w:rPr>
        <w:t xml:space="preserve">/sére </w:t>
      </w:r>
      <w:r w:rsidRPr="00275093">
        <w:rPr>
          <w:sz w:val="22"/>
          <w:szCs w:val="22"/>
        </w:rPr>
        <w:t>(29 – 4</w:t>
      </w:r>
      <w:r w:rsidR="00B13026" w:rsidRPr="00275093">
        <w:rPr>
          <w:sz w:val="22"/>
          <w:szCs w:val="22"/>
        </w:rPr>
        <w:t>9</w:t>
      </w:r>
      <w:r w:rsidR="00C21D02" w:rsidRPr="00275093">
        <w:rPr>
          <w:sz w:val="22"/>
          <w:szCs w:val="22"/>
        </w:rPr>
        <w:t> %</w:t>
      </w:r>
      <w:r w:rsidRPr="00275093">
        <w:rPr>
          <w:sz w:val="22"/>
          <w:szCs w:val="22"/>
        </w:rPr>
        <w:t>) u dospelých; u detí vo veku 4 až 12 rokov sa klírens MHD zvýšil v porovnaní s monoterapiou približne o 35</w:t>
      </w:r>
      <w:r w:rsidR="00C21D02" w:rsidRPr="00275093">
        <w:rPr>
          <w:sz w:val="22"/>
          <w:szCs w:val="22"/>
        </w:rPr>
        <w:t> %</w:t>
      </w:r>
      <w:r w:rsidRPr="00275093">
        <w:rPr>
          <w:sz w:val="22"/>
          <w:szCs w:val="22"/>
        </w:rPr>
        <w:t xml:space="preserve">, keď sa podávalo jedno z troch antiepileptík indukujúcich enzýmy. Súčasná liečba Trileptalom a lamotrigínom sa spájala so zvýšeným rizikom nežiaducich účinkov (nauzea, somnolencia, závraty a bolesť hlavy). Keď sa súčasne s Trileptalom podáva jedno alebo niekoľko antiepileptík, môže byť potrebné uvážiť od prípadu k prípadu starostlivú úpravu dávky a/alebo monitorovanie plazmatických </w:t>
      </w:r>
      <w:r w:rsidR="00C46CB6" w:rsidRPr="00275093">
        <w:rPr>
          <w:sz w:val="22"/>
          <w:szCs w:val="22"/>
        </w:rPr>
        <w:t>koncentrácií</w:t>
      </w:r>
      <w:r w:rsidRPr="00275093">
        <w:rPr>
          <w:sz w:val="22"/>
          <w:szCs w:val="22"/>
        </w:rPr>
        <w:t>, najmä u pediatrických pacientov liečených súčasne lamotrigínom.</w:t>
      </w:r>
    </w:p>
    <w:p w14:paraId="750AE563" w14:textId="77777777" w:rsidR="00C46CB6" w:rsidRPr="00275093" w:rsidRDefault="00C46CB6" w:rsidP="001C3198">
      <w:pPr>
        <w:rPr>
          <w:sz w:val="22"/>
          <w:szCs w:val="22"/>
        </w:rPr>
      </w:pPr>
    </w:p>
    <w:p w14:paraId="3E0EEAC5" w14:textId="77777777" w:rsidR="001C3198" w:rsidRPr="00275093" w:rsidRDefault="001C3198" w:rsidP="001C3198">
      <w:pPr>
        <w:rPr>
          <w:sz w:val="22"/>
          <w:szCs w:val="22"/>
        </w:rPr>
      </w:pPr>
      <w:r w:rsidRPr="00275093">
        <w:rPr>
          <w:sz w:val="22"/>
          <w:szCs w:val="22"/>
        </w:rPr>
        <w:t>Pri Trileptale sa nepozorovala žiadna autoindukcia.</w:t>
      </w:r>
    </w:p>
    <w:p w14:paraId="5D515F4E" w14:textId="77777777" w:rsidR="001C3198" w:rsidRPr="00275093" w:rsidRDefault="001C3198" w:rsidP="001C3198">
      <w:pPr>
        <w:rPr>
          <w:sz w:val="22"/>
          <w:szCs w:val="22"/>
        </w:rPr>
      </w:pPr>
    </w:p>
    <w:p w14:paraId="15C22814" w14:textId="77777777" w:rsidR="001C3198" w:rsidRPr="00275093" w:rsidRDefault="001C3198" w:rsidP="001C3198">
      <w:pPr>
        <w:rPr>
          <w:bCs/>
          <w:sz w:val="22"/>
          <w:szCs w:val="22"/>
          <w:u w:val="single"/>
        </w:rPr>
      </w:pPr>
      <w:r w:rsidRPr="00275093">
        <w:rPr>
          <w:bCs/>
          <w:sz w:val="22"/>
          <w:szCs w:val="22"/>
          <w:u w:val="single"/>
        </w:rPr>
        <w:t>Iné liekové interakcie</w:t>
      </w:r>
    </w:p>
    <w:p w14:paraId="54883A97" w14:textId="77777777" w:rsidR="001C3198" w:rsidRPr="00275093" w:rsidRDefault="001C3198" w:rsidP="001C3198">
      <w:pPr>
        <w:rPr>
          <w:sz w:val="22"/>
          <w:szCs w:val="22"/>
        </w:rPr>
      </w:pPr>
      <w:r w:rsidRPr="00275093">
        <w:rPr>
          <w:sz w:val="22"/>
          <w:szCs w:val="22"/>
        </w:rPr>
        <w:t>Cimetidín, erytromycín, viloxazín, warfarín a dextropropoxyfén nemali účinok na farmakokinetiku MHD.</w:t>
      </w:r>
    </w:p>
    <w:p w14:paraId="093C9CF5" w14:textId="77777777" w:rsidR="00C46CB6" w:rsidRPr="00275093" w:rsidRDefault="00C46CB6" w:rsidP="001C3198">
      <w:pPr>
        <w:rPr>
          <w:sz w:val="22"/>
          <w:szCs w:val="22"/>
        </w:rPr>
      </w:pPr>
    </w:p>
    <w:p w14:paraId="755E1E45" w14:textId="77777777" w:rsidR="001C3198" w:rsidRPr="00275093" w:rsidRDefault="001C3198" w:rsidP="001C3198">
      <w:pPr>
        <w:rPr>
          <w:sz w:val="22"/>
          <w:szCs w:val="22"/>
        </w:rPr>
      </w:pPr>
      <w:r w:rsidRPr="00275093">
        <w:rPr>
          <w:sz w:val="22"/>
          <w:szCs w:val="22"/>
        </w:rPr>
        <w:t>Interakcia medzi oxkarbazepínom a inhibítormi MAO je teoreticky možná vzhľadom na vzťah štruktúry oxkarbazepínu a tricyklických antidepresív.</w:t>
      </w:r>
    </w:p>
    <w:p w14:paraId="36BC30E8" w14:textId="77777777" w:rsidR="00C46CB6" w:rsidRPr="00275093" w:rsidRDefault="00C46CB6" w:rsidP="001C3198">
      <w:pPr>
        <w:rPr>
          <w:sz w:val="22"/>
          <w:szCs w:val="22"/>
        </w:rPr>
      </w:pPr>
    </w:p>
    <w:p w14:paraId="6CAD0739" w14:textId="77777777" w:rsidR="001C3198" w:rsidRPr="00275093" w:rsidRDefault="001C3198" w:rsidP="001C3198">
      <w:pPr>
        <w:rPr>
          <w:sz w:val="22"/>
          <w:szCs w:val="22"/>
        </w:rPr>
      </w:pPr>
      <w:r w:rsidRPr="00275093">
        <w:rPr>
          <w:sz w:val="22"/>
          <w:szCs w:val="22"/>
        </w:rPr>
        <w:t>Pacienti užívajúci tricyklické antidepresíva boli zaradení do klinických skúšaní a nepozorovali sa u nich klinicky významné interakcie.</w:t>
      </w:r>
    </w:p>
    <w:p w14:paraId="44FB18D5" w14:textId="77777777" w:rsidR="00C46CB6" w:rsidRPr="00275093" w:rsidRDefault="00C46CB6" w:rsidP="001C3198">
      <w:pPr>
        <w:rPr>
          <w:sz w:val="22"/>
          <w:szCs w:val="22"/>
        </w:rPr>
      </w:pPr>
    </w:p>
    <w:p w14:paraId="6FF4786B" w14:textId="77777777" w:rsidR="001C3198" w:rsidRPr="00275093" w:rsidRDefault="001C3198" w:rsidP="001C3198">
      <w:pPr>
        <w:rPr>
          <w:sz w:val="22"/>
          <w:szCs w:val="22"/>
        </w:rPr>
      </w:pPr>
      <w:r w:rsidRPr="00275093">
        <w:rPr>
          <w:sz w:val="22"/>
          <w:szCs w:val="22"/>
        </w:rPr>
        <w:t>Kombinácia lítia a oxkarbazepínu môže zvýšiť neurotoxické účinky.</w:t>
      </w:r>
    </w:p>
    <w:p w14:paraId="10BCA74C" w14:textId="77777777" w:rsidR="001C3198" w:rsidRPr="00275093" w:rsidRDefault="001C3198" w:rsidP="001C3198">
      <w:pPr>
        <w:rPr>
          <w:sz w:val="22"/>
          <w:szCs w:val="22"/>
        </w:rPr>
      </w:pPr>
    </w:p>
    <w:p w14:paraId="306ABCFE" w14:textId="77777777" w:rsidR="001C3198" w:rsidRPr="00275093" w:rsidRDefault="001C3198" w:rsidP="001C3198">
      <w:pPr>
        <w:rPr>
          <w:sz w:val="22"/>
          <w:szCs w:val="22"/>
        </w:rPr>
      </w:pPr>
      <w:r w:rsidRPr="00275093">
        <w:rPr>
          <w:b/>
          <w:sz w:val="22"/>
          <w:szCs w:val="22"/>
        </w:rPr>
        <w:t>4.6</w:t>
      </w:r>
      <w:r w:rsidRPr="00275093">
        <w:rPr>
          <w:b/>
          <w:sz w:val="22"/>
          <w:szCs w:val="22"/>
        </w:rPr>
        <w:tab/>
      </w:r>
      <w:r w:rsidR="00BC20FB" w:rsidRPr="00275093">
        <w:rPr>
          <w:b/>
          <w:sz w:val="22"/>
          <w:szCs w:val="22"/>
        </w:rPr>
        <w:t>Fertilita, g</w:t>
      </w:r>
      <w:r w:rsidRPr="00275093">
        <w:rPr>
          <w:b/>
          <w:sz w:val="22"/>
          <w:szCs w:val="22"/>
        </w:rPr>
        <w:t>ravidita a laktácia</w:t>
      </w:r>
    </w:p>
    <w:p w14:paraId="09E12076" w14:textId="77777777" w:rsidR="001C3198" w:rsidRPr="00275093" w:rsidRDefault="001C3198" w:rsidP="001C3198">
      <w:pPr>
        <w:pStyle w:val="Nadpis2"/>
        <w:rPr>
          <w:b w:val="0"/>
          <w:i w:val="0"/>
          <w:szCs w:val="22"/>
        </w:rPr>
      </w:pPr>
    </w:p>
    <w:p w14:paraId="1CA70D96" w14:textId="77777777" w:rsidR="00BC20FB" w:rsidRPr="00275093" w:rsidRDefault="00BC20FB" w:rsidP="001C3198">
      <w:pPr>
        <w:pStyle w:val="Nadpis2"/>
        <w:rPr>
          <w:b w:val="0"/>
          <w:bCs/>
          <w:i w:val="0"/>
          <w:szCs w:val="22"/>
          <w:u w:val="single"/>
        </w:rPr>
      </w:pPr>
      <w:r w:rsidRPr="00275093">
        <w:rPr>
          <w:b w:val="0"/>
          <w:bCs/>
          <w:i w:val="0"/>
          <w:szCs w:val="22"/>
          <w:u w:val="single"/>
        </w:rPr>
        <w:t>Ženy v plodnom veku a </w:t>
      </w:r>
      <w:r w:rsidR="0069249F" w:rsidRPr="00275093">
        <w:rPr>
          <w:b w:val="0"/>
          <w:bCs/>
          <w:i w:val="0"/>
          <w:szCs w:val="22"/>
          <w:u w:val="single"/>
        </w:rPr>
        <w:t>antikoncepcia</w:t>
      </w:r>
    </w:p>
    <w:p w14:paraId="4FC0E83E" w14:textId="651D78FC" w:rsidR="00BC20FB" w:rsidRPr="00275093" w:rsidRDefault="00BC20FB" w:rsidP="00667EE6">
      <w:pPr>
        <w:pStyle w:val="Nadpis2"/>
        <w:rPr>
          <w:szCs w:val="22"/>
        </w:rPr>
      </w:pPr>
      <w:r w:rsidRPr="00275093">
        <w:rPr>
          <w:b w:val="0"/>
          <w:bCs/>
          <w:i w:val="0"/>
          <w:szCs w:val="22"/>
        </w:rPr>
        <w:t>Trileptal môže vyvolať zlyhanie terapeutického účinku perorálnych antikoncepčných prostriedkov obsahujúcich etinylestradiol (EE) a levonorgestrel</w:t>
      </w:r>
      <w:r w:rsidR="00D10260" w:rsidRPr="00275093">
        <w:rPr>
          <w:b w:val="0"/>
          <w:bCs/>
          <w:i w:val="0"/>
          <w:szCs w:val="22"/>
        </w:rPr>
        <w:t xml:space="preserve"> </w:t>
      </w:r>
      <w:r w:rsidRPr="00275093">
        <w:rPr>
          <w:b w:val="0"/>
          <w:bCs/>
          <w:i w:val="0"/>
          <w:szCs w:val="22"/>
        </w:rPr>
        <w:t>(LNG) (pozri časti 4.4 a 4.5). Ženám v plodnom veku sa má odporučiť, aby počas liečby Trileptalom používali vysoko</w:t>
      </w:r>
      <w:r w:rsidR="006A0094" w:rsidRPr="00275093">
        <w:rPr>
          <w:b w:val="0"/>
          <w:bCs/>
          <w:i w:val="0"/>
          <w:szCs w:val="22"/>
        </w:rPr>
        <w:t xml:space="preserve"> </w:t>
      </w:r>
      <w:r w:rsidRPr="00275093">
        <w:rPr>
          <w:b w:val="0"/>
          <w:bCs/>
          <w:i w:val="0"/>
          <w:szCs w:val="22"/>
        </w:rPr>
        <w:t>účinnú antikoncepciu (podľa možnosti nie hormonálnu; napr. vnútromaternicové telieska).</w:t>
      </w:r>
    </w:p>
    <w:p w14:paraId="369A6791" w14:textId="77777777" w:rsidR="00BC20FB" w:rsidRPr="00275093" w:rsidRDefault="00BC20FB" w:rsidP="00CC19D5">
      <w:pPr>
        <w:rPr>
          <w:sz w:val="22"/>
          <w:szCs w:val="22"/>
        </w:rPr>
      </w:pPr>
    </w:p>
    <w:p w14:paraId="5C8405BC" w14:textId="77777777" w:rsidR="001C3198" w:rsidRPr="00275093" w:rsidRDefault="001C3198" w:rsidP="001C3198">
      <w:pPr>
        <w:pStyle w:val="Nadpis2"/>
        <w:rPr>
          <w:b w:val="0"/>
          <w:bCs/>
          <w:i w:val="0"/>
          <w:szCs w:val="22"/>
          <w:u w:val="single"/>
        </w:rPr>
      </w:pPr>
      <w:r w:rsidRPr="00275093">
        <w:rPr>
          <w:b w:val="0"/>
          <w:bCs/>
          <w:i w:val="0"/>
          <w:szCs w:val="22"/>
          <w:u w:val="single"/>
        </w:rPr>
        <w:t>Gravidita</w:t>
      </w:r>
    </w:p>
    <w:p w14:paraId="4FDCD1E4" w14:textId="77777777" w:rsidR="001C3198" w:rsidRPr="00275093" w:rsidRDefault="001C3198" w:rsidP="001C3198">
      <w:pPr>
        <w:rPr>
          <w:i/>
          <w:iCs/>
          <w:sz w:val="22"/>
          <w:szCs w:val="22"/>
        </w:rPr>
      </w:pPr>
      <w:r w:rsidRPr="00275093">
        <w:rPr>
          <w:i/>
          <w:iCs/>
          <w:sz w:val="22"/>
          <w:szCs w:val="22"/>
        </w:rPr>
        <w:t>Všeobecné riziko súvisiace s epilepsiou a antiepileptikami:</w:t>
      </w:r>
    </w:p>
    <w:p w14:paraId="656CF470" w14:textId="77777777" w:rsidR="00E4012B" w:rsidRPr="00275093" w:rsidRDefault="001C3198" w:rsidP="001C3198">
      <w:pPr>
        <w:rPr>
          <w:sz w:val="22"/>
          <w:szCs w:val="22"/>
        </w:rPr>
      </w:pPr>
      <w:r w:rsidRPr="00275093">
        <w:rPr>
          <w:sz w:val="22"/>
          <w:szCs w:val="22"/>
        </w:rPr>
        <w:t xml:space="preserve">U liečenej populácie sa zaznamenalo zvýšenie výskytu malformácií pri polyterapii, </w:t>
      </w:r>
      <w:r w:rsidR="00E4012B" w:rsidRPr="00275093">
        <w:rPr>
          <w:sz w:val="22"/>
          <w:szCs w:val="22"/>
        </w:rPr>
        <w:t>najmä pri polyterapii zahŕňajúcej valproát.</w:t>
      </w:r>
    </w:p>
    <w:p w14:paraId="1FEA5A03" w14:textId="77777777" w:rsidR="00C46CB6" w:rsidRPr="00275093" w:rsidRDefault="00E4012B" w:rsidP="001C3198">
      <w:pPr>
        <w:rPr>
          <w:sz w:val="22"/>
          <w:szCs w:val="22"/>
        </w:rPr>
      </w:pPr>
      <w:r w:rsidRPr="00275093">
        <w:rPr>
          <w:sz w:val="22"/>
          <w:szCs w:val="22"/>
        </w:rPr>
        <w:t xml:space="preserve"> </w:t>
      </w:r>
    </w:p>
    <w:p w14:paraId="7C8BD916" w14:textId="77777777" w:rsidR="001C3198" w:rsidRPr="00275093" w:rsidRDefault="001C3198" w:rsidP="001C3198">
      <w:pPr>
        <w:rPr>
          <w:sz w:val="22"/>
          <w:szCs w:val="22"/>
        </w:rPr>
      </w:pPr>
      <w:r w:rsidRPr="00275093">
        <w:rPr>
          <w:sz w:val="22"/>
          <w:szCs w:val="22"/>
        </w:rPr>
        <w:t>Navyše sa účinná antiepileptická liečba nesmie prerušiť, pretože zhoršenie ochorenia škodí matke aj plodu.</w:t>
      </w:r>
    </w:p>
    <w:p w14:paraId="1C142372" w14:textId="77777777" w:rsidR="001C3198" w:rsidRPr="00275093" w:rsidRDefault="001C3198" w:rsidP="001C3198">
      <w:pPr>
        <w:rPr>
          <w:sz w:val="22"/>
          <w:szCs w:val="22"/>
        </w:rPr>
      </w:pPr>
    </w:p>
    <w:p w14:paraId="4BA08908" w14:textId="77777777" w:rsidR="001C3198" w:rsidRPr="00275093" w:rsidRDefault="001C3198" w:rsidP="00CC19D5">
      <w:pPr>
        <w:keepNext/>
        <w:rPr>
          <w:i/>
          <w:iCs/>
          <w:sz w:val="22"/>
          <w:szCs w:val="22"/>
        </w:rPr>
      </w:pPr>
      <w:r w:rsidRPr="00275093">
        <w:rPr>
          <w:i/>
          <w:iCs/>
          <w:sz w:val="22"/>
          <w:szCs w:val="22"/>
        </w:rPr>
        <w:lastRenderedPageBreak/>
        <w:t>Riziko súvisiace s oxkarbazepínom:</w:t>
      </w:r>
    </w:p>
    <w:p w14:paraId="68B5CFB8" w14:textId="77777777" w:rsidR="00E4012B" w:rsidRPr="00275093" w:rsidRDefault="000C7BFB" w:rsidP="001A6DB1">
      <w:pPr>
        <w:pStyle w:val="Text"/>
        <w:spacing w:before="0"/>
        <w:rPr>
          <w:sz w:val="22"/>
          <w:szCs w:val="22"/>
          <w:lang w:val="sk-SK"/>
        </w:rPr>
      </w:pPr>
      <w:r w:rsidRPr="00275093">
        <w:rPr>
          <w:sz w:val="22"/>
          <w:szCs w:val="22"/>
          <w:lang w:val="sk-SK"/>
        </w:rPr>
        <w:t>Množstvo údajov o gravidných ženách nie je príliš veľké (300</w:t>
      </w:r>
      <w:r w:rsidR="007B3F0F" w:rsidRPr="00275093">
        <w:rPr>
          <w:sz w:val="22"/>
          <w:szCs w:val="22"/>
          <w:lang w:val="sk-SK"/>
        </w:rPr>
        <w:t>-</w:t>
      </w:r>
      <w:r w:rsidRPr="00275093">
        <w:rPr>
          <w:sz w:val="22"/>
          <w:szCs w:val="22"/>
          <w:lang w:val="sk-SK"/>
        </w:rPr>
        <w:t>1</w:t>
      </w:r>
      <w:r w:rsidR="005052B8" w:rsidRPr="00275093">
        <w:rPr>
          <w:sz w:val="22"/>
          <w:szCs w:val="22"/>
          <w:lang w:val="sk-SK"/>
        </w:rPr>
        <w:t> </w:t>
      </w:r>
      <w:r w:rsidRPr="00275093">
        <w:rPr>
          <w:sz w:val="22"/>
          <w:szCs w:val="22"/>
          <w:lang w:val="sk-SK"/>
        </w:rPr>
        <w:t xml:space="preserve">000 výsledkov gravidity). Údaje o oxkarbazepíne v súvislosti s vrodenými malformáciami sú však obmedzené. Celkový </w:t>
      </w:r>
      <w:r w:rsidR="005052B8" w:rsidRPr="00275093">
        <w:rPr>
          <w:sz w:val="22"/>
          <w:szCs w:val="22"/>
          <w:lang w:val="sk-SK"/>
        </w:rPr>
        <w:t>výskyt malformácií pri Trileptale nie je zvýšený v porovnaní s výskytom, ktorý sa pozoruje v cel</w:t>
      </w:r>
      <w:r w:rsidR="007B3F0F" w:rsidRPr="00275093">
        <w:rPr>
          <w:sz w:val="22"/>
          <w:szCs w:val="22"/>
          <w:lang w:val="sk-SK"/>
        </w:rPr>
        <w:t>kov</w:t>
      </w:r>
      <w:r w:rsidR="005052B8" w:rsidRPr="00275093">
        <w:rPr>
          <w:sz w:val="22"/>
          <w:szCs w:val="22"/>
          <w:lang w:val="sk-SK"/>
        </w:rPr>
        <w:t>ej populácii (2-3 %). Pri tomto množstve údajov však nemožno úplne vylúčiť mierne riziko teratogenity.</w:t>
      </w:r>
    </w:p>
    <w:p w14:paraId="21EEC18D" w14:textId="77777777" w:rsidR="00E4012B" w:rsidRPr="00275093" w:rsidRDefault="00E4012B" w:rsidP="001A6DB1">
      <w:pPr>
        <w:pStyle w:val="Text"/>
        <w:spacing w:before="0"/>
        <w:rPr>
          <w:sz w:val="22"/>
          <w:szCs w:val="22"/>
          <w:lang w:val="sk-SK"/>
        </w:rPr>
      </w:pPr>
    </w:p>
    <w:p w14:paraId="5F8413CA" w14:textId="77777777" w:rsidR="001C3198" w:rsidRPr="00275093" w:rsidRDefault="001C3198" w:rsidP="001C3198">
      <w:pPr>
        <w:rPr>
          <w:sz w:val="22"/>
          <w:szCs w:val="22"/>
        </w:rPr>
      </w:pPr>
      <w:r w:rsidRPr="00275093">
        <w:rPr>
          <w:sz w:val="22"/>
          <w:szCs w:val="22"/>
        </w:rPr>
        <w:t>Vzhľadom na tieto údaje:</w:t>
      </w:r>
    </w:p>
    <w:p w14:paraId="68F816DB" w14:textId="77777777" w:rsidR="001C3198" w:rsidRPr="00275093" w:rsidRDefault="001C3198" w:rsidP="004E42C1">
      <w:pPr>
        <w:numPr>
          <w:ilvl w:val="0"/>
          <w:numId w:val="2"/>
        </w:numPr>
        <w:rPr>
          <w:sz w:val="22"/>
          <w:szCs w:val="22"/>
        </w:rPr>
      </w:pPr>
      <w:r w:rsidRPr="00275093">
        <w:rPr>
          <w:sz w:val="22"/>
          <w:szCs w:val="22"/>
        </w:rPr>
        <w:t>Ak ženy užívajúce Trileptal otehotnejú alebo mienia otehotnieť, má sa starostlivo prehodnotiť použitie tohto lieku. Majú sa podávať najnižšie účinné dávky a vždy, keď je to možné, má sa aspoň počas prvých troch mesiacov gravidity podávať monoterapia.</w:t>
      </w:r>
    </w:p>
    <w:p w14:paraId="1091ADAC" w14:textId="77777777" w:rsidR="001C3198" w:rsidRPr="00275093" w:rsidRDefault="001C3198" w:rsidP="004E42C1">
      <w:pPr>
        <w:numPr>
          <w:ilvl w:val="0"/>
          <w:numId w:val="2"/>
        </w:numPr>
        <w:rPr>
          <w:sz w:val="22"/>
          <w:szCs w:val="22"/>
        </w:rPr>
      </w:pPr>
      <w:r w:rsidRPr="00275093">
        <w:rPr>
          <w:sz w:val="22"/>
          <w:szCs w:val="22"/>
        </w:rPr>
        <w:t>Počas gravidity sa nesmie prerušiť účinná antiepileptická liečba oxkarbazepínom, pretože zhoršenie ochorenia škodí matke aj plodu.</w:t>
      </w:r>
    </w:p>
    <w:p w14:paraId="3FC0585B" w14:textId="77777777" w:rsidR="001C3198" w:rsidRPr="00275093" w:rsidRDefault="001C3198" w:rsidP="001C3198">
      <w:pPr>
        <w:rPr>
          <w:sz w:val="22"/>
          <w:szCs w:val="22"/>
        </w:rPr>
      </w:pPr>
    </w:p>
    <w:p w14:paraId="510A6FBA" w14:textId="77777777" w:rsidR="001C3198" w:rsidRPr="00275093" w:rsidRDefault="001C3198" w:rsidP="001C3198">
      <w:pPr>
        <w:rPr>
          <w:i/>
          <w:iCs/>
          <w:sz w:val="22"/>
          <w:szCs w:val="22"/>
        </w:rPr>
      </w:pPr>
      <w:r w:rsidRPr="00275093">
        <w:rPr>
          <w:i/>
          <w:iCs/>
          <w:sz w:val="22"/>
          <w:szCs w:val="22"/>
        </w:rPr>
        <w:t>Monitorovanie a prevencia:</w:t>
      </w:r>
    </w:p>
    <w:p w14:paraId="186D1627" w14:textId="77777777" w:rsidR="004239FA" w:rsidRPr="00275093" w:rsidRDefault="005652AE" w:rsidP="00300E95">
      <w:pPr>
        <w:rPr>
          <w:sz w:val="22"/>
          <w:szCs w:val="22"/>
        </w:rPr>
      </w:pPr>
      <w:r w:rsidRPr="00275093">
        <w:rPr>
          <w:sz w:val="22"/>
          <w:szCs w:val="22"/>
        </w:rPr>
        <w:t>Niektoré a</w:t>
      </w:r>
      <w:r w:rsidR="001C3198" w:rsidRPr="00275093">
        <w:rPr>
          <w:sz w:val="22"/>
          <w:szCs w:val="22"/>
        </w:rPr>
        <w:t xml:space="preserve">ntiepileptiká môžu prispievať k nedostatku kyseliny listovej, čo môže byť jednou z príčin abnormalít plodov. Odporúča sa suplementácia kyseliny listovej pred graviditou a počas nej. Keďže účinnosť tejto suplementácie nie je dokázaná, </w:t>
      </w:r>
      <w:r w:rsidRPr="00275093">
        <w:rPr>
          <w:sz w:val="22"/>
          <w:szCs w:val="22"/>
        </w:rPr>
        <w:t xml:space="preserve">má </w:t>
      </w:r>
      <w:r w:rsidR="001C3198" w:rsidRPr="00275093">
        <w:rPr>
          <w:sz w:val="22"/>
          <w:szCs w:val="22"/>
        </w:rPr>
        <w:t>sa ponúknuť špecifická antenatálna diagnostika aj ženám, ktoré dostávajú suplementárnu liečbu kyselinou listovou.</w:t>
      </w:r>
    </w:p>
    <w:p w14:paraId="2BF79901" w14:textId="77777777" w:rsidR="002E1B3D" w:rsidRPr="00275093" w:rsidRDefault="002E1B3D" w:rsidP="00300E95">
      <w:pPr>
        <w:rPr>
          <w:sz w:val="22"/>
          <w:szCs w:val="22"/>
        </w:rPr>
      </w:pPr>
    </w:p>
    <w:p w14:paraId="54B5961A" w14:textId="77777777" w:rsidR="00D84150" w:rsidRPr="00275093" w:rsidRDefault="00D84150" w:rsidP="00D84150">
      <w:pPr>
        <w:rPr>
          <w:sz w:val="22"/>
          <w:szCs w:val="22"/>
        </w:rPr>
      </w:pPr>
      <w:r w:rsidRPr="00275093">
        <w:rPr>
          <w:sz w:val="22"/>
          <w:szCs w:val="22"/>
        </w:rPr>
        <w:t xml:space="preserve">Údaje o obmedzenom počte žien naznačujú, že plazmatické </w:t>
      </w:r>
      <w:r w:rsidR="002E1B3D" w:rsidRPr="00275093">
        <w:rPr>
          <w:sz w:val="22"/>
          <w:szCs w:val="22"/>
        </w:rPr>
        <w:t>koncentrácie</w:t>
      </w:r>
      <w:r w:rsidRPr="00275093">
        <w:rPr>
          <w:sz w:val="22"/>
          <w:szCs w:val="22"/>
        </w:rPr>
        <w:t xml:space="preserve"> aktívneho metabolitu oxkarbazepínu, 10-monohydroxyderivátu (MHD), sa počas gravidity môžu postupne znižovať. Odporúča sa pozorne sledovať klinickú odpoveď u žien liečených Trileptalom počas gravidity, aby sa výskyt epileptických záchvatov počas gravidity udržal dostatočne pod kontrolou. Je potrebné zvážiť stanovenie zmien plazmatickej koncentrácie MHD. Ak sa počas gravidity zvýšilo dávkovanie, má sa zvážiť monitorovanie popôrodných plazmatických </w:t>
      </w:r>
      <w:r w:rsidR="002E1B3D" w:rsidRPr="00275093">
        <w:rPr>
          <w:sz w:val="22"/>
          <w:szCs w:val="22"/>
        </w:rPr>
        <w:t>koncentrácií</w:t>
      </w:r>
      <w:r w:rsidRPr="00275093">
        <w:rPr>
          <w:sz w:val="22"/>
          <w:szCs w:val="22"/>
        </w:rPr>
        <w:t xml:space="preserve"> MHD. </w:t>
      </w:r>
    </w:p>
    <w:p w14:paraId="554C3C02" w14:textId="77777777" w:rsidR="005E65DD" w:rsidRPr="00275093" w:rsidRDefault="005E65DD" w:rsidP="001C3198">
      <w:pPr>
        <w:rPr>
          <w:sz w:val="22"/>
          <w:szCs w:val="22"/>
        </w:rPr>
      </w:pPr>
    </w:p>
    <w:p w14:paraId="68A70D63" w14:textId="77777777" w:rsidR="001C3198" w:rsidRPr="00275093" w:rsidRDefault="001C3198" w:rsidP="001C3198">
      <w:pPr>
        <w:rPr>
          <w:i/>
          <w:iCs/>
          <w:sz w:val="22"/>
          <w:szCs w:val="22"/>
        </w:rPr>
      </w:pPr>
      <w:r w:rsidRPr="00275093">
        <w:rPr>
          <w:i/>
          <w:iCs/>
          <w:sz w:val="22"/>
          <w:szCs w:val="22"/>
        </w:rPr>
        <w:t>U novorodenca:</w:t>
      </w:r>
    </w:p>
    <w:p w14:paraId="6BB9880C" w14:textId="77777777" w:rsidR="001C3198" w:rsidRPr="00275093" w:rsidRDefault="001C3198" w:rsidP="001C3198">
      <w:pPr>
        <w:rPr>
          <w:sz w:val="22"/>
          <w:szCs w:val="22"/>
        </w:rPr>
      </w:pPr>
      <w:r w:rsidRPr="00275093">
        <w:rPr>
          <w:sz w:val="22"/>
          <w:szCs w:val="22"/>
        </w:rPr>
        <w:t xml:space="preserve">U novorodencov boli hlásené poruchy zrážavosti krvi </w:t>
      </w:r>
      <w:r w:rsidR="005652AE" w:rsidRPr="00275093">
        <w:rPr>
          <w:sz w:val="22"/>
          <w:szCs w:val="22"/>
        </w:rPr>
        <w:t xml:space="preserve">pri </w:t>
      </w:r>
      <w:r w:rsidRPr="00275093">
        <w:rPr>
          <w:sz w:val="22"/>
          <w:szCs w:val="22"/>
        </w:rPr>
        <w:t>antiepileptik</w:t>
      </w:r>
      <w:r w:rsidR="005652AE" w:rsidRPr="00275093">
        <w:rPr>
          <w:sz w:val="22"/>
          <w:szCs w:val="22"/>
        </w:rPr>
        <w:t>ách indukujúcich pečeňové enzýmy</w:t>
      </w:r>
      <w:r w:rsidRPr="00275093">
        <w:rPr>
          <w:sz w:val="22"/>
          <w:szCs w:val="22"/>
        </w:rPr>
        <w:t>. Ako bezpečnostné opatrenie sa má preventívne podávať vitamín K</w:t>
      </w:r>
      <w:r w:rsidRPr="00275093">
        <w:rPr>
          <w:sz w:val="22"/>
          <w:szCs w:val="22"/>
          <w:vertAlign w:val="subscript"/>
        </w:rPr>
        <w:t>1</w:t>
      </w:r>
      <w:r w:rsidRPr="00275093">
        <w:rPr>
          <w:sz w:val="22"/>
          <w:szCs w:val="22"/>
        </w:rPr>
        <w:t xml:space="preserve"> matke počas posledných niekoľkých týždňov gravidity, ako aj novorodencovi.</w:t>
      </w:r>
    </w:p>
    <w:p w14:paraId="47A52294" w14:textId="77777777" w:rsidR="001C3198" w:rsidRPr="00275093" w:rsidRDefault="001C3198" w:rsidP="001C3198">
      <w:pPr>
        <w:rPr>
          <w:sz w:val="22"/>
          <w:szCs w:val="22"/>
        </w:rPr>
      </w:pPr>
    </w:p>
    <w:p w14:paraId="252C6919" w14:textId="36B754A2" w:rsidR="001C3198" w:rsidRPr="00275093" w:rsidRDefault="0031250B" w:rsidP="001C3198">
      <w:pPr>
        <w:rPr>
          <w:bCs/>
          <w:sz w:val="22"/>
          <w:szCs w:val="22"/>
          <w:u w:val="single"/>
        </w:rPr>
      </w:pPr>
      <w:r w:rsidRPr="00275093">
        <w:rPr>
          <w:bCs/>
          <w:sz w:val="22"/>
          <w:szCs w:val="22"/>
          <w:u w:val="single"/>
        </w:rPr>
        <w:t>Dojčenie</w:t>
      </w:r>
    </w:p>
    <w:p w14:paraId="33C8BC0D" w14:textId="0D5E4317" w:rsidR="001C3198" w:rsidRPr="00275093" w:rsidRDefault="001C3198" w:rsidP="001C3198">
      <w:pPr>
        <w:rPr>
          <w:sz w:val="22"/>
          <w:szCs w:val="22"/>
        </w:rPr>
      </w:pPr>
      <w:r w:rsidRPr="00275093">
        <w:rPr>
          <w:sz w:val="22"/>
          <w:szCs w:val="22"/>
        </w:rPr>
        <w:t>Oxkarbazepín a jeho aktívny metabolit (MHD) sa vylučujú do materského mlieka. Zistilo sa, že pomer koncentrácií v mlieku a plazme bol u oboch látok 0,5. Účink</w:t>
      </w:r>
      <w:r w:rsidR="00B13026" w:rsidRPr="00275093">
        <w:rPr>
          <w:sz w:val="22"/>
          <w:szCs w:val="22"/>
        </w:rPr>
        <w:t>y</w:t>
      </w:r>
      <w:r w:rsidRPr="00275093">
        <w:rPr>
          <w:sz w:val="22"/>
          <w:szCs w:val="22"/>
        </w:rPr>
        <w:t xml:space="preserve"> na dojča, ktoré dostane Trileptal touto cestou, nie </w:t>
      </w:r>
      <w:r w:rsidR="00B13026" w:rsidRPr="00275093">
        <w:rPr>
          <w:sz w:val="22"/>
          <w:szCs w:val="22"/>
        </w:rPr>
        <w:t>sú</w:t>
      </w:r>
      <w:r w:rsidRPr="00275093">
        <w:rPr>
          <w:sz w:val="22"/>
          <w:szCs w:val="22"/>
        </w:rPr>
        <w:t xml:space="preserve"> znám</w:t>
      </w:r>
      <w:r w:rsidR="00B13026" w:rsidRPr="00275093">
        <w:rPr>
          <w:sz w:val="22"/>
          <w:szCs w:val="22"/>
        </w:rPr>
        <w:t>e</w:t>
      </w:r>
      <w:r w:rsidRPr="00275093">
        <w:rPr>
          <w:sz w:val="22"/>
          <w:szCs w:val="22"/>
        </w:rPr>
        <w:t>. Preto sa Trileptal nemá používať počas dojčenia.</w:t>
      </w:r>
    </w:p>
    <w:p w14:paraId="36E2FBA4" w14:textId="77777777" w:rsidR="001C3198" w:rsidRPr="00275093" w:rsidRDefault="001C3198" w:rsidP="001C3198">
      <w:pPr>
        <w:rPr>
          <w:sz w:val="22"/>
          <w:szCs w:val="22"/>
        </w:rPr>
      </w:pPr>
    </w:p>
    <w:p w14:paraId="3CDC8FE8" w14:textId="77777777" w:rsidR="00EC794B" w:rsidRPr="00275093" w:rsidRDefault="00EC794B" w:rsidP="00EC794B">
      <w:pPr>
        <w:pStyle w:val="Reference"/>
        <w:spacing w:before="0" w:after="0"/>
        <w:ind w:hanging="2"/>
        <w:rPr>
          <w:sz w:val="22"/>
          <w:szCs w:val="22"/>
          <w:u w:val="single"/>
          <w:lang w:val="sk-SK"/>
        </w:rPr>
      </w:pPr>
      <w:r w:rsidRPr="00275093">
        <w:rPr>
          <w:sz w:val="22"/>
          <w:szCs w:val="22"/>
          <w:u w:val="single"/>
          <w:lang w:val="sk-SK"/>
        </w:rPr>
        <w:t xml:space="preserve">Fertilita </w:t>
      </w:r>
    </w:p>
    <w:p w14:paraId="74897C23" w14:textId="77777777" w:rsidR="00EC794B" w:rsidRPr="00275093" w:rsidRDefault="00EC794B" w:rsidP="00EC794B">
      <w:pPr>
        <w:autoSpaceDE w:val="0"/>
        <w:autoSpaceDN w:val="0"/>
        <w:adjustRightInd w:val="0"/>
        <w:rPr>
          <w:sz w:val="22"/>
          <w:szCs w:val="22"/>
        </w:rPr>
      </w:pPr>
      <w:r w:rsidRPr="00275093">
        <w:rPr>
          <w:sz w:val="22"/>
          <w:szCs w:val="22"/>
        </w:rPr>
        <w:t>Nie sú údaje o</w:t>
      </w:r>
      <w:r w:rsidR="004E2ADF" w:rsidRPr="00275093">
        <w:rPr>
          <w:sz w:val="22"/>
          <w:szCs w:val="22"/>
        </w:rPr>
        <w:t> vplyve na fertilitu</w:t>
      </w:r>
      <w:r w:rsidRPr="00275093">
        <w:rPr>
          <w:sz w:val="22"/>
          <w:szCs w:val="22"/>
        </w:rPr>
        <w:t xml:space="preserve"> u ľudí. </w:t>
      </w:r>
    </w:p>
    <w:p w14:paraId="596C4825" w14:textId="77777777" w:rsidR="00EC794B" w:rsidRPr="00275093" w:rsidRDefault="00EC794B" w:rsidP="00EC794B">
      <w:pPr>
        <w:autoSpaceDE w:val="0"/>
        <w:autoSpaceDN w:val="0"/>
        <w:adjustRightInd w:val="0"/>
        <w:rPr>
          <w:sz w:val="22"/>
          <w:szCs w:val="22"/>
        </w:rPr>
      </w:pPr>
      <w:r w:rsidRPr="00275093">
        <w:rPr>
          <w:sz w:val="22"/>
          <w:szCs w:val="22"/>
        </w:rPr>
        <w:t>Oxkarbazepín nemal žiadny účinok na fertilitu  potkan</w:t>
      </w:r>
      <w:r w:rsidR="002A7E94" w:rsidRPr="00275093">
        <w:rPr>
          <w:sz w:val="22"/>
          <w:szCs w:val="22"/>
        </w:rPr>
        <w:t>ov</w:t>
      </w:r>
      <w:r w:rsidRPr="00275093">
        <w:rPr>
          <w:sz w:val="22"/>
          <w:szCs w:val="22"/>
        </w:rPr>
        <w:t xml:space="preserve">. </w:t>
      </w:r>
      <w:r w:rsidR="002A7E94" w:rsidRPr="00275093">
        <w:rPr>
          <w:sz w:val="22"/>
          <w:szCs w:val="22"/>
        </w:rPr>
        <w:t>Ú</w:t>
      </w:r>
      <w:r w:rsidRPr="00275093">
        <w:rPr>
          <w:sz w:val="22"/>
          <w:szCs w:val="22"/>
        </w:rPr>
        <w:t>činky na ukazovatele reprodukcie u samíc potkana sa pozorovali pri MHD</w:t>
      </w:r>
      <w:r w:rsidR="002A7E94" w:rsidRPr="00275093">
        <w:rPr>
          <w:sz w:val="22"/>
          <w:szCs w:val="22"/>
        </w:rPr>
        <w:t xml:space="preserve"> v dávkach, ktoré sú porovnateľné s dávkami u ľudí (pozri časť  5.3)</w:t>
      </w:r>
      <w:r w:rsidRPr="00275093">
        <w:rPr>
          <w:sz w:val="22"/>
          <w:szCs w:val="22"/>
        </w:rPr>
        <w:t>.</w:t>
      </w:r>
    </w:p>
    <w:p w14:paraId="2A188FFB" w14:textId="77777777" w:rsidR="00EC794B" w:rsidRPr="00275093" w:rsidRDefault="00EC794B" w:rsidP="001C3198">
      <w:pPr>
        <w:rPr>
          <w:sz w:val="22"/>
          <w:szCs w:val="22"/>
        </w:rPr>
      </w:pPr>
    </w:p>
    <w:p w14:paraId="0B58502D" w14:textId="77777777" w:rsidR="001C3198" w:rsidRPr="00275093" w:rsidRDefault="001C3198" w:rsidP="001B5CB7">
      <w:pPr>
        <w:keepNext/>
        <w:rPr>
          <w:sz w:val="22"/>
          <w:szCs w:val="22"/>
        </w:rPr>
      </w:pPr>
      <w:r w:rsidRPr="00275093">
        <w:rPr>
          <w:b/>
          <w:sz w:val="22"/>
          <w:szCs w:val="22"/>
        </w:rPr>
        <w:t>4.7</w:t>
      </w:r>
      <w:r w:rsidRPr="00275093">
        <w:rPr>
          <w:b/>
          <w:sz w:val="22"/>
          <w:szCs w:val="22"/>
        </w:rPr>
        <w:tab/>
        <w:t>Ovplyvnenie schopnosti viesť vozidlá a obsluhovať stroje</w:t>
      </w:r>
    </w:p>
    <w:p w14:paraId="56088678" w14:textId="77777777" w:rsidR="001C3198" w:rsidRPr="00275093" w:rsidRDefault="001C3198" w:rsidP="001B5CB7">
      <w:pPr>
        <w:keepNext/>
        <w:ind w:firstLine="720"/>
        <w:rPr>
          <w:sz w:val="22"/>
          <w:szCs w:val="22"/>
        </w:rPr>
      </w:pPr>
    </w:p>
    <w:p w14:paraId="201B854F" w14:textId="6B0CF183" w:rsidR="001C3198" w:rsidRPr="00275093" w:rsidRDefault="001C3198" w:rsidP="001B5CB7">
      <w:pPr>
        <w:keepNext/>
        <w:rPr>
          <w:sz w:val="22"/>
          <w:szCs w:val="22"/>
        </w:rPr>
      </w:pPr>
      <w:r w:rsidRPr="00275093">
        <w:rPr>
          <w:sz w:val="22"/>
          <w:szCs w:val="22"/>
        </w:rPr>
        <w:t>P</w:t>
      </w:r>
      <w:r w:rsidR="00435D83" w:rsidRPr="00275093">
        <w:rPr>
          <w:sz w:val="22"/>
          <w:szCs w:val="22"/>
        </w:rPr>
        <w:t>ri p</w:t>
      </w:r>
      <w:r w:rsidRPr="00275093">
        <w:rPr>
          <w:sz w:val="22"/>
          <w:szCs w:val="22"/>
        </w:rPr>
        <w:t>oužit</w:t>
      </w:r>
      <w:r w:rsidR="00435D83" w:rsidRPr="00275093">
        <w:rPr>
          <w:sz w:val="22"/>
          <w:szCs w:val="22"/>
        </w:rPr>
        <w:t>í</w:t>
      </w:r>
      <w:r w:rsidRPr="00275093">
        <w:rPr>
          <w:sz w:val="22"/>
          <w:szCs w:val="22"/>
        </w:rPr>
        <w:t xml:space="preserve"> Trileptalu </w:t>
      </w:r>
      <w:r w:rsidR="00435D83" w:rsidRPr="00275093">
        <w:rPr>
          <w:sz w:val="22"/>
          <w:szCs w:val="22"/>
        </w:rPr>
        <w:t xml:space="preserve">boli hlásené nežiaduce reakcie, </w:t>
      </w:r>
      <w:r w:rsidRPr="00275093">
        <w:rPr>
          <w:sz w:val="22"/>
          <w:szCs w:val="22"/>
        </w:rPr>
        <w:t>ako sú závraty</w:t>
      </w:r>
      <w:r w:rsidR="00435D83" w:rsidRPr="00275093">
        <w:rPr>
          <w:sz w:val="22"/>
          <w:szCs w:val="22"/>
        </w:rPr>
        <w:t xml:space="preserve">, </w:t>
      </w:r>
      <w:r w:rsidRPr="00275093">
        <w:rPr>
          <w:sz w:val="22"/>
          <w:szCs w:val="22"/>
        </w:rPr>
        <w:t>somnolencia</w:t>
      </w:r>
      <w:r w:rsidR="00435D83" w:rsidRPr="00275093">
        <w:rPr>
          <w:sz w:val="22"/>
          <w:szCs w:val="22"/>
        </w:rPr>
        <w:t>, ataxia, diplopia, neostré videnie, poruchy zraku, hyponatriémia a</w:t>
      </w:r>
      <w:r w:rsidR="007B3F0F" w:rsidRPr="00275093">
        <w:rPr>
          <w:sz w:val="22"/>
          <w:szCs w:val="22"/>
        </w:rPr>
        <w:t xml:space="preserve"> znížená úroveň </w:t>
      </w:r>
      <w:r w:rsidR="00435D83" w:rsidRPr="00275093">
        <w:rPr>
          <w:sz w:val="22"/>
          <w:szCs w:val="22"/>
        </w:rPr>
        <w:t xml:space="preserve">vedomia </w:t>
      </w:r>
      <w:r w:rsidRPr="00275093">
        <w:rPr>
          <w:sz w:val="22"/>
          <w:szCs w:val="22"/>
        </w:rPr>
        <w:t>(</w:t>
      </w:r>
      <w:r w:rsidR="00435D83" w:rsidRPr="00275093">
        <w:rPr>
          <w:sz w:val="22"/>
          <w:szCs w:val="22"/>
        </w:rPr>
        <w:t xml:space="preserve">úplný zoznam nežiaducich reakcií, </w:t>
      </w:r>
      <w:r w:rsidRPr="00275093">
        <w:rPr>
          <w:sz w:val="22"/>
          <w:szCs w:val="22"/>
        </w:rPr>
        <w:t>pozri časť 4.8)</w:t>
      </w:r>
      <w:r w:rsidR="00435D83" w:rsidRPr="00275093">
        <w:rPr>
          <w:sz w:val="22"/>
          <w:szCs w:val="22"/>
        </w:rPr>
        <w:t>, najmä na začiatku liečby alebo v s</w:t>
      </w:r>
      <w:r w:rsidR="0069249F" w:rsidRPr="00275093">
        <w:rPr>
          <w:sz w:val="22"/>
          <w:szCs w:val="22"/>
        </w:rPr>
        <w:t>úvislosti</w:t>
      </w:r>
      <w:r w:rsidR="00435D83" w:rsidRPr="00275093">
        <w:rPr>
          <w:sz w:val="22"/>
          <w:szCs w:val="22"/>
        </w:rPr>
        <w:t xml:space="preserve"> s úpravou dávky (častejšie vo fáze titrovania nahor)</w:t>
      </w:r>
      <w:r w:rsidRPr="00275093">
        <w:rPr>
          <w:sz w:val="22"/>
          <w:szCs w:val="22"/>
        </w:rPr>
        <w:t>. Pacient</w:t>
      </w:r>
      <w:r w:rsidR="00435D83" w:rsidRPr="00275093">
        <w:rPr>
          <w:sz w:val="22"/>
          <w:szCs w:val="22"/>
        </w:rPr>
        <w:t xml:space="preserve">i preto majú byť primerane opatrní </w:t>
      </w:r>
      <w:r w:rsidRPr="00275093">
        <w:rPr>
          <w:sz w:val="22"/>
          <w:szCs w:val="22"/>
        </w:rPr>
        <w:t xml:space="preserve">pri </w:t>
      </w:r>
      <w:r w:rsidR="00435D83" w:rsidRPr="00275093">
        <w:rPr>
          <w:sz w:val="22"/>
          <w:szCs w:val="22"/>
        </w:rPr>
        <w:t xml:space="preserve">vedení vozidla alebo </w:t>
      </w:r>
      <w:r w:rsidRPr="00275093">
        <w:rPr>
          <w:sz w:val="22"/>
          <w:szCs w:val="22"/>
        </w:rPr>
        <w:t>obsluhe strojov.</w:t>
      </w:r>
    </w:p>
    <w:p w14:paraId="5AD5E7C3" w14:textId="77777777" w:rsidR="001C3198" w:rsidRPr="00275093" w:rsidRDefault="001C3198" w:rsidP="001C3198">
      <w:pPr>
        <w:rPr>
          <w:b/>
          <w:sz w:val="22"/>
          <w:szCs w:val="22"/>
        </w:rPr>
      </w:pPr>
    </w:p>
    <w:p w14:paraId="5B29094B" w14:textId="77777777" w:rsidR="001C3198" w:rsidRPr="00275093" w:rsidRDefault="001C3198" w:rsidP="001C3198">
      <w:pPr>
        <w:rPr>
          <w:b/>
          <w:sz w:val="22"/>
          <w:szCs w:val="22"/>
        </w:rPr>
      </w:pPr>
      <w:r w:rsidRPr="00275093">
        <w:rPr>
          <w:b/>
          <w:sz w:val="22"/>
          <w:szCs w:val="22"/>
        </w:rPr>
        <w:t>4.8</w:t>
      </w:r>
      <w:r w:rsidRPr="00275093">
        <w:rPr>
          <w:b/>
          <w:sz w:val="22"/>
          <w:szCs w:val="22"/>
        </w:rPr>
        <w:tab/>
        <w:t>Nežiaduce účinky</w:t>
      </w:r>
    </w:p>
    <w:p w14:paraId="505659D6" w14:textId="77777777" w:rsidR="001C3198" w:rsidRPr="00275093" w:rsidRDefault="001C3198" w:rsidP="001C3198">
      <w:pPr>
        <w:rPr>
          <w:sz w:val="22"/>
          <w:szCs w:val="22"/>
        </w:rPr>
      </w:pPr>
    </w:p>
    <w:p w14:paraId="1BC14D8C" w14:textId="77777777" w:rsidR="00435D83" w:rsidRPr="00275093" w:rsidRDefault="00F747AC" w:rsidP="001C3198">
      <w:pPr>
        <w:rPr>
          <w:sz w:val="22"/>
          <w:szCs w:val="22"/>
          <w:u w:val="single"/>
        </w:rPr>
      </w:pPr>
      <w:r w:rsidRPr="00275093">
        <w:rPr>
          <w:sz w:val="22"/>
          <w:szCs w:val="22"/>
          <w:u w:val="single"/>
        </w:rPr>
        <w:t>Súhrn profilu bezpečnosti</w:t>
      </w:r>
    </w:p>
    <w:p w14:paraId="61C8AF6D" w14:textId="6A9A1936" w:rsidR="001C3198" w:rsidRPr="00275093" w:rsidRDefault="001C3198" w:rsidP="001C3198">
      <w:pPr>
        <w:rPr>
          <w:sz w:val="22"/>
          <w:szCs w:val="22"/>
        </w:rPr>
      </w:pPr>
      <w:r w:rsidRPr="00275093">
        <w:rPr>
          <w:sz w:val="22"/>
          <w:szCs w:val="22"/>
        </w:rPr>
        <w:t xml:space="preserve">Najčastejšie zaznamenané nežiaduce </w:t>
      </w:r>
      <w:r w:rsidR="006A0094" w:rsidRPr="00275093">
        <w:rPr>
          <w:sz w:val="22"/>
          <w:szCs w:val="22"/>
        </w:rPr>
        <w:t>účinky</w:t>
      </w:r>
      <w:r w:rsidRPr="00275093">
        <w:rPr>
          <w:sz w:val="22"/>
          <w:szCs w:val="22"/>
        </w:rPr>
        <w:t xml:space="preserve"> sú somnolencia, bolesť hlavy, závraty, diplopia, nauzea, vracanie a únava, ktoré sa vyskytujú u viac ako 10</w:t>
      </w:r>
      <w:r w:rsidR="00C21D02" w:rsidRPr="00275093">
        <w:rPr>
          <w:sz w:val="22"/>
          <w:szCs w:val="22"/>
        </w:rPr>
        <w:t> %</w:t>
      </w:r>
      <w:r w:rsidRPr="00275093">
        <w:rPr>
          <w:sz w:val="22"/>
          <w:szCs w:val="22"/>
        </w:rPr>
        <w:t xml:space="preserve"> pacientov.</w:t>
      </w:r>
    </w:p>
    <w:p w14:paraId="6AFED1F2" w14:textId="77777777" w:rsidR="001C3198" w:rsidRPr="00275093" w:rsidRDefault="001C3198" w:rsidP="001C3198">
      <w:pPr>
        <w:rPr>
          <w:sz w:val="22"/>
          <w:szCs w:val="22"/>
        </w:rPr>
      </w:pPr>
    </w:p>
    <w:p w14:paraId="4CC91997" w14:textId="2EAFE89F" w:rsidR="001C3198" w:rsidRPr="00275093" w:rsidRDefault="001C3198" w:rsidP="001C3198">
      <w:pPr>
        <w:rPr>
          <w:sz w:val="22"/>
          <w:szCs w:val="22"/>
        </w:rPr>
      </w:pPr>
      <w:r w:rsidRPr="00275093">
        <w:rPr>
          <w:sz w:val="22"/>
          <w:szCs w:val="22"/>
        </w:rPr>
        <w:lastRenderedPageBreak/>
        <w:t xml:space="preserve">Profil </w:t>
      </w:r>
      <w:r w:rsidR="00B13026" w:rsidRPr="00275093">
        <w:rPr>
          <w:sz w:val="22"/>
          <w:szCs w:val="22"/>
        </w:rPr>
        <w:t xml:space="preserve">bezpečnosti </w:t>
      </w:r>
      <w:r w:rsidRPr="00275093">
        <w:rPr>
          <w:sz w:val="22"/>
          <w:szCs w:val="22"/>
        </w:rPr>
        <w:t xml:space="preserve">sa zakladá na </w:t>
      </w:r>
      <w:r w:rsidR="002E1B3D" w:rsidRPr="00275093">
        <w:rPr>
          <w:sz w:val="22"/>
          <w:szCs w:val="22"/>
        </w:rPr>
        <w:t xml:space="preserve">nežiaducich </w:t>
      </w:r>
      <w:r w:rsidR="00B13026" w:rsidRPr="00275093">
        <w:rPr>
          <w:sz w:val="22"/>
          <w:szCs w:val="22"/>
        </w:rPr>
        <w:t>udalostiach</w:t>
      </w:r>
      <w:r w:rsidR="002E1B3D" w:rsidRPr="00275093">
        <w:rPr>
          <w:sz w:val="22"/>
          <w:szCs w:val="22"/>
        </w:rPr>
        <w:t xml:space="preserve"> </w:t>
      </w:r>
      <w:r w:rsidRPr="00275093">
        <w:rPr>
          <w:sz w:val="22"/>
          <w:szCs w:val="22"/>
        </w:rPr>
        <w:t>z klinických skúšaní, ktoré sa vyhodnotili ako súvisiace s Trileptalom. Okrem toho sa zohľadnili klinicky významné správy o nežiaducich účinkoch z programov poskytovania lieku konkrétnym pacientom a skúsenosti po uvedení lieku na trh.</w:t>
      </w:r>
    </w:p>
    <w:p w14:paraId="59E78641" w14:textId="77777777" w:rsidR="001C3198" w:rsidRPr="00275093" w:rsidRDefault="001C3198" w:rsidP="001C3198">
      <w:pPr>
        <w:rPr>
          <w:sz w:val="22"/>
          <w:szCs w:val="22"/>
        </w:rPr>
      </w:pPr>
    </w:p>
    <w:p w14:paraId="221641A2" w14:textId="6B88D7EC" w:rsidR="006341A3" w:rsidRPr="00275093" w:rsidRDefault="006341A3" w:rsidP="006341A3">
      <w:pPr>
        <w:rPr>
          <w:sz w:val="22"/>
          <w:szCs w:val="22"/>
        </w:rPr>
      </w:pPr>
      <w:r w:rsidRPr="00275093">
        <w:rPr>
          <w:sz w:val="22"/>
          <w:szCs w:val="22"/>
        </w:rPr>
        <w:t xml:space="preserve">Nežiaduce </w:t>
      </w:r>
      <w:r w:rsidR="006A0094" w:rsidRPr="00275093">
        <w:rPr>
          <w:sz w:val="22"/>
          <w:szCs w:val="22"/>
        </w:rPr>
        <w:t>účinky</w:t>
      </w:r>
      <w:r w:rsidRPr="00275093">
        <w:rPr>
          <w:sz w:val="22"/>
          <w:szCs w:val="22"/>
        </w:rPr>
        <w:t xml:space="preserve"> (Tabuľka 1) sú zoradené podľa </w:t>
      </w:r>
      <w:r w:rsidR="007B3F0F" w:rsidRPr="00275093">
        <w:rPr>
          <w:sz w:val="22"/>
          <w:szCs w:val="22"/>
        </w:rPr>
        <w:t xml:space="preserve">tried </w:t>
      </w:r>
      <w:r w:rsidRPr="00275093">
        <w:rPr>
          <w:sz w:val="22"/>
          <w:szCs w:val="22"/>
        </w:rPr>
        <w:t xml:space="preserve">orgánových </w:t>
      </w:r>
      <w:r w:rsidR="007B3F0F" w:rsidRPr="00275093">
        <w:rPr>
          <w:sz w:val="22"/>
          <w:szCs w:val="22"/>
        </w:rPr>
        <w:t xml:space="preserve">systémov </w:t>
      </w:r>
      <w:r w:rsidRPr="00275093">
        <w:rPr>
          <w:sz w:val="22"/>
          <w:szCs w:val="22"/>
        </w:rPr>
        <w:t xml:space="preserve">MedDRA. V rámci každej triedy orgánových systémov sú nežiaduce </w:t>
      </w:r>
      <w:r w:rsidR="006A0094" w:rsidRPr="00275093">
        <w:rPr>
          <w:sz w:val="22"/>
          <w:szCs w:val="22"/>
        </w:rPr>
        <w:t>účinky</w:t>
      </w:r>
      <w:r w:rsidR="00806DE9" w:rsidRPr="00275093">
        <w:rPr>
          <w:sz w:val="22"/>
          <w:szCs w:val="22"/>
        </w:rPr>
        <w:t xml:space="preserve"> </w:t>
      </w:r>
      <w:r w:rsidRPr="00275093">
        <w:rPr>
          <w:sz w:val="22"/>
          <w:szCs w:val="22"/>
        </w:rPr>
        <w:t xml:space="preserve">zoradené </w:t>
      </w:r>
      <w:r w:rsidR="006A0094" w:rsidRPr="00275093">
        <w:rPr>
          <w:sz w:val="22"/>
          <w:szCs w:val="22"/>
        </w:rPr>
        <w:t xml:space="preserve">zostupne </w:t>
      </w:r>
      <w:r w:rsidRPr="00275093">
        <w:rPr>
          <w:sz w:val="22"/>
          <w:szCs w:val="22"/>
        </w:rPr>
        <w:t xml:space="preserve">podľa frekvencie. V rámci každej skupiny frekvencií sú nežiaduce </w:t>
      </w:r>
      <w:r w:rsidR="006A0094" w:rsidRPr="00275093">
        <w:rPr>
          <w:sz w:val="22"/>
          <w:szCs w:val="22"/>
        </w:rPr>
        <w:t>účinky</w:t>
      </w:r>
      <w:r w:rsidRPr="00275093">
        <w:rPr>
          <w:sz w:val="22"/>
          <w:szCs w:val="22"/>
        </w:rPr>
        <w:t xml:space="preserve"> uvedené v poradí klesajúcej závažnosti.</w:t>
      </w:r>
    </w:p>
    <w:p w14:paraId="4AE0AB68" w14:textId="53BA41CE" w:rsidR="001C3198" w:rsidRPr="00275093" w:rsidRDefault="006341A3" w:rsidP="006341A3">
      <w:pPr>
        <w:rPr>
          <w:sz w:val="22"/>
          <w:szCs w:val="22"/>
        </w:rPr>
      </w:pPr>
      <w:r w:rsidRPr="00275093">
        <w:rPr>
          <w:sz w:val="22"/>
          <w:szCs w:val="22"/>
        </w:rPr>
        <w:t>Okrem toho je pre každ</w:t>
      </w:r>
      <w:r w:rsidR="006A0094" w:rsidRPr="00275093">
        <w:rPr>
          <w:sz w:val="22"/>
          <w:szCs w:val="22"/>
        </w:rPr>
        <w:t>ý nežiaduci účinok</w:t>
      </w:r>
      <w:r w:rsidRPr="00275093">
        <w:rPr>
          <w:sz w:val="22"/>
          <w:szCs w:val="22"/>
        </w:rPr>
        <w:t xml:space="preserve"> uvedená zodpovedajúca kategória</w:t>
      </w:r>
      <w:r w:rsidR="001C3198" w:rsidRPr="00275093">
        <w:rPr>
          <w:sz w:val="22"/>
          <w:szCs w:val="22"/>
        </w:rPr>
        <w:t xml:space="preserve"> frekvencie</w:t>
      </w:r>
      <w:r w:rsidRPr="00275093">
        <w:rPr>
          <w:sz w:val="22"/>
          <w:szCs w:val="22"/>
        </w:rPr>
        <w:t xml:space="preserve"> podľa nasledujúcej konvencie (CIOM</w:t>
      </w:r>
      <w:r w:rsidR="001D0CFB" w:rsidRPr="00275093">
        <w:rPr>
          <w:sz w:val="22"/>
          <w:szCs w:val="22"/>
        </w:rPr>
        <w:t>S</w:t>
      </w:r>
      <w:r w:rsidRPr="00275093">
        <w:rPr>
          <w:sz w:val="22"/>
          <w:szCs w:val="22"/>
        </w:rPr>
        <w:t xml:space="preserve"> III)</w:t>
      </w:r>
      <w:r w:rsidR="001C3198" w:rsidRPr="00275093">
        <w:rPr>
          <w:sz w:val="22"/>
          <w:szCs w:val="22"/>
        </w:rPr>
        <w:t xml:space="preserve">: veľmi časté: </w:t>
      </w:r>
      <w:r w:rsidR="001C3198" w:rsidRPr="00275093">
        <w:rPr>
          <w:sz w:val="22"/>
          <w:szCs w:val="22"/>
        </w:rPr>
        <w:sym w:font="Symbol" w:char="F0B3"/>
      </w:r>
      <w:r w:rsidR="001C3198" w:rsidRPr="00275093">
        <w:rPr>
          <w:sz w:val="22"/>
          <w:szCs w:val="22"/>
        </w:rPr>
        <w:t xml:space="preserve"> 1/10; časté: </w:t>
      </w:r>
      <w:r w:rsidR="001C3198" w:rsidRPr="00275093">
        <w:rPr>
          <w:sz w:val="22"/>
          <w:szCs w:val="22"/>
        </w:rPr>
        <w:sym w:font="Symbol" w:char="F0B3"/>
      </w:r>
      <w:r w:rsidR="001C3198" w:rsidRPr="00275093">
        <w:rPr>
          <w:sz w:val="22"/>
          <w:szCs w:val="22"/>
        </w:rPr>
        <w:t xml:space="preserve"> 1/100 </w:t>
      </w:r>
      <w:r w:rsidR="004E42C1" w:rsidRPr="00275093">
        <w:rPr>
          <w:sz w:val="22"/>
          <w:szCs w:val="22"/>
        </w:rPr>
        <w:t>až</w:t>
      </w:r>
      <w:r w:rsidR="001C3198" w:rsidRPr="00275093">
        <w:rPr>
          <w:sz w:val="22"/>
          <w:szCs w:val="22"/>
        </w:rPr>
        <w:t xml:space="preserve"> &lt; 1/10; menej časté: </w:t>
      </w:r>
      <w:r w:rsidR="001C3198" w:rsidRPr="00275093">
        <w:rPr>
          <w:sz w:val="22"/>
          <w:szCs w:val="22"/>
        </w:rPr>
        <w:sym w:font="Symbol" w:char="F0B3"/>
      </w:r>
      <w:r w:rsidR="001C3198" w:rsidRPr="00275093">
        <w:rPr>
          <w:sz w:val="22"/>
          <w:szCs w:val="22"/>
        </w:rPr>
        <w:t xml:space="preserve"> 1/1 000 </w:t>
      </w:r>
      <w:r w:rsidR="004E42C1" w:rsidRPr="00275093">
        <w:rPr>
          <w:sz w:val="22"/>
          <w:szCs w:val="22"/>
        </w:rPr>
        <w:t>až</w:t>
      </w:r>
      <w:r w:rsidR="001C3198" w:rsidRPr="00275093">
        <w:rPr>
          <w:sz w:val="22"/>
          <w:szCs w:val="22"/>
        </w:rPr>
        <w:t xml:space="preserve"> &lt; 1/100; zriedkavé: </w:t>
      </w:r>
      <w:r w:rsidR="001C3198" w:rsidRPr="00275093">
        <w:rPr>
          <w:sz w:val="22"/>
          <w:szCs w:val="22"/>
        </w:rPr>
        <w:sym w:font="Symbol" w:char="F0B3"/>
      </w:r>
      <w:r w:rsidR="001C3198" w:rsidRPr="00275093">
        <w:rPr>
          <w:sz w:val="22"/>
          <w:szCs w:val="22"/>
        </w:rPr>
        <w:t xml:space="preserve"> 1/10 000</w:t>
      </w:r>
      <w:r w:rsidR="004E42C1" w:rsidRPr="00275093">
        <w:rPr>
          <w:sz w:val="22"/>
          <w:szCs w:val="22"/>
        </w:rPr>
        <w:t xml:space="preserve"> až</w:t>
      </w:r>
      <w:r w:rsidR="001C3198" w:rsidRPr="00275093">
        <w:rPr>
          <w:sz w:val="22"/>
          <w:szCs w:val="22"/>
        </w:rPr>
        <w:t xml:space="preserve"> &lt; 1/1 000; veľmi zriedkavé: &lt; 1/10 000; neznáme (z dostupných údajov)</w:t>
      </w:r>
    </w:p>
    <w:p w14:paraId="281CA088" w14:textId="77777777" w:rsidR="001C3198" w:rsidRPr="00275093" w:rsidRDefault="001C3198" w:rsidP="001C3198">
      <w:pPr>
        <w:rPr>
          <w:sz w:val="22"/>
          <w:szCs w:val="22"/>
        </w:rPr>
      </w:pPr>
    </w:p>
    <w:p w14:paraId="6D473C86" w14:textId="77777777" w:rsidR="006341A3" w:rsidRPr="00275093" w:rsidRDefault="006341A3" w:rsidP="001B5CB7">
      <w:pPr>
        <w:keepNext/>
        <w:rPr>
          <w:sz w:val="22"/>
          <w:szCs w:val="22"/>
        </w:rPr>
      </w:pPr>
      <w:r w:rsidRPr="00275093">
        <w:rPr>
          <w:sz w:val="22"/>
          <w:szCs w:val="22"/>
        </w:rPr>
        <w:t>Tabuľka 1</w:t>
      </w:r>
    </w:p>
    <w:p w14:paraId="60E9C695" w14:textId="77777777" w:rsidR="001C3198" w:rsidRPr="00275093" w:rsidRDefault="001C3198" w:rsidP="001B5CB7">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588"/>
      </w:tblGrid>
      <w:tr w:rsidR="001C3198" w:rsidRPr="00275093" w14:paraId="5F1338D7" w14:textId="77777777" w:rsidTr="00EB5A52">
        <w:tc>
          <w:tcPr>
            <w:tcW w:w="3510" w:type="dxa"/>
          </w:tcPr>
          <w:p w14:paraId="03741D2C" w14:textId="77777777" w:rsidR="001C3198" w:rsidRPr="00275093" w:rsidRDefault="001C3198" w:rsidP="001B5CB7">
            <w:pPr>
              <w:pStyle w:val="Table"/>
              <w:keepNext/>
              <w:spacing w:before="0" w:after="0"/>
              <w:rPr>
                <w:rFonts w:ascii="Times New Roman" w:hAnsi="Times New Roman"/>
                <w:b/>
                <w:sz w:val="22"/>
                <w:szCs w:val="22"/>
                <w:lang w:val="sk-SK"/>
              </w:rPr>
            </w:pPr>
            <w:r w:rsidRPr="00275093">
              <w:rPr>
                <w:rFonts w:ascii="Times New Roman" w:hAnsi="Times New Roman"/>
                <w:b/>
                <w:bCs/>
                <w:sz w:val="22"/>
                <w:szCs w:val="22"/>
                <w:lang w:val="sk-SK"/>
              </w:rPr>
              <w:t>Poruchy krvi a lymfatického systému</w:t>
            </w:r>
          </w:p>
        </w:tc>
        <w:tc>
          <w:tcPr>
            <w:tcW w:w="5588" w:type="dxa"/>
          </w:tcPr>
          <w:p w14:paraId="188FC8B3" w14:textId="77777777" w:rsidR="001C3198" w:rsidRPr="00275093" w:rsidRDefault="001C3198" w:rsidP="001B5CB7">
            <w:pPr>
              <w:pStyle w:val="Table"/>
              <w:keepNext/>
              <w:spacing w:before="0" w:after="0"/>
              <w:jc w:val="both"/>
              <w:rPr>
                <w:rFonts w:ascii="Times New Roman" w:hAnsi="Times New Roman"/>
                <w:b/>
                <w:sz w:val="22"/>
                <w:szCs w:val="22"/>
                <w:lang w:val="sk-SK"/>
              </w:rPr>
            </w:pPr>
          </w:p>
        </w:tc>
      </w:tr>
      <w:tr w:rsidR="001C3198" w:rsidRPr="00275093" w14:paraId="5558282D" w14:textId="77777777" w:rsidTr="00EB5A52">
        <w:tc>
          <w:tcPr>
            <w:tcW w:w="3510" w:type="dxa"/>
          </w:tcPr>
          <w:p w14:paraId="7F788AAF"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Menej časté</w:t>
            </w:r>
          </w:p>
        </w:tc>
        <w:tc>
          <w:tcPr>
            <w:tcW w:w="5588" w:type="dxa"/>
          </w:tcPr>
          <w:p w14:paraId="4E6D6212"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Leukopénia.</w:t>
            </w:r>
          </w:p>
        </w:tc>
      </w:tr>
      <w:tr w:rsidR="001C3198" w:rsidRPr="00275093" w14:paraId="5BFC485C" w14:textId="77777777" w:rsidTr="00EB5A52">
        <w:tc>
          <w:tcPr>
            <w:tcW w:w="3510" w:type="dxa"/>
          </w:tcPr>
          <w:p w14:paraId="320A25CF" w14:textId="77777777" w:rsidR="001C3198" w:rsidRPr="00275093" w:rsidRDefault="001C3198" w:rsidP="00F16B73">
            <w:pPr>
              <w:pStyle w:val="Text"/>
              <w:spacing w:before="0"/>
              <w:jc w:val="left"/>
              <w:rPr>
                <w:sz w:val="22"/>
                <w:szCs w:val="22"/>
                <w:lang w:val="sk-SK"/>
              </w:rPr>
            </w:pPr>
            <w:r w:rsidRPr="00275093">
              <w:rPr>
                <w:sz w:val="22"/>
                <w:szCs w:val="22"/>
                <w:lang w:val="sk-SK"/>
              </w:rPr>
              <w:t>Veľmi zriedkavé</w:t>
            </w:r>
          </w:p>
        </w:tc>
        <w:tc>
          <w:tcPr>
            <w:tcW w:w="5588" w:type="dxa"/>
          </w:tcPr>
          <w:p w14:paraId="4A593969"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Trombocytopénia.</w:t>
            </w:r>
          </w:p>
        </w:tc>
      </w:tr>
      <w:tr w:rsidR="001C3198" w:rsidRPr="00275093" w14:paraId="66F49B93" w14:textId="77777777" w:rsidTr="00EB5A52">
        <w:tc>
          <w:tcPr>
            <w:tcW w:w="3510" w:type="dxa"/>
          </w:tcPr>
          <w:p w14:paraId="7870DBBE"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Neznáme</w:t>
            </w:r>
          </w:p>
        </w:tc>
        <w:tc>
          <w:tcPr>
            <w:tcW w:w="5588" w:type="dxa"/>
          </w:tcPr>
          <w:p w14:paraId="1CAAFE90"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Útlm kostnej drene, aplastická anémia, agranulocytóza, pancytopénia, neutropénia.</w:t>
            </w:r>
          </w:p>
        </w:tc>
      </w:tr>
      <w:tr w:rsidR="001C3198" w:rsidRPr="00275093" w14:paraId="1C1175DB" w14:textId="77777777" w:rsidTr="00EB5A52">
        <w:tc>
          <w:tcPr>
            <w:tcW w:w="3510" w:type="dxa"/>
          </w:tcPr>
          <w:p w14:paraId="51013842"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Poruchy imunitného systému</w:t>
            </w:r>
          </w:p>
        </w:tc>
        <w:tc>
          <w:tcPr>
            <w:tcW w:w="5588" w:type="dxa"/>
          </w:tcPr>
          <w:p w14:paraId="36D81E5C"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05C51D65" w14:textId="77777777" w:rsidTr="00EB5A52">
        <w:tc>
          <w:tcPr>
            <w:tcW w:w="3510" w:type="dxa"/>
          </w:tcPr>
          <w:p w14:paraId="64E32281"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Veľmi zriedkavé</w:t>
            </w:r>
          </w:p>
        </w:tc>
        <w:tc>
          <w:tcPr>
            <w:tcW w:w="5588" w:type="dxa"/>
          </w:tcPr>
          <w:p w14:paraId="78AFA7CB" w14:textId="77777777" w:rsidR="001C3198" w:rsidRPr="00275093" w:rsidRDefault="001C3198" w:rsidP="00124EED">
            <w:pPr>
              <w:pStyle w:val="Text"/>
              <w:spacing w:before="0"/>
              <w:jc w:val="left"/>
              <w:rPr>
                <w:sz w:val="22"/>
                <w:szCs w:val="22"/>
                <w:lang w:val="sk-SK"/>
              </w:rPr>
            </w:pPr>
            <w:r w:rsidRPr="00275093">
              <w:rPr>
                <w:sz w:val="22"/>
                <w:szCs w:val="22"/>
                <w:lang w:val="sk-SK"/>
              </w:rPr>
              <w:t xml:space="preserve">Precitlivenosť </w:t>
            </w:r>
            <w:r w:rsidR="00F747AC" w:rsidRPr="00275093">
              <w:rPr>
                <w:b/>
                <w:sz w:val="22"/>
                <w:szCs w:val="22"/>
                <w:vertAlign w:val="superscript"/>
              </w:rPr>
              <w:sym w:font="Symbol" w:char="F023"/>
            </w:r>
            <w:r w:rsidR="00F747AC" w:rsidRPr="00275093">
              <w:rPr>
                <w:sz w:val="22"/>
                <w:szCs w:val="22"/>
              </w:rPr>
              <w:t>.</w:t>
            </w:r>
          </w:p>
        </w:tc>
      </w:tr>
      <w:tr w:rsidR="001C3198" w:rsidRPr="00275093" w14:paraId="4526E1AD" w14:textId="77777777" w:rsidTr="00EB5A52">
        <w:tc>
          <w:tcPr>
            <w:tcW w:w="3510" w:type="dxa"/>
          </w:tcPr>
          <w:p w14:paraId="76056EE6"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Neznáme</w:t>
            </w:r>
          </w:p>
        </w:tc>
        <w:tc>
          <w:tcPr>
            <w:tcW w:w="5588" w:type="dxa"/>
          </w:tcPr>
          <w:p w14:paraId="497C6B22" w14:textId="77777777" w:rsidR="001C3198" w:rsidRPr="00275093" w:rsidRDefault="001C3198" w:rsidP="00F747AC">
            <w:pPr>
              <w:pStyle w:val="Table"/>
              <w:spacing w:before="0" w:after="0"/>
              <w:rPr>
                <w:rFonts w:ascii="Times New Roman" w:hAnsi="Times New Roman"/>
                <w:sz w:val="22"/>
                <w:szCs w:val="22"/>
                <w:lang w:val="sk-SK"/>
              </w:rPr>
            </w:pPr>
            <w:r w:rsidRPr="00275093">
              <w:rPr>
                <w:rFonts w:ascii="Times New Roman" w:hAnsi="Times New Roman"/>
                <w:sz w:val="22"/>
                <w:szCs w:val="22"/>
                <w:lang w:val="sk-SK"/>
              </w:rPr>
              <w:t>Anafylaktické reakcie</w:t>
            </w:r>
            <w:r w:rsidR="00F747AC" w:rsidRPr="00275093">
              <w:rPr>
                <w:rFonts w:ascii="Times New Roman" w:hAnsi="Times New Roman"/>
                <w:sz w:val="22"/>
                <w:szCs w:val="22"/>
                <w:lang w:val="sk-SK"/>
              </w:rPr>
              <w:t>.</w:t>
            </w:r>
          </w:p>
        </w:tc>
      </w:tr>
      <w:tr w:rsidR="00F747AC" w:rsidRPr="00275093" w14:paraId="1055863E" w14:textId="77777777" w:rsidTr="00EB5A52">
        <w:tc>
          <w:tcPr>
            <w:tcW w:w="3510" w:type="dxa"/>
          </w:tcPr>
          <w:p w14:paraId="7FAC7A04" w14:textId="77777777" w:rsidR="00F747AC" w:rsidRPr="00275093" w:rsidDel="00173530" w:rsidRDefault="00F747AC" w:rsidP="00F747AC">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Endokrinné poruchy</w:t>
            </w:r>
          </w:p>
        </w:tc>
        <w:tc>
          <w:tcPr>
            <w:tcW w:w="5588" w:type="dxa"/>
          </w:tcPr>
          <w:p w14:paraId="16D1F94C" w14:textId="77777777" w:rsidR="00F747AC" w:rsidRPr="00275093" w:rsidRDefault="00F747AC" w:rsidP="009E3675">
            <w:pPr>
              <w:pStyle w:val="Table"/>
              <w:spacing w:before="0" w:after="0"/>
              <w:rPr>
                <w:rFonts w:ascii="Times New Roman" w:hAnsi="Times New Roman"/>
                <w:b/>
                <w:sz w:val="22"/>
                <w:szCs w:val="22"/>
                <w:lang w:val="sk-SK"/>
              </w:rPr>
            </w:pPr>
          </w:p>
        </w:tc>
      </w:tr>
      <w:tr w:rsidR="00162DEC" w:rsidRPr="00275093" w14:paraId="3DBCC58D" w14:textId="77777777" w:rsidTr="00EB5A52">
        <w:tc>
          <w:tcPr>
            <w:tcW w:w="3510" w:type="dxa"/>
          </w:tcPr>
          <w:p w14:paraId="1313ECCF" w14:textId="77777777" w:rsidR="00162DEC" w:rsidRPr="00275093" w:rsidRDefault="00162DEC" w:rsidP="009E3675">
            <w:pPr>
              <w:pStyle w:val="Table"/>
              <w:spacing w:before="0" w:after="0"/>
              <w:rPr>
                <w:rFonts w:ascii="Times New Roman" w:hAnsi="Times New Roman"/>
                <w:sz w:val="22"/>
                <w:szCs w:val="22"/>
                <w:lang w:val="sk-SK"/>
              </w:rPr>
            </w:pPr>
            <w:r w:rsidRPr="00275093">
              <w:rPr>
                <w:rFonts w:ascii="Times New Roman" w:hAnsi="Times New Roman"/>
                <w:sz w:val="22"/>
                <w:szCs w:val="22"/>
                <w:lang w:val="sk-SK"/>
              </w:rPr>
              <w:t>Časté</w:t>
            </w:r>
          </w:p>
        </w:tc>
        <w:tc>
          <w:tcPr>
            <w:tcW w:w="5588" w:type="dxa"/>
          </w:tcPr>
          <w:p w14:paraId="7E708575" w14:textId="77777777" w:rsidR="00162DEC" w:rsidRPr="00275093" w:rsidRDefault="00162DEC" w:rsidP="00162DEC">
            <w:pPr>
              <w:pStyle w:val="Table"/>
              <w:spacing w:before="0" w:after="0"/>
              <w:rPr>
                <w:rFonts w:ascii="Times New Roman" w:hAnsi="Times New Roman"/>
                <w:sz w:val="22"/>
                <w:szCs w:val="22"/>
                <w:lang w:val="sk-SK"/>
              </w:rPr>
            </w:pPr>
            <w:r w:rsidRPr="00275093">
              <w:rPr>
                <w:rFonts w:ascii="Times New Roman" w:hAnsi="Times New Roman"/>
                <w:sz w:val="22"/>
                <w:szCs w:val="22"/>
                <w:lang w:val="sk-SK"/>
              </w:rPr>
              <w:t>Zvýšená telesná hmotnosť.</w:t>
            </w:r>
          </w:p>
        </w:tc>
      </w:tr>
      <w:tr w:rsidR="00F747AC" w:rsidRPr="00275093" w14:paraId="7A2BB836" w14:textId="77777777" w:rsidTr="00EB5A52">
        <w:tc>
          <w:tcPr>
            <w:tcW w:w="3510" w:type="dxa"/>
          </w:tcPr>
          <w:p w14:paraId="3C0BC3C1" w14:textId="77777777" w:rsidR="00F747AC" w:rsidRPr="00275093" w:rsidRDefault="00F747AC" w:rsidP="009E3675">
            <w:pPr>
              <w:pStyle w:val="Table"/>
              <w:spacing w:before="0" w:after="0"/>
              <w:rPr>
                <w:rFonts w:ascii="Times New Roman" w:hAnsi="Times New Roman"/>
                <w:sz w:val="22"/>
                <w:szCs w:val="22"/>
                <w:lang w:val="sk-SK"/>
              </w:rPr>
            </w:pPr>
            <w:r w:rsidRPr="00275093">
              <w:rPr>
                <w:rFonts w:ascii="Times New Roman" w:hAnsi="Times New Roman"/>
                <w:sz w:val="22"/>
                <w:szCs w:val="22"/>
                <w:lang w:val="sk-SK"/>
              </w:rPr>
              <w:t>Neznáme</w:t>
            </w:r>
          </w:p>
        </w:tc>
        <w:tc>
          <w:tcPr>
            <w:tcW w:w="5588" w:type="dxa"/>
          </w:tcPr>
          <w:p w14:paraId="2A6184AD" w14:textId="77777777" w:rsidR="00F747AC" w:rsidRPr="00275093" w:rsidRDefault="00F747AC" w:rsidP="009E3675">
            <w:pPr>
              <w:pStyle w:val="Table"/>
              <w:spacing w:before="0" w:after="0"/>
              <w:rPr>
                <w:rFonts w:ascii="Times New Roman" w:hAnsi="Times New Roman"/>
                <w:sz w:val="22"/>
                <w:szCs w:val="22"/>
                <w:lang w:val="sk-SK"/>
              </w:rPr>
            </w:pPr>
            <w:r w:rsidRPr="00275093">
              <w:rPr>
                <w:rFonts w:ascii="Times New Roman" w:hAnsi="Times New Roman"/>
                <w:sz w:val="22"/>
                <w:szCs w:val="22"/>
                <w:lang w:val="sk-SK"/>
              </w:rPr>
              <w:t>Hypotyreóza.</w:t>
            </w:r>
          </w:p>
        </w:tc>
      </w:tr>
      <w:tr w:rsidR="001C3198" w:rsidRPr="00275093" w14:paraId="151DEA4B" w14:textId="77777777" w:rsidTr="00EB5A52">
        <w:tc>
          <w:tcPr>
            <w:tcW w:w="3510" w:type="dxa"/>
          </w:tcPr>
          <w:p w14:paraId="7A46E7E0"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Poruchy metabolizmu a výživy</w:t>
            </w:r>
          </w:p>
        </w:tc>
        <w:tc>
          <w:tcPr>
            <w:tcW w:w="5588" w:type="dxa"/>
          </w:tcPr>
          <w:p w14:paraId="0D3A6ABF"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0B77A5E9" w14:textId="77777777" w:rsidTr="00EB5A52">
        <w:tc>
          <w:tcPr>
            <w:tcW w:w="3510" w:type="dxa"/>
          </w:tcPr>
          <w:p w14:paraId="37B20EF8"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Časté</w:t>
            </w:r>
          </w:p>
        </w:tc>
        <w:tc>
          <w:tcPr>
            <w:tcW w:w="5588" w:type="dxa"/>
          </w:tcPr>
          <w:p w14:paraId="44F5241F"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Hyponatriémia</w:t>
            </w:r>
            <w:r w:rsidR="006341A3" w:rsidRPr="00275093">
              <w:rPr>
                <w:rFonts w:ascii="Times New Roman" w:hAnsi="Times New Roman"/>
                <w:sz w:val="22"/>
                <w:szCs w:val="22"/>
                <w:vertAlign w:val="superscript"/>
              </w:rPr>
              <w:t>†</w:t>
            </w:r>
            <w:r w:rsidRPr="00275093">
              <w:rPr>
                <w:rFonts w:ascii="Times New Roman" w:hAnsi="Times New Roman"/>
                <w:sz w:val="22"/>
                <w:szCs w:val="22"/>
                <w:lang w:val="sk-SK"/>
              </w:rPr>
              <w:t>.</w:t>
            </w:r>
          </w:p>
        </w:tc>
      </w:tr>
      <w:tr w:rsidR="001C3198" w:rsidRPr="00275093" w14:paraId="03D4E030" w14:textId="77777777" w:rsidTr="00EB5A52">
        <w:tc>
          <w:tcPr>
            <w:tcW w:w="3510" w:type="dxa"/>
          </w:tcPr>
          <w:p w14:paraId="5D08B576"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Neznáme</w:t>
            </w:r>
          </w:p>
        </w:tc>
        <w:tc>
          <w:tcPr>
            <w:tcW w:w="5588" w:type="dxa"/>
          </w:tcPr>
          <w:p w14:paraId="32265698" w14:textId="77777777" w:rsidR="001C3198" w:rsidRPr="00275093" w:rsidRDefault="00A11877" w:rsidP="00A11877">
            <w:pPr>
              <w:pStyle w:val="Table"/>
              <w:spacing w:before="0" w:after="0"/>
              <w:rPr>
                <w:rFonts w:ascii="Times New Roman" w:hAnsi="Times New Roman"/>
                <w:sz w:val="22"/>
                <w:szCs w:val="22"/>
                <w:lang w:val="sk-SK"/>
              </w:rPr>
            </w:pPr>
            <w:r w:rsidRPr="00275093">
              <w:rPr>
                <w:rFonts w:ascii="Times New Roman" w:hAnsi="Times New Roman"/>
                <w:sz w:val="22"/>
                <w:szCs w:val="22"/>
                <w:lang w:val="sk-SK"/>
              </w:rPr>
              <w:t>Syndróm podobný neprimeranej sekrécii ADH, s príznakmi a prejavmi ako letargia, nauzea, závraty, pokles osmolality séra (krvi), vracanie, bolesť hlavy, zmätenosť a</w:t>
            </w:r>
            <w:r w:rsidR="00E448C1" w:rsidRPr="00275093">
              <w:rPr>
                <w:rFonts w:ascii="Times New Roman" w:hAnsi="Times New Roman"/>
                <w:sz w:val="22"/>
                <w:szCs w:val="22"/>
                <w:lang w:val="sk-SK"/>
              </w:rPr>
              <w:t>lebo</w:t>
            </w:r>
            <w:r w:rsidRPr="00275093">
              <w:rPr>
                <w:rFonts w:ascii="Times New Roman" w:hAnsi="Times New Roman"/>
                <w:sz w:val="22"/>
                <w:szCs w:val="22"/>
                <w:lang w:val="sk-SK"/>
              </w:rPr>
              <w:t> iné neurologické príznaky a prejavy.</w:t>
            </w:r>
          </w:p>
        </w:tc>
      </w:tr>
      <w:tr w:rsidR="001C3198" w:rsidRPr="00275093" w14:paraId="766F01EE" w14:textId="77777777" w:rsidTr="00EB5A52">
        <w:tc>
          <w:tcPr>
            <w:tcW w:w="3510" w:type="dxa"/>
          </w:tcPr>
          <w:p w14:paraId="18A9322F" w14:textId="77777777" w:rsidR="001C3198" w:rsidRPr="00275093" w:rsidDel="00173530"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Psychické poruchy</w:t>
            </w:r>
          </w:p>
        </w:tc>
        <w:tc>
          <w:tcPr>
            <w:tcW w:w="5588" w:type="dxa"/>
          </w:tcPr>
          <w:p w14:paraId="2DF6F703"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0DE102C6" w14:textId="77777777" w:rsidTr="00EB5A52">
        <w:tc>
          <w:tcPr>
            <w:tcW w:w="3510" w:type="dxa"/>
          </w:tcPr>
          <w:p w14:paraId="1BAA117B"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Časté</w:t>
            </w:r>
          </w:p>
        </w:tc>
        <w:tc>
          <w:tcPr>
            <w:tcW w:w="5588" w:type="dxa"/>
          </w:tcPr>
          <w:p w14:paraId="666D65A3" w14:textId="77777777" w:rsidR="001C3198" w:rsidRPr="00275093" w:rsidRDefault="00A11877" w:rsidP="00A11877">
            <w:pPr>
              <w:pStyle w:val="Table"/>
              <w:spacing w:before="0" w:after="0"/>
              <w:rPr>
                <w:rFonts w:ascii="Times New Roman" w:hAnsi="Times New Roman"/>
                <w:sz w:val="22"/>
                <w:szCs w:val="22"/>
                <w:lang w:val="sk-SK"/>
              </w:rPr>
            </w:pPr>
            <w:r w:rsidRPr="00275093">
              <w:rPr>
                <w:rFonts w:ascii="Times New Roman" w:hAnsi="Times New Roman"/>
                <w:sz w:val="22"/>
                <w:szCs w:val="22"/>
                <w:lang w:val="sk-SK"/>
              </w:rPr>
              <w:t>Agitovanosť (napr. nervozita), citová labilita, s</w:t>
            </w:r>
            <w:r w:rsidR="001C3198" w:rsidRPr="00275093">
              <w:rPr>
                <w:rFonts w:ascii="Times New Roman" w:hAnsi="Times New Roman"/>
                <w:sz w:val="22"/>
                <w:szCs w:val="22"/>
                <w:lang w:val="sk-SK"/>
              </w:rPr>
              <w:t>tav zmätenosti, depresia, apatia</w:t>
            </w:r>
            <w:r w:rsidRPr="00275093">
              <w:rPr>
                <w:rFonts w:ascii="Times New Roman" w:hAnsi="Times New Roman"/>
                <w:sz w:val="22"/>
                <w:szCs w:val="22"/>
                <w:lang w:val="sk-SK"/>
              </w:rPr>
              <w:t>.</w:t>
            </w:r>
          </w:p>
        </w:tc>
      </w:tr>
      <w:tr w:rsidR="001C3198" w:rsidRPr="00275093" w14:paraId="5087D0DE" w14:textId="77777777" w:rsidTr="00EB5A52">
        <w:tc>
          <w:tcPr>
            <w:tcW w:w="3510" w:type="dxa"/>
          </w:tcPr>
          <w:p w14:paraId="0C341045"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Poruchy nervového systému</w:t>
            </w:r>
          </w:p>
        </w:tc>
        <w:tc>
          <w:tcPr>
            <w:tcW w:w="5588" w:type="dxa"/>
          </w:tcPr>
          <w:p w14:paraId="4460CC3B" w14:textId="77777777" w:rsidR="001C3198" w:rsidRPr="00275093" w:rsidRDefault="001C3198" w:rsidP="001C3198">
            <w:pPr>
              <w:rPr>
                <w:b/>
                <w:sz w:val="22"/>
                <w:szCs w:val="22"/>
              </w:rPr>
            </w:pPr>
          </w:p>
        </w:tc>
      </w:tr>
      <w:tr w:rsidR="001C3198" w:rsidRPr="00275093" w14:paraId="1833F7B4" w14:textId="77777777" w:rsidTr="00EB5A52">
        <w:tc>
          <w:tcPr>
            <w:tcW w:w="3510" w:type="dxa"/>
          </w:tcPr>
          <w:p w14:paraId="0564C1E6"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Veľmi časté</w:t>
            </w:r>
          </w:p>
        </w:tc>
        <w:tc>
          <w:tcPr>
            <w:tcW w:w="5588" w:type="dxa"/>
          </w:tcPr>
          <w:p w14:paraId="056F4197"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Somnolencia, bolesť hlavy, závraty.</w:t>
            </w:r>
          </w:p>
        </w:tc>
      </w:tr>
      <w:tr w:rsidR="00E448C1" w:rsidRPr="00275093" w14:paraId="6120FB7E" w14:textId="77777777" w:rsidTr="00621BDB">
        <w:tc>
          <w:tcPr>
            <w:tcW w:w="3510" w:type="dxa"/>
          </w:tcPr>
          <w:p w14:paraId="1CB2708F" w14:textId="77777777" w:rsidR="00E448C1" w:rsidRPr="00275093" w:rsidRDefault="00E448C1" w:rsidP="00621BDB">
            <w:pPr>
              <w:pStyle w:val="Table"/>
              <w:spacing w:before="0" w:after="0"/>
              <w:rPr>
                <w:rFonts w:ascii="Times New Roman" w:hAnsi="Times New Roman"/>
                <w:sz w:val="22"/>
                <w:szCs w:val="22"/>
                <w:lang w:val="sk-SK"/>
              </w:rPr>
            </w:pPr>
            <w:r w:rsidRPr="00275093">
              <w:rPr>
                <w:rFonts w:ascii="Times New Roman" w:hAnsi="Times New Roman"/>
                <w:sz w:val="22"/>
                <w:szCs w:val="22"/>
                <w:lang w:val="sk-SK"/>
              </w:rPr>
              <w:t>Časté</w:t>
            </w:r>
          </w:p>
        </w:tc>
        <w:tc>
          <w:tcPr>
            <w:tcW w:w="5588" w:type="dxa"/>
          </w:tcPr>
          <w:p w14:paraId="0494F253" w14:textId="77777777" w:rsidR="00E448C1" w:rsidRPr="00275093" w:rsidRDefault="00E448C1" w:rsidP="00621BDB">
            <w:pPr>
              <w:pStyle w:val="Table"/>
              <w:spacing w:before="0" w:after="0"/>
              <w:rPr>
                <w:rFonts w:ascii="Times New Roman" w:hAnsi="Times New Roman"/>
                <w:sz w:val="22"/>
                <w:szCs w:val="22"/>
                <w:lang w:val="sk-SK"/>
              </w:rPr>
            </w:pPr>
            <w:r w:rsidRPr="00275093">
              <w:rPr>
                <w:rFonts w:ascii="Times New Roman" w:hAnsi="Times New Roman"/>
                <w:sz w:val="22"/>
                <w:szCs w:val="22"/>
                <w:lang w:val="sk-SK"/>
              </w:rPr>
              <w:t>Ataxia, tremor, nystagmus, poruchy pozornosti, amnézia.</w:t>
            </w:r>
          </w:p>
        </w:tc>
      </w:tr>
      <w:tr w:rsidR="00A11877" w:rsidRPr="00275093" w14:paraId="380776AD" w14:textId="77777777" w:rsidTr="00EB5A52">
        <w:tc>
          <w:tcPr>
            <w:tcW w:w="3510" w:type="dxa"/>
            <w:tcBorders>
              <w:top w:val="nil"/>
              <w:bottom w:val="single" w:sz="4" w:space="0" w:color="auto"/>
            </w:tcBorders>
            <w:shd w:val="clear" w:color="auto" w:fill="auto"/>
          </w:tcPr>
          <w:p w14:paraId="495D0A75" w14:textId="77777777" w:rsidR="00A11877" w:rsidRPr="00275093" w:rsidRDefault="00A11877" w:rsidP="00A11877">
            <w:pPr>
              <w:pStyle w:val="Table"/>
              <w:spacing w:before="0" w:after="0"/>
              <w:rPr>
                <w:rFonts w:ascii="Times New Roman" w:hAnsi="Times New Roman"/>
                <w:sz w:val="22"/>
                <w:szCs w:val="22"/>
              </w:rPr>
            </w:pPr>
            <w:r w:rsidRPr="00275093">
              <w:rPr>
                <w:rFonts w:ascii="Times New Roman" w:hAnsi="Times New Roman"/>
                <w:sz w:val="22"/>
                <w:szCs w:val="22"/>
              </w:rPr>
              <w:t>Neznáme</w:t>
            </w:r>
          </w:p>
        </w:tc>
        <w:tc>
          <w:tcPr>
            <w:tcW w:w="5588" w:type="dxa"/>
            <w:tcBorders>
              <w:top w:val="nil"/>
              <w:bottom w:val="single" w:sz="4" w:space="0" w:color="auto"/>
            </w:tcBorders>
            <w:shd w:val="clear" w:color="auto" w:fill="auto"/>
          </w:tcPr>
          <w:p w14:paraId="116703BF" w14:textId="77777777" w:rsidR="00A11877" w:rsidRPr="00275093" w:rsidRDefault="00A11877" w:rsidP="00EB5A52">
            <w:pPr>
              <w:pStyle w:val="Table"/>
              <w:spacing w:before="0" w:after="0"/>
              <w:rPr>
                <w:rFonts w:ascii="Times New Roman" w:hAnsi="Times New Roman"/>
                <w:sz w:val="22"/>
                <w:szCs w:val="22"/>
              </w:rPr>
            </w:pPr>
            <w:r w:rsidRPr="00275093">
              <w:rPr>
                <w:rFonts w:ascii="Times New Roman" w:hAnsi="Times New Roman"/>
                <w:sz w:val="22"/>
                <w:szCs w:val="22"/>
              </w:rPr>
              <w:t>Poruchy reči (vrátane dy</w:t>
            </w:r>
            <w:r w:rsidR="00EB5A52" w:rsidRPr="00275093">
              <w:rPr>
                <w:rFonts w:ascii="Times New Roman" w:hAnsi="Times New Roman"/>
                <w:sz w:val="22"/>
                <w:szCs w:val="22"/>
              </w:rPr>
              <w:t>zartrie</w:t>
            </w:r>
            <w:r w:rsidRPr="00275093">
              <w:rPr>
                <w:rFonts w:ascii="Times New Roman" w:hAnsi="Times New Roman"/>
                <w:sz w:val="22"/>
                <w:szCs w:val="22"/>
              </w:rPr>
              <w:t xml:space="preserve">); </w:t>
            </w:r>
            <w:r w:rsidR="00EB5A52" w:rsidRPr="00275093">
              <w:rPr>
                <w:rFonts w:ascii="Times New Roman" w:hAnsi="Times New Roman"/>
                <w:sz w:val="22"/>
                <w:szCs w:val="22"/>
              </w:rPr>
              <w:t>častejšie počas titrovania dávky Trilep</w:t>
            </w:r>
            <w:r w:rsidRPr="00275093">
              <w:rPr>
                <w:rFonts w:ascii="Times New Roman" w:hAnsi="Times New Roman"/>
                <w:sz w:val="22"/>
                <w:szCs w:val="22"/>
              </w:rPr>
              <w:t>tal</w:t>
            </w:r>
            <w:r w:rsidR="00EB5A52" w:rsidRPr="00275093">
              <w:rPr>
                <w:rFonts w:ascii="Times New Roman" w:hAnsi="Times New Roman"/>
                <w:sz w:val="22"/>
                <w:szCs w:val="22"/>
              </w:rPr>
              <w:t>u nahor.</w:t>
            </w:r>
          </w:p>
        </w:tc>
      </w:tr>
      <w:tr w:rsidR="001C3198" w:rsidRPr="00275093" w14:paraId="0A278798" w14:textId="77777777" w:rsidTr="00EB5A52">
        <w:tc>
          <w:tcPr>
            <w:tcW w:w="3510" w:type="dxa"/>
          </w:tcPr>
          <w:p w14:paraId="11609ED8"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Poruchy oka</w:t>
            </w:r>
          </w:p>
        </w:tc>
        <w:tc>
          <w:tcPr>
            <w:tcW w:w="5588" w:type="dxa"/>
          </w:tcPr>
          <w:p w14:paraId="42BA8FB2"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7D3D493D" w14:textId="77777777" w:rsidTr="00EB5A52">
        <w:tc>
          <w:tcPr>
            <w:tcW w:w="3510" w:type="dxa"/>
          </w:tcPr>
          <w:p w14:paraId="29898339"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Veľmi časté</w:t>
            </w:r>
          </w:p>
        </w:tc>
        <w:tc>
          <w:tcPr>
            <w:tcW w:w="5588" w:type="dxa"/>
          </w:tcPr>
          <w:p w14:paraId="1B7BF39B"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Diplopia.</w:t>
            </w:r>
          </w:p>
        </w:tc>
      </w:tr>
      <w:tr w:rsidR="001C3198" w:rsidRPr="00275093" w14:paraId="0BABB2C1" w14:textId="77777777" w:rsidTr="00EB5A52">
        <w:tc>
          <w:tcPr>
            <w:tcW w:w="3510" w:type="dxa"/>
          </w:tcPr>
          <w:p w14:paraId="332F9163"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Časté</w:t>
            </w:r>
          </w:p>
        </w:tc>
        <w:tc>
          <w:tcPr>
            <w:tcW w:w="5588" w:type="dxa"/>
          </w:tcPr>
          <w:p w14:paraId="42E94FEB"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Neostré videnie, poruchy videnia.</w:t>
            </w:r>
          </w:p>
        </w:tc>
      </w:tr>
      <w:tr w:rsidR="001C3198" w:rsidRPr="00275093" w14:paraId="01DF416A" w14:textId="77777777" w:rsidTr="00EB5A52">
        <w:tc>
          <w:tcPr>
            <w:tcW w:w="3510" w:type="dxa"/>
          </w:tcPr>
          <w:p w14:paraId="54F55B6C"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Poruchy ucha a labyrintu</w:t>
            </w:r>
          </w:p>
        </w:tc>
        <w:tc>
          <w:tcPr>
            <w:tcW w:w="5588" w:type="dxa"/>
          </w:tcPr>
          <w:p w14:paraId="63C118BF"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51304488" w14:textId="77777777" w:rsidTr="00EB5A52">
        <w:tc>
          <w:tcPr>
            <w:tcW w:w="3510" w:type="dxa"/>
          </w:tcPr>
          <w:p w14:paraId="6CDD33CE"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Časté</w:t>
            </w:r>
          </w:p>
        </w:tc>
        <w:tc>
          <w:tcPr>
            <w:tcW w:w="5588" w:type="dxa"/>
          </w:tcPr>
          <w:p w14:paraId="7D195DCC"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Vertigo.</w:t>
            </w:r>
          </w:p>
        </w:tc>
      </w:tr>
      <w:tr w:rsidR="001C3198" w:rsidRPr="00275093" w14:paraId="3A0CB06A" w14:textId="77777777" w:rsidTr="00EB5A52">
        <w:tc>
          <w:tcPr>
            <w:tcW w:w="3510" w:type="dxa"/>
          </w:tcPr>
          <w:p w14:paraId="43C20520"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Poruchy srdca a srdcovej činnosti</w:t>
            </w:r>
          </w:p>
        </w:tc>
        <w:tc>
          <w:tcPr>
            <w:tcW w:w="5588" w:type="dxa"/>
          </w:tcPr>
          <w:p w14:paraId="054B6FCD"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340F0703" w14:textId="77777777" w:rsidTr="00EB5A52">
        <w:tc>
          <w:tcPr>
            <w:tcW w:w="3510" w:type="dxa"/>
          </w:tcPr>
          <w:p w14:paraId="13D89B0B"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Veľmi zriedkavé</w:t>
            </w:r>
          </w:p>
        </w:tc>
        <w:tc>
          <w:tcPr>
            <w:tcW w:w="5588" w:type="dxa"/>
          </w:tcPr>
          <w:p w14:paraId="77C0A1E0" w14:textId="77777777" w:rsidR="001C3198" w:rsidRPr="00275093" w:rsidRDefault="00EB5A52" w:rsidP="00EB5A52">
            <w:pPr>
              <w:pStyle w:val="Table"/>
              <w:spacing w:before="0" w:after="0"/>
              <w:rPr>
                <w:rFonts w:ascii="Times New Roman" w:hAnsi="Times New Roman"/>
                <w:sz w:val="22"/>
                <w:szCs w:val="22"/>
                <w:lang w:val="sk-SK"/>
              </w:rPr>
            </w:pPr>
            <w:r w:rsidRPr="00275093">
              <w:rPr>
                <w:rFonts w:ascii="Times New Roman" w:hAnsi="Times New Roman"/>
                <w:sz w:val="22"/>
                <w:szCs w:val="22"/>
                <w:lang w:val="sk-SK"/>
              </w:rPr>
              <w:t>Á</w:t>
            </w:r>
            <w:r w:rsidR="001C3198" w:rsidRPr="00275093">
              <w:rPr>
                <w:rFonts w:ascii="Times New Roman" w:hAnsi="Times New Roman"/>
                <w:sz w:val="22"/>
                <w:szCs w:val="22"/>
                <w:lang w:val="sk-SK"/>
              </w:rPr>
              <w:t>trioventrikulárna blokáda</w:t>
            </w:r>
            <w:r w:rsidRPr="00275093">
              <w:rPr>
                <w:rFonts w:ascii="Times New Roman" w:hAnsi="Times New Roman"/>
                <w:sz w:val="22"/>
                <w:szCs w:val="22"/>
                <w:lang w:val="sk-SK"/>
              </w:rPr>
              <w:t>, arytmia</w:t>
            </w:r>
            <w:r w:rsidR="001C3198" w:rsidRPr="00275093">
              <w:rPr>
                <w:rFonts w:ascii="Times New Roman" w:hAnsi="Times New Roman"/>
                <w:sz w:val="22"/>
                <w:szCs w:val="22"/>
                <w:lang w:val="sk-SK"/>
              </w:rPr>
              <w:t>.</w:t>
            </w:r>
          </w:p>
        </w:tc>
      </w:tr>
      <w:tr w:rsidR="001C3198" w:rsidRPr="00275093" w14:paraId="214953CB" w14:textId="77777777" w:rsidTr="00EB5A52">
        <w:tc>
          <w:tcPr>
            <w:tcW w:w="3510" w:type="dxa"/>
          </w:tcPr>
          <w:p w14:paraId="3F8CC2A6"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Poruchy ciev</w:t>
            </w:r>
          </w:p>
        </w:tc>
        <w:tc>
          <w:tcPr>
            <w:tcW w:w="5588" w:type="dxa"/>
          </w:tcPr>
          <w:p w14:paraId="16143BDD" w14:textId="77777777" w:rsidR="001C3198" w:rsidRPr="00275093" w:rsidRDefault="001C3198" w:rsidP="00F16B73">
            <w:pPr>
              <w:pStyle w:val="Table"/>
              <w:spacing w:before="0" w:after="0"/>
              <w:rPr>
                <w:rFonts w:ascii="Times New Roman" w:hAnsi="Times New Roman"/>
                <w:sz w:val="22"/>
                <w:szCs w:val="22"/>
                <w:lang w:val="sk-SK"/>
              </w:rPr>
            </w:pPr>
          </w:p>
        </w:tc>
      </w:tr>
      <w:tr w:rsidR="001C3198" w:rsidRPr="00275093" w14:paraId="01A46AEA" w14:textId="77777777" w:rsidTr="00EB5A52">
        <w:tc>
          <w:tcPr>
            <w:tcW w:w="3510" w:type="dxa"/>
          </w:tcPr>
          <w:p w14:paraId="152069AA"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Neznáme</w:t>
            </w:r>
          </w:p>
        </w:tc>
        <w:tc>
          <w:tcPr>
            <w:tcW w:w="5588" w:type="dxa"/>
          </w:tcPr>
          <w:p w14:paraId="17826D36"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Hypertenzia</w:t>
            </w:r>
            <w:r w:rsidR="002E1B3D" w:rsidRPr="00275093">
              <w:rPr>
                <w:rFonts w:ascii="Times New Roman" w:hAnsi="Times New Roman"/>
                <w:sz w:val="22"/>
                <w:szCs w:val="22"/>
                <w:lang w:val="sk-SK"/>
              </w:rPr>
              <w:t>.</w:t>
            </w:r>
          </w:p>
        </w:tc>
      </w:tr>
      <w:tr w:rsidR="001C3198" w:rsidRPr="00275093" w14:paraId="187E7E06" w14:textId="77777777" w:rsidTr="00EB5A52">
        <w:tc>
          <w:tcPr>
            <w:tcW w:w="3510" w:type="dxa"/>
          </w:tcPr>
          <w:p w14:paraId="1BA652A0"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Poruchy gastrointestinálneho traktu</w:t>
            </w:r>
          </w:p>
        </w:tc>
        <w:tc>
          <w:tcPr>
            <w:tcW w:w="5588" w:type="dxa"/>
          </w:tcPr>
          <w:p w14:paraId="56BC7FC5"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3871E8B7" w14:textId="77777777" w:rsidTr="00EB5A52">
        <w:tc>
          <w:tcPr>
            <w:tcW w:w="3510" w:type="dxa"/>
          </w:tcPr>
          <w:p w14:paraId="47B5790E"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Veľmi časté</w:t>
            </w:r>
          </w:p>
        </w:tc>
        <w:tc>
          <w:tcPr>
            <w:tcW w:w="5588" w:type="dxa"/>
          </w:tcPr>
          <w:p w14:paraId="17F1F5DD" w14:textId="77777777" w:rsidR="001C3198" w:rsidRPr="00275093" w:rsidRDefault="00EB5A52" w:rsidP="00EB5A52">
            <w:pPr>
              <w:pStyle w:val="Text"/>
              <w:spacing w:before="0"/>
              <w:jc w:val="left"/>
              <w:rPr>
                <w:sz w:val="22"/>
                <w:szCs w:val="22"/>
                <w:lang w:val="sk-SK"/>
              </w:rPr>
            </w:pPr>
            <w:r w:rsidRPr="00275093">
              <w:rPr>
                <w:sz w:val="22"/>
                <w:szCs w:val="22"/>
                <w:lang w:val="sk-SK"/>
              </w:rPr>
              <w:t>Vracanie, n</w:t>
            </w:r>
            <w:r w:rsidR="001C3198" w:rsidRPr="00275093">
              <w:rPr>
                <w:sz w:val="22"/>
                <w:szCs w:val="22"/>
                <w:lang w:val="sk-SK"/>
              </w:rPr>
              <w:t>auzea.</w:t>
            </w:r>
          </w:p>
        </w:tc>
      </w:tr>
      <w:tr w:rsidR="001C3198" w:rsidRPr="00275093" w14:paraId="7E1F7CD1" w14:textId="77777777" w:rsidTr="00EB5A52">
        <w:tc>
          <w:tcPr>
            <w:tcW w:w="3510" w:type="dxa"/>
          </w:tcPr>
          <w:p w14:paraId="04F98EA0"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Časté</w:t>
            </w:r>
          </w:p>
        </w:tc>
        <w:tc>
          <w:tcPr>
            <w:tcW w:w="5588" w:type="dxa"/>
          </w:tcPr>
          <w:p w14:paraId="74E130F1" w14:textId="77777777" w:rsidR="001C3198" w:rsidRPr="00275093" w:rsidRDefault="001C3198" w:rsidP="00EB5A52">
            <w:pPr>
              <w:pStyle w:val="Table"/>
              <w:spacing w:before="0" w:after="0"/>
              <w:rPr>
                <w:rFonts w:ascii="Times New Roman" w:hAnsi="Times New Roman"/>
                <w:sz w:val="22"/>
                <w:szCs w:val="22"/>
                <w:lang w:val="sk-SK"/>
              </w:rPr>
            </w:pPr>
            <w:r w:rsidRPr="00275093">
              <w:rPr>
                <w:rFonts w:ascii="Times New Roman" w:hAnsi="Times New Roman"/>
                <w:sz w:val="22"/>
                <w:szCs w:val="22"/>
                <w:lang w:val="sk-SK"/>
              </w:rPr>
              <w:t>Hnačka, bolesť brucha</w:t>
            </w:r>
            <w:r w:rsidR="00EB5A52" w:rsidRPr="00275093">
              <w:rPr>
                <w:rFonts w:ascii="Times New Roman" w:hAnsi="Times New Roman"/>
                <w:sz w:val="22"/>
                <w:szCs w:val="22"/>
                <w:lang w:val="sk-SK"/>
              </w:rPr>
              <w:t>, zápcha.</w:t>
            </w:r>
          </w:p>
        </w:tc>
      </w:tr>
      <w:tr w:rsidR="001C3198" w:rsidRPr="00275093" w14:paraId="5A87444E" w14:textId="77777777" w:rsidTr="00EB5A52">
        <w:tc>
          <w:tcPr>
            <w:tcW w:w="3510" w:type="dxa"/>
          </w:tcPr>
          <w:p w14:paraId="19045417"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lastRenderedPageBreak/>
              <w:t>Veľmi zriedkavé</w:t>
            </w:r>
          </w:p>
        </w:tc>
        <w:tc>
          <w:tcPr>
            <w:tcW w:w="5588" w:type="dxa"/>
          </w:tcPr>
          <w:p w14:paraId="561ABB10"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Pankreatitída a/alebo zvýšenie lipázy a/alebo amylázy.</w:t>
            </w:r>
          </w:p>
        </w:tc>
      </w:tr>
      <w:tr w:rsidR="001C3198" w:rsidRPr="00275093" w14:paraId="380F2776" w14:textId="77777777" w:rsidTr="00EB5A52">
        <w:tc>
          <w:tcPr>
            <w:tcW w:w="3510" w:type="dxa"/>
          </w:tcPr>
          <w:p w14:paraId="125448F8"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Poruchy pečene a žlčových ciest</w:t>
            </w:r>
          </w:p>
        </w:tc>
        <w:tc>
          <w:tcPr>
            <w:tcW w:w="5588" w:type="dxa"/>
          </w:tcPr>
          <w:p w14:paraId="46800366"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1C1E3332" w14:textId="77777777" w:rsidTr="00EB5A52">
        <w:tc>
          <w:tcPr>
            <w:tcW w:w="3510" w:type="dxa"/>
          </w:tcPr>
          <w:p w14:paraId="3869B7AE"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Veľmi zriedkavé</w:t>
            </w:r>
          </w:p>
        </w:tc>
        <w:tc>
          <w:tcPr>
            <w:tcW w:w="5588" w:type="dxa"/>
          </w:tcPr>
          <w:p w14:paraId="4AB85192"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Hepatitída.</w:t>
            </w:r>
          </w:p>
        </w:tc>
      </w:tr>
      <w:tr w:rsidR="001C3198" w:rsidRPr="00275093" w14:paraId="4E62199D" w14:textId="77777777" w:rsidTr="00EB5A52">
        <w:tc>
          <w:tcPr>
            <w:tcW w:w="3510" w:type="dxa"/>
          </w:tcPr>
          <w:p w14:paraId="4D9EC0E2"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Poruchy kože a podkožného tkaniva</w:t>
            </w:r>
          </w:p>
        </w:tc>
        <w:tc>
          <w:tcPr>
            <w:tcW w:w="5588" w:type="dxa"/>
          </w:tcPr>
          <w:p w14:paraId="5E5A6F06"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084E148C" w14:textId="77777777" w:rsidTr="00EB5A52">
        <w:tc>
          <w:tcPr>
            <w:tcW w:w="3510" w:type="dxa"/>
          </w:tcPr>
          <w:p w14:paraId="247D6D1C"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Časté</w:t>
            </w:r>
          </w:p>
        </w:tc>
        <w:tc>
          <w:tcPr>
            <w:tcW w:w="5588" w:type="dxa"/>
          </w:tcPr>
          <w:p w14:paraId="7ACF932D" w14:textId="77777777" w:rsidR="001C3198" w:rsidRPr="00275093" w:rsidRDefault="001C3198" w:rsidP="00F16B73">
            <w:pPr>
              <w:pStyle w:val="Text"/>
              <w:spacing w:before="0"/>
              <w:jc w:val="left"/>
              <w:rPr>
                <w:i/>
                <w:sz w:val="22"/>
                <w:szCs w:val="22"/>
                <w:lang w:val="sk-SK"/>
              </w:rPr>
            </w:pPr>
            <w:r w:rsidRPr="00275093">
              <w:rPr>
                <w:sz w:val="22"/>
                <w:szCs w:val="22"/>
                <w:lang w:val="sk-SK"/>
              </w:rPr>
              <w:t>Exantém, alopécia, akné.</w:t>
            </w:r>
          </w:p>
        </w:tc>
      </w:tr>
      <w:tr w:rsidR="001C3198" w:rsidRPr="00275093" w14:paraId="2F960154" w14:textId="77777777" w:rsidTr="00EB5A52">
        <w:tc>
          <w:tcPr>
            <w:tcW w:w="3510" w:type="dxa"/>
          </w:tcPr>
          <w:p w14:paraId="3676E141"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Menej časté</w:t>
            </w:r>
          </w:p>
        </w:tc>
        <w:tc>
          <w:tcPr>
            <w:tcW w:w="5588" w:type="dxa"/>
          </w:tcPr>
          <w:p w14:paraId="09AC3C67"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Urtikária.</w:t>
            </w:r>
          </w:p>
        </w:tc>
      </w:tr>
      <w:tr w:rsidR="001C3198" w:rsidRPr="00275093" w14:paraId="34D1DFF4" w14:textId="77777777" w:rsidTr="00EB5A52">
        <w:tc>
          <w:tcPr>
            <w:tcW w:w="3510" w:type="dxa"/>
          </w:tcPr>
          <w:p w14:paraId="28BDB90D"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Veľmi zriedkavé</w:t>
            </w:r>
          </w:p>
        </w:tc>
        <w:tc>
          <w:tcPr>
            <w:tcW w:w="5588" w:type="dxa"/>
          </w:tcPr>
          <w:p w14:paraId="1170F0C8" w14:textId="77777777" w:rsidR="001C3198" w:rsidRPr="00275093" w:rsidRDefault="001C3198" w:rsidP="00EB5A52">
            <w:pPr>
              <w:pStyle w:val="Table"/>
              <w:spacing w:before="0" w:after="0"/>
              <w:rPr>
                <w:rFonts w:ascii="Times New Roman" w:hAnsi="Times New Roman"/>
                <w:sz w:val="22"/>
                <w:szCs w:val="22"/>
                <w:lang w:val="sk-SK"/>
              </w:rPr>
            </w:pPr>
            <w:r w:rsidRPr="00275093">
              <w:rPr>
                <w:rFonts w:ascii="Times New Roman" w:hAnsi="Times New Roman"/>
                <w:sz w:val="22"/>
                <w:szCs w:val="22"/>
                <w:lang w:val="sk-SK"/>
              </w:rPr>
              <w:t>Stevensov-Johnsonov syndróm, toxická epidermálna nekrolýza (Lyellov syndróm), </w:t>
            </w:r>
            <w:r w:rsidR="00EB5A52" w:rsidRPr="00275093">
              <w:rPr>
                <w:rFonts w:ascii="Times New Roman" w:hAnsi="Times New Roman"/>
                <w:sz w:val="22"/>
                <w:szCs w:val="22"/>
                <w:lang w:val="sk-SK"/>
              </w:rPr>
              <w:t xml:space="preserve">angioedém, </w:t>
            </w:r>
            <w:r w:rsidRPr="00275093">
              <w:rPr>
                <w:rFonts w:ascii="Times New Roman" w:hAnsi="Times New Roman"/>
                <w:sz w:val="22"/>
                <w:szCs w:val="22"/>
                <w:lang w:val="sk-SK"/>
              </w:rPr>
              <w:t>multiformný erytém (pozri časť 4.4).</w:t>
            </w:r>
          </w:p>
        </w:tc>
      </w:tr>
      <w:tr w:rsidR="00124EED" w:rsidRPr="00275093" w14:paraId="027B129C" w14:textId="77777777" w:rsidTr="00EB5A52">
        <w:tc>
          <w:tcPr>
            <w:tcW w:w="3510" w:type="dxa"/>
          </w:tcPr>
          <w:p w14:paraId="72896F6D" w14:textId="77777777" w:rsidR="00124EED" w:rsidRPr="00275093" w:rsidRDefault="00124EED"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Neznáme</w:t>
            </w:r>
          </w:p>
        </w:tc>
        <w:tc>
          <w:tcPr>
            <w:tcW w:w="5588" w:type="dxa"/>
          </w:tcPr>
          <w:p w14:paraId="1D8495FF" w14:textId="77777777" w:rsidR="00124EED" w:rsidRPr="00275093" w:rsidRDefault="00F747AC" w:rsidP="00F747AC">
            <w:pPr>
              <w:pStyle w:val="Table"/>
              <w:spacing w:before="0" w:after="0"/>
              <w:rPr>
                <w:rFonts w:ascii="Times New Roman" w:hAnsi="Times New Roman"/>
                <w:sz w:val="22"/>
                <w:szCs w:val="22"/>
                <w:lang w:val="sk-SK"/>
              </w:rPr>
            </w:pPr>
            <w:r w:rsidRPr="00275093">
              <w:rPr>
                <w:rFonts w:ascii="Times New Roman" w:hAnsi="Times New Roman"/>
                <w:sz w:val="22"/>
                <w:szCs w:val="22"/>
                <w:lang w:val="sk-SK"/>
              </w:rPr>
              <w:t>Reakcie na liek s eozinofíliou a systémovými symptómami (DRESS)**, a</w:t>
            </w:r>
            <w:r w:rsidR="00124EED" w:rsidRPr="00275093">
              <w:rPr>
                <w:rFonts w:ascii="Times New Roman" w:hAnsi="Times New Roman"/>
                <w:sz w:val="22"/>
                <w:szCs w:val="22"/>
                <w:lang w:val="sk-SK"/>
              </w:rPr>
              <w:t>kútna gen</w:t>
            </w:r>
            <w:r w:rsidR="00D84150" w:rsidRPr="00275093">
              <w:rPr>
                <w:rFonts w:ascii="Times New Roman" w:hAnsi="Times New Roman"/>
                <w:sz w:val="22"/>
                <w:szCs w:val="22"/>
                <w:lang w:val="sk-SK"/>
              </w:rPr>
              <w:t>e</w:t>
            </w:r>
            <w:r w:rsidR="00124EED" w:rsidRPr="00275093">
              <w:rPr>
                <w:rFonts w:ascii="Times New Roman" w:hAnsi="Times New Roman"/>
                <w:sz w:val="22"/>
                <w:szCs w:val="22"/>
                <w:lang w:val="sk-SK"/>
              </w:rPr>
              <w:t>r</w:t>
            </w:r>
            <w:r w:rsidR="00D84150" w:rsidRPr="00275093">
              <w:rPr>
                <w:rFonts w:ascii="Times New Roman" w:hAnsi="Times New Roman"/>
                <w:sz w:val="22"/>
                <w:szCs w:val="22"/>
                <w:lang w:val="sk-SK"/>
              </w:rPr>
              <w:t>a</w:t>
            </w:r>
            <w:r w:rsidR="00124EED" w:rsidRPr="00275093">
              <w:rPr>
                <w:rFonts w:ascii="Times New Roman" w:hAnsi="Times New Roman"/>
                <w:sz w:val="22"/>
                <w:szCs w:val="22"/>
                <w:lang w:val="sk-SK"/>
              </w:rPr>
              <w:t>lizovaná exantematózna pus</w:t>
            </w:r>
            <w:r w:rsidR="00404C6E" w:rsidRPr="00275093">
              <w:rPr>
                <w:rFonts w:ascii="Times New Roman" w:hAnsi="Times New Roman"/>
                <w:sz w:val="22"/>
                <w:szCs w:val="22"/>
                <w:lang w:val="sk-SK"/>
              </w:rPr>
              <w:t>t</w:t>
            </w:r>
            <w:r w:rsidR="00124EED" w:rsidRPr="00275093">
              <w:rPr>
                <w:rFonts w:ascii="Times New Roman" w:hAnsi="Times New Roman"/>
                <w:sz w:val="22"/>
                <w:szCs w:val="22"/>
                <w:lang w:val="sk-SK"/>
              </w:rPr>
              <w:t>ulóza (AGEP)**</w:t>
            </w:r>
          </w:p>
        </w:tc>
      </w:tr>
      <w:tr w:rsidR="001C3198" w:rsidRPr="00275093" w14:paraId="51F98672" w14:textId="77777777" w:rsidTr="00EB5A52">
        <w:tc>
          <w:tcPr>
            <w:tcW w:w="3510" w:type="dxa"/>
          </w:tcPr>
          <w:p w14:paraId="46859C46"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Poruchy kostrovej a svalovej sústavy a spojivového tkaniva</w:t>
            </w:r>
          </w:p>
        </w:tc>
        <w:tc>
          <w:tcPr>
            <w:tcW w:w="5588" w:type="dxa"/>
          </w:tcPr>
          <w:p w14:paraId="0EC90CB7"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4D8EEBD9" w14:textId="77777777" w:rsidTr="00EB5A52">
        <w:tc>
          <w:tcPr>
            <w:tcW w:w="3510" w:type="dxa"/>
          </w:tcPr>
          <w:p w14:paraId="6CA7A591"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Veľmi zriedkavé</w:t>
            </w:r>
          </w:p>
        </w:tc>
        <w:tc>
          <w:tcPr>
            <w:tcW w:w="5588" w:type="dxa"/>
          </w:tcPr>
          <w:p w14:paraId="7687A9ED"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Systémový lupus erythematosus.</w:t>
            </w:r>
          </w:p>
        </w:tc>
      </w:tr>
      <w:tr w:rsidR="00EB5A52" w:rsidRPr="00275093" w14:paraId="451C02E4" w14:textId="77777777" w:rsidTr="00EB5A52">
        <w:tc>
          <w:tcPr>
            <w:tcW w:w="3510" w:type="dxa"/>
            <w:tcBorders>
              <w:top w:val="nil"/>
              <w:bottom w:val="single" w:sz="4" w:space="0" w:color="auto"/>
            </w:tcBorders>
            <w:shd w:val="clear" w:color="auto" w:fill="auto"/>
          </w:tcPr>
          <w:p w14:paraId="7EFABC52" w14:textId="77777777" w:rsidR="00EB5A52" w:rsidRPr="00275093" w:rsidRDefault="00EB5A52" w:rsidP="009E3675">
            <w:pPr>
              <w:pStyle w:val="Table"/>
              <w:spacing w:before="0" w:after="0"/>
              <w:rPr>
                <w:rFonts w:ascii="Times New Roman" w:hAnsi="Times New Roman"/>
                <w:sz w:val="22"/>
                <w:szCs w:val="22"/>
              </w:rPr>
            </w:pPr>
            <w:r w:rsidRPr="00275093">
              <w:rPr>
                <w:rFonts w:ascii="Times New Roman" w:hAnsi="Times New Roman"/>
                <w:sz w:val="22"/>
                <w:szCs w:val="22"/>
                <w:lang w:val="sk-SK"/>
              </w:rPr>
              <w:t>Neznáme</w:t>
            </w:r>
          </w:p>
        </w:tc>
        <w:tc>
          <w:tcPr>
            <w:tcW w:w="5588" w:type="dxa"/>
            <w:tcBorders>
              <w:top w:val="nil"/>
              <w:bottom w:val="single" w:sz="4" w:space="0" w:color="auto"/>
            </w:tcBorders>
            <w:shd w:val="clear" w:color="auto" w:fill="auto"/>
          </w:tcPr>
          <w:p w14:paraId="7417837B" w14:textId="77777777" w:rsidR="00EB5A52" w:rsidRPr="00275093" w:rsidRDefault="004B731E" w:rsidP="00221942">
            <w:pPr>
              <w:pStyle w:val="Table"/>
              <w:spacing w:before="0" w:after="0"/>
              <w:rPr>
                <w:rFonts w:ascii="Times New Roman" w:hAnsi="Times New Roman"/>
                <w:sz w:val="22"/>
                <w:szCs w:val="22"/>
              </w:rPr>
            </w:pPr>
            <w:r w:rsidRPr="00275093">
              <w:rPr>
                <w:rFonts w:ascii="Times New Roman" w:hAnsi="Times New Roman"/>
                <w:sz w:val="22"/>
                <w:szCs w:val="22"/>
              </w:rPr>
              <w:t xml:space="preserve">U pacientov dlhodobo liečených Trileptalom bolo hlásené zníženie minerálnej </w:t>
            </w:r>
            <w:r w:rsidR="00E448C1" w:rsidRPr="00275093">
              <w:rPr>
                <w:rFonts w:ascii="Times New Roman" w:hAnsi="Times New Roman"/>
                <w:sz w:val="22"/>
                <w:szCs w:val="22"/>
              </w:rPr>
              <w:t xml:space="preserve">denzity </w:t>
            </w:r>
            <w:r w:rsidRPr="00275093">
              <w:rPr>
                <w:rFonts w:ascii="Times New Roman" w:hAnsi="Times New Roman"/>
                <w:sz w:val="22"/>
                <w:szCs w:val="22"/>
              </w:rPr>
              <w:t>kost</w:t>
            </w:r>
            <w:r w:rsidR="00E448C1" w:rsidRPr="00275093">
              <w:rPr>
                <w:rFonts w:ascii="Times New Roman" w:hAnsi="Times New Roman"/>
                <w:sz w:val="22"/>
                <w:szCs w:val="22"/>
              </w:rPr>
              <w:t>í</w:t>
            </w:r>
            <w:r w:rsidRPr="00275093">
              <w:rPr>
                <w:rFonts w:ascii="Times New Roman" w:hAnsi="Times New Roman"/>
                <w:sz w:val="22"/>
                <w:szCs w:val="22"/>
              </w:rPr>
              <w:t>, osteopénia, osteoporóza a zlomeniny. Mechanizmus</w:t>
            </w:r>
            <w:r w:rsidR="00221942" w:rsidRPr="00275093">
              <w:rPr>
                <w:rFonts w:ascii="Times New Roman" w:hAnsi="Times New Roman"/>
                <w:sz w:val="22"/>
                <w:szCs w:val="22"/>
              </w:rPr>
              <w:t xml:space="preserve"> účinku </w:t>
            </w:r>
            <w:r w:rsidRPr="00275093">
              <w:rPr>
                <w:rFonts w:ascii="Times New Roman" w:hAnsi="Times New Roman"/>
                <w:sz w:val="22"/>
                <w:szCs w:val="22"/>
              </w:rPr>
              <w:t>Trileptal</w:t>
            </w:r>
            <w:r w:rsidR="00221942" w:rsidRPr="00275093">
              <w:rPr>
                <w:rFonts w:ascii="Times New Roman" w:hAnsi="Times New Roman"/>
                <w:sz w:val="22"/>
                <w:szCs w:val="22"/>
              </w:rPr>
              <w:t>u</w:t>
            </w:r>
            <w:r w:rsidRPr="00275093">
              <w:rPr>
                <w:rFonts w:ascii="Times New Roman" w:hAnsi="Times New Roman"/>
                <w:sz w:val="22"/>
                <w:szCs w:val="22"/>
              </w:rPr>
              <w:t xml:space="preserve"> na metabolizmus kostí sa nezistil.</w:t>
            </w:r>
          </w:p>
        </w:tc>
      </w:tr>
      <w:tr w:rsidR="001C3198" w:rsidRPr="00275093" w14:paraId="7CC592CF" w14:textId="77777777" w:rsidTr="00EB5A52">
        <w:tc>
          <w:tcPr>
            <w:tcW w:w="3510" w:type="dxa"/>
          </w:tcPr>
          <w:p w14:paraId="5EA7AC62"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Celkové poruchy a reakcie v mieste podania</w:t>
            </w:r>
          </w:p>
        </w:tc>
        <w:tc>
          <w:tcPr>
            <w:tcW w:w="5588" w:type="dxa"/>
          </w:tcPr>
          <w:p w14:paraId="618D1759"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306F4825" w14:textId="77777777" w:rsidTr="00EB5A52">
        <w:tc>
          <w:tcPr>
            <w:tcW w:w="3510" w:type="dxa"/>
          </w:tcPr>
          <w:p w14:paraId="429E1B77"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Veľmi časté</w:t>
            </w:r>
          </w:p>
        </w:tc>
        <w:tc>
          <w:tcPr>
            <w:tcW w:w="5588" w:type="dxa"/>
          </w:tcPr>
          <w:p w14:paraId="46907F45"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Únava.</w:t>
            </w:r>
          </w:p>
        </w:tc>
      </w:tr>
      <w:tr w:rsidR="001C3198" w:rsidRPr="00275093" w14:paraId="4451EF4C" w14:textId="77777777" w:rsidTr="00EB5A52">
        <w:tc>
          <w:tcPr>
            <w:tcW w:w="3510" w:type="dxa"/>
          </w:tcPr>
          <w:p w14:paraId="382F7142"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Časté</w:t>
            </w:r>
          </w:p>
        </w:tc>
        <w:tc>
          <w:tcPr>
            <w:tcW w:w="5588" w:type="dxa"/>
          </w:tcPr>
          <w:p w14:paraId="0F18C533"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Asténia.</w:t>
            </w:r>
          </w:p>
        </w:tc>
      </w:tr>
      <w:tr w:rsidR="001C3198" w:rsidRPr="00275093" w14:paraId="56ACE1A7" w14:textId="77777777" w:rsidTr="00EB5A52">
        <w:tc>
          <w:tcPr>
            <w:tcW w:w="3510" w:type="dxa"/>
          </w:tcPr>
          <w:p w14:paraId="1656122D" w14:textId="77777777" w:rsidR="001C3198" w:rsidRPr="00275093" w:rsidRDefault="001C3198" w:rsidP="00F16B73">
            <w:pPr>
              <w:pStyle w:val="Table"/>
              <w:spacing w:before="0" w:after="0"/>
              <w:rPr>
                <w:rFonts w:ascii="Times New Roman" w:hAnsi="Times New Roman"/>
                <w:b/>
                <w:sz w:val="22"/>
                <w:szCs w:val="22"/>
                <w:lang w:val="sk-SK"/>
              </w:rPr>
            </w:pPr>
            <w:r w:rsidRPr="00275093">
              <w:rPr>
                <w:rFonts w:ascii="Times New Roman" w:hAnsi="Times New Roman"/>
                <w:b/>
                <w:sz w:val="22"/>
                <w:szCs w:val="22"/>
                <w:lang w:val="sk-SK"/>
              </w:rPr>
              <w:t>Laboratórne a funkčné vyšetrenia</w:t>
            </w:r>
          </w:p>
        </w:tc>
        <w:tc>
          <w:tcPr>
            <w:tcW w:w="5588" w:type="dxa"/>
          </w:tcPr>
          <w:p w14:paraId="7F03FA79" w14:textId="77777777" w:rsidR="001C3198" w:rsidRPr="00275093" w:rsidRDefault="001C3198" w:rsidP="00F16B73">
            <w:pPr>
              <w:pStyle w:val="Table"/>
              <w:spacing w:before="0" w:after="0"/>
              <w:rPr>
                <w:rFonts w:ascii="Times New Roman" w:hAnsi="Times New Roman"/>
                <w:b/>
                <w:sz w:val="22"/>
                <w:szCs w:val="22"/>
                <w:lang w:val="sk-SK"/>
              </w:rPr>
            </w:pPr>
          </w:p>
        </w:tc>
      </w:tr>
      <w:tr w:rsidR="001C3198" w:rsidRPr="00275093" w14:paraId="2177A652" w14:textId="77777777" w:rsidTr="00EB5A52">
        <w:tc>
          <w:tcPr>
            <w:tcW w:w="3510" w:type="dxa"/>
            <w:tcBorders>
              <w:bottom w:val="single" w:sz="4" w:space="0" w:color="auto"/>
            </w:tcBorders>
          </w:tcPr>
          <w:p w14:paraId="41599A83"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Menej časté</w:t>
            </w:r>
          </w:p>
        </w:tc>
        <w:tc>
          <w:tcPr>
            <w:tcW w:w="5588" w:type="dxa"/>
            <w:tcBorders>
              <w:bottom w:val="single" w:sz="4" w:space="0" w:color="auto"/>
            </w:tcBorders>
          </w:tcPr>
          <w:p w14:paraId="25895B13" w14:textId="77777777" w:rsidR="001C3198" w:rsidRPr="00275093" w:rsidRDefault="001C3198"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Zvýšenie pečeňových enzýmov, zvýšenie alkalickej fosfatázy v krvi.</w:t>
            </w:r>
          </w:p>
        </w:tc>
      </w:tr>
      <w:tr w:rsidR="005F748F" w:rsidRPr="00275093" w14:paraId="6D5FCA19" w14:textId="77777777" w:rsidTr="00EB5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Borders>
              <w:top w:val="single" w:sz="4" w:space="0" w:color="auto"/>
              <w:left w:val="single" w:sz="4" w:space="0" w:color="auto"/>
              <w:bottom w:val="single" w:sz="4" w:space="0" w:color="auto"/>
              <w:right w:val="single" w:sz="4" w:space="0" w:color="auto"/>
            </w:tcBorders>
          </w:tcPr>
          <w:p w14:paraId="06345708" w14:textId="77777777" w:rsidR="005F748F" w:rsidRPr="00275093" w:rsidRDefault="005F748F"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Neznáme</w:t>
            </w:r>
          </w:p>
        </w:tc>
        <w:tc>
          <w:tcPr>
            <w:tcW w:w="5588" w:type="dxa"/>
            <w:tcBorders>
              <w:top w:val="single" w:sz="4" w:space="0" w:color="auto"/>
              <w:left w:val="single" w:sz="4" w:space="0" w:color="auto"/>
              <w:bottom w:val="single" w:sz="4" w:space="0" w:color="auto"/>
              <w:right w:val="single" w:sz="4" w:space="0" w:color="auto"/>
            </w:tcBorders>
          </w:tcPr>
          <w:p w14:paraId="20FB8D13" w14:textId="77777777" w:rsidR="005F748F" w:rsidRPr="00275093" w:rsidRDefault="005F748F" w:rsidP="00F16B73">
            <w:pPr>
              <w:pStyle w:val="Table"/>
              <w:spacing w:before="0" w:after="0"/>
              <w:rPr>
                <w:rFonts w:ascii="Times New Roman" w:hAnsi="Times New Roman"/>
                <w:sz w:val="22"/>
                <w:szCs w:val="22"/>
                <w:lang w:val="sk-SK"/>
              </w:rPr>
            </w:pPr>
            <w:r w:rsidRPr="00275093">
              <w:rPr>
                <w:rFonts w:ascii="Times New Roman" w:hAnsi="Times New Roman"/>
                <w:sz w:val="22"/>
                <w:szCs w:val="22"/>
                <w:lang w:val="sk-SK"/>
              </w:rPr>
              <w:t>Zníženie T4 (s nejasnou klinickou významnosťou).</w:t>
            </w:r>
          </w:p>
        </w:tc>
      </w:tr>
      <w:tr w:rsidR="00E958DB" w:rsidRPr="00275093" w14:paraId="55FD7B23" w14:textId="77777777" w:rsidTr="00E95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Borders>
              <w:top w:val="single" w:sz="4" w:space="0" w:color="auto"/>
              <w:left w:val="single" w:sz="4" w:space="0" w:color="auto"/>
              <w:bottom w:val="single" w:sz="4" w:space="0" w:color="auto"/>
              <w:right w:val="single" w:sz="4" w:space="0" w:color="auto"/>
            </w:tcBorders>
          </w:tcPr>
          <w:p w14:paraId="0ED903C4" w14:textId="77777777" w:rsidR="00E958DB" w:rsidRPr="00275093" w:rsidRDefault="009926C5" w:rsidP="009E3675">
            <w:pPr>
              <w:pStyle w:val="Table"/>
              <w:spacing w:before="0" w:after="0"/>
              <w:rPr>
                <w:rFonts w:ascii="Times New Roman" w:hAnsi="Times New Roman"/>
                <w:sz w:val="22"/>
                <w:szCs w:val="22"/>
                <w:lang w:val="sk-SK"/>
              </w:rPr>
            </w:pPr>
            <w:r w:rsidRPr="00275093">
              <w:rPr>
                <w:rFonts w:ascii="Times New Roman" w:hAnsi="Times New Roman"/>
                <w:b/>
                <w:sz w:val="22"/>
                <w:szCs w:val="22"/>
                <w:lang w:val="pl-PL"/>
              </w:rPr>
              <w:t>Úrazy, otravy a komplikácie liečebného postupu</w:t>
            </w:r>
          </w:p>
        </w:tc>
        <w:tc>
          <w:tcPr>
            <w:tcW w:w="5588" w:type="dxa"/>
            <w:tcBorders>
              <w:top w:val="single" w:sz="4" w:space="0" w:color="auto"/>
              <w:left w:val="single" w:sz="4" w:space="0" w:color="auto"/>
              <w:bottom w:val="single" w:sz="4" w:space="0" w:color="auto"/>
              <w:right w:val="single" w:sz="4" w:space="0" w:color="auto"/>
            </w:tcBorders>
          </w:tcPr>
          <w:p w14:paraId="36723239" w14:textId="77777777" w:rsidR="00E958DB" w:rsidRPr="00275093" w:rsidRDefault="00E958DB" w:rsidP="009E3675">
            <w:pPr>
              <w:pStyle w:val="Table"/>
              <w:spacing w:before="0" w:after="0"/>
              <w:rPr>
                <w:rFonts w:ascii="Times New Roman" w:hAnsi="Times New Roman"/>
                <w:sz w:val="22"/>
                <w:szCs w:val="22"/>
                <w:lang w:val="sk-SK"/>
              </w:rPr>
            </w:pPr>
          </w:p>
        </w:tc>
      </w:tr>
      <w:tr w:rsidR="00E958DB" w:rsidRPr="00275093" w14:paraId="52AD3FF8" w14:textId="77777777" w:rsidTr="00E958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Borders>
              <w:top w:val="single" w:sz="4" w:space="0" w:color="auto"/>
              <w:left w:val="single" w:sz="4" w:space="0" w:color="auto"/>
              <w:bottom w:val="single" w:sz="4" w:space="0" w:color="auto"/>
              <w:right w:val="single" w:sz="4" w:space="0" w:color="auto"/>
            </w:tcBorders>
          </w:tcPr>
          <w:p w14:paraId="7869E406" w14:textId="77777777" w:rsidR="00E958DB" w:rsidRPr="00275093" w:rsidRDefault="00E958DB" w:rsidP="009E3675">
            <w:pPr>
              <w:pStyle w:val="Table"/>
              <w:spacing w:before="0" w:after="0"/>
              <w:rPr>
                <w:rFonts w:ascii="Times New Roman" w:hAnsi="Times New Roman"/>
                <w:sz w:val="22"/>
                <w:szCs w:val="22"/>
                <w:lang w:val="sk-SK"/>
              </w:rPr>
            </w:pPr>
            <w:r w:rsidRPr="00275093">
              <w:rPr>
                <w:rFonts w:ascii="Times New Roman" w:hAnsi="Times New Roman"/>
                <w:sz w:val="22"/>
                <w:szCs w:val="22"/>
                <w:lang w:val="sk-SK"/>
              </w:rPr>
              <w:t>Neznáme</w:t>
            </w:r>
          </w:p>
        </w:tc>
        <w:tc>
          <w:tcPr>
            <w:tcW w:w="5588" w:type="dxa"/>
            <w:tcBorders>
              <w:top w:val="single" w:sz="4" w:space="0" w:color="auto"/>
              <w:left w:val="single" w:sz="4" w:space="0" w:color="auto"/>
              <w:bottom w:val="single" w:sz="4" w:space="0" w:color="auto"/>
              <w:right w:val="single" w:sz="4" w:space="0" w:color="auto"/>
            </w:tcBorders>
          </w:tcPr>
          <w:p w14:paraId="115DB31E" w14:textId="77777777" w:rsidR="00E958DB" w:rsidRPr="00275093" w:rsidRDefault="00E958DB" w:rsidP="009E3675">
            <w:pPr>
              <w:pStyle w:val="Table"/>
              <w:spacing w:before="0" w:after="0"/>
              <w:rPr>
                <w:rFonts w:ascii="Times New Roman" w:hAnsi="Times New Roman"/>
                <w:sz w:val="22"/>
                <w:szCs w:val="22"/>
                <w:lang w:val="sk-SK"/>
              </w:rPr>
            </w:pPr>
            <w:r w:rsidRPr="00275093">
              <w:rPr>
                <w:rFonts w:ascii="Times New Roman" w:hAnsi="Times New Roman"/>
                <w:sz w:val="22"/>
                <w:szCs w:val="22"/>
                <w:lang w:val="sk-SK"/>
              </w:rPr>
              <w:t>Pády.</w:t>
            </w:r>
          </w:p>
        </w:tc>
      </w:tr>
    </w:tbl>
    <w:p w14:paraId="604392A5" w14:textId="77777777" w:rsidR="00ED6651" w:rsidRPr="00275093" w:rsidRDefault="00ED6651" w:rsidP="00ED6651">
      <w:pPr>
        <w:tabs>
          <w:tab w:val="left" w:pos="567"/>
        </w:tabs>
        <w:rPr>
          <w:sz w:val="22"/>
          <w:szCs w:val="22"/>
          <w:vertAlign w:val="superscript"/>
        </w:rPr>
      </w:pPr>
    </w:p>
    <w:p w14:paraId="1B5DB05D" w14:textId="504B417D" w:rsidR="00ED6651" w:rsidRPr="00275093" w:rsidRDefault="00ED6651" w:rsidP="0095210A">
      <w:pPr>
        <w:pStyle w:val="Text"/>
        <w:spacing w:before="0"/>
        <w:jc w:val="left"/>
        <w:rPr>
          <w:sz w:val="22"/>
          <w:szCs w:val="22"/>
          <w:u w:val="single"/>
          <w:lang w:val="sk-SK"/>
        </w:rPr>
      </w:pPr>
      <w:r w:rsidRPr="00275093">
        <w:rPr>
          <w:sz w:val="22"/>
          <w:szCs w:val="22"/>
          <w:u w:val="single"/>
          <w:lang w:val="sk-SK"/>
        </w:rPr>
        <w:t xml:space="preserve">Opis vybraných nežiaducich </w:t>
      </w:r>
      <w:r w:rsidR="006A0094" w:rsidRPr="00275093">
        <w:rPr>
          <w:sz w:val="22"/>
          <w:szCs w:val="22"/>
          <w:u w:val="single"/>
          <w:lang w:val="sk-SK"/>
        </w:rPr>
        <w:t>účinkov</w:t>
      </w:r>
    </w:p>
    <w:p w14:paraId="7443B341" w14:textId="77777777" w:rsidR="00124EED" w:rsidRPr="00275093" w:rsidRDefault="002E1B3D" w:rsidP="00811C81">
      <w:pPr>
        <w:tabs>
          <w:tab w:val="left" w:pos="567"/>
        </w:tabs>
        <w:rPr>
          <w:b/>
          <w:sz w:val="22"/>
          <w:szCs w:val="22"/>
        </w:rPr>
      </w:pPr>
      <w:r w:rsidRPr="00275093">
        <w:rPr>
          <w:b/>
          <w:sz w:val="22"/>
          <w:szCs w:val="22"/>
          <w:vertAlign w:val="superscript"/>
        </w:rPr>
        <w:sym w:font="Symbol" w:char="F023"/>
      </w:r>
      <w:r w:rsidRPr="00275093">
        <w:rPr>
          <w:bCs/>
          <w:sz w:val="22"/>
          <w:szCs w:val="22"/>
        </w:rPr>
        <w:t xml:space="preserve">Hypersenzitivita (vrátane multiorgánovej precitlivenosti) chrakterizovaná prejavmi ako </w:t>
      </w:r>
      <w:r w:rsidR="00AA5F3A" w:rsidRPr="00275093">
        <w:rPr>
          <w:bCs/>
          <w:sz w:val="22"/>
          <w:szCs w:val="22"/>
        </w:rPr>
        <w:t xml:space="preserve">exantém </w:t>
      </w:r>
      <w:r w:rsidRPr="00275093">
        <w:rPr>
          <w:sz w:val="22"/>
          <w:szCs w:val="22"/>
        </w:rPr>
        <w:t>a horúčka.</w:t>
      </w:r>
      <w:r w:rsidR="00AA5F3A" w:rsidRPr="00275093">
        <w:rPr>
          <w:sz w:val="22"/>
          <w:szCs w:val="22"/>
        </w:rPr>
        <w:t xml:space="preserve"> </w:t>
      </w:r>
      <w:r w:rsidR="00203D4C" w:rsidRPr="00275093">
        <w:rPr>
          <w:sz w:val="22"/>
          <w:szCs w:val="22"/>
        </w:rPr>
        <w:t>Môžu byť postihnuté iné orgány alebo systémy</w:t>
      </w:r>
      <w:r w:rsidRPr="00275093">
        <w:rPr>
          <w:sz w:val="22"/>
          <w:szCs w:val="22"/>
        </w:rPr>
        <w:t>,</w:t>
      </w:r>
      <w:r w:rsidR="00203D4C" w:rsidRPr="00275093">
        <w:rPr>
          <w:sz w:val="22"/>
          <w:szCs w:val="22"/>
        </w:rPr>
        <w:t xml:space="preserve"> </w:t>
      </w:r>
      <w:r w:rsidR="00B0799A" w:rsidRPr="00275093">
        <w:rPr>
          <w:sz w:val="22"/>
          <w:szCs w:val="22"/>
        </w:rPr>
        <w:t>ako krv a lymfatický systém (napr. eo</w:t>
      </w:r>
      <w:r w:rsidRPr="00275093">
        <w:rPr>
          <w:sz w:val="22"/>
          <w:szCs w:val="22"/>
        </w:rPr>
        <w:t>z</w:t>
      </w:r>
      <w:r w:rsidR="00B0799A" w:rsidRPr="00275093">
        <w:rPr>
          <w:sz w:val="22"/>
          <w:szCs w:val="22"/>
        </w:rPr>
        <w:t>inofília, trombocytopénia, leukopéni</w:t>
      </w:r>
      <w:r w:rsidR="00AA5F3A" w:rsidRPr="00275093">
        <w:rPr>
          <w:sz w:val="22"/>
          <w:szCs w:val="22"/>
        </w:rPr>
        <w:t>a</w:t>
      </w:r>
      <w:r w:rsidR="00B0799A" w:rsidRPr="00275093">
        <w:rPr>
          <w:sz w:val="22"/>
          <w:szCs w:val="22"/>
        </w:rPr>
        <w:t>, lymfadenopati</w:t>
      </w:r>
      <w:r w:rsidR="00AA5F3A" w:rsidRPr="00275093">
        <w:rPr>
          <w:sz w:val="22"/>
          <w:szCs w:val="22"/>
        </w:rPr>
        <w:t>a</w:t>
      </w:r>
      <w:r w:rsidR="00B0799A" w:rsidRPr="00275093">
        <w:rPr>
          <w:sz w:val="22"/>
          <w:szCs w:val="22"/>
        </w:rPr>
        <w:t xml:space="preserve">, splenomegália), pečeň (napr. </w:t>
      </w:r>
      <w:r w:rsidR="00AA5F3A" w:rsidRPr="00275093">
        <w:rPr>
          <w:sz w:val="22"/>
          <w:szCs w:val="22"/>
        </w:rPr>
        <w:t xml:space="preserve">hepatitída, </w:t>
      </w:r>
      <w:r w:rsidR="00E448C1" w:rsidRPr="00275093">
        <w:rPr>
          <w:sz w:val="22"/>
          <w:szCs w:val="22"/>
        </w:rPr>
        <w:t xml:space="preserve">abnormálne </w:t>
      </w:r>
      <w:r w:rsidR="00B0799A" w:rsidRPr="00275093">
        <w:rPr>
          <w:sz w:val="22"/>
          <w:szCs w:val="22"/>
        </w:rPr>
        <w:t>testy</w:t>
      </w:r>
      <w:r w:rsidR="00E448C1" w:rsidRPr="00275093">
        <w:rPr>
          <w:sz w:val="22"/>
          <w:szCs w:val="22"/>
        </w:rPr>
        <w:t xml:space="preserve"> funkcie pečene</w:t>
      </w:r>
      <w:r w:rsidR="00B0799A" w:rsidRPr="00275093">
        <w:rPr>
          <w:sz w:val="22"/>
          <w:szCs w:val="22"/>
        </w:rPr>
        <w:t xml:space="preserve">), svaly a kĺby (napr. opuch kĺbov, myalgia, artralgia), nervový systém (napr. hepatálna encefalopatia), obličky (napr. </w:t>
      </w:r>
      <w:r w:rsidR="00AA5F3A" w:rsidRPr="00275093">
        <w:rPr>
          <w:sz w:val="22"/>
          <w:szCs w:val="22"/>
        </w:rPr>
        <w:t xml:space="preserve">zlyhanie obličiek, </w:t>
      </w:r>
      <w:r w:rsidR="00B0799A" w:rsidRPr="00275093">
        <w:rPr>
          <w:sz w:val="22"/>
          <w:szCs w:val="22"/>
        </w:rPr>
        <w:t>inte</w:t>
      </w:r>
      <w:r w:rsidRPr="00275093">
        <w:rPr>
          <w:sz w:val="22"/>
          <w:szCs w:val="22"/>
        </w:rPr>
        <w:t>r</w:t>
      </w:r>
      <w:r w:rsidR="00B0799A" w:rsidRPr="00275093">
        <w:rPr>
          <w:sz w:val="22"/>
          <w:szCs w:val="22"/>
        </w:rPr>
        <w:t>sticiálna nefritída</w:t>
      </w:r>
      <w:r w:rsidR="00AA5F3A" w:rsidRPr="00275093">
        <w:rPr>
          <w:sz w:val="22"/>
          <w:szCs w:val="22"/>
        </w:rPr>
        <w:t>, proteinúria</w:t>
      </w:r>
      <w:r w:rsidR="00B0799A" w:rsidRPr="00275093">
        <w:rPr>
          <w:sz w:val="22"/>
          <w:szCs w:val="22"/>
        </w:rPr>
        <w:t>), pľúca (napr. pulmonálny edém, astma, bornchospazmus, intersticiálna choroba pľúc</w:t>
      </w:r>
      <w:r w:rsidR="00AA5F3A" w:rsidRPr="00275093">
        <w:rPr>
          <w:sz w:val="22"/>
          <w:szCs w:val="22"/>
        </w:rPr>
        <w:t>, dyspnoe</w:t>
      </w:r>
      <w:r w:rsidR="00B0799A" w:rsidRPr="00275093">
        <w:rPr>
          <w:sz w:val="22"/>
          <w:szCs w:val="22"/>
        </w:rPr>
        <w:t>), angioedém.</w:t>
      </w:r>
    </w:p>
    <w:p w14:paraId="6440ABCA" w14:textId="77777777" w:rsidR="00ED6651" w:rsidRPr="00275093" w:rsidRDefault="00ED6651" w:rsidP="00ED6651">
      <w:pPr>
        <w:tabs>
          <w:tab w:val="left" w:pos="567"/>
        </w:tabs>
        <w:rPr>
          <w:sz w:val="22"/>
          <w:szCs w:val="22"/>
        </w:rPr>
      </w:pPr>
    </w:p>
    <w:p w14:paraId="1CE5CE7B" w14:textId="42F27B08" w:rsidR="006E19EA" w:rsidRPr="00275093" w:rsidRDefault="003B482F" w:rsidP="00ED6651">
      <w:pPr>
        <w:tabs>
          <w:tab w:val="left" w:pos="567"/>
        </w:tabs>
        <w:rPr>
          <w:sz w:val="22"/>
          <w:szCs w:val="22"/>
        </w:rPr>
      </w:pPr>
      <w:r w:rsidRPr="00275093">
        <w:rPr>
          <w:sz w:val="22"/>
          <w:szCs w:val="22"/>
          <w:vertAlign w:val="superscript"/>
        </w:rPr>
        <w:t>†</w:t>
      </w:r>
      <w:r w:rsidR="006E19EA" w:rsidRPr="00275093">
        <w:rPr>
          <w:sz w:val="22"/>
          <w:szCs w:val="22"/>
        </w:rPr>
        <w:t xml:space="preserve"> </w:t>
      </w:r>
      <w:r w:rsidRPr="00275093">
        <w:rPr>
          <w:sz w:val="22"/>
          <w:szCs w:val="22"/>
        </w:rPr>
        <w:t>Často, do 2,7</w:t>
      </w:r>
      <w:r w:rsidR="001D0CFB" w:rsidRPr="00275093">
        <w:rPr>
          <w:sz w:val="22"/>
          <w:szCs w:val="22"/>
        </w:rPr>
        <w:t> </w:t>
      </w:r>
      <w:r w:rsidRPr="00275093">
        <w:rPr>
          <w:sz w:val="22"/>
          <w:szCs w:val="22"/>
        </w:rPr>
        <w:t>%,</w:t>
      </w:r>
      <w:r w:rsidR="00ED6651" w:rsidRPr="00275093">
        <w:rPr>
          <w:sz w:val="22"/>
          <w:szCs w:val="22"/>
        </w:rPr>
        <w:t xml:space="preserve"> sa počas užívania Trileptalu môže </w:t>
      </w:r>
      <w:r w:rsidRPr="00275093">
        <w:rPr>
          <w:sz w:val="22"/>
          <w:szCs w:val="22"/>
        </w:rPr>
        <w:t>pozorovať</w:t>
      </w:r>
      <w:r w:rsidR="00ED6651" w:rsidRPr="00275093">
        <w:rPr>
          <w:sz w:val="22"/>
          <w:szCs w:val="22"/>
        </w:rPr>
        <w:t xml:space="preserve"> </w:t>
      </w:r>
      <w:r w:rsidRPr="00275093">
        <w:rPr>
          <w:sz w:val="22"/>
          <w:szCs w:val="22"/>
        </w:rPr>
        <w:t xml:space="preserve">koncentrácia sodíka v sére nižšia ako </w:t>
      </w:r>
      <w:r w:rsidR="00ED6651" w:rsidRPr="00275093">
        <w:rPr>
          <w:sz w:val="22"/>
          <w:szCs w:val="22"/>
        </w:rPr>
        <w:t>125 mmol/l</w:t>
      </w:r>
      <w:r w:rsidR="00FB3F9A" w:rsidRPr="00275093">
        <w:rPr>
          <w:sz w:val="22"/>
          <w:szCs w:val="22"/>
        </w:rPr>
        <w:t xml:space="preserve"> (pozri časť 4.4)</w:t>
      </w:r>
      <w:r w:rsidR="00ED6651" w:rsidRPr="00275093">
        <w:rPr>
          <w:sz w:val="22"/>
          <w:szCs w:val="22"/>
        </w:rPr>
        <w:t xml:space="preserve">. </w:t>
      </w:r>
      <w:r w:rsidRPr="00275093">
        <w:rPr>
          <w:sz w:val="22"/>
          <w:szCs w:val="22"/>
        </w:rPr>
        <w:t xml:space="preserve">Vo väčšine prípadov </w:t>
      </w:r>
      <w:r w:rsidR="006E19EA" w:rsidRPr="00275093">
        <w:rPr>
          <w:sz w:val="22"/>
          <w:szCs w:val="22"/>
        </w:rPr>
        <w:t>je hyponatriémia asymptomatická a nevyžaduje si úpravu liečby.</w:t>
      </w:r>
    </w:p>
    <w:p w14:paraId="372EF730" w14:textId="77777777" w:rsidR="001D0CFB" w:rsidRPr="00275093" w:rsidRDefault="001D0CFB" w:rsidP="006E19EA">
      <w:pPr>
        <w:tabs>
          <w:tab w:val="left" w:pos="567"/>
        </w:tabs>
        <w:rPr>
          <w:sz w:val="22"/>
          <w:szCs w:val="22"/>
        </w:rPr>
      </w:pPr>
    </w:p>
    <w:p w14:paraId="1FCDB040" w14:textId="24F58EC1" w:rsidR="006E19EA" w:rsidRPr="00275093" w:rsidRDefault="00ED6651" w:rsidP="006E19EA">
      <w:pPr>
        <w:tabs>
          <w:tab w:val="left" w:pos="567"/>
        </w:tabs>
        <w:rPr>
          <w:i/>
          <w:sz w:val="22"/>
          <w:szCs w:val="22"/>
        </w:rPr>
      </w:pPr>
      <w:r w:rsidRPr="00275093">
        <w:rPr>
          <w:sz w:val="22"/>
          <w:szCs w:val="22"/>
        </w:rPr>
        <w:t xml:space="preserve">Hyponatriémia spojená s príznakmi a prejavmi ako kŕče, encefalopatia, </w:t>
      </w:r>
      <w:r w:rsidR="002B6A07" w:rsidRPr="00275093">
        <w:rPr>
          <w:sz w:val="22"/>
          <w:szCs w:val="22"/>
        </w:rPr>
        <w:t>znížená úroveň vedomia, zmätenosť</w:t>
      </w:r>
      <w:r w:rsidR="00303B9F" w:rsidRPr="00275093">
        <w:rPr>
          <w:sz w:val="22"/>
          <w:szCs w:val="22"/>
        </w:rPr>
        <w:t xml:space="preserve"> (</w:t>
      </w:r>
      <w:r w:rsidR="00087AFD" w:rsidRPr="00275093">
        <w:rPr>
          <w:sz w:val="22"/>
          <w:szCs w:val="22"/>
        </w:rPr>
        <w:t xml:space="preserve">ďalšie nežiaduce účinky, </w:t>
      </w:r>
      <w:r w:rsidR="00303B9F" w:rsidRPr="00275093">
        <w:rPr>
          <w:sz w:val="22"/>
          <w:szCs w:val="22"/>
        </w:rPr>
        <w:t>pozri aj Poruchy nervového systému</w:t>
      </w:r>
      <w:r w:rsidR="00087AFD" w:rsidRPr="00275093">
        <w:rPr>
          <w:sz w:val="22"/>
          <w:szCs w:val="22"/>
        </w:rPr>
        <w:t>), poruchy videnia (napr. neostré videnie), hypotyreóza, vracanie a nauzea sú hlásené veľmi zriedkavo.</w:t>
      </w:r>
      <w:r w:rsidR="00303B9F" w:rsidRPr="00275093">
        <w:rPr>
          <w:sz w:val="22"/>
          <w:szCs w:val="22"/>
        </w:rPr>
        <w:t xml:space="preserve"> </w:t>
      </w:r>
      <w:r w:rsidR="006E19EA" w:rsidRPr="00275093">
        <w:rPr>
          <w:sz w:val="22"/>
          <w:szCs w:val="22"/>
        </w:rPr>
        <w:t>Spravidla sa</w:t>
      </w:r>
      <w:r w:rsidR="00B907F4" w:rsidRPr="00275093">
        <w:rPr>
          <w:sz w:val="22"/>
          <w:szCs w:val="22"/>
        </w:rPr>
        <w:t xml:space="preserve"> nízka koncentrácia sodíka v sére</w:t>
      </w:r>
      <w:r w:rsidR="006E19EA" w:rsidRPr="00275093">
        <w:rPr>
          <w:sz w:val="22"/>
          <w:szCs w:val="22"/>
        </w:rPr>
        <w:t xml:space="preserve"> vyskytla počas prvých 3 mesiacov liečby Trileptalom, hoci boli pacienti, u ktorých klesla koncentrácia sodíka v sére &lt;125 mmol/l po viac ako 1 roku od začatia liečby (pozri časť 4.4).</w:t>
      </w:r>
      <w:r w:rsidR="006E19EA" w:rsidRPr="00275093">
        <w:rPr>
          <w:i/>
          <w:sz w:val="22"/>
          <w:szCs w:val="22"/>
        </w:rPr>
        <w:t xml:space="preserve"> </w:t>
      </w:r>
    </w:p>
    <w:p w14:paraId="0A2D21DA" w14:textId="77777777" w:rsidR="00ED6651" w:rsidRPr="00275093" w:rsidRDefault="00ED6651" w:rsidP="00811C81">
      <w:pPr>
        <w:tabs>
          <w:tab w:val="left" w:pos="567"/>
        </w:tabs>
        <w:rPr>
          <w:b/>
          <w:sz w:val="22"/>
          <w:szCs w:val="22"/>
        </w:rPr>
      </w:pPr>
    </w:p>
    <w:p w14:paraId="0078675D" w14:textId="77777777" w:rsidR="00ED6651" w:rsidRPr="00275093" w:rsidRDefault="00ED6651" w:rsidP="00ED6651">
      <w:pPr>
        <w:tabs>
          <w:tab w:val="left" w:pos="567"/>
        </w:tabs>
        <w:rPr>
          <w:i/>
          <w:sz w:val="22"/>
          <w:szCs w:val="22"/>
        </w:rPr>
      </w:pPr>
      <w:r w:rsidRPr="00275093">
        <w:rPr>
          <w:i/>
          <w:sz w:val="22"/>
          <w:szCs w:val="22"/>
        </w:rPr>
        <w:t>**Nežiaduce účinky zo spontánnych hlásení a literatúry (frekvencia výskytu neznáma)</w:t>
      </w:r>
    </w:p>
    <w:p w14:paraId="262212FC" w14:textId="77777777" w:rsidR="00ED6651" w:rsidRPr="00275093" w:rsidRDefault="00087AFD" w:rsidP="00ED6651">
      <w:pPr>
        <w:tabs>
          <w:tab w:val="left" w:pos="567"/>
        </w:tabs>
        <w:rPr>
          <w:sz w:val="22"/>
          <w:szCs w:val="22"/>
        </w:rPr>
      </w:pPr>
      <w:r w:rsidRPr="00275093">
        <w:rPr>
          <w:sz w:val="22"/>
          <w:szCs w:val="22"/>
        </w:rPr>
        <w:lastRenderedPageBreak/>
        <w:t>Nasledujúce nežiaduce reakcie sa získali po uvedení Trileptalu na trh z</w:t>
      </w:r>
      <w:r w:rsidR="00ED6651" w:rsidRPr="00275093">
        <w:rPr>
          <w:sz w:val="22"/>
          <w:szCs w:val="22"/>
        </w:rPr>
        <w:t>o spontánnych hlásení a</w:t>
      </w:r>
      <w:r w:rsidR="007B3F0F" w:rsidRPr="00275093">
        <w:rPr>
          <w:sz w:val="22"/>
          <w:szCs w:val="22"/>
        </w:rPr>
        <w:t> </w:t>
      </w:r>
      <w:r w:rsidR="00ED6651" w:rsidRPr="00275093">
        <w:rPr>
          <w:sz w:val="22"/>
          <w:szCs w:val="22"/>
        </w:rPr>
        <w:t>z</w:t>
      </w:r>
      <w:r w:rsidR="007B3F0F" w:rsidRPr="00275093">
        <w:rPr>
          <w:sz w:val="22"/>
          <w:szCs w:val="22"/>
        </w:rPr>
        <w:t> </w:t>
      </w:r>
      <w:r w:rsidR="00ED6651" w:rsidRPr="00275093">
        <w:rPr>
          <w:sz w:val="22"/>
          <w:szCs w:val="22"/>
        </w:rPr>
        <w:t xml:space="preserve">literatúry. </w:t>
      </w:r>
      <w:r w:rsidRPr="00275093">
        <w:rPr>
          <w:sz w:val="22"/>
          <w:szCs w:val="22"/>
        </w:rPr>
        <w:t>Keďže t</w:t>
      </w:r>
      <w:r w:rsidR="00ED6651" w:rsidRPr="00275093">
        <w:rPr>
          <w:sz w:val="22"/>
          <w:szCs w:val="22"/>
        </w:rPr>
        <w:t xml:space="preserve">ieto reakcie sa hlásia dobrovoľne u populácie neznámej veľkosti, nie je možné spoľahlivo </w:t>
      </w:r>
      <w:r w:rsidRPr="00275093">
        <w:rPr>
          <w:sz w:val="22"/>
          <w:szCs w:val="22"/>
        </w:rPr>
        <w:t>ohadnúť</w:t>
      </w:r>
      <w:r w:rsidR="00ED6651" w:rsidRPr="00275093">
        <w:rPr>
          <w:sz w:val="22"/>
          <w:szCs w:val="22"/>
        </w:rPr>
        <w:t xml:space="preserve"> ich frekvenciu, ktorá sa </w:t>
      </w:r>
      <w:r w:rsidRPr="00275093">
        <w:rPr>
          <w:sz w:val="22"/>
          <w:szCs w:val="22"/>
        </w:rPr>
        <w:t xml:space="preserve">preto </w:t>
      </w:r>
      <w:r w:rsidR="00ED6651" w:rsidRPr="00275093">
        <w:rPr>
          <w:sz w:val="22"/>
          <w:szCs w:val="22"/>
        </w:rPr>
        <w:t>hodnotí ako neznáma.</w:t>
      </w:r>
    </w:p>
    <w:p w14:paraId="043F09DF" w14:textId="77777777" w:rsidR="00ED6651" w:rsidRPr="00275093" w:rsidRDefault="00ED6651" w:rsidP="00811C81">
      <w:pPr>
        <w:tabs>
          <w:tab w:val="left" w:pos="567"/>
        </w:tabs>
        <w:rPr>
          <w:b/>
          <w:sz w:val="22"/>
          <w:szCs w:val="22"/>
        </w:rPr>
      </w:pPr>
    </w:p>
    <w:p w14:paraId="66B5D3D4" w14:textId="77777777" w:rsidR="00610C9F" w:rsidRPr="00275093" w:rsidRDefault="00610C9F" w:rsidP="00275093">
      <w:pPr>
        <w:keepNext/>
        <w:suppressLineNumbers/>
        <w:autoSpaceDE w:val="0"/>
        <w:autoSpaceDN w:val="0"/>
        <w:adjustRightInd w:val="0"/>
        <w:rPr>
          <w:sz w:val="22"/>
          <w:szCs w:val="22"/>
          <w:u w:val="single"/>
        </w:rPr>
      </w:pPr>
      <w:r w:rsidRPr="00275093">
        <w:rPr>
          <w:sz w:val="22"/>
          <w:szCs w:val="22"/>
          <w:u w:val="single"/>
        </w:rPr>
        <w:t>Hlásenie podozrení na nežiaduce reakcie</w:t>
      </w:r>
    </w:p>
    <w:p w14:paraId="688C66DC" w14:textId="3847EFFC" w:rsidR="00610C9F" w:rsidRPr="00275093" w:rsidRDefault="00610C9F" w:rsidP="00275093">
      <w:pPr>
        <w:keepNext/>
        <w:suppressLineNumbers/>
        <w:autoSpaceDE w:val="0"/>
        <w:autoSpaceDN w:val="0"/>
        <w:adjustRightInd w:val="0"/>
        <w:rPr>
          <w:noProof/>
          <w:sz w:val="22"/>
          <w:szCs w:val="22"/>
        </w:rPr>
      </w:pPr>
      <w:r w:rsidRPr="00275093">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31250B" w:rsidRPr="00275093">
        <w:rPr>
          <w:sz w:val="22"/>
          <w:szCs w:val="22"/>
          <w:shd w:val="clear" w:color="auto" w:fill="FFFFFF"/>
        </w:rPr>
        <w:t>na</w:t>
      </w:r>
      <w:r w:rsidR="0031250B" w:rsidRPr="00275093">
        <w:rPr>
          <w:sz w:val="22"/>
          <w:szCs w:val="22"/>
          <w:shd w:val="clear" w:color="auto" w:fill="D9D9D9"/>
        </w:rPr>
        <w:t xml:space="preserve"> </w:t>
      </w:r>
      <w:r w:rsidR="002E1B3D" w:rsidRPr="00275093">
        <w:rPr>
          <w:sz w:val="22"/>
          <w:szCs w:val="22"/>
          <w:shd w:val="clear" w:color="auto" w:fill="D9D9D9"/>
        </w:rPr>
        <w:t>národné</w:t>
      </w:r>
      <w:r w:rsidR="0031250B" w:rsidRPr="00275093">
        <w:rPr>
          <w:sz w:val="22"/>
          <w:szCs w:val="22"/>
          <w:shd w:val="clear" w:color="auto" w:fill="D9D9D9"/>
        </w:rPr>
        <w:t xml:space="preserve"> centrum</w:t>
      </w:r>
      <w:r w:rsidR="002E1B3D" w:rsidRPr="00275093">
        <w:rPr>
          <w:sz w:val="22"/>
          <w:szCs w:val="22"/>
          <w:shd w:val="clear" w:color="auto" w:fill="D9D9D9"/>
        </w:rPr>
        <w:t xml:space="preserve"> hlásenia uvedené v </w:t>
      </w:r>
      <w:hyperlink r:id="rId8" w:history="1">
        <w:r w:rsidR="002E1B3D" w:rsidRPr="00275093">
          <w:rPr>
            <w:rStyle w:val="Hypertextovprepojenie"/>
            <w:sz w:val="22"/>
            <w:szCs w:val="22"/>
            <w:shd w:val="clear" w:color="auto" w:fill="D9D9D9"/>
          </w:rPr>
          <w:t>Prílohe V</w:t>
        </w:r>
      </w:hyperlink>
      <w:r w:rsidRPr="00275093">
        <w:rPr>
          <w:sz w:val="22"/>
          <w:szCs w:val="22"/>
        </w:rPr>
        <w:t>.</w:t>
      </w:r>
    </w:p>
    <w:p w14:paraId="6D52F6C3" w14:textId="77777777" w:rsidR="00610C9F" w:rsidRPr="00275093" w:rsidRDefault="00610C9F" w:rsidP="00610C9F">
      <w:pPr>
        <w:suppressLineNumbers/>
        <w:autoSpaceDE w:val="0"/>
        <w:autoSpaceDN w:val="0"/>
        <w:adjustRightInd w:val="0"/>
        <w:rPr>
          <w:noProof/>
          <w:sz w:val="22"/>
          <w:szCs w:val="22"/>
        </w:rPr>
      </w:pPr>
    </w:p>
    <w:p w14:paraId="22D185D0" w14:textId="77777777" w:rsidR="001C3198" w:rsidRPr="00275093" w:rsidRDefault="001C3198" w:rsidP="001C3198">
      <w:pPr>
        <w:rPr>
          <w:sz w:val="22"/>
          <w:szCs w:val="22"/>
        </w:rPr>
      </w:pPr>
      <w:r w:rsidRPr="00275093">
        <w:rPr>
          <w:b/>
          <w:sz w:val="22"/>
          <w:szCs w:val="22"/>
        </w:rPr>
        <w:t>4.9</w:t>
      </w:r>
      <w:r w:rsidRPr="00275093">
        <w:rPr>
          <w:b/>
          <w:sz w:val="22"/>
          <w:szCs w:val="22"/>
        </w:rPr>
        <w:tab/>
        <w:t>Predávkovanie</w:t>
      </w:r>
    </w:p>
    <w:p w14:paraId="5B07307D" w14:textId="77777777" w:rsidR="001C3198" w:rsidRPr="00275093" w:rsidRDefault="001C3198" w:rsidP="001C3198">
      <w:pPr>
        <w:rPr>
          <w:sz w:val="22"/>
          <w:szCs w:val="22"/>
        </w:rPr>
      </w:pPr>
    </w:p>
    <w:p w14:paraId="3DDC0087" w14:textId="77777777" w:rsidR="00E13ABA" w:rsidRPr="00275093" w:rsidRDefault="001C3198" w:rsidP="001C3198">
      <w:pPr>
        <w:rPr>
          <w:sz w:val="22"/>
          <w:szCs w:val="22"/>
        </w:rPr>
      </w:pPr>
      <w:r w:rsidRPr="00275093">
        <w:rPr>
          <w:sz w:val="22"/>
          <w:szCs w:val="22"/>
        </w:rPr>
        <w:t>Zaznamenali sa ojedinelé prípady predávkovania. Najvyššia užitá dávka bola približne 4</w:t>
      </w:r>
      <w:r w:rsidR="00E13ABA" w:rsidRPr="00275093">
        <w:rPr>
          <w:sz w:val="22"/>
          <w:szCs w:val="22"/>
        </w:rPr>
        <w:t>8</w:t>
      </w:r>
      <w:r w:rsidRPr="00275093">
        <w:rPr>
          <w:sz w:val="22"/>
          <w:szCs w:val="22"/>
        </w:rPr>
        <w:t xml:space="preserve"> 000 mg. </w:t>
      </w:r>
    </w:p>
    <w:p w14:paraId="3C0D2212" w14:textId="77777777" w:rsidR="00E13ABA" w:rsidRPr="00275093" w:rsidRDefault="00E13ABA" w:rsidP="001C3198">
      <w:pPr>
        <w:rPr>
          <w:sz w:val="22"/>
          <w:szCs w:val="22"/>
        </w:rPr>
      </w:pPr>
    </w:p>
    <w:p w14:paraId="5EE0DD03" w14:textId="3ACE73AF" w:rsidR="00EE0DF2" w:rsidRPr="00275093" w:rsidRDefault="00EE0DF2" w:rsidP="00EE0DF2">
      <w:pPr>
        <w:rPr>
          <w:b/>
          <w:sz w:val="22"/>
          <w:szCs w:val="22"/>
        </w:rPr>
      </w:pPr>
      <w:r w:rsidRPr="00275093">
        <w:rPr>
          <w:b/>
          <w:sz w:val="22"/>
          <w:szCs w:val="22"/>
        </w:rPr>
        <w:t>Príznaky</w:t>
      </w:r>
    </w:p>
    <w:p w14:paraId="738B9913" w14:textId="77777777" w:rsidR="00EE0DF2" w:rsidRPr="00275093" w:rsidRDefault="00EE0DF2" w:rsidP="00EE0DF2">
      <w:pPr>
        <w:rPr>
          <w:sz w:val="22"/>
          <w:szCs w:val="22"/>
        </w:rPr>
      </w:pPr>
      <w:r w:rsidRPr="00275093">
        <w:rPr>
          <w:sz w:val="22"/>
          <w:szCs w:val="22"/>
        </w:rPr>
        <w:t>Poruchy rovnováhy elektrolytov a tekutín: hyponatriémia</w:t>
      </w:r>
    </w:p>
    <w:p w14:paraId="4D7C57B3" w14:textId="77777777" w:rsidR="00EE0DF2" w:rsidRPr="00275093" w:rsidRDefault="00EE0DF2" w:rsidP="00EE0DF2">
      <w:pPr>
        <w:rPr>
          <w:sz w:val="22"/>
          <w:szCs w:val="22"/>
        </w:rPr>
      </w:pPr>
      <w:r w:rsidRPr="00275093">
        <w:rPr>
          <w:sz w:val="22"/>
          <w:szCs w:val="22"/>
        </w:rPr>
        <w:t>Poruchy oka: diplopia, mióza, neostré videnie</w:t>
      </w:r>
    </w:p>
    <w:p w14:paraId="363D5A26" w14:textId="77777777" w:rsidR="00EE0DF2" w:rsidRPr="00275093" w:rsidRDefault="00EE0DF2" w:rsidP="00EE0DF2">
      <w:pPr>
        <w:pStyle w:val="Text"/>
        <w:spacing w:before="0"/>
        <w:jc w:val="left"/>
        <w:rPr>
          <w:sz w:val="22"/>
          <w:szCs w:val="22"/>
          <w:lang w:val="sk-SK"/>
        </w:rPr>
      </w:pPr>
      <w:r w:rsidRPr="00275093">
        <w:rPr>
          <w:sz w:val="22"/>
          <w:szCs w:val="22"/>
          <w:lang w:val="sk-SK"/>
        </w:rPr>
        <w:t xml:space="preserve">Poruchy gastrointestinálneho traktu: nauzea, vracanie, hyperkinéza </w:t>
      </w:r>
    </w:p>
    <w:p w14:paraId="6AB841C3" w14:textId="77777777" w:rsidR="00EE0DF2" w:rsidRPr="00275093" w:rsidRDefault="00EE0DF2" w:rsidP="00EE0DF2">
      <w:pPr>
        <w:pStyle w:val="Text"/>
        <w:spacing w:before="0"/>
        <w:jc w:val="left"/>
        <w:rPr>
          <w:sz w:val="22"/>
          <w:szCs w:val="22"/>
          <w:lang w:val="sk-SK"/>
        </w:rPr>
      </w:pPr>
      <w:r w:rsidRPr="00275093">
        <w:rPr>
          <w:bCs/>
          <w:sz w:val="22"/>
          <w:szCs w:val="22"/>
          <w:lang w:val="sk-SK"/>
        </w:rPr>
        <w:t>Celkové poruchy a reakcie v mieste podania</w:t>
      </w:r>
      <w:r w:rsidRPr="00275093">
        <w:rPr>
          <w:sz w:val="22"/>
          <w:szCs w:val="22"/>
          <w:lang w:val="sk-SK"/>
        </w:rPr>
        <w:t>: únava</w:t>
      </w:r>
    </w:p>
    <w:p w14:paraId="39BFCD80" w14:textId="77777777" w:rsidR="00EE0DF2" w:rsidRPr="00275093" w:rsidRDefault="00EE0DF2" w:rsidP="00EE0DF2">
      <w:pPr>
        <w:pStyle w:val="Text"/>
        <w:spacing w:before="0"/>
        <w:jc w:val="left"/>
        <w:rPr>
          <w:sz w:val="22"/>
          <w:szCs w:val="22"/>
          <w:lang w:val="sk-SK"/>
        </w:rPr>
      </w:pPr>
      <w:r w:rsidRPr="00275093">
        <w:rPr>
          <w:sz w:val="22"/>
          <w:szCs w:val="22"/>
          <w:lang w:val="sk-SK"/>
        </w:rPr>
        <w:t>Vyšetrenia: znížená frekvencia dýchania, predĺženie QTc</w:t>
      </w:r>
    </w:p>
    <w:p w14:paraId="0E3B846A" w14:textId="77777777" w:rsidR="00EE0DF2" w:rsidRPr="00275093" w:rsidRDefault="00EE0DF2" w:rsidP="00EE0DF2">
      <w:pPr>
        <w:pStyle w:val="Text"/>
        <w:spacing w:before="0"/>
        <w:jc w:val="left"/>
        <w:rPr>
          <w:sz w:val="22"/>
          <w:szCs w:val="22"/>
          <w:lang w:val="sk-SK"/>
        </w:rPr>
      </w:pPr>
      <w:r w:rsidRPr="00275093">
        <w:rPr>
          <w:sz w:val="22"/>
          <w:szCs w:val="22"/>
          <w:lang w:val="sk-SK"/>
        </w:rPr>
        <w:t>Poruchy nervového systému: ospalosť a somnolencia, závraty, ataxia a nystagmus, tremor, poruchy koordinácie (abnormálna koordinácia), kŕče, bolesť hlavy, kóma, strata vedomia, dyskinéza</w:t>
      </w:r>
    </w:p>
    <w:p w14:paraId="1C5392FA" w14:textId="77777777" w:rsidR="00EE0DF2" w:rsidRPr="00275093" w:rsidRDefault="00EE0DF2" w:rsidP="00EE0DF2">
      <w:pPr>
        <w:autoSpaceDE w:val="0"/>
        <w:autoSpaceDN w:val="0"/>
        <w:adjustRightInd w:val="0"/>
        <w:rPr>
          <w:sz w:val="22"/>
          <w:szCs w:val="22"/>
        </w:rPr>
      </w:pPr>
      <w:r w:rsidRPr="00275093">
        <w:rPr>
          <w:sz w:val="22"/>
          <w:szCs w:val="22"/>
        </w:rPr>
        <w:t xml:space="preserve">Psychické poruchy: agresivita, agitovanosť, stav zmätenosti </w:t>
      </w:r>
    </w:p>
    <w:p w14:paraId="4D3A4AB3" w14:textId="77777777" w:rsidR="00EE0DF2" w:rsidRPr="00275093" w:rsidRDefault="00EE0DF2" w:rsidP="00EE0DF2">
      <w:pPr>
        <w:autoSpaceDE w:val="0"/>
        <w:autoSpaceDN w:val="0"/>
        <w:adjustRightInd w:val="0"/>
        <w:rPr>
          <w:sz w:val="22"/>
          <w:szCs w:val="22"/>
        </w:rPr>
      </w:pPr>
      <w:r w:rsidRPr="00275093">
        <w:rPr>
          <w:sz w:val="22"/>
          <w:szCs w:val="22"/>
        </w:rPr>
        <w:t xml:space="preserve">Poruchy ciev: hypotenzia </w:t>
      </w:r>
    </w:p>
    <w:p w14:paraId="5050929D" w14:textId="77777777" w:rsidR="00EE0DF2" w:rsidRPr="00275093" w:rsidRDefault="00EE0DF2" w:rsidP="00EE0DF2">
      <w:pPr>
        <w:pStyle w:val="Text"/>
        <w:spacing w:before="0"/>
        <w:jc w:val="left"/>
        <w:rPr>
          <w:sz w:val="22"/>
          <w:szCs w:val="22"/>
          <w:lang w:val="sk-SK"/>
        </w:rPr>
      </w:pPr>
      <w:r w:rsidRPr="00275093">
        <w:rPr>
          <w:bCs/>
          <w:sz w:val="22"/>
          <w:szCs w:val="22"/>
          <w:lang w:val="pl-PL"/>
        </w:rPr>
        <w:t>Poruchy</w:t>
      </w:r>
      <w:r w:rsidRPr="00275093">
        <w:rPr>
          <w:bCs/>
          <w:sz w:val="22"/>
          <w:szCs w:val="22"/>
          <w:lang w:val="sk-SK"/>
        </w:rPr>
        <w:t xml:space="preserve"> dýchacej sústavy, hrudníka a mediastína: </w:t>
      </w:r>
      <w:r w:rsidRPr="00275093">
        <w:rPr>
          <w:sz w:val="22"/>
          <w:szCs w:val="22"/>
          <w:lang w:val="sk-SK"/>
        </w:rPr>
        <w:t>dyspnoe</w:t>
      </w:r>
    </w:p>
    <w:p w14:paraId="3E1565DB" w14:textId="77777777" w:rsidR="00E13ABA" w:rsidRPr="00275093" w:rsidRDefault="00E13ABA" w:rsidP="001C3198">
      <w:pPr>
        <w:rPr>
          <w:sz w:val="22"/>
          <w:szCs w:val="22"/>
        </w:rPr>
      </w:pPr>
    </w:p>
    <w:p w14:paraId="55F14DB6" w14:textId="77777777" w:rsidR="00A9146E" w:rsidRPr="00275093" w:rsidRDefault="00A9146E" w:rsidP="0031250B">
      <w:pPr>
        <w:keepNext/>
        <w:rPr>
          <w:b/>
          <w:sz w:val="22"/>
          <w:szCs w:val="22"/>
        </w:rPr>
      </w:pPr>
      <w:r w:rsidRPr="00275093">
        <w:rPr>
          <w:b/>
          <w:sz w:val="22"/>
          <w:szCs w:val="22"/>
        </w:rPr>
        <w:t>Liečba</w:t>
      </w:r>
    </w:p>
    <w:p w14:paraId="253F2014" w14:textId="77777777" w:rsidR="001C3198" w:rsidRPr="00275093" w:rsidRDefault="001C3198" w:rsidP="001C3198">
      <w:pPr>
        <w:rPr>
          <w:sz w:val="22"/>
          <w:szCs w:val="22"/>
        </w:rPr>
      </w:pPr>
      <w:r w:rsidRPr="00275093">
        <w:rPr>
          <w:sz w:val="22"/>
          <w:szCs w:val="22"/>
        </w:rPr>
        <w:t xml:space="preserve">Nie je </w:t>
      </w:r>
      <w:r w:rsidR="006A0094" w:rsidRPr="00275093">
        <w:rPr>
          <w:sz w:val="22"/>
          <w:szCs w:val="22"/>
        </w:rPr>
        <w:t xml:space="preserve">známe </w:t>
      </w:r>
      <w:r w:rsidRPr="00275093">
        <w:rPr>
          <w:sz w:val="22"/>
          <w:szCs w:val="22"/>
        </w:rPr>
        <w:t>špecifické antidotum. Podľa potreby sa má podať symptomatická a podporná liečba. Má sa uvážiť odstránenie liečiva výplachom žalúdka a/alebo inaktivácia podaním aktívneho uhlia.</w:t>
      </w:r>
    </w:p>
    <w:p w14:paraId="01BE5465" w14:textId="77777777" w:rsidR="001C3198" w:rsidRPr="00275093" w:rsidRDefault="001C3198" w:rsidP="001C3198">
      <w:pPr>
        <w:rPr>
          <w:sz w:val="22"/>
          <w:szCs w:val="22"/>
        </w:rPr>
      </w:pPr>
    </w:p>
    <w:p w14:paraId="7DB851D9" w14:textId="77777777" w:rsidR="001C3198" w:rsidRPr="00275093" w:rsidRDefault="001C3198" w:rsidP="001C3198">
      <w:pPr>
        <w:rPr>
          <w:sz w:val="22"/>
          <w:szCs w:val="22"/>
        </w:rPr>
      </w:pPr>
    </w:p>
    <w:p w14:paraId="2328E3A7" w14:textId="77777777" w:rsidR="001C3198" w:rsidRPr="00275093" w:rsidRDefault="001C3198" w:rsidP="0095210A">
      <w:pPr>
        <w:keepNext/>
        <w:rPr>
          <w:sz w:val="22"/>
          <w:szCs w:val="22"/>
        </w:rPr>
      </w:pPr>
      <w:r w:rsidRPr="00275093">
        <w:rPr>
          <w:b/>
          <w:sz w:val="22"/>
          <w:szCs w:val="22"/>
        </w:rPr>
        <w:t>5.</w:t>
      </w:r>
      <w:r w:rsidRPr="00275093">
        <w:rPr>
          <w:b/>
          <w:sz w:val="22"/>
          <w:szCs w:val="22"/>
        </w:rPr>
        <w:tab/>
        <w:t>FARMAKOLOGICKÉ VLASTNOSTI</w:t>
      </w:r>
    </w:p>
    <w:p w14:paraId="72B244C6" w14:textId="77777777" w:rsidR="001C3198" w:rsidRPr="00275093" w:rsidRDefault="001C3198" w:rsidP="0095210A">
      <w:pPr>
        <w:keepNext/>
        <w:rPr>
          <w:bCs/>
          <w:sz w:val="22"/>
          <w:szCs w:val="22"/>
        </w:rPr>
      </w:pPr>
    </w:p>
    <w:p w14:paraId="3C05483B" w14:textId="77777777" w:rsidR="001C3198" w:rsidRPr="00275093" w:rsidRDefault="001C3198" w:rsidP="0095210A">
      <w:pPr>
        <w:keepNext/>
        <w:rPr>
          <w:sz w:val="22"/>
          <w:szCs w:val="22"/>
        </w:rPr>
      </w:pPr>
      <w:r w:rsidRPr="00275093">
        <w:rPr>
          <w:b/>
          <w:sz w:val="22"/>
          <w:szCs w:val="22"/>
        </w:rPr>
        <w:t>5.1</w:t>
      </w:r>
      <w:r w:rsidRPr="00275093">
        <w:rPr>
          <w:b/>
          <w:sz w:val="22"/>
          <w:szCs w:val="22"/>
        </w:rPr>
        <w:tab/>
        <w:t>Farmakodynamické vlastnosti</w:t>
      </w:r>
    </w:p>
    <w:p w14:paraId="31B0D348" w14:textId="77777777" w:rsidR="001C3198" w:rsidRPr="00275093" w:rsidRDefault="001C3198" w:rsidP="0095210A">
      <w:pPr>
        <w:pStyle w:val="Zkladntext2"/>
        <w:keepNext/>
        <w:rPr>
          <w:szCs w:val="22"/>
        </w:rPr>
      </w:pPr>
    </w:p>
    <w:p w14:paraId="67A62E72" w14:textId="27DB14CC" w:rsidR="00D47301" w:rsidRPr="00275093" w:rsidRDefault="003B0647" w:rsidP="001C3198">
      <w:pPr>
        <w:pStyle w:val="Zkladntext2"/>
        <w:rPr>
          <w:szCs w:val="22"/>
        </w:rPr>
      </w:pPr>
      <w:r w:rsidRPr="00275093">
        <w:rPr>
          <w:szCs w:val="22"/>
        </w:rPr>
        <w:t xml:space="preserve">Farmakoterapeutická skupina: </w:t>
      </w:r>
      <w:r w:rsidR="00D47301" w:rsidRPr="00275093">
        <w:rPr>
          <w:szCs w:val="22"/>
        </w:rPr>
        <w:t>A</w:t>
      </w:r>
      <w:r w:rsidRPr="00275093">
        <w:rPr>
          <w:szCs w:val="22"/>
        </w:rPr>
        <w:t>ntiepileptik</w:t>
      </w:r>
      <w:r w:rsidR="00D47301" w:rsidRPr="00275093">
        <w:rPr>
          <w:szCs w:val="22"/>
        </w:rPr>
        <w:t>á</w:t>
      </w:r>
      <w:r w:rsidRPr="00275093">
        <w:rPr>
          <w:szCs w:val="22"/>
        </w:rPr>
        <w:t>, deriváty karboxamidu</w:t>
      </w:r>
    </w:p>
    <w:p w14:paraId="6D50BB94" w14:textId="5B9AE8C2" w:rsidR="001C3198" w:rsidRPr="00275093" w:rsidRDefault="003B0647" w:rsidP="001C3198">
      <w:pPr>
        <w:pStyle w:val="Zkladntext2"/>
        <w:rPr>
          <w:szCs w:val="22"/>
        </w:rPr>
      </w:pPr>
      <w:r w:rsidRPr="00275093">
        <w:rPr>
          <w:szCs w:val="22"/>
        </w:rPr>
        <w:t>ATC kód: N03AF02</w:t>
      </w:r>
    </w:p>
    <w:p w14:paraId="4D3919BF" w14:textId="77777777" w:rsidR="003B0647" w:rsidRPr="00275093" w:rsidRDefault="003B0647" w:rsidP="001C3198">
      <w:pPr>
        <w:rPr>
          <w:sz w:val="22"/>
          <w:szCs w:val="22"/>
        </w:rPr>
      </w:pPr>
    </w:p>
    <w:p w14:paraId="229D8D54" w14:textId="77777777" w:rsidR="004E42C1" w:rsidRPr="00275093" w:rsidRDefault="004E42C1" w:rsidP="001C3198">
      <w:pPr>
        <w:rPr>
          <w:sz w:val="22"/>
          <w:szCs w:val="22"/>
          <w:u w:val="single"/>
        </w:rPr>
      </w:pPr>
      <w:r w:rsidRPr="00275093">
        <w:rPr>
          <w:sz w:val="22"/>
          <w:szCs w:val="22"/>
          <w:u w:val="single"/>
        </w:rPr>
        <w:t>Farmakodynamické účinky</w:t>
      </w:r>
    </w:p>
    <w:p w14:paraId="11439A4C" w14:textId="77777777" w:rsidR="001C3198" w:rsidRPr="00275093" w:rsidRDefault="001C3198" w:rsidP="001C3198">
      <w:pPr>
        <w:rPr>
          <w:sz w:val="22"/>
          <w:szCs w:val="22"/>
        </w:rPr>
      </w:pPr>
      <w:r w:rsidRPr="00275093">
        <w:rPr>
          <w:sz w:val="22"/>
          <w:szCs w:val="22"/>
        </w:rPr>
        <w:t>Farmakologickú aktivitu oxkarbazepínu vyvoláva primárne metabolit (MHD) (pozri časť 5.2). Predpokladá sa, že mechanizmus účinku oxkarbazepínu a MHD sa zakladá najmä na blokovaní sodíkových kanálov závislých od napätia, čo má za následok stabilizáciu nadmerne excitovaných neuronálnych membrán, tlmenie opakovaných neurónových výbojov a zoslabenie šírenia synaptických impulzov. Okrem toho k antikonvulzívnym účinkom liečiva môže prispievať aj zvýšenie draslíkovej vodivosti a modulácia kalciových kanálov aktivovaných vysokým napätím. Nezistili sa žiadne významné interakcie s mozgovými neurotransmitermi alebo modulátormi receptorov.</w:t>
      </w:r>
    </w:p>
    <w:p w14:paraId="698313B9" w14:textId="77777777" w:rsidR="001C3198" w:rsidRPr="00275093" w:rsidRDefault="001C3198" w:rsidP="001C3198">
      <w:pPr>
        <w:rPr>
          <w:sz w:val="22"/>
          <w:szCs w:val="22"/>
        </w:rPr>
      </w:pPr>
    </w:p>
    <w:p w14:paraId="6498904C" w14:textId="77777777" w:rsidR="001C3198" w:rsidRPr="00275093" w:rsidRDefault="001C3198" w:rsidP="001C3198">
      <w:pPr>
        <w:rPr>
          <w:sz w:val="22"/>
          <w:szCs w:val="22"/>
        </w:rPr>
      </w:pPr>
      <w:r w:rsidRPr="00275093">
        <w:rPr>
          <w:sz w:val="22"/>
          <w:szCs w:val="22"/>
        </w:rPr>
        <w:t>Oxkarbazepín a jeho aktívny metabolit (MHD) sú účinné antikonvulzíva u zvierat. Chránili hlodavce pred generalizovanými tonicko-klonickými a v menšej miere klonickými záchvatmi a odstránili alebo znížili frekvenciu chronicky sa opakujúcich parciálnych záchvatov u opíc makak rézus s hliníkovými implantátmi. Nepozorovala sa tolerancia (t.j. zníženie antikonvulzívnej účinnosti) proti tonicko-klonickým záchvatom, keď sa myšiam a potkanom podával oxkarbazepín alebo MHD denne počas 5 dní alebo 4 týždňov.</w:t>
      </w:r>
    </w:p>
    <w:p w14:paraId="7EF63CFA" w14:textId="77777777" w:rsidR="008B29DA" w:rsidRPr="00275093" w:rsidRDefault="008B29DA" w:rsidP="001C3198">
      <w:pPr>
        <w:rPr>
          <w:sz w:val="22"/>
          <w:szCs w:val="22"/>
        </w:rPr>
      </w:pPr>
    </w:p>
    <w:p w14:paraId="5D019270" w14:textId="5AE5C387" w:rsidR="00F4792B" w:rsidRPr="00275093" w:rsidRDefault="008B29DA" w:rsidP="008B29DA">
      <w:pPr>
        <w:rPr>
          <w:sz w:val="22"/>
          <w:szCs w:val="22"/>
        </w:rPr>
      </w:pPr>
      <w:r w:rsidRPr="00275093">
        <w:rPr>
          <w:sz w:val="22"/>
          <w:szCs w:val="22"/>
        </w:rPr>
        <w:lastRenderedPageBreak/>
        <w:t>Prospektívna, otvorená, mul</w:t>
      </w:r>
      <w:r w:rsidR="00324082" w:rsidRPr="00275093">
        <w:rPr>
          <w:sz w:val="22"/>
          <w:szCs w:val="22"/>
        </w:rPr>
        <w:t>ticentrická, nekomparatívna 24 </w:t>
      </w:r>
      <w:r w:rsidRPr="00275093">
        <w:rPr>
          <w:sz w:val="22"/>
          <w:szCs w:val="22"/>
        </w:rPr>
        <w:t xml:space="preserve">týždňová pozorovacia post-marketingová štúdia sa vykonala v Indii. </w:t>
      </w:r>
      <w:r w:rsidR="00324082" w:rsidRPr="00275093">
        <w:rPr>
          <w:sz w:val="22"/>
          <w:szCs w:val="22"/>
        </w:rPr>
        <w:t>Zo študovanej populácie 816 </w:t>
      </w:r>
      <w:r w:rsidRPr="00275093">
        <w:rPr>
          <w:sz w:val="22"/>
          <w:szCs w:val="22"/>
        </w:rPr>
        <w:t>pacientov bolo liečených</w:t>
      </w:r>
      <w:r w:rsidR="00324082" w:rsidRPr="00275093">
        <w:rPr>
          <w:sz w:val="22"/>
          <w:szCs w:val="22"/>
        </w:rPr>
        <w:t xml:space="preserve"> monoterapiou oxkarbazepínu 256 pediatrických pacientov (1 mesiac až 19 </w:t>
      </w:r>
      <w:r w:rsidRPr="00275093">
        <w:rPr>
          <w:sz w:val="22"/>
          <w:szCs w:val="22"/>
        </w:rPr>
        <w:t>rokov) s generalizovanými tonicko-klonickými záchvatmi</w:t>
      </w:r>
      <w:r w:rsidRPr="00275093">
        <w:rPr>
          <w:color w:val="FF0000"/>
          <w:sz w:val="22"/>
          <w:szCs w:val="22"/>
        </w:rPr>
        <w:t xml:space="preserve"> </w:t>
      </w:r>
      <w:r w:rsidRPr="00275093">
        <w:rPr>
          <w:sz w:val="22"/>
          <w:szCs w:val="22"/>
        </w:rPr>
        <w:t>(či už sekundárnymi alebo primárnymi). Úvodná dávka oxkarbazepínu bola u</w:t>
      </w:r>
      <w:r w:rsidR="00324082" w:rsidRPr="00275093">
        <w:rPr>
          <w:sz w:val="22"/>
          <w:szCs w:val="22"/>
        </w:rPr>
        <w:t> všetkých pacientov &gt; 6 rokov 8</w:t>
      </w:r>
      <w:r w:rsidR="00324082" w:rsidRPr="00275093">
        <w:rPr>
          <w:sz w:val="22"/>
          <w:szCs w:val="22"/>
        </w:rPr>
        <w:noBreakHyphen/>
        <w:t>10 </w:t>
      </w:r>
      <w:r w:rsidRPr="00275093">
        <w:rPr>
          <w:sz w:val="22"/>
          <w:szCs w:val="22"/>
        </w:rPr>
        <w:t>mg/kg/deň podávaná rozdelená na dve čiastkové dávky. U</w:t>
      </w:r>
      <w:r w:rsidR="00324082" w:rsidRPr="00275093">
        <w:rPr>
          <w:sz w:val="22"/>
          <w:szCs w:val="22"/>
        </w:rPr>
        <w:t> </w:t>
      </w:r>
      <w:r w:rsidRPr="00275093">
        <w:rPr>
          <w:sz w:val="22"/>
          <w:szCs w:val="22"/>
        </w:rPr>
        <w:t>27</w:t>
      </w:r>
      <w:r w:rsidR="00324082" w:rsidRPr="00275093">
        <w:rPr>
          <w:sz w:val="22"/>
          <w:szCs w:val="22"/>
        </w:rPr>
        <w:t> subjektov vo veku 1 mesiac až 6 </w:t>
      </w:r>
      <w:r w:rsidRPr="00275093">
        <w:rPr>
          <w:sz w:val="22"/>
          <w:szCs w:val="22"/>
        </w:rPr>
        <w:t>rokov bola úvodná dávka</w:t>
      </w:r>
      <w:r w:rsidR="00324082" w:rsidRPr="00275093">
        <w:rPr>
          <w:sz w:val="22"/>
          <w:szCs w:val="22"/>
        </w:rPr>
        <w:t xml:space="preserve"> v rozsahu 4,62 – 27,27 </w:t>
      </w:r>
      <w:r w:rsidRPr="00275093">
        <w:rPr>
          <w:sz w:val="22"/>
          <w:szCs w:val="22"/>
        </w:rPr>
        <w:t>mg/kg/deň a udržiavac</w:t>
      </w:r>
      <w:r w:rsidR="00324082" w:rsidRPr="00275093">
        <w:rPr>
          <w:sz w:val="22"/>
          <w:szCs w:val="22"/>
        </w:rPr>
        <w:t>ia dávka v rozsahu 4,29 – 30,00 </w:t>
      </w:r>
      <w:r w:rsidRPr="00275093">
        <w:rPr>
          <w:sz w:val="22"/>
          <w:szCs w:val="22"/>
        </w:rPr>
        <w:t xml:space="preserve">mg/kg/deň. Primárny koncový ukazovateľ bol zníženie frekvencie </w:t>
      </w:r>
      <w:r w:rsidR="00324082" w:rsidRPr="00275093">
        <w:rPr>
          <w:sz w:val="22"/>
          <w:szCs w:val="22"/>
        </w:rPr>
        <w:t>záchvatov v 24. </w:t>
      </w:r>
      <w:r w:rsidR="00410994" w:rsidRPr="00275093">
        <w:rPr>
          <w:sz w:val="22"/>
          <w:szCs w:val="22"/>
        </w:rPr>
        <w:t>týždni oproti za</w:t>
      </w:r>
      <w:r w:rsidRPr="00275093">
        <w:rPr>
          <w:sz w:val="22"/>
          <w:szCs w:val="22"/>
        </w:rPr>
        <w:t>čiatoč</w:t>
      </w:r>
      <w:r w:rsidR="00324082" w:rsidRPr="00275093">
        <w:rPr>
          <w:sz w:val="22"/>
          <w:szCs w:val="22"/>
        </w:rPr>
        <w:t>nému stavu. Vo vekovej skupine 1 mesiac až 6 </w:t>
      </w:r>
      <w:r w:rsidRPr="00275093">
        <w:rPr>
          <w:sz w:val="22"/>
          <w:szCs w:val="22"/>
        </w:rPr>
        <w:t>rokov (n=27) sa počet záchvatov z</w:t>
      </w:r>
      <w:r w:rsidR="00324082" w:rsidRPr="00275093">
        <w:rPr>
          <w:sz w:val="22"/>
          <w:szCs w:val="22"/>
        </w:rPr>
        <w:t xml:space="preserve">menil z 1[rozsah] [1-12] </w:t>
      </w:r>
      <w:r w:rsidRPr="00275093">
        <w:rPr>
          <w:sz w:val="22"/>
          <w:szCs w:val="22"/>
        </w:rPr>
        <w:t>na 0</w:t>
      </w:r>
      <w:r w:rsidR="00324082" w:rsidRPr="00275093">
        <w:rPr>
          <w:sz w:val="22"/>
          <w:szCs w:val="22"/>
        </w:rPr>
        <w:t xml:space="preserve"> [0-2], vo vekovej skupine od 7 </w:t>
      </w:r>
      <w:r w:rsidRPr="00275093">
        <w:rPr>
          <w:sz w:val="22"/>
          <w:szCs w:val="22"/>
        </w:rPr>
        <w:t>rokov do 12</w:t>
      </w:r>
      <w:r w:rsidR="00324082" w:rsidRPr="00275093">
        <w:rPr>
          <w:sz w:val="22"/>
          <w:szCs w:val="22"/>
        </w:rPr>
        <w:t> </w:t>
      </w:r>
      <w:r w:rsidRPr="00275093">
        <w:rPr>
          <w:sz w:val="22"/>
          <w:szCs w:val="22"/>
        </w:rPr>
        <w:t xml:space="preserve">rokov (n=77) sa frekvencia zmenila z 1 [1-22] na </w:t>
      </w:r>
      <w:r w:rsidR="00324082" w:rsidRPr="00275093">
        <w:rPr>
          <w:sz w:val="22"/>
          <w:szCs w:val="22"/>
        </w:rPr>
        <w:t>0 [0-1] a vo vekovej skupine 13</w:t>
      </w:r>
      <w:r w:rsidR="00324082" w:rsidRPr="00275093">
        <w:rPr>
          <w:sz w:val="22"/>
          <w:szCs w:val="22"/>
        </w:rPr>
        <w:noBreakHyphen/>
        <w:t>19 </w:t>
      </w:r>
      <w:r w:rsidRPr="00275093">
        <w:rPr>
          <w:sz w:val="22"/>
          <w:szCs w:val="22"/>
        </w:rPr>
        <w:t>rokov (n=152) sa frekvencia zmenila z 1 [1-32] na 0 [0-3]. Neboli zistené žiadne osobitné bezpečnostné obavy</w:t>
      </w:r>
      <w:r w:rsidR="00410994" w:rsidRPr="00275093">
        <w:rPr>
          <w:sz w:val="22"/>
          <w:szCs w:val="22"/>
        </w:rPr>
        <w:t xml:space="preserve"> u</w:t>
      </w:r>
      <w:r w:rsidR="00324082" w:rsidRPr="00275093">
        <w:rPr>
          <w:sz w:val="22"/>
          <w:szCs w:val="22"/>
        </w:rPr>
        <w:t> </w:t>
      </w:r>
      <w:r w:rsidR="00410994" w:rsidRPr="00275093">
        <w:rPr>
          <w:sz w:val="22"/>
          <w:szCs w:val="22"/>
        </w:rPr>
        <w:t>pediatrických pacientov. Údaje</w:t>
      </w:r>
      <w:r w:rsidRPr="00275093">
        <w:rPr>
          <w:sz w:val="22"/>
          <w:szCs w:val="22"/>
        </w:rPr>
        <w:t xml:space="preserve"> podporujúce p</w:t>
      </w:r>
      <w:r w:rsidR="00324082" w:rsidRPr="00275093">
        <w:rPr>
          <w:sz w:val="22"/>
          <w:szCs w:val="22"/>
        </w:rPr>
        <w:t>omer prínosu/rizika u detí do 6 </w:t>
      </w:r>
      <w:r w:rsidRPr="00275093">
        <w:rPr>
          <w:sz w:val="22"/>
          <w:szCs w:val="22"/>
        </w:rPr>
        <w:t xml:space="preserve">rokov sú </w:t>
      </w:r>
      <w:r w:rsidR="00324082" w:rsidRPr="00275093">
        <w:rPr>
          <w:sz w:val="22"/>
          <w:szCs w:val="22"/>
        </w:rPr>
        <w:t>nepresvedčivé (pozri časť </w:t>
      </w:r>
      <w:r w:rsidR="00F4792B" w:rsidRPr="00275093">
        <w:rPr>
          <w:sz w:val="22"/>
          <w:szCs w:val="22"/>
        </w:rPr>
        <w:t>4.2).</w:t>
      </w:r>
    </w:p>
    <w:p w14:paraId="478E46EB" w14:textId="6D7953B7" w:rsidR="008B29DA" w:rsidRPr="00275093" w:rsidRDefault="008B29DA" w:rsidP="001C3198">
      <w:pPr>
        <w:rPr>
          <w:sz w:val="22"/>
          <w:szCs w:val="22"/>
        </w:rPr>
      </w:pPr>
      <w:r w:rsidRPr="00275093">
        <w:rPr>
          <w:sz w:val="22"/>
          <w:szCs w:val="22"/>
        </w:rPr>
        <w:t>Na základe údajov z </w:t>
      </w:r>
      <w:r w:rsidRPr="00275093">
        <w:rPr>
          <w:rStyle w:val="text0"/>
          <w:sz w:val="22"/>
          <w:szCs w:val="22"/>
        </w:rPr>
        <w:t>randomizovaných kontrolovaných štúdií sa použitie oxkarbazepínu neodporúča u</w:t>
      </w:r>
      <w:r w:rsidR="00324082" w:rsidRPr="00275093">
        <w:rPr>
          <w:rStyle w:val="text0"/>
          <w:sz w:val="22"/>
          <w:szCs w:val="22"/>
        </w:rPr>
        <w:t> detí vo veku do 6 </w:t>
      </w:r>
      <w:r w:rsidRPr="00275093">
        <w:rPr>
          <w:rStyle w:val="text0"/>
          <w:sz w:val="22"/>
          <w:szCs w:val="22"/>
        </w:rPr>
        <w:t xml:space="preserve">rokov, pretože jeho bezpečnosť a účinnosť nebola primerane preukázaná </w:t>
      </w:r>
      <w:r w:rsidR="00324082" w:rsidRPr="00275093">
        <w:rPr>
          <w:sz w:val="22"/>
          <w:szCs w:val="22"/>
        </w:rPr>
        <w:t>(pozri časť </w:t>
      </w:r>
      <w:r w:rsidRPr="00275093">
        <w:rPr>
          <w:sz w:val="22"/>
          <w:szCs w:val="22"/>
        </w:rPr>
        <w:t>4.2).</w:t>
      </w:r>
    </w:p>
    <w:p w14:paraId="4BE4A99F" w14:textId="77777777" w:rsidR="001C3198" w:rsidRPr="00275093" w:rsidRDefault="001C3198" w:rsidP="001C3198">
      <w:pPr>
        <w:rPr>
          <w:sz w:val="22"/>
          <w:szCs w:val="22"/>
        </w:rPr>
      </w:pPr>
    </w:p>
    <w:p w14:paraId="1E4C15D3" w14:textId="77777777" w:rsidR="001C3198" w:rsidRPr="00275093" w:rsidRDefault="001C3198" w:rsidP="001C3198">
      <w:pPr>
        <w:rPr>
          <w:sz w:val="22"/>
          <w:szCs w:val="22"/>
        </w:rPr>
      </w:pPr>
      <w:r w:rsidRPr="00275093">
        <w:rPr>
          <w:b/>
          <w:sz w:val="22"/>
          <w:szCs w:val="22"/>
        </w:rPr>
        <w:t>5.2</w:t>
      </w:r>
      <w:r w:rsidRPr="00275093">
        <w:rPr>
          <w:b/>
          <w:sz w:val="22"/>
          <w:szCs w:val="22"/>
        </w:rPr>
        <w:tab/>
        <w:t>Farmakokinetické vlastnosti</w:t>
      </w:r>
    </w:p>
    <w:p w14:paraId="67EE0A0E" w14:textId="77777777" w:rsidR="001C3198" w:rsidRPr="00275093" w:rsidRDefault="001C3198" w:rsidP="001C3198">
      <w:pPr>
        <w:outlineLvl w:val="0"/>
        <w:rPr>
          <w:b/>
          <w:sz w:val="22"/>
          <w:szCs w:val="22"/>
        </w:rPr>
      </w:pPr>
    </w:p>
    <w:p w14:paraId="3204A316" w14:textId="77777777" w:rsidR="001C3198" w:rsidRPr="00275093" w:rsidRDefault="001C3198" w:rsidP="001C3198">
      <w:pPr>
        <w:outlineLvl w:val="0"/>
        <w:rPr>
          <w:sz w:val="22"/>
          <w:szCs w:val="22"/>
          <w:u w:val="single"/>
        </w:rPr>
      </w:pPr>
      <w:r w:rsidRPr="00275093">
        <w:rPr>
          <w:sz w:val="22"/>
          <w:szCs w:val="22"/>
          <w:u w:val="single"/>
        </w:rPr>
        <w:t>Absorpcia</w:t>
      </w:r>
    </w:p>
    <w:p w14:paraId="76F16153" w14:textId="77777777" w:rsidR="001C3198" w:rsidRPr="00275093" w:rsidRDefault="001C3198" w:rsidP="001C3198">
      <w:pPr>
        <w:rPr>
          <w:sz w:val="22"/>
          <w:szCs w:val="22"/>
        </w:rPr>
      </w:pPr>
      <w:r w:rsidRPr="00275093">
        <w:rPr>
          <w:sz w:val="22"/>
          <w:szCs w:val="22"/>
        </w:rPr>
        <w:t>Po perorálnom podaní Trileptalu sa oxkarbazepín úplne absorbuje a</w:t>
      </w:r>
      <w:r w:rsidR="00C21D02" w:rsidRPr="00275093">
        <w:rPr>
          <w:sz w:val="22"/>
          <w:szCs w:val="22"/>
        </w:rPr>
        <w:t xml:space="preserve"> vo </w:t>
      </w:r>
      <w:r w:rsidRPr="00275093">
        <w:rPr>
          <w:sz w:val="22"/>
          <w:szCs w:val="22"/>
        </w:rPr>
        <w:t>veľkom rozsahu metabolizuje na svoj farmakologicky aktívny metabolit (MHD).</w:t>
      </w:r>
    </w:p>
    <w:p w14:paraId="252FA14B" w14:textId="77777777" w:rsidR="00CC6C39" w:rsidRPr="00275093" w:rsidRDefault="00CC6C39" w:rsidP="001C3198">
      <w:pPr>
        <w:rPr>
          <w:sz w:val="22"/>
          <w:szCs w:val="22"/>
        </w:rPr>
      </w:pPr>
    </w:p>
    <w:p w14:paraId="2F4B82B4" w14:textId="77777777" w:rsidR="001C3198" w:rsidRPr="00275093" w:rsidRDefault="001C3198" w:rsidP="001C3198">
      <w:pPr>
        <w:rPr>
          <w:sz w:val="22"/>
          <w:szCs w:val="22"/>
        </w:rPr>
      </w:pPr>
      <w:r w:rsidRPr="00275093">
        <w:rPr>
          <w:sz w:val="22"/>
          <w:szCs w:val="22"/>
        </w:rPr>
        <w:t>Po jednorazovom podaní 600 mg Trileptalu zdravým mužským dobrovoľníkom nalačno priemerná hodnota C</w:t>
      </w:r>
      <w:r w:rsidRPr="00275093">
        <w:rPr>
          <w:sz w:val="22"/>
          <w:szCs w:val="22"/>
          <w:vertAlign w:val="subscript"/>
        </w:rPr>
        <w:t>max</w:t>
      </w:r>
      <w:r w:rsidRPr="00275093">
        <w:rPr>
          <w:sz w:val="22"/>
          <w:szCs w:val="22"/>
        </w:rPr>
        <w:t xml:space="preserve"> MHD bola 34 </w:t>
      </w:r>
      <w:r w:rsidRPr="00275093">
        <w:rPr>
          <w:sz w:val="22"/>
          <w:szCs w:val="22"/>
        </w:rPr>
        <w:sym w:font="Symbol" w:char="F06D"/>
      </w:r>
      <w:r w:rsidRPr="00275093">
        <w:rPr>
          <w:sz w:val="22"/>
          <w:szCs w:val="22"/>
        </w:rPr>
        <w:t>mol/l a zodpovedajúci medián t</w:t>
      </w:r>
      <w:r w:rsidRPr="00275093">
        <w:rPr>
          <w:sz w:val="22"/>
          <w:szCs w:val="22"/>
          <w:vertAlign w:val="subscript"/>
        </w:rPr>
        <w:t>max</w:t>
      </w:r>
      <w:r w:rsidRPr="00275093">
        <w:rPr>
          <w:sz w:val="22"/>
          <w:szCs w:val="22"/>
        </w:rPr>
        <w:t xml:space="preserve"> 4,5 hodiny.</w:t>
      </w:r>
    </w:p>
    <w:p w14:paraId="7EE1FFAA" w14:textId="77777777" w:rsidR="00CC6C39" w:rsidRPr="00275093" w:rsidRDefault="00CC6C39" w:rsidP="001C3198">
      <w:pPr>
        <w:rPr>
          <w:sz w:val="22"/>
          <w:szCs w:val="22"/>
        </w:rPr>
      </w:pPr>
    </w:p>
    <w:p w14:paraId="3F1A1984" w14:textId="77777777" w:rsidR="001C3198" w:rsidRPr="00275093" w:rsidRDefault="001C3198" w:rsidP="001C3198">
      <w:pPr>
        <w:rPr>
          <w:sz w:val="22"/>
          <w:szCs w:val="22"/>
        </w:rPr>
      </w:pPr>
      <w:r w:rsidRPr="00275093">
        <w:rPr>
          <w:sz w:val="22"/>
          <w:szCs w:val="22"/>
        </w:rPr>
        <w:t>V štúdii hmotnostnej rovnováhy u ľudí len 2</w:t>
      </w:r>
      <w:r w:rsidR="00C21D02" w:rsidRPr="00275093">
        <w:rPr>
          <w:sz w:val="22"/>
          <w:szCs w:val="22"/>
        </w:rPr>
        <w:t> %</w:t>
      </w:r>
      <w:r w:rsidRPr="00275093">
        <w:rPr>
          <w:sz w:val="22"/>
          <w:szCs w:val="22"/>
        </w:rPr>
        <w:t xml:space="preserve"> celkovej rádioaktivity v plazme zodpovedali nezmenenému oxkarbazepínu, približne 70</w:t>
      </w:r>
      <w:r w:rsidR="00C21D02" w:rsidRPr="00275093">
        <w:rPr>
          <w:sz w:val="22"/>
          <w:szCs w:val="22"/>
        </w:rPr>
        <w:t> %</w:t>
      </w:r>
      <w:r w:rsidRPr="00275093">
        <w:rPr>
          <w:sz w:val="22"/>
          <w:szCs w:val="22"/>
        </w:rPr>
        <w:t xml:space="preserve"> MHD a zvyšok bolo možné pripísať vedľajším sekundárnym metabolitom, ktoré sa rýchlo eliminovali.</w:t>
      </w:r>
    </w:p>
    <w:p w14:paraId="6751A110" w14:textId="77777777" w:rsidR="00CC6C39" w:rsidRPr="00275093" w:rsidRDefault="00CC6C39" w:rsidP="001C3198">
      <w:pPr>
        <w:rPr>
          <w:sz w:val="22"/>
          <w:szCs w:val="22"/>
        </w:rPr>
      </w:pPr>
    </w:p>
    <w:p w14:paraId="419CC0EC" w14:textId="77777777" w:rsidR="001C3198" w:rsidRPr="00275093" w:rsidRDefault="001C3198" w:rsidP="001C3198">
      <w:pPr>
        <w:rPr>
          <w:sz w:val="22"/>
          <w:szCs w:val="22"/>
        </w:rPr>
      </w:pPr>
      <w:r w:rsidRPr="00275093">
        <w:rPr>
          <w:sz w:val="22"/>
          <w:szCs w:val="22"/>
        </w:rPr>
        <w:t xml:space="preserve">Jedlo nemá vplyv na rýchlosť a mieru absorpcie oxkarbazepínu, preto možno Trileptal užívať </w:t>
      </w:r>
      <w:r w:rsidR="004E42C1" w:rsidRPr="00275093">
        <w:rPr>
          <w:sz w:val="22"/>
          <w:szCs w:val="22"/>
        </w:rPr>
        <w:t xml:space="preserve">s </w:t>
      </w:r>
      <w:r w:rsidRPr="00275093">
        <w:rPr>
          <w:sz w:val="22"/>
          <w:szCs w:val="22"/>
        </w:rPr>
        <w:t>jedl</w:t>
      </w:r>
      <w:r w:rsidR="004E42C1" w:rsidRPr="00275093">
        <w:rPr>
          <w:sz w:val="22"/>
          <w:szCs w:val="22"/>
        </w:rPr>
        <w:t>om</w:t>
      </w:r>
      <w:r w:rsidRPr="00275093">
        <w:rPr>
          <w:sz w:val="22"/>
          <w:szCs w:val="22"/>
        </w:rPr>
        <w:t xml:space="preserve"> alebo </w:t>
      </w:r>
      <w:r w:rsidR="004E42C1" w:rsidRPr="00275093">
        <w:rPr>
          <w:sz w:val="22"/>
          <w:szCs w:val="22"/>
        </w:rPr>
        <w:t>bez jedla</w:t>
      </w:r>
      <w:r w:rsidRPr="00275093">
        <w:rPr>
          <w:sz w:val="22"/>
          <w:szCs w:val="22"/>
        </w:rPr>
        <w:t>.</w:t>
      </w:r>
    </w:p>
    <w:p w14:paraId="35A1FCF8" w14:textId="77777777" w:rsidR="001C3198" w:rsidRPr="00275093" w:rsidRDefault="001C3198" w:rsidP="001C3198">
      <w:pPr>
        <w:outlineLvl w:val="0"/>
        <w:rPr>
          <w:b/>
          <w:i/>
          <w:sz w:val="22"/>
          <w:szCs w:val="22"/>
        </w:rPr>
      </w:pPr>
    </w:p>
    <w:p w14:paraId="22728AC4" w14:textId="77777777" w:rsidR="001C3198" w:rsidRPr="00275093" w:rsidRDefault="001C3198" w:rsidP="001B5CB7">
      <w:pPr>
        <w:keepNext/>
        <w:outlineLvl w:val="0"/>
        <w:rPr>
          <w:bCs/>
          <w:sz w:val="22"/>
          <w:szCs w:val="22"/>
          <w:u w:val="single"/>
        </w:rPr>
      </w:pPr>
      <w:r w:rsidRPr="00275093">
        <w:rPr>
          <w:bCs/>
          <w:sz w:val="22"/>
          <w:szCs w:val="22"/>
          <w:u w:val="single"/>
        </w:rPr>
        <w:t>Distribúcia</w:t>
      </w:r>
    </w:p>
    <w:p w14:paraId="1F423E6C" w14:textId="51BDE30D" w:rsidR="001C3198" w:rsidRPr="00275093" w:rsidRDefault="001C3198" w:rsidP="001B5CB7">
      <w:pPr>
        <w:keepNext/>
        <w:rPr>
          <w:sz w:val="22"/>
          <w:szCs w:val="22"/>
        </w:rPr>
      </w:pPr>
      <w:r w:rsidRPr="00275093">
        <w:rPr>
          <w:sz w:val="22"/>
          <w:szCs w:val="22"/>
        </w:rPr>
        <w:t>Zdanlivý distribučný objem MHD je 49 l.</w:t>
      </w:r>
    </w:p>
    <w:p w14:paraId="4B617812" w14:textId="77777777" w:rsidR="00CC6C39" w:rsidRPr="00275093" w:rsidRDefault="00CC6C39" w:rsidP="001C3198">
      <w:pPr>
        <w:rPr>
          <w:sz w:val="22"/>
          <w:szCs w:val="22"/>
        </w:rPr>
      </w:pPr>
    </w:p>
    <w:p w14:paraId="75482546" w14:textId="77777777" w:rsidR="001C3198" w:rsidRPr="00275093" w:rsidRDefault="001C3198" w:rsidP="001C3198">
      <w:pPr>
        <w:rPr>
          <w:sz w:val="22"/>
          <w:szCs w:val="22"/>
        </w:rPr>
      </w:pPr>
      <w:r w:rsidRPr="00275093">
        <w:rPr>
          <w:sz w:val="22"/>
          <w:szCs w:val="22"/>
        </w:rPr>
        <w:t>Približne 40</w:t>
      </w:r>
      <w:r w:rsidR="00C21D02" w:rsidRPr="00275093">
        <w:rPr>
          <w:sz w:val="22"/>
          <w:szCs w:val="22"/>
        </w:rPr>
        <w:t> %</w:t>
      </w:r>
      <w:r w:rsidRPr="00275093">
        <w:rPr>
          <w:sz w:val="22"/>
          <w:szCs w:val="22"/>
        </w:rPr>
        <w:t xml:space="preserve"> MHD sa viaže na sérové bielkoviny, hlavne na albumín. V terapeuticky významnom rozmedzí nezávisí väzba od koncentrácie v sére. Oxkarbazepín a MHD sa neviažu na kyslý alfa-1-</w:t>
      </w:r>
      <w:r w:rsidRPr="00275093">
        <w:rPr>
          <w:b/>
          <w:i/>
          <w:sz w:val="22"/>
          <w:szCs w:val="22"/>
        </w:rPr>
        <w:t xml:space="preserve"> </w:t>
      </w:r>
      <w:r w:rsidRPr="00275093">
        <w:rPr>
          <w:sz w:val="22"/>
          <w:szCs w:val="22"/>
        </w:rPr>
        <w:t>glykoproteín.</w:t>
      </w:r>
    </w:p>
    <w:p w14:paraId="6BCAED5B" w14:textId="77777777" w:rsidR="00CC6C39" w:rsidRPr="00275093" w:rsidRDefault="00CC6C39" w:rsidP="001C3198">
      <w:pPr>
        <w:rPr>
          <w:sz w:val="22"/>
          <w:szCs w:val="22"/>
        </w:rPr>
      </w:pPr>
    </w:p>
    <w:p w14:paraId="6300B0DF" w14:textId="77777777" w:rsidR="001C3198" w:rsidRPr="00275093" w:rsidRDefault="001C3198" w:rsidP="001C3198">
      <w:pPr>
        <w:rPr>
          <w:sz w:val="22"/>
          <w:szCs w:val="22"/>
        </w:rPr>
      </w:pPr>
      <w:r w:rsidRPr="00275093">
        <w:rPr>
          <w:sz w:val="22"/>
          <w:szCs w:val="22"/>
        </w:rPr>
        <w:t>Oxkarbazepín a MHD prestupujú cez placentu. V jednom prípade boli podobné plazmatické koncentrácie MHD u matky a novorodenca.</w:t>
      </w:r>
    </w:p>
    <w:p w14:paraId="2C8E3BBF" w14:textId="77777777" w:rsidR="001C3198" w:rsidRPr="00275093" w:rsidRDefault="001C3198" w:rsidP="001C3198">
      <w:pPr>
        <w:rPr>
          <w:sz w:val="22"/>
          <w:szCs w:val="22"/>
        </w:rPr>
      </w:pPr>
    </w:p>
    <w:p w14:paraId="6796D4F8" w14:textId="77777777" w:rsidR="001C3198" w:rsidRPr="00275093" w:rsidRDefault="001C3198" w:rsidP="0031250B">
      <w:pPr>
        <w:keepNext/>
        <w:outlineLvl w:val="0"/>
        <w:rPr>
          <w:bCs/>
          <w:sz w:val="22"/>
          <w:szCs w:val="22"/>
          <w:u w:val="single"/>
        </w:rPr>
      </w:pPr>
      <w:r w:rsidRPr="00275093">
        <w:rPr>
          <w:bCs/>
          <w:sz w:val="22"/>
          <w:szCs w:val="22"/>
          <w:u w:val="single"/>
        </w:rPr>
        <w:t>Biotransformácia</w:t>
      </w:r>
    </w:p>
    <w:p w14:paraId="20750BFB" w14:textId="77777777" w:rsidR="001C3198" w:rsidRPr="00275093" w:rsidRDefault="001C3198" w:rsidP="001C3198">
      <w:pPr>
        <w:rPr>
          <w:sz w:val="22"/>
          <w:szCs w:val="22"/>
        </w:rPr>
      </w:pPr>
      <w:r w:rsidRPr="00275093">
        <w:rPr>
          <w:sz w:val="22"/>
          <w:szCs w:val="22"/>
        </w:rPr>
        <w:t>Oxkarbazepín sa v pečeni rýchlo redukuje cytosólovými enzýmami na MHD, ktorý primárne zodpovedá za farmakologický účinok Trileptalu. MHD sa ďalej metabolizuje konjugáciou s kyselinou glukurónovou. Menšie množstvá (4</w:t>
      </w:r>
      <w:r w:rsidR="00C21D02" w:rsidRPr="00275093">
        <w:rPr>
          <w:sz w:val="22"/>
          <w:szCs w:val="22"/>
        </w:rPr>
        <w:t> %</w:t>
      </w:r>
      <w:r w:rsidRPr="00275093">
        <w:rPr>
          <w:sz w:val="22"/>
          <w:szCs w:val="22"/>
        </w:rPr>
        <w:t xml:space="preserve"> dávky) sa oxidujú na farmakologicky neaktívny metabolit (10,11-dihydroxyderivát, DHD).</w:t>
      </w:r>
    </w:p>
    <w:p w14:paraId="45596683" w14:textId="77777777" w:rsidR="001C3198" w:rsidRPr="00275093" w:rsidRDefault="001C3198" w:rsidP="001C3198">
      <w:pPr>
        <w:outlineLvl w:val="0"/>
        <w:rPr>
          <w:b/>
          <w:sz w:val="22"/>
          <w:szCs w:val="22"/>
        </w:rPr>
      </w:pPr>
    </w:p>
    <w:p w14:paraId="11BE90A0" w14:textId="77777777" w:rsidR="001C3198" w:rsidRPr="00275093" w:rsidRDefault="001C3198" w:rsidP="001C3198">
      <w:pPr>
        <w:outlineLvl w:val="0"/>
        <w:rPr>
          <w:bCs/>
          <w:sz w:val="22"/>
          <w:szCs w:val="22"/>
          <w:u w:val="single"/>
        </w:rPr>
      </w:pPr>
      <w:r w:rsidRPr="00275093">
        <w:rPr>
          <w:bCs/>
          <w:sz w:val="22"/>
          <w:szCs w:val="22"/>
          <w:u w:val="single"/>
        </w:rPr>
        <w:t>Eliminácia</w:t>
      </w:r>
    </w:p>
    <w:p w14:paraId="56BF0637" w14:textId="77777777" w:rsidR="001C3198" w:rsidRPr="00275093" w:rsidRDefault="001C3198" w:rsidP="001C3198">
      <w:pPr>
        <w:rPr>
          <w:sz w:val="22"/>
          <w:szCs w:val="22"/>
        </w:rPr>
      </w:pPr>
      <w:r w:rsidRPr="00275093">
        <w:rPr>
          <w:sz w:val="22"/>
          <w:szCs w:val="22"/>
        </w:rPr>
        <w:t>Oxkarbazepín sa vylučuje z tela väčšinou vo forme metabolitov, ktoré sa prevažne vylučujú obličkami. Viac ako 95</w:t>
      </w:r>
      <w:r w:rsidR="00C21D02" w:rsidRPr="00275093">
        <w:rPr>
          <w:sz w:val="22"/>
          <w:szCs w:val="22"/>
        </w:rPr>
        <w:t> %</w:t>
      </w:r>
      <w:r w:rsidRPr="00275093">
        <w:rPr>
          <w:sz w:val="22"/>
          <w:szCs w:val="22"/>
        </w:rPr>
        <w:t xml:space="preserve"> dávky sa objaví v moči, menej ako 1</w:t>
      </w:r>
      <w:r w:rsidR="00C21D02" w:rsidRPr="00275093">
        <w:rPr>
          <w:sz w:val="22"/>
          <w:szCs w:val="22"/>
        </w:rPr>
        <w:t> %</w:t>
      </w:r>
      <w:r w:rsidRPr="00275093">
        <w:rPr>
          <w:sz w:val="22"/>
          <w:szCs w:val="22"/>
        </w:rPr>
        <w:t xml:space="preserve"> ako nezmenený oxkarbazepín. Na vylúčenie stolicou pripadá menej ako 4</w:t>
      </w:r>
      <w:r w:rsidR="00C21D02" w:rsidRPr="00275093">
        <w:rPr>
          <w:sz w:val="22"/>
          <w:szCs w:val="22"/>
        </w:rPr>
        <w:t> %</w:t>
      </w:r>
      <w:r w:rsidRPr="00275093">
        <w:rPr>
          <w:sz w:val="22"/>
          <w:szCs w:val="22"/>
        </w:rPr>
        <w:t xml:space="preserve"> podanej dávky. Približne 80</w:t>
      </w:r>
      <w:r w:rsidR="00C21D02" w:rsidRPr="00275093">
        <w:rPr>
          <w:sz w:val="22"/>
          <w:szCs w:val="22"/>
        </w:rPr>
        <w:t> %</w:t>
      </w:r>
      <w:r w:rsidRPr="00275093">
        <w:rPr>
          <w:sz w:val="22"/>
          <w:szCs w:val="22"/>
        </w:rPr>
        <w:t xml:space="preserve"> dávky sa vylučuje močom buď ako </w:t>
      </w:r>
      <w:r w:rsidRPr="00275093">
        <w:rPr>
          <w:sz w:val="22"/>
          <w:szCs w:val="22"/>
        </w:rPr>
        <w:lastRenderedPageBreak/>
        <w:t>glukuronidy MHD (49</w:t>
      </w:r>
      <w:r w:rsidR="00C21D02" w:rsidRPr="00275093">
        <w:rPr>
          <w:sz w:val="22"/>
          <w:szCs w:val="22"/>
        </w:rPr>
        <w:t> %</w:t>
      </w:r>
      <w:r w:rsidRPr="00275093">
        <w:rPr>
          <w:sz w:val="22"/>
          <w:szCs w:val="22"/>
        </w:rPr>
        <w:t>), alebo ako nezmenený MHD (27</w:t>
      </w:r>
      <w:r w:rsidR="00C21D02" w:rsidRPr="00275093">
        <w:rPr>
          <w:sz w:val="22"/>
          <w:szCs w:val="22"/>
        </w:rPr>
        <w:t> %</w:t>
      </w:r>
      <w:r w:rsidRPr="00275093">
        <w:rPr>
          <w:sz w:val="22"/>
          <w:szCs w:val="22"/>
        </w:rPr>
        <w:t>), zatiaľ čo na neaktívny DHD pripadajú približne 3</w:t>
      </w:r>
      <w:r w:rsidR="00C21D02" w:rsidRPr="00275093">
        <w:rPr>
          <w:sz w:val="22"/>
          <w:szCs w:val="22"/>
        </w:rPr>
        <w:t> %</w:t>
      </w:r>
      <w:r w:rsidRPr="00275093">
        <w:rPr>
          <w:sz w:val="22"/>
          <w:szCs w:val="22"/>
        </w:rPr>
        <w:t xml:space="preserve"> a na konjugáty oxkarbazepínu 13</w:t>
      </w:r>
      <w:r w:rsidR="00C21D02" w:rsidRPr="00275093">
        <w:rPr>
          <w:sz w:val="22"/>
          <w:szCs w:val="22"/>
        </w:rPr>
        <w:t> %</w:t>
      </w:r>
      <w:r w:rsidRPr="00275093">
        <w:rPr>
          <w:sz w:val="22"/>
          <w:szCs w:val="22"/>
        </w:rPr>
        <w:t xml:space="preserve"> dávky.</w:t>
      </w:r>
    </w:p>
    <w:p w14:paraId="795E5FBE" w14:textId="77777777" w:rsidR="00CC6C39" w:rsidRPr="00275093" w:rsidRDefault="00CC6C39" w:rsidP="001C3198">
      <w:pPr>
        <w:rPr>
          <w:sz w:val="22"/>
          <w:szCs w:val="22"/>
        </w:rPr>
      </w:pPr>
    </w:p>
    <w:p w14:paraId="348BEE37" w14:textId="77777777" w:rsidR="001C3198" w:rsidRPr="00275093" w:rsidRDefault="001C3198" w:rsidP="001C3198">
      <w:pPr>
        <w:rPr>
          <w:sz w:val="22"/>
          <w:szCs w:val="22"/>
        </w:rPr>
      </w:pPr>
      <w:r w:rsidRPr="00275093">
        <w:rPr>
          <w:sz w:val="22"/>
          <w:szCs w:val="22"/>
        </w:rPr>
        <w:t>Oxkarbazepín sa rýchlo eliminuje z plazmy s hodnotami zdanlivého polčasu medzi 1,3 a 2,3 hodinami. Naproti tomu zdanlivý polčas MHD v plazme je priemerne 9,3 </w:t>
      </w:r>
      <w:r w:rsidRPr="00275093">
        <w:rPr>
          <w:sz w:val="22"/>
          <w:szCs w:val="22"/>
        </w:rPr>
        <w:sym w:font="Symbol" w:char="F0B1"/>
      </w:r>
      <w:r w:rsidRPr="00275093">
        <w:rPr>
          <w:sz w:val="22"/>
          <w:szCs w:val="22"/>
        </w:rPr>
        <w:t xml:space="preserve"> 1,8 hodín.</w:t>
      </w:r>
    </w:p>
    <w:p w14:paraId="773E86EC" w14:textId="77777777" w:rsidR="001C3198" w:rsidRPr="00275093" w:rsidRDefault="001C3198" w:rsidP="001C3198">
      <w:pPr>
        <w:rPr>
          <w:sz w:val="22"/>
          <w:szCs w:val="22"/>
        </w:rPr>
      </w:pPr>
    </w:p>
    <w:p w14:paraId="34CB0EDC" w14:textId="77777777" w:rsidR="00CC6C39" w:rsidRPr="00275093" w:rsidRDefault="00CC6C39" w:rsidP="00275093">
      <w:pPr>
        <w:pStyle w:val="Zkladntext2"/>
        <w:keepNext/>
        <w:rPr>
          <w:bCs/>
          <w:szCs w:val="22"/>
          <w:u w:val="single"/>
        </w:rPr>
      </w:pPr>
      <w:r w:rsidRPr="00275093">
        <w:rPr>
          <w:noProof/>
          <w:szCs w:val="22"/>
          <w:u w:val="single"/>
        </w:rPr>
        <w:t>Linearita</w:t>
      </w:r>
    </w:p>
    <w:p w14:paraId="6D05E2F7" w14:textId="77777777" w:rsidR="001C3198" w:rsidRPr="00275093" w:rsidRDefault="001C3198" w:rsidP="00275093">
      <w:pPr>
        <w:pStyle w:val="Zkladntext2"/>
        <w:keepNext/>
        <w:rPr>
          <w:szCs w:val="22"/>
        </w:rPr>
      </w:pPr>
      <w:r w:rsidRPr="00275093">
        <w:rPr>
          <w:szCs w:val="22"/>
        </w:rPr>
        <w:t>U pacientov sa dosiahnu rovnovážne koncentrácie MHD v plazme v priebehu 2 - 3 dní, keď sa Trileptal podáva dvakrát denne. V rovnovážnom stave je farmakokinetika MHD lineárna a vykazuje úmernosť dávke v rozmedzí dávok od 300 do 2 400 mg/deň.</w:t>
      </w:r>
    </w:p>
    <w:p w14:paraId="15E0FDCB" w14:textId="77777777" w:rsidR="001C3198" w:rsidRPr="00275093" w:rsidRDefault="001C3198" w:rsidP="001C3198">
      <w:pPr>
        <w:pStyle w:val="Zkladntext2"/>
        <w:rPr>
          <w:szCs w:val="22"/>
        </w:rPr>
      </w:pPr>
    </w:p>
    <w:p w14:paraId="73750320" w14:textId="77777777" w:rsidR="001C3198" w:rsidRPr="00275093" w:rsidRDefault="001C3198" w:rsidP="001C3198">
      <w:pPr>
        <w:outlineLvl w:val="0"/>
        <w:rPr>
          <w:bCs/>
          <w:sz w:val="22"/>
          <w:szCs w:val="22"/>
          <w:u w:val="single"/>
        </w:rPr>
      </w:pPr>
      <w:r w:rsidRPr="00275093">
        <w:rPr>
          <w:bCs/>
          <w:sz w:val="22"/>
          <w:szCs w:val="22"/>
          <w:u w:val="single"/>
        </w:rPr>
        <w:t xml:space="preserve">Osobitné </w:t>
      </w:r>
      <w:r w:rsidR="004E42C1" w:rsidRPr="00275093">
        <w:rPr>
          <w:bCs/>
          <w:sz w:val="22"/>
          <w:szCs w:val="22"/>
          <w:u w:val="single"/>
        </w:rPr>
        <w:t xml:space="preserve">populácie </w:t>
      </w:r>
      <w:r w:rsidRPr="00275093">
        <w:rPr>
          <w:bCs/>
          <w:sz w:val="22"/>
          <w:szCs w:val="22"/>
          <w:u w:val="single"/>
        </w:rPr>
        <w:t>pacientov</w:t>
      </w:r>
    </w:p>
    <w:p w14:paraId="6B05CD2C" w14:textId="77777777" w:rsidR="001C3198" w:rsidRPr="00275093" w:rsidRDefault="001C3198" w:rsidP="001C3198">
      <w:pPr>
        <w:pStyle w:val="Zkladntext"/>
        <w:jc w:val="left"/>
        <w:outlineLvl w:val="0"/>
        <w:rPr>
          <w:i/>
          <w:iCs/>
          <w:szCs w:val="22"/>
        </w:rPr>
      </w:pPr>
      <w:r w:rsidRPr="00275093">
        <w:rPr>
          <w:i/>
          <w:iCs/>
          <w:szCs w:val="22"/>
        </w:rPr>
        <w:t>Pacienti s</w:t>
      </w:r>
      <w:r w:rsidR="00CC6C39" w:rsidRPr="00275093">
        <w:rPr>
          <w:i/>
          <w:iCs/>
          <w:szCs w:val="22"/>
        </w:rPr>
        <w:t> </w:t>
      </w:r>
      <w:r w:rsidRPr="00275093">
        <w:rPr>
          <w:i/>
          <w:iCs/>
          <w:szCs w:val="22"/>
        </w:rPr>
        <w:t>po</w:t>
      </w:r>
      <w:r w:rsidR="00CC6C39" w:rsidRPr="00275093">
        <w:rPr>
          <w:i/>
          <w:iCs/>
          <w:szCs w:val="22"/>
        </w:rPr>
        <w:t xml:space="preserve">ruchou </w:t>
      </w:r>
      <w:r w:rsidRPr="00275093">
        <w:rPr>
          <w:i/>
          <w:iCs/>
          <w:szCs w:val="22"/>
        </w:rPr>
        <w:t>funkcie pečene</w:t>
      </w:r>
    </w:p>
    <w:p w14:paraId="589CF636" w14:textId="77777777" w:rsidR="001C3198" w:rsidRPr="00275093" w:rsidRDefault="001C3198" w:rsidP="001C3198">
      <w:pPr>
        <w:pStyle w:val="Zkladntext"/>
        <w:jc w:val="left"/>
        <w:rPr>
          <w:szCs w:val="22"/>
        </w:rPr>
      </w:pPr>
      <w:r w:rsidRPr="00275093">
        <w:rPr>
          <w:szCs w:val="22"/>
        </w:rPr>
        <w:t>Farmakokinetika a metabolizmus oxkarbazepínu a MHD sa vyhodnotili u zdravých dobrovoľníkov a osôb s po</w:t>
      </w:r>
      <w:r w:rsidR="00CC6C39" w:rsidRPr="00275093">
        <w:rPr>
          <w:szCs w:val="22"/>
        </w:rPr>
        <w:t>ruchou</w:t>
      </w:r>
      <w:r w:rsidRPr="00275093">
        <w:rPr>
          <w:szCs w:val="22"/>
        </w:rPr>
        <w:t xml:space="preserve"> funkcie pečene po jednorazovej perorálnej dávke 900 mg. </w:t>
      </w:r>
      <w:r w:rsidR="00CC6C39" w:rsidRPr="00275093">
        <w:rPr>
          <w:szCs w:val="22"/>
        </w:rPr>
        <w:t xml:space="preserve">Ľahká </w:t>
      </w:r>
      <w:r w:rsidRPr="00275093">
        <w:rPr>
          <w:szCs w:val="22"/>
        </w:rPr>
        <w:t xml:space="preserve">až stredne </w:t>
      </w:r>
      <w:r w:rsidR="00CC6C39" w:rsidRPr="00275093">
        <w:rPr>
          <w:szCs w:val="22"/>
        </w:rPr>
        <w:t xml:space="preserve">ťažká </w:t>
      </w:r>
      <w:r w:rsidRPr="00275093">
        <w:rPr>
          <w:szCs w:val="22"/>
        </w:rPr>
        <w:t>po</w:t>
      </w:r>
      <w:r w:rsidR="00CC6C39" w:rsidRPr="00275093">
        <w:rPr>
          <w:szCs w:val="22"/>
        </w:rPr>
        <w:t>rucha funkcie</w:t>
      </w:r>
      <w:r w:rsidRPr="00275093">
        <w:rPr>
          <w:szCs w:val="22"/>
        </w:rPr>
        <w:t xml:space="preserve"> pečene neovplyvnil</w:t>
      </w:r>
      <w:r w:rsidR="00CC6C39" w:rsidRPr="00275093">
        <w:rPr>
          <w:szCs w:val="22"/>
        </w:rPr>
        <w:t>a</w:t>
      </w:r>
      <w:r w:rsidRPr="00275093">
        <w:rPr>
          <w:szCs w:val="22"/>
        </w:rPr>
        <w:t xml:space="preserve"> farmakokinetiku oxkarbazepínu a MHD. Trileptal sa nesledoval u pacientov s ťažk</w:t>
      </w:r>
      <w:r w:rsidR="00CC6C39" w:rsidRPr="00275093">
        <w:rPr>
          <w:szCs w:val="22"/>
        </w:rPr>
        <w:t>ou</w:t>
      </w:r>
      <w:r w:rsidRPr="00275093">
        <w:rPr>
          <w:szCs w:val="22"/>
        </w:rPr>
        <w:t xml:space="preserve"> po</w:t>
      </w:r>
      <w:r w:rsidR="00CC6C39" w:rsidRPr="00275093">
        <w:rPr>
          <w:szCs w:val="22"/>
        </w:rPr>
        <w:t>ruchou funkcie</w:t>
      </w:r>
      <w:r w:rsidRPr="00275093">
        <w:rPr>
          <w:szCs w:val="22"/>
        </w:rPr>
        <w:t xml:space="preserve"> pečene.</w:t>
      </w:r>
    </w:p>
    <w:p w14:paraId="189E5EBF" w14:textId="77777777" w:rsidR="001C3198" w:rsidRPr="00275093" w:rsidRDefault="001C3198" w:rsidP="001C3198">
      <w:pPr>
        <w:pStyle w:val="Zkladntext"/>
        <w:jc w:val="left"/>
        <w:rPr>
          <w:szCs w:val="22"/>
        </w:rPr>
      </w:pPr>
    </w:p>
    <w:p w14:paraId="0EA572CC" w14:textId="77777777" w:rsidR="001C3198" w:rsidRPr="00275093" w:rsidRDefault="001C3198" w:rsidP="001C3198">
      <w:pPr>
        <w:pStyle w:val="Zkladntext"/>
        <w:jc w:val="left"/>
        <w:rPr>
          <w:i/>
          <w:iCs/>
          <w:szCs w:val="22"/>
        </w:rPr>
      </w:pPr>
      <w:r w:rsidRPr="00275093">
        <w:rPr>
          <w:i/>
          <w:iCs/>
          <w:szCs w:val="22"/>
        </w:rPr>
        <w:t>Pacienti s</w:t>
      </w:r>
      <w:r w:rsidR="00CC6C39" w:rsidRPr="00275093">
        <w:rPr>
          <w:i/>
          <w:iCs/>
          <w:szCs w:val="22"/>
        </w:rPr>
        <w:t> </w:t>
      </w:r>
      <w:r w:rsidRPr="00275093">
        <w:rPr>
          <w:i/>
          <w:iCs/>
          <w:szCs w:val="22"/>
        </w:rPr>
        <w:t>po</w:t>
      </w:r>
      <w:r w:rsidR="00CC6C39" w:rsidRPr="00275093">
        <w:rPr>
          <w:i/>
          <w:iCs/>
          <w:szCs w:val="22"/>
        </w:rPr>
        <w:t xml:space="preserve">ruchou </w:t>
      </w:r>
      <w:r w:rsidRPr="00275093">
        <w:rPr>
          <w:i/>
          <w:iCs/>
          <w:szCs w:val="22"/>
        </w:rPr>
        <w:t>funkcie obličiek</w:t>
      </w:r>
    </w:p>
    <w:p w14:paraId="7C31B26E" w14:textId="77777777" w:rsidR="001C3198" w:rsidRPr="00275093" w:rsidRDefault="001C3198" w:rsidP="001C3198">
      <w:pPr>
        <w:pStyle w:val="Zkladntext"/>
        <w:jc w:val="left"/>
        <w:rPr>
          <w:szCs w:val="22"/>
        </w:rPr>
      </w:pPr>
      <w:r w:rsidRPr="00275093">
        <w:rPr>
          <w:szCs w:val="22"/>
        </w:rPr>
        <w:t>Medzi klírensom kreatinínu a obličkovým klírensom MHD je lineárna korelácia. Keď sa Trileptal podá jednorazovo v dávke 300 mg, u pacientov s po</w:t>
      </w:r>
      <w:r w:rsidR="00CC6C39" w:rsidRPr="00275093">
        <w:rPr>
          <w:szCs w:val="22"/>
        </w:rPr>
        <w:t>ruchou</w:t>
      </w:r>
      <w:r w:rsidRPr="00275093">
        <w:rPr>
          <w:szCs w:val="22"/>
        </w:rPr>
        <w:t xml:space="preserve"> funkcie obličiek (klírens kreatinínu &lt; 30 ml/min) sa predĺži polčas eliminácie MHD o 60 až 90</w:t>
      </w:r>
      <w:r w:rsidR="00C21D02" w:rsidRPr="00275093">
        <w:rPr>
          <w:szCs w:val="22"/>
        </w:rPr>
        <w:t> %</w:t>
      </w:r>
      <w:r w:rsidRPr="00275093">
        <w:rPr>
          <w:szCs w:val="22"/>
        </w:rPr>
        <w:t xml:space="preserve"> (16 až 19 hodín) </w:t>
      </w:r>
      <w:r w:rsidR="004E42C1" w:rsidRPr="00275093">
        <w:rPr>
          <w:szCs w:val="22"/>
        </w:rPr>
        <w:t xml:space="preserve">a AUC sa zvýši na dvojnásobok </w:t>
      </w:r>
      <w:r w:rsidRPr="00275093">
        <w:rPr>
          <w:szCs w:val="22"/>
        </w:rPr>
        <w:t>v porovnaní s dospelými s normálnou funkciou obličiek (10 hodín).</w:t>
      </w:r>
    </w:p>
    <w:p w14:paraId="19971A41" w14:textId="77777777" w:rsidR="001C3198" w:rsidRPr="00275093" w:rsidRDefault="001C3198" w:rsidP="001C3198">
      <w:pPr>
        <w:pStyle w:val="Zkladntext"/>
        <w:jc w:val="left"/>
        <w:rPr>
          <w:szCs w:val="22"/>
        </w:rPr>
      </w:pPr>
    </w:p>
    <w:p w14:paraId="54D6DF7E" w14:textId="77777777" w:rsidR="00CC6C39" w:rsidRPr="00275093" w:rsidRDefault="00CC6C39" w:rsidP="001C3198">
      <w:pPr>
        <w:pStyle w:val="Zkladntext"/>
        <w:jc w:val="left"/>
        <w:rPr>
          <w:i/>
          <w:iCs/>
          <w:szCs w:val="22"/>
        </w:rPr>
      </w:pPr>
      <w:r w:rsidRPr="00275093">
        <w:rPr>
          <w:i/>
          <w:noProof/>
          <w:szCs w:val="22"/>
        </w:rPr>
        <w:t>Pediatrická populácia</w:t>
      </w:r>
    </w:p>
    <w:p w14:paraId="5248C13C" w14:textId="77777777" w:rsidR="001C3198" w:rsidRPr="00275093" w:rsidRDefault="001C3198" w:rsidP="001C3198">
      <w:pPr>
        <w:pStyle w:val="Zkladntext"/>
        <w:jc w:val="left"/>
        <w:rPr>
          <w:szCs w:val="22"/>
        </w:rPr>
      </w:pPr>
      <w:r w:rsidRPr="00275093">
        <w:rPr>
          <w:szCs w:val="22"/>
        </w:rPr>
        <w:t>Farmakokinetika Trileptalu sa hodnotila v klinických skúšaniach s pediatrickými pacientmi, ktorí užívali Trileptal v rozmedzí dávok 10 – 60 mg/kg/deň. Klírens MHD upravený podľa telesnej hmotnosti sa znižuje, keď sa vek a hmotnosť zvyšujú, až sa priblížia k hodnotám dospelých. Priemerný klírens upravený podľa telesnej hmotnosti u detí vo veku 4 až 12 rokov je približne o 40</w:t>
      </w:r>
      <w:r w:rsidR="00C21D02" w:rsidRPr="00275093">
        <w:rPr>
          <w:szCs w:val="22"/>
        </w:rPr>
        <w:t> %</w:t>
      </w:r>
      <w:r w:rsidRPr="00275093">
        <w:rPr>
          <w:szCs w:val="22"/>
        </w:rPr>
        <w:t xml:space="preserve"> vyšší ako u dospelých. Preto očakávaná expozícia MHD u týchto detí je asi dvojtretinová oproti dospelým, keď sa im podá podobná dávka upravená podľa telesnej hmotnosti. Očakáva sa, že pri zvyšovaní hmotnosti u pacientov vo veku 13 rokov a viac dosiahne klírens MHD upravený podľa telesnej hmotnosti hodnoty ako u dospelých.</w:t>
      </w:r>
    </w:p>
    <w:p w14:paraId="4C29FA2E" w14:textId="77777777" w:rsidR="0021725E" w:rsidRPr="00275093" w:rsidRDefault="0021725E" w:rsidP="001C3198">
      <w:pPr>
        <w:pStyle w:val="Zkladntext"/>
        <w:jc w:val="left"/>
        <w:rPr>
          <w:i/>
          <w:szCs w:val="22"/>
        </w:rPr>
      </w:pPr>
    </w:p>
    <w:p w14:paraId="016F9952" w14:textId="77777777" w:rsidR="001C3198" w:rsidRPr="00275093" w:rsidRDefault="0021725E" w:rsidP="001C3198">
      <w:pPr>
        <w:pStyle w:val="Zkladntext"/>
        <w:jc w:val="left"/>
        <w:rPr>
          <w:i/>
          <w:szCs w:val="22"/>
        </w:rPr>
      </w:pPr>
      <w:r w:rsidRPr="00275093">
        <w:rPr>
          <w:i/>
          <w:szCs w:val="22"/>
        </w:rPr>
        <w:t>Gravidita</w:t>
      </w:r>
    </w:p>
    <w:p w14:paraId="315993C4" w14:textId="77777777" w:rsidR="0021725E" w:rsidRPr="00275093" w:rsidRDefault="0021725E" w:rsidP="001C3198">
      <w:pPr>
        <w:pStyle w:val="Zkladntext"/>
        <w:jc w:val="left"/>
        <w:rPr>
          <w:szCs w:val="22"/>
        </w:rPr>
      </w:pPr>
      <w:r w:rsidRPr="00275093">
        <w:rPr>
          <w:szCs w:val="22"/>
        </w:rPr>
        <w:t>Údaje u obmedzeného počtu žien naznačujú, že koncentrácie MHD v plazme sa počas gravidity môžu postupne znižovať (pozri časť 4.6).</w:t>
      </w:r>
    </w:p>
    <w:p w14:paraId="548689CA" w14:textId="77777777" w:rsidR="0021725E" w:rsidRPr="00275093" w:rsidRDefault="0021725E" w:rsidP="001C3198">
      <w:pPr>
        <w:pStyle w:val="Zkladntext"/>
        <w:jc w:val="left"/>
        <w:rPr>
          <w:i/>
          <w:szCs w:val="22"/>
        </w:rPr>
      </w:pPr>
    </w:p>
    <w:p w14:paraId="4860E994" w14:textId="77777777" w:rsidR="001C3198" w:rsidRPr="00275093" w:rsidRDefault="001C3198" w:rsidP="001C3198">
      <w:pPr>
        <w:pStyle w:val="Zkladntext"/>
        <w:jc w:val="left"/>
        <w:rPr>
          <w:i/>
          <w:iCs/>
          <w:szCs w:val="22"/>
        </w:rPr>
      </w:pPr>
      <w:r w:rsidRPr="00275093">
        <w:rPr>
          <w:i/>
          <w:iCs/>
          <w:szCs w:val="22"/>
        </w:rPr>
        <w:t xml:space="preserve">Starší </w:t>
      </w:r>
      <w:r w:rsidR="00A9146E" w:rsidRPr="00275093">
        <w:rPr>
          <w:i/>
          <w:iCs/>
          <w:szCs w:val="22"/>
        </w:rPr>
        <w:t>ľudia</w:t>
      </w:r>
    </w:p>
    <w:p w14:paraId="48EDB72B" w14:textId="77777777" w:rsidR="001C3198" w:rsidRPr="00275093" w:rsidRDefault="001C3198" w:rsidP="001C3198">
      <w:pPr>
        <w:pStyle w:val="Zkladntext"/>
        <w:jc w:val="left"/>
        <w:rPr>
          <w:szCs w:val="22"/>
        </w:rPr>
      </w:pPr>
      <w:r w:rsidRPr="00275093">
        <w:rPr>
          <w:szCs w:val="22"/>
        </w:rPr>
        <w:t xml:space="preserve">Po jednorazovom podaní (300 mg) a opakovanom podávaní (600 mg/deň) Trileptalu starším dobrovoľníkom (vo veku 60 </w:t>
      </w:r>
      <w:r w:rsidR="004E42C1" w:rsidRPr="00275093">
        <w:rPr>
          <w:szCs w:val="22"/>
        </w:rPr>
        <w:t xml:space="preserve">– </w:t>
      </w:r>
      <w:r w:rsidRPr="00275093">
        <w:rPr>
          <w:szCs w:val="22"/>
        </w:rPr>
        <w:t>82 rokov) boli maximálne plazmatické koncentrácie a hodnoty AUC MHD o 30 až 60</w:t>
      </w:r>
      <w:r w:rsidR="00C21D02" w:rsidRPr="00275093">
        <w:rPr>
          <w:szCs w:val="22"/>
        </w:rPr>
        <w:t> %</w:t>
      </w:r>
      <w:r w:rsidRPr="00275093">
        <w:rPr>
          <w:szCs w:val="22"/>
        </w:rPr>
        <w:t xml:space="preserve"> vyššie ako u mladších dobrovoľníkov (vo veku 18 </w:t>
      </w:r>
      <w:r w:rsidR="004E42C1" w:rsidRPr="00275093">
        <w:rPr>
          <w:szCs w:val="22"/>
        </w:rPr>
        <w:t>–</w:t>
      </w:r>
      <w:r w:rsidRPr="00275093">
        <w:rPr>
          <w:szCs w:val="22"/>
        </w:rPr>
        <w:t xml:space="preserve"> 32 rokov). Porovnania klírensu kreatinínu u mladších a starších dobrovoľníkov naznačujú, že rozdiel spôsobilo zníženie klírensu kreatinínu súvisiace s vekom. Nie sú potrebné osobitné odporúčania pre dávkovanie, pretože terapeutické dávky sa upravujú individuálne.</w:t>
      </w:r>
    </w:p>
    <w:p w14:paraId="6298D5BE" w14:textId="77777777" w:rsidR="001C3198" w:rsidRPr="00275093" w:rsidRDefault="001C3198" w:rsidP="001C3198">
      <w:pPr>
        <w:pStyle w:val="Zkladntext"/>
        <w:jc w:val="left"/>
        <w:rPr>
          <w:szCs w:val="22"/>
        </w:rPr>
      </w:pPr>
    </w:p>
    <w:p w14:paraId="1C4CD429" w14:textId="77777777" w:rsidR="001C3198" w:rsidRPr="00275093" w:rsidRDefault="001C3198" w:rsidP="001C3198">
      <w:pPr>
        <w:pStyle w:val="Zkladntext"/>
        <w:jc w:val="left"/>
        <w:rPr>
          <w:i/>
          <w:iCs/>
          <w:szCs w:val="22"/>
        </w:rPr>
      </w:pPr>
      <w:r w:rsidRPr="00275093">
        <w:rPr>
          <w:i/>
          <w:iCs/>
          <w:szCs w:val="22"/>
        </w:rPr>
        <w:t>Pohlavie</w:t>
      </w:r>
    </w:p>
    <w:p w14:paraId="4A73DF38" w14:textId="77777777" w:rsidR="001C3198" w:rsidRPr="00275093" w:rsidRDefault="001C3198" w:rsidP="001C3198">
      <w:pPr>
        <w:pStyle w:val="Zkladntext"/>
        <w:jc w:val="left"/>
        <w:rPr>
          <w:szCs w:val="22"/>
        </w:rPr>
      </w:pPr>
      <w:r w:rsidRPr="00275093">
        <w:rPr>
          <w:szCs w:val="22"/>
        </w:rPr>
        <w:t>Nepozorovali sa žiadne rozdiely vo farmakokinetike súvisiace s pohlavím u detí, dospelých alebo starších pacientov.</w:t>
      </w:r>
    </w:p>
    <w:p w14:paraId="5A473545" w14:textId="77777777" w:rsidR="001C3198" w:rsidRPr="00275093" w:rsidRDefault="001C3198" w:rsidP="001C3198">
      <w:pPr>
        <w:rPr>
          <w:sz w:val="22"/>
          <w:szCs w:val="22"/>
        </w:rPr>
      </w:pPr>
    </w:p>
    <w:p w14:paraId="78D36E4E" w14:textId="77777777" w:rsidR="001C3198" w:rsidRPr="00275093" w:rsidRDefault="001C3198" w:rsidP="00275093">
      <w:pPr>
        <w:keepNext/>
        <w:rPr>
          <w:sz w:val="22"/>
          <w:szCs w:val="22"/>
        </w:rPr>
      </w:pPr>
      <w:r w:rsidRPr="00275093">
        <w:rPr>
          <w:b/>
          <w:sz w:val="22"/>
          <w:szCs w:val="22"/>
        </w:rPr>
        <w:lastRenderedPageBreak/>
        <w:t>5.3</w:t>
      </w:r>
      <w:r w:rsidRPr="00275093">
        <w:rPr>
          <w:b/>
          <w:sz w:val="22"/>
          <w:szCs w:val="22"/>
        </w:rPr>
        <w:tab/>
        <w:t>Predklinické údaje o bezpečnosti</w:t>
      </w:r>
    </w:p>
    <w:p w14:paraId="623BA929" w14:textId="77777777" w:rsidR="001C3198" w:rsidRPr="00275093" w:rsidRDefault="001C3198" w:rsidP="00275093">
      <w:pPr>
        <w:keepNext/>
        <w:rPr>
          <w:sz w:val="22"/>
          <w:szCs w:val="22"/>
        </w:rPr>
      </w:pPr>
    </w:p>
    <w:p w14:paraId="25D5696E" w14:textId="77777777" w:rsidR="001C3198" w:rsidRPr="00275093" w:rsidRDefault="001C3198" w:rsidP="00275093">
      <w:pPr>
        <w:keepNext/>
        <w:rPr>
          <w:sz w:val="22"/>
          <w:szCs w:val="22"/>
        </w:rPr>
      </w:pPr>
      <w:r w:rsidRPr="00275093">
        <w:rPr>
          <w:sz w:val="22"/>
          <w:szCs w:val="22"/>
        </w:rPr>
        <w:t>Predklinické údaje zo skúšaní farmakologickej bezpečnosti a genotoxicity s oxkarbazepínom a farmakologicky aktívnym metabolitom, monohydroxyderivátom (MHD), nenaznačili osobitné riziko pre ľudí.</w:t>
      </w:r>
    </w:p>
    <w:p w14:paraId="073A6B25" w14:textId="77777777" w:rsidR="001C3198" w:rsidRPr="00275093" w:rsidRDefault="001C3198" w:rsidP="001C3198">
      <w:pPr>
        <w:rPr>
          <w:sz w:val="22"/>
          <w:szCs w:val="22"/>
        </w:rPr>
      </w:pPr>
    </w:p>
    <w:p w14:paraId="672D172C" w14:textId="77777777" w:rsidR="001C3198" w:rsidRPr="00275093" w:rsidRDefault="001C3198" w:rsidP="001C3198">
      <w:pPr>
        <w:rPr>
          <w:sz w:val="22"/>
          <w:szCs w:val="22"/>
        </w:rPr>
      </w:pPr>
      <w:r w:rsidRPr="00275093">
        <w:rPr>
          <w:sz w:val="22"/>
          <w:szCs w:val="22"/>
        </w:rPr>
        <w:t xml:space="preserve">Dôkazy o nefrotoxicite sa zaznamenali v skúšaniach toxicity pri opakovanom podávaní u potkanov, ale nie u psov a myší. </w:t>
      </w:r>
    </w:p>
    <w:p w14:paraId="47DEDDAF" w14:textId="77777777" w:rsidR="00F103FB" w:rsidRPr="00275093" w:rsidRDefault="00F103FB" w:rsidP="001C3198">
      <w:pPr>
        <w:rPr>
          <w:sz w:val="22"/>
          <w:szCs w:val="22"/>
        </w:rPr>
      </w:pPr>
    </w:p>
    <w:p w14:paraId="4BEB4F3A" w14:textId="77777777" w:rsidR="000014D7" w:rsidRPr="00275093" w:rsidRDefault="000014D7" w:rsidP="00275093">
      <w:pPr>
        <w:keepNext/>
        <w:rPr>
          <w:sz w:val="22"/>
          <w:szCs w:val="22"/>
          <w:u w:val="single"/>
        </w:rPr>
      </w:pPr>
      <w:r w:rsidRPr="00275093">
        <w:rPr>
          <w:sz w:val="22"/>
          <w:szCs w:val="22"/>
          <w:u w:val="single"/>
        </w:rPr>
        <w:t>Imunotoxicita</w:t>
      </w:r>
    </w:p>
    <w:p w14:paraId="1D4B36F2" w14:textId="77777777" w:rsidR="001C3198" w:rsidRPr="00275093" w:rsidRDefault="001C3198" w:rsidP="00275093">
      <w:pPr>
        <w:keepNext/>
        <w:rPr>
          <w:sz w:val="22"/>
          <w:szCs w:val="22"/>
        </w:rPr>
      </w:pPr>
      <w:r w:rsidRPr="00275093">
        <w:rPr>
          <w:sz w:val="22"/>
          <w:szCs w:val="22"/>
        </w:rPr>
        <w:t>Imunostimulačné testy u myší ukázali, že MHD (a v menšej miere oxkarbazepín) môžu vyvolať oneskorené reakcie z precitlivenosti.</w:t>
      </w:r>
    </w:p>
    <w:p w14:paraId="69879157" w14:textId="77777777" w:rsidR="001C3198" w:rsidRPr="00275093" w:rsidRDefault="001C3198" w:rsidP="001C3198">
      <w:pPr>
        <w:rPr>
          <w:sz w:val="22"/>
          <w:szCs w:val="22"/>
        </w:rPr>
      </w:pPr>
    </w:p>
    <w:p w14:paraId="10DFB5FD" w14:textId="77777777" w:rsidR="000014D7" w:rsidRPr="00275093" w:rsidRDefault="000014D7" w:rsidP="001C3198">
      <w:pPr>
        <w:rPr>
          <w:sz w:val="22"/>
          <w:szCs w:val="22"/>
          <w:u w:val="single"/>
        </w:rPr>
      </w:pPr>
      <w:r w:rsidRPr="00275093">
        <w:rPr>
          <w:sz w:val="22"/>
          <w:szCs w:val="22"/>
          <w:u w:val="single"/>
        </w:rPr>
        <w:t>Mutagenita</w:t>
      </w:r>
    </w:p>
    <w:p w14:paraId="7155564A" w14:textId="77777777" w:rsidR="000014D7" w:rsidRPr="00275093" w:rsidRDefault="00936536" w:rsidP="001C3198">
      <w:pPr>
        <w:rPr>
          <w:sz w:val="22"/>
          <w:szCs w:val="22"/>
        </w:rPr>
      </w:pPr>
      <w:r w:rsidRPr="00275093">
        <w:rPr>
          <w:sz w:val="22"/>
          <w:szCs w:val="22"/>
        </w:rPr>
        <w:t xml:space="preserve">Oxkarbazepín zvýšil frekvencie mutácií v jednom </w:t>
      </w:r>
      <w:r w:rsidR="00AB21E5" w:rsidRPr="00275093">
        <w:rPr>
          <w:sz w:val="22"/>
          <w:szCs w:val="22"/>
        </w:rPr>
        <w:t xml:space="preserve">Amesovom </w:t>
      </w:r>
      <w:r w:rsidRPr="00275093">
        <w:rPr>
          <w:sz w:val="22"/>
          <w:szCs w:val="22"/>
        </w:rPr>
        <w:t xml:space="preserve">teste </w:t>
      </w:r>
      <w:r w:rsidRPr="00275093">
        <w:rPr>
          <w:i/>
          <w:sz w:val="22"/>
          <w:szCs w:val="22"/>
        </w:rPr>
        <w:t>in vitro</w:t>
      </w:r>
      <w:r w:rsidRPr="00275093">
        <w:rPr>
          <w:sz w:val="22"/>
          <w:szCs w:val="22"/>
        </w:rPr>
        <w:t xml:space="preserve"> bez metabolickej aktivácie u jedného z piatich bakteriálnych kmeňov. Oxkarbazepín a MHD vyvolali zvýšenie počtu chromozómových aberácií a/alebo p</w:t>
      </w:r>
      <w:r w:rsidR="0021725E" w:rsidRPr="00275093">
        <w:rPr>
          <w:sz w:val="22"/>
          <w:szCs w:val="22"/>
        </w:rPr>
        <w:t>o</w:t>
      </w:r>
      <w:r w:rsidRPr="00275093">
        <w:rPr>
          <w:sz w:val="22"/>
          <w:szCs w:val="22"/>
        </w:rPr>
        <w:t xml:space="preserve">lyploidie v stanovení </w:t>
      </w:r>
      <w:r w:rsidRPr="00275093">
        <w:rPr>
          <w:i/>
          <w:sz w:val="22"/>
          <w:szCs w:val="22"/>
        </w:rPr>
        <w:t>in vitro</w:t>
      </w:r>
      <w:r w:rsidRPr="00275093">
        <w:rPr>
          <w:sz w:val="22"/>
          <w:szCs w:val="22"/>
        </w:rPr>
        <w:t xml:space="preserve"> </w:t>
      </w:r>
      <w:r w:rsidR="00AB21E5" w:rsidRPr="00275093">
        <w:rPr>
          <w:sz w:val="22"/>
          <w:szCs w:val="22"/>
        </w:rPr>
        <w:t xml:space="preserve">bez metabolickej aktivácie </w:t>
      </w:r>
      <w:r w:rsidRPr="00275093">
        <w:rPr>
          <w:sz w:val="22"/>
          <w:szCs w:val="22"/>
        </w:rPr>
        <w:t xml:space="preserve">v ováriu čínskeho škrečka. </w:t>
      </w:r>
      <w:r w:rsidR="00AB21E5" w:rsidRPr="00275093">
        <w:rPr>
          <w:sz w:val="22"/>
          <w:szCs w:val="22"/>
        </w:rPr>
        <w:t xml:space="preserve">MHD bol negatívny v Amesovom teste a žiadna mutagénna alebo klastogénna aktivita sa nezistila ani pri oxkarbazepíne, ani pri MHD </w:t>
      </w:r>
      <w:r w:rsidR="00AB21E5" w:rsidRPr="00275093">
        <w:rPr>
          <w:i/>
          <w:sz w:val="22"/>
          <w:szCs w:val="22"/>
        </w:rPr>
        <w:t>in vitro</w:t>
      </w:r>
      <w:r w:rsidR="00AB21E5" w:rsidRPr="00275093">
        <w:rPr>
          <w:sz w:val="22"/>
          <w:szCs w:val="22"/>
        </w:rPr>
        <w:t xml:space="preserve"> v bunkách V79 čínskeho škrečka. Oxkarbazepín aj MHD boli negatívne v stanovení </w:t>
      </w:r>
      <w:r w:rsidR="00D42269" w:rsidRPr="00275093">
        <w:rPr>
          <w:i/>
          <w:sz w:val="22"/>
          <w:szCs w:val="22"/>
        </w:rPr>
        <w:t>in vivo</w:t>
      </w:r>
      <w:r w:rsidR="00D42269" w:rsidRPr="00275093">
        <w:rPr>
          <w:sz w:val="22"/>
          <w:szCs w:val="22"/>
        </w:rPr>
        <w:t xml:space="preserve"> </w:t>
      </w:r>
      <w:r w:rsidR="00AB21E5" w:rsidRPr="00275093">
        <w:rPr>
          <w:sz w:val="22"/>
          <w:szCs w:val="22"/>
        </w:rPr>
        <w:t xml:space="preserve">klastogénnych alebo </w:t>
      </w:r>
      <w:r w:rsidR="00D42269" w:rsidRPr="00275093">
        <w:rPr>
          <w:sz w:val="22"/>
          <w:szCs w:val="22"/>
        </w:rPr>
        <w:t>aneugenických účinkov (tvorba mikronukleov)</w:t>
      </w:r>
      <w:r w:rsidR="00AB21E5" w:rsidRPr="00275093">
        <w:rPr>
          <w:sz w:val="22"/>
          <w:szCs w:val="22"/>
        </w:rPr>
        <w:t xml:space="preserve"> v kostnej dreni pot</w:t>
      </w:r>
      <w:r w:rsidR="00D42269" w:rsidRPr="00275093">
        <w:rPr>
          <w:sz w:val="22"/>
          <w:szCs w:val="22"/>
        </w:rPr>
        <w:t xml:space="preserve">kana. </w:t>
      </w:r>
    </w:p>
    <w:p w14:paraId="71DC5B9A" w14:textId="77777777" w:rsidR="00D42269" w:rsidRPr="00275093" w:rsidRDefault="00D42269" w:rsidP="001C3198">
      <w:pPr>
        <w:rPr>
          <w:sz w:val="22"/>
          <w:szCs w:val="22"/>
        </w:rPr>
      </w:pPr>
    </w:p>
    <w:p w14:paraId="2DB31390" w14:textId="77777777" w:rsidR="00D42269" w:rsidRPr="00275093" w:rsidRDefault="00D42269" w:rsidP="001C3198">
      <w:pPr>
        <w:rPr>
          <w:sz w:val="22"/>
          <w:szCs w:val="22"/>
          <w:u w:val="single"/>
        </w:rPr>
      </w:pPr>
      <w:r w:rsidRPr="00275093">
        <w:rPr>
          <w:sz w:val="22"/>
          <w:szCs w:val="22"/>
          <w:u w:val="single"/>
        </w:rPr>
        <w:t>Reprodukčná toxicita</w:t>
      </w:r>
    </w:p>
    <w:p w14:paraId="4A025573" w14:textId="77777777" w:rsidR="002A7E94" w:rsidRPr="00275093" w:rsidRDefault="002A7E94" w:rsidP="002A7E94">
      <w:pPr>
        <w:rPr>
          <w:sz w:val="22"/>
          <w:szCs w:val="22"/>
        </w:rPr>
      </w:pPr>
      <w:r w:rsidRPr="00275093">
        <w:rPr>
          <w:sz w:val="22"/>
          <w:szCs w:val="22"/>
        </w:rPr>
        <w:t>Oxkarbazepín neovplyvnil fertilitu u oboch pohlaví potkana pri perorálnych dávkach do 150 mg/kg/deň</w:t>
      </w:r>
      <w:r w:rsidR="003423E8" w:rsidRPr="00275093">
        <w:rPr>
          <w:sz w:val="22"/>
          <w:szCs w:val="22"/>
        </w:rPr>
        <w:t xml:space="preserve">, </w:t>
      </w:r>
      <w:r w:rsidR="00D74B9A" w:rsidRPr="00275093">
        <w:rPr>
          <w:sz w:val="22"/>
          <w:szCs w:val="22"/>
        </w:rPr>
        <w:t xml:space="preserve">pre </w:t>
      </w:r>
      <w:r w:rsidR="003423E8" w:rsidRPr="00275093">
        <w:rPr>
          <w:sz w:val="22"/>
          <w:szCs w:val="22"/>
        </w:rPr>
        <w:t>ktoré ne</w:t>
      </w:r>
      <w:r w:rsidR="00D74B9A" w:rsidRPr="00275093">
        <w:rPr>
          <w:sz w:val="22"/>
          <w:szCs w:val="22"/>
        </w:rPr>
        <w:t>bolo stanovené rozmedzie bezpečnosti</w:t>
      </w:r>
      <w:r w:rsidRPr="00275093">
        <w:rPr>
          <w:sz w:val="22"/>
          <w:szCs w:val="22"/>
        </w:rPr>
        <w:t>. U samíc sa však pozorovalo narušenie estrálnych cyklov a znížený počet corpora lutea, nidácií a živých embryí pri dávk</w:t>
      </w:r>
      <w:r w:rsidR="003423E8" w:rsidRPr="00275093">
        <w:rPr>
          <w:sz w:val="22"/>
          <w:szCs w:val="22"/>
        </w:rPr>
        <w:t>ach</w:t>
      </w:r>
      <w:r w:rsidRPr="00275093">
        <w:rPr>
          <w:sz w:val="22"/>
          <w:szCs w:val="22"/>
        </w:rPr>
        <w:t xml:space="preserve"> MHD</w:t>
      </w:r>
      <w:r w:rsidR="003423E8" w:rsidRPr="00275093">
        <w:rPr>
          <w:sz w:val="22"/>
          <w:szCs w:val="22"/>
        </w:rPr>
        <w:t>, ktoré sú porovnateľné s dávkami u ľudí</w:t>
      </w:r>
      <w:r w:rsidRPr="00275093">
        <w:rPr>
          <w:sz w:val="22"/>
          <w:szCs w:val="22"/>
        </w:rPr>
        <w:t xml:space="preserve"> (pozri časť 4.6).</w:t>
      </w:r>
    </w:p>
    <w:p w14:paraId="56950A52" w14:textId="77777777" w:rsidR="002A7E94" w:rsidRPr="00275093" w:rsidRDefault="002A7E94" w:rsidP="00CC19D5">
      <w:pPr>
        <w:rPr>
          <w:sz w:val="22"/>
          <w:szCs w:val="22"/>
        </w:rPr>
      </w:pPr>
    </w:p>
    <w:p w14:paraId="2EB9DB0F" w14:textId="77777777" w:rsidR="001C3198" w:rsidRPr="00275093" w:rsidRDefault="00D42269" w:rsidP="00CC19D5">
      <w:pPr>
        <w:rPr>
          <w:sz w:val="22"/>
          <w:szCs w:val="22"/>
        </w:rPr>
      </w:pPr>
      <w:r w:rsidRPr="00275093">
        <w:rPr>
          <w:sz w:val="22"/>
          <w:szCs w:val="22"/>
        </w:rPr>
        <w:t>Štandardné s</w:t>
      </w:r>
      <w:r w:rsidR="001C3198" w:rsidRPr="00275093">
        <w:rPr>
          <w:sz w:val="22"/>
          <w:szCs w:val="22"/>
        </w:rPr>
        <w:t xml:space="preserve">kúšania </w:t>
      </w:r>
      <w:r w:rsidRPr="00275093">
        <w:rPr>
          <w:sz w:val="22"/>
          <w:szCs w:val="22"/>
        </w:rPr>
        <w:t xml:space="preserve">reprodukčnej toxicity </w:t>
      </w:r>
      <w:r w:rsidR="001C3198" w:rsidRPr="00275093">
        <w:rPr>
          <w:sz w:val="22"/>
          <w:szCs w:val="22"/>
        </w:rPr>
        <w:t xml:space="preserve">na </w:t>
      </w:r>
      <w:r w:rsidRPr="00275093">
        <w:rPr>
          <w:sz w:val="22"/>
          <w:szCs w:val="22"/>
        </w:rPr>
        <w:t xml:space="preserve">hlodavcoch a králikoch </w:t>
      </w:r>
      <w:r w:rsidR="001C3198" w:rsidRPr="00275093">
        <w:rPr>
          <w:sz w:val="22"/>
          <w:szCs w:val="22"/>
        </w:rPr>
        <w:t xml:space="preserve">preukázali také účinky, ako je zvýšenie incidencie </w:t>
      </w:r>
      <w:r w:rsidR="0021725E" w:rsidRPr="00275093">
        <w:rPr>
          <w:sz w:val="22"/>
          <w:szCs w:val="22"/>
        </w:rPr>
        <w:t>embryofetálnej mortality</w:t>
      </w:r>
      <w:r w:rsidR="001C3198" w:rsidRPr="00275093">
        <w:rPr>
          <w:sz w:val="22"/>
          <w:szCs w:val="22"/>
        </w:rPr>
        <w:t xml:space="preserve"> a</w:t>
      </w:r>
      <w:r w:rsidRPr="00275093">
        <w:rPr>
          <w:sz w:val="22"/>
          <w:szCs w:val="22"/>
        </w:rPr>
        <w:t>/alebo</w:t>
      </w:r>
      <w:r w:rsidR="001C3198" w:rsidRPr="00275093">
        <w:rPr>
          <w:sz w:val="22"/>
          <w:szCs w:val="22"/>
        </w:rPr>
        <w:t xml:space="preserve"> isté spomalenie antenatálneho a/alebo postnatálneho rastu </w:t>
      </w:r>
      <w:r w:rsidRPr="00275093">
        <w:rPr>
          <w:sz w:val="22"/>
          <w:szCs w:val="22"/>
        </w:rPr>
        <w:t xml:space="preserve">potomstva </w:t>
      </w:r>
      <w:r w:rsidR="001C3198" w:rsidRPr="00275093">
        <w:rPr>
          <w:sz w:val="22"/>
          <w:szCs w:val="22"/>
        </w:rPr>
        <w:t xml:space="preserve">pri dávkach toxických pre matky. Zvýšil sa počet malformácií u plodov potkanov v jednom z ôsmich skúšaní </w:t>
      </w:r>
      <w:r w:rsidRPr="00275093">
        <w:rPr>
          <w:sz w:val="22"/>
          <w:szCs w:val="22"/>
        </w:rPr>
        <w:t xml:space="preserve">embryofetálnej </w:t>
      </w:r>
      <w:r w:rsidR="001C3198" w:rsidRPr="00275093">
        <w:rPr>
          <w:sz w:val="22"/>
          <w:szCs w:val="22"/>
        </w:rPr>
        <w:t>toxicity, ktoré sa vykonali buď s oxkarbazepínom, alebo s MHD v dávk</w:t>
      </w:r>
      <w:r w:rsidRPr="00275093">
        <w:rPr>
          <w:sz w:val="22"/>
          <w:szCs w:val="22"/>
        </w:rPr>
        <w:t>ach</w:t>
      </w:r>
      <w:r w:rsidR="001C3198" w:rsidRPr="00275093">
        <w:rPr>
          <w:sz w:val="22"/>
          <w:szCs w:val="22"/>
        </w:rPr>
        <w:t>, ktor</w:t>
      </w:r>
      <w:r w:rsidRPr="00275093">
        <w:rPr>
          <w:sz w:val="22"/>
          <w:szCs w:val="22"/>
        </w:rPr>
        <w:t>é</w:t>
      </w:r>
      <w:r w:rsidR="001C3198" w:rsidRPr="00275093">
        <w:rPr>
          <w:sz w:val="22"/>
          <w:szCs w:val="22"/>
        </w:rPr>
        <w:t xml:space="preserve"> </w:t>
      </w:r>
      <w:r w:rsidR="00260FB7" w:rsidRPr="00275093">
        <w:rPr>
          <w:sz w:val="22"/>
          <w:szCs w:val="22"/>
        </w:rPr>
        <w:t>vyvolali</w:t>
      </w:r>
      <w:r w:rsidR="001C3198" w:rsidRPr="00275093">
        <w:rPr>
          <w:sz w:val="22"/>
          <w:szCs w:val="22"/>
        </w:rPr>
        <w:t xml:space="preserve"> toxick</w:t>
      </w:r>
      <w:r w:rsidRPr="00275093">
        <w:rPr>
          <w:sz w:val="22"/>
          <w:szCs w:val="22"/>
        </w:rPr>
        <w:t>é</w:t>
      </w:r>
      <w:r w:rsidR="001C3198" w:rsidRPr="00275093">
        <w:rPr>
          <w:sz w:val="22"/>
          <w:szCs w:val="22"/>
        </w:rPr>
        <w:t xml:space="preserve"> </w:t>
      </w:r>
      <w:r w:rsidR="00260FB7" w:rsidRPr="00275093">
        <w:rPr>
          <w:sz w:val="22"/>
          <w:szCs w:val="22"/>
        </w:rPr>
        <w:t xml:space="preserve">účinky aj u </w:t>
      </w:r>
      <w:r w:rsidR="001C3198" w:rsidRPr="00275093">
        <w:rPr>
          <w:sz w:val="22"/>
          <w:szCs w:val="22"/>
        </w:rPr>
        <w:t>mat</w:t>
      </w:r>
      <w:r w:rsidR="00260FB7" w:rsidRPr="00275093">
        <w:rPr>
          <w:sz w:val="22"/>
          <w:szCs w:val="22"/>
        </w:rPr>
        <w:t>ie</w:t>
      </w:r>
      <w:r w:rsidR="001C3198" w:rsidRPr="00275093">
        <w:rPr>
          <w:sz w:val="22"/>
          <w:szCs w:val="22"/>
        </w:rPr>
        <w:t>k (pozri časť 4.6).</w:t>
      </w:r>
    </w:p>
    <w:p w14:paraId="2B159E2D" w14:textId="77777777" w:rsidR="001C3198" w:rsidRPr="00275093" w:rsidRDefault="001C3198" w:rsidP="001C3198">
      <w:pPr>
        <w:pStyle w:val="Zkladntext2"/>
        <w:rPr>
          <w:szCs w:val="22"/>
        </w:rPr>
      </w:pPr>
    </w:p>
    <w:p w14:paraId="7761E203" w14:textId="77777777" w:rsidR="00260FB7" w:rsidRPr="00275093" w:rsidRDefault="00260FB7" w:rsidP="001C3198">
      <w:pPr>
        <w:pStyle w:val="Zkladntext2"/>
        <w:rPr>
          <w:szCs w:val="22"/>
          <w:u w:val="single"/>
        </w:rPr>
      </w:pPr>
      <w:r w:rsidRPr="00275093">
        <w:rPr>
          <w:szCs w:val="22"/>
          <w:u w:val="single"/>
        </w:rPr>
        <w:t>Karcinogenita</w:t>
      </w:r>
    </w:p>
    <w:p w14:paraId="012879BD" w14:textId="60E0348A" w:rsidR="001C3198" w:rsidRPr="00275093" w:rsidRDefault="001C3198" w:rsidP="001C3198">
      <w:pPr>
        <w:rPr>
          <w:sz w:val="22"/>
          <w:szCs w:val="22"/>
        </w:rPr>
      </w:pPr>
      <w:r w:rsidRPr="00275093">
        <w:rPr>
          <w:sz w:val="22"/>
          <w:szCs w:val="22"/>
        </w:rPr>
        <w:t xml:space="preserve">V skúšaniach karcinogenity podávanie zvieratám vyvolalo nádory pečene (potkany a myši), semenníkov a granulárnych buniek samičích pohlavných orgánov (potkany). Výskyt nádorov pečene bol najpravdepodobnejšie dôsledkom indukcie pečeňových mikrozómových enzýmov; indukčný účinok, hoci ho nemožno vylúčiť, je slabý alebo nevzniká u pacientov, ktorý sa liečia Trileptalom. Nádory semenníkov mohli byť spôsobené zvýšenými koncentráciami luteinizačného hormónu. Pretože u ľudí k takémuto zvýšeniu nedochádza, tieto nádory sa nepovažujú za klinicky významné. Zvýšenie výskytu nádorov granulárnych buniek samičích pohlavných orgánov (krčku maternice a pošvy) sa zaznamenalo v štúdii karcinogenity MHD na potkanoch. Tieto účinky sa vyskytli pri expozíciách porovnateľných s predpokladanou klinickou expozíciou. Mechanizmus vzniku týchto nádorov sa </w:t>
      </w:r>
      <w:r w:rsidR="00260FB7" w:rsidRPr="00275093">
        <w:rPr>
          <w:sz w:val="22"/>
          <w:szCs w:val="22"/>
        </w:rPr>
        <w:t xml:space="preserve">úplne </w:t>
      </w:r>
      <w:r w:rsidRPr="00275093">
        <w:rPr>
          <w:sz w:val="22"/>
          <w:szCs w:val="22"/>
        </w:rPr>
        <w:t>nevysvetlil</w:t>
      </w:r>
      <w:r w:rsidR="00260FB7" w:rsidRPr="00275093">
        <w:rPr>
          <w:sz w:val="22"/>
          <w:szCs w:val="22"/>
        </w:rPr>
        <w:t xml:space="preserve">, ale mohol súvisieť so zvýšenými </w:t>
      </w:r>
      <w:r w:rsidR="00D011DD" w:rsidRPr="00275093">
        <w:rPr>
          <w:sz w:val="22"/>
          <w:szCs w:val="22"/>
        </w:rPr>
        <w:t>koncentráciami</w:t>
      </w:r>
      <w:r w:rsidR="00260FB7" w:rsidRPr="00275093">
        <w:rPr>
          <w:sz w:val="22"/>
          <w:szCs w:val="22"/>
        </w:rPr>
        <w:t xml:space="preserve"> estradiolu špecifickými pre potkany</w:t>
      </w:r>
      <w:r w:rsidRPr="00275093">
        <w:rPr>
          <w:sz w:val="22"/>
          <w:szCs w:val="22"/>
        </w:rPr>
        <w:t xml:space="preserve">. </w:t>
      </w:r>
      <w:r w:rsidR="00260FB7" w:rsidRPr="00275093">
        <w:rPr>
          <w:sz w:val="22"/>
          <w:szCs w:val="22"/>
        </w:rPr>
        <w:t>K</w:t>
      </w:r>
      <w:r w:rsidRPr="00275093">
        <w:rPr>
          <w:sz w:val="22"/>
          <w:szCs w:val="22"/>
        </w:rPr>
        <w:t>linický význam týchto nádorov</w:t>
      </w:r>
      <w:r w:rsidR="00260FB7" w:rsidRPr="00275093">
        <w:rPr>
          <w:sz w:val="22"/>
          <w:szCs w:val="22"/>
        </w:rPr>
        <w:t xml:space="preserve"> je nejasný</w:t>
      </w:r>
      <w:r w:rsidRPr="00275093">
        <w:rPr>
          <w:sz w:val="22"/>
          <w:szCs w:val="22"/>
        </w:rPr>
        <w:t>.</w:t>
      </w:r>
    </w:p>
    <w:p w14:paraId="08D309D3" w14:textId="77777777" w:rsidR="001C3198" w:rsidRPr="00275093" w:rsidRDefault="001C3198" w:rsidP="001C3198">
      <w:pPr>
        <w:rPr>
          <w:sz w:val="22"/>
          <w:szCs w:val="22"/>
        </w:rPr>
      </w:pPr>
    </w:p>
    <w:p w14:paraId="232CA60B" w14:textId="77777777" w:rsidR="001C3198" w:rsidRPr="00275093" w:rsidRDefault="001C3198" w:rsidP="001C3198">
      <w:pPr>
        <w:rPr>
          <w:sz w:val="22"/>
          <w:szCs w:val="22"/>
        </w:rPr>
      </w:pPr>
    </w:p>
    <w:p w14:paraId="02EAB06E" w14:textId="77777777" w:rsidR="001C3198" w:rsidRPr="00275093" w:rsidRDefault="001C3198" w:rsidP="003957CD">
      <w:pPr>
        <w:keepNext/>
        <w:rPr>
          <w:b/>
          <w:sz w:val="22"/>
          <w:szCs w:val="22"/>
        </w:rPr>
      </w:pPr>
      <w:r w:rsidRPr="00275093">
        <w:rPr>
          <w:b/>
          <w:sz w:val="22"/>
          <w:szCs w:val="22"/>
        </w:rPr>
        <w:lastRenderedPageBreak/>
        <w:t>6.</w:t>
      </w:r>
      <w:r w:rsidRPr="00275093">
        <w:rPr>
          <w:b/>
          <w:sz w:val="22"/>
          <w:szCs w:val="22"/>
        </w:rPr>
        <w:tab/>
        <w:t>FARMACEUTICKÉ INFORMÁCIE</w:t>
      </w:r>
    </w:p>
    <w:p w14:paraId="007F1F2E" w14:textId="77777777" w:rsidR="001C3198" w:rsidRPr="00275093" w:rsidRDefault="001C3198">
      <w:pPr>
        <w:keepNext/>
        <w:rPr>
          <w:sz w:val="22"/>
          <w:szCs w:val="22"/>
        </w:rPr>
      </w:pPr>
    </w:p>
    <w:p w14:paraId="27DBCDD1" w14:textId="77777777" w:rsidR="001C3198" w:rsidRPr="00275093" w:rsidRDefault="001C3198" w:rsidP="0095210A">
      <w:pPr>
        <w:keepNext/>
        <w:rPr>
          <w:sz w:val="22"/>
          <w:szCs w:val="22"/>
        </w:rPr>
      </w:pPr>
      <w:r w:rsidRPr="00275093">
        <w:rPr>
          <w:b/>
          <w:sz w:val="22"/>
          <w:szCs w:val="22"/>
        </w:rPr>
        <w:t>6.1</w:t>
      </w:r>
      <w:r w:rsidRPr="00275093">
        <w:rPr>
          <w:b/>
          <w:sz w:val="22"/>
          <w:szCs w:val="22"/>
        </w:rPr>
        <w:tab/>
        <w:t>Zoznam pomocných látok</w:t>
      </w:r>
    </w:p>
    <w:p w14:paraId="36739031" w14:textId="77777777" w:rsidR="001C3198" w:rsidRPr="00275093" w:rsidRDefault="001C3198" w:rsidP="0095210A">
      <w:pPr>
        <w:keepNext/>
        <w:rPr>
          <w:i/>
          <w:sz w:val="22"/>
          <w:szCs w:val="22"/>
          <w:u w:val="single"/>
        </w:rPr>
      </w:pPr>
    </w:p>
    <w:p w14:paraId="0A6F7EDF" w14:textId="77777777" w:rsidR="001C3198" w:rsidRPr="00275093" w:rsidRDefault="001C3198" w:rsidP="0095210A">
      <w:pPr>
        <w:keepNext/>
        <w:rPr>
          <w:bCs/>
          <w:sz w:val="22"/>
          <w:szCs w:val="22"/>
          <w:u w:val="single"/>
        </w:rPr>
      </w:pPr>
      <w:r w:rsidRPr="00275093">
        <w:rPr>
          <w:bCs/>
          <w:sz w:val="22"/>
          <w:szCs w:val="22"/>
          <w:u w:val="single"/>
        </w:rPr>
        <w:t>Jadro tablety:</w:t>
      </w:r>
    </w:p>
    <w:p w14:paraId="7262E708" w14:textId="77777777" w:rsidR="001C3198" w:rsidRPr="00275093" w:rsidRDefault="00255616" w:rsidP="0095210A">
      <w:pPr>
        <w:keepNext/>
        <w:rPr>
          <w:sz w:val="22"/>
          <w:szCs w:val="22"/>
        </w:rPr>
      </w:pPr>
      <w:r w:rsidRPr="00275093">
        <w:rPr>
          <w:sz w:val="22"/>
          <w:szCs w:val="22"/>
        </w:rPr>
        <w:t>koloidný oxid kremičitý bezvodý</w:t>
      </w:r>
    </w:p>
    <w:p w14:paraId="57461CAF" w14:textId="77777777" w:rsidR="001C3198" w:rsidRPr="00275093" w:rsidRDefault="00255616" w:rsidP="001C3198">
      <w:pPr>
        <w:rPr>
          <w:sz w:val="22"/>
          <w:szCs w:val="22"/>
        </w:rPr>
      </w:pPr>
      <w:r w:rsidRPr="00275093">
        <w:rPr>
          <w:sz w:val="22"/>
          <w:szCs w:val="22"/>
        </w:rPr>
        <w:t>mikrokryštalická celulóza</w:t>
      </w:r>
    </w:p>
    <w:p w14:paraId="37C74C4D" w14:textId="77777777" w:rsidR="001C3198" w:rsidRPr="00275093" w:rsidRDefault="001C3198" w:rsidP="001C3198">
      <w:pPr>
        <w:rPr>
          <w:sz w:val="22"/>
          <w:szCs w:val="22"/>
        </w:rPr>
      </w:pPr>
      <w:r w:rsidRPr="00275093">
        <w:rPr>
          <w:sz w:val="22"/>
          <w:szCs w:val="22"/>
        </w:rPr>
        <w:t>hypromel</w:t>
      </w:r>
      <w:r w:rsidR="00255616" w:rsidRPr="00275093">
        <w:rPr>
          <w:sz w:val="22"/>
          <w:szCs w:val="22"/>
        </w:rPr>
        <w:t>óza</w:t>
      </w:r>
    </w:p>
    <w:p w14:paraId="73C700EF" w14:textId="77777777" w:rsidR="001C3198" w:rsidRPr="00275093" w:rsidRDefault="00255616" w:rsidP="001C3198">
      <w:pPr>
        <w:rPr>
          <w:sz w:val="22"/>
          <w:szCs w:val="22"/>
        </w:rPr>
      </w:pPr>
      <w:r w:rsidRPr="00275093">
        <w:rPr>
          <w:sz w:val="22"/>
          <w:szCs w:val="22"/>
        </w:rPr>
        <w:t>krospovidón</w:t>
      </w:r>
    </w:p>
    <w:p w14:paraId="347BBE4C" w14:textId="77777777" w:rsidR="001C3198" w:rsidRPr="00275093" w:rsidRDefault="00255616" w:rsidP="001C3198">
      <w:pPr>
        <w:rPr>
          <w:sz w:val="22"/>
          <w:szCs w:val="22"/>
        </w:rPr>
      </w:pPr>
      <w:r w:rsidRPr="00275093">
        <w:rPr>
          <w:sz w:val="22"/>
          <w:szCs w:val="22"/>
        </w:rPr>
        <w:t>magnéziu</w:t>
      </w:r>
      <w:r w:rsidR="00630C2C" w:rsidRPr="00275093">
        <w:rPr>
          <w:sz w:val="22"/>
          <w:szCs w:val="22"/>
        </w:rPr>
        <w:t>m</w:t>
      </w:r>
      <w:r w:rsidRPr="00275093">
        <w:rPr>
          <w:sz w:val="22"/>
          <w:szCs w:val="22"/>
        </w:rPr>
        <w:t>sterát</w:t>
      </w:r>
    </w:p>
    <w:p w14:paraId="0A402BA0" w14:textId="77777777" w:rsidR="001C3198" w:rsidRPr="00275093" w:rsidRDefault="001C3198" w:rsidP="001C3198">
      <w:pPr>
        <w:rPr>
          <w:sz w:val="22"/>
          <w:szCs w:val="22"/>
        </w:rPr>
      </w:pPr>
    </w:p>
    <w:p w14:paraId="5AD64D93" w14:textId="66E309C3" w:rsidR="001C3198" w:rsidRPr="00275093" w:rsidRDefault="001C3198" w:rsidP="001C3198">
      <w:pPr>
        <w:rPr>
          <w:sz w:val="22"/>
          <w:szCs w:val="22"/>
          <w:u w:val="single"/>
        </w:rPr>
      </w:pPr>
      <w:r w:rsidRPr="00275093">
        <w:rPr>
          <w:sz w:val="22"/>
          <w:szCs w:val="22"/>
          <w:u w:val="single"/>
        </w:rPr>
        <w:t>Obalová vrstva</w:t>
      </w:r>
      <w:r w:rsidR="00892A57" w:rsidRPr="00275093">
        <w:rPr>
          <w:sz w:val="22"/>
          <w:szCs w:val="22"/>
          <w:u w:val="single"/>
        </w:rPr>
        <w:t xml:space="preserve"> tablety</w:t>
      </w:r>
      <w:r w:rsidRPr="00275093">
        <w:rPr>
          <w:sz w:val="22"/>
          <w:szCs w:val="22"/>
          <w:u w:val="single"/>
        </w:rPr>
        <w:t>:</w:t>
      </w:r>
    </w:p>
    <w:p w14:paraId="6A6ADFEF" w14:textId="77777777" w:rsidR="001C3198" w:rsidRPr="00275093" w:rsidRDefault="001C3198" w:rsidP="001C3198">
      <w:pPr>
        <w:rPr>
          <w:sz w:val="22"/>
          <w:szCs w:val="22"/>
        </w:rPr>
      </w:pPr>
      <w:r w:rsidRPr="00275093">
        <w:rPr>
          <w:sz w:val="22"/>
          <w:szCs w:val="22"/>
        </w:rPr>
        <w:t>hypromel</w:t>
      </w:r>
      <w:r w:rsidR="00255616" w:rsidRPr="00275093">
        <w:rPr>
          <w:sz w:val="22"/>
          <w:szCs w:val="22"/>
        </w:rPr>
        <w:t>óza</w:t>
      </w:r>
    </w:p>
    <w:p w14:paraId="211DC45E" w14:textId="77777777" w:rsidR="001C3198" w:rsidRPr="00275093" w:rsidRDefault="00255616" w:rsidP="001C3198">
      <w:pPr>
        <w:rPr>
          <w:sz w:val="22"/>
          <w:szCs w:val="22"/>
        </w:rPr>
      </w:pPr>
      <w:r w:rsidRPr="00275093">
        <w:rPr>
          <w:sz w:val="22"/>
          <w:szCs w:val="22"/>
        </w:rPr>
        <w:t>mastenec</w:t>
      </w:r>
    </w:p>
    <w:p w14:paraId="0E031D3F" w14:textId="144C78B6" w:rsidR="00255616" w:rsidRPr="00275093" w:rsidRDefault="00255616" w:rsidP="00255616">
      <w:pPr>
        <w:rPr>
          <w:sz w:val="22"/>
          <w:szCs w:val="22"/>
        </w:rPr>
      </w:pPr>
      <w:r w:rsidRPr="00275093">
        <w:rPr>
          <w:sz w:val="22"/>
          <w:szCs w:val="22"/>
        </w:rPr>
        <w:t>oxid titaničitý (E 171)</w:t>
      </w:r>
    </w:p>
    <w:p w14:paraId="2885BE39" w14:textId="77777777" w:rsidR="001C3198" w:rsidRPr="00275093" w:rsidRDefault="00255616" w:rsidP="001C3198">
      <w:pPr>
        <w:rPr>
          <w:sz w:val="22"/>
          <w:szCs w:val="22"/>
        </w:rPr>
      </w:pPr>
      <w:r w:rsidRPr="00275093">
        <w:rPr>
          <w:sz w:val="22"/>
          <w:szCs w:val="22"/>
        </w:rPr>
        <w:t>makrogol</w:t>
      </w:r>
      <w:r w:rsidR="001C3198" w:rsidRPr="00275093">
        <w:rPr>
          <w:sz w:val="22"/>
          <w:szCs w:val="22"/>
        </w:rPr>
        <w:t xml:space="preserve"> 8000</w:t>
      </w:r>
    </w:p>
    <w:p w14:paraId="2DDF5D5C" w14:textId="77777777" w:rsidR="001C3198" w:rsidRPr="00275093" w:rsidRDefault="00255616" w:rsidP="001C3198">
      <w:pPr>
        <w:rPr>
          <w:sz w:val="22"/>
          <w:szCs w:val="22"/>
        </w:rPr>
      </w:pPr>
      <w:r w:rsidRPr="00275093">
        <w:rPr>
          <w:sz w:val="22"/>
          <w:szCs w:val="22"/>
        </w:rPr>
        <w:t>žltý oxid železitý</w:t>
      </w:r>
      <w:r w:rsidR="001C3198" w:rsidRPr="00275093">
        <w:rPr>
          <w:sz w:val="22"/>
          <w:szCs w:val="22"/>
        </w:rPr>
        <w:t xml:space="preserve"> (E 172)</w:t>
      </w:r>
    </w:p>
    <w:p w14:paraId="6D0D654A" w14:textId="77777777" w:rsidR="00255616" w:rsidRPr="00275093" w:rsidRDefault="00255616" w:rsidP="001C3198">
      <w:pPr>
        <w:rPr>
          <w:sz w:val="22"/>
          <w:szCs w:val="22"/>
          <w:u w:val="single"/>
        </w:rPr>
      </w:pPr>
    </w:p>
    <w:p w14:paraId="35F3C40A" w14:textId="77777777" w:rsidR="001C3198" w:rsidRPr="00275093" w:rsidRDefault="001C3198" w:rsidP="001C3198">
      <w:pPr>
        <w:rPr>
          <w:sz w:val="22"/>
          <w:szCs w:val="22"/>
        </w:rPr>
      </w:pPr>
      <w:r w:rsidRPr="00275093">
        <w:rPr>
          <w:b/>
          <w:sz w:val="22"/>
          <w:szCs w:val="22"/>
        </w:rPr>
        <w:t>6.2</w:t>
      </w:r>
      <w:r w:rsidRPr="00275093">
        <w:rPr>
          <w:b/>
          <w:sz w:val="22"/>
          <w:szCs w:val="22"/>
        </w:rPr>
        <w:tab/>
        <w:t>Inkompatibility</w:t>
      </w:r>
    </w:p>
    <w:p w14:paraId="63B48CB8" w14:textId="77777777" w:rsidR="001C3198" w:rsidRPr="00275093" w:rsidRDefault="001C3198" w:rsidP="001C3198">
      <w:pPr>
        <w:pStyle w:val="Zkladntext2"/>
        <w:rPr>
          <w:szCs w:val="22"/>
        </w:rPr>
      </w:pPr>
    </w:p>
    <w:p w14:paraId="20876DED" w14:textId="77777777" w:rsidR="001C3198" w:rsidRPr="00275093" w:rsidRDefault="001C3198" w:rsidP="001C3198">
      <w:pPr>
        <w:pStyle w:val="Zkladntext2"/>
        <w:rPr>
          <w:szCs w:val="22"/>
        </w:rPr>
      </w:pPr>
      <w:r w:rsidRPr="00275093">
        <w:rPr>
          <w:szCs w:val="22"/>
        </w:rPr>
        <w:t>Neaplikovateľné.</w:t>
      </w:r>
    </w:p>
    <w:p w14:paraId="0690D2FA" w14:textId="77777777" w:rsidR="001C3198" w:rsidRPr="00275093" w:rsidRDefault="001C3198" w:rsidP="001C3198">
      <w:pPr>
        <w:rPr>
          <w:sz w:val="22"/>
          <w:szCs w:val="22"/>
        </w:rPr>
      </w:pPr>
    </w:p>
    <w:p w14:paraId="7CFA64EF" w14:textId="77777777" w:rsidR="001C3198" w:rsidRPr="00275093" w:rsidRDefault="001C3198" w:rsidP="001C3198">
      <w:pPr>
        <w:rPr>
          <w:sz w:val="22"/>
          <w:szCs w:val="22"/>
        </w:rPr>
      </w:pPr>
      <w:r w:rsidRPr="00275093">
        <w:rPr>
          <w:b/>
          <w:sz w:val="22"/>
          <w:szCs w:val="22"/>
        </w:rPr>
        <w:t>6.3</w:t>
      </w:r>
      <w:r w:rsidRPr="00275093">
        <w:rPr>
          <w:b/>
          <w:sz w:val="22"/>
          <w:szCs w:val="22"/>
        </w:rPr>
        <w:tab/>
        <w:t>Čas použiteľnosti</w:t>
      </w:r>
    </w:p>
    <w:p w14:paraId="2CFF13CB" w14:textId="77777777" w:rsidR="001C3198" w:rsidRPr="00275093" w:rsidRDefault="001C3198" w:rsidP="001C3198">
      <w:pPr>
        <w:rPr>
          <w:sz w:val="22"/>
          <w:szCs w:val="22"/>
        </w:rPr>
      </w:pPr>
    </w:p>
    <w:p w14:paraId="50A72D09" w14:textId="77777777" w:rsidR="001C3198" w:rsidRPr="00275093" w:rsidRDefault="001C3198" w:rsidP="001C3198">
      <w:pPr>
        <w:rPr>
          <w:sz w:val="22"/>
          <w:szCs w:val="22"/>
        </w:rPr>
      </w:pPr>
      <w:r w:rsidRPr="00275093">
        <w:rPr>
          <w:sz w:val="22"/>
          <w:szCs w:val="22"/>
        </w:rPr>
        <w:t>3 roky</w:t>
      </w:r>
    </w:p>
    <w:p w14:paraId="38778764" w14:textId="77777777" w:rsidR="001C3198" w:rsidRPr="00275093" w:rsidRDefault="001C3198" w:rsidP="001C3198">
      <w:pPr>
        <w:rPr>
          <w:b/>
          <w:sz w:val="22"/>
          <w:szCs w:val="22"/>
        </w:rPr>
      </w:pPr>
    </w:p>
    <w:p w14:paraId="5C91C7FD" w14:textId="77777777" w:rsidR="001C3198" w:rsidRPr="00275093" w:rsidRDefault="001C3198" w:rsidP="001C3198">
      <w:pPr>
        <w:rPr>
          <w:sz w:val="22"/>
          <w:szCs w:val="22"/>
        </w:rPr>
      </w:pPr>
      <w:r w:rsidRPr="00275093">
        <w:rPr>
          <w:b/>
          <w:sz w:val="22"/>
          <w:szCs w:val="22"/>
        </w:rPr>
        <w:t>6.4</w:t>
      </w:r>
      <w:r w:rsidRPr="00275093">
        <w:rPr>
          <w:b/>
          <w:sz w:val="22"/>
          <w:szCs w:val="22"/>
        </w:rPr>
        <w:tab/>
        <w:t>Špeciálne upozornenia na uchovávanie</w:t>
      </w:r>
    </w:p>
    <w:p w14:paraId="5FB22BBF" w14:textId="77777777" w:rsidR="001C3198" w:rsidRPr="00275093" w:rsidRDefault="001C3198" w:rsidP="001C3198">
      <w:pPr>
        <w:rPr>
          <w:sz w:val="22"/>
          <w:szCs w:val="22"/>
        </w:rPr>
      </w:pPr>
    </w:p>
    <w:p w14:paraId="51451B5F" w14:textId="77777777" w:rsidR="001C3198" w:rsidRPr="00275093" w:rsidRDefault="001C3198" w:rsidP="001C3198">
      <w:pPr>
        <w:rPr>
          <w:b/>
          <w:sz w:val="22"/>
          <w:szCs w:val="22"/>
        </w:rPr>
      </w:pPr>
      <w:r w:rsidRPr="00275093">
        <w:rPr>
          <w:sz w:val="22"/>
          <w:szCs w:val="22"/>
        </w:rPr>
        <w:t>Tento liek nevyžaduje žiadne zvláštne podmienky na uchovávanie.</w:t>
      </w:r>
    </w:p>
    <w:p w14:paraId="6337F54F" w14:textId="77777777" w:rsidR="001C3198" w:rsidRPr="00275093" w:rsidRDefault="001C3198" w:rsidP="001C3198">
      <w:pPr>
        <w:pStyle w:val="Zkladntext2"/>
        <w:rPr>
          <w:szCs w:val="22"/>
        </w:rPr>
      </w:pPr>
    </w:p>
    <w:p w14:paraId="74CAC3D1" w14:textId="77777777" w:rsidR="001C3198" w:rsidRPr="00275093" w:rsidRDefault="001C3198" w:rsidP="001C3198">
      <w:pPr>
        <w:rPr>
          <w:sz w:val="22"/>
          <w:szCs w:val="22"/>
        </w:rPr>
      </w:pPr>
      <w:r w:rsidRPr="00275093">
        <w:rPr>
          <w:b/>
          <w:sz w:val="22"/>
          <w:szCs w:val="22"/>
        </w:rPr>
        <w:t>6.5</w:t>
      </w:r>
      <w:r w:rsidRPr="00275093">
        <w:rPr>
          <w:b/>
          <w:sz w:val="22"/>
          <w:szCs w:val="22"/>
        </w:rPr>
        <w:tab/>
        <w:t>Druh obalu a obsah balenia</w:t>
      </w:r>
    </w:p>
    <w:p w14:paraId="21C72D40" w14:textId="77777777" w:rsidR="001C3198" w:rsidRPr="00275093" w:rsidRDefault="001C3198" w:rsidP="001C3198">
      <w:pPr>
        <w:rPr>
          <w:sz w:val="22"/>
          <w:szCs w:val="22"/>
        </w:rPr>
      </w:pPr>
    </w:p>
    <w:p w14:paraId="711FC1B2" w14:textId="77777777" w:rsidR="001B3889" w:rsidRPr="00275093" w:rsidRDefault="001C3198" w:rsidP="001C3198">
      <w:pPr>
        <w:rPr>
          <w:sz w:val="22"/>
          <w:szCs w:val="22"/>
        </w:rPr>
      </w:pPr>
      <w:r w:rsidRPr="00275093">
        <w:rPr>
          <w:sz w:val="22"/>
          <w:szCs w:val="22"/>
        </w:rPr>
        <w:t xml:space="preserve">Blister s 10 tabletami. </w:t>
      </w:r>
    </w:p>
    <w:p w14:paraId="6A56B482" w14:textId="77777777" w:rsidR="001C3198" w:rsidRPr="00275093" w:rsidRDefault="001C3198" w:rsidP="001C3198">
      <w:pPr>
        <w:rPr>
          <w:sz w:val="22"/>
          <w:szCs w:val="22"/>
        </w:rPr>
      </w:pPr>
      <w:r w:rsidRPr="00275093">
        <w:rPr>
          <w:sz w:val="22"/>
          <w:szCs w:val="22"/>
        </w:rPr>
        <w:t>Materiál blistra: PVC/PE/PVDC, zadná strana z hliníkovej fólie.</w:t>
      </w:r>
    </w:p>
    <w:p w14:paraId="1B57E055" w14:textId="77777777" w:rsidR="001B3889" w:rsidRPr="00275093" w:rsidRDefault="001B3889" w:rsidP="001C3198">
      <w:pPr>
        <w:pStyle w:val="Hlavika"/>
        <w:rPr>
          <w:sz w:val="22"/>
          <w:szCs w:val="22"/>
        </w:rPr>
      </w:pPr>
    </w:p>
    <w:p w14:paraId="1545CF15" w14:textId="77777777" w:rsidR="001C3198" w:rsidRPr="00275093" w:rsidRDefault="002F7CBE" w:rsidP="001C3198">
      <w:pPr>
        <w:pStyle w:val="Hlavika"/>
        <w:rPr>
          <w:sz w:val="22"/>
          <w:szCs w:val="22"/>
        </w:rPr>
      </w:pPr>
      <w:r w:rsidRPr="00275093">
        <w:rPr>
          <w:sz w:val="22"/>
          <w:szCs w:val="22"/>
        </w:rPr>
        <w:t>B</w:t>
      </w:r>
      <w:r w:rsidR="00255616" w:rsidRPr="00275093">
        <w:rPr>
          <w:sz w:val="22"/>
          <w:szCs w:val="22"/>
        </w:rPr>
        <w:t>listrové balenie s 50 alebo 100 tabletami.</w:t>
      </w:r>
    </w:p>
    <w:p w14:paraId="322626EE" w14:textId="77777777" w:rsidR="001C3198" w:rsidRPr="00275093" w:rsidRDefault="001C3198" w:rsidP="001C3198">
      <w:pPr>
        <w:rPr>
          <w:b/>
          <w:sz w:val="22"/>
          <w:szCs w:val="22"/>
        </w:rPr>
      </w:pPr>
    </w:p>
    <w:p w14:paraId="7CB04B2E" w14:textId="77777777" w:rsidR="001C3198" w:rsidRPr="00275093" w:rsidRDefault="001C3198" w:rsidP="001C3198">
      <w:pPr>
        <w:rPr>
          <w:b/>
          <w:sz w:val="22"/>
          <w:szCs w:val="22"/>
        </w:rPr>
      </w:pPr>
      <w:r w:rsidRPr="00275093">
        <w:rPr>
          <w:b/>
          <w:sz w:val="22"/>
          <w:szCs w:val="22"/>
        </w:rPr>
        <w:t>6.6</w:t>
      </w:r>
      <w:r w:rsidRPr="00275093">
        <w:rPr>
          <w:b/>
          <w:sz w:val="22"/>
          <w:szCs w:val="22"/>
        </w:rPr>
        <w:tab/>
      </w:r>
      <w:r w:rsidRPr="00275093">
        <w:rPr>
          <w:b/>
          <w:bCs/>
          <w:sz w:val="22"/>
          <w:szCs w:val="22"/>
        </w:rPr>
        <w:t>Špeciálne opatrenia na likvidáciu</w:t>
      </w:r>
    </w:p>
    <w:p w14:paraId="124111EF" w14:textId="77777777" w:rsidR="001C3198" w:rsidRPr="00275093" w:rsidRDefault="001C3198" w:rsidP="001C3198">
      <w:pPr>
        <w:pStyle w:val="Zkladntext2"/>
        <w:rPr>
          <w:szCs w:val="22"/>
        </w:rPr>
      </w:pPr>
    </w:p>
    <w:p w14:paraId="6559B8CA" w14:textId="77777777" w:rsidR="001C3198" w:rsidRPr="00275093" w:rsidRDefault="001C3198" w:rsidP="001C3198">
      <w:pPr>
        <w:pStyle w:val="Zkladntext2"/>
        <w:rPr>
          <w:szCs w:val="22"/>
        </w:rPr>
      </w:pPr>
      <w:r w:rsidRPr="00275093">
        <w:rPr>
          <w:szCs w:val="22"/>
        </w:rPr>
        <w:t>Žiadne zvláštne požiadavky.</w:t>
      </w:r>
    </w:p>
    <w:p w14:paraId="3E131BB6" w14:textId="77777777" w:rsidR="006A0094" w:rsidRPr="00275093" w:rsidRDefault="006A0094" w:rsidP="006A0094">
      <w:pPr>
        <w:rPr>
          <w:sz w:val="22"/>
          <w:szCs w:val="22"/>
        </w:rPr>
      </w:pPr>
      <w:r w:rsidRPr="00275093">
        <w:rPr>
          <w:sz w:val="22"/>
          <w:szCs w:val="22"/>
        </w:rPr>
        <w:t>Všetok nepoužitý liek alebo odpad vzniknutý z lieku sa má zlikvidovať v súlade s národnými požiadavkami.</w:t>
      </w:r>
    </w:p>
    <w:p w14:paraId="13D82A77" w14:textId="77777777" w:rsidR="001C3198" w:rsidRPr="00275093" w:rsidRDefault="001C3198" w:rsidP="001C3198">
      <w:pPr>
        <w:rPr>
          <w:sz w:val="22"/>
          <w:szCs w:val="22"/>
        </w:rPr>
      </w:pPr>
    </w:p>
    <w:p w14:paraId="786FBFCE" w14:textId="77777777" w:rsidR="00410994" w:rsidRPr="00275093" w:rsidRDefault="00410994" w:rsidP="001C3198">
      <w:pPr>
        <w:rPr>
          <w:sz w:val="22"/>
          <w:szCs w:val="22"/>
        </w:rPr>
      </w:pPr>
    </w:p>
    <w:p w14:paraId="66E1C802" w14:textId="77777777" w:rsidR="001C3198" w:rsidRPr="00275093" w:rsidRDefault="001C3198" w:rsidP="001C3198">
      <w:pPr>
        <w:rPr>
          <w:sz w:val="22"/>
          <w:szCs w:val="22"/>
        </w:rPr>
      </w:pPr>
      <w:r w:rsidRPr="00275093">
        <w:rPr>
          <w:b/>
          <w:sz w:val="22"/>
          <w:szCs w:val="22"/>
        </w:rPr>
        <w:t>7.</w:t>
      </w:r>
      <w:r w:rsidRPr="00275093">
        <w:rPr>
          <w:b/>
          <w:sz w:val="22"/>
          <w:szCs w:val="22"/>
        </w:rPr>
        <w:tab/>
        <w:t>DRŽITEĽ ROZHODNUTIA O REGISTRÁCII</w:t>
      </w:r>
    </w:p>
    <w:p w14:paraId="7EC2D814" w14:textId="77777777" w:rsidR="001C3198" w:rsidRPr="00275093" w:rsidRDefault="001C3198" w:rsidP="001C3198">
      <w:pPr>
        <w:rPr>
          <w:caps/>
          <w:sz w:val="22"/>
          <w:szCs w:val="22"/>
        </w:rPr>
      </w:pPr>
    </w:p>
    <w:p w14:paraId="3C1692F8" w14:textId="54BFAB24" w:rsidR="003957CD" w:rsidRPr="00275093" w:rsidRDefault="000620CE" w:rsidP="000620CE">
      <w:pPr>
        <w:rPr>
          <w:sz w:val="22"/>
          <w:szCs w:val="22"/>
        </w:rPr>
      </w:pPr>
      <w:r w:rsidRPr="00275093">
        <w:rPr>
          <w:sz w:val="22"/>
          <w:szCs w:val="22"/>
        </w:rPr>
        <w:t xml:space="preserve">Novartis </w:t>
      </w:r>
      <w:r w:rsidR="003957CD" w:rsidRPr="00275093">
        <w:rPr>
          <w:sz w:val="22"/>
          <w:szCs w:val="22"/>
        </w:rPr>
        <w:t xml:space="preserve">Slovakia </w:t>
      </w:r>
      <w:r w:rsidRPr="00275093">
        <w:rPr>
          <w:sz w:val="22"/>
          <w:szCs w:val="22"/>
        </w:rPr>
        <w:t>s.r.o</w:t>
      </w:r>
      <w:r w:rsidR="005F6229" w:rsidRPr="00275093">
        <w:rPr>
          <w:sz w:val="22"/>
          <w:szCs w:val="22"/>
        </w:rPr>
        <w:t>.</w:t>
      </w:r>
    </w:p>
    <w:p w14:paraId="5080945B" w14:textId="77777777" w:rsidR="003957CD" w:rsidRPr="00275093" w:rsidRDefault="003957CD" w:rsidP="000620CE">
      <w:pPr>
        <w:rPr>
          <w:sz w:val="22"/>
          <w:szCs w:val="22"/>
        </w:rPr>
      </w:pPr>
      <w:r w:rsidRPr="00275093">
        <w:rPr>
          <w:sz w:val="22"/>
          <w:szCs w:val="22"/>
        </w:rPr>
        <w:t>Žižkova 22B</w:t>
      </w:r>
    </w:p>
    <w:p w14:paraId="7348A860" w14:textId="77777777" w:rsidR="003957CD" w:rsidRPr="00275093" w:rsidRDefault="003957CD" w:rsidP="000620CE">
      <w:pPr>
        <w:rPr>
          <w:sz w:val="22"/>
          <w:szCs w:val="22"/>
        </w:rPr>
      </w:pPr>
      <w:r w:rsidRPr="00275093">
        <w:rPr>
          <w:sz w:val="22"/>
          <w:szCs w:val="22"/>
        </w:rPr>
        <w:t>811 02 Bratislava</w:t>
      </w:r>
    </w:p>
    <w:p w14:paraId="0313C3AD" w14:textId="6C7D4D24" w:rsidR="003957CD" w:rsidRPr="00275093" w:rsidRDefault="003957CD" w:rsidP="000620CE">
      <w:pPr>
        <w:rPr>
          <w:sz w:val="22"/>
          <w:szCs w:val="22"/>
        </w:rPr>
      </w:pPr>
      <w:r w:rsidRPr="00275093">
        <w:rPr>
          <w:sz w:val="22"/>
          <w:szCs w:val="22"/>
        </w:rPr>
        <w:t>Slovenská republika</w:t>
      </w:r>
    </w:p>
    <w:p w14:paraId="270ADC9C" w14:textId="77777777" w:rsidR="0095210A" w:rsidRPr="00275093" w:rsidRDefault="0095210A" w:rsidP="001C3198">
      <w:pPr>
        <w:outlineLvl w:val="0"/>
        <w:rPr>
          <w:sz w:val="22"/>
          <w:szCs w:val="22"/>
        </w:rPr>
      </w:pPr>
    </w:p>
    <w:p w14:paraId="721E36DF" w14:textId="77777777" w:rsidR="00410994" w:rsidRPr="00275093" w:rsidRDefault="00410994" w:rsidP="001C3198">
      <w:pPr>
        <w:outlineLvl w:val="0"/>
        <w:rPr>
          <w:sz w:val="22"/>
          <w:szCs w:val="22"/>
        </w:rPr>
      </w:pPr>
    </w:p>
    <w:p w14:paraId="692C8BD4" w14:textId="453CF7D7" w:rsidR="001C3198" w:rsidRPr="00275093" w:rsidRDefault="001C3198" w:rsidP="00275093">
      <w:pPr>
        <w:keepNext/>
        <w:rPr>
          <w:b/>
          <w:sz w:val="22"/>
          <w:szCs w:val="22"/>
        </w:rPr>
      </w:pPr>
      <w:r w:rsidRPr="00275093">
        <w:rPr>
          <w:b/>
          <w:sz w:val="22"/>
          <w:szCs w:val="22"/>
        </w:rPr>
        <w:lastRenderedPageBreak/>
        <w:t>8.</w:t>
      </w:r>
      <w:r w:rsidRPr="00275093">
        <w:rPr>
          <w:b/>
          <w:sz w:val="22"/>
          <w:szCs w:val="22"/>
        </w:rPr>
        <w:tab/>
        <w:t xml:space="preserve">REGISTRAČNÉ </w:t>
      </w:r>
      <w:r w:rsidR="00E6107F" w:rsidRPr="00275093">
        <w:rPr>
          <w:b/>
          <w:sz w:val="22"/>
          <w:szCs w:val="22"/>
        </w:rPr>
        <w:t>ČÍSLO</w:t>
      </w:r>
    </w:p>
    <w:p w14:paraId="6CFD2E90" w14:textId="77777777" w:rsidR="001C3198" w:rsidRPr="00275093" w:rsidRDefault="001C3198" w:rsidP="00275093">
      <w:pPr>
        <w:keepNext/>
        <w:rPr>
          <w:b/>
          <w:caps/>
          <w:sz w:val="22"/>
          <w:szCs w:val="22"/>
        </w:rPr>
      </w:pPr>
    </w:p>
    <w:p w14:paraId="47F02F64" w14:textId="77777777" w:rsidR="001C3198" w:rsidRPr="00275093" w:rsidRDefault="001C3198" w:rsidP="00275093">
      <w:pPr>
        <w:keepNext/>
        <w:rPr>
          <w:sz w:val="22"/>
          <w:szCs w:val="22"/>
        </w:rPr>
      </w:pPr>
      <w:r w:rsidRPr="00275093">
        <w:rPr>
          <w:sz w:val="22"/>
          <w:szCs w:val="22"/>
        </w:rPr>
        <w:t>21/0336/00-S</w:t>
      </w:r>
    </w:p>
    <w:p w14:paraId="756FA5F6" w14:textId="77777777" w:rsidR="001C3198" w:rsidRPr="00275093" w:rsidRDefault="001C3198" w:rsidP="001C3198">
      <w:pPr>
        <w:rPr>
          <w:caps/>
          <w:sz w:val="22"/>
          <w:szCs w:val="22"/>
        </w:rPr>
      </w:pPr>
    </w:p>
    <w:p w14:paraId="0C2BFE94" w14:textId="77777777" w:rsidR="00410994" w:rsidRPr="00275093" w:rsidRDefault="00410994" w:rsidP="001C3198">
      <w:pPr>
        <w:rPr>
          <w:caps/>
          <w:sz w:val="22"/>
          <w:szCs w:val="22"/>
        </w:rPr>
      </w:pPr>
    </w:p>
    <w:p w14:paraId="573ED0AB" w14:textId="77777777" w:rsidR="001C3198" w:rsidRPr="00275093" w:rsidRDefault="001C3198" w:rsidP="001C3198">
      <w:pPr>
        <w:rPr>
          <w:sz w:val="22"/>
          <w:szCs w:val="22"/>
        </w:rPr>
      </w:pPr>
      <w:r w:rsidRPr="00275093">
        <w:rPr>
          <w:b/>
          <w:sz w:val="22"/>
          <w:szCs w:val="22"/>
        </w:rPr>
        <w:t>9.</w:t>
      </w:r>
      <w:r w:rsidRPr="00275093">
        <w:rPr>
          <w:b/>
          <w:sz w:val="22"/>
          <w:szCs w:val="22"/>
        </w:rPr>
        <w:tab/>
        <w:t>DÁTUM PRVEJ REGISTRÁCIE/PREDĹŽENIA REGISTRÁCIE</w:t>
      </w:r>
    </w:p>
    <w:p w14:paraId="1FD8052B" w14:textId="77777777" w:rsidR="001C3198" w:rsidRPr="00275093" w:rsidRDefault="001C3198" w:rsidP="001C3198">
      <w:pPr>
        <w:rPr>
          <w:caps/>
          <w:sz w:val="22"/>
          <w:szCs w:val="22"/>
        </w:rPr>
      </w:pPr>
    </w:p>
    <w:p w14:paraId="3D4AFC51" w14:textId="1F835467" w:rsidR="001C3198" w:rsidRPr="00275093" w:rsidRDefault="00255616" w:rsidP="001C3198">
      <w:pPr>
        <w:rPr>
          <w:sz w:val="22"/>
          <w:szCs w:val="22"/>
        </w:rPr>
      </w:pPr>
      <w:r w:rsidRPr="00275093">
        <w:rPr>
          <w:sz w:val="22"/>
          <w:szCs w:val="22"/>
        </w:rPr>
        <w:t xml:space="preserve">Dátum prvej registrácie: </w:t>
      </w:r>
      <w:r w:rsidR="005F284C" w:rsidRPr="00275093">
        <w:rPr>
          <w:sz w:val="22"/>
          <w:szCs w:val="22"/>
        </w:rPr>
        <w:t>18. októbra 2000</w:t>
      </w:r>
      <w:r w:rsidR="00DC3920" w:rsidRPr="00275093">
        <w:rPr>
          <w:sz w:val="22"/>
          <w:szCs w:val="22"/>
        </w:rPr>
        <w:t xml:space="preserve"> </w:t>
      </w:r>
    </w:p>
    <w:p w14:paraId="00BE8406" w14:textId="03409216" w:rsidR="001C3198" w:rsidRPr="00275093" w:rsidRDefault="00EC0FCC" w:rsidP="001C3198">
      <w:pPr>
        <w:rPr>
          <w:caps/>
          <w:sz w:val="22"/>
          <w:szCs w:val="22"/>
        </w:rPr>
      </w:pPr>
      <w:r w:rsidRPr="00275093">
        <w:rPr>
          <w:sz w:val="22"/>
          <w:szCs w:val="22"/>
        </w:rPr>
        <w:t xml:space="preserve">Dátum </w:t>
      </w:r>
      <w:r w:rsidR="00612F85" w:rsidRPr="00275093">
        <w:rPr>
          <w:sz w:val="22"/>
          <w:szCs w:val="22"/>
        </w:rPr>
        <w:t xml:space="preserve">posledného </w:t>
      </w:r>
      <w:r w:rsidRPr="00275093">
        <w:rPr>
          <w:sz w:val="22"/>
          <w:szCs w:val="22"/>
        </w:rPr>
        <w:t>predĺženia registrácie</w:t>
      </w:r>
      <w:r w:rsidR="002F5F47" w:rsidRPr="00275093">
        <w:rPr>
          <w:sz w:val="22"/>
          <w:szCs w:val="22"/>
        </w:rPr>
        <w:t>: 21.</w:t>
      </w:r>
      <w:r w:rsidR="00612F85" w:rsidRPr="00275093">
        <w:rPr>
          <w:sz w:val="22"/>
          <w:szCs w:val="22"/>
        </w:rPr>
        <w:t> </w:t>
      </w:r>
      <w:r w:rsidR="001B3889" w:rsidRPr="00275093">
        <w:rPr>
          <w:sz w:val="22"/>
          <w:szCs w:val="22"/>
        </w:rPr>
        <w:t>f</w:t>
      </w:r>
      <w:r w:rsidR="00612F85" w:rsidRPr="00275093">
        <w:rPr>
          <w:sz w:val="22"/>
          <w:szCs w:val="22"/>
        </w:rPr>
        <w:t>ebruár</w:t>
      </w:r>
      <w:r w:rsidR="005F284C" w:rsidRPr="00275093">
        <w:rPr>
          <w:sz w:val="22"/>
          <w:szCs w:val="22"/>
        </w:rPr>
        <w:t>a</w:t>
      </w:r>
      <w:r w:rsidR="001B3889" w:rsidRPr="00275093">
        <w:rPr>
          <w:sz w:val="22"/>
          <w:szCs w:val="22"/>
        </w:rPr>
        <w:t xml:space="preserve"> </w:t>
      </w:r>
      <w:r w:rsidR="002F5F47" w:rsidRPr="00275093">
        <w:rPr>
          <w:sz w:val="22"/>
          <w:szCs w:val="22"/>
        </w:rPr>
        <w:t xml:space="preserve">2007 </w:t>
      </w:r>
    </w:p>
    <w:p w14:paraId="27DB906E" w14:textId="77777777" w:rsidR="001C3198" w:rsidRPr="00275093" w:rsidRDefault="001C3198" w:rsidP="001C3198">
      <w:pPr>
        <w:rPr>
          <w:caps/>
          <w:sz w:val="22"/>
          <w:szCs w:val="22"/>
        </w:rPr>
      </w:pPr>
    </w:p>
    <w:p w14:paraId="2D4092EC" w14:textId="77777777" w:rsidR="00612F85" w:rsidRPr="00275093" w:rsidRDefault="00612F85" w:rsidP="001C3198">
      <w:pPr>
        <w:rPr>
          <w:caps/>
          <w:sz w:val="22"/>
          <w:szCs w:val="22"/>
        </w:rPr>
      </w:pPr>
    </w:p>
    <w:p w14:paraId="2151273D" w14:textId="77777777" w:rsidR="001C3198" w:rsidRPr="00275093" w:rsidRDefault="001C3198" w:rsidP="001C3198">
      <w:pPr>
        <w:rPr>
          <w:b/>
          <w:sz w:val="22"/>
          <w:szCs w:val="22"/>
        </w:rPr>
      </w:pPr>
      <w:r w:rsidRPr="00275093">
        <w:rPr>
          <w:b/>
          <w:sz w:val="22"/>
          <w:szCs w:val="22"/>
        </w:rPr>
        <w:t>10.</w:t>
      </w:r>
      <w:r w:rsidRPr="00275093">
        <w:rPr>
          <w:b/>
          <w:sz w:val="22"/>
          <w:szCs w:val="22"/>
        </w:rPr>
        <w:tab/>
        <w:t>DÁTUM REVÍZIE TEXTU</w:t>
      </w:r>
    </w:p>
    <w:p w14:paraId="66BE1FEA" w14:textId="77777777" w:rsidR="0095210A" w:rsidRPr="00275093" w:rsidRDefault="0095210A" w:rsidP="001C3198">
      <w:pPr>
        <w:rPr>
          <w:b/>
          <w:sz w:val="22"/>
          <w:szCs w:val="22"/>
        </w:rPr>
      </w:pPr>
    </w:p>
    <w:p w14:paraId="415B1388" w14:textId="7CBC450F" w:rsidR="00694170" w:rsidRPr="00275093" w:rsidRDefault="00410994">
      <w:pPr>
        <w:rPr>
          <w:sz w:val="22"/>
          <w:szCs w:val="22"/>
        </w:rPr>
      </w:pPr>
      <w:r w:rsidRPr="00275093">
        <w:rPr>
          <w:sz w:val="22"/>
          <w:szCs w:val="22"/>
        </w:rPr>
        <w:t>02/2019</w:t>
      </w:r>
    </w:p>
    <w:sectPr w:rsidR="00694170" w:rsidRPr="00275093" w:rsidSect="00275093">
      <w:headerReference w:type="default" r:id="rId9"/>
      <w:footerReference w:type="default" r:id="rId10"/>
      <w:pgSz w:w="11909" w:h="16834"/>
      <w:pgMar w:top="1418" w:right="1418" w:bottom="1418" w:left="1418" w:header="1077" w:footer="107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10EF4" w14:textId="77777777" w:rsidR="00410994" w:rsidRDefault="00410994">
      <w:r>
        <w:separator/>
      </w:r>
    </w:p>
  </w:endnote>
  <w:endnote w:type="continuationSeparator" w:id="0">
    <w:p w14:paraId="6E1E2926" w14:textId="77777777" w:rsidR="00410994" w:rsidRDefault="00410994">
      <w:r>
        <w:continuationSeparator/>
      </w:r>
    </w:p>
  </w:endnote>
  <w:endnote w:type="continuationNotice" w:id="1">
    <w:p w14:paraId="0742A48B" w14:textId="77777777" w:rsidR="00410994" w:rsidRDefault="00410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Courier New"/>
    <w:panose1 w:val="00000000000000000000"/>
    <w:charset w:val="FF"/>
    <w:family w:val="decorative"/>
    <w:notTrueType/>
    <w:pitch w:val="variable"/>
    <w:sig w:usb0="00000003"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860553"/>
      <w:docPartObj>
        <w:docPartGallery w:val="Page Numbers (Bottom of Page)"/>
        <w:docPartUnique/>
      </w:docPartObj>
    </w:sdtPr>
    <w:sdtEndPr>
      <w:rPr>
        <w:sz w:val="18"/>
        <w:szCs w:val="18"/>
      </w:rPr>
    </w:sdtEndPr>
    <w:sdtContent>
      <w:p w14:paraId="1346442B" w14:textId="08B130F0" w:rsidR="00410994" w:rsidRPr="001B5CB7" w:rsidRDefault="00410994">
        <w:pPr>
          <w:pStyle w:val="Pta"/>
          <w:jc w:val="center"/>
          <w:rPr>
            <w:sz w:val="18"/>
            <w:szCs w:val="18"/>
          </w:rPr>
        </w:pPr>
        <w:r w:rsidRPr="001B5CB7">
          <w:rPr>
            <w:sz w:val="18"/>
            <w:szCs w:val="18"/>
          </w:rPr>
          <w:fldChar w:fldCharType="begin"/>
        </w:r>
        <w:r w:rsidRPr="001B5CB7">
          <w:rPr>
            <w:sz w:val="18"/>
            <w:szCs w:val="18"/>
          </w:rPr>
          <w:instrText>PAGE   \* MERGEFORMAT</w:instrText>
        </w:r>
        <w:r w:rsidRPr="001B5CB7">
          <w:rPr>
            <w:sz w:val="18"/>
            <w:szCs w:val="18"/>
          </w:rPr>
          <w:fldChar w:fldCharType="separate"/>
        </w:r>
        <w:r w:rsidR="00275093">
          <w:rPr>
            <w:noProof/>
            <w:sz w:val="18"/>
            <w:szCs w:val="18"/>
          </w:rPr>
          <w:t>2</w:t>
        </w:r>
        <w:r w:rsidRPr="001B5CB7">
          <w:rPr>
            <w:sz w:val="18"/>
            <w:szCs w:val="18"/>
          </w:rPr>
          <w:fldChar w:fldCharType="end"/>
        </w:r>
      </w:p>
    </w:sdtContent>
  </w:sdt>
  <w:p w14:paraId="271B8B89" w14:textId="77777777" w:rsidR="00410994" w:rsidRPr="00472DF8" w:rsidRDefault="00410994" w:rsidP="006A2F16">
    <w:pPr>
      <w:spacing w:line="240" w:lineRule="atLeast"/>
      <w:ind w:right="360"/>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ABEC7" w14:textId="77777777" w:rsidR="00410994" w:rsidRDefault="00410994">
      <w:r>
        <w:separator/>
      </w:r>
    </w:p>
  </w:footnote>
  <w:footnote w:type="continuationSeparator" w:id="0">
    <w:p w14:paraId="13013AD3" w14:textId="77777777" w:rsidR="00410994" w:rsidRDefault="00410994">
      <w:r>
        <w:continuationSeparator/>
      </w:r>
    </w:p>
  </w:footnote>
  <w:footnote w:type="continuationNotice" w:id="1">
    <w:p w14:paraId="2962092D" w14:textId="77777777" w:rsidR="00410994" w:rsidRDefault="004109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92BB9" w14:textId="3F59A62E" w:rsidR="00410994" w:rsidRPr="0095210A" w:rsidRDefault="00410994" w:rsidP="0095210A">
    <w:pPr>
      <w:pStyle w:val="Hlavika"/>
      <w:rPr>
        <w:sz w:val="18"/>
      </w:rPr>
    </w:pPr>
    <w:r>
      <w:rPr>
        <w:color w:val="05121F"/>
        <w:sz w:val="18"/>
        <w:szCs w:val="18"/>
      </w:rPr>
      <w:t>Príloha č. 1 k notifikácii o</w:t>
    </w:r>
    <w:r w:rsidR="001B5CB7">
      <w:rPr>
        <w:color w:val="05121F"/>
        <w:sz w:val="18"/>
        <w:szCs w:val="18"/>
      </w:rPr>
      <w:t xml:space="preserve"> </w:t>
    </w:r>
    <w:r>
      <w:rPr>
        <w:color w:val="05121F"/>
        <w:sz w:val="18"/>
        <w:szCs w:val="18"/>
      </w:rPr>
      <w:t>zmene, ev.č. 2018/04652-Z1B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7851"/>
    <w:multiLevelType w:val="hybridMultilevel"/>
    <w:tmpl w:val="0BBC911E"/>
    <w:lvl w:ilvl="0" w:tplc="F12CD142">
      <w:start w:val="1"/>
      <w:numFmt w:val="bullet"/>
      <w:lvlText w:val=""/>
      <w:lvlJc w:val="left"/>
      <w:pPr>
        <w:tabs>
          <w:tab w:val="num" w:pos="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2317E4"/>
    <w:multiLevelType w:val="hybridMultilevel"/>
    <w:tmpl w:val="648E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B533C5"/>
    <w:multiLevelType w:val="hybridMultilevel"/>
    <w:tmpl w:val="8BE8BC9E"/>
    <w:lvl w:ilvl="0" w:tplc="89445F98">
      <w:start w:val="1"/>
      <w:numFmt w:val="bullet"/>
      <w:lvlText w:val=""/>
      <w:lvlJc w:val="left"/>
      <w:pPr>
        <w:tabs>
          <w:tab w:val="num" w:pos="648"/>
        </w:tabs>
        <w:ind w:left="648"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zsova, Miroslava">
    <w15:presenceInfo w15:providerId="AD" w15:userId="S-1-5-21-329068152-854245398-839522115-1186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32FB"/>
    <w:rsid w:val="00000132"/>
    <w:rsid w:val="0000099D"/>
    <w:rsid w:val="000014D7"/>
    <w:rsid w:val="000029CE"/>
    <w:rsid w:val="000029F7"/>
    <w:rsid w:val="00003363"/>
    <w:rsid w:val="0000462A"/>
    <w:rsid w:val="0000550A"/>
    <w:rsid w:val="0001105C"/>
    <w:rsid w:val="00011AD5"/>
    <w:rsid w:val="00012766"/>
    <w:rsid w:val="000127A5"/>
    <w:rsid w:val="00013F83"/>
    <w:rsid w:val="00014C2A"/>
    <w:rsid w:val="0001555F"/>
    <w:rsid w:val="00017B94"/>
    <w:rsid w:val="00017EAE"/>
    <w:rsid w:val="000203B9"/>
    <w:rsid w:val="000223B6"/>
    <w:rsid w:val="00022CC5"/>
    <w:rsid w:val="00023318"/>
    <w:rsid w:val="0002373B"/>
    <w:rsid w:val="00026243"/>
    <w:rsid w:val="00027F3C"/>
    <w:rsid w:val="00030BF0"/>
    <w:rsid w:val="000335C5"/>
    <w:rsid w:val="00033A67"/>
    <w:rsid w:val="00034E8F"/>
    <w:rsid w:val="0003755A"/>
    <w:rsid w:val="00041153"/>
    <w:rsid w:val="00043D05"/>
    <w:rsid w:val="0004455C"/>
    <w:rsid w:val="00044592"/>
    <w:rsid w:val="00046323"/>
    <w:rsid w:val="000503DE"/>
    <w:rsid w:val="00052037"/>
    <w:rsid w:val="0005252F"/>
    <w:rsid w:val="00052A88"/>
    <w:rsid w:val="00052D1B"/>
    <w:rsid w:val="00054EBB"/>
    <w:rsid w:val="00055B3F"/>
    <w:rsid w:val="00056DDC"/>
    <w:rsid w:val="000620CE"/>
    <w:rsid w:val="000623CB"/>
    <w:rsid w:val="00063045"/>
    <w:rsid w:val="00064AEF"/>
    <w:rsid w:val="00070402"/>
    <w:rsid w:val="0007078F"/>
    <w:rsid w:val="0007079A"/>
    <w:rsid w:val="00072D75"/>
    <w:rsid w:val="00073546"/>
    <w:rsid w:val="0007485E"/>
    <w:rsid w:val="0007546C"/>
    <w:rsid w:val="00075D4E"/>
    <w:rsid w:val="000824F3"/>
    <w:rsid w:val="000858CC"/>
    <w:rsid w:val="00087434"/>
    <w:rsid w:val="00087A51"/>
    <w:rsid w:val="00087AFD"/>
    <w:rsid w:val="0009062E"/>
    <w:rsid w:val="00090CC0"/>
    <w:rsid w:val="00091396"/>
    <w:rsid w:val="00092F89"/>
    <w:rsid w:val="00095A3C"/>
    <w:rsid w:val="00096449"/>
    <w:rsid w:val="00096E5D"/>
    <w:rsid w:val="00097C8A"/>
    <w:rsid w:val="000A0822"/>
    <w:rsid w:val="000A0F18"/>
    <w:rsid w:val="000A21A1"/>
    <w:rsid w:val="000A25AF"/>
    <w:rsid w:val="000A4833"/>
    <w:rsid w:val="000A53F4"/>
    <w:rsid w:val="000A5790"/>
    <w:rsid w:val="000A62D5"/>
    <w:rsid w:val="000A76D7"/>
    <w:rsid w:val="000B1B79"/>
    <w:rsid w:val="000B248F"/>
    <w:rsid w:val="000B2B79"/>
    <w:rsid w:val="000B5EB5"/>
    <w:rsid w:val="000B6205"/>
    <w:rsid w:val="000B6649"/>
    <w:rsid w:val="000B7556"/>
    <w:rsid w:val="000C3AE0"/>
    <w:rsid w:val="000C4A28"/>
    <w:rsid w:val="000C5DC9"/>
    <w:rsid w:val="000C698B"/>
    <w:rsid w:val="000C7224"/>
    <w:rsid w:val="000C7BFB"/>
    <w:rsid w:val="000D1DF0"/>
    <w:rsid w:val="000D1F00"/>
    <w:rsid w:val="000D3DD3"/>
    <w:rsid w:val="000D6BCE"/>
    <w:rsid w:val="000D6CBA"/>
    <w:rsid w:val="000E27A0"/>
    <w:rsid w:val="000E395C"/>
    <w:rsid w:val="000E53E6"/>
    <w:rsid w:val="000E7180"/>
    <w:rsid w:val="000F04A3"/>
    <w:rsid w:val="000F1439"/>
    <w:rsid w:val="000F24A9"/>
    <w:rsid w:val="000F28B2"/>
    <w:rsid w:val="000F4748"/>
    <w:rsid w:val="000F7203"/>
    <w:rsid w:val="00100147"/>
    <w:rsid w:val="00106254"/>
    <w:rsid w:val="0011089F"/>
    <w:rsid w:val="00111494"/>
    <w:rsid w:val="00111EC6"/>
    <w:rsid w:val="0011289F"/>
    <w:rsid w:val="00117CAA"/>
    <w:rsid w:val="00117E79"/>
    <w:rsid w:val="00120566"/>
    <w:rsid w:val="0012075F"/>
    <w:rsid w:val="00122163"/>
    <w:rsid w:val="0012387C"/>
    <w:rsid w:val="00124EED"/>
    <w:rsid w:val="00125549"/>
    <w:rsid w:val="00125BAE"/>
    <w:rsid w:val="00127AEE"/>
    <w:rsid w:val="0013056E"/>
    <w:rsid w:val="001329BA"/>
    <w:rsid w:val="00133D24"/>
    <w:rsid w:val="001346AE"/>
    <w:rsid w:val="00136502"/>
    <w:rsid w:val="001378BA"/>
    <w:rsid w:val="00143221"/>
    <w:rsid w:val="00143993"/>
    <w:rsid w:val="00143C29"/>
    <w:rsid w:val="001458A1"/>
    <w:rsid w:val="00146BDD"/>
    <w:rsid w:val="00147E72"/>
    <w:rsid w:val="00152E04"/>
    <w:rsid w:val="001536DF"/>
    <w:rsid w:val="00155946"/>
    <w:rsid w:val="00155C85"/>
    <w:rsid w:val="00156A97"/>
    <w:rsid w:val="00157178"/>
    <w:rsid w:val="00157323"/>
    <w:rsid w:val="00160909"/>
    <w:rsid w:val="00160C6D"/>
    <w:rsid w:val="001611D0"/>
    <w:rsid w:val="00162DEC"/>
    <w:rsid w:val="0016374B"/>
    <w:rsid w:val="00165104"/>
    <w:rsid w:val="0016645B"/>
    <w:rsid w:val="001677EF"/>
    <w:rsid w:val="00167EB5"/>
    <w:rsid w:val="0017014D"/>
    <w:rsid w:val="00175456"/>
    <w:rsid w:val="001770C8"/>
    <w:rsid w:val="00177E2C"/>
    <w:rsid w:val="00180981"/>
    <w:rsid w:val="00180A14"/>
    <w:rsid w:val="00180E12"/>
    <w:rsid w:val="00185D14"/>
    <w:rsid w:val="001867ED"/>
    <w:rsid w:val="0019155E"/>
    <w:rsid w:val="00191FFA"/>
    <w:rsid w:val="00193F6F"/>
    <w:rsid w:val="00194051"/>
    <w:rsid w:val="00194194"/>
    <w:rsid w:val="00195432"/>
    <w:rsid w:val="00195D7C"/>
    <w:rsid w:val="00195E29"/>
    <w:rsid w:val="0019680F"/>
    <w:rsid w:val="001975AA"/>
    <w:rsid w:val="001A0885"/>
    <w:rsid w:val="001A0FDE"/>
    <w:rsid w:val="001A26E6"/>
    <w:rsid w:val="001A297B"/>
    <w:rsid w:val="001A65C5"/>
    <w:rsid w:val="001A6DB1"/>
    <w:rsid w:val="001B3889"/>
    <w:rsid w:val="001B5A88"/>
    <w:rsid w:val="001B5CB7"/>
    <w:rsid w:val="001B6675"/>
    <w:rsid w:val="001B7137"/>
    <w:rsid w:val="001C0A52"/>
    <w:rsid w:val="001C2908"/>
    <w:rsid w:val="001C3198"/>
    <w:rsid w:val="001C4A3B"/>
    <w:rsid w:val="001C65D4"/>
    <w:rsid w:val="001D0601"/>
    <w:rsid w:val="001D0CFB"/>
    <w:rsid w:val="001D1223"/>
    <w:rsid w:val="001D358E"/>
    <w:rsid w:val="001D3B0F"/>
    <w:rsid w:val="001D798E"/>
    <w:rsid w:val="001E0E80"/>
    <w:rsid w:val="001E32CC"/>
    <w:rsid w:val="001E4C14"/>
    <w:rsid w:val="001F04E8"/>
    <w:rsid w:val="001F0BC1"/>
    <w:rsid w:val="001F2CAA"/>
    <w:rsid w:val="001F3963"/>
    <w:rsid w:val="001F778F"/>
    <w:rsid w:val="00200DDF"/>
    <w:rsid w:val="00201018"/>
    <w:rsid w:val="00203D4C"/>
    <w:rsid w:val="00207196"/>
    <w:rsid w:val="002112C2"/>
    <w:rsid w:val="00211756"/>
    <w:rsid w:val="00211896"/>
    <w:rsid w:val="002135FB"/>
    <w:rsid w:val="00215064"/>
    <w:rsid w:val="0021725E"/>
    <w:rsid w:val="00217DA0"/>
    <w:rsid w:val="002209F7"/>
    <w:rsid w:val="00221942"/>
    <w:rsid w:val="00221C16"/>
    <w:rsid w:val="002229CE"/>
    <w:rsid w:val="00222C2E"/>
    <w:rsid w:val="00224311"/>
    <w:rsid w:val="00227795"/>
    <w:rsid w:val="002309E8"/>
    <w:rsid w:val="00231AB9"/>
    <w:rsid w:val="00231EB4"/>
    <w:rsid w:val="00232B92"/>
    <w:rsid w:val="00232F65"/>
    <w:rsid w:val="002351B2"/>
    <w:rsid w:val="0023568E"/>
    <w:rsid w:val="00236300"/>
    <w:rsid w:val="00236825"/>
    <w:rsid w:val="00243C0B"/>
    <w:rsid w:val="0024794B"/>
    <w:rsid w:val="0025314C"/>
    <w:rsid w:val="002544A9"/>
    <w:rsid w:val="00255616"/>
    <w:rsid w:val="0025654B"/>
    <w:rsid w:val="00256923"/>
    <w:rsid w:val="00256F91"/>
    <w:rsid w:val="002571E8"/>
    <w:rsid w:val="00260FB7"/>
    <w:rsid w:val="00262C0C"/>
    <w:rsid w:val="00267902"/>
    <w:rsid w:val="00270249"/>
    <w:rsid w:val="002726FE"/>
    <w:rsid w:val="002746D8"/>
    <w:rsid w:val="00274726"/>
    <w:rsid w:val="00274867"/>
    <w:rsid w:val="00275093"/>
    <w:rsid w:val="002752B9"/>
    <w:rsid w:val="00276C3C"/>
    <w:rsid w:val="00276E8B"/>
    <w:rsid w:val="002800A5"/>
    <w:rsid w:val="00283623"/>
    <w:rsid w:val="00284919"/>
    <w:rsid w:val="00287BAB"/>
    <w:rsid w:val="002904AF"/>
    <w:rsid w:val="00290652"/>
    <w:rsid w:val="00292B0B"/>
    <w:rsid w:val="002A12B5"/>
    <w:rsid w:val="002A2D9C"/>
    <w:rsid w:val="002A32BB"/>
    <w:rsid w:val="002A69AC"/>
    <w:rsid w:val="002A75E0"/>
    <w:rsid w:val="002A7E94"/>
    <w:rsid w:val="002B004A"/>
    <w:rsid w:val="002B0AE1"/>
    <w:rsid w:val="002B0B57"/>
    <w:rsid w:val="002B0C1A"/>
    <w:rsid w:val="002B14BC"/>
    <w:rsid w:val="002B1AA7"/>
    <w:rsid w:val="002B25F0"/>
    <w:rsid w:val="002B310D"/>
    <w:rsid w:val="002B3579"/>
    <w:rsid w:val="002B4BF5"/>
    <w:rsid w:val="002B4D31"/>
    <w:rsid w:val="002B6A07"/>
    <w:rsid w:val="002D0A0D"/>
    <w:rsid w:val="002D7AD5"/>
    <w:rsid w:val="002E010E"/>
    <w:rsid w:val="002E1B3D"/>
    <w:rsid w:val="002E2988"/>
    <w:rsid w:val="002E3BF6"/>
    <w:rsid w:val="002E41AF"/>
    <w:rsid w:val="002E6EF6"/>
    <w:rsid w:val="002F0F97"/>
    <w:rsid w:val="002F1C54"/>
    <w:rsid w:val="002F2EF9"/>
    <w:rsid w:val="002F375E"/>
    <w:rsid w:val="002F4C53"/>
    <w:rsid w:val="002F5F47"/>
    <w:rsid w:val="002F5FD3"/>
    <w:rsid w:val="002F7CBE"/>
    <w:rsid w:val="00300977"/>
    <w:rsid w:val="00300E95"/>
    <w:rsid w:val="00302389"/>
    <w:rsid w:val="00303383"/>
    <w:rsid w:val="00303B9F"/>
    <w:rsid w:val="00304B66"/>
    <w:rsid w:val="00306CC9"/>
    <w:rsid w:val="003100C8"/>
    <w:rsid w:val="0031250B"/>
    <w:rsid w:val="0031298C"/>
    <w:rsid w:val="00321208"/>
    <w:rsid w:val="00321CC5"/>
    <w:rsid w:val="00323C30"/>
    <w:rsid w:val="00324082"/>
    <w:rsid w:val="003256A7"/>
    <w:rsid w:val="00331876"/>
    <w:rsid w:val="00334819"/>
    <w:rsid w:val="00334F90"/>
    <w:rsid w:val="003423E8"/>
    <w:rsid w:val="0034330C"/>
    <w:rsid w:val="00343F18"/>
    <w:rsid w:val="003459E8"/>
    <w:rsid w:val="00346B99"/>
    <w:rsid w:val="00346C45"/>
    <w:rsid w:val="00351062"/>
    <w:rsid w:val="00352654"/>
    <w:rsid w:val="00355F3F"/>
    <w:rsid w:val="00356D26"/>
    <w:rsid w:val="00356D58"/>
    <w:rsid w:val="00357282"/>
    <w:rsid w:val="00357D55"/>
    <w:rsid w:val="00357FF0"/>
    <w:rsid w:val="0036017C"/>
    <w:rsid w:val="003606D3"/>
    <w:rsid w:val="00360E14"/>
    <w:rsid w:val="00361CF0"/>
    <w:rsid w:val="00361E9F"/>
    <w:rsid w:val="003627DF"/>
    <w:rsid w:val="003640E9"/>
    <w:rsid w:val="003651DD"/>
    <w:rsid w:val="00365892"/>
    <w:rsid w:val="00366D14"/>
    <w:rsid w:val="00367335"/>
    <w:rsid w:val="00374702"/>
    <w:rsid w:val="00376755"/>
    <w:rsid w:val="00381288"/>
    <w:rsid w:val="003814C5"/>
    <w:rsid w:val="00381C93"/>
    <w:rsid w:val="00382503"/>
    <w:rsid w:val="00382E48"/>
    <w:rsid w:val="0038314B"/>
    <w:rsid w:val="00384C25"/>
    <w:rsid w:val="00385749"/>
    <w:rsid w:val="00385972"/>
    <w:rsid w:val="003876C4"/>
    <w:rsid w:val="00391E3D"/>
    <w:rsid w:val="0039201B"/>
    <w:rsid w:val="00392FB8"/>
    <w:rsid w:val="00394C1C"/>
    <w:rsid w:val="00394E43"/>
    <w:rsid w:val="003957CD"/>
    <w:rsid w:val="003A0A6F"/>
    <w:rsid w:val="003A0E8A"/>
    <w:rsid w:val="003A32FB"/>
    <w:rsid w:val="003A3B23"/>
    <w:rsid w:val="003A6092"/>
    <w:rsid w:val="003A74D1"/>
    <w:rsid w:val="003B0054"/>
    <w:rsid w:val="003B0647"/>
    <w:rsid w:val="003B28F2"/>
    <w:rsid w:val="003B3239"/>
    <w:rsid w:val="003B3BE4"/>
    <w:rsid w:val="003B482F"/>
    <w:rsid w:val="003B6AA6"/>
    <w:rsid w:val="003C0DBB"/>
    <w:rsid w:val="003C48EF"/>
    <w:rsid w:val="003C5D74"/>
    <w:rsid w:val="003C6AC1"/>
    <w:rsid w:val="003D05E5"/>
    <w:rsid w:val="003D38B0"/>
    <w:rsid w:val="003D43DE"/>
    <w:rsid w:val="003D5562"/>
    <w:rsid w:val="003E0873"/>
    <w:rsid w:val="003E37AF"/>
    <w:rsid w:val="003E7FC7"/>
    <w:rsid w:val="003F00FB"/>
    <w:rsid w:val="003F5573"/>
    <w:rsid w:val="004002E3"/>
    <w:rsid w:val="0040120E"/>
    <w:rsid w:val="004018E0"/>
    <w:rsid w:val="00402199"/>
    <w:rsid w:val="00403FB7"/>
    <w:rsid w:val="00404C6E"/>
    <w:rsid w:val="00407813"/>
    <w:rsid w:val="00407A31"/>
    <w:rsid w:val="00410994"/>
    <w:rsid w:val="00411DC4"/>
    <w:rsid w:val="00413310"/>
    <w:rsid w:val="00413772"/>
    <w:rsid w:val="00413B78"/>
    <w:rsid w:val="00416364"/>
    <w:rsid w:val="00416771"/>
    <w:rsid w:val="0041798E"/>
    <w:rsid w:val="004212EF"/>
    <w:rsid w:val="00421569"/>
    <w:rsid w:val="004228B3"/>
    <w:rsid w:val="004239FA"/>
    <w:rsid w:val="0042408E"/>
    <w:rsid w:val="00426B26"/>
    <w:rsid w:val="00426B87"/>
    <w:rsid w:val="00431225"/>
    <w:rsid w:val="00432A66"/>
    <w:rsid w:val="00432C40"/>
    <w:rsid w:val="00433501"/>
    <w:rsid w:val="00435D83"/>
    <w:rsid w:val="00436185"/>
    <w:rsid w:val="004405EE"/>
    <w:rsid w:val="00442916"/>
    <w:rsid w:val="004444BE"/>
    <w:rsid w:val="00446F44"/>
    <w:rsid w:val="0044758F"/>
    <w:rsid w:val="004507F8"/>
    <w:rsid w:val="0045083F"/>
    <w:rsid w:val="00451F60"/>
    <w:rsid w:val="004558F4"/>
    <w:rsid w:val="00457558"/>
    <w:rsid w:val="004636AF"/>
    <w:rsid w:val="00466518"/>
    <w:rsid w:val="004679F9"/>
    <w:rsid w:val="00472BE5"/>
    <w:rsid w:val="00472DF8"/>
    <w:rsid w:val="00474A99"/>
    <w:rsid w:val="00477749"/>
    <w:rsid w:val="004808F6"/>
    <w:rsid w:val="00481796"/>
    <w:rsid w:val="00481D82"/>
    <w:rsid w:val="00482B59"/>
    <w:rsid w:val="0048391B"/>
    <w:rsid w:val="00483B43"/>
    <w:rsid w:val="0048573F"/>
    <w:rsid w:val="00486730"/>
    <w:rsid w:val="00487844"/>
    <w:rsid w:val="00490400"/>
    <w:rsid w:val="00490A4A"/>
    <w:rsid w:val="00490E96"/>
    <w:rsid w:val="00492700"/>
    <w:rsid w:val="00495507"/>
    <w:rsid w:val="00495BDC"/>
    <w:rsid w:val="00497B23"/>
    <w:rsid w:val="00497D74"/>
    <w:rsid w:val="004A08A2"/>
    <w:rsid w:val="004A0AC0"/>
    <w:rsid w:val="004A1C5B"/>
    <w:rsid w:val="004A3C95"/>
    <w:rsid w:val="004A6DD1"/>
    <w:rsid w:val="004B15B6"/>
    <w:rsid w:val="004B230A"/>
    <w:rsid w:val="004B731E"/>
    <w:rsid w:val="004B73C0"/>
    <w:rsid w:val="004B7740"/>
    <w:rsid w:val="004C1EA6"/>
    <w:rsid w:val="004C2AC7"/>
    <w:rsid w:val="004C3B3F"/>
    <w:rsid w:val="004C64C7"/>
    <w:rsid w:val="004D0155"/>
    <w:rsid w:val="004D5EC3"/>
    <w:rsid w:val="004D7A18"/>
    <w:rsid w:val="004E008F"/>
    <w:rsid w:val="004E07DF"/>
    <w:rsid w:val="004E0A66"/>
    <w:rsid w:val="004E2ADF"/>
    <w:rsid w:val="004E32A7"/>
    <w:rsid w:val="004E42C1"/>
    <w:rsid w:val="004F1B2A"/>
    <w:rsid w:val="004F3420"/>
    <w:rsid w:val="004F492A"/>
    <w:rsid w:val="004F6963"/>
    <w:rsid w:val="005007FF"/>
    <w:rsid w:val="0050285B"/>
    <w:rsid w:val="005028A8"/>
    <w:rsid w:val="00502B99"/>
    <w:rsid w:val="0050319B"/>
    <w:rsid w:val="00504D9D"/>
    <w:rsid w:val="005052B8"/>
    <w:rsid w:val="00506C14"/>
    <w:rsid w:val="00507FE0"/>
    <w:rsid w:val="00511528"/>
    <w:rsid w:val="0051293A"/>
    <w:rsid w:val="00514569"/>
    <w:rsid w:val="00515DBB"/>
    <w:rsid w:val="00517AB8"/>
    <w:rsid w:val="005230AD"/>
    <w:rsid w:val="0052495D"/>
    <w:rsid w:val="0052779B"/>
    <w:rsid w:val="005313CE"/>
    <w:rsid w:val="0053155F"/>
    <w:rsid w:val="00531CE1"/>
    <w:rsid w:val="005375E4"/>
    <w:rsid w:val="005443F5"/>
    <w:rsid w:val="00551A4A"/>
    <w:rsid w:val="005632E4"/>
    <w:rsid w:val="005652AE"/>
    <w:rsid w:val="00565303"/>
    <w:rsid w:val="005654A9"/>
    <w:rsid w:val="00565C10"/>
    <w:rsid w:val="005677E1"/>
    <w:rsid w:val="00570539"/>
    <w:rsid w:val="00571F4E"/>
    <w:rsid w:val="0057426C"/>
    <w:rsid w:val="0057469C"/>
    <w:rsid w:val="00575A9A"/>
    <w:rsid w:val="00576F4D"/>
    <w:rsid w:val="0057763F"/>
    <w:rsid w:val="00577C01"/>
    <w:rsid w:val="00581003"/>
    <w:rsid w:val="0058444D"/>
    <w:rsid w:val="005849C3"/>
    <w:rsid w:val="00590EB8"/>
    <w:rsid w:val="0059136E"/>
    <w:rsid w:val="0059171C"/>
    <w:rsid w:val="00592DC4"/>
    <w:rsid w:val="00596056"/>
    <w:rsid w:val="0059794F"/>
    <w:rsid w:val="005A0D44"/>
    <w:rsid w:val="005A0DF9"/>
    <w:rsid w:val="005A2708"/>
    <w:rsid w:val="005A28EE"/>
    <w:rsid w:val="005A412D"/>
    <w:rsid w:val="005B01A5"/>
    <w:rsid w:val="005B176C"/>
    <w:rsid w:val="005B449C"/>
    <w:rsid w:val="005B4975"/>
    <w:rsid w:val="005B4D23"/>
    <w:rsid w:val="005B4F04"/>
    <w:rsid w:val="005B5A65"/>
    <w:rsid w:val="005B6F07"/>
    <w:rsid w:val="005B7B4E"/>
    <w:rsid w:val="005C01B6"/>
    <w:rsid w:val="005C14D9"/>
    <w:rsid w:val="005C1B6C"/>
    <w:rsid w:val="005C2553"/>
    <w:rsid w:val="005C64F4"/>
    <w:rsid w:val="005C7406"/>
    <w:rsid w:val="005C795A"/>
    <w:rsid w:val="005D2A24"/>
    <w:rsid w:val="005D3576"/>
    <w:rsid w:val="005D3E3A"/>
    <w:rsid w:val="005D57F5"/>
    <w:rsid w:val="005E0FE8"/>
    <w:rsid w:val="005E17BF"/>
    <w:rsid w:val="005E23BB"/>
    <w:rsid w:val="005E3B8F"/>
    <w:rsid w:val="005E4E7D"/>
    <w:rsid w:val="005E65DD"/>
    <w:rsid w:val="005E7248"/>
    <w:rsid w:val="005E7671"/>
    <w:rsid w:val="005E7A61"/>
    <w:rsid w:val="005E7B57"/>
    <w:rsid w:val="005F1EDD"/>
    <w:rsid w:val="005F284C"/>
    <w:rsid w:val="005F3E1D"/>
    <w:rsid w:val="005F4C0B"/>
    <w:rsid w:val="005F534F"/>
    <w:rsid w:val="005F6229"/>
    <w:rsid w:val="005F7111"/>
    <w:rsid w:val="005F748F"/>
    <w:rsid w:val="00602C01"/>
    <w:rsid w:val="00602C18"/>
    <w:rsid w:val="006070FD"/>
    <w:rsid w:val="006071CF"/>
    <w:rsid w:val="00610C9F"/>
    <w:rsid w:val="006122FD"/>
    <w:rsid w:val="00612F85"/>
    <w:rsid w:val="006155DE"/>
    <w:rsid w:val="00620C42"/>
    <w:rsid w:val="00621BDB"/>
    <w:rsid w:val="006245A7"/>
    <w:rsid w:val="0062555E"/>
    <w:rsid w:val="006258BC"/>
    <w:rsid w:val="006301C8"/>
    <w:rsid w:val="006306A1"/>
    <w:rsid w:val="00630C2C"/>
    <w:rsid w:val="00630C7A"/>
    <w:rsid w:val="006341A3"/>
    <w:rsid w:val="00635415"/>
    <w:rsid w:val="00636582"/>
    <w:rsid w:val="00640243"/>
    <w:rsid w:val="00641ACA"/>
    <w:rsid w:val="00641BB7"/>
    <w:rsid w:val="00641EA5"/>
    <w:rsid w:val="00642484"/>
    <w:rsid w:val="0064256E"/>
    <w:rsid w:val="00643DE1"/>
    <w:rsid w:val="00645499"/>
    <w:rsid w:val="00653431"/>
    <w:rsid w:val="00654E63"/>
    <w:rsid w:val="0065735E"/>
    <w:rsid w:val="00657E13"/>
    <w:rsid w:val="006663D9"/>
    <w:rsid w:val="00667E67"/>
    <w:rsid w:val="00667EE6"/>
    <w:rsid w:val="00671278"/>
    <w:rsid w:val="006755F0"/>
    <w:rsid w:val="00676A0B"/>
    <w:rsid w:val="00676A69"/>
    <w:rsid w:val="00677FB8"/>
    <w:rsid w:val="00680FFD"/>
    <w:rsid w:val="00683C10"/>
    <w:rsid w:val="00684CB3"/>
    <w:rsid w:val="00685446"/>
    <w:rsid w:val="00685804"/>
    <w:rsid w:val="00685E9A"/>
    <w:rsid w:val="0068742C"/>
    <w:rsid w:val="00691CD5"/>
    <w:rsid w:val="0069249F"/>
    <w:rsid w:val="006933AF"/>
    <w:rsid w:val="006936CD"/>
    <w:rsid w:val="00694170"/>
    <w:rsid w:val="0069510D"/>
    <w:rsid w:val="0069590F"/>
    <w:rsid w:val="00697C99"/>
    <w:rsid w:val="00697D0E"/>
    <w:rsid w:val="006A0094"/>
    <w:rsid w:val="006A0255"/>
    <w:rsid w:val="006A2235"/>
    <w:rsid w:val="006A2F16"/>
    <w:rsid w:val="006A3D3F"/>
    <w:rsid w:val="006A3E98"/>
    <w:rsid w:val="006A42C0"/>
    <w:rsid w:val="006A4BCE"/>
    <w:rsid w:val="006A5C41"/>
    <w:rsid w:val="006B1456"/>
    <w:rsid w:val="006B6802"/>
    <w:rsid w:val="006B6FD6"/>
    <w:rsid w:val="006B7AA3"/>
    <w:rsid w:val="006C0764"/>
    <w:rsid w:val="006C10A1"/>
    <w:rsid w:val="006C2A47"/>
    <w:rsid w:val="006C2B35"/>
    <w:rsid w:val="006C374F"/>
    <w:rsid w:val="006C437F"/>
    <w:rsid w:val="006C46A0"/>
    <w:rsid w:val="006C7808"/>
    <w:rsid w:val="006C7C32"/>
    <w:rsid w:val="006D14A0"/>
    <w:rsid w:val="006D3B49"/>
    <w:rsid w:val="006D4E1A"/>
    <w:rsid w:val="006D4F95"/>
    <w:rsid w:val="006D5D8B"/>
    <w:rsid w:val="006D60F4"/>
    <w:rsid w:val="006D6D36"/>
    <w:rsid w:val="006E0C3B"/>
    <w:rsid w:val="006E19EA"/>
    <w:rsid w:val="006E1A58"/>
    <w:rsid w:val="006E30ED"/>
    <w:rsid w:val="006E314C"/>
    <w:rsid w:val="006E5781"/>
    <w:rsid w:val="006E5BD9"/>
    <w:rsid w:val="006F0925"/>
    <w:rsid w:val="006F2034"/>
    <w:rsid w:val="006F3011"/>
    <w:rsid w:val="006F434D"/>
    <w:rsid w:val="006F597B"/>
    <w:rsid w:val="006F5C26"/>
    <w:rsid w:val="006F5C59"/>
    <w:rsid w:val="0070304A"/>
    <w:rsid w:val="007031CE"/>
    <w:rsid w:val="00704C56"/>
    <w:rsid w:val="0070520C"/>
    <w:rsid w:val="00707A85"/>
    <w:rsid w:val="00711B2B"/>
    <w:rsid w:val="00714EDB"/>
    <w:rsid w:val="00715EB4"/>
    <w:rsid w:val="00716046"/>
    <w:rsid w:val="00716B22"/>
    <w:rsid w:val="0072116C"/>
    <w:rsid w:val="00722966"/>
    <w:rsid w:val="00724A80"/>
    <w:rsid w:val="00725DE1"/>
    <w:rsid w:val="0072723E"/>
    <w:rsid w:val="00730824"/>
    <w:rsid w:val="00732FA9"/>
    <w:rsid w:val="007346FA"/>
    <w:rsid w:val="00736406"/>
    <w:rsid w:val="00736605"/>
    <w:rsid w:val="00737B3B"/>
    <w:rsid w:val="007446D4"/>
    <w:rsid w:val="007526AC"/>
    <w:rsid w:val="00753B48"/>
    <w:rsid w:val="00757122"/>
    <w:rsid w:val="0076041D"/>
    <w:rsid w:val="00761A82"/>
    <w:rsid w:val="0076397D"/>
    <w:rsid w:val="00764EA8"/>
    <w:rsid w:val="00765D9A"/>
    <w:rsid w:val="00766FF5"/>
    <w:rsid w:val="00770847"/>
    <w:rsid w:val="00771F31"/>
    <w:rsid w:val="00772BC2"/>
    <w:rsid w:val="00772E81"/>
    <w:rsid w:val="00774093"/>
    <w:rsid w:val="00774575"/>
    <w:rsid w:val="00776CD3"/>
    <w:rsid w:val="00777825"/>
    <w:rsid w:val="007778ED"/>
    <w:rsid w:val="00777DBF"/>
    <w:rsid w:val="00780A0E"/>
    <w:rsid w:val="00782417"/>
    <w:rsid w:val="00782559"/>
    <w:rsid w:val="0078451A"/>
    <w:rsid w:val="007859AD"/>
    <w:rsid w:val="0078685C"/>
    <w:rsid w:val="00790D02"/>
    <w:rsid w:val="00790E2E"/>
    <w:rsid w:val="00791252"/>
    <w:rsid w:val="0079256C"/>
    <w:rsid w:val="00794A54"/>
    <w:rsid w:val="00794E8D"/>
    <w:rsid w:val="007A170E"/>
    <w:rsid w:val="007A3284"/>
    <w:rsid w:val="007A4246"/>
    <w:rsid w:val="007A4261"/>
    <w:rsid w:val="007A45A3"/>
    <w:rsid w:val="007A5CEE"/>
    <w:rsid w:val="007A5E1D"/>
    <w:rsid w:val="007A686E"/>
    <w:rsid w:val="007A6B05"/>
    <w:rsid w:val="007A765D"/>
    <w:rsid w:val="007B3F0F"/>
    <w:rsid w:val="007B5208"/>
    <w:rsid w:val="007B6E0B"/>
    <w:rsid w:val="007B7371"/>
    <w:rsid w:val="007B7603"/>
    <w:rsid w:val="007C0C06"/>
    <w:rsid w:val="007C0FA2"/>
    <w:rsid w:val="007C2A38"/>
    <w:rsid w:val="007C3A15"/>
    <w:rsid w:val="007C416E"/>
    <w:rsid w:val="007C7CB4"/>
    <w:rsid w:val="007D0800"/>
    <w:rsid w:val="007D195B"/>
    <w:rsid w:val="007D1B32"/>
    <w:rsid w:val="007D22D2"/>
    <w:rsid w:val="007D3680"/>
    <w:rsid w:val="007D4376"/>
    <w:rsid w:val="007D5012"/>
    <w:rsid w:val="007D5A34"/>
    <w:rsid w:val="007D5E58"/>
    <w:rsid w:val="007D60D3"/>
    <w:rsid w:val="007D6ADF"/>
    <w:rsid w:val="007E0E21"/>
    <w:rsid w:val="007E1613"/>
    <w:rsid w:val="007E2C89"/>
    <w:rsid w:val="007E3159"/>
    <w:rsid w:val="007E48C9"/>
    <w:rsid w:val="007E59CD"/>
    <w:rsid w:val="007E609C"/>
    <w:rsid w:val="007E7C4A"/>
    <w:rsid w:val="007F320A"/>
    <w:rsid w:val="007F6C25"/>
    <w:rsid w:val="007F6E86"/>
    <w:rsid w:val="008015BA"/>
    <w:rsid w:val="008015C2"/>
    <w:rsid w:val="0080230C"/>
    <w:rsid w:val="00802882"/>
    <w:rsid w:val="00802975"/>
    <w:rsid w:val="00802B9B"/>
    <w:rsid w:val="00806097"/>
    <w:rsid w:val="00806DE9"/>
    <w:rsid w:val="00810A12"/>
    <w:rsid w:val="0081116E"/>
    <w:rsid w:val="00811C81"/>
    <w:rsid w:val="00811D02"/>
    <w:rsid w:val="00813554"/>
    <w:rsid w:val="00813EEE"/>
    <w:rsid w:val="0081597C"/>
    <w:rsid w:val="0081649A"/>
    <w:rsid w:val="00817167"/>
    <w:rsid w:val="00820485"/>
    <w:rsid w:val="00821012"/>
    <w:rsid w:val="008212CA"/>
    <w:rsid w:val="00823670"/>
    <w:rsid w:val="008255D1"/>
    <w:rsid w:val="008260A1"/>
    <w:rsid w:val="00826265"/>
    <w:rsid w:val="008300A9"/>
    <w:rsid w:val="0083101E"/>
    <w:rsid w:val="00834F74"/>
    <w:rsid w:val="00836348"/>
    <w:rsid w:val="008451BE"/>
    <w:rsid w:val="008455C8"/>
    <w:rsid w:val="00845EB9"/>
    <w:rsid w:val="00847F83"/>
    <w:rsid w:val="0085030F"/>
    <w:rsid w:val="0085288F"/>
    <w:rsid w:val="00853C06"/>
    <w:rsid w:val="00853E3D"/>
    <w:rsid w:val="0085560B"/>
    <w:rsid w:val="00856862"/>
    <w:rsid w:val="00862702"/>
    <w:rsid w:val="00863F46"/>
    <w:rsid w:val="0086654C"/>
    <w:rsid w:val="00866613"/>
    <w:rsid w:val="00866D07"/>
    <w:rsid w:val="0086738D"/>
    <w:rsid w:val="00867502"/>
    <w:rsid w:val="00874D67"/>
    <w:rsid w:val="00880B2D"/>
    <w:rsid w:val="00880C5D"/>
    <w:rsid w:val="008815A3"/>
    <w:rsid w:val="008822B0"/>
    <w:rsid w:val="0088272A"/>
    <w:rsid w:val="00885462"/>
    <w:rsid w:val="0088627F"/>
    <w:rsid w:val="008866FE"/>
    <w:rsid w:val="00886883"/>
    <w:rsid w:val="0088791F"/>
    <w:rsid w:val="00887D05"/>
    <w:rsid w:val="008913B8"/>
    <w:rsid w:val="00892A57"/>
    <w:rsid w:val="0089713F"/>
    <w:rsid w:val="008A170A"/>
    <w:rsid w:val="008A1DC3"/>
    <w:rsid w:val="008A1ED7"/>
    <w:rsid w:val="008A2B1B"/>
    <w:rsid w:val="008A2F06"/>
    <w:rsid w:val="008A2F38"/>
    <w:rsid w:val="008A3D6F"/>
    <w:rsid w:val="008A6569"/>
    <w:rsid w:val="008A67B3"/>
    <w:rsid w:val="008B08CB"/>
    <w:rsid w:val="008B0C54"/>
    <w:rsid w:val="008B152C"/>
    <w:rsid w:val="008B215F"/>
    <w:rsid w:val="008B2681"/>
    <w:rsid w:val="008B29DA"/>
    <w:rsid w:val="008B4FD9"/>
    <w:rsid w:val="008B5955"/>
    <w:rsid w:val="008B5A83"/>
    <w:rsid w:val="008B6762"/>
    <w:rsid w:val="008C1E16"/>
    <w:rsid w:val="008C3B8B"/>
    <w:rsid w:val="008C3FF1"/>
    <w:rsid w:val="008C4F77"/>
    <w:rsid w:val="008C6400"/>
    <w:rsid w:val="008D0DDD"/>
    <w:rsid w:val="008D12AB"/>
    <w:rsid w:val="008D1BFD"/>
    <w:rsid w:val="008D2F44"/>
    <w:rsid w:val="008D356E"/>
    <w:rsid w:val="008D4A8A"/>
    <w:rsid w:val="008D6D79"/>
    <w:rsid w:val="008E47AE"/>
    <w:rsid w:val="008E6397"/>
    <w:rsid w:val="008E68B9"/>
    <w:rsid w:val="008E6ABF"/>
    <w:rsid w:val="008E7C06"/>
    <w:rsid w:val="008F10EA"/>
    <w:rsid w:val="008F485C"/>
    <w:rsid w:val="008F6486"/>
    <w:rsid w:val="008F7523"/>
    <w:rsid w:val="008F7777"/>
    <w:rsid w:val="009016CE"/>
    <w:rsid w:val="009032F8"/>
    <w:rsid w:val="0090549C"/>
    <w:rsid w:val="00905FE2"/>
    <w:rsid w:val="00912366"/>
    <w:rsid w:val="009132D3"/>
    <w:rsid w:val="0091675A"/>
    <w:rsid w:val="00920CF2"/>
    <w:rsid w:val="00921A88"/>
    <w:rsid w:val="0092463D"/>
    <w:rsid w:val="009300D7"/>
    <w:rsid w:val="00930287"/>
    <w:rsid w:val="00933233"/>
    <w:rsid w:val="00936536"/>
    <w:rsid w:val="00936D19"/>
    <w:rsid w:val="00941358"/>
    <w:rsid w:val="009423A9"/>
    <w:rsid w:val="00942544"/>
    <w:rsid w:val="009437D4"/>
    <w:rsid w:val="00943F97"/>
    <w:rsid w:val="00944D2E"/>
    <w:rsid w:val="009504C0"/>
    <w:rsid w:val="0095140F"/>
    <w:rsid w:val="00951616"/>
    <w:rsid w:val="0095210A"/>
    <w:rsid w:val="00954340"/>
    <w:rsid w:val="009549D9"/>
    <w:rsid w:val="0095509A"/>
    <w:rsid w:val="00955411"/>
    <w:rsid w:val="009559AE"/>
    <w:rsid w:val="0095654F"/>
    <w:rsid w:val="00961220"/>
    <w:rsid w:val="00961E42"/>
    <w:rsid w:val="009629CF"/>
    <w:rsid w:val="00962B54"/>
    <w:rsid w:val="00964D45"/>
    <w:rsid w:val="00966EAA"/>
    <w:rsid w:val="009712E4"/>
    <w:rsid w:val="00972A33"/>
    <w:rsid w:val="00981238"/>
    <w:rsid w:val="00982EE8"/>
    <w:rsid w:val="00985452"/>
    <w:rsid w:val="00986274"/>
    <w:rsid w:val="00991318"/>
    <w:rsid w:val="00991477"/>
    <w:rsid w:val="009920C1"/>
    <w:rsid w:val="009926C5"/>
    <w:rsid w:val="0099631F"/>
    <w:rsid w:val="00997748"/>
    <w:rsid w:val="009A1D79"/>
    <w:rsid w:val="009A2097"/>
    <w:rsid w:val="009A2174"/>
    <w:rsid w:val="009A7403"/>
    <w:rsid w:val="009B3915"/>
    <w:rsid w:val="009B4095"/>
    <w:rsid w:val="009C2491"/>
    <w:rsid w:val="009C3D5D"/>
    <w:rsid w:val="009C3F72"/>
    <w:rsid w:val="009C44CC"/>
    <w:rsid w:val="009C4E7A"/>
    <w:rsid w:val="009C5577"/>
    <w:rsid w:val="009D2D42"/>
    <w:rsid w:val="009D3F49"/>
    <w:rsid w:val="009D4EB2"/>
    <w:rsid w:val="009D5988"/>
    <w:rsid w:val="009D6B2D"/>
    <w:rsid w:val="009D7BEC"/>
    <w:rsid w:val="009E12EE"/>
    <w:rsid w:val="009E1DB8"/>
    <w:rsid w:val="009E293C"/>
    <w:rsid w:val="009E3675"/>
    <w:rsid w:val="009E498F"/>
    <w:rsid w:val="009E5BC7"/>
    <w:rsid w:val="009E5C9E"/>
    <w:rsid w:val="009F0363"/>
    <w:rsid w:val="009F20F8"/>
    <w:rsid w:val="009F21B1"/>
    <w:rsid w:val="009F5AFA"/>
    <w:rsid w:val="009F5F92"/>
    <w:rsid w:val="00A05BB3"/>
    <w:rsid w:val="00A06F55"/>
    <w:rsid w:val="00A06F9A"/>
    <w:rsid w:val="00A073F0"/>
    <w:rsid w:val="00A07452"/>
    <w:rsid w:val="00A075BD"/>
    <w:rsid w:val="00A11877"/>
    <w:rsid w:val="00A11C8E"/>
    <w:rsid w:val="00A16C8D"/>
    <w:rsid w:val="00A17CBD"/>
    <w:rsid w:val="00A20575"/>
    <w:rsid w:val="00A21283"/>
    <w:rsid w:val="00A24B1E"/>
    <w:rsid w:val="00A27868"/>
    <w:rsid w:val="00A31DEC"/>
    <w:rsid w:val="00A32062"/>
    <w:rsid w:val="00A33C40"/>
    <w:rsid w:val="00A33E02"/>
    <w:rsid w:val="00A350E1"/>
    <w:rsid w:val="00A4055B"/>
    <w:rsid w:val="00A410F8"/>
    <w:rsid w:val="00A41FBB"/>
    <w:rsid w:val="00A45295"/>
    <w:rsid w:val="00A452A6"/>
    <w:rsid w:val="00A454D0"/>
    <w:rsid w:val="00A46321"/>
    <w:rsid w:val="00A52940"/>
    <w:rsid w:val="00A52D09"/>
    <w:rsid w:val="00A55710"/>
    <w:rsid w:val="00A632E4"/>
    <w:rsid w:val="00A6380A"/>
    <w:rsid w:val="00A64D01"/>
    <w:rsid w:val="00A65801"/>
    <w:rsid w:val="00A6655B"/>
    <w:rsid w:val="00A66AEA"/>
    <w:rsid w:val="00A672CF"/>
    <w:rsid w:val="00A701D4"/>
    <w:rsid w:val="00A71F16"/>
    <w:rsid w:val="00A7246F"/>
    <w:rsid w:val="00A738CE"/>
    <w:rsid w:val="00A75122"/>
    <w:rsid w:val="00A77CCE"/>
    <w:rsid w:val="00A80163"/>
    <w:rsid w:val="00A8052C"/>
    <w:rsid w:val="00A82677"/>
    <w:rsid w:val="00A82E2C"/>
    <w:rsid w:val="00A83329"/>
    <w:rsid w:val="00A839D6"/>
    <w:rsid w:val="00A83F3C"/>
    <w:rsid w:val="00A9146E"/>
    <w:rsid w:val="00A93A80"/>
    <w:rsid w:val="00A9589D"/>
    <w:rsid w:val="00A95CFF"/>
    <w:rsid w:val="00A96E13"/>
    <w:rsid w:val="00A97A29"/>
    <w:rsid w:val="00AA368C"/>
    <w:rsid w:val="00AA39B1"/>
    <w:rsid w:val="00AA415C"/>
    <w:rsid w:val="00AA5B06"/>
    <w:rsid w:val="00AA5F3A"/>
    <w:rsid w:val="00AA7030"/>
    <w:rsid w:val="00AA76A1"/>
    <w:rsid w:val="00AB21E5"/>
    <w:rsid w:val="00AB2295"/>
    <w:rsid w:val="00AB2FF8"/>
    <w:rsid w:val="00AB4B49"/>
    <w:rsid w:val="00AB55E2"/>
    <w:rsid w:val="00AB58B2"/>
    <w:rsid w:val="00AB6908"/>
    <w:rsid w:val="00AB7E85"/>
    <w:rsid w:val="00AC03CA"/>
    <w:rsid w:val="00AC1080"/>
    <w:rsid w:val="00AC3C80"/>
    <w:rsid w:val="00AC604E"/>
    <w:rsid w:val="00AC68CA"/>
    <w:rsid w:val="00AC6B2D"/>
    <w:rsid w:val="00AC7BE1"/>
    <w:rsid w:val="00AD04C0"/>
    <w:rsid w:val="00AD0841"/>
    <w:rsid w:val="00AD0E00"/>
    <w:rsid w:val="00AD2A1C"/>
    <w:rsid w:val="00AD5092"/>
    <w:rsid w:val="00AD56FF"/>
    <w:rsid w:val="00AD627E"/>
    <w:rsid w:val="00AD6522"/>
    <w:rsid w:val="00AD68C3"/>
    <w:rsid w:val="00AD7437"/>
    <w:rsid w:val="00AD77F5"/>
    <w:rsid w:val="00AE23FD"/>
    <w:rsid w:val="00AE29A2"/>
    <w:rsid w:val="00AE3255"/>
    <w:rsid w:val="00AE5446"/>
    <w:rsid w:val="00AE63E2"/>
    <w:rsid w:val="00AE67C7"/>
    <w:rsid w:val="00AE7A1A"/>
    <w:rsid w:val="00AF0412"/>
    <w:rsid w:val="00AF2689"/>
    <w:rsid w:val="00AF3E28"/>
    <w:rsid w:val="00AF4EFE"/>
    <w:rsid w:val="00B01E53"/>
    <w:rsid w:val="00B04DC4"/>
    <w:rsid w:val="00B04FA0"/>
    <w:rsid w:val="00B05104"/>
    <w:rsid w:val="00B054BC"/>
    <w:rsid w:val="00B0704A"/>
    <w:rsid w:val="00B0799A"/>
    <w:rsid w:val="00B07A62"/>
    <w:rsid w:val="00B114C2"/>
    <w:rsid w:val="00B11DD6"/>
    <w:rsid w:val="00B12D0A"/>
    <w:rsid w:val="00B13026"/>
    <w:rsid w:val="00B133E4"/>
    <w:rsid w:val="00B13519"/>
    <w:rsid w:val="00B13C67"/>
    <w:rsid w:val="00B14F73"/>
    <w:rsid w:val="00B169FA"/>
    <w:rsid w:val="00B16C26"/>
    <w:rsid w:val="00B175E0"/>
    <w:rsid w:val="00B20478"/>
    <w:rsid w:val="00B2084D"/>
    <w:rsid w:val="00B21827"/>
    <w:rsid w:val="00B23952"/>
    <w:rsid w:val="00B257FB"/>
    <w:rsid w:val="00B2679C"/>
    <w:rsid w:val="00B27AB4"/>
    <w:rsid w:val="00B34FB9"/>
    <w:rsid w:val="00B35366"/>
    <w:rsid w:val="00B3662A"/>
    <w:rsid w:val="00B3765D"/>
    <w:rsid w:val="00B37ACC"/>
    <w:rsid w:val="00B40577"/>
    <w:rsid w:val="00B406F9"/>
    <w:rsid w:val="00B41171"/>
    <w:rsid w:val="00B42DE8"/>
    <w:rsid w:val="00B43F91"/>
    <w:rsid w:val="00B4548B"/>
    <w:rsid w:val="00B52152"/>
    <w:rsid w:val="00B52D71"/>
    <w:rsid w:val="00B53474"/>
    <w:rsid w:val="00B53675"/>
    <w:rsid w:val="00B56054"/>
    <w:rsid w:val="00B56DF3"/>
    <w:rsid w:val="00B56DF9"/>
    <w:rsid w:val="00B570C3"/>
    <w:rsid w:val="00B61609"/>
    <w:rsid w:val="00B624A4"/>
    <w:rsid w:val="00B624C3"/>
    <w:rsid w:val="00B6293C"/>
    <w:rsid w:val="00B6356F"/>
    <w:rsid w:val="00B63D2C"/>
    <w:rsid w:val="00B66A9A"/>
    <w:rsid w:val="00B66B73"/>
    <w:rsid w:val="00B66C67"/>
    <w:rsid w:val="00B70707"/>
    <w:rsid w:val="00B709FA"/>
    <w:rsid w:val="00B71A63"/>
    <w:rsid w:val="00B71FD4"/>
    <w:rsid w:val="00B73136"/>
    <w:rsid w:val="00B74F0C"/>
    <w:rsid w:val="00B75F83"/>
    <w:rsid w:val="00B7668E"/>
    <w:rsid w:val="00B821A0"/>
    <w:rsid w:val="00B83320"/>
    <w:rsid w:val="00B83838"/>
    <w:rsid w:val="00B84325"/>
    <w:rsid w:val="00B8510A"/>
    <w:rsid w:val="00B855E4"/>
    <w:rsid w:val="00B865AF"/>
    <w:rsid w:val="00B867E5"/>
    <w:rsid w:val="00B86A85"/>
    <w:rsid w:val="00B907F4"/>
    <w:rsid w:val="00B90ECD"/>
    <w:rsid w:val="00B96EF5"/>
    <w:rsid w:val="00BA3ABF"/>
    <w:rsid w:val="00BA3B9A"/>
    <w:rsid w:val="00BA46A4"/>
    <w:rsid w:val="00BA5587"/>
    <w:rsid w:val="00BA708C"/>
    <w:rsid w:val="00BB1234"/>
    <w:rsid w:val="00BB12D8"/>
    <w:rsid w:val="00BB17C2"/>
    <w:rsid w:val="00BB289F"/>
    <w:rsid w:val="00BB3FA2"/>
    <w:rsid w:val="00BB4496"/>
    <w:rsid w:val="00BB5003"/>
    <w:rsid w:val="00BB5D2F"/>
    <w:rsid w:val="00BB62D2"/>
    <w:rsid w:val="00BC0208"/>
    <w:rsid w:val="00BC0E6A"/>
    <w:rsid w:val="00BC144A"/>
    <w:rsid w:val="00BC20FB"/>
    <w:rsid w:val="00BC67FC"/>
    <w:rsid w:val="00BC7DD1"/>
    <w:rsid w:val="00BD18AB"/>
    <w:rsid w:val="00BD1F27"/>
    <w:rsid w:val="00BD2A5D"/>
    <w:rsid w:val="00BD4F97"/>
    <w:rsid w:val="00BD50B6"/>
    <w:rsid w:val="00BD5541"/>
    <w:rsid w:val="00BD7070"/>
    <w:rsid w:val="00BD7CD3"/>
    <w:rsid w:val="00BD7EEF"/>
    <w:rsid w:val="00BE5B3D"/>
    <w:rsid w:val="00BF0032"/>
    <w:rsid w:val="00BF1446"/>
    <w:rsid w:val="00BF5BC2"/>
    <w:rsid w:val="00BF6A43"/>
    <w:rsid w:val="00C022B4"/>
    <w:rsid w:val="00C02351"/>
    <w:rsid w:val="00C03976"/>
    <w:rsid w:val="00C05C08"/>
    <w:rsid w:val="00C05C5D"/>
    <w:rsid w:val="00C118AF"/>
    <w:rsid w:val="00C141F5"/>
    <w:rsid w:val="00C15488"/>
    <w:rsid w:val="00C159AE"/>
    <w:rsid w:val="00C15F52"/>
    <w:rsid w:val="00C16120"/>
    <w:rsid w:val="00C20077"/>
    <w:rsid w:val="00C20FF0"/>
    <w:rsid w:val="00C21AA5"/>
    <w:rsid w:val="00C21D02"/>
    <w:rsid w:val="00C23936"/>
    <w:rsid w:val="00C25A71"/>
    <w:rsid w:val="00C300D4"/>
    <w:rsid w:val="00C308DA"/>
    <w:rsid w:val="00C32605"/>
    <w:rsid w:val="00C32D0F"/>
    <w:rsid w:val="00C36CF0"/>
    <w:rsid w:val="00C40C05"/>
    <w:rsid w:val="00C43B41"/>
    <w:rsid w:val="00C43ED2"/>
    <w:rsid w:val="00C46A36"/>
    <w:rsid w:val="00C46CB6"/>
    <w:rsid w:val="00C47941"/>
    <w:rsid w:val="00C518CF"/>
    <w:rsid w:val="00C55120"/>
    <w:rsid w:val="00C5727D"/>
    <w:rsid w:val="00C578D4"/>
    <w:rsid w:val="00C64032"/>
    <w:rsid w:val="00C654BC"/>
    <w:rsid w:val="00C721D3"/>
    <w:rsid w:val="00C73A97"/>
    <w:rsid w:val="00C741C8"/>
    <w:rsid w:val="00C74821"/>
    <w:rsid w:val="00C751E3"/>
    <w:rsid w:val="00C75F0D"/>
    <w:rsid w:val="00C76923"/>
    <w:rsid w:val="00C80418"/>
    <w:rsid w:val="00C81109"/>
    <w:rsid w:val="00C81EE9"/>
    <w:rsid w:val="00C821E7"/>
    <w:rsid w:val="00C8354A"/>
    <w:rsid w:val="00C835CD"/>
    <w:rsid w:val="00C83873"/>
    <w:rsid w:val="00C849AF"/>
    <w:rsid w:val="00C866DE"/>
    <w:rsid w:val="00C91265"/>
    <w:rsid w:val="00C91E71"/>
    <w:rsid w:val="00C926F2"/>
    <w:rsid w:val="00C94107"/>
    <w:rsid w:val="00C94BB5"/>
    <w:rsid w:val="00C94E77"/>
    <w:rsid w:val="00C952EC"/>
    <w:rsid w:val="00C954DE"/>
    <w:rsid w:val="00CA0CEC"/>
    <w:rsid w:val="00CA63F0"/>
    <w:rsid w:val="00CA727B"/>
    <w:rsid w:val="00CB2814"/>
    <w:rsid w:val="00CB2FAB"/>
    <w:rsid w:val="00CB4267"/>
    <w:rsid w:val="00CB5E93"/>
    <w:rsid w:val="00CB6483"/>
    <w:rsid w:val="00CB7906"/>
    <w:rsid w:val="00CC0519"/>
    <w:rsid w:val="00CC053D"/>
    <w:rsid w:val="00CC0546"/>
    <w:rsid w:val="00CC19D5"/>
    <w:rsid w:val="00CC2FB2"/>
    <w:rsid w:val="00CC3318"/>
    <w:rsid w:val="00CC4249"/>
    <w:rsid w:val="00CC5050"/>
    <w:rsid w:val="00CC6C39"/>
    <w:rsid w:val="00CD03AD"/>
    <w:rsid w:val="00CD08C5"/>
    <w:rsid w:val="00CD0E06"/>
    <w:rsid w:val="00CD2EC6"/>
    <w:rsid w:val="00CD3041"/>
    <w:rsid w:val="00CD3D66"/>
    <w:rsid w:val="00CD3F25"/>
    <w:rsid w:val="00CD6664"/>
    <w:rsid w:val="00CD6853"/>
    <w:rsid w:val="00CD7961"/>
    <w:rsid w:val="00CD7E80"/>
    <w:rsid w:val="00CE1615"/>
    <w:rsid w:val="00CE1FC0"/>
    <w:rsid w:val="00CE2B58"/>
    <w:rsid w:val="00CE3197"/>
    <w:rsid w:val="00CE4D42"/>
    <w:rsid w:val="00CE55F7"/>
    <w:rsid w:val="00CF6656"/>
    <w:rsid w:val="00CF6E72"/>
    <w:rsid w:val="00D011DD"/>
    <w:rsid w:val="00D0170E"/>
    <w:rsid w:val="00D01EC9"/>
    <w:rsid w:val="00D03252"/>
    <w:rsid w:val="00D05B91"/>
    <w:rsid w:val="00D10260"/>
    <w:rsid w:val="00D1098D"/>
    <w:rsid w:val="00D10F26"/>
    <w:rsid w:val="00D11BBA"/>
    <w:rsid w:val="00D146AF"/>
    <w:rsid w:val="00D14952"/>
    <w:rsid w:val="00D15348"/>
    <w:rsid w:val="00D1568A"/>
    <w:rsid w:val="00D21180"/>
    <w:rsid w:val="00D21E35"/>
    <w:rsid w:val="00D22CF4"/>
    <w:rsid w:val="00D239C4"/>
    <w:rsid w:val="00D303F7"/>
    <w:rsid w:val="00D30DEC"/>
    <w:rsid w:val="00D31ADE"/>
    <w:rsid w:val="00D33946"/>
    <w:rsid w:val="00D3503F"/>
    <w:rsid w:val="00D40545"/>
    <w:rsid w:val="00D41844"/>
    <w:rsid w:val="00D42269"/>
    <w:rsid w:val="00D42B99"/>
    <w:rsid w:val="00D42CDE"/>
    <w:rsid w:val="00D46272"/>
    <w:rsid w:val="00D47301"/>
    <w:rsid w:val="00D51620"/>
    <w:rsid w:val="00D51C1D"/>
    <w:rsid w:val="00D52FA8"/>
    <w:rsid w:val="00D57049"/>
    <w:rsid w:val="00D6583F"/>
    <w:rsid w:val="00D6750C"/>
    <w:rsid w:val="00D67A8C"/>
    <w:rsid w:val="00D70E03"/>
    <w:rsid w:val="00D71C77"/>
    <w:rsid w:val="00D74B9A"/>
    <w:rsid w:val="00D75E68"/>
    <w:rsid w:val="00D76336"/>
    <w:rsid w:val="00D810A5"/>
    <w:rsid w:val="00D8362E"/>
    <w:rsid w:val="00D83680"/>
    <w:rsid w:val="00D84150"/>
    <w:rsid w:val="00D8445B"/>
    <w:rsid w:val="00D867AD"/>
    <w:rsid w:val="00D87EA9"/>
    <w:rsid w:val="00D87EF8"/>
    <w:rsid w:val="00D91EF3"/>
    <w:rsid w:val="00D91F6F"/>
    <w:rsid w:val="00D925DC"/>
    <w:rsid w:val="00D940E3"/>
    <w:rsid w:val="00D944A0"/>
    <w:rsid w:val="00D95141"/>
    <w:rsid w:val="00D9581A"/>
    <w:rsid w:val="00D95FCD"/>
    <w:rsid w:val="00D967DD"/>
    <w:rsid w:val="00D97A33"/>
    <w:rsid w:val="00DA3A1A"/>
    <w:rsid w:val="00DA5671"/>
    <w:rsid w:val="00DA6BD4"/>
    <w:rsid w:val="00DA76E5"/>
    <w:rsid w:val="00DB0FCA"/>
    <w:rsid w:val="00DB21B4"/>
    <w:rsid w:val="00DB4CAC"/>
    <w:rsid w:val="00DB5924"/>
    <w:rsid w:val="00DB7A07"/>
    <w:rsid w:val="00DC1291"/>
    <w:rsid w:val="00DC3920"/>
    <w:rsid w:val="00DC5A4A"/>
    <w:rsid w:val="00DC6969"/>
    <w:rsid w:val="00DD0C5B"/>
    <w:rsid w:val="00DD188F"/>
    <w:rsid w:val="00DD4539"/>
    <w:rsid w:val="00DD5AC4"/>
    <w:rsid w:val="00DE1243"/>
    <w:rsid w:val="00DE128A"/>
    <w:rsid w:val="00DE13B9"/>
    <w:rsid w:val="00DE26BD"/>
    <w:rsid w:val="00DE272B"/>
    <w:rsid w:val="00DE7FEF"/>
    <w:rsid w:val="00DF323F"/>
    <w:rsid w:val="00DF37D9"/>
    <w:rsid w:val="00DF4BD7"/>
    <w:rsid w:val="00DF516C"/>
    <w:rsid w:val="00DF6E9B"/>
    <w:rsid w:val="00E0004D"/>
    <w:rsid w:val="00E01A28"/>
    <w:rsid w:val="00E02B4F"/>
    <w:rsid w:val="00E02F6A"/>
    <w:rsid w:val="00E03AF0"/>
    <w:rsid w:val="00E064CE"/>
    <w:rsid w:val="00E1013E"/>
    <w:rsid w:val="00E1098D"/>
    <w:rsid w:val="00E1133D"/>
    <w:rsid w:val="00E130E0"/>
    <w:rsid w:val="00E134BC"/>
    <w:rsid w:val="00E13ABA"/>
    <w:rsid w:val="00E14FA3"/>
    <w:rsid w:val="00E20BEA"/>
    <w:rsid w:val="00E250A8"/>
    <w:rsid w:val="00E26FF0"/>
    <w:rsid w:val="00E271E1"/>
    <w:rsid w:val="00E275C7"/>
    <w:rsid w:val="00E34D50"/>
    <w:rsid w:val="00E4012B"/>
    <w:rsid w:val="00E402D9"/>
    <w:rsid w:val="00E40D1F"/>
    <w:rsid w:val="00E448C1"/>
    <w:rsid w:val="00E452DF"/>
    <w:rsid w:val="00E4779C"/>
    <w:rsid w:val="00E5221F"/>
    <w:rsid w:val="00E522A2"/>
    <w:rsid w:val="00E52D3D"/>
    <w:rsid w:val="00E60E5D"/>
    <w:rsid w:val="00E6107F"/>
    <w:rsid w:val="00E6197C"/>
    <w:rsid w:val="00E6438F"/>
    <w:rsid w:val="00E65144"/>
    <w:rsid w:val="00E65642"/>
    <w:rsid w:val="00E70A32"/>
    <w:rsid w:val="00E71604"/>
    <w:rsid w:val="00E71B50"/>
    <w:rsid w:val="00E71D9E"/>
    <w:rsid w:val="00E7336F"/>
    <w:rsid w:val="00E737AC"/>
    <w:rsid w:val="00E757DE"/>
    <w:rsid w:val="00E76670"/>
    <w:rsid w:val="00E803BA"/>
    <w:rsid w:val="00E80C52"/>
    <w:rsid w:val="00E82E4A"/>
    <w:rsid w:val="00E8522D"/>
    <w:rsid w:val="00E86225"/>
    <w:rsid w:val="00E8653B"/>
    <w:rsid w:val="00E869B1"/>
    <w:rsid w:val="00E86F48"/>
    <w:rsid w:val="00E87F36"/>
    <w:rsid w:val="00E90B6E"/>
    <w:rsid w:val="00E90BE8"/>
    <w:rsid w:val="00E92565"/>
    <w:rsid w:val="00E958DB"/>
    <w:rsid w:val="00E96E78"/>
    <w:rsid w:val="00E97552"/>
    <w:rsid w:val="00EA0C1F"/>
    <w:rsid w:val="00EB006C"/>
    <w:rsid w:val="00EB28E0"/>
    <w:rsid w:val="00EB293D"/>
    <w:rsid w:val="00EB3CE9"/>
    <w:rsid w:val="00EB5A52"/>
    <w:rsid w:val="00EB60E1"/>
    <w:rsid w:val="00EB675C"/>
    <w:rsid w:val="00EC0FCC"/>
    <w:rsid w:val="00EC2A89"/>
    <w:rsid w:val="00EC4FBC"/>
    <w:rsid w:val="00EC50FB"/>
    <w:rsid w:val="00EC52C5"/>
    <w:rsid w:val="00EC6325"/>
    <w:rsid w:val="00EC691C"/>
    <w:rsid w:val="00EC7906"/>
    <w:rsid w:val="00EC794B"/>
    <w:rsid w:val="00EC7CD0"/>
    <w:rsid w:val="00ED1109"/>
    <w:rsid w:val="00ED2227"/>
    <w:rsid w:val="00ED2A55"/>
    <w:rsid w:val="00ED3548"/>
    <w:rsid w:val="00ED56C9"/>
    <w:rsid w:val="00ED6651"/>
    <w:rsid w:val="00ED6968"/>
    <w:rsid w:val="00EE059B"/>
    <w:rsid w:val="00EE0DF2"/>
    <w:rsid w:val="00EE1F81"/>
    <w:rsid w:val="00EE3075"/>
    <w:rsid w:val="00EE498E"/>
    <w:rsid w:val="00EE4F81"/>
    <w:rsid w:val="00EE5F46"/>
    <w:rsid w:val="00EE6DF5"/>
    <w:rsid w:val="00EE77A9"/>
    <w:rsid w:val="00EE7859"/>
    <w:rsid w:val="00EF1D32"/>
    <w:rsid w:val="00EF30C0"/>
    <w:rsid w:val="00EF343B"/>
    <w:rsid w:val="00EF3681"/>
    <w:rsid w:val="00EF41AD"/>
    <w:rsid w:val="00EF5166"/>
    <w:rsid w:val="00EF60BE"/>
    <w:rsid w:val="00EF6AEB"/>
    <w:rsid w:val="00F00774"/>
    <w:rsid w:val="00F0103B"/>
    <w:rsid w:val="00F01108"/>
    <w:rsid w:val="00F015AB"/>
    <w:rsid w:val="00F028C4"/>
    <w:rsid w:val="00F05999"/>
    <w:rsid w:val="00F06F31"/>
    <w:rsid w:val="00F076AC"/>
    <w:rsid w:val="00F103FB"/>
    <w:rsid w:val="00F12721"/>
    <w:rsid w:val="00F12C82"/>
    <w:rsid w:val="00F14A1A"/>
    <w:rsid w:val="00F16B73"/>
    <w:rsid w:val="00F16FB4"/>
    <w:rsid w:val="00F171C1"/>
    <w:rsid w:val="00F20412"/>
    <w:rsid w:val="00F20587"/>
    <w:rsid w:val="00F234D0"/>
    <w:rsid w:val="00F24383"/>
    <w:rsid w:val="00F24FB6"/>
    <w:rsid w:val="00F25C1C"/>
    <w:rsid w:val="00F3153B"/>
    <w:rsid w:val="00F3300A"/>
    <w:rsid w:val="00F36048"/>
    <w:rsid w:val="00F36208"/>
    <w:rsid w:val="00F3726A"/>
    <w:rsid w:val="00F3747A"/>
    <w:rsid w:val="00F40B8A"/>
    <w:rsid w:val="00F40D66"/>
    <w:rsid w:val="00F42E1A"/>
    <w:rsid w:val="00F4792B"/>
    <w:rsid w:val="00F508B4"/>
    <w:rsid w:val="00F52277"/>
    <w:rsid w:val="00F53A0A"/>
    <w:rsid w:val="00F541BC"/>
    <w:rsid w:val="00F56510"/>
    <w:rsid w:val="00F5761D"/>
    <w:rsid w:val="00F61766"/>
    <w:rsid w:val="00F639E5"/>
    <w:rsid w:val="00F65ED2"/>
    <w:rsid w:val="00F66213"/>
    <w:rsid w:val="00F67891"/>
    <w:rsid w:val="00F73162"/>
    <w:rsid w:val="00F73B14"/>
    <w:rsid w:val="00F747AC"/>
    <w:rsid w:val="00F74BEB"/>
    <w:rsid w:val="00F7532B"/>
    <w:rsid w:val="00F75C6A"/>
    <w:rsid w:val="00F8000C"/>
    <w:rsid w:val="00F815BF"/>
    <w:rsid w:val="00F8416A"/>
    <w:rsid w:val="00F84248"/>
    <w:rsid w:val="00F865FB"/>
    <w:rsid w:val="00F87258"/>
    <w:rsid w:val="00F9263D"/>
    <w:rsid w:val="00F9502F"/>
    <w:rsid w:val="00F95A85"/>
    <w:rsid w:val="00F9771D"/>
    <w:rsid w:val="00F9797B"/>
    <w:rsid w:val="00F97FC1"/>
    <w:rsid w:val="00FA067B"/>
    <w:rsid w:val="00FA5E2D"/>
    <w:rsid w:val="00FA6B7F"/>
    <w:rsid w:val="00FA6F6D"/>
    <w:rsid w:val="00FA7EC5"/>
    <w:rsid w:val="00FB2902"/>
    <w:rsid w:val="00FB2AC3"/>
    <w:rsid w:val="00FB3F9A"/>
    <w:rsid w:val="00FB45C0"/>
    <w:rsid w:val="00FB5673"/>
    <w:rsid w:val="00FC0104"/>
    <w:rsid w:val="00FC1F73"/>
    <w:rsid w:val="00FC3A2E"/>
    <w:rsid w:val="00FC456D"/>
    <w:rsid w:val="00FC4908"/>
    <w:rsid w:val="00FC55DA"/>
    <w:rsid w:val="00FC5BF8"/>
    <w:rsid w:val="00FC6212"/>
    <w:rsid w:val="00FC7430"/>
    <w:rsid w:val="00FD0A0F"/>
    <w:rsid w:val="00FD110D"/>
    <w:rsid w:val="00FD2CC7"/>
    <w:rsid w:val="00FD646C"/>
    <w:rsid w:val="00FE05A7"/>
    <w:rsid w:val="00FE2415"/>
    <w:rsid w:val="00FE2C2B"/>
    <w:rsid w:val="00FE3792"/>
    <w:rsid w:val="00FE38B4"/>
    <w:rsid w:val="00FE4E1A"/>
    <w:rsid w:val="00FE51BB"/>
    <w:rsid w:val="00FE6A07"/>
    <w:rsid w:val="00FF1FA1"/>
    <w:rsid w:val="00FF3D9A"/>
    <w:rsid w:val="00FF634E"/>
    <w:rsid w:val="00FF68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66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C3198"/>
    <w:rPr>
      <w:lang w:eastAsia="en-US"/>
    </w:rPr>
  </w:style>
  <w:style w:type="paragraph" w:styleId="Nadpis2">
    <w:name w:val="heading 2"/>
    <w:basedOn w:val="Normlny"/>
    <w:next w:val="Normlny"/>
    <w:qFormat/>
    <w:rsid w:val="001C3198"/>
    <w:pPr>
      <w:keepNext/>
      <w:outlineLvl w:val="1"/>
    </w:pPr>
    <w:rPr>
      <w:b/>
      <w:i/>
      <w:sz w:val="22"/>
    </w:rPr>
  </w:style>
  <w:style w:type="paragraph" w:styleId="Nadpis3">
    <w:name w:val="heading 3"/>
    <w:basedOn w:val="Normlny"/>
    <w:next w:val="Normlny"/>
    <w:qFormat/>
    <w:rsid w:val="001C3198"/>
    <w:pPr>
      <w:keepNext/>
      <w:outlineLvl w:val="2"/>
    </w:pPr>
    <w:rPr>
      <w: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1C3198"/>
    <w:pPr>
      <w:tabs>
        <w:tab w:val="center" w:pos="4536"/>
        <w:tab w:val="right" w:pos="9072"/>
      </w:tabs>
    </w:pPr>
  </w:style>
  <w:style w:type="character" w:styleId="slostrany">
    <w:name w:val="page number"/>
    <w:basedOn w:val="Predvolenpsmoodseku"/>
    <w:rsid w:val="001C3198"/>
  </w:style>
  <w:style w:type="paragraph" w:styleId="Hlavika">
    <w:name w:val="header"/>
    <w:basedOn w:val="Normlny"/>
    <w:rsid w:val="001C3198"/>
    <w:pPr>
      <w:tabs>
        <w:tab w:val="center" w:pos="4536"/>
        <w:tab w:val="right" w:pos="9072"/>
      </w:tabs>
    </w:pPr>
  </w:style>
  <w:style w:type="paragraph" w:styleId="Zkladntext">
    <w:name w:val="Body Text"/>
    <w:basedOn w:val="Normlny"/>
    <w:rsid w:val="001C3198"/>
    <w:pPr>
      <w:jc w:val="both"/>
    </w:pPr>
    <w:rPr>
      <w:sz w:val="22"/>
    </w:rPr>
  </w:style>
  <w:style w:type="paragraph" w:customStyle="1" w:styleId="Texttelo">
    <w:name w:val="Text telo"/>
    <w:rsid w:val="001C3198"/>
    <w:pPr>
      <w:tabs>
        <w:tab w:val="left" w:pos="170"/>
      </w:tabs>
      <w:jc w:val="both"/>
    </w:pPr>
    <w:rPr>
      <w:rFonts w:ascii="TimesE" w:hAnsi="TimesE"/>
      <w:color w:val="000000"/>
      <w:spacing w:val="15"/>
      <w:sz w:val="16"/>
      <w:lang w:val="cs-CZ" w:eastAsia="en-US"/>
    </w:rPr>
  </w:style>
  <w:style w:type="paragraph" w:styleId="Zkladntext2">
    <w:name w:val="Body Text 2"/>
    <w:basedOn w:val="Normlny"/>
    <w:rsid w:val="001C3198"/>
    <w:rPr>
      <w:sz w:val="22"/>
    </w:rPr>
  </w:style>
  <w:style w:type="paragraph" w:customStyle="1" w:styleId="Text">
    <w:name w:val="Text"/>
    <w:basedOn w:val="Normlny"/>
    <w:link w:val="TextChar"/>
    <w:rsid w:val="001C3198"/>
    <w:pPr>
      <w:spacing w:before="120"/>
      <w:jc w:val="both"/>
    </w:pPr>
    <w:rPr>
      <w:sz w:val="24"/>
      <w:lang w:val="en-US"/>
    </w:rPr>
  </w:style>
  <w:style w:type="character" w:customStyle="1" w:styleId="TextChar">
    <w:name w:val="Text Char"/>
    <w:link w:val="Text"/>
    <w:rsid w:val="001C3198"/>
    <w:rPr>
      <w:sz w:val="24"/>
      <w:lang w:val="en-US" w:eastAsia="en-US" w:bidi="ar-SA"/>
    </w:rPr>
  </w:style>
  <w:style w:type="paragraph" w:customStyle="1" w:styleId="Table">
    <w:name w:val="Table"/>
    <w:basedOn w:val="Normlny"/>
    <w:rsid w:val="001C3198"/>
    <w:pPr>
      <w:keepLines/>
      <w:tabs>
        <w:tab w:val="left" w:pos="284"/>
      </w:tabs>
      <w:spacing w:before="40" w:after="20"/>
    </w:pPr>
    <w:rPr>
      <w:rFonts w:ascii="Arial" w:hAnsi="Arial"/>
      <w:lang w:val="en-US"/>
    </w:rPr>
  </w:style>
  <w:style w:type="paragraph" w:customStyle="1" w:styleId="table0">
    <w:name w:val="table"/>
    <w:basedOn w:val="Normlny"/>
    <w:rsid w:val="001C3198"/>
    <w:pPr>
      <w:keepNext/>
      <w:keepLines/>
      <w:tabs>
        <w:tab w:val="left" w:pos="284"/>
      </w:tabs>
      <w:spacing w:before="60" w:after="60"/>
    </w:pPr>
    <w:rPr>
      <w:rFonts w:ascii="Arial" w:hAnsi="Arial"/>
      <w:lang w:val="en-GB"/>
    </w:rPr>
  </w:style>
  <w:style w:type="paragraph" w:styleId="Textbubliny">
    <w:name w:val="Balloon Text"/>
    <w:basedOn w:val="Normlny"/>
    <w:semiHidden/>
    <w:rsid w:val="00300E95"/>
    <w:rPr>
      <w:rFonts w:ascii="Tahoma" w:hAnsi="Tahoma" w:cs="Tahoma"/>
      <w:sz w:val="16"/>
      <w:szCs w:val="16"/>
    </w:rPr>
  </w:style>
  <w:style w:type="character" w:styleId="Odkaznakomentr">
    <w:name w:val="annotation reference"/>
    <w:semiHidden/>
    <w:rsid w:val="00FA067B"/>
    <w:rPr>
      <w:sz w:val="16"/>
      <w:szCs w:val="16"/>
    </w:rPr>
  </w:style>
  <w:style w:type="paragraph" w:styleId="Textkomentra">
    <w:name w:val="annotation text"/>
    <w:basedOn w:val="Normlny"/>
    <w:semiHidden/>
    <w:rsid w:val="00FA067B"/>
  </w:style>
  <w:style w:type="paragraph" w:styleId="Predmetkomentra">
    <w:name w:val="annotation subject"/>
    <w:basedOn w:val="Textkomentra"/>
    <w:next w:val="Textkomentra"/>
    <w:semiHidden/>
    <w:rsid w:val="00FA067B"/>
    <w:rPr>
      <w:b/>
      <w:bCs/>
    </w:rPr>
  </w:style>
  <w:style w:type="character" w:customStyle="1" w:styleId="st1">
    <w:name w:val="st1"/>
    <w:basedOn w:val="Predvolenpsmoodseku"/>
    <w:rsid w:val="00811C81"/>
  </w:style>
  <w:style w:type="character" w:styleId="Hypertextovprepojenie">
    <w:name w:val="Hyperlink"/>
    <w:rsid w:val="00610C9F"/>
    <w:rPr>
      <w:color w:val="0000FF"/>
      <w:u w:val="single"/>
    </w:rPr>
  </w:style>
  <w:style w:type="paragraph" w:customStyle="1" w:styleId="Default">
    <w:name w:val="Default"/>
    <w:rsid w:val="00CC3318"/>
    <w:pPr>
      <w:autoSpaceDE w:val="0"/>
      <w:autoSpaceDN w:val="0"/>
      <w:adjustRightInd w:val="0"/>
    </w:pPr>
    <w:rPr>
      <w:lang w:val="en-US" w:eastAsia="en-US"/>
    </w:rPr>
  </w:style>
  <w:style w:type="paragraph" w:customStyle="1" w:styleId="Reference">
    <w:name w:val="Reference"/>
    <w:basedOn w:val="Normlny"/>
    <w:rsid w:val="00C91265"/>
    <w:pPr>
      <w:keepLines/>
      <w:spacing w:before="80" w:after="60"/>
    </w:pPr>
    <w:rPr>
      <w:rFonts w:eastAsia="MS Mincho"/>
      <w:sz w:val="24"/>
      <w:lang w:val="en-US" w:eastAsia="zh-CN"/>
    </w:rPr>
  </w:style>
  <w:style w:type="character" w:customStyle="1" w:styleId="text0">
    <w:name w:val="text"/>
    <w:basedOn w:val="Predvolenpsmoodseku"/>
    <w:rsid w:val="008B29DA"/>
  </w:style>
  <w:style w:type="character" w:customStyle="1" w:styleId="PtaChar">
    <w:name w:val="Päta Char"/>
    <w:basedOn w:val="Predvolenpsmoodseku"/>
    <w:link w:val="Pta"/>
    <w:uiPriority w:val="99"/>
    <w:rsid w:val="0041099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C3198"/>
    <w:rPr>
      <w:lang w:eastAsia="en-US"/>
    </w:rPr>
  </w:style>
  <w:style w:type="paragraph" w:styleId="Nadpis2">
    <w:name w:val="heading 2"/>
    <w:basedOn w:val="Normlny"/>
    <w:next w:val="Normlny"/>
    <w:qFormat/>
    <w:rsid w:val="001C3198"/>
    <w:pPr>
      <w:keepNext/>
      <w:outlineLvl w:val="1"/>
    </w:pPr>
    <w:rPr>
      <w:b/>
      <w:i/>
      <w:sz w:val="22"/>
    </w:rPr>
  </w:style>
  <w:style w:type="paragraph" w:styleId="Nadpis3">
    <w:name w:val="heading 3"/>
    <w:basedOn w:val="Normlny"/>
    <w:next w:val="Normlny"/>
    <w:qFormat/>
    <w:rsid w:val="001C3198"/>
    <w:pPr>
      <w:keepNext/>
      <w:outlineLvl w:val="2"/>
    </w:pPr>
    <w:rPr>
      <w: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1C3198"/>
    <w:pPr>
      <w:tabs>
        <w:tab w:val="center" w:pos="4536"/>
        <w:tab w:val="right" w:pos="9072"/>
      </w:tabs>
    </w:pPr>
  </w:style>
  <w:style w:type="character" w:styleId="slostrany">
    <w:name w:val="page number"/>
    <w:basedOn w:val="Predvolenpsmoodseku"/>
    <w:rsid w:val="001C3198"/>
  </w:style>
  <w:style w:type="paragraph" w:styleId="Hlavika">
    <w:name w:val="header"/>
    <w:basedOn w:val="Normlny"/>
    <w:rsid w:val="001C3198"/>
    <w:pPr>
      <w:tabs>
        <w:tab w:val="center" w:pos="4536"/>
        <w:tab w:val="right" w:pos="9072"/>
      </w:tabs>
    </w:pPr>
  </w:style>
  <w:style w:type="paragraph" w:styleId="Zkladntext">
    <w:name w:val="Body Text"/>
    <w:basedOn w:val="Normlny"/>
    <w:rsid w:val="001C3198"/>
    <w:pPr>
      <w:jc w:val="both"/>
    </w:pPr>
    <w:rPr>
      <w:sz w:val="22"/>
    </w:rPr>
  </w:style>
  <w:style w:type="paragraph" w:customStyle="1" w:styleId="Texttelo">
    <w:name w:val="Text telo"/>
    <w:rsid w:val="001C3198"/>
    <w:pPr>
      <w:tabs>
        <w:tab w:val="left" w:pos="170"/>
      </w:tabs>
      <w:jc w:val="both"/>
    </w:pPr>
    <w:rPr>
      <w:rFonts w:ascii="TimesE" w:hAnsi="TimesE"/>
      <w:color w:val="000000"/>
      <w:spacing w:val="15"/>
      <w:sz w:val="16"/>
      <w:lang w:val="cs-CZ" w:eastAsia="en-US"/>
    </w:rPr>
  </w:style>
  <w:style w:type="paragraph" w:styleId="Zkladntext2">
    <w:name w:val="Body Text 2"/>
    <w:basedOn w:val="Normlny"/>
    <w:rsid w:val="001C3198"/>
    <w:rPr>
      <w:sz w:val="22"/>
    </w:rPr>
  </w:style>
  <w:style w:type="paragraph" w:customStyle="1" w:styleId="Text">
    <w:name w:val="Text"/>
    <w:basedOn w:val="Normlny"/>
    <w:link w:val="TextChar"/>
    <w:rsid w:val="001C3198"/>
    <w:pPr>
      <w:spacing w:before="120"/>
      <w:jc w:val="both"/>
    </w:pPr>
    <w:rPr>
      <w:sz w:val="24"/>
      <w:lang w:val="en-US"/>
    </w:rPr>
  </w:style>
  <w:style w:type="character" w:customStyle="1" w:styleId="TextChar">
    <w:name w:val="Text Char"/>
    <w:link w:val="Text"/>
    <w:rsid w:val="001C3198"/>
    <w:rPr>
      <w:sz w:val="24"/>
      <w:lang w:val="en-US" w:eastAsia="en-US" w:bidi="ar-SA"/>
    </w:rPr>
  </w:style>
  <w:style w:type="paragraph" w:customStyle="1" w:styleId="Table">
    <w:name w:val="Table"/>
    <w:basedOn w:val="Normlny"/>
    <w:rsid w:val="001C3198"/>
    <w:pPr>
      <w:keepLines/>
      <w:tabs>
        <w:tab w:val="left" w:pos="284"/>
      </w:tabs>
      <w:spacing w:before="40" w:after="20"/>
    </w:pPr>
    <w:rPr>
      <w:rFonts w:ascii="Arial" w:hAnsi="Arial"/>
      <w:lang w:val="en-US"/>
    </w:rPr>
  </w:style>
  <w:style w:type="paragraph" w:customStyle="1" w:styleId="table0">
    <w:name w:val="table"/>
    <w:basedOn w:val="Normlny"/>
    <w:rsid w:val="001C3198"/>
    <w:pPr>
      <w:keepNext/>
      <w:keepLines/>
      <w:tabs>
        <w:tab w:val="left" w:pos="284"/>
      </w:tabs>
      <w:spacing w:before="60" w:after="60"/>
    </w:pPr>
    <w:rPr>
      <w:rFonts w:ascii="Arial" w:hAnsi="Arial"/>
      <w:lang w:val="en-GB"/>
    </w:rPr>
  </w:style>
  <w:style w:type="paragraph" w:styleId="Textbubliny">
    <w:name w:val="Balloon Text"/>
    <w:basedOn w:val="Normlny"/>
    <w:semiHidden/>
    <w:rsid w:val="00300E95"/>
    <w:rPr>
      <w:rFonts w:ascii="Tahoma" w:hAnsi="Tahoma" w:cs="Tahoma"/>
      <w:sz w:val="16"/>
      <w:szCs w:val="16"/>
    </w:rPr>
  </w:style>
  <w:style w:type="character" w:styleId="Odkaznakomentr">
    <w:name w:val="annotation reference"/>
    <w:semiHidden/>
    <w:rsid w:val="00FA067B"/>
    <w:rPr>
      <w:sz w:val="16"/>
      <w:szCs w:val="16"/>
    </w:rPr>
  </w:style>
  <w:style w:type="paragraph" w:styleId="Textkomentra">
    <w:name w:val="annotation text"/>
    <w:basedOn w:val="Normlny"/>
    <w:semiHidden/>
    <w:rsid w:val="00FA067B"/>
  </w:style>
  <w:style w:type="paragraph" w:styleId="Predmetkomentra">
    <w:name w:val="annotation subject"/>
    <w:basedOn w:val="Textkomentra"/>
    <w:next w:val="Textkomentra"/>
    <w:semiHidden/>
    <w:rsid w:val="00FA067B"/>
    <w:rPr>
      <w:b/>
      <w:bCs/>
    </w:rPr>
  </w:style>
  <w:style w:type="character" w:customStyle="1" w:styleId="st1">
    <w:name w:val="st1"/>
    <w:basedOn w:val="Predvolenpsmoodseku"/>
    <w:rsid w:val="00811C81"/>
  </w:style>
  <w:style w:type="character" w:styleId="Hypertextovprepojenie">
    <w:name w:val="Hyperlink"/>
    <w:rsid w:val="00610C9F"/>
    <w:rPr>
      <w:color w:val="0000FF"/>
      <w:u w:val="single"/>
    </w:rPr>
  </w:style>
  <w:style w:type="paragraph" w:customStyle="1" w:styleId="Default">
    <w:name w:val="Default"/>
    <w:rsid w:val="00CC3318"/>
    <w:pPr>
      <w:autoSpaceDE w:val="0"/>
      <w:autoSpaceDN w:val="0"/>
      <w:adjustRightInd w:val="0"/>
    </w:pPr>
    <w:rPr>
      <w:lang w:val="en-US" w:eastAsia="en-US"/>
    </w:rPr>
  </w:style>
  <w:style w:type="paragraph" w:customStyle="1" w:styleId="Reference">
    <w:name w:val="Reference"/>
    <w:basedOn w:val="Normlny"/>
    <w:rsid w:val="00C91265"/>
    <w:pPr>
      <w:keepLines/>
      <w:spacing w:before="80" w:after="60"/>
    </w:pPr>
    <w:rPr>
      <w:rFonts w:eastAsia="MS Mincho"/>
      <w:sz w:val="24"/>
      <w:lang w:val="en-US" w:eastAsia="zh-CN"/>
    </w:rPr>
  </w:style>
  <w:style w:type="character" w:customStyle="1" w:styleId="text0">
    <w:name w:val="text"/>
    <w:basedOn w:val="Predvolenpsmoodseku"/>
    <w:rsid w:val="008B29DA"/>
  </w:style>
  <w:style w:type="character" w:customStyle="1" w:styleId="PtaChar">
    <w:name w:val="Päta Char"/>
    <w:basedOn w:val="Predvolenpsmoodseku"/>
    <w:link w:val="Pta"/>
    <w:uiPriority w:val="99"/>
    <w:rsid w:val="004109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6092</Words>
  <Characters>38691</Characters>
  <Application>Microsoft Office Word</Application>
  <DocSecurity>0</DocSecurity>
  <Lines>322</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Novartis</Company>
  <LinksUpToDate>false</LinksUpToDate>
  <CharactersWithSpaces>44694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Silvia Manduchová</dc:creator>
  <cp:lastModifiedBy>Natalia </cp:lastModifiedBy>
  <cp:revision>3</cp:revision>
  <cp:lastPrinted>2019-02-14T14:31:00Z</cp:lastPrinted>
  <dcterms:created xsi:type="dcterms:W3CDTF">2019-02-14T14:20:00Z</dcterms:created>
  <dcterms:modified xsi:type="dcterms:W3CDTF">2019-02-14T14:31:00Z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JOZSOMI1@novartis.net</vt:lpwstr>
  </property>
  <property fmtid="{D5CDD505-2E9C-101B-9397-08002B2CF9AE}" pid="5" name="MSIP_Label_4929bff8-5b33-42aa-95d2-28f72e792cb0_SetDate">
    <vt:lpwstr>2018-11-21T13:39:32.9101816Z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