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CFF52" w14:textId="56FB50CC" w:rsidR="00285AB3" w:rsidRDefault="00285AB3" w:rsidP="00DC580E">
      <w:pPr>
        <w:keepNext/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SÚHRN CHARAKTERISTICKÝCH VLASTNOSTÍ LIEKU</w:t>
      </w:r>
    </w:p>
    <w:p w14:paraId="02579953" w14:textId="77777777" w:rsidR="00285AB3" w:rsidRDefault="00285AB3" w:rsidP="00DC580E">
      <w:pPr>
        <w:keepNext/>
        <w:keepLines/>
        <w:jc w:val="center"/>
        <w:rPr>
          <w:b/>
          <w:sz w:val="22"/>
          <w:szCs w:val="22"/>
        </w:rPr>
      </w:pPr>
    </w:p>
    <w:p w14:paraId="75A1B840" w14:textId="77777777" w:rsidR="00285AB3" w:rsidRDefault="00285AB3" w:rsidP="00DC580E">
      <w:pPr>
        <w:keepNext/>
        <w:keepLines/>
        <w:jc w:val="center"/>
        <w:rPr>
          <w:b/>
          <w:sz w:val="22"/>
          <w:szCs w:val="22"/>
        </w:rPr>
      </w:pPr>
    </w:p>
    <w:p w14:paraId="5243A142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  <w:r w:rsidRPr="004D1FDE">
        <w:rPr>
          <w:b/>
          <w:sz w:val="22"/>
          <w:szCs w:val="22"/>
        </w:rPr>
        <w:t>1.</w:t>
      </w:r>
      <w:r w:rsidRPr="004D1FDE">
        <w:rPr>
          <w:b/>
          <w:sz w:val="22"/>
          <w:szCs w:val="22"/>
        </w:rPr>
        <w:tab/>
        <w:t>NÁZOV LIEKU</w:t>
      </w:r>
    </w:p>
    <w:p w14:paraId="078E32E1" w14:textId="77777777" w:rsidR="0081018A" w:rsidRPr="004D1FDE" w:rsidRDefault="0081018A" w:rsidP="0081018A">
      <w:pPr>
        <w:keepNext/>
        <w:keepLines/>
        <w:rPr>
          <w:iCs/>
          <w:sz w:val="22"/>
          <w:szCs w:val="22"/>
        </w:rPr>
      </w:pPr>
    </w:p>
    <w:p w14:paraId="2259B583" w14:textId="1239BE1A" w:rsidR="009249B3" w:rsidRDefault="009249B3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Viglita</w:t>
      </w:r>
    </w:p>
    <w:p w14:paraId="156BFBC7" w14:textId="0128D418" w:rsidR="0081018A" w:rsidRPr="004D1FDE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50 mg </w:t>
      </w:r>
      <w:r w:rsidRPr="004D1FDE">
        <w:rPr>
          <w:sz w:val="22"/>
          <w:szCs w:val="22"/>
        </w:rPr>
        <w:t>tablety</w:t>
      </w:r>
    </w:p>
    <w:p w14:paraId="6AA6BD75" w14:textId="77777777" w:rsidR="0081018A" w:rsidRPr="004D1FDE" w:rsidRDefault="0081018A" w:rsidP="008101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BF2C3D" w14:textId="77777777" w:rsidR="0081018A" w:rsidRPr="004D1FDE" w:rsidRDefault="0081018A" w:rsidP="0081018A">
      <w:pPr>
        <w:widowControl w:val="0"/>
        <w:rPr>
          <w:bCs/>
          <w:sz w:val="22"/>
          <w:szCs w:val="22"/>
        </w:rPr>
      </w:pPr>
    </w:p>
    <w:p w14:paraId="5610E7DE" w14:textId="77777777" w:rsidR="0081018A" w:rsidRPr="004D1FDE" w:rsidRDefault="0081018A" w:rsidP="0081018A">
      <w:pPr>
        <w:keepNext/>
        <w:widowControl w:val="0"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2.</w:t>
      </w:r>
      <w:r w:rsidRPr="004D1FDE">
        <w:rPr>
          <w:b/>
          <w:sz w:val="22"/>
          <w:szCs w:val="22"/>
        </w:rPr>
        <w:tab/>
        <w:t>KVALITATÍVNE A KVANTITATÍVNE ZLOŽENIE</w:t>
      </w:r>
    </w:p>
    <w:p w14:paraId="619C02F8" w14:textId="77777777" w:rsidR="0081018A" w:rsidRPr="004D1FDE" w:rsidRDefault="0081018A" w:rsidP="0081018A">
      <w:pPr>
        <w:keepNext/>
        <w:widowControl w:val="0"/>
        <w:rPr>
          <w:bCs/>
          <w:sz w:val="22"/>
          <w:szCs w:val="22"/>
        </w:rPr>
      </w:pPr>
    </w:p>
    <w:p w14:paraId="392ABD56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 xml:space="preserve">Každá tableta obsahuje </w:t>
      </w:r>
      <w:r>
        <w:rPr>
          <w:sz w:val="22"/>
          <w:szCs w:val="22"/>
        </w:rPr>
        <w:t>50 mg vildagliptínu.</w:t>
      </w:r>
    </w:p>
    <w:p w14:paraId="37AE4C88" w14:textId="77777777" w:rsidR="0081018A" w:rsidRPr="004D1FDE" w:rsidRDefault="0081018A" w:rsidP="0081018A">
      <w:pPr>
        <w:autoSpaceDE w:val="0"/>
        <w:autoSpaceDN w:val="0"/>
        <w:adjustRightInd w:val="0"/>
        <w:rPr>
          <w:sz w:val="22"/>
          <w:szCs w:val="22"/>
        </w:rPr>
      </w:pPr>
    </w:p>
    <w:p w14:paraId="7E0027A4" w14:textId="6699F48C" w:rsidR="0081018A" w:rsidRPr="001474C3" w:rsidRDefault="009249B3" w:rsidP="0081018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>Pomocné</w:t>
      </w:r>
      <w:r w:rsidR="0081018A" w:rsidRPr="001474C3">
        <w:rPr>
          <w:sz w:val="22"/>
          <w:szCs w:val="22"/>
          <w:u w:val="single"/>
        </w:rPr>
        <w:t xml:space="preserve"> látk</w:t>
      </w:r>
      <w:r>
        <w:rPr>
          <w:sz w:val="22"/>
          <w:szCs w:val="22"/>
          <w:u w:val="single"/>
        </w:rPr>
        <w:t>y</w:t>
      </w:r>
      <w:r w:rsidR="0081018A" w:rsidRPr="001474C3">
        <w:rPr>
          <w:sz w:val="22"/>
          <w:szCs w:val="22"/>
          <w:u w:val="single"/>
        </w:rPr>
        <w:t xml:space="preserve"> so známym účinkom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k</w:t>
      </w:r>
      <w:r w:rsidR="0081018A" w:rsidRPr="001474C3">
        <w:rPr>
          <w:sz w:val="22"/>
          <w:szCs w:val="22"/>
        </w:rPr>
        <w:t xml:space="preserve">aždá tableta obsahuje </w:t>
      </w:r>
      <w:r>
        <w:rPr>
          <w:sz w:val="22"/>
          <w:szCs w:val="22"/>
        </w:rPr>
        <w:t xml:space="preserve">136,0 mg laktózy a </w:t>
      </w:r>
      <w:r w:rsidR="0081018A" w:rsidRPr="001474C3">
        <w:rPr>
          <w:sz w:val="22"/>
          <w:szCs w:val="22"/>
        </w:rPr>
        <w:t>0,5</w:t>
      </w:r>
      <w:r>
        <w:rPr>
          <w:sz w:val="22"/>
          <w:szCs w:val="22"/>
        </w:rPr>
        <w:t>04</w:t>
      </w:r>
      <w:r w:rsidR="0081018A" w:rsidRPr="001474C3">
        <w:rPr>
          <w:sz w:val="22"/>
          <w:szCs w:val="22"/>
        </w:rPr>
        <w:t xml:space="preserve"> mg sodíka.</w:t>
      </w:r>
    </w:p>
    <w:p w14:paraId="66FDCCDD" w14:textId="77777777" w:rsidR="0081018A" w:rsidRDefault="0081018A" w:rsidP="0081018A">
      <w:pPr>
        <w:autoSpaceDE w:val="0"/>
        <w:autoSpaceDN w:val="0"/>
        <w:adjustRightInd w:val="0"/>
        <w:rPr>
          <w:sz w:val="22"/>
          <w:szCs w:val="22"/>
        </w:rPr>
      </w:pPr>
    </w:p>
    <w:p w14:paraId="31A93817" w14:textId="77777777" w:rsidR="0081018A" w:rsidRPr="004D1FDE" w:rsidRDefault="0081018A" w:rsidP="0081018A">
      <w:pPr>
        <w:autoSpaceDE w:val="0"/>
        <w:autoSpaceDN w:val="0"/>
        <w:adjustRightInd w:val="0"/>
        <w:rPr>
          <w:sz w:val="22"/>
          <w:szCs w:val="22"/>
        </w:rPr>
      </w:pPr>
      <w:r w:rsidRPr="004D1FDE">
        <w:rPr>
          <w:sz w:val="22"/>
          <w:szCs w:val="22"/>
        </w:rPr>
        <w:t>Úplný zoznam pomocných látok, pozri časť 6.1.</w:t>
      </w:r>
    </w:p>
    <w:p w14:paraId="43D9A338" w14:textId="77777777" w:rsidR="0081018A" w:rsidRPr="004D1FDE" w:rsidRDefault="0081018A" w:rsidP="0081018A">
      <w:pPr>
        <w:rPr>
          <w:sz w:val="22"/>
          <w:szCs w:val="22"/>
        </w:rPr>
      </w:pPr>
    </w:p>
    <w:p w14:paraId="0F578585" w14:textId="77777777" w:rsidR="0081018A" w:rsidRPr="004D1FDE" w:rsidRDefault="0081018A" w:rsidP="0081018A">
      <w:pPr>
        <w:rPr>
          <w:sz w:val="22"/>
          <w:szCs w:val="22"/>
        </w:rPr>
      </w:pPr>
    </w:p>
    <w:p w14:paraId="2BAA018E" w14:textId="77777777" w:rsidR="0081018A" w:rsidRPr="004D1FDE" w:rsidRDefault="0081018A" w:rsidP="0081018A">
      <w:pPr>
        <w:keepNext/>
        <w:tabs>
          <w:tab w:val="left" w:pos="3828"/>
        </w:tabs>
        <w:ind w:left="567" w:hanging="567"/>
        <w:rPr>
          <w:caps/>
          <w:sz w:val="22"/>
          <w:szCs w:val="22"/>
        </w:rPr>
      </w:pPr>
      <w:r w:rsidRPr="004D1FDE">
        <w:rPr>
          <w:b/>
          <w:sz w:val="22"/>
          <w:szCs w:val="22"/>
        </w:rPr>
        <w:t>3.</w:t>
      </w:r>
      <w:r w:rsidRPr="004D1FDE">
        <w:rPr>
          <w:b/>
          <w:sz w:val="22"/>
          <w:szCs w:val="22"/>
        </w:rPr>
        <w:tab/>
        <w:t>LIEKOVÁ FORMA</w:t>
      </w:r>
    </w:p>
    <w:p w14:paraId="340A6DF1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0F2889B9" w14:textId="77777777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4D1FDE">
        <w:rPr>
          <w:sz w:val="22"/>
          <w:szCs w:val="22"/>
        </w:rPr>
        <w:t>ableta.</w:t>
      </w:r>
    </w:p>
    <w:p w14:paraId="21384983" w14:textId="77777777" w:rsidR="0081018A" w:rsidRDefault="0081018A" w:rsidP="0081018A">
      <w:pPr>
        <w:rPr>
          <w:sz w:val="22"/>
          <w:szCs w:val="22"/>
        </w:rPr>
      </w:pPr>
    </w:p>
    <w:p w14:paraId="0768EF20" w14:textId="2E5E7BC9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Biela aleb</w:t>
      </w:r>
      <w:r w:rsidR="001656A8">
        <w:rPr>
          <w:sz w:val="22"/>
          <w:szCs w:val="22"/>
        </w:rPr>
        <w:t xml:space="preserve">o takmer biela okrúhla tableta </w:t>
      </w:r>
      <w:r>
        <w:rPr>
          <w:sz w:val="22"/>
          <w:szCs w:val="22"/>
        </w:rPr>
        <w:t>s priemerom 8</w:t>
      </w:r>
      <w:r w:rsidR="009249B3">
        <w:rPr>
          <w:sz w:val="22"/>
          <w:szCs w:val="22"/>
        </w:rPr>
        <w:t> </w:t>
      </w:r>
      <w:r w:rsidR="009249B3" w:rsidRPr="00DC580E">
        <w:t>± 0,5</w:t>
      </w:r>
      <w:r>
        <w:rPr>
          <w:sz w:val="22"/>
          <w:szCs w:val="22"/>
        </w:rPr>
        <w:t xml:space="preserve">mm. </w:t>
      </w:r>
    </w:p>
    <w:p w14:paraId="5FAA4B81" w14:textId="77777777" w:rsidR="0081018A" w:rsidRPr="004D1FDE" w:rsidRDefault="0081018A" w:rsidP="0081018A">
      <w:pPr>
        <w:rPr>
          <w:sz w:val="22"/>
          <w:szCs w:val="22"/>
        </w:rPr>
      </w:pPr>
    </w:p>
    <w:p w14:paraId="231F8C80" w14:textId="77777777" w:rsidR="0081018A" w:rsidRPr="004D1FDE" w:rsidRDefault="0081018A" w:rsidP="0081018A">
      <w:pPr>
        <w:rPr>
          <w:sz w:val="22"/>
          <w:szCs w:val="22"/>
        </w:rPr>
      </w:pPr>
    </w:p>
    <w:p w14:paraId="0C5DCEEA" w14:textId="77777777" w:rsidR="0081018A" w:rsidRPr="004D1FDE" w:rsidRDefault="0081018A" w:rsidP="0081018A">
      <w:pPr>
        <w:keepNext/>
        <w:ind w:left="567" w:hanging="567"/>
        <w:rPr>
          <w:caps/>
          <w:sz w:val="22"/>
          <w:szCs w:val="22"/>
        </w:rPr>
      </w:pPr>
      <w:r w:rsidRPr="004D1FDE">
        <w:rPr>
          <w:b/>
          <w:caps/>
          <w:sz w:val="22"/>
          <w:szCs w:val="22"/>
        </w:rPr>
        <w:t>4.</w:t>
      </w:r>
      <w:r w:rsidRPr="004D1FDE">
        <w:rPr>
          <w:b/>
          <w:caps/>
          <w:sz w:val="22"/>
          <w:szCs w:val="22"/>
        </w:rPr>
        <w:tab/>
        <w:t>KLINICKÉ ÚDAJE</w:t>
      </w:r>
    </w:p>
    <w:p w14:paraId="05D79445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3A5FC374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4.1</w:t>
      </w:r>
      <w:r w:rsidRPr="004D1FDE">
        <w:rPr>
          <w:b/>
          <w:sz w:val="22"/>
          <w:szCs w:val="22"/>
        </w:rPr>
        <w:tab/>
        <w:t>Terapeutické indikácie</w:t>
      </w:r>
    </w:p>
    <w:p w14:paraId="06DA0F50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768A1F30" w14:textId="6F6FCB52" w:rsidR="0081018A" w:rsidRPr="004D1FDE" w:rsidRDefault="007D184E" w:rsidP="0081018A">
      <w:pPr>
        <w:rPr>
          <w:sz w:val="22"/>
          <w:szCs w:val="22"/>
        </w:rPr>
      </w:pPr>
      <w:r>
        <w:rPr>
          <w:sz w:val="22"/>
          <w:szCs w:val="22"/>
        </w:rPr>
        <w:t>Vildagliptín</w:t>
      </w:r>
      <w:r w:rsidR="0081018A">
        <w:rPr>
          <w:sz w:val="22"/>
          <w:szCs w:val="22"/>
        </w:rPr>
        <w:t xml:space="preserve"> je indikovaný na liečbu diabetes mellitus 2. typu u dospelých:</w:t>
      </w:r>
    </w:p>
    <w:p w14:paraId="2BDB7E4F" w14:textId="77777777" w:rsidR="0081018A" w:rsidRPr="004D1FDE" w:rsidRDefault="0081018A" w:rsidP="0081018A">
      <w:pPr>
        <w:rPr>
          <w:sz w:val="22"/>
          <w:szCs w:val="22"/>
        </w:rPr>
      </w:pPr>
    </w:p>
    <w:p w14:paraId="1E895892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Ako monoterapia</w:t>
      </w:r>
    </w:p>
    <w:p w14:paraId="1617918A" w14:textId="77777777" w:rsidR="0081018A" w:rsidRPr="004D1FDE" w:rsidRDefault="0081018A" w:rsidP="0081018A">
      <w:pPr>
        <w:numPr>
          <w:ilvl w:val="0"/>
          <w:numId w:val="4"/>
        </w:numPr>
        <w:ind w:left="284" w:hanging="28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u pacientov s nedostatočnou kompenzáciou samotnou diétou alebo telesnou aktivitou a u ktorých metformín nie je vhodný pre kontraindikácie alebo intoleranciu.</w:t>
      </w:r>
    </w:p>
    <w:p w14:paraId="21370CF6" w14:textId="77777777" w:rsidR="0081018A" w:rsidRPr="004D1FDE" w:rsidRDefault="0081018A" w:rsidP="0081018A">
      <w:pPr>
        <w:rPr>
          <w:bCs/>
          <w:iCs/>
          <w:sz w:val="22"/>
          <w:szCs w:val="22"/>
        </w:rPr>
      </w:pPr>
    </w:p>
    <w:p w14:paraId="57F90B30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Ako duálna perorálna liečba v kombinácii </w:t>
      </w:r>
    </w:p>
    <w:p w14:paraId="082F17C4" w14:textId="77777777" w:rsidR="0081018A" w:rsidRPr="00061B6C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 metformínom u pacientov s nedos</w:t>
      </w:r>
      <w:r w:rsidR="00894802">
        <w:rPr>
          <w:bCs/>
          <w:iCs/>
          <w:sz w:val="22"/>
          <w:szCs w:val="22"/>
        </w:rPr>
        <w:t>ta</w:t>
      </w:r>
      <w:r>
        <w:rPr>
          <w:bCs/>
          <w:iCs/>
          <w:sz w:val="22"/>
          <w:szCs w:val="22"/>
        </w:rPr>
        <w:t>točnou glykemickou kompenzáciou napriek maximálnej tolerovanej dávke monoterapie metformínom,</w:t>
      </w:r>
    </w:p>
    <w:p w14:paraId="11AF8030" w14:textId="77777777" w:rsidR="0081018A" w:rsidRPr="00061B6C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so sulfonylureovým antidiabetikom u pacientov s nedostatočnou glykemickou kompenzáciou napriek maximálnej tolerovanej dávke sulfonylureového antidiabetika, u ktorých metformín nie je vhodný pre kontraindikácie alebo intoleranciu,</w:t>
      </w:r>
    </w:p>
    <w:p w14:paraId="14D57DF1" w14:textId="77777777" w:rsidR="0081018A" w:rsidRPr="00061B6C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 tiazolidíndionovým antidiabetikom u pacientov s nedostatočnou glykemickou kompenzáciou, u ktorých je vhodné použitie tiazolidíndiónového antidiabetika.</w:t>
      </w:r>
    </w:p>
    <w:p w14:paraId="5D4D4B7C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955B214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Ako perorálna liečba v trojkombinácii</w:t>
      </w:r>
    </w:p>
    <w:p w14:paraId="679DA7E4" w14:textId="77777777" w:rsidR="0081018A" w:rsidRPr="0035494E" w:rsidRDefault="0081018A" w:rsidP="0081018A">
      <w:pPr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bCs/>
          <w:iCs/>
          <w:sz w:val="22"/>
          <w:szCs w:val="22"/>
        </w:rPr>
        <w:t>so sulfonylureovým antidiabetikom a metformínom, keď sa diétou a telesnou aktivitou spolu s duálnou liečbou týmito liekmi nedosiahne dostatočná glykemická kompenzácia.</w:t>
      </w:r>
    </w:p>
    <w:p w14:paraId="263ED522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3834421" w14:textId="772604C3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Vildagliptín je tiež indikovaný na</w:t>
      </w:r>
      <w:r w:rsidR="001A6B1D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použi</w:t>
      </w:r>
      <w:r w:rsidR="001A6B1D">
        <w:rPr>
          <w:bCs/>
          <w:iCs/>
          <w:sz w:val="22"/>
          <w:szCs w:val="22"/>
        </w:rPr>
        <w:t>tie v kombinácii s inzulínom (s </w:t>
      </w:r>
      <w:r>
        <w:rPr>
          <w:bCs/>
          <w:iCs/>
          <w:sz w:val="22"/>
          <w:szCs w:val="22"/>
        </w:rPr>
        <w:t>metformínom alebo bez neho),</w:t>
      </w:r>
    </w:p>
    <w:p w14:paraId="6DD98A77" w14:textId="77777777" w:rsidR="0081018A" w:rsidRPr="00061B6C" w:rsidRDefault="0081018A" w:rsidP="0081018A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keď sa diétou a telesnou aktivitou spolu so stabilnou dávkou inzulínu nedosiahne dostatočná glykemická kompenzácia.</w:t>
      </w:r>
    </w:p>
    <w:p w14:paraId="4DA1E753" w14:textId="77777777" w:rsidR="0081018A" w:rsidRPr="004D1FDE" w:rsidRDefault="0081018A" w:rsidP="0081018A">
      <w:pPr>
        <w:rPr>
          <w:b/>
          <w:sz w:val="22"/>
          <w:szCs w:val="22"/>
        </w:rPr>
      </w:pPr>
    </w:p>
    <w:p w14:paraId="57342ACD" w14:textId="77777777" w:rsidR="0081018A" w:rsidRPr="004D1FDE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4.2</w:t>
      </w:r>
      <w:r w:rsidRPr="004D1FDE">
        <w:rPr>
          <w:b/>
          <w:sz w:val="22"/>
          <w:szCs w:val="22"/>
        </w:rPr>
        <w:tab/>
        <w:t>Dávkovanie a spôsob podávania</w:t>
      </w:r>
    </w:p>
    <w:p w14:paraId="075AD78A" w14:textId="77777777" w:rsidR="0081018A" w:rsidRPr="004D1FDE" w:rsidRDefault="0081018A" w:rsidP="0081018A">
      <w:pPr>
        <w:rPr>
          <w:sz w:val="22"/>
          <w:szCs w:val="22"/>
        </w:rPr>
      </w:pPr>
    </w:p>
    <w:p w14:paraId="430B6D2C" w14:textId="77777777" w:rsidR="0081018A" w:rsidRPr="004D1FDE" w:rsidRDefault="0081018A" w:rsidP="0081018A">
      <w:pPr>
        <w:keepNext/>
        <w:rPr>
          <w:sz w:val="22"/>
          <w:szCs w:val="22"/>
          <w:u w:val="single"/>
        </w:rPr>
      </w:pPr>
      <w:r w:rsidRPr="004D1FDE">
        <w:rPr>
          <w:sz w:val="22"/>
          <w:szCs w:val="22"/>
          <w:u w:val="single"/>
        </w:rPr>
        <w:lastRenderedPageBreak/>
        <w:t>Dávkovanie</w:t>
      </w:r>
    </w:p>
    <w:p w14:paraId="286818FD" w14:textId="77777777" w:rsidR="0081018A" w:rsidRDefault="0081018A" w:rsidP="0081018A">
      <w:pPr>
        <w:rPr>
          <w:i/>
          <w:sz w:val="22"/>
          <w:szCs w:val="22"/>
        </w:rPr>
      </w:pPr>
    </w:p>
    <w:p w14:paraId="3C9359E2" w14:textId="77777777" w:rsidR="0081018A" w:rsidRPr="006E6CA7" w:rsidRDefault="0081018A" w:rsidP="0081018A">
      <w:pPr>
        <w:rPr>
          <w:i/>
          <w:sz w:val="22"/>
          <w:szCs w:val="22"/>
        </w:rPr>
      </w:pPr>
      <w:r w:rsidRPr="006E6CA7">
        <w:rPr>
          <w:i/>
          <w:sz w:val="22"/>
          <w:szCs w:val="22"/>
        </w:rPr>
        <w:t>Dospelí</w:t>
      </w:r>
    </w:p>
    <w:p w14:paraId="7BEC00E0" w14:textId="46298005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Pri použití ako monoterapia, v kombinácii s metformínom, v kombinácii s tiazolidíndiónovým antidiabetikom, v kombinácii s metformínom a sulfonylureovým antidiabetikom al</w:t>
      </w:r>
      <w:r w:rsidR="001A6B1D">
        <w:rPr>
          <w:sz w:val="22"/>
          <w:szCs w:val="22"/>
        </w:rPr>
        <w:t>ebo v kombinácii s inzulínom (s </w:t>
      </w:r>
      <w:r>
        <w:rPr>
          <w:sz w:val="22"/>
          <w:szCs w:val="22"/>
        </w:rPr>
        <w:t xml:space="preserve">metformínom alebo bez neho) je odporúčaná </w:t>
      </w:r>
      <w:r w:rsidR="00074202">
        <w:rPr>
          <w:sz w:val="22"/>
          <w:szCs w:val="22"/>
        </w:rPr>
        <w:t xml:space="preserve">denná </w:t>
      </w:r>
      <w:r w:rsidR="001A6B1D">
        <w:rPr>
          <w:sz w:val="22"/>
          <w:szCs w:val="22"/>
        </w:rPr>
        <w:t>dávka vildagliptínu 100 </w:t>
      </w:r>
      <w:r>
        <w:rPr>
          <w:sz w:val="22"/>
          <w:szCs w:val="22"/>
        </w:rPr>
        <w:t>mg, kto</w:t>
      </w:r>
      <w:r w:rsidR="001A6B1D">
        <w:rPr>
          <w:sz w:val="22"/>
          <w:szCs w:val="22"/>
        </w:rPr>
        <w:t>rá sa podáva ako jedna dávka 50 mg ráno a jedna dávka 50 </w:t>
      </w:r>
      <w:r>
        <w:rPr>
          <w:sz w:val="22"/>
          <w:szCs w:val="22"/>
        </w:rPr>
        <w:t>mg večer.</w:t>
      </w:r>
    </w:p>
    <w:p w14:paraId="27EA800C" w14:textId="77777777" w:rsidR="0081018A" w:rsidRPr="004D1FDE" w:rsidRDefault="0081018A" w:rsidP="0081018A">
      <w:pPr>
        <w:rPr>
          <w:sz w:val="22"/>
          <w:szCs w:val="22"/>
        </w:rPr>
      </w:pPr>
    </w:p>
    <w:p w14:paraId="6A3F0AC6" w14:textId="09E572EC" w:rsidR="0081018A" w:rsidRDefault="001A6B1D" w:rsidP="0081018A">
      <w:pPr>
        <w:rPr>
          <w:sz w:val="22"/>
          <w:szCs w:val="22"/>
        </w:rPr>
      </w:pPr>
      <w:r>
        <w:rPr>
          <w:sz w:val="22"/>
          <w:szCs w:val="22"/>
        </w:rPr>
        <w:t>Pri duálnej kombinácii so </w:t>
      </w:r>
      <w:r w:rsidR="0081018A">
        <w:rPr>
          <w:sz w:val="22"/>
          <w:szCs w:val="22"/>
        </w:rPr>
        <w:t>sulfonylureovým antidiabetikom je od</w:t>
      </w:r>
      <w:r>
        <w:rPr>
          <w:sz w:val="22"/>
          <w:szCs w:val="22"/>
        </w:rPr>
        <w:t>porúčaná dávka vildagliptínu 50 </w:t>
      </w:r>
      <w:r w:rsidR="0081018A">
        <w:rPr>
          <w:sz w:val="22"/>
          <w:szCs w:val="22"/>
        </w:rPr>
        <w:t>mg raz denne, podávaná ráno. U tejto populácie pacientov nebol</w:t>
      </w:r>
      <w:r>
        <w:rPr>
          <w:sz w:val="22"/>
          <w:szCs w:val="22"/>
        </w:rPr>
        <w:t>o 100 </w:t>
      </w:r>
      <w:r w:rsidR="0081018A">
        <w:rPr>
          <w:sz w:val="22"/>
          <w:szCs w:val="22"/>
        </w:rPr>
        <w:t>mg vildagl</w:t>
      </w:r>
      <w:r>
        <w:rPr>
          <w:sz w:val="22"/>
          <w:szCs w:val="22"/>
        </w:rPr>
        <w:t>iptínu denne účinnejších než 50 </w:t>
      </w:r>
      <w:r w:rsidR="0081018A">
        <w:rPr>
          <w:sz w:val="22"/>
          <w:szCs w:val="22"/>
        </w:rPr>
        <w:t>mg vildagliptínu raz denne.</w:t>
      </w:r>
    </w:p>
    <w:p w14:paraId="0F8D3389" w14:textId="77777777" w:rsidR="0081018A" w:rsidRDefault="0081018A" w:rsidP="0081018A">
      <w:pPr>
        <w:rPr>
          <w:sz w:val="22"/>
          <w:szCs w:val="22"/>
        </w:rPr>
      </w:pPr>
    </w:p>
    <w:p w14:paraId="36FECDEF" w14:textId="4040BAEC" w:rsidR="0081018A" w:rsidRDefault="001A6B1D" w:rsidP="0081018A">
      <w:pPr>
        <w:rPr>
          <w:sz w:val="22"/>
          <w:szCs w:val="22"/>
        </w:rPr>
      </w:pPr>
      <w:r>
        <w:rPr>
          <w:sz w:val="22"/>
          <w:szCs w:val="22"/>
        </w:rPr>
        <w:t>Pri použití v kombinácii so </w:t>
      </w:r>
      <w:r w:rsidR="0081018A">
        <w:rPr>
          <w:sz w:val="22"/>
          <w:szCs w:val="22"/>
        </w:rPr>
        <w:t>sulfonylureovým antidiabetikom sa má zvážiť nižšia dávka sulfonylureového antidiabetika, aby sa znížilo riziko hypoglykémie.</w:t>
      </w:r>
    </w:p>
    <w:p w14:paraId="682F2862" w14:textId="77777777" w:rsidR="0081018A" w:rsidRDefault="0081018A" w:rsidP="0081018A">
      <w:pPr>
        <w:rPr>
          <w:sz w:val="22"/>
          <w:szCs w:val="22"/>
        </w:rPr>
      </w:pPr>
    </w:p>
    <w:p w14:paraId="742D1A47" w14:textId="76B4A888" w:rsidR="0081018A" w:rsidRDefault="001A6B1D" w:rsidP="0081018A">
      <w:pPr>
        <w:rPr>
          <w:sz w:val="22"/>
          <w:szCs w:val="22"/>
        </w:rPr>
      </w:pPr>
      <w:r>
        <w:rPr>
          <w:sz w:val="22"/>
          <w:szCs w:val="22"/>
        </w:rPr>
        <w:t>Dávky vyššie ako 100 </w:t>
      </w:r>
      <w:r w:rsidR="0081018A">
        <w:rPr>
          <w:sz w:val="22"/>
          <w:szCs w:val="22"/>
        </w:rPr>
        <w:t>mg sa neodporúčajú.</w:t>
      </w:r>
    </w:p>
    <w:p w14:paraId="01561E77" w14:textId="77777777" w:rsidR="0081018A" w:rsidRDefault="0081018A" w:rsidP="0081018A">
      <w:pPr>
        <w:rPr>
          <w:sz w:val="22"/>
          <w:szCs w:val="22"/>
        </w:rPr>
      </w:pPr>
    </w:p>
    <w:p w14:paraId="5FDB7AB1" w14:textId="3B6C4B1E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Ak sa vynechá dávka </w:t>
      </w:r>
      <w:r w:rsidR="00E7271B">
        <w:rPr>
          <w:sz w:val="22"/>
          <w:szCs w:val="22"/>
        </w:rPr>
        <w:t>Viglity</w:t>
      </w:r>
      <w:r>
        <w:rPr>
          <w:sz w:val="22"/>
          <w:szCs w:val="22"/>
        </w:rPr>
        <w:t>, má sa užiť hneď, ako si pacient spomenie. Dvojitá dávka sa nemá užiť v tom istom dni.</w:t>
      </w:r>
    </w:p>
    <w:p w14:paraId="01FED2BD" w14:textId="77777777" w:rsidR="0081018A" w:rsidRDefault="0081018A" w:rsidP="0081018A">
      <w:pPr>
        <w:rPr>
          <w:sz w:val="22"/>
          <w:szCs w:val="22"/>
        </w:rPr>
      </w:pPr>
    </w:p>
    <w:p w14:paraId="27E753F6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Bezpečnosť a účinnosť vildagliptínu ako perorálnej liečby v trojkombinácii s metformínom a tiazolidíndiónovým antidiabetikom neboli stanovené.</w:t>
      </w:r>
    </w:p>
    <w:p w14:paraId="708CB9CA" w14:textId="77777777" w:rsidR="0081018A" w:rsidRDefault="0081018A" w:rsidP="0081018A">
      <w:pPr>
        <w:rPr>
          <w:sz w:val="22"/>
          <w:szCs w:val="22"/>
        </w:rPr>
      </w:pPr>
    </w:p>
    <w:p w14:paraId="61C07EC8" w14:textId="77777777" w:rsidR="0081018A" w:rsidRPr="00E008B0" w:rsidRDefault="0081018A" w:rsidP="0081018A">
      <w:pPr>
        <w:rPr>
          <w:sz w:val="22"/>
          <w:szCs w:val="22"/>
          <w:u w:val="single"/>
        </w:rPr>
      </w:pPr>
      <w:r w:rsidRPr="00E008B0">
        <w:rPr>
          <w:sz w:val="22"/>
          <w:szCs w:val="22"/>
          <w:u w:val="single"/>
        </w:rPr>
        <w:t>Ďalšie informácie o osobitných skupinách pacientov</w:t>
      </w:r>
    </w:p>
    <w:p w14:paraId="30CC96FF" w14:textId="77777777" w:rsidR="0081018A" w:rsidRDefault="0081018A" w:rsidP="0081018A">
      <w:pPr>
        <w:rPr>
          <w:sz w:val="22"/>
          <w:szCs w:val="22"/>
        </w:rPr>
      </w:pPr>
    </w:p>
    <w:p w14:paraId="33C99465" w14:textId="246EA72F" w:rsidR="0081018A" w:rsidRPr="00E7271B" w:rsidRDefault="0081018A" w:rsidP="0081018A">
      <w:pPr>
        <w:rPr>
          <w:i/>
          <w:sz w:val="22"/>
          <w:szCs w:val="22"/>
        </w:rPr>
      </w:pPr>
      <w:r w:rsidRPr="006E6CA7">
        <w:rPr>
          <w:i/>
          <w:sz w:val="22"/>
          <w:szCs w:val="22"/>
        </w:rPr>
        <w:t>Starší ľudia</w:t>
      </w:r>
      <w:r w:rsidR="00E7271B">
        <w:rPr>
          <w:i/>
          <w:sz w:val="22"/>
          <w:szCs w:val="22"/>
        </w:rPr>
        <w:t xml:space="preserve"> </w:t>
      </w:r>
      <w:r w:rsidR="00E7271B" w:rsidRPr="00DC580E">
        <w:rPr>
          <w:i/>
          <w:iCs/>
          <w:color w:val="000000"/>
          <w:sz w:val="22"/>
          <w:szCs w:val="22"/>
        </w:rPr>
        <w:t>(≥ 65 years)</w:t>
      </w:r>
    </w:p>
    <w:p w14:paraId="574EC5C6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Úprava dávky nie je potrebná u starších pacientov (pozri tiež časti 5.1 a 5.2).</w:t>
      </w:r>
    </w:p>
    <w:p w14:paraId="04062A07" w14:textId="77777777" w:rsidR="0081018A" w:rsidRDefault="0081018A" w:rsidP="0081018A">
      <w:pPr>
        <w:rPr>
          <w:sz w:val="22"/>
          <w:szCs w:val="22"/>
        </w:rPr>
      </w:pPr>
    </w:p>
    <w:p w14:paraId="7B871400" w14:textId="77777777" w:rsidR="0081018A" w:rsidRPr="006E6CA7" w:rsidRDefault="0081018A" w:rsidP="0081018A">
      <w:pPr>
        <w:rPr>
          <w:i/>
          <w:sz w:val="22"/>
          <w:szCs w:val="22"/>
        </w:rPr>
      </w:pPr>
      <w:r w:rsidRPr="006E6CA7">
        <w:rPr>
          <w:i/>
          <w:sz w:val="22"/>
          <w:szCs w:val="22"/>
        </w:rPr>
        <w:t>Porucha funkcie obličiek</w:t>
      </w:r>
    </w:p>
    <w:p w14:paraId="08172C74" w14:textId="4B83FEFA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Úprava dávky nie je potrebná u pacientov </w:t>
      </w:r>
      <w:r w:rsidRPr="0081560B">
        <w:rPr>
          <w:sz w:val="22"/>
          <w:szCs w:val="22"/>
        </w:rPr>
        <w:t>s</w:t>
      </w:r>
      <w:r w:rsidR="0081560B" w:rsidRPr="0081560B"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Pr="0081560B">
        <w:rPr>
          <w:sz w:val="22"/>
          <w:szCs w:val="22"/>
        </w:rPr>
        <w:t>ou</w:t>
      </w:r>
      <w:r w:rsidR="0081560B">
        <w:rPr>
          <w:sz w:val="22"/>
          <w:szCs w:val="22"/>
        </w:rPr>
        <w:t xml:space="preserve"> </w:t>
      </w:r>
      <w:r>
        <w:rPr>
          <w:sz w:val="22"/>
          <w:szCs w:val="22"/>
        </w:rPr>
        <w:t>poruchou funkcie obličiek (klírens kreatinínu </w:t>
      </w:r>
      <w:r w:rsidRPr="00DC580E">
        <w:rPr>
          <w:sz w:val="22"/>
          <w:szCs w:val="22"/>
          <w:lang w:eastAsia="en-US"/>
        </w:rPr>
        <w:t>≥ 50 ml/min</w:t>
      </w:r>
      <w:r>
        <w:rPr>
          <w:sz w:val="22"/>
          <w:szCs w:val="22"/>
        </w:rPr>
        <w:t>). U pacientov so stredne ťažkou alebo ťažkou poruchou funkcie obličiek alebo s </w:t>
      </w:r>
      <w:r w:rsidR="00E7271B">
        <w:rPr>
          <w:sz w:val="22"/>
          <w:szCs w:val="22"/>
        </w:rPr>
        <w:t xml:space="preserve">terminálnym ochorením obličiek </w:t>
      </w:r>
      <w:r>
        <w:rPr>
          <w:sz w:val="22"/>
          <w:szCs w:val="22"/>
        </w:rPr>
        <w:t>(ESRD</w:t>
      </w:r>
      <w:r w:rsidR="002554DB">
        <w:rPr>
          <w:sz w:val="22"/>
          <w:szCs w:val="22"/>
        </w:rPr>
        <w:t xml:space="preserve"> z angl. end-stage renal disease</w:t>
      </w:r>
      <w:r>
        <w:rPr>
          <w:sz w:val="22"/>
          <w:szCs w:val="22"/>
        </w:rPr>
        <w:t xml:space="preserve">) je odporúčaná dávka </w:t>
      </w:r>
      <w:r w:rsidR="00E7271B">
        <w:rPr>
          <w:sz w:val="22"/>
          <w:szCs w:val="22"/>
        </w:rPr>
        <w:t>Viglit</w:t>
      </w:r>
      <w:r w:rsidR="00ED6CF4">
        <w:rPr>
          <w:sz w:val="22"/>
          <w:szCs w:val="22"/>
        </w:rPr>
        <w:t>i</w:t>
      </w:r>
      <w:r>
        <w:rPr>
          <w:sz w:val="22"/>
          <w:szCs w:val="22"/>
        </w:rPr>
        <w:t xml:space="preserve"> 50</w:t>
      </w:r>
      <w:r w:rsidR="00ED6CF4">
        <w:rPr>
          <w:sz w:val="22"/>
          <w:szCs w:val="22"/>
        </w:rPr>
        <w:t> </w:t>
      </w:r>
      <w:r>
        <w:rPr>
          <w:sz w:val="22"/>
          <w:szCs w:val="22"/>
        </w:rPr>
        <w:t>mg raz denne (pozri tiež časti 4.4, 5.1, 5.2).</w:t>
      </w:r>
    </w:p>
    <w:p w14:paraId="7C1119B5" w14:textId="77777777" w:rsidR="0081018A" w:rsidRDefault="0081018A" w:rsidP="0081018A">
      <w:pPr>
        <w:rPr>
          <w:sz w:val="22"/>
          <w:szCs w:val="22"/>
        </w:rPr>
      </w:pPr>
    </w:p>
    <w:p w14:paraId="37141E1B" w14:textId="77777777" w:rsidR="0081018A" w:rsidRPr="004D1FDE" w:rsidRDefault="0081018A" w:rsidP="0081018A">
      <w:pPr>
        <w:rPr>
          <w:sz w:val="22"/>
          <w:szCs w:val="22"/>
        </w:rPr>
      </w:pPr>
      <w:r>
        <w:rPr>
          <w:i/>
          <w:sz w:val="22"/>
          <w:szCs w:val="22"/>
        </w:rPr>
        <w:t>Porucha</w:t>
      </w:r>
      <w:r w:rsidRPr="004D1FD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funkcie </w:t>
      </w:r>
      <w:r w:rsidRPr="004D1FDE">
        <w:rPr>
          <w:i/>
          <w:sz w:val="22"/>
          <w:szCs w:val="22"/>
        </w:rPr>
        <w:t>pečene</w:t>
      </w:r>
    </w:p>
    <w:p w14:paraId="19D3B446" w14:textId="47F63DB7" w:rsidR="0081018A" w:rsidRDefault="0024385A" w:rsidP="0081018A">
      <w:pPr>
        <w:rPr>
          <w:sz w:val="22"/>
          <w:szCs w:val="22"/>
        </w:rPr>
      </w:pPr>
      <w:r>
        <w:rPr>
          <w:sz w:val="22"/>
          <w:szCs w:val="22"/>
        </w:rPr>
        <w:t>Vildagliptí</w:t>
      </w:r>
      <w:r w:rsidR="00E7271B">
        <w:rPr>
          <w:sz w:val="22"/>
          <w:szCs w:val="22"/>
        </w:rPr>
        <w:t>n</w:t>
      </w:r>
      <w:r w:rsidR="0081018A">
        <w:rPr>
          <w:sz w:val="22"/>
          <w:szCs w:val="22"/>
        </w:rPr>
        <w:t xml:space="preserve"> sa nemá používať u pacientov s poruchou funkcie pečene vrátane pacientov, ktorých hodnoty alanínaminotransferázy (ALT) alebo aspartátaminotransferázy (AST) sú</w:t>
      </w:r>
      <w:r w:rsidR="00ED6CF4">
        <w:rPr>
          <w:sz w:val="22"/>
          <w:szCs w:val="22"/>
        </w:rPr>
        <w:t> </w:t>
      </w:r>
      <w:r w:rsidR="0081018A" w:rsidRPr="00DC580E">
        <w:rPr>
          <w:noProof/>
          <w:sz w:val="22"/>
          <w:szCs w:val="22"/>
          <w:lang w:eastAsia="en-US"/>
        </w:rPr>
        <w:t>&gt;</w:t>
      </w:r>
      <w:r w:rsidR="00E7271B" w:rsidRPr="00DC580E">
        <w:rPr>
          <w:noProof/>
          <w:sz w:val="22"/>
          <w:szCs w:val="22"/>
          <w:lang w:eastAsia="en-US"/>
        </w:rPr>
        <w:t> </w:t>
      </w:r>
      <w:r w:rsidR="0081018A" w:rsidRPr="00DC580E">
        <w:rPr>
          <w:noProof/>
          <w:sz w:val="22"/>
          <w:szCs w:val="22"/>
          <w:lang w:eastAsia="en-US"/>
        </w:rPr>
        <w:t>3-násobok hornej hranice normálneho rozmedzi</w:t>
      </w:r>
      <w:r w:rsidR="00ED6CF4" w:rsidRPr="00DC580E">
        <w:rPr>
          <w:noProof/>
          <w:sz w:val="22"/>
          <w:szCs w:val="22"/>
          <w:lang w:eastAsia="en-US"/>
        </w:rPr>
        <w:t>a (ULN</w:t>
      </w:r>
      <w:r w:rsidR="002554DB">
        <w:rPr>
          <w:noProof/>
          <w:sz w:val="22"/>
          <w:szCs w:val="22"/>
          <w:lang w:eastAsia="en-US"/>
        </w:rPr>
        <w:t xml:space="preserve"> z angl. upper limit of normal</w:t>
      </w:r>
      <w:r w:rsidR="00ED6CF4" w:rsidRPr="00DC580E">
        <w:rPr>
          <w:noProof/>
          <w:sz w:val="22"/>
          <w:szCs w:val="22"/>
          <w:lang w:eastAsia="en-US"/>
        </w:rPr>
        <w:t>) (pozri tiež časti 4.4 a </w:t>
      </w:r>
      <w:r w:rsidR="0081018A" w:rsidRPr="00DC580E">
        <w:rPr>
          <w:noProof/>
          <w:sz w:val="22"/>
          <w:szCs w:val="22"/>
          <w:lang w:eastAsia="en-US"/>
        </w:rPr>
        <w:t>5.2).</w:t>
      </w:r>
    </w:p>
    <w:p w14:paraId="69B79953" w14:textId="77777777" w:rsidR="0081018A" w:rsidRDefault="0081018A" w:rsidP="0081018A">
      <w:pPr>
        <w:rPr>
          <w:b/>
          <w:sz w:val="22"/>
          <w:szCs w:val="22"/>
        </w:rPr>
      </w:pPr>
    </w:p>
    <w:p w14:paraId="4381F253" w14:textId="77777777" w:rsidR="0081018A" w:rsidRDefault="0081018A" w:rsidP="0081018A">
      <w:pPr>
        <w:rPr>
          <w:i/>
          <w:sz w:val="22"/>
          <w:szCs w:val="22"/>
        </w:rPr>
      </w:pPr>
      <w:r w:rsidRPr="009C65D3">
        <w:rPr>
          <w:i/>
          <w:sz w:val="22"/>
          <w:szCs w:val="22"/>
        </w:rPr>
        <w:t>Pediatrická populácia</w:t>
      </w:r>
    </w:p>
    <w:p w14:paraId="6B3A2694" w14:textId="3DFF7013" w:rsidR="0081018A" w:rsidRDefault="00E7271B" w:rsidP="0081018A">
      <w:pPr>
        <w:rPr>
          <w:sz w:val="22"/>
          <w:szCs w:val="22"/>
        </w:rPr>
      </w:pPr>
      <w:r>
        <w:rPr>
          <w:sz w:val="22"/>
          <w:szCs w:val="22"/>
        </w:rPr>
        <w:t>Viglita</w:t>
      </w:r>
      <w:r w:rsidR="0081018A">
        <w:rPr>
          <w:sz w:val="22"/>
          <w:szCs w:val="22"/>
        </w:rPr>
        <w:t xml:space="preserve"> sa neodporúča po</w:t>
      </w:r>
      <w:r w:rsidR="00E43D78">
        <w:rPr>
          <w:sz w:val="22"/>
          <w:szCs w:val="22"/>
        </w:rPr>
        <w:t>uží</w:t>
      </w:r>
      <w:r w:rsidR="0081018A">
        <w:rPr>
          <w:sz w:val="22"/>
          <w:szCs w:val="22"/>
        </w:rPr>
        <w:t>vať</w:t>
      </w:r>
      <w:r w:rsidR="00E43D78">
        <w:rPr>
          <w:sz w:val="22"/>
          <w:szCs w:val="22"/>
        </w:rPr>
        <w:t xml:space="preserve"> u </w:t>
      </w:r>
      <w:r w:rsidR="0081018A">
        <w:rPr>
          <w:sz w:val="22"/>
          <w:szCs w:val="22"/>
        </w:rPr>
        <w:t>de</w:t>
      </w:r>
      <w:r w:rsidR="00E43D78">
        <w:rPr>
          <w:sz w:val="22"/>
          <w:szCs w:val="22"/>
        </w:rPr>
        <w:t>tí</w:t>
      </w:r>
      <w:r w:rsidR="0081018A">
        <w:rPr>
          <w:sz w:val="22"/>
          <w:szCs w:val="22"/>
        </w:rPr>
        <w:t xml:space="preserve"> a dospievajúci</w:t>
      </w:r>
      <w:r w:rsidR="00E43D78">
        <w:rPr>
          <w:sz w:val="22"/>
          <w:szCs w:val="22"/>
        </w:rPr>
        <w:t>ch</w:t>
      </w:r>
      <w:r w:rsidR="0081018A">
        <w:rPr>
          <w:sz w:val="22"/>
          <w:szCs w:val="22"/>
        </w:rPr>
        <w:t xml:space="preserve"> (</w:t>
      </w:r>
      <w:r w:rsidR="0081018A" w:rsidRPr="00DC580E">
        <w:rPr>
          <w:noProof/>
          <w:sz w:val="22"/>
          <w:szCs w:val="22"/>
          <w:lang w:eastAsia="en-US"/>
        </w:rPr>
        <w:t>&lt;</w:t>
      </w:r>
      <w:r w:rsidRPr="00DC580E">
        <w:rPr>
          <w:noProof/>
          <w:sz w:val="22"/>
          <w:szCs w:val="22"/>
          <w:lang w:eastAsia="en-US"/>
        </w:rPr>
        <w:t> </w:t>
      </w:r>
      <w:r w:rsidR="0081018A">
        <w:rPr>
          <w:sz w:val="22"/>
          <w:szCs w:val="22"/>
        </w:rPr>
        <w:t>18 rokov). Bezpečno</w:t>
      </w:r>
      <w:r>
        <w:rPr>
          <w:sz w:val="22"/>
          <w:szCs w:val="22"/>
        </w:rPr>
        <w:t>s</w:t>
      </w:r>
      <w:r w:rsidR="0081018A">
        <w:rPr>
          <w:sz w:val="22"/>
          <w:szCs w:val="22"/>
        </w:rPr>
        <w:t>ť a</w:t>
      </w:r>
      <w:r w:rsidR="00E43D78">
        <w:rPr>
          <w:sz w:val="22"/>
          <w:szCs w:val="22"/>
        </w:rPr>
        <w:t> </w:t>
      </w:r>
      <w:r w:rsidR="0081018A">
        <w:rPr>
          <w:sz w:val="22"/>
          <w:szCs w:val="22"/>
        </w:rPr>
        <w:t xml:space="preserve">účinnosť </w:t>
      </w:r>
      <w:r>
        <w:rPr>
          <w:sz w:val="22"/>
          <w:szCs w:val="22"/>
        </w:rPr>
        <w:t>Viglity</w:t>
      </w:r>
      <w:r w:rsidR="0081018A">
        <w:rPr>
          <w:sz w:val="22"/>
          <w:szCs w:val="22"/>
        </w:rPr>
        <w:t xml:space="preserve"> u detí a dospievajúcich (</w:t>
      </w:r>
      <w:r w:rsidR="0081018A" w:rsidRPr="00DC580E">
        <w:rPr>
          <w:noProof/>
          <w:sz w:val="22"/>
          <w:szCs w:val="22"/>
          <w:lang w:eastAsia="en-US"/>
        </w:rPr>
        <w:t>&lt;</w:t>
      </w:r>
      <w:r w:rsidRPr="00DC580E">
        <w:rPr>
          <w:noProof/>
          <w:sz w:val="22"/>
          <w:szCs w:val="22"/>
          <w:lang w:eastAsia="en-US"/>
        </w:rPr>
        <w:t> </w:t>
      </w:r>
      <w:r w:rsidR="0081018A">
        <w:rPr>
          <w:sz w:val="22"/>
          <w:szCs w:val="22"/>
        </w:rPr>
        <w:t>18 rokov) neboli stanovené. K dispozícii nie sú žiadne údaje (pozri tiež časť 5.1).</w:t>
      </w:r>
    </w:p>
    <w:p w14:paraId="30E6E019" w14:textId="77777777" w:rsidR="0081018A" w:rsidRDefault="0081018A" w:rsidP="0081018A">
      <w:pPr>
        <w:rPr>
          <w:sz w:val="22"/>
          <w:szCs w:val="22"/>
        </w:rPr>
      </w:pPr>
    </w:p>
    <w:p w14:paraId="242FDAF4" w14:textId="77777777" w:rsidR="0081018A" w:rsidRDefault="0081018A" w:rsidP="0081018A">
      <w:pPr>
        <w:rPr>
          <w:sz w:val="22"/>
          <w:szCs w:val="22"/>
          <w:u w:val="single"/>
        </w:rPr>
      </w:pPr>
      <w:r w:rsidRPr="009C65D3">
        <w:rPr>
          <w:sz w:val="22"/>
          <w:szCs w:val="22"/>
          <w:u w:val="single"/>
        </w:rPr>
        <w:t>Spôsob podávania</w:t>
      </w:r>
    </w:p>
    <w:p w14:paraId="3053C5E8" w14:textId="77777777" w:rsidR="0081018A" w:rsidRPr="00480D27" w:rsidRDefault="0081018A" w:rsidP="0081018A">
      <w:pPr>
        <w:rPr>
          <w:sz w:val="22"/>
          <w:szCs w:val="22"/>
        </w:rPr>
      </w:pPr>
      <w:r w:rsidRPr="00480D27">
        <w:rPr>
          <w:sz w:val="22"/>
          <w:szCs w:val="22"/>
        </w:rPr>
        <w:t>Perorálne použitie</w:t>
      </w:r>
      <w:r>
        <w:rPr>
          <w:sz w:val="22"/>
          <w:szCs w:val="22"/>
        </w:rPr>
        <w:t>.</w:t>
      </w:r>
    </w:p>
    <w:p w14:paraId="18DC271B" w14:textId="32E25AAF" w:rsidR="0081018A" w:rsidRPr="009C65D3" w:rsidRDefault="00E43D78" w:rsidP="0081018A">
      <w:pPr>
        <w:rPr>
          <w:sz w:val="22"/>
          <w:szCs w:val="22"/>
        </w:rPr>
      </w:pPr>
      <w:r>
        <w:rPr>
          <w:sz w:val="22"/>
          <w:szCs w:val="22"/>
        </w:rPr>
        <w:t>Viglitu</w:t>
      </w:r>
      <w:r w:rsidR="0081018A" w:rsidRPr="009C65D3">
        <w:rPr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 w:rsidR="0081018A" w:rsidRPr="009C65D3">
        <w:rPr>
          <w:sz w:val="22"/>
          <w:szCs w:val="22"/>
        </w:rPr>
        <w:t>ž</w:t>
      </w:r>
      <w:r>
        <w:rPr>
          <w:sz w:val="22"/>
          <w:szCs w:val="22"/>
        </w:rPr>
        <w:t>no</w:t>
      </w:r>
      <w:r w:rsidR="0081018A" w:rsidRPr="009C65D3">
        <w:rPr>
          <w:sz w:val="22"/>
          <w:szCs w:val="22"/>
        </w:rPr>
        <w:t xml:space="preserve"> </w:t>
      </w:r>
      <w:r>
        <w:rPr>
          <w:sz w:val="22"/>
          <w:szCs w:val="22"/>
        </w:rPr>
        <w:t>užívať</w:t>
      </w:r>
      <w:r w:rsidR="0081018A" w:rsidRPr="009C65D3">
        <w:rPr>
          <w:sz w:val="22"/>
          <w:szCs w:val="22"/>
        </w:rPr>
        <w:t xml:space="preserve"> s jedlom alebo bez jedla (pozri tiež časť 5.2).</w:t>
      </w:r>
    </w:p>
    <w:p w14:paraId="50D4F7C5" w14:textId="77777777" w:rsidR="0081018A" w:rsidRPr="009C65D3" w:rsidRDefault="0081018A" w:rsidP="0081018A">
      <w:pPr>
        <w:rPr>
          <w:i/>
          <w:sz w:val="22"/>
          <w:szCs w:val="22"/>
        </w:rPr>
      </w:pPr>
    </w:p>
    <w:p w14:paraId="15322CEA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4.3</w:t>
      </w:r>
      <w:r w:rsidRPr="004D1FDE">
        <w:rPr>
          <w:b/>
          <w:sz w:val="22"/>
          <w:szCs w:val="22"/>
        </w:rPr>
        <w:tab/>
        <w:t>Kontraindikácie</w:t>
      </w:r>
    </w:p>
    <w:p w14:paraId="40F1D983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19323B87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>Precitlivenosť na liečiv</w:t>
      </w:r>
      <w:r>
        <w:rPr>
          <w:sz w:val="22"/>
          <w:szCs w:val="22"/>
        </w:rPr>
        <w:t>o</w:t>
      </w:r>
      <w:r w:rsidRPr="004D1FDE">
        <w:rPr>
          <w:sz w:val="22"/>
          <w:szCs w:val="22"/>
        </w:rPr>
        <w:t xml:space="preserve"> alebo na ktorúkoľvek z pomocných látok uvedených v časti 6.1.</w:t>
      </w:r>
    </w:p>
    <w:p w14:paraId="372261B7" w14:textId="77777777" w:rsidR="0081018A" w:rsidRDefault="0081018A" w:rsidP="0081018A">
      <w:pPr>
        <w:rPr>
          <w:sz w:val="22"/>
          <w:szCs w:val="22"/>
        </w:rPr>
      </w:pPr>
    </w:p>
    <w:p w14:paraId="3D0B81BF" w14:textId="77777777" w:rsidR="0081018A" w:rsidRPr="004D1FDE" w:rsidRDefault="0081018A" w:rsidP="0081018A">
      <w:pPr>
        <w:rPr>
          <w:sz w:val="22"/>
          <w:szCs w:val="22"/>
        </w:rPr>
      </w:pPr>
    </w:p>
    <w:p w14:paraId="7D7D552C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lastRenderedPageBreak/>
        <w:t>4.4</w:t>
      </w:r>
      <w:r w:rsidRPr="004D1FDE">
        <w:rPr>
          <w:b/>
          <w:sz w:val="22"/>
          <w:szCs w:val="22"/>
        </w:rPr>
        <w:tab/>
        <w:t>Osobitné upozornenia a opatrenia pri používaní</w:t>
      </w:r>
    </w:p>
    <w:p w14:paraId="4C39828D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555247F1" w14:textId="77777777" w:rsidR="0081018A" w:rsidRPr="00C1785E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Všeobecné</w:t>
      </w:r>
    </w:p>
    <w:p w14:paraId="509ED7E5" w14:textId="6C6EDBEC" w:rsidR="0081018A" w:rsidRDefault="00300EC2" w:rsidP="0081018A">
      <w:pPr>
        <w:rPr>
          <w:sz w:val="22"/>
          <w:szCs w:val="22"/>
        </w:rPr>
      </w:pPr>
      <w:r>
        <w:rPr>
          <w:sz w:val="22"/>
          <w:szCs w:val="22"/>
        </w:rPr>
        <w:t>Viglita</w:t>
      </w:r>
      <w:r w:rsidR="0081018A">
        <w:rPr>
          <w:sz w:val="22"/>
          <w:szCs w:val="22"/>
        </w:rPr>
        <w:t xml:space="preserve"> nie je náhrada inzulínu u pacientov, ktorí potrebujú inzulín. </w:t>
      </w:r>
      <w:r>
        <w:rPr>
          <w:sz w:val="22"/>
          <w:szCs w:val="22"/>
        </w:rPr>
        <w:t>Viglita</w:t>
      </w:r>
      <w:r w:rsidR="0081018A">
        <w:rPr>
          <w:sz w:val="22"/>
          <w:szCs w:val="22"/>
        </w:rPr>
        <w:t xml:space="preserve"> sa nemá používať u pacientov s dia</w:t>
      </w:r>
      <w:r w:rsidR="00E43D78">
        <w:rPr>
          <w:sz w:val="22"/>
          <w:szCs w:val="22"/>
        </w:rPr>
        <w:t>betes mellitus 1. typu alebo na </w:t>
      </w:r>
      <w:r w:rsidR="0081018A">
        <w:rPr>
          <w:sz w:val="22"/>
          <w:szCs w:val="22"/>
        </w:rPr>
        <w:t>liečbu diabetickej ketoacidózy.</w:t>
      </w:r>
    </w:p>
    <w:p w14:paraId="78CD42E1" w14:textId="77777777" w:rsidR="0081018A" w:rsidRPr="004D1FDE" w:rsidRDefault="0081018A" w:rsidP="0081018A">
      <w:pPr>
        <w:rPr>
          <w:sz w:val="22"/>
          <w:szCs w:val="22"/>
        </w:rPr>
      </w:pPr>
    </w:p>
    <w:p w14:paraId="758BB802" w14:textId="77777777" w:rsidR="0081018A" w:rsidRPr="00E972D5" w:rsidRDefault="0081018A" w:rsidP="0081018A">
      <w:pPr>
        <w:rPr>
          <w:sz w:val="22"/>
          <w:szCs w:val="22"/>
          <w:u w:val="single"/>
        </w:rPr>
      </w:pPr>
      <w:r w:rsidRPr="00E972D5">
        <w:rPr>
          <w:sz w:val="22"/>
          <w:szCs w:val="22"/>
          <w:u w:val="single"/>
        </w:rPr>
        <w:t>P</w:t>
      </w:r>
      <w:r>
        <w:rPr>
          <w:sz w:val="22"/>
          <w:szCs w:val="22"/>
          <w:u w:val="single"/>
        </w:rPr>
        <w:t>orucha funkcie obličiek</w:t>
      </w:r>
    </w:p>
    <w:p w14:paraId="0C1F11C0" w14:textId="63D98342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Skúsenosti u hemodialyzovaných pacientov s ESRD sú obmedzené. Preto sa má </w:t>
      </w:r>
      <w:r w:rsidR="00952E8C">
        <w:rPr>
          <w:sz w:val="22"/>
          <w:szCs w:val="22"/>
        </w:rPr>
        <w:t>Viglita</w:t>
      </w:r>
      <w:r>
        <w:rPr>
          <w:sz w:val="22"/>
          <w:szCs w:val="22"/>
        </w:rPr>
        <w:t xml:space="preserve"> u týchto pacientov používať s opatrnosťou (pozri aj časti 4.2, 5.1 a 5.2).</w:t>
      </w:r>
    </w:p>
    <w:p w14:paraId="1EF8B151" w14:textId="77777777" w:rsidR="0081018A" w:rsidRPr="004D1FDE" w:rsidRDefault="0081018A" w:rsidP="0081018A">
      <w:pPr>
        <w:rPr>
          <w:sz w:val="22"/>
          <w:szCs w:val="22"/>
        </w:rPr>
      </w:pPr>
    </w:p>
    <w:p w14:paraId="45B73D9A" w14:textId="77777777" w:rsidR="0081018A" w:rsidRPr="00E972D5" w:rsidRDefault="0081018A" w:rsidP="0081018A">
      <w:pPr>
        <w:rPr>
          <w:sz w:val="22"/>
          <w:szCs w:val="22"/>
          <w:u w:val="single"/>
        </w:rPr>
      </w:pPr>
      <w:r w:rsidRPr="00E972D5">
        <w:rPr>
          <w:sz w:val="22"/>
          <w:szCs w:val="22"/>
          <w:u w:val="single"/>
        </w:rPr>
        <w:t>P</w:t>
      </w:r>
      <w:r>
        <w:rPr>
          <w:sz w:val="22"/>
          <w:szCs w:val="22"/>
          <w:u w:val="single"/>
        </w:rPr>
        <w:t>orucha funkcie pečene</w:t>
      </w:r>
    </w:p>
    <w:p w14:paraId="21C31A3C" w14:textId="1C06A322" w:rsidR="0081018A" w:rsidRDefault="00952E8C" w:rsidP="0081018A">
      <w:pPr>
        <w:rPr>
          <w:sz w:val="22"/>
          <w:szCs w:val="22"/>
        </w:rPr>
      </w:pPr>
      <w:r>
        <w:rPr>
          <w:sz w:val="22"/>
          <w:szCs w:val="22"/>
        </w:rPr>
        <w:t>Viglita</w:t>
      </w:r>
      <w:r w:rsidR="0081018A">
        <w:rPr>
          <w:sz w:val="22"/>
        </w:rPr>
        <w:t xml:space="preserve"> sa nemá používať u pacientov s poruchou funkcie pečene vrátane pacientov, ktorých hodnot</w:t>
      </w:r>
      <w:r w:rsidR="002F5E4D">
        <w:rPr>
          <w:sz w:val="22"/>
        </w:rPr>
        <w:t>y ALT alebo AST pred liečbou sú </w:t>
      </w:r>
      <w:r w:rsidR="0081018A" w:rsidRPr="00DC580E">
        <w:rPr>
          <w:noProof/>
          <w:sz w:val="22"/>
          <w:szCs w:val="22"/>
          <w:lang w:eastAsia="en-US"/>
        </w:rPr>
        <w:t>&gt;</w:t>
      </w:r>
      <w:r w:rsidRPr="00DC580E">
        <w:rPr>
          <w:noProof/>
          <w:sz w:val="22"/>
          <w:szCs w:val="22"/>
          <w:lang w:eastAsia="en-US"/>
        </w:rPr>
        <w:t> </w:t>
      </w:r>
      <w:r w:rsidR="0081018A" w:rsidRPr="00DC580E">
        <w:rPr>
          <w:noProof/>
          <w:sz w:val="22"/>
          <w:szCs w:val="22"/>
          <w:lang w:eastAsia="en-US"/>
        </w:rPr>
        <w:t>3-náso</w:t>
      </w:r>
      <w:r w:rsidR="002F5E4D" w:rsidRPr="00DC580E">
        <w:rPr>
          <w:noProof/>
          <w:sz w:val="22"/>
          <w:szCs w:val="22"/>
          <w:lang w:eastAsia="en-US"/>
        </w:rPr>
        <w:t>bok ULN (pozri tiež časti 4.2 a </w:t>
      </w:r>
      <w:r w:rsidR="0081018A" w:rsidRPr="00DC580E">
        <w:rPr>
          <w:noProof/>
          <w:sz w:val="22"/>
          <w:szCs w:val="22"/>
          <w:lang w:eastAsia="en-US"/>
        </w:rPr>
        <w:t>5.2).</w:t>
      </w:r>
    </w:p>
    <w:p w14:paraId="54D228BE" w14:textId="77777777" w:rsidR="0081018A" w:rsidRPr="004D1FDE" w:rsidRDefault="0081018A" w:rsidP="0081018A">
      <w:pPr>
        <w:rPr>
          <w:sz w:val="22"/>
          <w:szCs w:val="22"/>
          <w:lang w:eastAsia="fr-FR"/>
        </w:rPr>
      </w:pPr>
    </w:p>
    <w:p w14:paraId="1D71DCAA" w14:textId="77777777" w:rsidR="0081018A" w:rsidRPr="00E972D5" w:rsidRDefault="0081018A" w:rsidP="0081018A">
      <w:pPr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  <w:lang w:eastAsia="fr-FR"/>
        </w:rPr>
        <w:t>Monitorovanie pečeňových enzýmov</w:t>
      </w:r>
    </w:p>
    <w:p w14:paraId="342B1EDB" w14:textId="7199CDB1" w:rsidR="0081018A" w:rsidRPr="004D1FDE" w:rsidRDefault="0081018A" w:rsidP="0081018A">
      <w:pPr>
        <w:rPr>
          <w:i/>
          <w:sz w:val="22"/>
        </w:rPr>
      </w:pPr>
      <w:r>
        <w:rPr>
          <w:iCs/>
          <w:sz w:val="22"/>
          <w:szCs w:val="22"/>
          <w:lang w:eastAsia="fr-FR"/>
        </w:rPr>
        <w:t xml:space="preserve">Zaznamenali sa zriedkavé prípady dysfunkcie pečene (vrátane hepatitídy). Pacienti v týchto prípadoch boli spravidla asymptomatickí bez klinických následkov a výsledky </w:t>
      </w:r>
      <w:r w:rsidR="00894802">
        <w:rPr>
          <w:iCs/>
          <w:sz w:val="22"/>
          <w:szCs w:val="22"/>
          <w:lang w:eastAsia="fr-FR"/>
        </w:rPr>
        <w:t xml:space="preserve">testov </w:t>
      </w:r>
      <w:r>
        <w:rPr>
          <w:iCs/>
          <w:sz w:val="22"/>
          <w:szCs w:val="22"/>
          <w:lang w:eastAsia="fr-FR"/>
        </w:rPr>
        <w:t>funkcie pečene sa po</w:t>
      </w:r>
      <w:r w:rsidR="002F5E4D">
        <w:rPr>
          <w:iCs/>
          <w:sz w:val="22"/>
          <w:szCs w:val="22"/>
          <w:lang w:eastAsia="fr-FR"/>
        </w:rPr>
        <w:t> </w:t>
      </w:r>
      <w:r>
        <w:rPr>
          <w:iCs/>
          <w:sz w:val="22"/>
          <w:szCs w:val="22"/>
          <w:lang w:eastAsia="fr-FR"/>
        </w:rPr>
        <w:t>ukončení liečby vrátili na normálne hodnoty. Testy funkcie</w:t>
      </w:r>
      <w:r w:rsidR="002F5E4D">
        <w:rPr>
          <w:iCs/>
          <w:sz w:val="22"/>
          <w:szCs w:val="22"/>
          <w:lang w:eastAsia="fr-FR"/>
        </w:rPr>
        <w:t xml:space="preserve"> pečene sa majú vykonať pred </w:t>
      </w:r>
      <w:r>
        <w:rPr>
          <w:iCs/>
          <w:sz w:val="22"/>
          <w:szCs w:val="22"/>
          <w:lang w:eastAsia="fr-FR"/>
        </w:rPr>
        <w:t xml:space="preserve">začatím liečby </w:t>
      </w:r>
      <w:r w:rsidR="00952E8C">
        <w:rPr>
          <w:iCs/>
          <w:sz w:val="22"/>
          <w:szCs w:val="22"/>
          <w:lang w:eastAsia="fr-FR"/>
        </w:rPr>
        <w:t>v</w:t>
      </w:r>
      <w:r w:rsidR="00952E8C">
        <w:rPr>
          <w:sz w:val="22"/>
          <w:szCs w:val="22"/>
        </w:rPr>
        <w:t>ildaglipt</w:t>
      </w:r>
      <w:r w:rsidR="0024385A">
        <w:rPr>
          <w:sz w:val="22"/>
          <w:szCs w:val="22"/>
        </w:rPr>
        <w:t>í</w:t>
      </w:r>
      <w:r w:rsidR="00952E8C">
        <w:rPr>
          <w:sz w:val="22"/>
          <w:szCs w:val="22"/>
        </w:rPr>
        <w:t>nom</w:t>
      </w:r>
      <w:r>
        <w:rPr>
          <w:iCs/>
          <w:sz w:val="22"/>
          <w:szCs w:val="22"/>
          <w:lang w:eastAsia="fr-FR"/>
        </w:rPr>
        <w:t xml:space="preserve">, aby sa zistila východisková hodnota u pacienta. Funkcia pečene sa má kontrolovať počas liečby </w:t>
      </w:r>
      <w:r w:rsidR="00952E8C">
        <w:rPr>
          <w:sz w:val="22"/>
          <w:szCs w:val="22"/>
        </w:rPr>
        <w:t>vildaglipt</w:t>
      </w:r>
      <w:r w:rsidR="0024385A">
        <w:rPr>
          <w:sz w:val="22"/>
          <w:szCs w:val="22"/>
        </w:rPr>
        <w:t>í</w:t>
      </w:r>
      <w:r w:rsidR="00952E8C">
        <w:rPr>
          <w:sz w:val="22"/>
          <w:szCs w:val="22"/>
        </w:rPr>
        <w:t>nom</w:t>
      </w:r>
      <w:r>
        <w:rPr>
          <w:iCs/>
          <w:sz w:val="22"/>
          <w:szCs w:val="22"/>
          <w:lang w:eastAsia="fr-FR"/>
        </w:rPr>
        <w:t xml:space="preserve"> v trojmesačných intervaloch počas prvého roka a následne v pravidelných intervaloch. U pacientov, u ktorých sa zvýšia hladiny aminotransferáz, sa má nález potvrdiť ďalším hodnotením funkcie pečene, po ktorom majú nasledovať č</w:t>
      </w:r>
      <w:r w:rsidR="002F5E4D">
        <w:rPr>
          <w:iCs/>
          <w:sz w:val="22"/>
          <w:szCs w:val="22"/>
          <w:lang w:eastAsia="fr-FR"/>
        </w:rPr>
        <w:t>asté testy funkcie pečene až do </w:t>
      </w:r>
      <w:r>
        <w:rPr>
          <w:iCs/>
          <w:sz w:val="22"/>
          <w:szCs w:val="22"/>
          <w:lang w:eastAsia="fr-FR"/>
        </w:rPr>
        <w:t>návratu abnormality na</w:t>
      </w:r>
      <w:r w:rsidR="002F5E4D">
        <w:rPr>
          <w:iCs/>
          <w:sz w:val="22"/>
          <w:szCs w:val="22"/>
          <w:lang w:eastAsia="fr-FR"/>
        </w:rPr>
        <w:t> </w:t>
      </w:r>
      <w:r>
        <w:rPr>
          <w:iCs/>
          <w:sz w:val="22"/>
          <w:szCs w:val="22"/>
          <w:lang w:eastAsia="fr-FR"/>
        </w:rPr>
        <w:t>normálnu hodnotu. Ak pretrváva zvýšenie AST alebo ALT na</w:t>
      </w:r>
      <w:r w:rsidR="002F5E4D">
        <w:rPr>
          <w:iCs/>
          <w:sz w:val="22"/>
          <w:szCs w:val="22"/>
          <w:lang w:eastAsia="fr-FR"/>
        </w:rPr>
        <w:t> </w:t>
      </w:r>
      <w:r>
        <w:rPr>
          <w:iCs/>
          <w:sz w:val="22"/>
          <w:szCs w:val="22"/>
          <w:lang w:eastAsia="fr-FR"/>
        </w:rPr>
        <w:t xml:space="preserve">3-násobok ULN alebo viac, odporúča sa ukončiť liečbu </w:t>
      </w:r>
      <w:r w:rsidR="0024385A">
        <w:rPr>
          <w:iCs/>
          <w:sz w:val="22"/>
          <w:szCs w:val="22"/>
          <w:lang w:eastAsia="fr-FR"/>
        </w:rPr>
        <w:t>v</w:t>
      </w:r>
      <w:r w:rsidR="0024385A">
        <w:rPr>
          <w:sz w:val="22"/>
          <w:szCs w:val="22"/>
        </w:rPr>
        <w:t>ildagliptínom</w:t>
      </w:r>
      <w:r>
        <w:rPr>
          <w:iCs/>
          <w:sz w:val="22"/>
          <w:szCs w:val="22"/>
          <w:lang w:eastAsia="fr-FR"/>
        </w:rPr>
        <w:t>.</w:t>
      </w:r>
    </w:p>
    <w:p w14:paraId="754B7AC4" w14:textId="77777777" w:rsidR="0081018A" w:rsidRDefault="0081018A" w:rsidP="0081018A">
      <w:pPr>
        <w:rPr>
          <w:sz w:val="22"/>
          <w:szCs w:val="22"/>
        </w:rPr>
      </w:pPr>
    </w:p>
    <w:p w14:paraId="6BB1AEC8" w14:textId="63E9E20C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Pacienti, u ktorých vznikne žltačka alebo iné </w:t>
      </w:r>
      <w:r w:rsidR="00074202">
        <w:rPr>
          <w:sz w:val="22"/>
          <w:szCs w:val="22"/>
        </w:rPr>
        <w:t>prejavy</w:t>
      </w:r>
      <w:r w:rsidR="002F5E4D">
        <w:rPr>
          <w:sz w:val="22"/>
          <w:szCs w:val="22"/>
        </w:rPr>
        <w:t xml:space="preserve"> poukazujúce na </w:t>
      </w:r>
      <w:r>
        <w:rPr>
          <w:sz w:val="22"/>
          <w:szCs w:val="22"/>
        </w:rPr>
        <w:t xml:space="preserve">dysfunkciu pečene, majú </w:t>
      </w:r>
      <w:r w:rsidR="0024385A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 vysadiť.</w:t>
      </w:r>
    </w:p>
    <w:p w14:paraId="1A8B18FB" w14:textId="77777777" w:rsidR="0081018A" w:rsidRDefault="0081018A" w:rsidP="0081018A">
      <w:pPr>
        <w:rPr>
          <w:sz w:val="22"/>
          <w:szCs w:val="22"/>
        </w:rPr>
      </w:pPr>
    </w:p>
    <w:p w14:paraId="654A256E" w14:textId="486A6B0B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Po ukončení liečby </w:t>
      </w:r>
      <w:r w:rsidR="0024385A">
        <w:rPr>
          <w:sz w:val="22"/>
          <w:szCs w:val="22"/>
        </w:rPr>
        <w:t>vildagliptín</w:t>
      </w:r>
      <w:r>
        <w:rPr>
          <w:sz w:val="22"/>
          <w:szCs w:val="22"/>
        </w:rPr>
        <w:t>om a n</w:t>
      </w:r>
      <w:r w:rsidR="002F5E4D">
        <w:rPr>
          <w:sz w:val="22"/>
          <w:szCs w:val="22"/>
        </w:rPr>
        <w:t>ávratu testov funkcie pečene na </w:t>
      </w:r>
      <w:r>
        <w:rPr>
          <w:sz w:val="22"/>
          <w:szCs w:val="22"/>
        </w:rPr>
        <w:t xml:space="preserve">normálne hodnoty sa liečba </w:t>
      </w:r>
      <w:r w:rsidR="0024385A">
        <w:rPr>
          <w:sz w:val="22"/>
          <w:szCs w:val="22"/>
        </w:rPr>
        <w:t>vildagliptín</w:t>
      </w:r>
      <w:r>
        <w:rPr>
          <w:sz w:val="22"/>
          <w:szCs w:val="22"/>
        </w:rPr>
        <w:t>om nemá znovu začať.</w:t>
      </w:r>
    </w:p>
    <w:p w14:paraId="688ADB67" w14:textId="77777777" w:rsidR="0081018A" w:rsidRDefault="0081018A" w:rsidP="0081018A">
      <w:pPr>
        <w:rPr>
          <w:sz w:val="22"/>
          <w:szCs w:val="22"/>
        </w:rPr>
      </w:pPr>
    </w:p>
    <w:p w14:paraId="320FF495" w14:textId="77777777" w:rsidR="0081018A" w:rsidRPr="00E972D5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Srdcové zlyhávanie</w:t>
      </w:r>
    </w:p>
    <w:p w14:paraId="2926BCC4" w14:textId="6A752826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Klinické skúšanie vildagliptínu u</w:t>
      </w:r>
      <w:r w:rsidR="002F5E4D">
        <w:rPr>
          <w:sz w:val="22"/>
          <w:szCs w:val="22"/>
        </w:rPr>
        <w:t> pacientov s funkčnou triedou I </w:t>
      </w:r>
      <w:r>
        <w:rPr>
          <w:sz w:val="22"/>
          <w:szCs w:val="22"/>
        </w:rPr>
        <w:t>-</w:t>
      </w:r>
      <w:r w:rsidR="002F5E4D">
        <w:rPr>
          <w:sz w:val="22"/>
          <w:szCs w:val="22"/>
        </w:rPr>
        <w:t> </w:t>
      </w:r>
      <w:r>
        <w:rPr>
          <w:sz w:val="22"/>
          <w:szCs w:val="22"/>
        </w:rPr>
        <w:t>III podľa New York Heart Association (NYHA) ukázalo, ž</w:t>
      </w:r>
      <w:r w:rsidR="002F5E4D">
        <w:rPr>
          <w:sz w:val="22"/>
          <w:szCs w:val="22"/>
        </w:rPr>
        <w:t>e</w:t>
      </w:r>
      <w:r>
        <w:rPr>
          <w:sz w:val="22"/>
          <w:szCs w:val="22"/>
        </w:rPr>
        <w:t xml:space="preserve"> liečba vildagliptínom sa nespájala so</w:t>
      </w:r>
      <w:r w:rsidR="002F5E4D">
        <w:rPr>
          <w:sz w:val="22"/>
          <w:szCs w:val="22"/>
        </w:rPr>
        <w:t> </w:t>
      </w:r>
      <w:r>
        <w:rPr>
          <w:sz w:val="22"/>
          <w:szCs w:val="22"/>
        </w:rPr>
        <w:t>zmenou funkcie ľavej komory alebo zhoršením už prítomného kongestívneho zlyhávania srdca (CHF) oproti placebu. Klinické skúsenosti u pacientov s funkčnou triedou III podľa NYHA liečených vildagliptínom sú stále obmedzené a výsledky sú nejednoznačné (pozri časť 5.1).</w:t>
      </w:r>
    </w:p>
    <w:p w14:paraId="4E246D5D" w14:textId="77777777" w:rsidR="0081018A" w:rsidRDefault="0081018A" w:rsidP="0081018A">
      <w:pPr>
        <w:rPr>
          <w:sz w:val="22"/>
          <w:szCs w:val="22"/>
        </w:rPr>
      </w:pPr>
    </w:p>
    <w:p w14:paraId="66847188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Nie sú skúsenosti s použitím vildagliptínu v klinických skúšaniach s pacientmi s funkčnou triedou IV podľa NYHA, preto sa jeho použitie u týchto pacientov neodporúča.</w:t>
      </w:r>
    </w:p>
    <w:p w14:paraId="02046C11" w14:textId="77777777" w:rsidR="0081018A" w:rsidRDefault="0081018A" w:rsidP="0081018A">
      <w:pPr>
        <w:rPr>
          <w:sz w:val="22"/>
          <w:szCs w:val="22"/>
        </w:rPr>
      </w:pPr>
    </w:p>
    <w:p w14:paraId="7EB26CBD" w14:textId="77777777" w:rsidR="0081018A" w:rsidRPr="00E972D5" w:rsidRDefault="0081018A" w:rsidP="0081018A">
      <w:pPr>
        <w:rPr>
          <w:sz w:val="22"/>
          <w:szCs w:val="22"/>
          <w:u w:val="single"/>
        </w:rPr>
      </w:pPr>
      <w:r w:rsidRPr="00E972D5">
        <w:rPr>
          <w:sz w:val="22"/>
          <w:szCs w:val="22"/>
          <w:u w:val="single"/>
        </w:rPr>
        <w:t>Ochoreni</w:t>
      </w:r>
      <w:r>
        <w:rPr>
          <w:sz w:val="22"/>
          <w:szCs w:val="22"/>
          <w:u w:val="single"/>
        </w:rPr>
        <w:t>a</w:t>
      </w:r>
      <w:r w:rsidRPr="00E972D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kože</w:t>
      </w:r>
    </w:p>
    <w:p w14:paraId="1E028115" w14:textId="16E0EC43" w:rsidR="0081018A" w:rsidRPr="001A0188" w:rsidRDefault="0081018A" w:rsidP="0081018A">
      <w:pPr>
        <w:rPr>
          <w:sz w:val="22"/>
          <w:szCs w:val="22"/>
          <w:lang w:eastAsia="fr-FR"/>
        </w:rPr>
      </w:pPr>
      <w:r w:rsidRPr="001A0188">
        <w:rPr>
          <w:sz w:val="22"/>
          <w:szCs w:val="22"/>
          <w:lang w:eastAsia="fr-FR"/>
        </w:rPr>
        <w:t>Kožné lézie vrátane pľuzgierov a</w:t>
      </w:r>
      <w:r w:rsidR="002F5E4D">
        <w:rPr>
          <w:sz w:val="22"/>
          <w:szCs w:val="22"/>
          <w:lang w:eastAsia="fr-FR"/>
        </w:rPr>
        <w:t> ulcerácie sa zaznamenali na </w:t>
      </w:r>
      <w:r w:rsidRPr="001A0188">
        <w:rPr>
          <w:sz w:val="22"/>
          <w:szCs w:val="22"/>
          <w:lang w:eastAsia="fr-FR"/>
        </w:rPr>
        <w:t>končatinách opíc v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neklinických toxikologických štúdiách (pozri časť</w:t>
      </w:r>
      <w:r>
        <w:rPr>
          <w:sz w:val="22"/>
          <w:szCs w:val="22"/>
          <w:lang w:eastAsia="fr-FR"/>
        </w:rPr>
        <w:t xml:space="preserve"> </w:t>
      </w:r>
      <w:r w:rsidRPr="001A0188">
        <w:rPr>
          <w:sz w:val="22"/>
          <w:szCs w:val="22"/>
          <w:lang w:eastAsia="fr-FR"/>
        </w:rPr>
        <w:t>5.3). Hoci sa zvýšená incidencia kožných lézií nepozorovala v</w:t>
      </w:r>
      <w:r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klinických skúšaniach, skúsenosti u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pacientov s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diabetickými kožnými komplikáciami bol</w:t>
      </w:r>
      <w:r w:rsidR="002F5E4D">
        <w:rPr>
          <w:sz w:val="22"/>
          <w:szCs w:val="22"/>
          <w:lang w:eastAsia="fr-FR"/>
        </w:rPr>
        <w:t>i obmedzené. Okrem toho boli po </w:t>
      </w:r>
      <w:r w:rsidRPr="001A0188">
        <w:rPr>
          <w:sz w:val="22"/>
          <w:szCs w:val="22"/>
          <w:lang w:eastAsia="fr-FR"/>
        </w:rPr>
        <w:t>uvedení na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trh hlásené bulózn</w:t>
      </w:r>
      <w:r w:rsidR="002F5E4D">
        <w:rPr>
          <w:sz w:val="22"/>
          <w:szCs w:val="22"/>
          <w:lang w:eastAsia="fr-FR"/>
        </w:rPr>
        <w:t>e a </w:t>
      </w:r>
      <w:r w:rsidRPr="001A0188">
        <w:rPr>
          <w:sz w:val="22"/>
          <w:szCs w:val="22"/>
          <w:lang w:eastAsia="fr-FR"/>
        </w:rPr>
        <w:t>exfoliatívne kožné lézie. Preto sa v</w:t>
      </w:r>
      <w:r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súlade s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>rutinnou starostlivosťou o</w:t>
      </w:r>
      <w:r w:rsidR="002F5E4D">
        <w:rPr>
          <w:sz w:val="22"/>
          <w:szCs w:val="22"/>
          <w:lang w:eastAsia="fr-FR"/>
        </w:rPr>
        <w:t> </w:t>
      </w:r>
      <w:r w:rsidRPr="001A0188">
        <w:rPr>
          <w:sz w:val="22"/>
          <w:szCs w:val="22"/>
          <w:lang w:eastAsia="fr-FR"/>
        </w:rPr>
        <w:t xml:space="preserve">diabetického pacienta odporúča sledovať ochorenia kože, ako je </w:t>
      </w:r>
    </w:p>
    <w:p w14:paraId="611EB4C1" w14:textId="77777777" w:rsidR="0081018A" w:rsidRDefault="0081018A" w:rsidP="0081018A">
      <w:pPr>
        <w:rPr>
          <w:i/>
          <w:sz w:val="22"/>
          <w:szCs w:val="22"/>
        </w:rPr>
      </w:pPr>
      <w:r w:rsidRPr="001A0188">
        <w:rPr>
          <w:sz w:val="22"/>
          <w:szCs w:val="22"/>
          <w:lang w:eastAsia="fr-FR"/>
        </w:rPr>
        <w:t>tvorba pľuzgierov alebo</w:t>
      </w:r>
      <w:r>
        <w:rPr>
          <w:sz w:val="22"/>
          <w:szCs w:val="22"/>
          <w:lang w:eastAsia="fr-FR"/>
        </w:rPr>
        <w:t xml:space="preserve"> </w:t>
      </w:r>
      <w:r w:rsidRPr="001A0188">
        <w:rPr>
          <w:sz w:val="22"/>
          <w:szCs w:val="22"/>
          <w:lang w:eastAsia="fr-FR"/>
        </w:rPr>
        <w:t>ulcerácia.</w:t>
      </w:r>
      <w:r w:rsidRPr="004D1FDE">
        <w:rPr>
          <w:i/>
          <w:sz w:val="22"/>
          <w:szCs w:val="22"/>
        </w:rPr>
        <w:t xml:space="preserve"> </w:t>
      </w:r>
    </w:p>
    <w:p w14:paraId="72093DCE" w14:textId="77777777" w:rsidR="0081018A" w:rsidRDefault="0081018A" w:rsidP="0081018A">
      <w:pPr>
        <w:rPr>
          <w:i/>
          <w:sz w:val="22"/>
          <w:szCs w:val="22"/>
        </w:rPr>
      </w:pPr>
    </w:p>
    <w:p w14:paraId="6795050A" w14:textId="77777777" w:rsidR="0081018A" w:rsidRPr="00C10718" w:rsidRDefault="0081018A" w:rsidP="0081018A">
      <w:pPr>
        <w:rPr>
          <w:sz w:val="22"/>
          <w:szCs w:val="22"/>
          <w:u w:val="single"/>
        </w:rPr>
      </w:pPr>
      <w:r w:rsidRPr="00C10718">
        <w:rPr>
          <w:sz w:val="22"/>
          <w:szCs w:val="22"/>
          <w:u w:val="single"/>
        </w:rPr>
        <w:t>Akútna pankreatitída</w:t>
      </w:r>
    </w:p>
    <w:p w14:paraId="5AEF3E8D" w14:textId="3F39BBC6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Použitie vildagliptínu sa dáva do</w:t>
      </w:r>
      <w:r w:rsidR="002F5E4D">
        <w:rPr>
          <w:sz w:val="22"/>
          <w:szCs w:val="22"/>
        </w:rPr>
        <w:t> </w:t>
      </w:r>
      <w:r w:rsidRPr="00C10718">
        <w:rPr>
          <w:sz w:val="22"/>
          <w:szCs w:val="22"/>
        </w:rPr>
        <w:t>súvislosti s</w:t>
      </w:r>
      <w:r w:rsidR="002F5E4D">
        <w:rPr>
          <w:sz w:val="22"/>
          <w:szCs w:val="22"/>
        </w:rPr>
        <w:t> </w:t>
      </w:r>
      <w:r w:rsidRPr="00C10718">
        <w:rPr>
          <w:sz w:val="22"/>
          <w:szCs w:val="22"/>
        </w:rPr>
        <w:t>rizikom vzniku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akútnej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pankreatitídy. Pac</w:t>
      </w:r>
      <w:r w:rsidR="002F5E4D">
        <w:rPr>
          <w:sz w:val="22"/>
          <w:szCs w:val="22"/>
        </w:rPr>
        <w:t>ientov je potrebné informovať o </w:t>
      </w:r>
      <w:r w:rsidRPr="00C10718">
        <w:rPr>
          <w:sz w:val="22"/>
          <w:szCs w:val="22"/>
        </w:rPr>
        <w:t xml:space="preserve">charakteristických </w:t>
      </w:r>
      <w:r>
        <w:rPr>
          <w:sz w:val="22"/>
          <w:szCs w:val="22"/>
        </w:rPr>
        <w:t>príznak</w:t>
      </w:r>
      <w:r w:rsidRPr="00C10718">
        <w:rPr>
          <w:sz w:val="22"/>
          <w:szCs w:val="22"/>
        </w:rPr>
        <w:t>och akútnej pankreatitídy.</w:t>
      </w:r>
    </w:p>
    <w:p w14:paraId="273F92F9" w14:textId="77777777" w:rsidR="0081018A" w:rsidRPr="00C10718" w:rsidRDefault="0081018A" w:rsidP="0081018A">
      <w:pPr>
        <w:rPr>
          <w:sz w:val="22"/>
          <w:szCs w:val="22"/>
        </w:rPr>
      </w:pPr>
    </w:p>
    <w:p w14:paraId="4CF61593" w14:textId="7AB76576" w:rsidR="0081018A" w:rsidRDefault="00DF747A" w:rsidP="0081018A">
      <w:pPr>
        <w:rPr>
          <w:sz w:val="22"/>
          <w:szCs w:val="22"/>
        </w:rPr>
      </w:pPr>
      <w:r>
        <w:rPr>
          <w:sz w:val="22"/>
          <w:szCs w:val="22"/>
        </w:rPr>
        <w:lastRenderedPageBreak/>
        <w:t>Pri podozrení na </w:t>
      </w:r>
      <w:r w:rsidR="0081018A" w:rsidRPr="00C10718">
        <w:rPr>
          <w:sz w:val="22"/>
          <w:szCs w:val="22"/>
        </w:rPr>
        <w:t>pankreatitídu sa má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vildagliptín vysadiť</w:t>
      </w:r>
      <w:r>
        <w:rPr>
          <w:sz w:val="22"/>
          <w:szCs w:val="22"/>
        </w:rPr>
        <w:t>;</w:t>
      </w:r>
      <w:r w:rsidR="0081018A" w:rsidRPr="00C10718">
        <w:rPr>
          <w:sz w:val="22"/>
          <w:szCs w:val="22"/>
        </w:rPr>
        <w:t xml:space="preserve"> ak sa akútna pankreatitída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potvrdí, vildagliptín sa nemá znova podávať. Opatrnosť je potrebná u</w:t>
      </w:r>
      <w:r>
        <w:rPr>
          <w:sz w:val="22"/>
          <w:szCs w:val="22"/>
        </w:rPr>
        <w:t> </w:t>
      </w:r>
      <w:r w:rsidR="0081018A" w:rsidRPr="00C10718">
        <w:rPr>
          <w:sz w:val="22"/>
          <w:szCs w:val="22"/>
        </w:rPr>
        <w:t>pacientov s</w:t>
      </w:r>
      <w:r w:rsidR="0081018A">
        <w:rPr>
          <w:sz w:val="22"/>
          <w:szCs w:val="22"/>
        </w:rPr>
        <w:t> </w:t>
      </w:r>
      <w:r w:rsidR="0081018A" w:rsidRPr="00C10718">
        <w:rPr>
          <w:sz w:val="22"/>
          <w:szCs w:val="22"/>
        </w:rPr>
        <w:t>akútnou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pankreatitídou v</w:t>
      </w:r>
      <w:r w:rsidR="0081018A">
        <w:rPr>
          <w:sz w:val="22"/>
          <w:szCs w:val="22"/>
        </w:rPr>
        <w:t> </w:t>
      </w:r>
      <w:r w:rsidR="0081018A" w:rsidRPr="00C10718">
        <w:rPr>
          <w:sz w:val="22"/>
          <w:szCs w:val="22"/>
        </w:rPr>
        <w:t xml:space="preserve">anamnéze. </w:t>
      </w:r>
    </w:p>
    <w:p w14:paraId="17A68E4F" w14:textId="77777777" w:rsidR="0081018A" w:rsidRDefault="0081018A" w:rsidP="0081018A">
      <w:pPr>
        <w:rPr>
          <w:sz w:val="22"/>
          <w:szCs w:val="22"/>
        </w:rPr>
      </w:pPr>
    </w:p>
    <w:p w14:paraId="6BAE215F" w14:textId="77777777" w:rsidR="0081018A" w:rsidRDefault="0081018A" w:rsidP="0081018A">
      <w:pPr>
        <w:rPr>
          <w:sz w:val="22"/>
          <w:szCs w:val="22"/>
          <w:u w:val="single"/>
        </w:rPr>
      </w:pPr>
      <w:r w:rsidRPr="00C10718">
        <w:rPr>
          <w:sz w:val="22"/>
          <w:szCs w:val="22"/>
          <w:u w:val="single"/>
        </w:rPr>
        <w:t>Hypoglykémia</w:t>
      </w:r>
    </w:p>
    <w:p w14:paraId="12432DF4" w14:textId="3A3E1AF2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Je známe, že sulfonylureové antidiabetiká vyvolávajú hypoglykémiu. U pacientov, ktorí dostávajú vildagliptín</w:t>
      </w:r>
      <w:r w:rsidR="00DF747A">
        <w:rPr>
          <w:sz w:val="22"/>
          <w:szCs w:val="22"/>
        </w:rPr>
        <w:t xml:space="preserve"> v </w:t>
      </w:r>
      <w:r w:rsidRPr="00C10718">
        <w:rPr>
          <w:sz w:val="22"/>
          <w:szCs w:val="22"/>
        </w:rPr>
        <w:t>kombinácii so</w:t>
      </w:r>
      <w:r w:rsidR="00DF747A">
        <w:rPr>
          <w:sz w:val="22"/>
          <w:szCs w:val="22"/>
        </w:rPr>
        <w:t> </w:t>
      </w:r>
      <w:r w:rsidRPr="00C10718">
        <w:rPr>
          <w:sz w:val="22"/>
          <w:szCs w:val="22"/>
        </w:rPr>
        <w:t>sulfonylureovým</w:t>
      </w:r>
      <w:r w:rsidR="00FC2F4F"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 xml:space="preserve">antidiabetikom, </w:t>
      </w:r>
      <w:r w:rsidR="00DF747A">
        <w:rPr>
          <w:sz w:val="22"/>
          <w:szCs w:val="22"/>
        </w:rPr>
        <w:t>môže byť</w:t>
      </w:r>
      <w:r w:rsidRPr="00C10718">
        <w:rPr>
          <w:sz w:val="22"/>
          <w:szCs w:val="22"/>
        </w:rPr>
        <w:t xml:space="preserve"> riziko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hypoglykémie. Preto sa môže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zvážiť nižšia dávka sulfonylureového antidiabetika, aby sa znížilo riziko hypoglykémie.</w:t>
      </w:r>
    </w:p>
    <w:p w14:paraId="3646A79B" w14:textId="77777777" w:rsidR="0081018A" w:rsidRDefault="0081018A" w:rsidP="0081018A">
      <w:pPr>
        <w:rPr>
          <w:sz w:val="22"/>
          <w:szCs w:val="22"/>
        </w:rPr>
      </w:pPr>
    </w:p>
    <w:p w14:paraId="4F98C777" w14:textId="64216CCD" w:rsidR="0081018A" w:rsidRDefault="00FC2F4F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Laktóza a s</w:t>
      </w:r>
      <w:r w:rsidR="0081018A" w:rsidRPr="00C10718">
        <w:rPr>
          <w:sz w:val="22"/>
          <w:szCs w:val="22"/>
          <w:u w:val="single"/>
        </w:rPr>
        <w:t>odík</w:t>
      </w:r>
    </w:p>
    <w:p w14:paraId="1A6A59B2" w14:textId="65907EC5" w:rsidR="00FC2F4F" w:rsidRDefault="00FC2F4F" w:rsidP="00FC2F4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Tento liek obsahuje laktózu. </w:t>
      </w:r>
      <w:r>
        <w:rPr>
          <w:rFonts w:eastAsiaTheme="minorHAnsi"/>
          <w:sz w:val="22"/>
          <w:szCs w:val="22"/>
          <w:lang w:eastAsia="en-US"/>
        </w:rPr>
        <w:t xml:space="preserve">Pacienti so zriedkavými dedičnými problémami galaktózovej intolerancie, </w:t>
      </w:r>
      <w:r w:rsidRPr="00DF747A">
        <w:rPr>
          <w:rFonts w:eastAsiaTheme="minorHAnsi"/>
          <w:sz w:val="22"/>
          <w:szCs w:val="22"/>
          <w:lang w:eastAsia="en-US"/>
        </w:rPr>
        <w:t>lapónskeho deficitu laktázy alebo</w:t>
      </w:r>
      <w:r>
        <w:rPr>
          <w:rFonts w:eastAsiaTheme="minorHAnsi"/>
          <w:sz w:val="22"/>
          <w:szCs w:val="22"/>
          <w:lang w:eastAsia="en-US"/>
        </w:rPr>
        <w:t xml:space="preserve"> glukózo-galaktózovej malabsorpcie nesmú užívať tento liek.</w:t>
      </w:r>
    </w:p>
    <w:p w14:paraId="3328F81F" w14:textId="77777777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Tento liek obsahuje menej ako 1 mmol sodíka (23 mg) v jednej tablete, t.j. v podstate „bez sodíka“.</w:t>
      </w:r>
    </w:p>
    <w:p w14:paraId="45C39993" w14:textId="77777777" w:rsidR="0081018A" w:rsidRDefault="0081018A" w:rsidP="0081018A">
      <w:pPr>
        <w:ind w:left="567" w:hanging="567"/>
        <w:outlineLvl w:val="0"/>
        <w:rPr>
          <w:b/>
          <w:sz w:val="22"/>
          <w:szCs w:val="22"/>
        </w:rPr>
      </w:pPr>
    </w:p>
    <w:p w14:paraId="7BE76DD9" w14:textId="77777777" w:rsidR="0081018A" w:rsidRPr="004D1FDE" w:rsidRDefault="0081018A" w:rsidP="0081018A">
      <w:pPr>
        <w:ind w:left="567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4D1FDE">
        <w:rPr>
          <w:b/>
          <w:sz w:val="22"/>
          <w:szCs w:val="22"/>
        </w:rPr>
        <w:t>.5</w:t>
      </w:r>
      <w:r w:rsidRPr="004D1FDE">
        <w:rPr>
          <w:b/>
          <w:sz w:val="22"/>
          <w:szCs w:val="22"/>
        </w:rPr>
        <w:tab/>
        <w:t>Liekové a iné interakcie</w:t>
      </w:r>
    </w:p>
    <w:p w14:paraId="786E08AD" w14:textId="77777777" w:rsidR="0081018A" w:rsidRDefault="0081018A" w:rsidP="0081018A">
      <w:pPr>
        <w:rPr>
          <w:sz w:val="22"/>
          <w:szCs w:val="22"/>
        </w:rPr>
      </w:pPr>
    </w:p>
    <w:p w14:paraId="304FD5F3" w14:textId="0E7C1D8E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Vildagliptín má nízky potenciál pre</w:t>
      </w:r>
      <w:r w:rsidR="00724C8E">
        <w:rPr>
          <w:sz w:val="22"/>
          <w:szCs w:val="22"/>
        </w:rPr>
        <w:t> </w:t>
      </w:r>
      <w:r w:rsidRPr="00C10718">
        <w:rPr>
          <w:sz w:val="22"/>
          <w:szCs w:val="22"/>
        </w:rPr>
        <w:t>interakcie</w:t>
      </w:r>
      <w:r>
        <w:rPr>
          <w:sz w:val="22"/>
          <w:szCs w:val="22"/>
        </w:rPr>
        <w:t xml:space="preserve"> </w:t>
      </w:r>
      <w:r w:rsidR="0079113D">
        <w:rPr>
          <w:sz w:val="22"/>
          <w:szCs w:val="22"/>
        </w:rPr>
        <w:t>so </w:t>
      </w:r>
      <w:r w:rsidRPr="00C10718">
        <w:rPr>
          <w:sz w:val="22"/>
          <w:szCs w:val="22"/>
        </w:rPr>
        <w:t>sú</w:t>
      </w:r>
      <w:r>
        <w:rPr>
          <w:sz w:val="22"/>
          <w:szCs w:val="22"/>
        </w:rPr>
        <w:t>bež</w:t>
      </w:r>
      <w:r w:rsidRPr="00C10718">
        <w:rPr>
          <w:sz w:val="22"/>
          <w:szCs w:val="22"/>
        </w:rPr>
        <w:t xml:space="preserve">ne podávanými liekmi. Keďže vildagliptín nie je substrát </w:t>
      </w:r>
      <w:r w:rsidR="0079113D">
        <w:rPr>
          <w:sz w:val="22"/>
          <w:szCs w:val="22"/>
        </w:rPr>
        <w:t>enzýmu cytochrómu P (CYP) 450 a </w:t>
      </w:r>
      <w:r w:rsidRPr="00C10718">
        <w:rPr>
          <w:sz w:val="22"/>
          <w:szCs w:val="22"/>
        </w:rPr>
        <w:t>neinh</w:t>
      </w:r>
      <w:r>
        <w:rPr>
          <w:sz w:val="22"/>
          <w:szCs w:val="22"/>
        </w:rPr>
        <w:t>ibuje ani neindukuje enzýmy CYP</w:t>
      </w:r>
      <w:r w:rsidR="0079113D"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450, nie je pravdepodobné, že bude interagovať</w:t>
      </w:r>
      <w:r>
        <w:rPr>
          <w:sz w:val="22"/>
          <w:szCs w:val="22"/>
        </w:rPr>
        <w:t xml:space="preserve"> </w:t>
      </w:r>
      <w:r w:rsidR="00FC2F4F">
        <w:rPr>
          <w:sz w:val="22"/>
          <w:szCs w:val="22"/>
        </w:rPr>
        <w:t>s </w:t>
      </w:r>
      <w:r w:rsidR="00894802">
        <w:rPr>
          <w:sz w:val="22"/>
          <w:szCs w:val="22"/>
        </w:rPr>
        <w:t>liečivami</w:t>
      </w:r>
      <w:r w:rsidRPr="00C10718">
        <w:rPr>
          <w:sz w:val="22"/>
          <w:szCs w:val="22"/>
        </w:rPr>
        <w:t>, ktoré sú substrátmi, inhibítormi alebo induktormi týchto enzýmov.</w:t>
      </w:r>
    </w:p>
    <w:p w14:paraId="01CFA3EC" w14:textId="77777777" w:rsidR="0081018A" w:rsidRPr="00C10718" w:rsidRDefault="0081018A" w:rsidP="0081018A">
      <w:pPr>
        <w:rPr>
          <w:sz w:val="22"/>
          <w:szCs w:val="22"/>
        </w:rPr>
      </w:pPr>
    </w:p>
    <w:p w14:paraId="15D043A4" w14:textId="500A8003" w:rsidR="0081018A" w:rsidRPr="00030E5C" w:rsidRDefault="0079113D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Kombinácia s pioglitazónom, metformínom a </w:t>
      </w:r>
      <w:r w:rsidR="0081018A" w:rsidRPr="00030E5C">
        <w:rPr>
          <w:sz w:val="22"/>
          <w:szCs w:val="22"/>
          <w:u w:val="single"/>
        </w:rPr>
        <w:t>glyburidom</w:t>
      </w:r>
    </w:p>
    <w:p w14:paraId="71BFB92D" w14:textId="77777777" w:rsidR="0081018A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Výsledky štúdií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vykonaných s</w:t>
      </w:r>
      <w:r>
        <w:rPr>
          <w:sz w:val="22"/>
          <w:szCs w:val="22"/>
        </w:rPr>
        <w:t> </w:t>
      </w:r>
      <w:r w:rsidRPr="00C10718">
        <w:rPr>
          <w:sz w:val="22"/>
          <w:szCs w:val="22"/>
        </w:rPr>
        <w:t>týmito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perorálnymi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antidiabetikami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neukázali žiadne klinicky významné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farmakokinetické interakcie.</w:t>
      </w:r>
    </w:p>
    <w:p w14:paraId="632FF8F1" w14:textId="77777777" w:rsidR="0081018A" w:rsidRPr="00C10718" w:rsidRDefault="0081018A" w:rsidP="0081018A">
      <w:pPr>
        <w:rPr>
          <w:sz w:val="22"/>
          <w:szCs w:val="22"/>
        </w:rPr>
      </w:pPr>
    </w:p>
    <w:p w14:paraId="426E30A8" w14:textId="77777777" w:rsidR="0081018A" w:rsidRPr="00030E5C" w:rsidRDefault="0081018A" w:rsidP="0081018A">
      <w:pPr>
        <w:rPr>
          <w:sz w:val="22"/>
          <w:szCs w:val="22"/>
          <w:u w:val="single"/>
        </w:rPr>
      </w:pPr>
      <w:r w:rsidRPr="00030E5C">
        <w:rPr>
          <w:sz w:val="22"/>
          <w:szCs w:val="22"/>
          <w:u w:val="single"/>
        </w:rPr>
        <w:t>Digoxín (substrát Pgp), warfarín (substrát CYP2C9)</w:t>
      </w:r>
    </w:p>
    <w:p w14:paraId="184D8795" w14:textId="3DFB9319" w:rsidR="0081018A" w:rsidRPr="00C10718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Klinické štúdie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vykonané</w:t>
      </w:r>
      <w:r>
        <w:rPr>
          <w:sz w:val="22"/>
          <w:szCs w:val="22"/>
        </w:rPr>
        <w:t xml:space="preserve"> </w:t>
      </w:r>
      <w:r w:rsidR="0079113D">
        <w:rPr>
          <w:sz w:val="22"/>
          <w:szCs w:val="22"/>
        </w:rPr>
        <w:t>so </w:t>
      </w:r>
      <w:r w:rsidRPr="00C10718">
        <w:rPr>
          <w:sz w:val="22"/>
          <w:szCs w:val="22"/>
        </w:rPr>
        <w:t>zdravými osobami neukázali žiadne klinicky významné farmakokinetické interakcie. Toto sa však nestanovilo u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cieľovej populácie.</w:t>
      </w:r>
    </w:p>
    <w:p w14:paraId="71571DD7" w14:textId="77777777" w:rsidR="0081018A" w:rsidRDefault="0081018A" w:rsidP="0081018A">
      <w:pPr>
        <w:rPr>
          <w:sz w:val="22"/>
          <w:szCs w:val="22"/>
        </w:rPr>
      </w:pPr>
    </w:p>
    <w:p w14:paraId="3620C295" w14:textId="79A3F49A" w:rsidR="0081018A" w:rsidRPr="00030E5C" w:rsidRDefault="0081018A" w:rsidP="0081018A">
      <w:pPr>
        <w:rPr>
          <w:sz w:val="22"/>
          <w:szCs w:val="22"/>
          <w:u w:val="single"/>
        </w:rPr>
      </w:pPr>
      <w:r w:rsidRPr="00030E5C">
        <w:rPr>
          <w:sz w:val="22"/>
          <w:szCs w:val="22"/>
          <w:u w:val="single"/>
        </w:rPr>
        <w:t>Kombinácia s</w:t>
      </w:r>
      <w:r w:rsidR="0079113D">
        <w:rPr>
          <w:sz w:val="22"/>
          <w:szCs w:val="22"/>
          <w:u w:val="single"/>
        </w:rPr>
        <w:t> </w:t>
      </w:r>
      <w:r w:rsidRPr="00030E5C">
        <w:rPr>
          <w:sz w:val="22"/>
          <w:szCs w:val="22"/>
          <w:u w:val="single"/>
        </w:rPr>
        <w:t>amlodipínom, ramiprilom, valsartanom alebo simvastatínom</w:t>
      </w:r>
    </w:p>
    <w:p w14:paraId="21D5A32D" w14:textId="256B90A8" w:rsidR="0081018A" w:rsidRPr="00C10718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Štúdie liekových interakcií u</w:t>
      </w:r>
      <w:r>
        <w:rPr>
          <w:sz w:val="22"/>
          <w:szCs w:val="22"/>
        </w:rPr>
        <w:t> </w:t>
      </w:r>
      <w:r w:rsidRPr="00C10718">
        <w:rPr>
          <w:sz w:val="22"/>
          <w:szCs w:val="22"/>
        </w:rPr>
        <w:t>zdravých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osôb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sa vykonali s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amlodipínom, ramiprilom, valsartanom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C10718">
        <w:rPr>
          <w:sz w:val="22"/>
          <w:szCs w:val="22"/>
        </w:rPr>
        <w:t>simvastatínom. V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týchto štúdiách sa nepozorovali žiadne klinicky významné</w:t>
      </w:r>
      <w:r w:rsidR="0079113D">
        <w:rPr>
          <w:sz w:val="22"/>
          <w:szCs w:val="22"/>
        </w:rPr>
        <w:t xml:space="preserve"> farmakokinetické interakcie po </w:t>
      </w:r>
      <w:r w:rsidRPr="00C10718">
        <w:rPr>
          <w:sz w:val="22"/>
          <w:szCs w:val="22"/>
        </w:rPr>
        <w:t>sú</w:t>
      </w:r>
      <w:r>
        <w:rPr>
          <w:sz w:val="22"/>
          <w:szCs w:val="22"/>
        </w:rPr>
        <w:t>bež</w:t>
      </w:r>
      <w:r w:rsidRPr="00C10718">
        <w:rPr>
          <w:sz w:val="22"/>
          <w:szCs w:val="22"/>
        </w:rPr>
        <w:t>nom podaní s</w:t>
      </w:r>
      <w:r w:rsidR="0079113D">
        <w:rPr>
          <w:sz w:val="22"/>
          <w:szCs w:val="22"/>
        </w:rPr>
        <w:t> </w:t>
      </w:r>
      <w:r w:rsidRPr="00C10718">
        <w:rPr>
          <w:sz w:val="22"/>
          <w:szCs w:val="22"/>
        </w:rPr>
        <w:t>vildagliptínom.</w:t>
      </w:r>
    </w:p>
    <w:p w14:paraId="1BE1AF0C" w14:textId="77777777" w:rsidR="0081018A" w:rsidRDefault="0081018A" w:rsidP="0081018A">
      <w:pPr>
        <w:rPr>
          <w:sz w:val="22"/>
          <w:szCs w:val="22"/>
        </w:rPr>
      </w:pPr>
    </w:p>
    <w:p w14:paraId="3C050D97" w14:textId="368039FD" w:rsidR="0081018A" w:rsidRPr="00030E5C" w:rsidRDefault="0081018A" w:rsidP="0081018A">
      <w:pPr>
        <w:rPr>
          <w:sz w:val="22"/>
          <w:szCs w:val="22"/>
          <w:u w:val="single"/>
        </w:rPr>
      </w:pPr>
      <w:r w:rsidRPr="00030E5C">
        <w:rPr>
          <w:sz w:val="22"/>
          <w:szCs w:val="22"/>
          <w:u w:val="single"/>
        </w:rPr>
        <w:t>Kombinácia s</w:t>
      </w:r>
      <w:r w:rsidR="00FC2F4F">
        <w:rPr>
          <w:sz w:val="22"/>
          <w:szCs w:val="22"/>
          <w:u w:val="single"/>
        </w:rPr>
        <w:t> </w:t>
      </w:r>
      <w:r w:rsidRPr="00030E5C">
        <w:rPr>
          <w:sz w:val="22"/>
          <w:szCs w:val="22"/>
          <w:u w:val="single"/>
        </w:rPr>
        <w:t>inhibítormi ACE</w:t>
      </w:r>
    </w:p>
    <w:p w14:paraId="28E73678" w14:textId="77777777" w:rsidR="0081018A" w:rsidRPr="00C10718" w:rsidRDefault="0081018A" w:rsidP="0081018A">
      <w:pPr>
        <w:rPr>
          <w:sz w:val="22"/>
          <w:szCs w:val="22"/>
        </w:rPr>
      </w:pPr>
      <w:r w:rsidRPr="00C10718">
        <w:rPr>
          <w:sz w:val="22"/>
          <w:szCs w:val="22"/>
        </w:rPr>
        <w:t>U</w:t>
      </w:r>
      <w:r>
        <w:rPr>
          <w:sz w:val="22"/>
          <w:szCs w:val="22"/>
        </w:rPr>
        <w:t xml:space="preserve"> pacientov </w:t>
      </w:r>
      <w:r w:rsidRPr="00C10718">
        <w:rPr>
          <w:sz w:val="22"/>
          <w:szCs w:val="22"/>
        </w:rPr>
        <w:t>súbežne užívajúcich inhibítory ACE môže byť zvýšené riziko angioedému (pozri časť</w:t>
      </w:r>
      <w:r>
        <w:rPr>
          <w:sz w:val="22"/>
          <w:szCs w:val="22"/>
        </w:rPr>
        <w:t xml:space="preserve"> </w:t>
      </w:r>
      <w:r w:rsidRPr="00C10718">
        <w:rPr>
          <w:sz w:val="22"/>
          <w:szCs w:val="22"/>
        </w:rPr>
        <w:t>4.8).</w:t>
      </w:r>
    </w:p>
    <w:p w14:paraId="4921608D" w14:textId="77777777" w:rsidR="0081018A" w:rsidRDefault="0081018A" w:rsidP="0081018A">
      <w:pPr>
        <w:rPr>
          <w:sz w:val="22"/>
          <w:szCs w:val="22"/>
        </w:rPr>
      </w:pPr>
    </w:p>
    <w:p w14:paraId="2081DB97" w14:textId="2A23F730" w:rsidR="0081018A" w:rsidRPr="00C10718" w:rsidRDefault="0079113D" w:rsidP="0081018A">
      <w:pPr>
        <w:rPr>
          <w:sz w:val="22"/>
          <w:szCs w:val="22"/>
        </w:rPr>
      </w:pPr>
      <w:r>
        <w:rPr>
          <w:sz w:val="22"/>
          <w:szCs w:val="22"/>
        </w:rPr>
        <w:t>Tak ako pri </w:t>
      </w:r>
      <w:r w:rsidR="0081018A" w:rsidRPr="00C10718">
        <w:rPr>
          <w:sz w:val="22"/>
          <w:szCs w:val="22"/>
        </w:rPr>
        <w:t>iných perorálnych antidiabetikách, hypoglykemický účinok vildagliptínu môžu oslabiť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niektoré liečivá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vrátane tiazidov, kortikosteroidov, hormónov štítnej</w:t>
      </w:r>
      <w:r w:rsidR="0081018A">
        <w:rPr>
          <w:sz w:val="22"/>
          <w:szCs w:val="22"/>
        </w:rPr>
        <w:t xml:space="preserve"> </w:t>
      </w:r>
      <w:r w:rsidR="0081018A" w:rsidRPr="00C10718">
        <w:rPr>
          <w:sz w:val="22"/>
          <w:szCs w:val="22"/>
        </w:rPr>
        <w:t>žľazy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81018A" w:rsidRPr="00C10718">
        <w:rPr>
          <w:sz w:val="22"/>
          <w:szCs w:val="22"/>
        </w:rPr>
        <w:t>sympat</w:t>
      </w:r>
      <w:r w:rsidR="00894802">
        <w:rPr>
          <w:sz w:val="22"/>
          <w:szCs w:val="22"/>
        </w:rPr>
        <w:t>o</w:t>
      </w:r>
      <w:r w:rsidR="0081018A" w:rsidRPr="00C10718">
        <w:rPr>
          <w:sz w:val="22"/>
          <w:szCs w:val="22"/>
        </w:rPr>
        <w:t>mimetík.</w:t>
      </w:r>
    </w:p>
    <w:p w14:paraId="30D1E595" w14:textId="77777777" w:rsidR="0081018A" w:rsidRPr="004D1FDE" w:rsidRDefault="0081018A" w:rsidP="0081018A">
      <w:pPr>
        <w:pStyle w:val="Popis"/>
        <w:keepNext w:val="0"/>
        <w:keepLines w:val="0"/>
        <w:spacing w:after="0"/>
        <w:ind w:left="0" w:firstLine="0"/>
        <w:rPr>
          <w:sz w:val="22"/>
          <w:szCs w:val="22"/>
          <w:lang w:val="sk-SK"/>
        </w:rPr>
      </w:pPr>
    </w:p>
    <w:p w14:paraId="7F6141AB" w14:textId="689033B2" w:rsidR="0081018A" w:rsidRPr="004D1FDE" w:rsidRDefault="0081018A" w:rsidP="0081018A">
      <w:pPr>
        <w:keepNext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4.6</w:t>
      </w:r>
      <w:r w:rsidRPr="004D1FDE">
        <w:rPr>
          <w:b/>
          <w:sz w:val="22"/>
          <w:szCs w:val="22"/>
        </w:rPr>
        <w:tab/>
        <w:t>F</w:t>
      </w:r>
      <w:r w:rsidR="0079113D">
        <w:rPr>
          <w:b/>
          <w:sz w:val="22"/>
          <w:szCs w:val="22"/>
        </w:rPr>
        <w:t>ertilita, gravidita a </w:t>
      </w:r>
      <w:r w:rsidRPr="004D1FDE">
        <w:rPr>
          <w:b/>
          <w:sz w:val="22"/>
          <w:szCs w:val="22"/>
        </w:rPr>
        <w:t>laktácia</w:t>
      </w:r>
    </w:p>
    <w:p w14:paraId="51213455" w14:textId="77777777" w:rsidR="0081018A" w:rsidRPr="004D1FDE" w:rsidRDefault="0081018A" w:rsidP="0081018A">
      <w:pPr>
        <w:rPr>
          <w:sz w:val="22"/>
          <w:szCs w:val="22"/>
        </w:rPr>
      </w:pPr>
    </w:p>
    <w:p w14:paraId="01E17A6C" w14:textId="77777777" w:rsidR="0081018A" w:rsidRPr="004D1FDE" w:rsidRDefault="0081018A" w:rsidP="0081018A">
      <w:pPr>
        <w:rPr>
          <w:sz w:val="22"/>
          <w:szCs w:val="22"/>
          <w:u w:val="single"/>
        </w:rPr>
      </w:pPr>
      <w:r w:rsidRPr="004D1FDE">
        <w:rPr>
          <w:sz w:val="22"/>
          <w:szCs w:val="22"/>
          <w:u w:val="single"/>
        </w:rPr>
        <w:t>Gravidita</w:t>
      </w:r>
    </w:p>
    <w:p w14:paraId="42223708" w14:textId="16C42FE3" w:rsidR="0081018A" w:rsidRPr="00CB6E8C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Nie sú k dispozícii dostatočné údaje o použití vildagliptí</w:t>
      </w:r>
      <w:r w:rsidR="0079113D">
        <w:rPr>
          <w:sz w:val="22"/>
          <w:szCs w:val="22"/>
        </w:rPr>
        <w:t>nu u gravidných žien. Štúdie na </w:t>
      </w:r>
      <w:r>
        <w:rPr>
          <w:sz w:val="22"/>
          <w:szCs w:val="22"/>
        </w:rPr>
        <w:t>zvieratách p</w:t>
      </w:r>
      <w:r w:rsidR="000E5C05">
        <w:rPr>
          <w:sz w:val="22"/>
          <w:szCs w:val="22"/>
        </w:rPr>
        <w:t xml:space="preserve">reukázali reprodukčnú toxicitu </w:t>
      </w:r>
      <w:r w:rsidR="0079113D">
        <w:rPr>
          <w:sz w:val="22"/>
          <w:szCs w:val="22"/>
        </w:rPr>
        <w:t>pri </w:t>
      </w:r>
      <w:r>
        <w:rPr>
          <w:sz w:val="22"/>
          <w:szCs w:val="22"/>
        </w:rPr>
        <w:t>vysokých dávkach (pozri časť 5.3). Nie je známe potenciálne riziko u ľudí. Vz</w:t>
      </w:r>
      <w:r w:rsidR="0079113D">
        <w:rPr>
          <w:sz w:val="22"/>
          <w:szCs w:val="22"/>
        </w:rPr>
        <w:t>hľadom na </w:t>
      </w:r>
      <w:r>
        <w:rPr>
          <w:sz w:val="22"/>
          <w:szCs w:val="22"/>
        </w:rPr>
        <w:t xml:space="preserve">chýbajúce údaje u ľudí sa </w:t>
      </w:r>
      <w:r w:rsidR="000E5C05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 nemá používať počas gravidity.</w:t>
      </w:r>
    </w:p>
    <w:p w14:paraId="35A617C9" w14:textId="77777777" w:rsidR="0081018A" w:rsidRPr="004D1FDE" w:rsidRDefault="0081018A" w:rsidP="0081018A">
      <w:pPr>
        <w:rPr>
          <w:sz w:val="22"/>
          <w:szCs w:val="22"/>
        </w:rPr>
      </w:pPr>
    </w:p>
    <w:p w14:paraId="3FEB3763" w14:textId="77777777" w:rsidR="0081018A" w:rsidRPr="004D1FDE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3DB8A1BD" w14:textId="2925DD07" w:rsidR="0081018A" w:rsidRPr="00046BA4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Nie je známe,</w:t>
      </w:r>
      <w:r w:rsidR="0079113D">
        <w:rPr>
          <w:sz w:val="22"/>
          <w:szCs w:val="22"/>
        </w:rPr>
        <w:t xml:space="preserve"> či sa vildagliptín vylučuje do ľudského mlieka. Štúdie na </w:t>
      </w:r>
      <w:r>
        <w:rPr>
          <w:sz w:val="22"/>
          <w:szCs w:val="22"/>
        </w:rPr>
        <w:t>zvieratách ukáza</w:t>
      </w:r>
      <w:r w:rsidR="0079113D">
        <w:rPr>
          <w:sz w:val="22"/>
          <w:szCs w:val="22"/>
        </w:rPr>
        <w:t>li vylučovanie vildagliptínu do </w:t>
      </w:r>
      <w:r>
        <w:rPr>
          <w:sz w:val="22"/>
          <w:szCs w:val="22"/>
        </w:rPr>
        <w:t xml:space="preserve">mlieka. </w:t>
      </w:r>
      <w:r w:rsidR="000E5C05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 sa nemá používať počas dojčenia.</w:t>
      </w:r>
    </w:p>
    <w:p w14:paraId="6F21A227" w14:textId="77777777" w:rsidR="0081018A" w:rsidRPr="00046BA4" w:rsidRDefault="0081018A" w:rsidP="0081018A">
      <w:pPr>
        <w:rPr>
          <w:sz w:val="22"/>
          <w:szCs w:val="22"/>
        </w:rPr>
      </w:pPr>
    </w:p>
    <w:p w14:paraId="7856B1D8" w14:textId="77777777" w:rsidR="0081018A" w:rsidRPr="00046BA4" w:rsidRDefault="0081018A" w:rsidP="0081018A">
      <w:pPr>
        <w:rPr>
          <w:sz w:val="22"/>
          <w:szCs w:val="22"/>
          <w:u w:val="single"/>
        </w:rPr>
      </w:pPr>
      <w:r w:rsidRPr="00046BA4">
        <w:rPr>
          <w:sz w:val="22"/>
          <w:szCs w:val="22"/>
          <w:u w:val="single"/>
        </w:rPr>
        <w:t>Fertilita</w:t>
      </w:r>
    </w:p>
    <w:p w14:paraId="30F19917" w14:textId="6CC2001B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Štúdie o účinku </w:t>
      </w:r>
      <w:r w:rsidR="000E5C05">
        <w:rPr>
          <w:sz w:val="22"/>
          <w:szCs w:val="22"/>
        </w:rPr>
        <w:t>vildagliptínu</w:t>
      </w:r>
      <w:r w:rsidR="0079113D">
        <w:rPr>
          <w:sz w:val="22"/>
          <w:szCs w:val="22"/>
        </w:rPr>
        <w:t xml:space="preserve"> na </w:t>
      </w:r>
      <w:r>
        <w:rPr>
          <w:sz w:val="22"/>
          <w:szCs w:val="22"/>
        </w:rPr>
        <w:t>fertilitu ľudí sa nevykonali (pozri časť 5.3).</w:t>
      </w:r>
    </w:p>
    <w:p w14:paraId="3F8AD74E" w14:textId="77777777" w:rsidR="0081018A" w:rsidRDefault="0081018A" w:rsidP="0081018A">
      <w:pPr>
        <w:widowControl w:val="0"/>
        <w:outlineLvl w:val="0"/>
        <w:rPr>
          <w:b/>
          <w:sz w:val="22"/>
          <w:szCs w:val="22"/>
        </w:rPr>
      </w:pPr>
    </w:p>
    <w:p w14:paraId="4C729DE8" w14:textId="77777777" w:rsidR="0081018A" w:rsidRPr="004D1FDE" w:rsidRDefault="0081018A" w:rsidP="0081018A">
      <w:pPr>
        <w:widowControl w:val="0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4.7</w:t>
      </w:r>
      <w:r w:rsidRPr="004D1FDE">
        <w:rPr>
          <w:b/>
          <w:sz w:val="22"/>
          <w:szCs w:val="22"/>
        </w:rPr>
        <w:tab/>
        <w:t>Ovplyvnenie schopnosti viesť vozidlá a obsluhovať stroje</w:t>
      </w:r>
    </w:p>
    <w:p w14:paraId="6420AD90" w14:textId="77777777" w:rsidR="0081018A" w:rsidRPr="004D1FDE" w:rsidRDefault="0081018A" w:rsidP="0081018A">
      <w:pPr>
        <w:widowControl w:val="0"/>
        <w:rPr>
          <w:sz w:val="22"/>
          <w:szCs w:val="22"/>
        </w:rPr>
      </w:pPr>
    </w:p>
    <w:p w14:paraId="54AF56D0" w14:textId="7335FF87" w:rsidR="0081018A" w:rsidRPr="004D1FDE" w:rsidRDefault="0081018A" w:rsidP="0081018A">
      <w:pPr>
        <w:widowControl w:val="0"/>
        <w:rPr>
          <w:sz w:val="22"/>
          <w:szCs w:val="22"/>
        </w:rPr>
      </w:pPr>
      <w:r w:rsidRPr="004D1FDE">
        <w:rPr>
          <w:sz w:val="22"/>
          <w:szCs w:val="22"/>
        </w:rPr>
        <w:t xml:space="preserve">Neuskutočnili sa žiadne štúdie o účinkoch na schopnosť viesť vozidlá a obsluhovať stroje. </w:t>
      </w:r>
      <w:r>
        <w:rPr>
          <w:sz w:val="22"/>
          <w:szCs w:val="22"/>
        </w:rPr>
        <w:t>Pacienti, u ktorých sa ako nežiaduca reakcia vyskytn</w:t>
      </w:r>
      <w:r w:rsidR="0079113D">
        <w:rPr>
          <w:sz w:val="22"/>
          <w:szCs w:val="22"/>
        </w:rPr>
        <w:t>ú</w:t>
      </w:r>
      <w:r>
        <w:rPr>
          <w:sz w:val="22"/>
          <w:szCs w:val="22"/>
        </w:rPr>
        <w:t xml:space="preserve"> závrat</w:t>
      </w:r>
      <w:r w:rsidR="0079113D">
        <w:rPr>
          <w:sz w:val="22"/>
          <w:szCs w:val="22"/>
        </w:rPr>
        <w:t>y</w:t>
      </w:r>
      <w:r>
        <w:rPr>
          <w:sz w:val="22"/>
          <w:szCs w:val="22"/>
        </w:rPr>
        <w:t>, nemajú viesť vozidlá alebo obsluhovať stroje.</w:t>
      </w:r>
    </w:p>
    <w:p w14:paraId="65A239CF" w14:textId="77777777" w:rsidR="0081018A" w:rsidRDefault="0081018A" w:rsidP="0081018A">
      <w:pPr>
        <w:widowControl w:val="0"/>
        <w:rPr>
          <w:b/>
          <w:sz w:val="22"/>
          <w:szCs w:val="22"/>
        </w:rPr>
      </w:pPr>
    </w:p>
    <w:p w14:paraId="1B90A8A5" w14:textId="77777777" w:rsidR="0081018A" w:rsidRDefault="0081018A" w:rsidP="0081018A">
      <w:pPr>
        <w:widowControl w:val="0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4.8</w:t>
      </w:r>
      <w:r w:rsidRPr="004D1FDE">
        <w:rPr>
          <w:b/>
          <w:sz w:val="22"/>
          <w:szCs w:val="22"/>
        </w:rPr>
        <w:tab/>
        <w:t>Nežiaduce účinky</w:t>
      </w:r>
    </w:p>
    <w:p w14:paraId="17A291BE" w14:textId="77777777" w:rsidR="0081018A" w:rsidRDefault="0081018A" w:rsidP="0081018A">
      <w:pPr>
        <w:widowControl w:val="0"/>
        <w:rPr>
          <w:b/>
          <w:sz w:val="22"/>
          <w:szCs w:val="22"/>
        </w:rPr>
      </w:pPr>
    </w:p>
    <w:p w14:paraId="52BDEAA8" w14:textId="77777777" w:rsidR="0081018A" w:rsidRPr="007D20DB" w:rsidRDefault="0081018A" w:rsidP="0081018A">
      <w:pPr>
        <w:widowControl w:val="0"/>
        <w:rPr>
          <w:b/>
          <w:sz w:val="22"/>
          <w:szCs w:val="22"/>
        </w:rPr>
      </w:pPr>
      <w:r w:rsidRPr="004D1FDE">
        <w:rPr>
          <w:sz w:val="22"/>
          <w:szCs w:val="22"/>
          <w:u w:val="single"/>
        </w:rPr>
        <w:t xml:space="preserve">Súhrn </w:t>
      </w:r>
      <w:r>
        <w:rPr>
          <w:sz w:val="22"/>
          <w:szCs w:val="22"/>
          <w:u w:val="single"/>
        </w:rPr>
        <w:t>profilu be</w:t>
      </w:r>
      <w:r w:rsidR="005906F4">
        <w:rPr>
          <w:sz w:val="22"/>
          <w:szCs w:val="22"/>
          <w:u w:val="single"/>
        </w:rPr>
        <w:t>z</w:t>
      </w:r>
      <w:r>
        <w:rPr>
          <w:sz w:val="22"/>
          <w:szCs w:val="22"/>
          <w:u w:val="single"/>
        </w:rPr>
        <w:t>pečnosti</w:t>
      </w:r>
    </w:p>
    <w:p w14:paraId="5AE0178E" w14:textId="7FAFF072" w:rsidR="0081018A" w:rsidRDefault="0081018A" w:rsidP="009173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Úd</w:t>
      </w:r>
      <w:r w:rsidR="0079113D">
        <w:rPr>
          <w:sz w:val="22"/>
          <w:szCs w:val="22"/>
        </w:rPr>
        <w:t>aje o bezpečnosti sa získali od </w:t>
      </w:r>
      <w:r>
        <w:rPr>
          <w:sz w:val="22"/>
          <w:szCs w:val="22"/>
        </w:rPr>
        <w:t>celkovo 3 784 pacientov, ktorí dostávali</w:t>
      </w:r>
      <w:r w:rsidR="009173C9">
        <w:rPr>
          <w:sz w:val="22"/>
          <w:szCs w:val="22"/>
        </w:rPr>
        <w:t xml:space="preserve"> vildagliptín v dennej dávke 50 </w:t>
      </w:r>
      <w:r>
        <w:rPr>
          <w:sz w:val="22"/>
          <w:szCs w:val="22"/>
        </w:rPr>
        <w:t xml:space="preserve">mg (raz </w:t>
      </w:r>
      <w:r w:rsidR="009173C9">
        <w:rPr>
          <w:sz w:val="22"/>
          <w:szCs w:val="22"/>
        </w:rPr>
        <w:t>denne) alebo 100 mg (50 mg dvakrát denne alebo 100 </w:t>
      </w:r>
      <w:r>
        <w:rPr>
          <w:sz w:val="22"/>
          <w:szCs w:val="22"/>
        </w:rPr>
        <w:t>mg raz denne) v kontrolovaných klinických skúšaniach trvajúcich najmenej</w:t>
      </w:r>
      <w:r w:rsidR="0079113D">
        <w:rPr>
          <w:sz w:val="22"/>
          <w:szCs w:val="22"/>
        </w:rPr>
        <w:t xml:space="preserve"> 12 týždňov. Z týchto pacientov</w:t>
      </w:r>
      <w:r>
        <w:rPr>
          <w:sz w:val="22"/>
          <w:szCs w:val="22"/>
        </w:rPr>
        <w:t xml:space="preserve"> 2 264 pacientov dostávalo vildagliptín ako monoterapiu a 1 520 pacientov dostávalo vildagliptín v kombinácii s iným liekom. 2 682 pacientov sa liečilo 100</w:t>
      </w:r>
      <w:r w:rsidR="009173C9">
        <w:rPr>
          <w:sz w:val="22"/>
          <w:szCs w:val="22"/>
        </w:rPr>
        <w:t> mg vildagliptínu denne (buď 50 </w:t>
      </w:r>
      <w:r>
        <w:rPr>
          <w:sz w:val="22"/>
          <w:szCs w:val="22"/>
        </w:rPr>
        <w:t xml:space="preserve">mg dvakrát denne alebo 100 mg raz </w:t>
      </w:r>
    </w:p>
    <w:p w14:paraId="61F48B55" w14:textId="5AA78051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denne) </w:t>
      </w:r>
      <w:r w:rsidR="009173C9">
        <w:rPr>
          <w:sz w:val="22"/>
          <w:szCs w:val="22"/>
        </w:rPr>
        <w:t>a 1 102 pacientov sa liečilo 50 </w:t>
      </w:r>
      <w:r>
        <w:rPr>
          <w:sz w:val="22"/>
          <w:szCs w:val="22"/>
        </w:rPr>
        <w:t>mg vildagliptínu raz denne.</w:t>
      </w:r>
    </w:p>
    <w:p w14:paraId="7D923988" w14:textId="77777777" w:rsidR="0081018A" w:rsidRDefault="0081018A" w:rsidP="0081018A">
      <w:pPr>
        <w:widowControl w:val="0"/>
        <w:rPr>
          <w:sz w:val="22"/>
          <w:szCs w:val="22"/>
        </w:rPr>
      </w:pPr>
    </w:p>
    <w:p w14:paraId="6DB607B2" w14:textId="77777777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Väčšina nežiaducich reakcií v týchto klinických skúšaniach bola mierna a prechodná a nevyžiadala si ukončenie liečby. Nezistila sa žiadna súvislosť medzi nežiaducimi reakciami a vekom, etnickou príslušnosťou, trvaním expozície alebo dennou dávkou.</w:t>
      </w:r>
    </w:p>
    <w:p w14:paraId="7B522A14" w14:textId="77777777" w:rsidR="0081018A" w:rsidRDefault="0081018A" w:rsidP="0081018A">
      <w:pPr>
        <w:widowControl w:val="0"/>
        <w:rPr>
          <w:sz w:val="22"/>
          <w:szCs w:val="22"/>
        </w:rPr>
      </w:pPr>
    </w:p>
    <w:p w14:paraId="1A252932" w14:textId="4BAE618D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Zaznamenali sa zriedkavé prípady dysfunkcie pečene (vrátane hepatitídy). Pacienti v týchto prípadoch boli spravidla asymptomatickí bez klinických následkov a výsledky testov funkcie pečene s</w:t>
      </w:r>
      <w:r w:rsidR="006D5623">
        <w:rPr>
          <w:sz w:val="22"/>
          <w:szCs w:val="22"/>
        </w:rPr>
        <w:t>a po ukončení liečby vrátili na </w:t>
      </w:r>
      <w:r>
        <w:rPr>
          <w:sz w:val="22"/>
          <w:szCs w:val="22"/>
        </w:rPr>
        <w:t>normálne hodnoty. Podľa údajov z kontrolovaných klinických skúšaní monoterapie a prídavnej terapie trvajúcich až 24 týždňov</w:t>
      </w:r>
      <w:r w:rsidR="006D5623">
        <w:rPr>
          <w:sz w:val="22"/>
          <w:szCs w:val="22"/>
        </w:rPr>
        <w:t xml:space="preserve"> bola</w:t>
      </w:r>
      <w:r>
        <w:rPr>
          <w:sz w:val="22"/>
          <w:szCs w:val="22"/>
        </w:rPr>
        <w:t xml:space="preserve"> incidencia zvýšenia ALT alebo AST ≥ 3-násobok </w:t>
      </w:r>
      <w:r w:rsidR="006D5623">
        <w:rPr>
          <w:sz w:val="22"/>
          <w:szCs w:val="22"/>
        </w:rPr>
        <w:t>ULN (hodnotené ako prítomné pri najmenej 2 po </w:t>
      </w:r>
      <w:r>
        <w:rPr>
          <w:sz w:val="22"/>
          <w:szCs w:val="22"/>
        </w:rPr>
        <w:t>sebe nasledujúcich meraniach alebo pri</w:t>
      </w:r>
      <w:r w:rsidR="006D5623">
        <w:rPr>
          <w:sz w:val="22"/>
          <w:szCs w:val="22"/>
        </w:rPr>
        <w:t> </w:t>
      </w:r>
      <w:r>
        <w:rPr>
          <w:sz w:val="22"/>
          <w:szCs w:val="22"/>
        </w:rPr>
        <w:t>záverečnej návšteve počas liečby) 0,2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% pri 50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mg vildagliptínu raz denne, 0,3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% pri 50 mg vildagliptínu dvakrát denne a 0,2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% pri všetkých komparátoroch. Tieto zvýšenia aminotransferáz boli spravidla asymptomatické, neprogredujúce a nespájali sa s cholestázou alebo žltačkou.</w:t>
      </w:r>
    </w:p>
    <w:p w14:paraId="1EAA143F" w14:textId="77777777" w:rsidR="0081018A" w:rsidRDefault="0081018A" w:rsidP="0081018A">
      <w:pPr>
        <w:widowControl w:val="0"/>
        <w:rPr>
          <w:sz w:val="22"/>
          <w:szCs w:val="22"/>
        </w:rPr>
      </w:pPr>
    </w:p>
    <w:p w14:paraId="7DD76763" w14:textId="59EAF678" w:rsidR="0081018A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Pri vildagliptíne boli hlásené zriedkavé prípady angioedému s výskytom podobným ako v kontrolných skupinách. Vyšší podiel </w:t>
      </w:r>
      <w:r w:rsidR="005906F4">
        <w:rPr>
          <w:sz w:val="22"/>
          <w:szCs w:val="22"/>
        </w:rPr>
        <w:t>prípadov</w:t>
      </w:r>
      <w:r>
        <w:rPr>
          <w:sz w:val="22"/>
          <w:szCs w:val="22"/>
        </w:rPr>
        <w:t xml:space="preserve"> bol hlásený, keď sa vildagliptín podával v kombinácii s inhibítorom enzýmu konvertujúceho angiotenzín (inhibítor ACE). Väč</w:t>
      </w:r>
      <w:r w:rsidR="006D5623">
        <w:rPr>
          <w:sz w:val="22"/>
          <w:szCs w:val="22"/>
        </w:rPr>
        <w:t>šina udalostí bola mierna čo do závažnosti a zmizla pri </w:t>
      </w:r>
      <w:r>
        <w:rPr>
          <w:sz w:val="22"/>
          <w:szCs w:val="22"/>
        </w:rPr>
        <w:t>pokračujúcej liečbe vildagliptínom.</w:t>
      </w:r>
    </w:p>
    <w:p w14:paraId="4BA62B23" w14:textId="77777777" w:rsidR="0081018A" w:rsidRPr="004D1FDE" w:rsidRDefault="0081018A" w:rsidP="0081018A">
      <w:pPr>
        <w:widowControl w:val="0"/>
        <w:rPr>
          <w:bCs/>
          <w:iCs/>
          <w:sz w:val="22"/>
          <w:szCs w:val="22"/>
        </w:rPr>
      </w:pPr>
    </w:p>
    <w:p w14:paraId="40D1C664" w14:textId="3636A1A3" w:rsidR="0081018A" w:rsidRPr="004D1FDE" w:rsidRDefault="0081018A" w:rsidP="0081018A">
      <w:pPr>
        <w:widowControl w:val="0"/>
        <w:rPr>
          <w:b/>
          <w:i/>
          <w:sz w:val="22"/>
          <w:szCs w:val="22"/>
        </w:rPr>
      </w:pPr>
      <w:r w:rsidRPr="004D1FDE">
        <w:rPr>
          <w:sz w:val="22"/>
          <w:szCs w:val="22"/>
          <w:u w:val="single"/>
        </w:rPr>
        <w:t xml:space="preserve">Tabuľkový zoznam nežiaducich </w:t>
      </w:r>
      <w:r w:rsidR="005906F4">
        <w:rPr>
          <w:sz w:val="22"/>
          <w:szCs w:val="22"/>
          <w:u w:val="single"/>
        </w:rPr>
        <w:t>reakcií</w:t>
      </w:r>
    </w:p>
    <w:p w14:paraId="4AB4BAA7" w14:textId="77777777" w:rsidR="0081018A" w:rsidRDefault="0081018A" w:rsidP="0081018A">
      <w:pPr>
        <w:rPr>
          <w:sz w:val="22"/>
          <w:szCs w:val="22"/>
        </w:rPr>
      </w:pPr>
    </w:p>
    <w:p w14:paraId="126967B8" w14:textId="40F09AA8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 xml:space="preserve">Nežiaduce reakcie </w:t>
      </w:r>
      <w:r>
        <w:rPr>
          <w:sz w:val="22"/>
          <w:szCs w:val="22"/>
        </w:rPr>
        <w:t xml:space="preserve">hlásené u pacientov, ktorí dostávali vildagliptín v dvojito zaslepených klinických skúšaniach ako monoterapiu a prídavné terapie, </w:t>
      </w:r>
      <w:r w:rsidRPr="004D1FDE">
        <w:rPr>
          <w:sz w:val="22"/>
          <w:szCs w:val="22"/>
        </w:rPr>
        <w:t xml:space="preserve">sú uvedené nižšie </w:t>
      </w:r>
      <w:r w:rsidR="006D5623">
        <w:rPr>
          <w:sz w:val="22"/>
          <w:szCs w:val="22"/>
        </w:rPr>
        <w:t>pre </w:t>
      </w:r>
      <w:r>
        <w:rPr>
          <w:sz w:val="22"/>
          <w:szCs w:val="22"/>
        </w:rPr>
        <w:t xml:space="preserve">každú indikáciu </w:t>
      </w:r>
      <w:r w:rsidRPr="004D1FDE">
        <w:rPr>
          <w:sz w:val="22"/>
          <w:szCs w:val="22"/>
        </w:rPr>
        <w:t>p</w:t>
      </w:r>
      <w:r>
        <w:rPr>
          <w:sz w:val="22"/>
          <w:szCs w:val="22"/>
        </w:rPr>
        <w:t>odľa triedy</w:t>
      </w:r>
      <w:r w:rsidR="006D5623">
        <w:rPr>
          <w:sz w:val="22"/>
          <w:szCs w:val="22"/>
        </w:rPr>
        <w:t xml:space="preserve"> orgánových systémov a </w:t>
      </w:r>
      <w:r>
        <w:rPr>
          <w:sz w:val="22"/>
          <w:szCs w:val="22"/>
        </w:rPr>
        <w:t>absolútnej</w:t>
      </w:r>
      <w:r w:rsidRPr="004D1FDE">
        <w:rPr>
          <w:sz w:val="22"/>
          <w:szCs w:val="22"/>
        </w:rPr>
        <w:t xml:space="preserve"> frekvencie</w:t>
      </w:r>
      <w:r>
        <w:rPr>
          <w:sz w:val="22"/>
          <w:szCs w:val="22"/>
        </w:rPr>
        <w:t xml:space="preserve">. </w:t>
      </w:r>
      <w:r w:rsidRPr="004D1FDE">
        <w:rPr>
          <w:sz w:val="22"/>
          <w:szCs w:val="22"/>
        </w:rPr>
        <w:t xml:space="preserve">Frekvencie sú definované ako veľmi časté (≥ 1/10), časté (≥ 1/100 </w:t>
      </w:r>
      <w:r w:rsidR="00693C8B">
        <w:rPr>
          <w:sz w:val="22"/>
          <w:szCs w:val="22"/>
        </w:rPr>
        <w:t>až</w:t>
      </w:r>
      <w:r w:rsidR="006D5623">
        <w:rPr>
          <w:sz w:val="22"/>
          <w:szCs w:val="22"/>
        </w:rPr>
        <w:t xml:space="preserve"> &lt; 1/10), menej časté (</w:t>
      </w:r>
      <w:r w:rsidRPr="004D1FDE">
        <w:rPr>
          <w:sz w:val="22"/>
          <w:szCs w:val="22"/>
        </w:rPr>
        <w:t>≥ 1/1</w:t>
      </w:r>
      <w:r w:rsidR="009173C9">
        <w:rPr>
          <w:sz w:val="22"/>
          <w:szCs w:val="22"/>
        </w:rPr>
        <w:t> </w:t>
      </w:r>
      <w:r w:rsidRPr="004D1FDE">
        <w:rPr>
          <w:sz w:val="22"/>
          <w:szCs w:val="22"/>
        </w:rPr>
        <w:t xml:space="preserve">000 </w:t>
      </w:r>
      <w:r w:rsidR="00693C8B">
        <w:rPr>
          <w:sz w:val="22"/>
          <w:szCs w:val="22"/>
        </w:rPr>
        <w:t>až</w:t>
      </w:r>
      <w:r w:rsidRPr="004D1FDE">
        <w:rPr>
          <w:sz w:val="22"/>
          <w:szCs w:val="22"/>
        </w:rPr>
        <w:t xml:space="preserve"> &lt; 1/100)</w:t>
      </w:r>
      <w:r w:rsidR="006D5623">
        <w:rPr>
          <w:sz w:val="22"/>
          <w:szCs w:val="22"/>
        </w:rPr>
        <w:t>,</w:t>
      </w:r>
      <w:r w:rsidRPr="004D1FDE">
        <w:rPr>
          <w:sz w:val="22"/>
          <w:szCs w:val="22"/>
        </w:rPr>
        <w:t xml:space="preserve"> zriedkavé (≥ 1/10 000 </w:t>
      </w:r>
      <w:r w:rsidR="00693C8B">
        <w:rPr>
          <w:sz w:val="22"/>
          <w:szCs w:val="22"/>
        </w:rPr>
        <w:t>až</w:t>
      </w:r>
      <w:r w:rsidRPr="004D1FDE">
        <w:rPr>
          <w:sz w:val="22"/>
          <w:szCs w:val="22"/>
        </w:rPr>
        <w:t xml:space="preserve"> &lt; 1/1</w:t>
      </w:r>
      <w:r w:rsidR="009173C9">
        <w:rPr>
          <w:sz w:val="22"/>
          <w:szCs w:val="22"/>
        </w:rPr>
        <w:t> </w:t>
      </w:r>
      <w:r w:rsidRPr="004D1FDE">
        <w:rPr>
          <w:sz w:val="22"/>
          <w:szCs w:val="22"/>
        </w:rPr>
        <w:t>000)</w:t>
      </w:r>
      <w:r>
        <w:rPr>
          <w:sz w:val="22"/>
          <w:szCs w:val="22"/>
        </w:rPr>
        <w:t>, veľmi zriedkavé (</w:t>
      </w:r>
      <w:r w:rsidRPr="004D1FDE">
        <w:rPr>
          <w:sz w:val="22"/>
          <w:szCs w:val="22"/>
        </w:rPr>
        <w:t>&lt; 1/1</w:t>
      </w:r>
      <w:r w:rsidR="009173C9">
        <w:rPr>
          <w:sz w:val="22"/>
          <w:szCs w:val="22"/>
        </w:rPr>
        <w:t>0 </w:t>
      </w:r>
      <w:r w:rsidRPr="004D1FDE">
        <w:rPr>
          <w:sz w:val="22"/>
          <w:szCs w:val="22"/>
        </w:rPr>
        <w:t>000)</w:t>
      </w:r>
      <w:r>
        <w:rPr>
          <w:sz w:val="22"/>
          <w:szCs w:val="22"/>
        </w:rPr>
        <w:t>, neznáme (z dostupných údajov)</w:t>
      </w:r>
      <w:r w:rsidRPr="004D1FDE">
        <w:rPr>
          <w:sz w:val="22"/>
          <w:szCs w:val="22"/>
        </w:rPr>
        <w:t>.</w:t>
      </w:r>
      <w:r>
        <w:rPr>
          <w:sz w:val="22"/>
          <w:szCs w:val="22"/>
        </w:rPr>
        <w:t xml:space="preserve"> V rámci jednotlivých skupín frekv</w:t>
      </w:r>
      <w:r w:rsidR="005906F4">
        <w:rPr>
          <w:sz w:val="22"/>
          <w:szCs w:val="22"/>
        </w:rPr>
        <w:t>e</w:t>
      </w:r>
      <w:r>
        <w:rPr>
          <w:sz w:val="22"/>
          <w:szCs w:val="22"/>
        </w:rPr>
        <w:t>ncií sú nežiaduce reakcie usporiadané v poradí klesajúcej závažnosti.</w:t>
      </w:r>
    </w:p>
    <w:p w14:paraId="70BCC985" w14:textId="77777777" w:rsidR="0081018A" w:rsidRPr="004D1FDE" w:rsidRDefault="0081018A" w:rsidP="0081018A">
      <w:pPr>
        <w:rPr>
          <w:sz w:val="22"/>
          <w:szCs w:val="22"/>
        </w:rPr>
      </w:pPr>
    </w:p>
    <w:p w14:paraId="158BDEB1" w14:textId="5E3FB2E6" w:rsidR="0081018A" w:rsidRPr="00010682" w:rsidRDefault="006D5623" w:rsidP="0081018A">
      <w:pPr>
        <w:rPr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Kombinácia s </w:t>
      </w:r>
      <w:r w:rsidR="0081018A" w:rsidRPr="00010682">
        <w:rPr>
          <w:i/>
          <w:sz w:val="22"/>
          <w:szCs w:val="22"/>
          <w:u w:val="single"/>
        </w:rPr>
        <w:t>metformínom</w:t>
      </w:r>
    </w:p>
    <w:p w14:paraId="31EAEB04" w14:textId="77777777" w:rsidR="0081018A" w:rsidRPr="004D1FDE" w:rsidRDefault="0081018A" w:rsidP="0081018A">
      <w:pPr>
        <w:rPr>
          <w:sz w:val="22"/>
          <w:szCs w:val="22"/>
        </w:rPr>
      </w:pPr>
    </w:p>
    <w:p w14:paraId="3D231FF3" w14:textId="77777777" w:rsidR="006D5623" w:rsidRDefault="0081018A" w:rsidP="0081018A">
      <w:pPr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1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100</w:t>
      </w:r>
      <w:r w:rsidR="009173C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denne </w:t>
      </w:r>
      <w:r w:rsidR="006D5623">
        <w:rPr>
          <w:b/>
          <w:sz w:val="22"/>
          <w:szCs w:val="22"/>
        </w:rPr>
        <w:t xml:space="preserve"> </w:t>
      </w:r>
    </w:p>
    <w:p w14:paraId="1C46D392" w14:textId="3111D05A" w:rsidR="0081018A" w:rsidRPr="004D1FDE" w:rsidRDefault="006D5623" w:rsidP="008101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v kombinácii s metformínom v dvojito zaslepených klinických skúšaniach (N</w:t>
      </w:r>
      <w:r w:rsidR="009173C9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=</w:t>
      </w:r>
      <w:r w:rsidR="009173C9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208)</w:t>
      </w:r>
      <w:r w:rsidR="0081018A" w:rsidRPr="00AA45DE">
        <w:rPr>
          <w:b/>
          <w:sz w:val="22"/>
          <w:szCs w:val="22"/>
        </w:rPr>
        <w:t>.</w:t>
      </w:r>
    </w:p>
    <w:p w14:paraId="642F36B8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48ED2F01" w14:textId="77777777" w:rsidTr="00894802">
        <w:trPr>
          <w:trHeight w:val="2282"/>
        </w:trPr>
        <w:tc>
          <w:tcPr>
            <w:tcW w:w="8687" w:type="dxa"/>
          </w:tcPr>
          <w:p w14:paraId="025310E8" w14:textId="69CB66B5" w:rsidR="0081018A" w:rsidRPr="00DC580E" w:rsidRDefault="006D5623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47BC4283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hypoglykémia</w:t>
            </w:r>
          </w:p>
          <w:p w14:paraId="1C507835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562040DA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tremor</w:t>
            </w:r>
          </w:p>
          <w:p w14:paraId="2E64BC7E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bolesť hlavy</w:t>
            </w:r>
          </w:p>
          <w:p w14:paraId="69A00AAF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závraty</w:t>
            </w:r>
          </w:p>
          <w:p w14:paraId="3BC6BE68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únava</w:t>
            </w:r>
          </w:p>
          <w:p w14:paraId="528365A9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15DFE1FC" w14:textId="77777777" w:rsidR="0081018A" w:rsidRPr="007F3E7B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n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au</w:t>
            </w:r>
            <w:r>
              <w:rPr>
                <w:noProof/>
                <w:sz w:val="22"/>
                <w:szCs w:val="22"/>
                <w:lang w:val="en-GB" w:eastAsia="en-US"/>
              </w:rPr>
              <w:t>z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ea</w:t>
            </w:r>
          </w:p>
        </w:tc>
      </w:tr>
    </w:tbl>
    <w:p w14:paraId="4E310484" w14:textId="77777777" w:rsidR="0081018A" w:rsidRPr="008011AC" w:rsidRDefault="0081018A" w:rsidP="0081018A">
      <w:pPr>
        <w:rPr>
          <w:sz w:val="20"/>
          <w:szCs w:val="20"/>
        </w:rPr>
      </w:pPr>
    </w:p>
    <w:p w14:paraId="49871CE9" w14:textId="77777777" w:rsidR="0081018A" w:rsidRPr="00DB6087" w:rsidRDefault="0081018A" w:rsidP="0081018A">
      <w:pPr>
        <w:rPr>
          <w:b/>
          <w:i/>
          <w:sz w:val="22"/>
          <w:szCs w:val="22"/>
        </w:rPr>
      </w:pPr>
      <w:r w:rsidRPr="00DB6087">
        <w:rPr>
          <w:i/>
          <w:sz w:val="22"/>
          <w:szCs w:val="22"/>
        </w:rPr>
        <w:t>Popis vybraných nežiaducich reakcií</w:t>
      </w:r>
    </w:p>
    <w:p w14:paraId="5F6CF221" w14:textId="536C9EFA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 kombinácie 100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mg vildagliptínu denne s metformínom nebolo hlás</w:t>
      </w:r>
      <w:r w:rsidR="00E75CFC">
        <w:rPr>
          <w:sz w:val="22"/>
          <w:szCs w:val="22"/>
        </w:rPr>
        <w:t>ené žiadne ukončenie účasti pre </w:t>
      </w:r>
      <w:r>
        <w:rPr>
          <w:sz w:val="22"/>
          <w:szCs w:val="22"/>
        </w:rPr>
        <w:t>nežiaduce reakcie v skupinách liečby 100</w:t>
      </w:r>
      <w:r w:rsidR="009173C9">
        <w:rPr>
          <w:sz w:val="22"/>
          <w:szCs w:val="22"/>
        </w:rPr>
        <w:t> </w:t>
      </w:r>
      <w:r>
        <w:rPr>
          <w:sz w:val="22"/>
          <w:szCs w:val="22"/>
        </w:rPr>
        <w:t>mg vildagliptínu denne s metformínom, ani placeba s metformínom.</w:t>
      </w:r>
    </w:p>
    <w:p w14:paraId="7191D3D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027A03D5" w14:textId="42566F30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bola incidencia hypoglykémie častá u pacientov, ktorí dostávali 100</w:t>
      </w:r>
      <w:r w:rsidR="00227C92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vildagliptínu denne v kombinácii s metformínom (1</w:t>
      </w:r>
      <w:r w:rsidR="00227C92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 a menej častá u pacientov, ktorí dostávali placebo s metformínom (0,4</w:t>
      </w:r>
      <w:r w:rsidR="00227C92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%). V skupinách vildagliptínu neboli hlásené žiadne závažné hypoglykemické udalosti.</w:t>
      </w:r>
    </w:p>
    <w:p w14:paraId="1DF1B28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C5BE9EC" w14:textId="523EAD7E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V klinických skúšaniach sa telesná hmotnosť nezmenila oproti východiskovým hodnotám, keď sa 100 mg vildagliptínu </w:t>
      </w:r>
      <w:r w:rsidR="00227C92">
        <w:rPr>
          <w:bCs/>
          <w:iCs/>
          <w:sz w:val="22"/>
          <w:szCs w:val="22"/>
        </w:rPr>
        <w:t>denne pri</w:t>
      </w:r>
      <w:r w:rsidR="00E75CFC">
        <w:rPr>
          <w:bCs/>
          <w:iCs/>
          <w:sz w:val="22"/>
          <w:szCs w:val="22"/>
        </w:rPr>
        <w:t>dalo k metformínu (+ 0,2 kg pri </w:t>
      </w:r>
      <w:r w:rsidR="00227C92">
        <w:rPr>
          <w:bCs/>
          <w:iCs/>
          <w:sz w:val="22"/>
          <w:szCs w:val="22"/>
        </w:rPr>
        <w:t>vildagliptíne a - 1,0 </w:t>
      </w:r>
      <w:r w:rsidR="00E75CFC">
        <w:rPr>
          <w:bCs/>
          <w:iCs/>
          <w:sz w:val="22"/>
          <w:szCs w:val="22"/>
        </w:rPr>
        <w:t>kg pri </w:t>
      </w:r>
      <w:r>
        <w:rPr>
          <w:bCs/>
          <w:iCs/>
          <w:sz w:val="22"/>
          <w:szCs w:val="22"/>
        </w:rPr>
        <w:t>placebe).</w:t>
      </w:r>
    </w:p>
    <w:p w14:paraId="4D29E8A3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BCE9040" w14:textId="7777777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trvajúcich viac ako 2 roky sa neukázali žiadne ďalšie signály týkajúce sa bezpečnosti alebo nepredvídané riziká, keď sa vildagliptín pridal k metformínu.</w:t>
      </w:r>
    </w:p>
    <w:p w14:paraId="1E80DBB1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078D31E" w14:textId="1958E5D2" w:rsidR="0081018A" w:rsidRDefault="0081018A" w:rsidP="0081018A">
      <w:pPr>
        <w:rPr>
          <w:i/>
          <w:sz w:val="22"/>
          <w:szCs w:val="22"/>
          <w:u w:val="single"/>
        </w:rPr>
      </w:pPr>
      <w:r w:rsidRPr="00010682">
        <w:rPr>
          <w:i/>
          <w:sz w:val="22"/>
          <w:szCs w:val="22"/>
          <w:u w:val="single"/>
        </w:rPr>
        <w:t>Kombinácia s</w:t>
      </w:r>
      <w:r>
        <w:rPr>
          <w:i/>
          <w:sz w:val="22"/>
          <w:szCs w:val="22"/>
          <w:u w:val="single"/>
        </w:rPr>
        <w:t>o</w:t>
      </w:r>
      <w:r w:rsidR="00E75CF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sulfonylureovým antidiabetikom</w:t>
      </w:r>
    </w:p>
    <w:p w14:paraId="4647FA1E" w14:textId="77777777" w:rsidR="0081018A" w:rsidRPr="004D1FDE" w:rsidRDefault="0081018A" w:rsidP="0081018A">
      <w:pPr>
        <w:rPr>
          <w:sz w:val="22"/>
          <w:szCs w:val="22"/>
        </w:rPr>
      </w:pPr>
    </w:p>
    <w:p w14:paraId="5E3F13D4" w14:textId="77777777" w:rsidR="00E75CFC" w:rsidRDefault="0081018A" w:rsidP="0081018A">
      <w:pPr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2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 xml:space="preserve">hlásené u pacientov, </w:t>
      </w:r>
      <w:r w:rsidR="00E75CFC">
        <w:rPr>
          <w:b/>
          <w:sz w:val="22"/>
          <w:szCs w:val="22"/>
        </w:rPr>
        <w:t xml:space="preserve">ktorí dostávali vildagliptín 50 mg  </w:t>
      </w:r>
    </w:p>
    <w:p w14:paraId="06BACDC6" w14:textId="77777777" w:rsidR="00E75CFC" w:rsidRDefault="00E75CFC" w:rsidP="008101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 kombinácii so </w:t>
      </w:r>
      <w:r w:rsidR="0081018A">
        <w:rPr>
          <w:b/>
          <w:sz w:val="22"/>
          <w:szCs w:val="22"/>
        </w:rPr>
        <w:t>sulfonylureovým antidiabetikom v dvojito zasle</w:t>
      </w:r>
      <w:r w:rsidR="00097146">
        <w:rPr>
          <w:b/>
          <w:sz w:val="22"/>
          <w:szCs w:val="22"/>
        </w:rPr>
        <w:t xml:space="preserve">pených klinických </w:t>
      </w:r>
      <w:r>
        <w:rPr>
          <w:b/>
          <w:sz w:val="22"/>
          <w:szCs w:val="22"/>
        </w:rPr>
        <w:t xml:space="preserve"> </w:t>
      </w:r>
    </w:p>
    <w:p w14:paraId="52533108" w14:textId="6B53A049" w:rsidR="0081018A" w:rsidRDefault="00E75CFC" w:rsidP="0081018A">
      <w:pPr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097146">
        <w:rPr>
          <w:b/>
          <w:sz w:val="22"/>
          <w:szCs w:val="22"/>
        </w:rPr>
        <w:t>skúšaniach (N </w:t>
      </w:r>
      <w:r w:rsidR="0081018A">
        <w:rPr>
          <w:b/>
          <w:sz w:val="22"/>
          <w:szCs w:val="22"/>
        </w:rPr>
        <w:t>=</w:t>
      </w:r>
      <w:r w:rsidR="00097146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170)</w:t>
      </w:r>
      <w:r w:rsidR="0081018A" w:rsidRPr="00AA45DE">
        <w:rPr>
          <w:b/>
          <w:sz w:val="22"/>
          <w:szCs w:val="22"/>
        </w:rPr>
        <w:t>.</w:t>
      </w:r>
    </w:p>
    <w:p w14:paraId="5C8CDB78" w14:textId="77777777" w:rsidR="0081018A" w:rsidRDefault="0081018A" w:rsidP="0081018A">
      <w:pPr>
        <w:widowControl w:val="0"/>
        <w:tabs>
          <w:tab w:val="left" w:pos="567"/>
        </w:tabs>
        <w:rPr>
          <w:noProof/>
          <w:sz w:val="22"/>
          <w:szCs w:val="22"/>
          <w:lang w:val="en-GB" w:eastAsia="en-US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7"/>
      </w:tblGrid>
      <w:tr w:rsidR="0081018A" w14:paraId="258DD9A3" w14:textId="77777777" w:rsidTr="00894802">
        <w:trPr>
          <w:trHeight w:val="2625"/>
        </w:trPr>
        <w:tc>
          <w:tcPr>
            <w:tcW w:w="8697" w:type="dxa"/>
          </w:tcPr>
          <w:p w14:paraId="22CC6316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Infekcie a nákazy</w:t>
            </w:r>
          </w:p>
          <w:p w14:paraId="16020A54" w14:textId="77777777" w:rsidR="0081018A" w:rsidRPr="00B76501" w:rsidRDefault="0081018A" w:rsidP="00894802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veľmi zriedkavé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nazofaryngitída</w:t>
            </w:r>
          </w:p>
          <w:p w14:paraId="6752E8FE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metabolizmu a výživy</w:t>
            </w:r>
          </w:p>
          <w:p w14:paraId="72C1461E" w14:textId="77777777" w:rsidR="0081018A" w:rsidRPr="00B76501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časté 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hypoglykémia</w:t>
            </w:r>
          </w:p>
          <w:p w14:paraId="7BABD1AC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nervového systému</w:t>
            </w:r>
          </w:p>
          <w:p w14:paraId="0997BF87" w14:textId="77777777" w:rsidR="0081018A" w:rsidRPr="00B76501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t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remor</w:t>
            </w:r>
          </w:p>
          <w:p w14:paraId="1D9B6441" w14:textId="77777777" w:rsidR="0081018A" w:rsidRPr="00B76501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bolesť hlavy</w:t>
            </w:r>
          </w:p>
          <w:p w14:paraId="6D61CCA8" w14:textId="77777777" w:rsidR="0081018A" w:rsidRPr="00B76501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závraty</w:t>
            </w:r>
          </w:p>
          <w:p w14:paraId="5BF527F7" w14:textId="77777777" w:rsidR="0081018A" w:rsidRPr="00B76501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asténia</w:t>
            </w:r>
          </w:p>
          <w:p w14:paraId="670B0DF6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gastrointestinálneho traktu</w:t>
            </w:r>
          </w:p>
          <w:p w14:paraId="2E239167" w14:textId="77777777" w:rsidR="0081018A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menej časté 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zápcha</w:t>
            </w:r>
          </w:p>
        </w:tc>
      </w:tr>
    </w:tbl>
    <w:p w14:paraId="4DE3050D" w14:textId="77777777" w:rsidR="0081018A" w:rsidRPr="004D1FDE" w:rsidRDefault="0081018A" w:rsidP="0081018A">
      <w:pPr>
        <w:rPr>
          <w:bCs/>
          <w:iCs/>
          <w:sz w:val="22"/>
          <w:szCs w:val="22"/>
        </w:rPr>
      </w:pPr>
    </w:p>
    <w:p w14:paraId="19459E77" w14:textId="77777777" w:rsidR="0081018A" w:rsidRPr="00DB6087" w:rsidRDefault="0081018A" w:rsidP="0081018A">
      <w:pPr>
        <w:rPr>
          <w:b/>
          <w:i/>
          <w:sz w:val="22"/>
          <w:szCs w:val="22"/>
        </w:rPr>
      </w:pPr>
      <w:r w:rsidRPr="00DB6087">
        <w:rPr>
          <w:i/>
          <w:sz w:val="22"/>
          <w:szCs w:val="22"/>
        </w:rPr>
        <w:t>Popis vybraných nežiaducich reakcií</w:t>
      </w:r>
    </w:p>
    <w:p w14:paraId="1EDCED6F" w14:textId="51CF723A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 kombinácie 50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="005906F4">
        <w:rPr>
          <w:sz w:val="22"/>
          <w:szCs w:val="22"/>
        </w:rPr>
        <w:t xml:space="preserve"> vildagliptínu</w:t>
      </w:r>
      <w:r w:rsidR="00E75CFC">
        <w:rPr>
          <w:sz w:val="22"/>
          <w:szCs w:val="22"/>
        </w:rPr>
        <w:t xml:space="preserve"> so </w:t>
      </w:r>
      <w:r>
        <w:rPr>
          <w:sz w:val="22"/>
          <w:szCs w:val="22"/>
        </w:rPr>
        <w:t xml:space="preserve">sulfonylureovým antidiabetikom bola celková </w:t>
      </w:r>
      <w:r w:rsidR="00E75CFC">
        <w:rPr>
          <w:sz w:val="22"/>
          <w:szCs w:val="22"/>
        </w:rPr>
        <w:t>incidencia ukončenia účasti pre </w:t>
      </w:r>
      <w:r>
        <w:rPr>
          <w:sz w:val="22"/>
          <w:szCs w:val="22"/>
        </w:rPr>
        <w:t>nežiaduce reakcie 0,6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% v skupine liečby 50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mg vildagliptínu so</w:t>
      </w:r>
      <w:r w:rsidR="00097146">
        <w:rPr>
          <w:sz w:val="22"/>
          <w:szCs w:val="22"/>
        </w:rPr>
        <w:t> </w:t>
      </w:r>
      <w:r>
        <w:rPr>
          <w:sz w:val="22"/>
          <w:szCs w:val="22"/>
        </w:rPr>
        <w:t>sulfonylureovým antidiabetikom oproti 0</w:t>
      </w:r>
      <w:r w:rsidR="00097146">
        <w:rPr>
          <w:sz w:val="22"/>
          <w:szCs w:val="22"/>
        </w:rPr>
        <w:t> </w:t>
      </w:r>
      <w:r w:rsidR="00E75CFC">
        <w:rPr>
          <w:sz w:val="22"/>
          <w:szCs w:val="22"/>
        </w:rPr>
        <w:t>% v </w:t>
      </w:r>
      <w:r>
        <w:rPr>
          <w:sz w:val="22"/>
          <w:szCs w:val="22"/>
        </w:rPr>
        <w:t>skupine liečby placeba so</w:t>
      </w:r>
      <w:r w:rsidR="00E75CFC">
        <w:rPr>
          <w:sz w:val="22"/>
          <w:szCs w:val="22"/>
        </w:rPr>
        <w:t> </w:t>
      </w:r>
      <w:r>
        <w:rPr>
          <w:sz w:val="22"/>
          <w:szCs w:val="22"/>
        </w:rPr>
        <w:t>sulfonylureovým antidiabetikom.</w:t>
      </w:r>
    </w:p>
    <w:p w14:paraId="1C8D89A0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CE591D8" w14:textId="53B1C505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bola incidencia hypoglykémie 1,2 %</w:t>
      </w:r>
      <w:r w:rsidR="00E75CFC">
        <w:rPr>
          <w:bCs/>
          <w:iCs/>
          <w:sz w:val="22"/>
          <w:szCs w:val="22"/>
        </w:rPr>
        <w:t>, keď sa 50 </w:t>
      </w:r>
      <w:r>
        <w:rPr>
          <w:bCs/>
          <w:iCs/>
          <w:sz w:val="22"/>
          <w:szCs w:val="22"/>
        </w:rPr>
        <w:t>mg vilda</w:t>
      </w:r>
      <w:r w:rsidR="00E75CFC">
        <w:rPr>
          <w:bCs/>
          <w:iCs/>
          <w:sz w:val="22"/>
          <w:szCs w:val="22"/>
        </w:rPr>
        <w:t>gliptínu raz denne pridávalo ku </w:t>
      </w:r>
      <w:r>
        <w:rPr>
          <w:bCs/>
          <w:iCs/>
          <w:sz w:val="22"/>
          <w:szCs w:val="22"/>
        </w:rPr>
        <w:t>glimepiridu</w:t>
      </w:r>
      <w:r w:rsidR="00E75CFC">
        <w:rPr>
          <w:bCs/>
          <w:iCs/>
          <w:sz w:val="22"/>
          <w:szCs w:val="22"/>
        </w:rPr>
        <w:t>, oproti 0,6 </w:t>
      </w:r>
      <w:r>
        <w:rPr>
          <w:bCs/>
          <w:iCs/>
          <w:sz w:val="22"/>
          <w:szCs w:val="22"/>
        </w:rPr>
        <w:t>% pri</w:t>
      </w:r>
      <w:r w:rsidR="00E75CFC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placebe s glimepiridom. V skupinách vildagliptínu neboli hlásené žiadne závažné hypoglykemické udalosti.</w:t>
      </w:r>
    </w:p>
    <w:p w14:paraId="0E18F9B1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6F2FB644" w14:textId="634A26C8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sa telesná hmotnosť nezmenila oproti východiskovým hodnotám, keď sa 50 mg vildagliptínu denne pridalo ku glimepiridu (-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0,1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 pri vildagliptíne a</w:t>
      </w:r>
      <w:r w:rsidR="00E75CFC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-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0,4</w:t>
      </w:r>
      <w:r w:rsidR="0009714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 pri placebe).</w:t>
      </w:r>
    </w:p>
    <w:p w14:paraId="14704D09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33480F56" w14:textId="77777777" w:rsidR="0081018A" w:rsidRPr="00010682" w:rsidRDefault="0081018A" w:rsidP="0081018A">
      <w:pPr>
        <w:rPr>
          <w:sz w:val="22"/>
          <w:szCs w:val="22"/>
          <w:u w:val="single"/>
        </w:rPr>
      </w:pPr>
      <w:r w:rsidRPr="00010682">
        <w:rPr>
          <w:i/>
          <w:sz w:val="22"/>
          <w:szCs w:val="22"/>
          <w:u w:val="single"/>
        </w:rPr>
        <w:t>Kombinácia s</w:t>
      </w:r>
      <w:r>
        <w:rPr>
          <w:i/>
          <w:sz w:val="22"/>
          <w:szCs w:val="22"/>
          <w:u w:val="single"/>
        </w:rPr>
        <w:t> tiazolidíndiónovým antidiabetikom</w:t>
      </w:r>
    </w:p>
    <w:p w14:paraId="6E813181" w14:textId="77777777" w:rsidR="0081018A" w:rsidRPr="004D1FDE" w:rsidRDefault="0081018A" w:rsidP="0081018A">
      <w:pPr>
        <w:rPr>
          <w:sz w:val="22"/>
          <w:szCs w:val="22"/>
        </w:rPr>
      </w:pPr>
    </w:p>
    <w:p w14:paraId="662B9FF3" w14:textId="77777777" w:rsidR="00DB6087" w:rsidRDefault="0081018A" w:rsidP="0081018A">
      <w:pPr>
        <w:keepNext/>
        <w:rPr>
          <w:b/>
          <w:sz w:val="22"/>
          <w:szCs w:val="22"/>
        </w:rPr>
      </w:pPr>
      <w:r w:rsidRPr="00DB6087">
        <w:rPr>
          <w:b/>
          <w:sz w:val="22"/>
          <w:szCs w:val="22"/>
        </w:rPr>
        <w:t>Tabuľka 3 Nežiaduce reakcie hlásené u pacientov, ktorí dostávali vildagliptín 100</w:t>
      </w:r>
      <w:r w:rsidR="00097146" w:rsidRPr="00DB6087">
        <w:rPr>
          <w:b/>
          <w:sz w:val="22"/>
          <w:szCs w:val="22"/>
        </w:rPr>
        <w:t> </w:t>
      </w:r>
      <w:r w:rsidRPr="00DB6087">
        <w:rPr>
          <w:b/>
          <w:sz w:val="22"/>
          <w:szCs w:val="22"/>
        </w:rPr>
        <w:t xml:space="preserve">mg denne </w:t>
      </w:r>
    </w:p>
    <w:p w14:paraId="03245AD5" w14:textId="77777777" w:rsidR="00DB6087" w:rsidRDefault="00DB6087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 w:rsidRPr="00DB6087">
        <w:rPr>
          <w:b/>
          <w:sz w:val="22"/>
          <w:szCs w:val="22"/>
        </w:rPr>
        <w:t xml:space="preserve">v kombinácii s tiazolidíndiónovým antidiabetikom v dvojito zaslepených klinických </w:t>
      </w:r>
    </w:p>
    <w:p w14:paraId="6D5504D7" w14:textId="0D387A38" w:rsidR="0081018A" w:rsidRPr="004D1FDE" w:rsidRDefault="00DB6087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 w:rsidRPr="00DB6087">
        <w:rPr>
          <w:b/>
          <w:sz w:val="22"/>
          <w:szCs w:val="22"/>
        </w:rPr>
        <w:t>skúšaniach (N</w:t>
      </w:r>
      <w:r w:rsidR="00097146" w:rsidRPr="00DB6087">
        <w:rPr>
          <w:b/>
          <w:sz w:val="22"/>
          <w:szCs w:val="22"/>
        </w:rPr>
        <w:t> </w:t>
      </w:r>
      <w:r w:rsidR="0081018A" w:rsidRPr="00DB6087">
        <w:rPr>
          <w:b/>
          <w:sz w:val="22"/>
          <w:szCs w:val="22"/>
        </w:rPr>
        <w:t>=</w:t>
      </w:r>
      <w:r w:rsidR="00097146" w:rsidRPr="00DB6087">
        <w:rPr>
          <w:b/>
          <w:sz w:val="22"/>
          <w:szCs w:val="22"/>
        </w:rPr>
        <w:t> </w:t>
      </w:r>
      <w:r w:rsidR="0081018A" w:rsidRPr="00DB6087">
        <w:rPr>
          <w:b/>
          <w:sz w:val="22"/>
          <w:szCs w:val="22"/>
        </w:rPr>
        <w:t>158).</w:t>
      </w:r>
    </w:p>
    <w:p w14:paraId="71A7AA5B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340B2D9D" w14:textId="77777777" w:rsidTr="00894802">
        <w:trPr>
          <w:trHeight w:val="1987"/>
        </w:trPr>
        <w:tc>
          <w:tcPr>
            <w:tcW w:w="8687" w:type="dxa"/>
          </w:tcPr>
          <w:p w14:paraId="483F67CF" w14:textId="33CEFD00" w:rsidR="0081018A" w:rsidRPr="00DC580E" w:rsidRDefault="00DB60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437E48B1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zvýšenie telesnej hmotnosti</w:t>
            </w:r>
          </w:p>
          <w:p w14:paraId="5EB775A2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hypoglykémia</w:t>
            </w:r>
          </w:p>
          <w:p w14:paraId="3F289EB2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145CDA26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bolesť hlavy</w:t>
            </w:r>
          </w:p>
          <w:p w14:paraId="4929A238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asténia</w:t>
            </w:r>
          </w:p>
          <w:p w14:paraId="5D4123F2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ciev</w:t>
            </w:r>
          </w:p>
          <w:p w14:paraId="270CE072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periférny edém</w:t>
            </w:r>
          </w:p>
        </w:tc>
      </w:tr>
    </w:tbl>
    <w:p w14:paraId="2BE19C5B" w14:textId="77777777" w:rsidR="0081018A" w:rsidRPr="008011AC" w:rsidRDefault="0081018A" w:rsidP="0081018A">
      <w:pPr>
        <w:rPr>
          <w:sz w:val="20"/>
          <w:szCs w:val="20"/>
        </w:rPr>
      </w:pPr>
    </w:p>
    <w:p w14:paraId="09380B01" w14:textId="77777777" w:rsidR="0081018A" w:rsidRPr="00DB6087" w:rsidRDefault="0081018A" w:rsidP="0081018A">
      <w:pPr>
        <w:rPr>
          <w:b/>
          <w:i/>
          <w:sz w:val="22"/>
          <w:szCs w:val="22"/>
        </w:rPr>
      </w:pPr>
      <w:r w:rsidRPr="00DB6087">
        <w:rPr>
          <w:i/>
          <w:sz w:val="22"/>
          <w:szCs w:val="22"/>
        </w:rPr>
        <w:t>Popis vybraných nežiaducich reakcií</w:t>
      </w:r>
    </w:p>
    <w:p w14:paraId="460AE4D4" w14:textId="473F26CD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 kombinácie 100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mg vildagliptínu denne s tiazolidíndiónovým antidiabetikom nebolo hlás</w:t>
      </w:r>
      <w:r w:rsidR="00DB6087">
        <w:rPr>
          <w:sz w:val="22"/>
          <w:szCs w:val="22"/>
        </w:rPr>
        <w:t>ené žiadne ukončenie účasti pre </w:t>
      </w:r>
      <w:r>
        <w:rPr>
          <w:sz w:val="22"/>
          <w:szCs w:val="22"/>
        </w:rPr>
        <w:t>nežiaduce reakcie v skupinách liečby 100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mg vildagliptínu denne s tiazolidíndiónovým antidiabetikom, ani placeba s tiazolidíndiónovým antidiabetikom.</w:t>
      </w:r>
    </w:p>
    <w:p w14:paraId="2AF96D16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3DDAB730" w14:textId="5AA91554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bola incidencia hypoglykémie menej častá u pacientov, ktorí dostávali vildagliptín s pioglitazónom (0,6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%), ale častá u pacientov, ktorí dostávali placebo s pioglitazónom (1,9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%). V skupinách vildagliptínu neboli hlásené žiadne závažné hypoglykemické udalosti.</w:t>
      </w:r>
    </w:p>
    <w:p w14:paraId="0AB2903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F547243" w14:textId="3BE31F7E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klinickom skúšaní prídavnej terapie s pioglitazónom bolo a</w:t>
      </w:r>
      <w:r w:rsidR="00DB6087">
        <w:rPr>
          <w:bCs/>
          <w:iCs/>
          <w:sz w:val="22"/>
          <w:szCs w:val="22"/>
        </w:rPr>
        <w:t>bsolútne zvýšenie hmotnosti pri </w:t>
      </w:r>
      <w:r>
        <w:rPr>
          <w:bCs/>
          <w:iCs/>
          <w:sz w:val="22"/>
          <w:szCs w:val="22"/>
        </w:rPr>
        <w:t>placebe 1,4</w:t>
      </w:r>
      <w:r w:rsidR="00082F44">
        <w:rPr>
          <w:bCs/>
          <w:iCs/>
          <w:sz w:val="22"/>
          <w:szCs w:val="22"/>
        </w:rPr>
        <w:t> </w:t>
      </w:r>
      <w:r w:rsidR="00DB6087">
        <w:rPr>
          <w:bCs/>
          <w:iCs/>
          <w:sz w:val="22"/>
          <w:szCs w:val="22"/>
        </w:rPr>
        <w:t>kg a pri </w:t>
      </w:r>
      <w:r>
        <w:rPr>
          <w:bCs/>
          <w:iCs/>
          <w:sz w:val="22"/>
          <w:szCs w:val="22"/>
        </w:rPr>
        <w:t>vildagliptíne 100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denne 2,7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kg.</w:t>
      </w:r>
    </w:p>
    <w:p w14:paraId="65B06913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3BBBFE1B" w14:textId="3E3E10E8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Incidencia periférneho edému, keď sa 100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vildagliptínu denne pridávalo k maximálnej dávke základnej liečby pioglitazónom (45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raz denne), bola 7,0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porovnaní s 2,5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pri základnej liečbe samotným pioglitazónom.</w:t>
      </w:r>
    </w:p>
    <w:p w14:paraId="3610237B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242DFF13" w14:textId="77777777" w:rsidR="0081018A" w:rsidRPr="00010682" w:rsidRDefault="0081018A" w:rsidP="0081018A">
      <w:pPr>
        <w:rPr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Monoterapia</w:t>
      </w:r>
    </w:p>
    <w:p w14:paraId="139F4A21" w14:textId="77777777" w:rsidR="0081018A" w:rsidRPr="004D1FDE" w:rsidRDefault="0081018A" w:rsidP="0081018A">
      <w:pPr>
        <w:rPr>
          <w:sz w:val="22"/>
          <w:szCs w:val="22"/>
        </w:rPr>
      </w:pPr>
    </w:p>
    <w:p w14:paraId="133C0057" w14:textId="77777777" w:rsidR="00DB6087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4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100</w:t>
      </w:r>
      <w:r w:rsidR="00082F4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denne ako </w:t>
      </w:r>
    </w:p>
    <w:p w14:paraId="60EB9FBD" w14:textId="2B5FE2A1" w:rsidR="0081018A" w:rsidRPr="004D1FDE" w:rsidRDefault="00DB6087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monoterapiu v dvojito zaslepených klinických skúšaniach (N</w:t>
      </w:r>
      <w:r w:rsidR="00082F44">
        <w:rPr>
          <w:b/>
          <w:sz w:val="22"/>
          <w:szCs w:val="22"/>
        </w:rPr>
        <w:t> = </w:t>
      </w:r>
      <w:r w:rsidR="0081018A">
        <w:rPr>
          <w:b/>
          <w:sz w:val="22"/>
          <w:szCs w:val="22"/>
        </w:rPr>
        <w:t>1</w:t>
      </w:r>
      <w:r w:rsidR="00082F44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855)</w:t>
      </w:r>
      <w:r w:rsidR="0081018A" w:rsidRPr="00AA45DE">
        <w:rPr>
          <w:b/>
          <w:sz w:val="22"/>
          <w:szCs w:val="22"/>
        </w:rPr>
        <w:t>.</w:t>
      </w:r>
    </w:p>
    <w:p w14:paraId="4A5C0800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6DD52C4E" w14:textId="77777777" w:rsidTr="00894802">
        <w:trPr>
          <w:trHeight w:val="2282"/>
        </w:trPr>
        <w:tc>
          <w:tcPr>
            <w:tcW w:w="8687" w:type="dxa"/>
          </w:tcPr>
          <w:p w14:paraId="47ABC8E2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Infekcie a nákazy</w:t>
            </w:r>
          </w:p>
          <w:p w14:paraId="24465A9F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veľmi zriedkavé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infekcia horných dýchacích ciest</w:t>
            </w:r>
          </w:p>
          <w:p w14:paraId="3A0F5B68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veľmi zriedkavé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nazofaryngitída</w:t>
            </w:r>
          </w:p>
          <w:p w14:paraId="7A326FDB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 výživy</w:t>
            </w:r>
          </w:p>
          <w:p w14:paraId="7BFA24E8" w14:textId="77777777" w:rsidR="0081018A" w:rsidRPr="00DC580E" w:rsidRDefault="0081018A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hypoglykémia</w:t>
            </w:r>
          </w:p>
          <w:p w14:paraId="4666DE54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736C14B4" w14:textId="77777777" w:rsidR="0081018A" w:rsidRPr="00DC580E" w:rsidRDefault="0081018A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závraty</w:t>
            </w:r>
          </w:p>
          <w:p w14:paraId="14633594" w14:textId="77777777" w:rsidR="0081018A" w:rsidRPr="00DC580E" w:rsidRDefault="0081018A" w:rsidP="00894802">
            <w:pPr>
              <w:widowControl w:val="0"/>
              <w:tabs>
                <w:tab w:val="left" w:pos="1671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bolesť hlavy</w:t>
            </w:r>
            <w:r w:rsidRPr="00DC580E">
              <w:rPr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3D0B2FBB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ciev</w:t>
            </w:r>
          </w:p>
          <w:p w14:paraId="7132DEEA" w14:textId="77777777" w:rsidR="0081018A" w:rsidRPr="00DC580E" w:rsidRDefault="0081018A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periférny edém</w:t>
            </w:r>
          </w:p>
          <w:p w14:paraId="479EA9DF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2CE7BB63" w14:textId="77777777" w:rsidR="0081018A" w:rsidRPr="00DC580E" w:rsidRDefault="0081018A" w:rsidP="00894802">
            <w:pPr>
              <w:widowControl w:val="0"/>
              <w:tabs>
                <w:tab w:val="left" w:pos="1671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menej 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zápcha</w:t>
            </w:r>
            <w:r w:rsidRPr="00DC580E">
              <w:rPr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510C839B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kostrovej a svalovej sústavy a spojivového tkaniva</w:t>
            </w:r>
          </w:p>
          <w:p w14:paraId="6821A573" w14:textId="77777777" w:rsidR="0081018A" w:rsidRPr="007F3E7B" w:rsidRDefault="0081018A" w:rsidP="00894802">
            <w:pPr>
              <w:widowControl w:val="0"/>
              <w:tabs>
                <w:tab w:val="left" w:pos="167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menej 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atralgia</w:t>
            </w:r>
          </w:p>
        </w:tc>
      </w:tr>
    </w:tbl>
    <w:p w14:paraId="26118C05" w14:textId="77777777" w:rsidR="0081018A" w:rsidRPr="008011AC" w:rsidRDefault="0081018A" w:rsidP="0081018A">
      <w:pPr>
        <w:rPr>
          <w:sz w:val="20"/>
          <w:szCs w:val="20"/>
        </w:rPr>
      </w:pPr>
      <w:bookmarkStart w:id="0" w:name="_GoBack"/>
      <w:bookmarkEnd w:id="0"/>
    </w:p>
    <w:p w14:paraId="0A357403" w14:textId="77777777" w:rsidR="0081018A" w:rsidRPr="00DB6087" w:rsidRDefault="0081018A" w:rsidP="0081018A">
      <w:pPr>
        <w:rPr>
          <w:b/>
          <w:i/>
          <w:sz w:val="22"/>
          <w:szCs w:val="22"/>
        </w:rPr>
      </w:pPr>
      <w:r w:rsidRPr="00DB6087">
        <w:rPr>
          <w:i/>
          <w:sz w:val="22"/>
          <w:szCs w:val="22"/>
        </w:rPr>
        <w:t>Popis vybraných nežiaducich reakcií</w:t>
      </w:r>
    </w:p>
    <w:p w14:paraId="3FB0428C" w14:textId="27C7FB34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 xml:space="preserve">Okrem toho v kontrolovaných klinických skúšaniach monoterapie vildagliptínom nebola celková </w:t>
      </w:r>
      <w:r w:rsidR="00DB6087">
        <w:rPr>
          <w:sz w:val="22"/>
          <w:szCs w:val="22"/>
        </w:rPr>
        <w:t>incidencia ukončenia účasti pre </w:t>
      </w:r>
      <w:r>
        <w:rPr>
          <w:sz w:val="22"/>
          <w:szCs w:val="22"/>
        </w:rPr>
        <w:t>nežiaduce reakcie vyššia u pacientov liečených vildagliptínom v dávke 100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mg denne (0,3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%) ako pri placebe (0,6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%) alebo komparátoroch (0,5</w:t>
      </w:r>
      <w:r w:rsidR="00082F44">
        <w:rPr>
          <w:sz w:val="22"/>
          <w:szCs w:val="22"/>
        </w:rPr>
        <w:t> </w:t>
      </w:r>
      <w:r>
        <w:rPr>
          <w:sz w:val="22"/>
          <w:szCs w:val="22"/>
        </w:rPr>
        <w:t>%).</w:t>
      </w:r>
    </w:p>
    <w:p w14:paraId="67F5DC2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E0CE36B" w14:textId="45D53E45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porovnávacích kontrolovaných klinických skúšaniach monoterapie bola hypoglykémia menej častá</w:t>
      </w:r>
      <w:r w:rsidR="00DB6087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hlásená u 0,4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(7 z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1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855) pacientov liečených 100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mg vildagliptínu denne</w:t>
      </w:r>
      <w:r w:rsidR="00565D87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v porovnaní s 0,2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(2 z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1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082) pacientov v skupinách liečených účinným komparátorom alebo placebom, pričom sa nezaznamenali žiadne ťažké alebo závažné udalosti.</w:t>
      </w:r>
    </w:p>
    <w:p w14:paraId="2F7D72BD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AA78197" w14:textId="5EC81215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 klinických skúšaniach sa telesná hmotnosť nezmenila oproti východiskovým hodnotám, keď sa 100 mg vildagliptínu denne podávalo ako monoterapia (-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0,3</w:t>
      </w:r>
      <w:r w:rsidR="00082F44">
        <w:rPr>
          <w:bCs/>
          <w:iCs/>
          <w:sz w:val="22"/>
          <w:szCs w:val="22"/>
        </w:rPr>
        <w:t> </w:t>
      </w:r>
      <w:r w:rsidR="00565D87">
        <w:rPr>
          <w:bCs/>
          <w:iCs/>
          <w:sz w:val="22"/>
          <w:szCs w:val="22"/>
        </w:rPr>
        <w:t>kg pri vildagliptíne a </w:t>
      </w:r>
      <w:r>
        <w:rPr>
          <w:bCs/>
          <w:iCs/>
          <w:sz w:val="22"/>
          <w:szCs w:val="22"/>
        </w:rPr>
        <w:t>-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1,3</w:t>
      </w:r>
      <w:r w:rsidR="00082F44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kg pri placebe).</w:t>
      </w:r>
    </w:p>
    <w:p w14:paraId="07238242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848CFF3" w14:textId="491DD2DB" w:rsidR="0081018A" w:rsidRPr="004D1FDE" w:rsidRDefault="0081018A" w:rsidP="0081018A">
      <w:pPr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 xml:space="preserve">V klinických skúšaniach trvajúcich </w:t>
      </w:r>
      <w:r w:rsidR="005906F4">
        <w:rPr>
          <w:bCs/>
          <w:iCs/>
          <w:sz w:val="22"/>
          <w:szCs w:val="22"/>
        </w:rPr>
        <w:t>až</w:t>
      </w:r>
      <w:r w:rsidR="00565D87">
        <w:rPr>
          <w:bCs/>
          <w:iCs/>
          <w:sz w:val="22"/>
          <w:szCs w:val="22"/>
        </w:rPr>
        <w:t xml:space="preserve"> 2 roky sa pri </w:t>
      </w:r>
      <w:r>
        <w:rPr>
          <w:bCs/>
          <w:iCs/>
          <w:sz w:val="22"/>
          <w:szCs w:val="22"/>
        </w:rPr>
        <w:t>monoterapii vildagliptínom neukázali žiadne ďalšie signály týkajúce sa bezpečnosti alebo nepredvídané riziká.</w:t>
      </w:r>
    </w:p>
    <w:p w14:paraId="1C5EA367" w14:textId="77777777" w:rsidR="0081018A" w:rsidRDefault="0081018A" w:rsidP="0081018A">
      <w:pPr>
        <w:rPr>
          <w:sz w:val="22"/>
          <w:szCs w:val="22"/>
          <w:u w:val="single"/>
        </w:rPr>
      </w:pPr>
    </w:p>
    <w:p w14:paraId="75AF5F49" w14:textId="69F0CCA7" w:rsidR="0081018A" w:rsidRDefault="0081018A" w:rsidP="0081018A">
      <w:pPr>
        <w:rPr>
          <w:i/>
          <w:sz w:val="22"/>
          <w:szCs w:val="22"/>
          <w:u w:val="single"/>
        </w:rPr>
      </w:pPr>
      <w:r w:rsidRPr="00010682">
        <w:rPr>
          <w:i/>
          <w:sz w:val="22"/>
          <w:szCs w:val="22"/>
          <w:u w:val="single"/>
        </w:rPr>
        <w:t>Kombinácia s</w:t>
      </w:r>
      <w:r w:rsidR="00565D87">
        <w:rPr>
          <w:i/>
          <w:sz w:val="22"/>
          <w:szCs w:val="22"/>
          <w:u w:val="single"/>
        </w:rPr>
        <w:t> metformínom a </w:t>
      </w:r>
      <w:r>
        <w:rPr>
          <w:i/>
          <w:sz w:val="22"/>
          <w:szCs w:val="22"/>
          <w:u w:val="single"/>
        </w:rPr>
        <w:t>sulfonylureovým antidiabetikom</w:t>
      </w:r>
    </w:p>
    <w:p w14:paraId="63E76E8D" w14:textId="77777777" w:rsidR="0081018A" w:rsidRPr="004D1FDE" w:rsidRDefault="0081018A" w:rsidP="0081018A">
      <w:pPr>
        <w:rPr>
          <w:sz w:val="22"/>
          <w:szCs w:val="22"/>
        </w:rPr>
      </w:pPr>
    </w:p>
    <w:p w14:paraId="3EED84CB" w14:textId="77777777" w:rsidR="00565D87" w:rsidRDefault="0081018A" w:rsidP="0081018A">
      <w:pPr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5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50</w:t>
      </w:r>
      <w:r w:rsidR="00082F4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dvakrát </w:t>
      </w:r>
    </w:p>
    <w:p w14:paraId="4088FAF4" w14:textId="2709AA25" w:rsidR="0081018A" w:rsidRDefault="00565D87" w:rsidP="0081018A">
      <w:pPr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den</w:t>
      </w:r>
      <w:r>
        <w:rPr>
          <w:b/>
          <w:sz w:val="22"/>
          <w:szCs w:val="22"/>
        </w:rPr>
        <w:t>ne v kombinácii s metformínom a </w:t>
      </w:r>
      <w:r w:rsidR="0081018A">
        <w:rPr>
          <w:b/>
          <w:sz w:val="22"/>
          <w:szCs w:val="22"/>
        </w:rPr>
        <w:t>sulfonylureovým antidiabetikom (N</w:t>
      </w:r>
      <w:r w:rsidR="00082F44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=</w:t>
      </w:r>
      <w:r w:rsidR="00082F44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157)</w:t>
      </w:r>
      <w:r w:rsidR="0081018A" w:rsidRPr="00AA45DE">
        <w:rPr>
          <w:b/>
          <w:sz w:val="22"/>
          <w:szCs w:val="22"/>
        </w:rPr>
        <w:t>.</w:t>
      </w:r>
    </w:p>
    <w:p w14:paraId="62103369" w14:textId="77777777" w:rsidR="0081018A" w:rsidRPr="00DC580E" w:rsidRDefault="0081018A" w:rsidP="0081018A">
      <w:pPr>
        <w:widowControl w:val="0"/>
        <w:tabs>
          <w:tab w:val="left" w:pos="567"/>
        </w:tabs>
        <w:rPr>
          <w:noProof/>
          <w:sz w:val="22"/>
          <w:szCs w:val="22"/>
          <w:lang w:eastAsia="en-US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7"/>
      </w:tblGrid>
      <w:tr w:rsidR="0081018A" w14:paraId="2A283E27" w14:textId="77777777" w:rsidTr="00894802">
        <w:trPr>
          <w:trHeight w:val="1987"/>
        </w:trPr>
        <w:tc>
          <w:tcPr>
            <w:tcW w:w="8697" w:type="dxa"/>
          </w:tcPr>
          <w:p w14:paraId="22913C02" w14:textId="48106BD7" w:rsidR="0081018A" w:rsidRPr="00DC580E" w:rsidRDefault="00565D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38B7CBAE" w14:textId="77777777" w:rsidR="0081018A" w:rsidRPr="00DC580E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 xml:space="preserve">časté 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hypoglykémia</w:t>
            </w:r>
          </w:p>
          <w:p w14:paraId="7E0D9977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6AC56077" w14:textId="77777777" w:rsidR="0081018A" w:rsidRPr="00DC580E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závraty, tremor</w:t>
            </w:r>
          </w:p>
          <w:p w14:paraId="3112A759" w14:textId="4F9C6D06" w:rsidR="0081018A" w:rsidRPr="00DC580E" w:rsidRDefault="00565D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kože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podkožného tkaniva</w:t>
            </w:r>
          </w:p>
          <w:p w14:paraId="33AACD63" w14:textId="77777777" w:rsidR="0081018A" w:rsidRPr="00DC580E" w:rsidRDefault="0081018A" w:rsidP="00894802">
            <w:pPr>
              <w:widowControl w:val="0"/>
              <w:tabs>
                <w:tab w:val="left" w:pos="1681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 xml:space="preserve">časté 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nadmerné potenie</w:t>
            </w:r>
            <w:r w:rsidRPr="00DC580E">
              <w:rPr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3A961074" w14:textId="7E60BF2E" w:rsidR="0081018A" w:rsidRPr="00AA0422" w:rsidRDefault="00565D87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Celkové poruchy a reakcie v </w:t>
            </w:r>
            <w:r w:rsidR="0081018A">
              <w:rPr>
                <w:b/>
                <w:noProof/>
                <w:sz w:val="22"/>
                <w:szCs w:val="22"/>
                <w:lang w:val="en-GB" w:eastAsia="en-US"/>
              </w:rPr>
              <w:t>mieste podania</w:t>
            </w:r>
          </w:p>
          <w:p w14:paraId="2A02028A" w14:textId="77777777" w:rsidR="0081018A" w:rsidRDefault="0081018A" w:rsidP="00894802">
            <w:pPr>
              <w:widowControl w:val="0"/>
              <w:tabs>
                <w:tab w:val="left" w:pos="1681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časté 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asténia</w:t>
            </w:r>
          </w:p>
        </w:tc>
      </w:tr>
    </w:tbl>
    <w:p w14:paraId="64E525B9" w14:textId="77777777" w:rsidR="0081018A" w:rsidRPr="004D1FDE" w:rsidRDefault="0081018A" w:rsidP="0081018A">
      <w:pPr>
        <w:rPr>
          <w:bCs/>
          <w:iCs/>
          <w:sz w:val="22"/>
          <w:szCs w:val="22"/>
        </w:rPr>
      </w:pPr>
    </w:p>
    <w:p w14:paraId="45E515F4" w14:textId="77777777" w:rsidR="0081018A" w:rsidRPr="00565D87" w:rsidRDefault="0081018A" w:rsidP="0081018A">
      <w:pPr>
        <w:rPr>
          <w:b/>
          <w:i/>
          <w:sz w:val="22"/>
          <w:szCs w:val="22"/>
        </w:rPr>
      </w:pPr>
      <w:r w:rsidRPr="00565D87">
        <w:rPr>
          <w:i/>
          <w:sz w:val="22"/>
          <w:szCs w:val="22"/>
        </w:rPr>
        <w:t>Popis vybraných nežiaducich reakcií</w:t>
      </w:r>
    </w:p>
    <w:p w14:paraId="00881320" w14:textId="2BD73B24" w:rsidR="0081018A" w:rsidRDefault="00565D87" w:rsidP="0081018A">
      <w:pPr>
        <w:rPr>
          <w:sz w:val="22"/>
          <w:szCs w:val="22"/>
        </w:rPr>
      </w:pPr>
      <w:r>
        <w:rPr>
          <w:sz w:val="22"/>
          <w:szCs w:val="22"/>
        </w:rPr>
        <w:t>Ukončenia liečby pre </w:t>
      </w:r>
      <w:r w:rsidR="0081018A">
        <w:rPr>
          <w:sz w:val="22"/>
          <w:szCs w:val="22"/>
        </w:rPr>
        <w:t xml:space="preserve">nežiaduce reakcie neboli hlásené v skupine liečby vildagliptínom </w:t>
      </w:r>
      <w:r w:rsidR="0081018A" w:rsidRPr="00DC580E">
        <w:rPr>
          <w:sz w:val="22"/>
          <w:szCs w:val="22"/>
        </w:rPr>
        <w:t>+ metformínom +</w:t>
      </w:r>
      <w:r w:rsidR="0081018A">
        <w:rPr>
          <w:sz w:val="22"/>
          <w:szCs w:val="22"/>
        </w:rPr>
        <w:t xml:space="preserve"> glimepiridom oproti 0,6</w:t>
      </w:r>
      <w:r w:rsidR="00BA3BF6">
        <w:rPr>
          <w:sz w:val="22"/>
          <w:szCs w:val="22"/>
        </w:rPr>
        <w:t> </w:t>
      </w:r>
      <w:r>
        <w:rPr>
          <w:sz w:val="22"/>
          <w:szCs w:val="22"/>
        </w:rPr>
        <w:t>% v </w:t>
      </w:r>
      <w:r w:rsidR="0081018A">
        <w:rPr>
          <w:sz w:val="22"/>
          <w:szCs w:val="22"/>
        </w:rPr>
        <w:t xml:space="preserve">skupine </w:t>
      </w:r>
      <w:r>
        <w:rPr>
          <w:sz w:val="22"/>
          <w:szCs w:val="22"/>
        </w:rPr>
        <w:t>liečby placebom s metformínom a </w:t>
      </w:r>
      <w:r w:rsidR="0081018A">
        <w:rPr>
          <w:sz w:val="22"/>
          <w:szCs w:val="22"/>
        </w:rPr>
        <w:t>glimepiridom.</w:t>
      </w:r>
    </w:p>
    <w:p w14:paraId="7F527229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18F2904D" w14:textId="3427DA17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Incidencia hypoglykémie bola častá v oboch skupinách liečby (5,1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s vildagliptínom s metformínom a glimepiridom oproti 1,9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placeba s metformínom a glimepiridom). Jedna závažná hypoglykemická príhoda sa zaznamenala v skupine vildagliptínu.</w:t>
      </w:r>
    </w:p>
    <w:p w14:paraId="2C968D4D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26B786B6" w14:textId="7BA1F222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Účinok na priemernú telesnú hmotnosť na konci klinického skúšania bol neutrálny (+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0,6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 xml:space="preserve">kg </w:t>
      </w:r>
      <w:r w:rsidR="007E4328">
        <w:rPr>
          <w:bCs/>
          <w:iCs/>
          <w:sz w:val="22"/>
          <w:szCs w:val="22"/>
        </w:rPr>
        <w:t>v </w:t>
      </w:r>
      <w:r w:rsidR="00565D87">
        <w:rPr>
          <w:bCs/>
          <w:iCs/>
          <w:sz w:val="22"/>
          <w:szCs w:val="22"/>
        </w:rPr>
        <w:t>skupine</w:t>
      </w:r>
      <w:r w:rsidR="007E4328">
        <w:rPr>
          <w:bCs/>
          <w:iCs/>
          <w:sz w:val="22"/>
          <w:szCs w:val="22"/>
        </w:rPr>
        <w:t xml:space="preserve"> vildagliptínu</w:t>
      </w:r>
      <w:r>
        <w:rPr>
          <w:bCs/>
          <w:iCs/>
          <w:sz w:val="22"/>
          <w:szCs w:val="22"/>
        </w:rPr>
        <w:t xml:space="preserve"> a</w:t>
      </w:r>
      <w:r w:rsidR="007E4328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-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0,1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 xml:space="preserve">kg </w:t>
      </w:r>
      <w:r w:rsidR="007E4328">
        <w:rPr>
          <w:bCs/>
          <w:iCs/>
          <w:sz w:val="22"/>
          <w:szCs w:val="22"/>
        </w:rPr>
        <w:t>v skupine</w:t>
      </w:r>
      <w:r>
        <w:rPr>
          <w:bCs/>
          <w:iCs/>
          <w:sz w:val="22"/>
          <w:szCs w:val="22"/>
        </w:rPr>
        <w:t xml:space="preserve"> placeb</w:t>
      </w:r>
      <w:r w:rsidR="007E4328">
        <w:rPr>
          <w:bCs/>
          <w:iCs/>
          <w:sz w:val="22"/>
          <w:szCs w:val="22"/>
        </w:rPr>
        <w:t>a</w:t>
      </w:r>
      <w:r>
        <w:rPr>
          <w:bCs/>
          <w:iCs/>
          <w:sz w:val="22"/>
          <w:szCs w:val="22"/>
        </w:rPr>
        <w:t>).</w:t>
      </w:r>
    </w:p>
    <w:p w14:paraId="69B7AF62" w14:textId="77777777" w:rsidR="0081018A" w:rsidRDefault="0081018A" w:rsidP="0081018A">
      <w:pPr>
        <w:rPr>
          <w:sz w:val="22"/>
          <w:szCs w:val="22"/>
          <w:u w:val="single"/>
        </w:rPr>
      </w:pPr>
    </w:p>
    <w:p w14:paraId="46D03671" w14:textId="77777777" w:rsidR="0081018A" w:rsidRPr="00010682" w:rsidRDefault="0081018A" w:rsidP="0081018A">
      <w:pPr>
        <w:rPr>
          <w:sz w:val="22"/>
          <w:szCs w:val="22"/>
          <w:u w:val="single"/>
        </w:rPr>
      </w:pPr>
      <w:r w:rsidRPr="00F220B9">
        <w:rPr>
          <w:i/>
          <w:sz w:val="22"/>
          <w:szCs w:val="22"/>
          <w:u w:val="single"/>
        </w:rPr>
        <w:t>Kombinácia s inzulínom</w:t>
      </w:r>
    </w:p>
    <w:p w14:paraId="3CC55FD9" w14:textId="77777777" w:rsidR="0081018A" w:rsidRPr="004D1FDE" w:rsidRDefault="0081018A" w:rsidP="0081018A">
      <w:pPr>
        <w:rPr>
          <w:sz w:val="22"/>
          <w:szCs w:val="22"/>
        </w:rPr>
      </w:pPr>
    </w:p>
    <w:p w14:paraId="2A31CEEF" w14:textId="77777777" w:rsidR="00F220B9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6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>
        <w:rPr>
          <w:b/>
          <w:sz w:val="22"/>
          <w:szCs w:val="22"/>
        </w:rPr>
        <w:t>hlásené u pacientov, ktorí dostávali vildagliptín 100</w:t>
      </w:r>
      <w:r w:rsidR="00BA3BF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mg denne </w:t>
      </w:r>
    </w:p>
    <w:p w14:paraId="6B9FBE8B" w14:textId="77777777" w:rsidR="00F220B9" w:rsidRDefault="00F220B9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 kombinácii s inzulínom (s </w:t>
      </w:r>
      <w:r w:rsidR="0081018A">
        <w:rPr>
          <w:b/>
          <w:sz w:val="22"/>
          <w:szCs w:val="22"/>
        </w:rPr>
        <w:t xml:space="preserve">metformínom alebo bez neho) v dvojito zaslepených </w:t>
      </w:r>
      <w:r>
        <w:rPr>
          <w:b/>
          <w:sz w:val="22"/>
          <w:szCs w:val="22"/>
        </w:rPr>
        <w:t xml:space="preserve">               </w:t>
      </w:r>
    </w:p>
    <w:p w14:paraId="7AFAD6A7" w14:textId="2C120891" w:rsidR="0081018A" w:rsidRPr="004D1FDE" w:rsidRDefault="00F220B9" w:rsidP="0081018A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1018A">
        <w:rPr>
          <w:b/>
          <w:sz w:val="22"/>
          <w:szCs w:val="22"/>
        </w:rPr>
        <w:t>klinických skúšaniach (N</w:t>
      </w:r>
      <w:r w:rsidR="00BA3BF6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=</w:t>
      </w:r>
      <w:r w:rsidR="00BA3BF6">
        <w:rPr>
          <w:b/>
          <w:sz w:val="22"/>
          <w:szCs w:val="22"/>
        </w:rPr>
        <w:t> </w:t>
      </w:r>
      <w:r w:rsidR="0081018A">
        <w:rPr>
          <w:b/>
          <w:sz w:val="22"/>
          <w:szCs w:val="22"/>
        </w:rPr>
        <w:t>371)</w:t>
      </w:r>
      <w:r w:rsidR="0081018A" w:rsidRPr="00AA45DE">
        <w:rPr>
          <w:b/>
          <w:sz w:val="22"/>
          <w:szCs w:val="22"/>
        </w:rPr>
        <w:t>.</w:t>
      </w:r>
    </w:p>
    <w:p w14:paraId="0409C82C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7"/>
      </w:tblGrid>
      <w:tr w:rsidR="0081018A" w14:paraId="122052BE" w14:textId="77777777" w:rsidTr="00894802">
        <w:trPr>
          <w:trHeight w:val="1755"/>
        </w:trPr>
        <w:tc>
          <w:tcPr>
            <w:tcW w:w="8687" w:type="dxa"/>
          </w:tcPr>
          <w:p w14:paraId="0650EB12" w14:textId="2C573EB0" w:rsidR="0081018A" w:rsidRPr="00DC580E" w:rsidRDefault="00F220B9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metabolizmu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výživy</w:t>
            </w:r>
          </w:p>
          <w:p w14:paraId="6956D605" w14:textId="596650EF" w:rsidR="0081018A" w:rsidRPr="00DC580E" w:rsidRDefault="00F220B9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znížená glukóza v </w:t>
            </w:r>
            <w:r w:rsidR="0081018A" w:rsidRPr="00DC580E">
              <w:rPr>
                <w:noProof/>
                <w:sz w:val="22"/>
                <w:szCs w:val="22"/>
                <w:lang w:eastAsia="en-US"/>
              </w:rPr>
              <w:t>krvi</w:t>
            </w:r>
          </w:p>
          <w:p w14:paraId="435D7EC5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nervového systému</w:t>
            </w:r>
          </w:p>
          <w:p w14:paraId="74D51631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bolesť hlavy, triaška</w:t>
            </w:r>
          </w:p>
          <w:p w14:paraId="2DC152B5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6C8EBBCC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 xml:space="preserve">nauzea, gastroezofágová refluxná choroba </w:t>
            </w:r>
          </w:p>
          <w:p w14:paraId="3AC77D57" w14:textId="77777777" w:rsidR="0081018A" w:rsidRPr="007F3E7B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menej časté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hnačka, flatulencia</w:t>
            </w:r>
          </w:p>
        </w:tc>
      </w:tr>
    </w:tbl>
    <w:p w14:paraId="7D12F838" w14:textId="77777777" w:rsidR="0081018A" w:rsidRPr="008011AC" w:rsidRDefault="0081018A" w:rsidP="0081018A">
      <w:pPr>
        <w:rPr>
          <w:sz w:val="20"/>
          <w:szCs w:val="20"/>
        </w:rPr>
      </w:pPr>
    </w:p>
    <w:p w14:paraId="5BC97B32" w14:textId="77777777" w:rsidR="0081018A" w:rsidRPr="00F220B9" w:rsidRDefault="0081018A" w:rsidP="0081018A">
      <w:pPr>
        <w:rPr>
          <w:b/>
          <w:i/>
          <w:sz w:val="22"/>
          <w:szCs w:val="22"/>
        </w:rPr>
      </w:pPr>
      <w:r w:rsidRPr="00F220B9">
        <w:rPr>
          <w:i/>
          <w:sz w:val="22"/>
          <w:szCs w:val="22"/>
        </w:rPr>
        <w:t>Popis vybraných nežiaducich reakcií</w:t>
      </w:r>
    </w:p>
    <w:p w14:paraId="5B881AEF" w14:textId="303EDE5D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kontrolovaných klinických skúšaniach, v ktorých sa podávalo 50</w:t>
      </w:r>
      <w:r w:rsidR="00BA3BF6">
        <w:rPr>
          <w:sz w:val="22"/>
          <w:szCs w:val="22"/>
        </w:rPr>
        <w:t> </w:t>
      </w:r>
      <w:r>
        <w:rPr>
          <w:sz w:val="22"/>
          <w:szCs w:val="22"/>
        </w:rPr>
        <w:t xml:space="preserve">mg vildagliptínu dvakrát denne v kombinácii s inzulínom, súbežne s metformínom alebo bez neho, bola celková </w:t>
      </w:r>
      <w:r w:rsidR="00F220B9">
        <w:rPr>
          <w:sz w:val="22"/>
          <w:szCs w:val="22"/>
        </w:rPr>
        <w:t>incidencia ukončenia liečby pre </w:t>
      </w:r>
      <w:r>
        <w:rPr>
          <w:sz w:val="22"/>
          <w:szCs w:val="22"/>
        </w:rPr>
        <w:t>nežiaduce reakcie 0,3</w:t>
      </w:r>
      <w:r w:rsidR="00BA3BF6">
        <w:rPr>
          <w:sz w:val="22"/>
          <w:szCs w:val="22"/>
        </w:rPr>
        <w:t> </w:t>
      </w:r>
      <w:r>
        <w:rPr>
          <w:sz w:val="22"/>
          <w:szCs w:val="22"/>
        </w:rPr>
        <w:t>% v skupine liečby vildagliptínom a žiadne ukončenie v skupine placeba.</w:t>
      </w:r>
    </w:p>
    <w:p w14:paraId="0F7E20A3" w14:textId="77777777" w:rsidR="0081018A" w:rsidRDefault="0081018A" w:rsidP="0081018A">
      <w:pPr>
        <w:rPr>
          <w:sz w:val="22"/>
          <w:szCs w:val="22"/>
        </w:rPr>
      </w:pPr>
    </w:p>
    <w:p w14:paraId="74B6D093" w14:textId="2ABA5198" w:rsidR="0081018A" w:rsidRDefault="0081018A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Incidencia hypoglykémie bola podobná v oboch skupinách liečby (14,0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vildagliptínu oproti 16,4</w:t>
      </w:r>
      <w:r w:rsidR="00BA3BF6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% v skupine placeba). Dvaja pacienti hlásili závažné hypoglykemické príhody v skupine vildagliptínu a 6 pacienti v skupine placeba.</w:t>
      </w:r>
    </w:p>
    <w:p w14:paraId="246C7C8F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70F335D0" w14:textId="678BB8DF" w:rsidR="0081018A" w:rsidRDefault="00F220B9" w:rsidP="0081018A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Účinok na priemernú telesnú hmotnosť na </w:t>
      </w:r>
      <w:r w:rsidR="0081018A">
        <w:rPr>
          <w:bCs/>
          <w:iCs/>
          <w:sz w:val="22"/>
          <w:szCs w:val="22"/>
        </w:rPr>
        <w:t>konci klinického skúšania bol neutrálny (zmena</w:t>
      </w:r>
      <w:r>
        <w:rPr>
          <w:bCs/>
          <w:iCs/>
          <w:sz w:val="22"/>
          <w:szCs w:val="22"/>
        </w:rPr>
        <w:t> </w:t>
      </w:r>
      <w:r w:rsidR="00BA3BF6">
        <w:rPr>
          <w:bCs/>
          <w:iCs/>
          <w:sz w:val="22"/>
          <w:szCs w:val="22"/>
        </w:rPr>
        <w:t>+ </w:t>
      </w:r>
      <w:r w:rsidR="0081018A">
        <w:rPr>
          <w:bCs/>
          <w:iCs/>
          <w:sz w:val="22"/>
          <w:szCs w:val="22"/>
        </w:rPr>
        <w:t>0,6</w:t>
      </w:r>
      <w:r w:rsidR="00BA3BF6">
        <w:rPr>
          <w:bCs/>
          <w:iCs/>
          <w:sz w:val="22"/>
          <w:szCs w:val="22"/>
        </w:rPr>
        <w:t> </w:t>
      </w:r>
      <w:r w:rsidR="0081018A">
        <w:rPr>
          <w:bCs/>
          <w:iCs/>
          <w:sz w:val="22"/>
          <w:szCs w:val="22"/>
        </w:rPr>
        <w:t>kg oproti východiskovej hodnote v skupine vildaglip</w:t>
      </w:r>
      <w:r>
        <w:rPr>
          <w:bCs/>
          <w:iCs/>
          <w:sz w:val="22"/>
          <w:szCs w:val="22"/>
        </w:rPr>
        <w:t>tínu a žiadna zmena hmotnosti v </w:t>
      </w:r>
      <w:r w:rsidR="0081018A">
        <w:rPr>
          <w:bCs/>
          <w:iCs/>
          <w:sz w:val="22"/>
          <w:szCs w:val="22"/>
        </w:rPr>
        <w:t>skupine placeba).</w:t>
      </w:r>
    </w:p>
    <w:p w14:paraId="3D6471C9" w14:textId="77777777" w:rsidR="0081018A" w:rsidRDefault="0081018A" w:rsidP="0081018A">
      <w:pPr>
        <w:rPr>
          <w:bCs/>
          <w:iCs/>
          <w:sz w:val="22"/>
          <w:szCs w:val="22"/>
        </w:rPr>
      </w:pPr>
    </w:p>
    <w:p w14:paraId="516E045C" w14:textId="5DB89F30" w:rsidR="0081018A" w:rsidRPr="00660258" w:rsidRDefault="00F220B9" w:rsidP="0081018A">
      <w:pPr>
        <w:rPr>
          <w:bCs/>
          <w:i/>
          <w:iCs/>
          <w:sz w:val="22"/>
          <w:szCs w:val="22"/>
          <w:u w:val="single"/>
        </w:rPr>
      </w:pPr>
      <w:r w:rsidRPr="00B40276">
        <w:rPr>
          <w:bCs/>
          <w:i/>
          <w:iCs/>
          <w:sz w:val="22"/>
          <w:szCs w:val="22"/>
          <w:u w:val="single"/>
        </w:rPr>
        <w:t>Skúsenosti po </w:t>
      </w:r>
      <w:r w:rsidR="0081018A" w:rsidRPr="00B40276">
        <w:rPr>
          <w:bCs/>
          <w:i/>
          <w:iCs/>
          <w:sz w:val="22"/>
          <w:szCs w:val="22"/>
          <w:u w:val="single"/>
        </w:rPr>
        <w:t>uvedení na trh</w:t>
      </w:r>
    </w:p>
    <w:p w14:paraId="04AA1D2F" w14:textId="77777777" w:rsidR="0081018A" w:rsidRDefault="0081018A" w:rsidP="0081018A">
      <w:pPr>
        <w:keepNext/>
        <w:rPr>
          <w:b/>
          <w:sz w:val="22"/>
          <w:szCs w:val="22"/>
        </w:rPr>
      </w:pPr>
    </w:p>
    <w:p w14:paraId="0D2E4CCC" w14:textId="01D19230" w:rsidR="0081018A" w:rsidRPr="004D1FDE" w:rsidRDefault="0081018A" w:rsidP="0081018A">
      <w:pPr>
        <w:keepNext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Tabuľka </w:t>
      </w:r>
      <w:r>
        <w:rPr>
          <w:b/>
          <w:sz w:val="22"/>
          <w:szCs w:val="22"/>
        </w:rPr>
        <w:t>7</w:t>
      </w:r>
      <w:r w:rsidRPr="004D1FDE">
        <w:rPr>
          <w:b/>
          <w:sz w:val="22"/>
          <w:szCs w:val="22"/>
        </w:rPr>
        <w:t xml:space="preserve"> </w:t>
      </w:r>
      <w:r w:rsidRPr="00AA45DE">
        <w:rPr>
          <w:b/>
          <w:sz w:val="22"/>
          <w:szCs w:val="22"/>
        </w:rPr>
        <w:t xml:space="preserve">Nežiaduce reakcie </w:t>
      </w:r>
      <w:r w:rsidR="00F220B9">
        <w:rPr>
          <w:b/>
          <w:sz w:val="22"/>
          <w:szCs w:val="22"/>
        </w:rPr>
        <w:t>po </w:t>
      </w:r>
      <w:r>
        <w:rPr>
          <w:b/>
          <w:sz w:val="22"/>
          <w:szCs w:val="22"/>
        </w:rPr>
        <w:t>uvedení na</w:t>
      </w:r>
      <w:r w:rsidR="00F220B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trh.</w:t>
      </w:r>
    </w:p>
    <w:p w14:paraId="4444F4D7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018A" w14:paraId="04CF1293" w14:textId="77777777" w:rsidTr="00894802">
        <w:trPr>
          <w:trHeight w:val="2179"/>
        </w:trPr>
        <w:tc>
          <w:tcPr>
            <w:tcW w:w="5000" w:type="pct"/>
          </w:tcPr>
          <w:p w14:paraId="2471C7EE" w14:textId="77777777" w:rsidR="0081018A" w:rsidRPr="00DC580E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gastrointestinálneho traktu</w:t>
            </w:r>
          </w:p>
          <w:p w14:paraId="3C0FB78C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neznáme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>pankreatitída</w:t>
            </w:r>
          </w:p>
          <w:p w14:paraId="420157A4" w14:textId="6BC32DAC" w:rsidR="0081018A" w:rsidRPr="00DC580E" w:rsidRDefault="00F220B9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pečene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žlčových ciest</w:t>
            </w:r>
          </w:p>
          <w:p w14:paraId="488C09FE" w14:textId="2A1B086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neznáme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hepatitída (reverzibilná po </w:t>
            </w:r>
            <w:r w:rsidRPr="00DC580E">
              <w:rPr>
                <w:noProof/>
                <w:sz w:val="22"/>
                <w:szCs w:val="22"/>
                <w:lang w:eastAsia="en-US"/>
              </w:rPr>
              <w:t>vysadení lieku)</w:t>
            </w:r>
          </w:p>
          <w:p w14:paraId="3F681FD4" w14:textId="2F5C471D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ab/>
              <w:t xml:space="preserve">abnormálne testy 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funkcie pečene (reverzibilné po </w:t>
            </w:r>
            <w:r w:rsidRPr="00DC580E">
              <w:rPr>
                <w:noProof/>
                <w:sz w:val="22"/>
                <w:szCs w:val="22"/>
                <w:lang w:eastAsia="en-US"/>
              </w:rPr>
              <w:t>vysadení lieku)</w:t>
            </w:r>
          </w:p>
          <w:p w14:paraId="1899D798" w14:textId="24366B40" w:rsidR="0081018A" w:rsidRPr="00DC580E" w:rsidRDefault="00F220B9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Poruchy kože a </w:t>
            </w:r>
            <w:r w:rsidR="0081018A" w:rsidRPr="00DC580E">
              <w:rPr>
                <w:b/>
                <w:noProof/>
                <w:sz w:val="22"/>
                <w:szCs w:val="22"/>
                <w:lang w:eastAsia="en-US"/>
              </w:rPr>
              <w:t>podkožného tkaniva</w:t>
            </w:r>
          </w:p>
          <w:p w14:paraId="60F091F2" w14:textId="77777777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>časté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  <w:t xml:space="preserve">urtikária </w:t>
            </w:r>
          </w:p>
          <w:p w14:paraId="081BE5CE" w14:textId="323B9324" w:rsidR="0081018A" w:rsidRPr="00DC580E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eastAsia="en-US"/>
              </w:rPr>
            </w:pPr>
            <w:r w:rsidRPr="00DC580E">
              <w:rPr>
                <w:noProof/>
                <w:sz w:val="22"/>
                <w:szCs w:val="22"/>
                <w:lang w:eastAsia="en-US"/>
              </w:rPr>
              <w:tab/>
              <w:t>exfoliatívne a</w:t>
            </w:r>
            <w:r w:rsidR="00F220B9" w:rsidRPr="00DC580E">
              <w:rPr>
                <w:noProof/>
                <w:sz w:val="22"/>
                <w:szCs w:val="22"/>
                <w:lang w:eastAsia="en-US"/>
              </w:rPr>
              <w:t> </w:t>
            </w:r>
            <w:r w:rsidRPr="00DC580E">
              <w:rPr>
                <w:noProof/>
                <w:sz w:val="22"/>
                <w:szCs w:val="22"/>
                <w:lang w:eastAsia="en-US"/>
              </w:rPr>
              <w:t>bulózne kožné lézie vrátane bulózneho pemfigoidu</w:t>
            </w:r>
          </w:p>
          <w:p w14:paraId="314BD11A" w14:textId="77777777" w:rsidR="0081018A" w:rsidRPr="00AA0422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Poruchy kostrovej a svalovej sústavy a spojivového tkaniva</w:t>
            </w:r>
          </w:p>
          <w:p w14:paraId="44A18DF0" w14:textId="77777777" w:rsidR="0081018A" w:rsidRPr="007F3E7B" w:rsidRDefault="0081018A" w:rsidP="00894802">
            <w:pPr>
              <w:widowControl w:val="0"/>
              <w:tabs>
                <w:tab w:val="left" w:pos="1246"/>
              </w:tabs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neznáme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  <w:t>myalgia</w:t>
            </w:r>
          </w:p>
        </w:tc>
      </w:tr>
    </w:tbl>
    <w:p w14:paraId="17083179" w14:textId="77777777" w:rsidR="0081018A" w:rsidRPr="00660258" w:rsidRDefault="0081018A" w:rsidP="0081018A">
      <w:pPr>
        <w:rPr>
          <w:i/>
          <w:sz w:val="22"/>
          <w:szCs w:val="22"/>
          <w:u w:val="single"/>
        </w:rPr>
      </w:pPr>
    </w:p>
    <w:p w14:paraId="305EBEE8" w14:textId="2FE16668" w:rsidR="0081018A" w:rsidRPr="00927194" w:rsidRDefault="00F220B9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Hlásenie podozrení na </w:t>
      </w:r>
      <w:r w:rsidR="0081018A" w:rsidRPr="00927194">
        <w:rPr>
          <w:sz w:val="22"/>
          <w:szCs w:val="22"/>
          <w:u w:val="single"/>
        </w:rPr>
        <w:t>nežiaduce reakcie</w:t>
      </w:r>
    </w:p>
    <w:p w14:paraId="3DCE9CDA" w14:textId="0FBC008E" w:rsidR="0081018A" w:rsidRPr="004D1FDE" w:rsidRDefault="00F220B9" w:rsidP="0081018A">
      <w:pPr>
        <w:rPr>
          <w:sz w:val="22"/>
          <w:szCs w:val="22"/>
        </w:rPr>
      </w:pPr>
      <w:r>
        <w:rPr>
          <w:sz w:val="22"/>
          <w:szCs w:val="22"/>
        </w:rPr>
        <w:t>Hlásenie podozrení na nežiaduce reakcie po </w:t>
      </w:r>
      <w:r w:rsidR="0081018A" w:rsidRPr="004D1FDE">
        <w:rPr>
          <w:sz w:val="22"/>
          <w:szCs w:val="22"/>
        </w:rPr>
        <w:t>registrácii lieku je dôležité. Umožňuje priebežné</w:t>
      </w:r>
      <w:r>
        <w:rPr>
          <w:sz w:val="22"/>
          <w:szCs w:val="22"/>
        </w:rPr>
        <w:t xml:space="preserve"> monitorovanie pomeru prínosu a rizika lieku. Od </w:t>
      </w:r>
      <w:r w:rsidR="0081018A" w:rsidRPr="004D1FDE">
        <w:rPr>
          <w:sz w:val="22"/>
          <w:szCs w:val="22"/>
        </w:rPr>
        <w:t xml:space="preserve">zdravotníckych pracovníkov sa vyžaduje, aby </w:t>
      </w:r>
      <w:r>
        <w:rPr>
          <w:sz w:val="22"/>
          <w:szCs w:val="22"/>
        </w:rPr>
        <w:t>hlásili akékoľvek podozrenia na </w:t>
      </w:r>
      <w:r w:rsidR="0081018A" w:rsidRPr="004D1FDE">
        <w:rPr>
          <w:sz w:val="22"/>
          <w:szCs w:val="22"/>
        </w:rPr>
        <w:t xml:space="preserve">nežiaduce reakcie </w:t>
      </w:r>
      <w:r w:rsidR="0081018A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="0081018A" w:rsidRPr="00FC4AF3">
        <w:rPr>
          <w:sz w:val="22"/>
          <w:szCs w:val="22"/>
          <w:highlight w:val="lightGray"/>
        </w:rPr>
        <w:t>národné centrum hlásenia uvedené v </w:t>
      </w:r>
      <w:hyperlink r:id="rId7" w:history="1">
        <w:r w:rsidR="0081018A" w:rsidRPr="00E063DE">
          <w:rPr>
            <w:rStyle w:val="Hypertextovprepojenie"/>
            <w:snapToGrid w:val="0"/>
            <w:sz w:val="22"/>
            <w:szCs w:val="22"/>
            <w:highlight w:val="lightGray"/>
            <w:lang w:eastAsia="en-US"/>
          </w:rPr>
          <w:t>Prílohe V</w:t>
        </w:r>
      </w:hyperlink>
      <w:r w:rsidR="0081018A" w:rsidRPr="004D1FDE">
        <w:rPr>
          <w:sz w:val="22"/>
          <w:szCs w:val="22"/>
        </w:rPr>
        <w:t>.</w:t>
      </w:r>
    </w:p>
    <w:p w14:paraId="3A64377B" w14:textId="77777777" w:rsidR="0081018A" w:rsidRPr="004D1FDE" w:rsidRDefault="0081018A" w:rsidP="0081018A">
      <w:pPr>
        <w:rPr>
          <w:sz w:val="22"/>
          <w:szCs w:val="22"/>
        </w:rPr>
      </w:pPr>
    </w:p>
    <w:p w14:paraId="31B12CD2" w14:textId="77777777" w:rsidR="0081018A" w:rsidRPr="004D1FDE" w:rsidRDefault="0081018A" w:rsidP="0081018A">
      <w:pPr>
        <w:keepNext/>
        <w:keepLines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4.9</w:t>
      </w:r>
      <w:r w:rsidRPr="004D1FDE">
        <w:rPr>
          <w:b/>
          <w:sz w:val="22"/>
          <w:szCs w:val="22"/>
        </w:rPr>
        <w:tab/>
        <w:t>Predávkovanie</w:t>
      </w:r>
    </w:p>
    <w:p w14:paraId="75114489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327F2A37" w14:textId="77777777" w:rsidR="0081018A" w:rsidRDefault="0081018A" w:rsidP="0081018A">
      <w:pPr>
        <w:rPr>
          <w:sz w:val="22"/>
          <w:szCs w:val="22"/>
        </w:rPr>
      </w:pPr>
      <w:r w:rsidRPr="0052314D">
        <w:rPr>
          <w:sz w:val="22"/>
          <w:szCs w:val="22"/>
        </w:rPr>
        <w:t>Informácie o predávkovaní vildagliptínom sú obmedzené</w:t>
      </w:r>
      <w:r>
        <w:rPr>
          <w:sz w:val="22"/>
          <w:szCs w:val="22"/>
        </w:rPr>
        <w:t>.</w:t>
      </w:r>
    </w:p>
    <w:p w14:paraId="53834FEE" w14:textId="77777777" w:rsidR="0081018A" w:rsidRPr="0052314D" w:rsidRDefault="0081018A" w:rsidP="0081018A">
      <w:pPr>
        <w:rPr>
          <w:sz w:val="22"/>
          <w:szCs w:val="22"/>
        </w:rPr>
      </w:pPr>
    </w:p>
    <w:p w14:paraId="6F9E3008" w14:textId="77777777" w:rsidR="0081018A" w:rsidRPr="00927194" w:rsidRDefault="0081018A" w:rsidP="0081018A">
      <w:pPr>
        <w:rPr>
          <w:sz w:val="22"/>
          <w:szCs w:val="22"/>
          <w:u w:val="single"/>
        </w:rPr>
      </w:pPr>
      <w:r w:rsidRPr="00927194">
        <w:rPr>
          <w:sz w:val="22"/>
          <w:szCs w:val="22"/>
          <w:u w:val="single"/>
        </w:rPr>
        <w:t>Príznaky</w:t>
      </w:r>
    </w:p>
    <w:p w14:paraId="22A58331" w14:textId="389E2B59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Informácie o pravdepodobných príznakoch predávkovania sa získali v štúdii tolerancie pri</w:t>
      </w:r>
      <w:r w:rsidR="00F220B9">
        <w:rPr>
          <w:sz w:val="22"/>
          <w:szCs w:val="22"/>
        </w:rPr>
        <w:t> </w:t>
      </w:r>
      <w:r>
        <w:rPr>
          <w:sz w:val="22"/>
          <w:szCs w:val="22"/>
        </w:rPr>
        <w:t>zvyšujúcich sa dávkach zdravých osôb, ktorým sa podával vil</w:t>
      </w:r>
      <w:r w:rsidR="00EC3AA5">
        <w:rPr>
          <w:sz w:val="22"/>
          <w:szCs w:val="22"/>
        </w:rPr>
        <w:t>dagliptín počas 10 dní. Pri 400 </w:t>
      </w:r>
      <w:r>
        <w:rPr>
          <w:sz w:val="22"/>
          <w:szCs w:val="22"/>
        </w:rPr>
        <w:t>mg sa vyskytli tri prípady svalovej bolesti a jednotlivé prípady miernej a prechodnej parestézie, horúčky, edému a prechodného z</w:t>
      </w:r>
      <w:r w:rsidR="00EC3AA5">
        <w:rPr>
          <w:sz w:val="22"/>
          <w:szCs w:val="22"/>
        </w:rPr>
        <w:t>výšenia hladiny lipázy. Pri 600 </w:t>
      </w:r>
      <w:r>
        <w:rPr>
          <w:sz w:val="22"/>
          <w:szCs w:val="22"/>
        </w:rPr>
        <w:t>mg sa u jednej osoby vyskytol edém nôh a rúk, ako aj zvýšenie hladiny kreatínfosfokinázy (CPK), aspartátamin</w:t>
      </w:r>
      <w:r w:rsidR="00EC3AA5">
        <w:rPr>
          <w:sz w:val="22"/>
          <w:szCs w:val="22"/>
        </w:rPr>
        <w:t>otransferázy (AST), C-reaktívneh</w:t>
      </w:r>
      <w:r>
        <w:rPr>
          <w:sz w:val="22"/>
          <w:szCs w:val="22"/>
        </w:rPr>
        <w:t>o proteínu (CRP) a</w:t>
      </w:r>
      <w:r w:rsidR="008E112F">
        <w:rPr>
          <w:sz w:val="22"/>
          <w:szCs w:val="22"/>
        </w:rPr>
        <w:t> myoglobínu. U troch ďal</w:t>
      </w:r>
      <w:r>
        <w:rPr>
          <w:sz w:val="22"/>
          <w:szCs w:val="22"/>
        </w:rPr>
        <w:t>ších osôb</w:t>
      </w:r>
      <w:r w:rsidR="008E112F">
        <w:rPr>
          <w:sz w:val="22"/>
          <w:szCs w:val="22"/>
        </w:rPr>
        <w:t xml:space="preserve"> sa vyskytol edém nôh, z toho v </w:t>
      </w:r>
      <w:r>
        <w:rPr>
          <w:sz w:val="22"/>
          <w:szCs w:val="22"/>
        </w:rPr>
        <w:t>dvoch prípadoch s parestéziou. Všetky príznaky a laboratórne abn</w:t>
      </w:r>
      <w:r w:rsidR="008E112F">
        <w:rPr>
          <w:sz w:val="22"/>
          <w:szCs w:val="22"/>
        </w:rPr>
        <w:t>ormality ustúpili bez liečby po </w:t>
      </w:r>
      <w:r>
        <w:rPr>
          <w:sz w:val="22"/>
          <w:szCs w:val="22"/>
        </w:rPr>
        <w:t>vysadení skúšaného lieku.</w:t>
      </w:r>
    </w:p>
    <w:p w14:paraId="42A6B203" w14:textId="77777777" w:rsidR="0081018A" w:rsidRPr="004D1FDE" w:rsidRDefault="0081018A" w:rsidP="0081018A">
      <w:pPr>
        <w:rPr>
          <w:sz w:val="22"/>
          <w:szCs w:val="22"/>
        </w:rPr>
      </w:pPr>
    </w:p>
    <w:p w14:paraId="1007F44F" w14:textId="77777777" w:rsidR="0081018A" w:rsidRPr="00927194" w:rsidRDefault="0081018A" w:rsidP="0081018A">
      <w:pPr>
        <w:rPr>
          <w:sz w:val="22"/>
          <w:szCs w:val="22"/>
          <w:u w:val="single"/>
        </w:rPr>
      </w:pPr>
      <w:r w:rsidRPr="00927194">
        <w:rPr>
          <w:sz w:val="22"/>
          <w:szCs w:val="22"/>
          <w:u w:val="single"/>
        </w:rPr>
        <w:t>Liečba</w:t>
      </w:r>
    </w:p>
    <w:p w14:paraId="1C343EA9" w14:textId="77777777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 prípade predávkovania sa odporúča podporná liečba. Vildagliptín sa nedá odstrániť hemodialýzou. Avšak, hlavný metabolit hydrolýzy (LAY 151) možno odstrániť hemodialýzou.</w:t>
      </w:r>
    </w:p>
    <w:p w14:paraId="1B54A992" w14:textId="77777777" w:rsidR="0081018A" w:rsidRPr="004D1FDE" w:rsidRDefault="0081018A" w:rsidP="0081018A">
      <w:pPr>
        <w:rPr>
          <w:sz w:val="22"/>
          <w:szCs w:val="22"/>
        </w:rPr>
      </w:pPr>
    </w:p>
    <w:p w14:paraId="19FA0728" w14:textId="77777777" w:rsidR="0081018A" w:rsidRPr="004D1FDE" w:rsidRDefault="0081018A" w:rsidP="0081018A">
      <w:pPr>
        <w:rPr>
          <w:sz w:val="22"/>
          <w:szCs w:val="22"/>
        </w:rPr>
      </w:pPr>
    </w:p>
    <w:p w14:paraId="27F13717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5.</w:t>
      </w:r>
      <w:r w:rsidRPr="004D1FDE">
        <w:rPr>
          <w:b/>
          <w:sz w:val="22"/>
          <w:szCs w:val="22"/>
        </w:rPr>
        <w:tab/>
        <w:t>FARMAKOLOGICKÉ VLASTNOSTI</w:t>
      </w:r>
    </w:p>
    <w:p w14:paraId="6BDB319D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530B4015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5.1</w:t>
      </w:r>
      <w:r w:rsidRPr="004D1FDE">
        <w:rPr>
          <w:b/>
          <w:sz w:val="22"/>
          <w:szCs w:val="22"/>
        </w:rPr>
        <w:tab/>
        <w:t>Farmakodynamické vlastnosti</w:t>
      </w:r>
    </w:p>
    <w:p w14:paraId="71A63CC5" w14:textId="77777777" w:rsidR="0081018A" w:rsidRPr="004D1FDE" w:rsidRDefault="0081018A" w:rsidP="0081018A">
      <w:pPr>
        <w:keepNext/>
        <w:rPr>
          <w:i/>
          <w:sz w:val="22"/>
          <w:szCs w:val="22"/>
        </w:rPr>
      </w:pPr>
    </w:p>
    <w:p w14:paraId="7FB3758C" w14:textId="24E56B54" w:rsidR="007C47DD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Farmakoterapeutická skupina: antidiabetiká, inhibítory dipeptidyl 4 (DPP-4)</w:t>
      </w:r>
      <w:r w:rsidR="007C47DD" w:rsidRPr="007C47DD">
        <w:rPr>
          <w:sz w:val="22"/>
          <w:szCs w:val="22"/>
        </w:rPr>
        <w:t xml:space="preserve"> </w:t>
      </w:r>
      <w:r w:rsidR="007C47DD" w:rsidRPr="00310BD0">
        <w:rPr>
          <w:sz w:val="22"/>
          <w:szCs w:val="22"/>
        </w:rPr>
        <w:t>peptidázy</w:t>
      </w:r>
      <w:r w:rsidRPr="00310BD0">
        <w:rPr>
          <w:sz w:val="22"/>
          <w:szCs w:val="22"/>
        </w:rPr>
        <w:t xml:space="preserve">, </w:t>
      </w:r>
    </w:p>
    <w:p w14:paraId="117634ED" w14:textId="22B16D87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ATC kód: A10BH02</w:t>
      </w:r>
      <w:r>
        <w:rPr>
          <w:sz w:val="22"/>
          <w:szCs w:val="22"/>
        </w:rPr>
        <w:t>.</w:t>
      </w:r>
    </w:p>
    <w:p w14:paraId="7ED9162D" w14:textId="77777777" w:rsidR="0081018A" w:rsidRDefault="0081018A" w:rsidP="0081018A">
      <w:pPr>
        <w:rPr>
          <w:sz w:val="22"/>
          <w:szCs w:val="22"/>
        </w:rPr>
      </w:pPr>
    </w:p>
    <w:p w14:paraId="6934B162" w14:textId="699BB971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Vildagliptín, ktorý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patrí</w:t>
      </w:r>
      <w:r>
        <w:rPr>
          <w:sz w:val="22"/>
          <w:szCs w:val="22"/>
        </w:rPr>
        <w:t xml:space="preserve"> </w:t>
      </w:r>
      <w:r w:rsidR="008E112F">
        <w:rPr>
          <w:sz w:val="22"/>
          <w:szCs w:val="22"/>
        </w:rPr>
        <w:t>do </w:t>
      </w:r>
      <w:r w:rsidRPr="00310BD0">
        <w:rPr>
          <w:sz w:val="22"/>
          <w:szCs w:val="22"/>
        </w:rPr>
        <w:t>triedy stimulátorov buniek Langerhansových ostrovčekov, je účinný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selektívny inhibítor DPP-4.</w:t>
      </w:r>
    </w:p>
    <w:p w14:paraId="2585F251" w14:textId="77777777" w:rsidR="0081018A" w:rsidRDefault="0081018A" w:rsidP="0081018A">
      <w:pPr>
        <w:rPr>
          <w:sz w:val="22"/>
          <w:szCs w:val="22"/>
        </w:rPr>
      </w:pPr>
    </w:p>
    <w:p w14:paraId="1EADCE9E" w14:textId="77777777" w:rsidR="0081018A" w:rsidRPr="00310BD0" w:rsidRDefault="0081018A" w:rsidP="0081018A">
      <w:pPr>
        <w:rPr>
          <w:sz w:val="22"/>
          <w:szCs w:val="22"/>
          <w:u w:val="single"/>
        </w:rPr>
      </w:pPr>
      <w:r w:rsidRPr="00310BD0">
        <w:rPr>
          <w:sz w:val="22"/>
          <w:szCs w:val="22"/>
          <w:u w:val="single"/>
        </w:rPr>
        <w:t>Mechanizmus účinku</w:t>
      </w:r>
    </w:p>
    <w:p w14:paraId="0CDC37ED" w14:textId="480D3765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Podávanie</w:t>
      </w:r>
      <w:r>
        <w:rPr>
          <w:sz w:val="22"/>
          <w:szCs w:val="22"/>
        </w:rPr>
        <w:t xml:space="preserve"> </w:t>
      </w:r>
      <w:r w:rsidR="008E112F">
        <w:rPr>
          <w:sz w:val="22"/>
          <w:szCs w:val="22"/>
        </w:rPr>
        <w:t>vildagliptínu má za </w:t>
      </w:r>
      <w:r w:rsidRPr="00310BD0">
        <w:rPr>
          <w:sz w:val="22"/>
          <w:szCs w:val="22"/>
        </w:rPr>
        <w:t>následok rýchlu 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úplnú inhibíciu aktivity DPP-4, čo spôsobuje nalačno aj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postprandiálne zvýšenie endogénnej hladiny inkretínových hormónov GLP-1 (glukagónu podobný peptid 1) a GIP (glukózodependentný inzulínotropný polypeptid).</w:t>
      </w:r>
    </w:p>
    <w:p w14:paraId="775A3F3C" w14:textId="77777777" w:rsidR="0081018A" w:rsidRDefault="0081018A" w:rsidP="0081018A">
      <w:pPr>
        <w:rPr>
          <w:sz w:val="22"/>
          <w:szCs w:val="22"/>
        </w:rPr>
      </w:pPr>
    </w:p>
    <w:p w14:paraId="5C38CD37" w14:textId="77777777" w:rsidR="0081018A" w:rsidRPr="00310BD0" w:rsidRDefault="0081018A" w:rsidP="0081018A">
      <w:pPr>
        <w:rPr>
          <w:sz w:val="22"/>
          <w:szCs w:val="22"/>
          <w:u w:val="single"/>
        </w:rPr>
      </w:pPr>
      <w:r w:rsidRPr="00310BD0">
        <w:rPr>
          <w:sz w:val="22"/>
          <w:szCs w:val="22"/>
          <w:u w:val="single"/>
        </w:rPr>
        <w:t>Farmakodynamické účinky</w:t>
      </w:r>
    </w:p>
    <w:p w14:paraId="0A25B0E4" w14:textId="552702B4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Zvyšovaním endogénnej hladiny týchto inkr</w:t>
      </w:r>
      <w:r>
        <w:rPr>
          <w:sz w:val="22"/>
          <w:szCs w:val="22"/>
        </w:rPr>
        <w:t xml:space="preserve">etínových hormónov vildagliptín </w:t>
      </w:r>
      <w:r w:rsidRPr="00310BD0">
        <w:rPr>
          <w:sz w:val="22"/>
          <w:szCs w:val="22"/>
        </w:rPr>
        <w:t>zvyšuje</w:t>
      </w:r>
      <w:r>
        <w:rPr>
          <w:sz w:val="22"/>
          <w:szCs w:val="22"/>
        </w:rPr>
        <w:t xml:space="preserve"> c</w:t>
      </w:r>
      <w:r w:rsidRPr="00310BD0">
        <w:rPr>
          <w:sz w:val="22"/>
          <w:szCs w:val="22"/>
        </w:rPr>
        <w:t>itlivosť betabuniek na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glukózu, čo vedie k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lepše</w:t>
      </w:r>
      <w:r w:rsidR="008E112F">
        <w:rPr>
          <w:sz w:val="22"/>
          <w:szCs w:val="22"/>
        </w:rPr>
        <w:t>j sekrécii inzulínu závislej od </w:t>
      </w:r>
      <w:r w:rsidRPr="00310BD0">
        <w:rPr>
          <w:sz w:val="22"/>
          <w:szCs w:val="22"/>
        </w:rPr>
        <w:t>glukózy. Liečba 50</w:t>
      </w:r>
      <w:r w:rsidR="00741E52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vildagliptínu denne u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pacientov s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diabetom 2.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typu významne zlepšila markery funkcie betabuniek vrátane HOMA-</w:t>
      </w:r>
      <w:r w:rsidRPr="00310BD0">
        <w:rPr>
          <w:sz w:val="22"/>
          <w:szCs w:val="22"/>
        </w:rPr>
        <w:sym w:font="Symbol" w:char="F062"/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(hodnotenie podľa modelu homeostázy-</w:t>
      </w:r>
      <w:r w:rsidRPr="00310BD0">
        <w:rPr>
          <w:sz w:val="22"/>
          <w:szCs w:val="22"/>
        </w:rPr>
        <w:sym w:font="Symbol" w:char="F062"/>
      </w:r>
      <w:r w:rsidRPr="00310BD0">
        <w:rPr>
          <w:sz w:val="22"/>
          <w:szCs w:val="22"/>
        </w:rPr>
        <w:t>), pomeru proinzulínu k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inzulínu 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mieru sch</w:t>
      </w:r>
      <w:r w:rsidR="008E112F">
        <w:rPr>
          <w:sz w:val="22"/>
          <w:szCs w:val="22"/>
        </w:rPr>
        <w:t>opnosti betabuniek reagovať pri </w:t>
      </w:r>
      <w:r w:rsidRPr="00310BD0">
        <w:rPr>
          <w:sz w:val="22"/>
          <w:szCs w:val="22"/>
        </w:rPr>
        <w:t>teste tolerancie jedla s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častými odbermi. U</w:t>
      </w:r>
      <w:r w:rsidR="008E112F">
        <w:rPr>
          <w:sz w:val="22"/>
          <w:szCs w:val="22"/>
        </w:rPr>
        <w:t> osôb bez </w:t>
      </w:r>
      <w:r w:rsidRPr="00310BD0">
        <w:rPr>
          <w:sz w:val="22"/>
          <w:szCs w:val="22"/>
        </w:rPr>
        <w:t>diabetu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normálnou glykémiou) vildagliptín nestimuluje sekréciu inzulínu,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ani neznižuje hladinu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glukózy.</w:t>
      </w:r>
    </w:p>
    <w:p w14:paraId="62FFE29C" w14:textId="77777777" w:rsidR="0081018A" w:rsidRDefault="0081018A" w:rsidP="0081018A">
      <w:pPr>
        <w:rPr>
          <w:sz w:val="22"/>
          <w:szCs w:val="22"/>
        </w:rPr>
      </w:pPr>
    </w:p>
    <w:p w14:paraId="0DA554F7" w14:textId="3992F008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Zvyšovaním hladiny endogénneho GLP-1 vildagliptín zvyšuje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aj citlivosť alfabuniek na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glukózu, čo vedie k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sekrécii glukagónu, ktorá je viac úmerná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glukóze.</w:t>
      </w:r>
    </w:p>
    <w:p w14:paraId="1AB9367D" w14:textId="77777777" w:rsidR="0081018A" w:rsidRDefault="0081018A" w:rsidP="0081018A">
      <w:pPr>
        <w:rPr>
          <w:sz w:val="22"/>
          <w:szCs w:val="22"/>
        </w:rPr>
      </w:pPr>
    </w:p>
    <w:p w14:paraId="4E6C1A13" w14:textId="05EF38E5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Výraznejšie zvýše</w:t>
      </w:r>
      <w:r w:rsidR="008E112F">
        <w:rPr>
          <w:sz w:val="22"/>
          <w:szCs w:val="22"/>
        </w:rPr>
        <w:t>nie pomeru inzulín/glukagón pri </w:t>
      </w:r>
      <w:r w:rsidRPr="00310BD0">
        <w:rPr>
          <w:sz w:val="22"/>
          <w:szCs w:val="22"/>
        </w:rPr>
        <w:t>hyperglykémii spôsobené vyššou hladin</w:t>
      </w:r>
      <w:r w:rsidR="008E112F">
        <w:rPr>
          <w:sz w:val="22"/>
          <w:szCs w:val="22"/>
        </w:rPr>
        <w:t>ou inkretínových hormónov má za </w:t>
      </w:r>
      <w:r w:rsidRPr="00310BD0">
        <w:rPr>
          <w:sz w:val="22"/>
          <w:szCs w:val="22"/>
        </w:rPr>
        <w:t>následok pokles tvorby glukózy v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pečeni nalačno 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postprandiálne, čo vedie k</w:t>
      </w:r>
      <w:r w:rsidR="00741E52">
        <w:rPr>
          <w:sz w:val="22"/>
          <w:szCs w:val="22"/>
        </w:rPr>
        <w:t> </w:t>
      </w:r>
      <w:r w:rsidRPr="00310BD0">
        <w:rPr>
          <w:sz w:val="22"/>
          <w:szCs w:val="22"/>
        </w:rPr>
        <w:t>zníženiu glykémie.</w:t>
      </w:r>
    </w:p>
    <w:p w14:paraId="24311B61" w14:textId="77777777" w:rsidR="0081018A" w:rsidRPr="00310BD0" w:rsidRDefault="0081018A" w:rsidP="0081018A">
      <w:pPr>
        <w:rPr>
          <w:sz w:val="22"/>
          <w:szCs w:val="22"/>
        </w:rPr>
      </w:pPr>
    </w:p>
    <w:p w14:paraId="0AF40EDD" w14:textId="2B05CBCF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Známy účinok zvýšenej hladiny GLP-1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spôsobujúci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spomalen</w:t>
      </w:r>
      <w:r w:rsidR="008E112F">
        <w:rPr>
          <w:sz w:val="22"/>
          <w:szCs w:val="22"/>
        </w:rPr>
        <w:t>é vyprázdňovanie žalúdka sa pri </w:t>
      </w:r>
      <w:r w:rsidRPr="00310BD0">
        <w:rPr>
          <w:sz w:val="22"/>
          <w:szCs w:val="22"/>
        </w:rPr>
        <w:t>liečbe vildagliptínom nepozoruje.</w:t>
      </w:r>
    </w:p>
    <w:p w14:paraId="4FEAF7B8" w14:textId="77777777" w:rsidR="0081018A" w:rsidRDefault="0081018A" w:rsidP="0081018A">
      <w:pPr>
        <w:rPr>
          <w:sz w:val="22"/>
          <w:szCs w:val="22"/>
        </w:rPr>
      </w:pPr>
    </w:p>
    <w:p w14:paraId="042E39F8" w14:textId="0D0C9455" w:rsidR="0081018A" w:rsidRPr="00F53735" w:rsidRDefault="008E112F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Klinická účinnosť a </w:t>
      </w:r>
      <w:r w:rsidR="0081018A" w:rsidRPr="00332967">
        <w:rPr>
          <w:sz w:val="22"/>
          <w:szCs w:val="22"/>
          <w:u w:val="single"/>
        </w:rPr>
        <w:t>bezpečnosť</w:t>
      </w:r>
    </w:p>
    <w:p w14:paraId="7C7296B0" w14:textId="65A74C68" w:rsidR="0081018A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Viac ako 1</w:t>
      </w:r>
      <w:r w:rsidRPr="00310BD0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diabetom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typu sa zúčastnilo na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dvojito </w:t>
      </w:r>
      <w:r>
        <w:rPr>
          <w:sz w:val="22"/>
          <w:szCs w:val="22"/>
        </w:rPr>
        <w:t>za</w:t>
      </w:r>
      <w:r w:rsidRPr="00310BD0">
        <w:rPr>
          <w:sz w:val="22"/>
          <w:szCs w:val="22"/>
        </w:rPr>
        <w:t>slep</w:t>
      </w:r>
      <w:r>
        <w:rPr>
          <w:sz w:val="22"/>
          <w:szCs w:val="22"/>
        </w:rPr>
        <w:t>en</w:t>
      </w:r>
      <w:r w:rsidRPr="00310BD0">
        <w:rPr>
          <w:sz w:val="22"/>
          <w:szCs w:val="22"/>
        </w:rPr>
        <w:t>ých,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placebom alebo účinnou látkou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kontrolovaných klinických skúšaniach, v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ktorých liečba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trvala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viac ako 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roky.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týchto klinických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skúšaniach sa vildagliptín podával viac ako 9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pacientom v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denných dávkach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raz denne, 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dvakrát denne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alebo 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raz denne. Viac ako 5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viac ako 4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pacientok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dostávalo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vildagliptínu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raz denne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alebo 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denne. Viac ako 1</w:t>
      </w:r>
      <w:r w:rsidR="00332967">
        <w:rPr>
          <w:sz w:val="22"/>
          <w:szCs w:val="22"/>
        </w:rPr>
        <w:t> </w:t>
      </w:r>
      <w:r>
        <w:rPr>
          <w:sz w:val="22"/>
          <w:szCs w:val="22"/>
        </w:rPr>
        <w:t>90</w:t>
      </w:r>
      <w:r w:rsidR="00332967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pacientov, ktorí dostávali 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vildagliptínu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raz denne alebo 100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denne, bolo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vo veku ≥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65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rokov.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týchto klinických skúšaniach sa vildagliptín podával ako monoterapia pacientom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diabetom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 typu, ktorí </w:t>
      </w:r>
      <w:r w:rsidRPr="00310BD0">
        <w:rPr>
          <w:sz w:val="22"/>
          <w:szCs w:val="22"/>
        </w:rPr>
        <w:t>predtým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neužívali žiadne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lieky, alebo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kombinácii pacientom, ktorých diabetes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nebol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dostatočne kompenzovaný inými antidiabetikami.</w:t>
      </w:r>
    </w:p>
    <w:p w14:paraId="530BD599" w14:textId="77777777" w:rsidR="0081018A" w:rsidRDefault="0081018A" w:rsidP="0081018A">
      <w:pPr>
        <w:rPr>
          <w:sz w:val="22"/>
          <w:szCs w:val="22"/>
        </w:rPr>
      </w:pPr>
    </w:p>
    <w:p w14:paraId="080E2B92" w14:textId="562AC7C5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Vildagliptín celkovo zlepšil glykemickú kompenzáciu, keď sa podával ako monoterapia alebo keď sa používal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kombinácii s</w:t>
      </w:r>
      <w:r w:rsidR="008E112F">
        <w:rPr>
          <w:sz w:val="22"/>
          <w:szCs w:val="22"/>
        </w:rPr>
        <w:t> </w:t>
      </w:r>
      <w:r w:rsidRPr="00310BD0">
        <w:rPr>
          <w:sz w:val="22"/>
          <w:szCs w:val="22"/>
        </w:rPr>
        <w:t>metformínom, sulfonylureovým antidiabetikom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tiazolidíndiónovým antidiabetikom, čo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sa stanovilo</w:t>
      </w:r>
      <w:r w:rsidR="00B7342E">
        <w:rPr>
          <w:sz w:val="22"/>
          <w:szCs w:val="22"/>
        </w:rPr>
        <w:t xml:space="preserve"> na </w:t>
      </w:r>
      <w:r>
        <w:rPr>
          <w:sz w:val="22"/>
          <w:szCs w:val="22"/>
        </w:rPr>
        <w:t xml:space="preserve">základe </w:t>
      </w:r>
      <w:r w:rsidRPr="00310BD0">
        <w:rPr>
          <w:sz w:val="22"/>
          <w:szCs w:val="22"/>
        </w:rPr>
        <w:t>klinicky významného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poklesu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HbA1c</w:t>
      </w:r>
      <w:r>
        <w:rPr>
          <w:sz w:val="22"/>
          <w:szCs w:val="22"/>
        </w:rPr>
        <w:t xml:space="preserve"> </w:t>
      </w:r>
      <w:r w:rsidR="00B7342E">
        <w:rPr>
          <w:sz w:val="22"/>
          <w:szCs w:val="22"/>
        </w:rPr>
        <w:t>na </w:t>
      </w:r>
      <w:r w:rsidRPr="00310BD0">
        <w:rPr>
          <w:sz w:val="22"/>
          <w:szCs w:val="22"/>
        </w:rPr>
        <w:t>konci klinického skúšania oproti východiskovej hodnote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 xml:space="preserve">(pozri </w:t>
      </w:r>
      <w:r>
        <w:rPr>
          <w:sz w:val="22"/>
          <w:szCs w:val="22"/>
        </w:rPr>
        <w:t>t</w:t>
      </w:r>
      <w:r w:rsidRPr="00310BD0">
        <w:rPr>
          <w:sz w:val="22"/>
          <w:szCs w:val="22"/>
        </w:rPr>
        <w:t>abuľku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8).</w:t>
      </w:r>
    </w:p>
    <w:p w14:paraId="22AA437A" w14:textId="77777777" w:rsidR="0081018A" w:rsidRPr="00310BD0" w:rsidRDefault="0081018A" w:rsidP="0081018A">
      <w:pPr>
        <w:rPr>
          <w:sz w:val="22"/>
          <w:szCs w:val="22"/>
        </w:rPr>
      </w:pPr>
    </w:p>
    <w:p w14:paraId="78EB6513" w14:textId="5F88592D" w:rsidR="0081018A" w:rsidRPr="00310BD0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>
        <w:rPr>
          <w:sz w:val="22"/>
          <w:szCs w:val="22"/>
        </w:rPr>
        <w:t>klin</w:t>
      </w:r>
      <w:r w:rsidR="0081018A" w:rsidRPr="00310BD0">
        <w:rPr>
          <w:sz w:val="22"/>
          <w:szCs w:val="22"/>
        </w:rPr>
        <w:t>ických skúšaniach bola miera zníženia HbA1c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pri </w:t>
      </w:r>
      <w:r w:rsidR="0081018A" w:rsidRPr="00310BD0">
        <w:rPr>
          <w:sz w:val="22"/>
          <w:szCs w:val="22"/>
        </w:rPr>
        <w:t>vildagliptíne väčšia u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vyššou východiskovou hodnotou HbA1c.</w:t>
      </w:r>
    </w:p>
    <w:p w14:paraId="79918E39" w14:textId="77777777" w:rsidR="0081018A" w:rsidRDefault="0081018A" w:rsidP="0081018A">
      <w:pPr>
        <w:rPr>
          <w:sz w:val="22"/>
          <w:szCs w:val="22"/>
        </w:rPr>
      </w:pPr>
    </w:p>
    <w:p w14:paraId="600A1884" w14:textId="29E35FC0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dvojito </w:t>
      </w:r>
      <w:r>
        <w:rPr>
          <w:sz w:val="22"/>
          <w:szCs w:val="22"/>
        </w:rPr>
        <w:t>za</w:t>
      </w:r>
      <w:r w:rsidRPr="00310BD0">
        <w:rPr>
          <w:sz w:val="22"/>
          <w:szCs w:val="22"/>
        </w:rPr>
        <w:t>slep</w:t>
      </w:r>
      <w:r>
        <w:rPr>
          <w:sz w:val="22"/>
          <w:szCs w:val="22"/>
        </w:rPr>
        <w:t>en</w:t>
      </w:r>
      <w:r w:rsidRPr="00310BD0">
        <w:rPr>
          <w:sz w:val="22"/>
          <w:szCs w:val="22"/>
        </w:rPr>
        <w:t>om,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kontrolovanom klinickom skúšaní trvajúcom 52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týždňov,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ktorom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 (</w:t>
      </w:r>
      <w:r>
        <w:rPr>
          <w:sz w:val="22"/>
          <w:szCs w:val="22"/>
        </w:rPr>
        <w:t>50 </w:t>
      </w:r>
      <w:r w:rsidRPr="00310BD0">
        <w:rPr>
          <w:sz w:val="22"/>
          <w:szCs w:val="22"/>
        </w:rPr>
        <w:t>mg dvakrát denne) znížil východiskovú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hodnotu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HbA1c</w:t>
      </w:r>
      <w:r>
        <w:rPr>
          <w:sz w:val="22"/>
          <w:szCs w:val="22"/>
        </w:rPr>
        <w:t xml:space="preserve"> </w:t>
      </w:r>
      <w:r w:rsidR="00B7342E">
        <w:rPr>
          <w:sz w:val="22"/>
          <w:szCs w:val="22"/>
        </w:rPr>
        <w:t>o -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1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% v</w:t>
      </w:r>
      <w:r>
        <w:rPr>
          <w:sz w:val="22"/>
          <w:szCs w:val="22"/>
        </w:rPr>
        <w:t xml:space="preserve"> </w:t>
      </w:r>
      <w:r w:rsidR="00B7342E">
        <w:rPr>
          <w:sz w:val="22"/>
          <w:szCs w:val="22"/>
        </w:rPr>
        <w:t>porovnaní s </w:t>
      </w:r>
      <w:r w:rsidRPr="00310BD0">
        <w:rPr>
          <w:sz w:val="22"/>
          <w:szCs w:val="22"/>
        </w:rPr>
        <w:t>-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1,6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% pri metformíne (titrovanom na 2</w:t>
      </w:r>
      <w:r w:rsidR="00332967">
        <w:rPr>
          <w:sz w:val="22"/>
          <w:szCs w:val="22"/>
        </w:rPr>
        <w:t> </w:t>
      </w:r>
      <w:r w:rsidRPr="00310BD0">
        <w:rPr>
          <w:sz w:val="22"/>
          <w:szCs w:val="22"/>
        </w:rPr>
        <w:t>g/deň), sa nedosiahla štatistická noninferiorita.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Pacienti liečení vildagliptínom hlásili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významne nižšiu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incidenciu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gastrointestinálnych nežiaducich reakcií v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porovnaní s </w:t>
      </w:r>
      <w:r w:rsidRPr="00310BD0">
        <w:rPr>
          <w:sz w:val="22"/>
          <w:szCs w:val="22"/>
        </w:rPr>
        <w:t>pacientmi l</w:t>
      </w:r>
      <w:r>
        <w:rPr>
          <w:sz w:val="22"/>
          <w:szCs w:val="22"/>
        </w:rPr>
        <w:t>iečenými metformínom</w:t>
      </w:r>
      <w:r w:rsidRPr="00310BD0">
        <w:rPr>
          <w:sz w:val="22"/>
          <w:szCs w:val="22"/>
        </w:rPr>
        <w:t>.</w:t>
      </w:r>
    </w:p>
    <w:p w14:paraId="7E5B6ADF" w14:textId="77777777" w:rsidR="0081018A" w:rsidRDefault="0081018A" w:rsidP="0081018A">
      <w:pPr>
        <w:rPr>
          <w:sz w:val="22"/>
          <w:szCs w:val="22"/>
        </w:rPr>
      </w:pPr>
    </w:p>
    <w:p w14:paraId="2C1A8122" w14:textId="6E1030F8" w:rsidR="00D7781A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D7781A">
        <w:rPr>
          <w:sz w:val="22"/>
          <w:szCs w:val="22"/>
        </w:rPr>
        <w:t>dvojito zaslepenom,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kontrolovanom klinickom skúšaní trvajúcom 24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týždňov sa porovnával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vildagliptín (50</w:t>
      </w:r>
      <w:r w:rsidR="00D7781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denne) s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rosiglitazónom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(8</w:t>
      </w:r>
      <w:r w:rsidR="00D7781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raz denne). Priemerné zníženie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bolo</w:t>
      </w:r>
      <w:r w:rsidR="0081018A">
        <w:rPr>
          <w:sz w:val="22"/>
          <w:szCs w:val="22"/>
        </w:rPr>
        <w:t xml:space="preserve"> </w:t>
      </w:r>
    </w:p>
    <w:p w14:paraId="141FF4EF" w14:textId="43F9AC7D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-</w:t>
      </w:r>
      <w:r w:rsidR="00D7781A">
        <w:rPr>
          <w:sz w:val="22"/>
          <w:szCs w:val="22"/>
        </w:rPr>
        <w:t> </w:t>
      </w:r>
      <w:r w:rsidRPr="00310BD0">
        <w:rPr>
          <w:sz w:val="22"/>
          <w:szCs w:val="22"/>
        </w:rPr>
        <w:t>1,20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% pri vildagliptíne a </w:t>
      </w:r>
      <w:r w:rsidRPr="00310BD0">
        <w:rPr>
          <w:sz w:val="22"/>
          <w:szCs w:val="22"/>
        </w:rPr>
        <w:t>-</w:t>
      </w:r>
      <w:r w:rsidR="00D7781A">
        <w:rPr>
          <w:sz w:val="22"/>
          <w:szCs w:val="22"/>
        </w:rPr>
        <w:t> </w:t>
      </w:r>
      <w:r w:rsidRPr="00310BD0">
        <w:rPr>
          <w:sz w:val="22"/>
          <w:szCs w:val="22"/>
        </w:rPr>
        <w:t>1,48</w:t>
      </w:r>
      <w:r w:rsidR="00D7781A">
        <w:rPr>
          <w:sz w:val="22"/>
          <w:szCs w:val="22"/>
        </w:rPr>
        <w:t> </w:t>
      </w:r>
      <w:r w:rsidRPr="00310BD0">
        <w:rPr>
          <w:sz w:val="22"/>
          <w:szCs w:val="22"/>
        </w:rPr>
        <w:t>% pri rosiglitazóne u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pacientov s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priemernou </w:t>
      </w:r>
      <w:r>
        <w:rPr>
          <w:sz w:val="22"/>
          <w:szCs w:val="22"/>
        </w:rPr>
        <w:t xml:space="preserve">východiskovou </w:t>
      </w:r>
      <w:r w:rsidRPr="00310BD0">
        <w:rPr>
          <w:sz w:val="22"/>
          <w:szCs w:val="22"/>
        </w:rPr>
        <w:t>hodnotou HbA1c 8,7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 xml:space="preserve">Pacienti, ktorí dostávali rosiglitazón, zaznamenali </w:t>
      </w:r>
      <w:r>
        <w:rPr>
          <w:sz w:val="22"/>
          <w:szCs w:val="22"/>
        </w:rPr>
        <w:t xml:space="preserve">priemerné </w:t>
      </w:r>
      <w:r w:rsidRPr="00310BD0">
        <w:rPr>
          <w:sz w:val="22"/>
          <w:szCs w:val="22"/>
        </w:rPr>
        <w:t>zvýšenie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telesnej hmotnosti (+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1,6</w:t>
      </w:r>
      <w:r>
        <w:rPr>
          <w:sz w:val="22"/>
          <w:szCs w:val="22"/>
        </w:rPr>
        <w:t xml:space="preserve"> kg), zatiaľ </w:t>
      </w:r>
      <w:r w:rsidRPr="00310BD0">
        <w:rPr>
          <w:sz w:val="22"/>
          <w:szCs w:val="22"/>
        </w:rPr>
        <w:t>čo u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pacientov, ktorí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dostávali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vildagliptín,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nedošlo k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zvýšeniu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telesnej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hmotnosti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(-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kg). Incidencia periférneho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edému bola nižšia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skupine vildagliptínu ako v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skupine rosiglitazónu (2,1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oproti 4,1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%).</w:t>
      </w:r>
    </w:p>
    <w:p w14:paraId="29043B7C" w14:textId="77777777" w:rsidR="0081018A" w:rsidRDefault="0081018A" w:rsidP="0081018A">
      <w:pPr>
        <w:rPr>
          <w:sz w:val="22"/>
          <w:szCs w:val="22"/>
        </w:rPr>
      </w:pPr>
    </w:p>
    <w:p w14:paraId="226AC28A" w14:textId="227E102A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klinickom skúšaní trvajúcom 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 sa vildagliptín (50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dvakrát denne) porovnával s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gliklazidom (do </w:t>
      </w:r>
      <w:r w:rsidRPr="00310BD0">
        <w:rPr>
          <w:sz w:val="22"/>
          <w:szCs w:val="22"/>
        </w:rPr>
        <w:t>320</w:t>
      </w:r>
      <w:r>
        <w:rPr>
          <w:sz w:val="22"/>
          <w:szCs w:val="22"/>
        </w:rPr>
        <w:t> </w:t>
      </w:r>
      <w:r w:rsidR="00B7342E">
        <w:rPr>
          <w:sz w:val="22"/>
          <w:szCs w:val="22"/>
        </w:rPr>
        <w:t>mg/deň). Po </w:t>
      </w:r>
      <w:r w:rsidRPr="00310BD0">
        <w:rPr>
          <w:sz w:val="22"/>
          <w:szCs w:val="22"/>
        </w:rPr>
        <w:t>dvoch rokoch priemerné zníženie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bolo 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0,5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% </w:t>
      </w:r>
      <w:r w:rsidR="00B7342E">
        <w:rPr>
          <w:sz w:val="22"/>
          <w:szCs w:val="22"/>
        </w:rPr>
        <w:t>pri </w:t>
      </w:r>
      <w:r w:rsidRPr="00310BD0">
        <w:rPr>
          <w:sz w:val="22"/>
          <w:szCs w:val="22"/>
        </w:rPr>
        <w:t>vildagliptíne a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0,6</w:t>
      </w:r>
      <w:r w:rsidR="00A51B9E">
        <w:rPr>
          <w:sz w:val="22"/>
          <w:szCs w:val="22"/>
        </w:rPr>
        <w:t> </w:t>
      </w:r>
      <w:r w:rsidR="00B7342E">
        <w:rPr>
          <w:sz w:val="22"/>
          <w:szCs w:val="22"/>
        </w:rPr>
        <w:t>% pri </w:t>
      </w:r>
      <w:r w:rsidRPr="00310BD0">
        <w:rPr>
          <w:sz w:val="22"/>
          <w:szCs w:val="22"/>
        </w:rPr>
        <w:t>gliklazide oproti priemernej východiskovej hodno</w:t>
      </w:r>
      <w:r>
        <w:rPr>
          <w:sz w:val="22"/>
          <w:szCs w:val="22"/>
        </w:rPr>
        <w:t>te H</w:t>
      </w:r>
      <w:r w:rsidRPr="00310BD0">
        <w:rPr>
          <w:sz w:val="22"/>
          <w:szCs w:val="22"/>
        </w:rPr>
        <w:t>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%. </w:t>
      </w:r>
      <w:r>
        <w:rPr>
          <w:sz w:val="22"/>
          <w:szCs w:val="22"/>
        </w:rPr>
        <w:t xml:space="preserve">Štatistická noninferiorita sa </w:t>
      </w:r>
      <w:r w:rsidRPr="00310BD0">
        <w:rPr>
          <w:sz w:val="22"/>
          <w:szCs w:val="22"/>
        </w:rPr>
        <w:t>nedosiahla.</w:t>
      </w:r>
      <w:r w:rsidR="00A51B9E"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sa spájal s</w:t>
      </w:r>
      <w:r w:rsidR="00B7342E">
        <w:rPr>
          <w:sz w:val="22"/>
          <w:szCs w:val="22"/>
        </w:rPr>
        <w:t> </w:t>
      </w:r>
      <w:r w:rsidRPr="00310BD0">
        <w:rPr>
          <w:sz w:val="22"/>
          <w:szCs w:val="22"/>
        </w:rPr>
        <w:t>menším počtom hypoglykemických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udalostí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(0,7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ako glik</w:t>
      </w:r>
      <w:r>
        <w:rPr>
          <w:sz w:val="22"/>
          <w:szCs w:val="22"/>
        </w:rPr>
        <w:t xml:space="preserve">lazid </w:t>
      </w:r>
      <w:r w:rsidRPr="00310BD0">
        <w:rPr>
          <w:sz w:val="22"/>
          <w:szCs w:val="22"/>
        </w:rPr>
        <w:t>(1,7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%).</w:t>
      </w:r>
    </w:p>
    <w:p w14:paraId="74B5EE56" w14:textId="77777777" w:rsidR="0081018A" w:rsidRPr="00310BD0" w:rsidRDefault="0081018A" w:rsidP="0081018A">
      <w:pPr>
        <w:rPr>
          <w:sz w:val="22"/>
          <w:szCs w:val="22"/>
        </w:rPr>
      </w:pPr>
    </w:p>
    <w:p w14:paraId="02856104" w14:textId="51F8D19F" w:rsidR="0081018A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klinickom skúšaní trvajúcom 24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týždňov sa vildagliptín (50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denne) porovnával s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pioglitazónom (30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raz denne) u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 nedostatočne kompenzovaných metformínom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(priemerná denná dávka: 2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020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mg). Priemerné zníženie HbA1c oproti východiskovej hodnote 8,4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bolo -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0,9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% pri vildagliptíne pridanom k metformínu a </w:t>
      </w:r>
      <w:r w:rsidR="0081018A"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1,0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% pri </w:t>
      </w:r>
      <w:r w:rsidR="0081018A" w:rsidRPr="00310BD0">
        <w:rPr>
          <w:sz w:val="22"/>
          <w:szCs w:val="22"/>
        </w:rPr>
        <w:t>pioglitazóne pridanom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 xml:space="preserve">metformínu. </w:t>
      </w:r>
      <w:r w:rsidR="0081018A">
        <w:rPr>
          <w:sz w:val="22"/>
          <w:szCs w:val="22"/>
        </w:rPr>
        <w:t xml:space="preserve">Priemerné </w:t>
      </w:r>
      <w:r w:rsidR="0081018A" w:rsidRPr="00310BD0">
        <w:rPr>
          <w:sz w:val="22"/>
          <w:szCs w:val="22"/>
        </w:rPr>
        <w:t>zvýšenie telesnej hmotnosti +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1,9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kg sa pozorovalo u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pacientov, ktorí dostávali pioglitazón pridaný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metformínu, v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porovnaní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+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0,3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kg u </w:t>
      </w:r>
      <w:r w:rsidR="0081018A" w:rsidRPr="00310BD0">
        <w:rPr>
          <w:sz w:val="22"/>
          <w:szCs w:val="22"/>
        </w:rPr>
        <w:t>pacientov, ktorí dostávali vildagliptín pridaný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metformínu.</w:t>
      </w:r>
    </w:p>
    <w:p w14:paraId="51E78F06" w14:textId="77777777" w:rsidR="0081018A" w:rsidRPr="00310BD0" w:rsidRDefault="0081018A" w:rsidP="0081018A">
      <w:pPr>
        <w:rPr>
          <w:sz w:val="22"/>
          <w:szCs w:val="22"/>
        </w:rPr>
      </w:pPr>
    </w:p>
    <w:p w14:paraId="0F93018F" w14:textId="77777777" w:rsidR="00562C8E" w:rsidRDefault="00B7342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klinickom skúšaní trvajúcom 2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roky sa vildagliptín (50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dvakrát denne) porovnával s</w:t>
      </w:r>
      <w:r w:rsidR="0081018A">
        <w:rPr>
          <w:sz w:val="22"/>
          <w:szCs w:val="22"/>
        </w:rPr>
        <w:t> glimepiridom</w:t>
      </w:r>
      <w:r w:rsidR="0081018A" w:rsidRPr="00310BD0">
        <w:rPr>
          <w:sz w:val="22"/>
          <w:szCs w:val="22"/>
        </w:rPr>
        <w:t>(do 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mg/deň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–</w:t>
      </w:r>
      <w:r w:rsidR="00A51B9E">
        <w:rPr>
          <w:sz w:val="22"/>
          <w:szCs w:val="22"/>
        </w:rPr>
        <w:t> </w:t>
      </w:r>
      <w:r w:rsidR="00562C8E">
        <w:rPr>
          <w:sz w:val="22"/>
          <w:szCs w:val="22"/>
        </w:rPr>
        <w:t>priemerná dávka po </w:t>
      </w:r>
      <w:r w:rsidR="0081018A" w:rsidRPr="00310BD0">
        <w:rPr>
          <w:sz w:val="22"/>
          <w:szCs w:val="22"/>
        </w:rPr>
        <w:t>2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rokoch: 4,6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mg) u</w:t>
      </w:r>
      <w:r w:rsidR="00562C8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pacientov liečených metformínom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(priemerná denná dávka: 1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894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mg)</w:t>
      </w:r>
      <w:r w:rsidR="0081018A">
        <w:rPr>
          <w:sz w:val="22"/>
          <w:szCs w:val="22"/>
        </w:rPr>
        <w:t xml:space="preserve">. </w:t>
      </w:r>
      <w:r w:rsidR="0081018A" w:rsidRPr="00310BD0">
        <w:rPr>
          <w:sz w:val="22"/>
          <w:szCs w:val="22"/>
        </w:rPr>
        <w:t>Po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1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roku bolo priemerné zníženie HbA1c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pri</w:t>
      </w:r>
      <w:r w:rsidR="00562C8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vildagliptíne pridanom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0,4</w:t>
      </w:r>
      <w:r w:rsidR="0081018A">
        <w:rPr>
          <w:sz w:val="22"/>
          <w:szCs w:val="22"/>
        </w:rPr>
        <w:t> </w:t>
      </w:r>
      <w:r w:rsidR="00562C8E">
        <w:rPr>
          <w:sz w:val="22"/>
          <w:szCs w:val="22"/>
        </w:rPr>
        <w:t>% a </w:t>
      </w:r>
      <w:r w:rsidR="0081018A" w:rsidRPr="00310BD0">
        <w:rPr>
          <w:sz w:val="22"/>
          <w:szCs w:val="22"/>
        </w:rPr>
        <w:t>pri glimepiride pridanom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metformínu</w:t>
      </w:r>
      <w:r w:rsidR="0081018A">
        <w:rPr>
          <w:sz w:val="22"/>
          <w:szCs w:val="22"/>
        </w:rPr>
        <w:t xml:space="preserve"> </w:t>
      </w:r>
    </w:p>
    <w:p w14:paraId="3B66B857" w14:textId="7E67D375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-</w:t>
      </w:r>
      <w:r w:rsidR="00A51B9E">
        <w:rPr>
          <w:sz w:val="22"/>
          <w:szCs w:val="22"/>
        </w:rPr>
        <w:t> </w:t>
      </w:r>
      <w:r w:rsidRPr="00310BD0">
        <w:rPr>
          <w:sz w:val="22"/>
          <w:szCs w:val="22"/>
        </w:rPr>
        <w:t>0,5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oproti priemernej východiskovej hodnote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7,3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Zmena telesnej hmotnosti</w:t>
      </w:r>
      <w:r w:rsidR="00562C8E" w:rsidRPr="00562C8E">
        <w:rPr>
          <w:sz w:val="22"/>
          <w:szCs w:val="22"/>
        </w:rPr>
        <w:t xml:space="preserve"> </w:t>
      </w:r>
      <w:r w:rsidR="00562C8E" w:rsidRPr="00310BD0">
        <w:rPr>
          <w:sz w:val="22"/>
          <w:szCs w:val="22"/>
        </w:rPr>
        <w:t>bola pri</w:t>
      </w:r>
      <w:r w:rsidR="00562C8E">
        <w:rPr>
          <w:sz w:val="22"/>
          <w:szCs w:val="22"/>
        </w:rPr>
        <w:t> </w:t>
      </w:r>
      <w:r w:rsidR="00562C8E" w:rsidRPr="00310BD0">
        <w:rPr>
          <w:sz w:val="22"/>
          <w:szCs w:val="22"/>
        </w:rPr>
        <w:t>vildagliptíne</w:t>
      </w:r>
      <w:r w:rsidRPr="00310BD0">
        <w:rPr>
          <w:sz w:val="22"/>
          <w:szCs w:val="22"/>
        </w:rPr>
        <w:t xml:space="preserve"> 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0,2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 oproti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+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1,6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 pri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glimepiride. Incidencia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hypoglykémie bola významne nižšia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skupine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(1,7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ako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skupine glimepiridu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(16,2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%).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konc</w:t>
      </w:r>
      <w:r>
        <w:rPr>
          <w:sz w:val="22"/>
          <w:szCs w:val="22"/>
        </w:rPr>
        <w:t xml:space="preserve">ovom bode štúdie </w:t>
      </w:r>
      <w:r w:rsidRPr="00310BD0">
        <w:rPr>
          <w:sz w:val="22"/>
          <w:szCs w:val="22"/>
        </w:rPr>
        <w:t>(2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roky)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podobný ako východiskové hodnoty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oboch skupinách liečby a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pretrvávali zmeny telesnej hmotnosti a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rozdiely 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hypoglykémii.</w:t>
      </w:r>
    </w:p>
    <w:p w14:paraId="6EBAC64E" w14:textId="77777777" w:rsidR="0081018A" w:rsidRDefault="0081018A" w:rsidP="0081018A">
      <w:pPr>
        <w:rPr>
          <w:sz w:val="22"/>
          <w:szCs w:val="22"/>
        </w:rPr>
      </w:pPr>
    </w:p>
    <w:p w14:paraId="0E56A356" w14:textId="364702DE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V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klinickom skúšaní trvajúcom 52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vildagliptín (50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 dvakrát denne) porovnával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gli</w:t>
      </w:r>
      <w:r>
        <w:rPr>
          <w:sz w:val="22"/>
          <w:szCs w:val="22"/>
        </w:rPr>
        <w:t>klazidom (</w:t>
      </w:r>
      <w:r w:rsidRPr="00310BD0">
        <w:rPr>
          <w:sz w:val="22"/>
          <w:szCs w:val="22"/>
        </w:rPr>
        <w:t>priemerná denná dávka: 229,5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mg/deň) u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pacientov nedostatočne kompenzovaných metformínom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(východisková dávka metformínu 1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928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mg/deň). Po 1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roku priemerné zníženie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bolo 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0,81</w:t>
      </w:r>
      <w:r>
        <w:rPr>
          <w:sz w:val="22"/>
          <w:szCs w:val="22"/>
        </w:rPr>
        <w:t> </w:t>
      </w:r>
      <w:r w:rsidR="00562C8E">
        <w:rPr>
          <w:sz w:val="22"/>
          <w:szCs w:val="22"/>
        </w:rPr>
        <w:t>% pri </w:t>
      </w:r>
      <w:r w:rsidRPr="00310BD0">
        <w:rPr>
          <w:sz w:val="22"/>
          <w:szCs w:val="22"/>
        </w:rPr>
        <w:t>vildagliptíne pridanom k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metformínu (priemerná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východisková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hodnota</w:t>
      </w:r>
      <w:r>
        <w:rPr>
          <w:sz w:val="22"/>
          <w:szCs w:val="22"/>
        </w:rPr>
        <w:t xml:space="preserve"> HbA</w:t>
      </w:r>
      <w:r w:rsidRPr="00310BD0">
        <w:rPr>
          <w:sz w:val="22"/>
          <w:szCs w:val="22"/>
        </w:rPr>
        <w:t>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8,4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</w:t>
      </w:r>
      <w:r>
        <w:rPr>
          <w:sz w:val="22"/>
          <w:szCs w:val="22"/>
        </w:rPr>
        <w:t xml:space="preserve"> </w:t>
      </w:r>
      <w:r w:rsidR="00562C8E">
        <w:rPr>
          <w:sz w:val="22"/>
          <w:szCs w:val="22"/>
        </w:rPr>
        <w:t>a </w:t>
      </w:r>
      <w:r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0,85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pri</w:t>
      </w:r>
      <w:r w:rsidR="00562C8E">
        <w:rPr>
          <w:sz w:val="22"/>
          <w:szCs w:val="22"/>
        </w:rPr>
        <w:t> </w:t>
      </w:r>
      <w:r w:rsidRPr="00310BD0">
        <w:rPr>
          <w:sz w:val="22"/>
          <w:szCs w:val="22"/>
        </w:rPr>
        <w:t>gliklazide pridanom k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metformínu (priemerná východisková hodnota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%); dosiahla sa štatistická noninferiorita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(95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IS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0,11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–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0,20).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Zmena</w:t>
      </w:r>
      <w:r>
        <w:rPr>
          <w:sz w:val="22"/>
          <w:szCs w:val="22"/>
        </w:rPr>
        <w:t xml:space="preserve"> </w:t>
      </w:r>
      <w:r w:rsidR="00562C8E">
        <w:rPr>
          <w:sz w:val="22"/>
          <w:szCs w:val="22"/>
        </w:rPr>
        <w:t>telesnej hmotnosti bola pri </w:t>
      </w:r>
      <w:r w:rsidRPr="00310BD0">
        <w:rPr>
          <w:sz w:val="22"/>
          <w:szCs w:val="22"/>
        </w:rPr>
        <w:t>vildagliptíne +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0,1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 v</w:t>
      </w:r>
      <w:r w:rsidR="00562C8E">
        <w:rPr>
          <w:sz w:val="22"/>
          <w:szCs w:val="22"/>
        </w:rPr>
        <w:t> </w:t>
      </w:r>
      <w:r>
        <w:rPr>
          <w:sz w:val="22"/>
          <w:szCs w:val="22"/>
        </w:rPr>
        <w:t>porovnaní so</w:t>
      </w:r>
      <w:r w:rsidR="00562C8E">
        <w:rPr>
          <w:sz w:val="22"/>
          <w:szCs w:val="22"/>
        </w:rPr>
        <w:t> </w:t>
      </w:r>
      <w:r>
        <w:rPr>
          <w:sz w:val="22"/>
          <w:szCs w:val="22"/>
        </w:rPr>
        <w:t>zvýšením hmot</w:t>
      </w:r>
      <w:r w:rsidRPr="00310BD0">
        <w:rPr>
          <w:sz w:val="22"/>
          <w:szCs w:val="22"/>
        </w:rPr>
        <w:t>nosti +</w:t>
      </w:r>
      <w:r w:rsidR="003B7BDF">
        <w:rPr>
          <w:sz w:val="22"/>
          <w:szCs w:val="22"/>
        </w:rPr>
        <w:t> </w:t>
      </w:r>
      <w:r w:rsidRPr="00310BD0">
        <w:rPr>
          <w:sz w:val="22"/>
          <w:szCs w:val="22"/>
        </w:rPr>
        <w:t>1,4</w:t>
      </w:r>
      <w:r>
        <w:rPr>
          <w:sz w:val="22"/>
          <w:szCs w:val="22"/>
        </w:rPr>
        <w:t> </w:t>
      </w:r>
      <w:r w:rsidR="00562C8E">
        <w:rPr>
          <w:sz w:val="22"/>
          <w:szCs w:val="22"/>
        </w:rPr>
        <w:t>kg pri </w:t>
      </w:r>
      <w:r w:rsidRPr="00310BD0">
        <w:rPr>
          <w:sz w:val="22"/>
          <w:szCs w:val="22"/>
        </w:rPr>
        <w:t>gliklazide.</w:t>
      </w:r>
    </w:p>
    <w:p w14:paraId="2CC4DD9B" w14:textId="77777777" w:rsidR="0081018A" w:rsidRPr="00310BD0" w:rsidRDefault="0081018A" w:rsidP="0081018A">
      <w:pPr>
        <w:rPr>
          <w:sz w:val="22"/>
          <w:szCs w:val="22"/>
        </w:rPr>
      </w:pPr>
    </w:p>
    <w:p w14:paraId="1776421A" w14:textId="08FEF848" w:rsidR="0081018A" w:rsidRPr="00310BD0" w:rsidRDefault="00562C8E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klinickom skúšaní trvajúcom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24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týždňov sa vyhodnotila účinnosť pevnej kombinácie dávok vildagliptínu a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met</w:t>
      </w:r>
      <w:r>
        <w:rPr>
          <w:sz w:val="22"/>
          <w:szCs w:val="22"/>
        </w:rPr>
        <w:t>formínu (postupne titrovanej na </w:t>
      </w:r>
      <w:r w:rsidR="0081018A" w:rsidRPr="00310BD0">
        <w:rPr>
          <w:sz w:val="22"/>
          <w:szCs w:val="22"/>
        </w:rPr>
        <w:t>dávku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mg/500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alebo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mg/1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denne) ako začiatočnej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liečby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u </w:t>
      </w:r>
      <w:r w:rsidR="0081018A" w:rsidRPr="00310BD0">
        <w:rPr>
          <w:sz w:val="22"/>
          <w:szCs w:val="22"/>
        </w:rPr>
        <w:t>pacientov, ktorí dovtedy nedostávali žiadne lieky. Vildagliptín/metformín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mg/1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znížil HbA1c</w:t>
      </w:r>
      <w:r w:rsidR="0081018A">
        <w:rPr>
          <w:sz w:val="22"/>
          <w:szCs w:val="22"/>
        </w:rPr>
        <w:t xml:space="preserve"> </w:t>
      </w:r>
      <w:r w:rsidR="003B7BDF">
        <w:rPr>
          <w:sz w:val="22"/>
          <w:szCs w:val="22"/>
        </w:rPr>
        <w:t>o </w:t>
      </w:r>
      <w:r w:rsidR="0081018A"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1,82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%, vildagliptín/metformín 50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mg/500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o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1,61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%, metformín 1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000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mg dvakrát denne o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-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1,36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a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vildagliptín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50</w:t>
      </w:r>
      <w:r w:rsidR="0081018A">
        <w:rPr>
          <w:sz w:val="22"/>
          <w:szCs w:val="22"/>
        </w:rPr>
        <w:t> </w:t>
      </w:r>
      <w:r w:rsidR="003B7BDF">
        <w:rPr>
          <w:sz w:val="22"/>
          <w:szCs w:val="22"/>
        </w:rPr>
        <w:t>mg dvakrát denne o </w:t>
      </w:r>
      <w:r w:rsidR="0081018A" w:rsidRPr="00310BD0">
        <w:rPr>
          <w:sz w:val="22"/>
          <w:szCs w:val="22"/>
        </w:rPr>
        <w:t>-1,09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oproti priemernej východiskovej hodnote HbA1c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8,6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%. Pokles HbA1c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pozorovaný u</w:t>
      </w:r>
      <w:r>
        <w:rPr>
          <w:sz w:val="22"/>
          <w:szCs w:val="22"/>
        </w:rPr>
        <w:t> pacientov s </w:t>
      </w:r>
      <w:r w:rsidR="0081018A" w:rsidRPr="00310BD0">
        <w:rPr>
          <w:sz w:val="22"/>
          <w:szCs w:val="22"/>
        </w:rPr>
        <w:t>východiskovou hodnotou ≥</w:t>
      </w:r>
      <w:r w:rsidR="003B7BDF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10,0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bol väčší.</w:t>
      </w:r>
    </w:p>
    <w:p w14:paraId="2ED29B2A" w14:textId="77777777" w:rsidR="0081018A" w:rsidRDefault="0081018A" w:rsidP="0081018A">
      <w:pPr>
        <w:rPr>
          <w:sz w:val="22"/>
          <w:szCs w:val="22"/>
        </w:rPr>
      </w:pPr>
    </w:p>
    <w:p w14:paraId="60976B2E" w14:textId="49167D0D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 xml:space="preserve">Vykonalo sa multicentrické, randomizované, dvojito </w:t>
      </w:r>
      <w:r>
        <w:rPr>
          <w:sz w:val="22"/>
          <w:szCs w:val="22"/>
        </w:rPr>
        <w:t>zaslepené</w:t>
      </w:r>
      <w:r w:rsidRPr="00310BD0">
        <w:rPr>
          <w:sz w:val="22"/>
          <w:szCs w:val="22"/>
        </w:rPr>
        <w:t>, placebom kontrolované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klinické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skúšanie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trvajúce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</w:t>
      </w:r>
      <w:r>
        <w:rPr>
          <w:sz w:val="22"/>
          <w:szCs w:val="22"/>
        </w:rPr>
        <w:t xml:space="preserve"> </w:t>
      </w:r>
      <w:r w:rsidR="00562C8E">
        <w:rPr>
          <w:sz w:val="22"/>
          <w:szCs w:val="22"/>
        </w:rPr>
        <w:t>na </w:t>
      </w:r>
      <w:r w:rsidRPr="00310BD0">
        <w:rPr>
          <w:sz w:val="22"/>
          <w:szCs w:val="22"/>
        </w:rPr>
        <w:t>vyhodnotenie účinku liečby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vildagliptín</w:t>
      </w:r>
      <w:r>
        <w:rPr>
          <w:sz w:val="22"/>
          <w:szCs w:val="22"/>
        </w:rPr>
        <w:t xml:space="preserve">om </w:t>
      </w:r>
      <w:r w:rsidRPr="00310BD0">
        <w:rPr>
          <w:sz w:val="22"/>
          <w:szCs w:val="22"/>
        </w:rPr>
        <w:t>50</w:t>
      </w:r>
      <w:r>
        <w:rPr>
          <w:sz w:val="22"/>
          <w:szCs w:val="22"/>
        </w:rPr>
        <w:t xml:space="preserve"> mg raz </w:t>
      </w:r>
      <w:r w:rsidRPr="00310BD0">
        <w:rPr>
          <w:sz w:val="22"/>
          <w:szCs w:val="22"/>
        </w:rPr>
        <w:t>denne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placebom u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515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 xml:space="preserve"> diabetom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 t</w:t>
      </w:r>
      <w:r w:rsidRPr="00310BD0">
        <w:rPr>
          <w:sz w:val="22"/>
          <w:szCs w:val="22"/>
        </w:rPr>
        <w:t>ypu</w:t>
      </w:r>
      <w:r>
        <w:rPr>
          <w:sz w:val="22"/>
          <w:szCs w:val="22"/>
        </w:rPr>
        <w:t xml:space="preserve"> a stredne </w:t>
      </w:r>
      <w:r w:rsidR="007F0AD4" w:rsidRPr="007F0AD4">
        <w:rPr>
          <w:sz w:val="22"/>
          <w:szCs w:val="22"/>
        </w:rPr>
        <w:t>ťažkou</w:t>
      </w:r>
      <w:r w:rsidRPr="00310BD0">
        <w:rPr>
          <w:sz w:val="22"/>
          <w:szCs w:val="22"/>
        </w:rPr>
        <w:t xml:space="preserve"> poruchou funkcie obličiek (N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 xml:space="preserve">294) alebo </w:t>
      </w:r>
      <w:r w:rsidR="007F0AD4" w:rsidRPr="007F0AD4">
        <w:rPr>
          <w:sz w:val="22"/>
          <w:szCs w:val="22"/>
        </w:rPr>
        <w:t>ťažkou</w:t>
      </w:r>
      <w:r w:rsidRPr="00310BD0">
        <w:rPr>
          <w:sz w:val="22"/>
          <w:szCs w:val="22"/>
        </w:rPr>
        <w:t xml:space="preserve"> poruchou funkcie obličiek (N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B41F02">
        <w:rPr>
          <w:sz w:val="22"/>
          <w:szCs w:val="22"/>
        </w:rPr>
        <w:t> </w:t>
      </w:r>
      <w:r w:rsidR="00562C8E">
        <w:rPr>
          <w:sz w:val="22"/>
          <w:szCs w:val="22"/>
        </w:rPr>
        <w:t>221). Na </w:t>
      </w:r>
      <w:r w:rsidRPr="00310BD0">
        <w:rPr>
          <w:sz w:val="22"/>
          <w:szCs w:val="22"/>
        </w:rPr>
        <w:t xml:space="preserve">začiatku klinického skúšania bolo </w:t>
      </w:r>
      <w:r w:rsidR="00562C8E">
        <w:rPr>
          <w:sz w:val="22"/>
          <w:szCs w:val="22"/>
        </w:rPr>
        <w:t xml:space="preserve">68,8 % pacientov </w:t>
      </w:r>
      <w:r w:rsidR="00562C8E" w:rsidRPr="007F0AD4">
        <w:rPr>
          <w:sz w:val="22"/>
          <w:szCs w:val="22"/>
        </w:rPr>
        <w:t>so </w:t>
      </w:r>
      <w:r w:rsidRPr="007F0AD4">
        <w:rPr>
          <w:sz w:val="22"/>
          <w:szCs w:val="22"/>
        </w:rPr>
        <w:t xml:space="preserve">stredne </w:t>
      </w:r>
      <w:r w:rsidR="007F0AD4" w:rsidRPr="007F0AD4">
        <w:rPr>
          <w:sz w:val="22"/>
          <w:szCs w:val="22"/>
        </w:rPr>
        <w:t>ťažk</w:t>
      </w:r>
      <w:r w:rsidRPr="007F0AD4">
        <w:rPr>
          <w:sz w:val="22"/>
          <w:szCs w:val="22"/>
        </w:rPr>
        <w:t>ou a 80,5 % s</w:t>
      </w:r>
      <w:r w:rsidR="007F0AD4">
        <w:rPr>
          <w:sz w:val="22"/>
          <w:szCs w:val="22"/>
        </w:rPr>
        <w:t> </w:t>
      </w:r>
      <w:r w:rsidR="007F0AD4" w:rsidRPr="007F0AD4">
        <w:rPr>
          <w:sz w:val="22"/>
          <w:szCs w:val="22"/>
        </w:rPr>
        <w:t>ťažkou</w:t>
      </w:r>
      <w:r w:rsidRPr="007F0AD4">
        <w:rPr>
          <w:sz w:val="22"/>
          <w:szCs w:val="22"/>
        </w:rPr>
        <w:t xml:space="preserve"> poruchou</w:t>
      </w:r>
      <w:r w:rsidRPr="00310BD0">
        <w:rPr>
          <w:sz w:val="22"/>
          <w:szCs w:val="22"/>
        </w:rPr>
        <w:t xml:space="preserve"> funkcie obličiek liečených </w:t>
      </w:r>
      <w:r>
        <w:rPr>
          <w:sz w:val="22"/>
          <w:szCs w:val="22"/>
        </w:rPr>
        <w:t xml:space="preserve">inzulínom (priemerná denná </w:t>
      </w:r>
      <w:r w:rsidRPr="00310BD0">
        <w:rPr>
          <w:sz w:val="22"/>
          <w:szCs w:val="22"/>
        </w:rPr>
        <w:t>dávka 56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jednotiek a </w:t>
      </w:r>
      <w:r w:rsidRPr="00310BD0">
        <w:rPr>
          <w:sz w:val="22"/>
          <w:szCs w:val="22"/>
        </w:rPr>
        <w:t>51,6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jednotiek). U pacientov so </w:t>
      </w:r>
      <w:r w:rsidRPr="00310BD0">
        <w:rPr>
          <w:sz w:val="22"/>
          <w:szCs w:val="22"/>
        </w:rPr>
        <w:t xml:space="preserve">stredne </w:t>
      </w:r>
      <w:r>
        <w:rPr>
          <w:sz w:val="22"/>
          <w:szCs w:val="22"/>
        </w:rPr>
        <w:t>závažnou</w:t>
      </w:r>
      <w:r w:rsidRPr="00310BD0">
        <w:rPr>
          <w:sz w:val="22"/>
          <w:szCs w:val="22"/>
        </w:rPr>
        <w:t xml:space="preserve"> poruchou funkcie obličiek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vildagliptín v porovnaní s </w:t>
      </w:r>
      <w:r w:rsidRPr="00310BD0">
        <w:rPr>
          <w:sz w:val="22"/>
          <w:szCs w:val="22"/>
        </w:rPr>
        <w:t>placebom významne znížil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(rozdiel -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0,53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oproti východiskovej hodnote 7,9</w:t>
      </w:r>
      <w:r>
        <w:rPr>
          <w:sz w:val="22"/>
          <w:szCs w:val="22"/>
        </w:rPr>
        <w:t> </w:t>
      </w:r>
      <w:r w:rsidR="007F0AD4">
        <w:rPr>
          <w:sz w:val="22"/>
          <w:szCs w:val="22"/>
        </w:rPr>
        <w:t>%. U 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>o</w:t>
      </w:r>
      <w:r w:rsidR="007F0AD4">
        <w:rPr>
          <w:sz w:val="22"/>
          <w:szCs w:val="22"/>
        </w:rPr>
        <w:t> </w:t>
      </w:r>
      <w:r>
        <w:rPr>
          <w:sz w:val="22"/>
          <w:szCs w:val="22"/>
        </w:rPr>
        <w:t>závažnou</w:t>
      </w:r>
      <w:r w:rsidRPr="00310BD0">
        <w:rPr>
          <w:sz w:val="22"/>
          <w:szCs w:val="22"/>
        </w:rPr>
        <w:t xml:space="preserve"> poruchou funkcie obličiek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>
        <w:rPr>
          <w:sz w:val="22"/>
          <w:szCs w:val="22"/>
        </w:rPr>
        <w:t xml:space="preserve">ildagliptín v porovnaní </w:t>
      </w:r>
      <w:r w:rsidR="007F0AD4">
        <w:rPr>
          <w:sz w:val="22"/>
          <w:szCs w:val="22"/>
        </w:rPr>
        <w:t>s </w:t>
      </w:r>
      <w:r w:rsidRPr="00310BD0">
        <w:rPr>
          <w:sz w:val="22"/>
          <w:szCs w:val="22"/>
        </w:rPr>
        <w:t>placebom významne znížil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(rozdiel -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0,56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%) oproti východiskovej hodnote 7,7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</w:p>
    <w:p w14:paraId="2BF7A425" w14:textId="77777777" w:rsidR="0081018A" w:rsidRDefault="0081018A" w:rsidP="0081018A">
      <w:pPr>
        <w:rPr>
          <w:sz w:val="22"/>
          <w:szCs w:val="22"/>
        </w:rPr>
      </w:pPr>
    </w:p>
    <w:p w14:paraId="5660F083" w14:textId="64A742BA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Randomizované, dvojito zaslepené, placebom kontrolované klinické skúšanie trvajúce 24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vykonalo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318</w:t>
      </w:r>
      <w:r>
        <w:rPr>
          <w:sz w:val="22"/>
          <w:szCs w:val="22"/>
        </w:rPr>
        <w:t xml:space="preserve"> </w:t>
      </w:r>
      <w:r w:rsidR="007F0AD4">
        <w:rPr>
          <w:sz w:val="22"/>
          <w:szCs w:val="22"/>
        </w:rPr>
        <w:t>pacientmi na </w:t>
      </w:r>
      <w:r w:rsidRPr="00310BD0">
        <w:rPr>
          <w:sz w:val="22"/>
          <w:szCs w:val="22"/>
        </w:rPr>
        <w:t>vyhodnotenie účinnosti a</w:t>
      </w:r>
      <w:r w:rsidR="007F0AD4">
        <w:rPr>
          <w:sz w:val="22"/>
          <w:szCs w:val="22"/>
        </w:rPr>
        <w:t> </w:t>
      </w:r>
      <w:r w:rsidRPr="00310BD0">
        <w:rPr>
          <w:sz w:val="22"/>
          <w:szCs w:val="22"/>
        </w:rPr>
        <w:t>bezpečnosti vildagliptínu (50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mg dvakrát denne) v kombinácii s </w:t>
      </w:r>
      <w:r w:rsidRPr="00310BD0">
        <w:rPr>
          <w:sz w:val="22"/>
          <w:szCs w:val="22"/>
        </w:rPr>
        <w:t>metformínom (≥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1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mg denne) a </w:t>
      </w:r>
      <w:r w:rsidRPr="00310BD0">
        <w:rPr>
          <w:sz w:val="22"/>
          <w:szCs w:val="22"/>
        </w:rPr>
        <w:t>glimepiridom (≥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mg denne). Vildagliptín v kombinácii s metformínom a </w:t>
      </w:r>
      <w:r w:rsidRPr="00310BD0">
        <w:rPr>
          <w:sz w:val="22"/>
          <w:szCs w:val="22"/>
        </w:rPr>
        <w:t>glimepiridom významne znížil HbA1c</w:t>
      </w:r>
      <w:r w:rsidR="00EA1600">
        <w:rPr>
          <w:sz w:val="22"/>
          <w:szCs w:val="22"/>
        </w:rPr>
        <w:t xml:space="preserve"> v porovnaní s </w:t>
      </w:r>
      <w:r>
        <w:rPr>
          <w:sz w:val="22"/>
          <w:szCs w:val="22"/>
        </w:rPr>
        <w:t xml:space="preserve">placebom. </w:t>
      </w:r>
      <w:r w:rsidRPr="00310BD0">
        <w:rPr>
          <w:sz w:val="22"/>
          <w:szCs w:val="22"/>
        </w:rPr>
        <w:t>Priemerné zníženie korigované placebom oproti priemernej východiskovej hodnote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8,8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bolo -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0,76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</w:p>
    <w:p w14:paraId="5FF7BFF5" w14:textId="77777777" w:rsidR="0081018A" w:rsidRPr="00310BD0" w:rsidRDefault="0081018A" w:rsidP="0081018A">
      <w:pPr>
        <w:rPr>
          <w:sz w:val="22"/>
          <w:szCs w:val="22"/>
        </w:rPr>
      </w:pPr>
    </w:p>
    <w:p w14:paraId="3E8C0933" w14:textId="1E87C04C" w:rsidR="0081018A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Randomizované, dvojito zaslepené, placebom kontrolované klinické skúšanie trvajúce 24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vykonalo so</w:t>
      </w:r>
      <w:r w:rsidR="00B41F02">
        <w:rPr>
          <w:sz w:val="22"/>
          <w:szCs w:val="22"/>
        </w:rPr>
        <w:t> </w:t>
      </w:r>
      <w:r w:rsidRPr="00310BD0">
        <w:rPr>
          <w:sz w:val="22"/>
          <w:szCs w:val="22"/>
        </w:rPr>
        <w:t>449</w:t>
      </w:r>
      <w:r>
        <w:rPr>
          <w:sz w:val="22"/>
          <w:szCs w:val="22"/>
        </w:rPr>
        <w:t xml:space="preserve"> </w:t>
      </w:r>
      <w:r w:rsidR="00EA1600">
        <w:rPr>
          <w:sz w:val="22"/>
          <w:szCs w:val="22"/>
        </w:rPr>
        <w:t>pacientmi na </w:t>
      </w:r>
      <w:r w:rsidRPr="00310BD0">
        <w:rPr>
          <w:sz w:val="22"/>
          <w:szCs w:val="22"/>
        </w:rPr>
        <w:t>vyhodnotenie účinnosti a</w:t>
      </w:r>
      <w:r w:rsidR="00EA1600">
        <w:rPr>
          <w:sz w:val="22"/>
          <w:szCs w:val="22"/>
        </w:rPr>
        <w:t> </w:t>
      </w:r>
      <w:r w:rsidRPr="00310BD0">
        <w:rPr>
          <w:sz w:val="22"/>
          <w:szCs w:val="22"/>
        </w:rPr>
        <w:t>bezpečnosti vildagliptínu (50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mg</w:t>
      </w:r>
      <w:r w:rsidR="00EA1600">
        <w:rPr>
          <w:sz w:val="22"/>
          <w:szCs w:val="22"/>
        </w:rPr>
        <w:t xml:space="preserve"> dvakrát denne) v </w:t>
      </w:r>
      <w:r w:rsidR="00B41F02">
        <w:rPr>
          <w:sz w:val="22"/>
          <w:szCs w:val="22"/>
        </w:rPr>
        <w:t>kombinácii so </w:t>
      </w:r>
      <w:r w:rsidRPr="00310BD0">
        <w:rPr>
          <w:sz w:val="22"/>
          <w:szCs w:val="22"/>
        </w:rPr>
        <w:t xml:space="preserve">stabilnou dávkou bazálneho alebo </w:t>
      </w:r>
      <w:r w:rsidR="00502F6E">
        <w:rPr>
          <w:sz w:val="22"/>
          <w:szCs w:val="22"/>
        </w:rPr>
        <w:t>vopred zmiešaného</w:t>
      </w:r>
      <w:r>
        <w:rPr>
          <w:sz w:val="22"/>
          <w:szCs w:val="22"/>
        </w:rPr>
        <w:t xml:space="preserve"> inzulínu (priemerná denná </w:t>
      </w:r>
      <w:r w:rsidRPr="00310BD0">
        <w:rPr>
          <w:sz w:val="22"/>
          <w:szCs w:val="22"/>
        </w:rPr>
        <w:t>dávka 41</w:t>
      </w:r>
      <w:r>
        <w:rPr>
          <w:sz w:val="22"/>
          <w:szCs w:val="22"/>
        </w:rPr>
        <w:t xml:space="preserve"> </w:t>
      </w:r>
      <w:r w:rsidR="00502F6E">
        <w:rPr>
          <w:sz w:val="22"/>
          <w:szCs w:val="22"/>
        </w:rPr>
        <w:t>jednotiek) so </w:t>
      </w:r>
      <w:r w:rsidRPr="00310BD0">
        <w:rPr>
          <w:sz w:val="22"/>
          <w:szCs w:val="22"/>
        </w:rPr>
        <w:t>súbežne používaným metformínom (N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502F6E">
        <w:rPr>
          <w:sz w:val="22"/>
          <w:szCs w:val="22"/>
        </w:rPr>
        <w:t> </w:t>
      </w:r>
      <w:r>
        <w:rPr>
          <w:sz w:val="22"/>
          <w:szCs w:val="22"/>
        </w:rPr>
        <w:t>276)</w:t>
      </w:r>
      <w:r w:rsidRPr="00310BD0">
        <w:rPr>
          <w:sz w:val="22"/>
          <w:szCs w:val="22"/>
        </w:rPr>
        <w:t xml:space="preserve"> alebo bez neho (N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502F6E">
        <w:rPr>
          <w:sz w:val="22"/>
          <w:szCs w:val="22"/>
        </w:rPr>
        <w:t> 173). Vildagliptín v kombinácii s </w:t>
      </w:r>
      <w:r w:rsidRPr="00310BD0">
        <w:rPr>
          <w:sz w:val="22"/>
          <w:szCs w:val="22"/>
        </w:rPr>
        <w:t>inzulínom významne znížil HbA1c</w:t>
      </w:r>
      <w:r>
        <w:rPr>
          <w:sz w:val="22"/>
          <w:szCs w:val="22"/>
        </w:rPr>
        <w:t xml:space="preserve"> </w:t>
      </w:r>
      <w:r w:rsidR="00502F6E">
        <w:rPr>
          <w:sz w:val="22"/>
          <w:szCs w:val="22"/>
        </w:rPr>
        <w:t>v porovnaní s </w:t>
      </w:r>
      <w:r>
        <w:rPr>
          <w:sz w:val="22"/>
          <w:szCs w:val="22"/>
        </w:rPr>
        <w:t xml:space="preserve">placebom. Priemerné </w:t>
      </w:r>
      <w:r w:rsidRPr="00310BD0">
        <w:rPr>
          <w:sz w:val="22"/>
          <w:szCs w:val="22"/>
        </w:rPr>
        <w:t>zníženie korigované placebom oproti priemernej východiskovej hodnote HbA1c</w:t>
      </w:r>
      <w:r>
        <w:rPr>
          <w:sz w:val="22"/>
          <w:szCs w:val="22"/>
        </w:rPr>
        <w:t xml:space="preserve"> 8,8 % v </w:t>
      </w:r>
      <w:r w:rsidRPr="00310BD0">
        <w:rPr>
          <w:sz w:val="22"/>
          <w:szCs w:val="22"/>
        </w:rPr>
        <w:t>celkovej populácii bolo 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0,72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%. V </w:t>
      </w:r>
      <w:r w:rsidRPr="00310BD0">
        <w:rPr>
          <w:sz w:val="22"/>
          <w:szCs w:val="22"/>
        </w:rPr>
        <w:t>podskupin</w:t>
      </w:r>
      <w:r w:rsidR="00EA1600">
        <w:rPr>
          <w:sz w:val="22"/>
          <w:szCs w:val="22"/>
        </w:rPr>
        <w:t>ách liečených inzulínom so </w:t>
      </w:r>
      <w:r w:rsidRPr="00310BD0">
        <w:rPr>
          <w:sz w:val="22"/>
          <w:szCs w:val="22"/>
        </w:rPr>
        <w:t>súb</w:t>
      </w:r>
      <w:r>
        <w:rPr>
          <w:sz w:val="22"/>
          <w:szCs w:val="22"/>
        </w:rPr>
        <w:t xml:space="preserve">ežne podávaným </w:t>
      </w:r>
      <w:r w:rsidRPr="00310BD0">
        <w:rPr>
          <w:sz w:val="22"/>
          <w:szCs w:val="22"/>
        </w:rPr>
        <w:t>metformínom bolo priemerné zníženie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korigované placebom 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0,63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a</w:t>
      </w:r>
      <w:r w:rsidR="00EA1600">
        <w:rPr>
          <w:sz w:val="22"/>
          <w:szCs w:val="22"/>
        </w:rPr>
        <w:t> </w:t>
      </w:r>
      <w:r w:rsidRPr="00310BD0">
        <w:rPr>
          <w:sz w:val="22"/>
          <w:szCs w:val="22"/>
        </w:rPr>
        <w:t>bez súbežne podávaného metformínu 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0,84</w:t>
      </w:r>
      <w:r>
        <w:rPr>
          <w:sz w:val="22"/>
          <w:szCs w:val="22"/>
        </w:rPr>
        <w:t> </w:t>
      </w:r>
      <w:r w:rsidR="00EA1600">
        <w:rPr>
          <w:sz w:val="22"/>
          <w:szCs w:val="22"/>
        </w:rPr>
        <w:t>%. Incidencia hypoglykémie v </w:t>
      </w:r>
      <w:r w:rsidRPr="00310BD0">
        <w:rPr>
          <w:sz w:val="22"/>
          <w:szCs w:val="22"/>
        </w:rPr>
        <w:t xml:space="preserve">celkovej populácii bola </w:t>
      </w:r>
      <w:r>
        <w:rPr>
          <w:sz w:val="22"/>
          <w:szCs w:val="22"/>
        </w:rPr>
        <w:t xml:space="preserve">8,4 % v skupine </w:t>
      </w:r>
      <w:r w:rsidR="00EA1600">
        <w:rPr>
          <w:sz w:val="22"/>
          <w:szCs w:val="22"/>
        </w:rPr>
        <w:t>vildagliptínu a </w:t>
      </w:r>
      <w:r w:rsidRPr="00310BD0">
        <w:rPr>
          <w:sz w:val="22"/>
          <w:szCs w:val="22"/>
        </w:rPr>
        <w:t>7,2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skup</w:t>
      </w:r>
      <w:r w:rsidR="00EA1600">
        <w:rPr>
          <w:sz w:val="22"/>
          <w:szCs w:val="22"/>
        </w:rPr>
        <w:t>ine placeba. U </w:t>
      </w:r>
      <w:r w:rsidRPr="00310BD0">
        <w:rPr>
          <w:sz w:val="22"/>
          <w:szCs w:val="22"/>
        </w:rPr>
        <w:t>pacientov, ktorí do</w:t>
      </w:r>
      <w:r w:rsidR="00EA1600">
        <w:rPr>
          <w:sz w:val="22"/>
          <w:szCs w:val="22"/>
        </w:rPr>
        <w:t>stávali vildagliptín, nedošlo k </w:t>
      </w:r>
      <w:r w:rsidRPr="00310BD0">
        <w:rPr>
          <w:sz w:val="22"/>
          <w:szCs w:val="22"/>
        </w:rPr>
        <w:t xml:space="preserve">zvýšeniu telesnej hmotnosti </w:t>
      </w:r>
      <w:r>
        <w:rPr>
          <w:sz w:val="22"/>
          <w:szCs w:val="22"/>
        </w:rPr>
        <w:t>(+</w:t>
      </w:r>
      <w:r w:rsidR="00502F6E">
        <w:rPr>
          <w:sz w:val="22"/>
          <w:szCs w:val="22"/>
        </w:rPr>
        <w:t> </w:t>
      </w:r>
      <w:r>
        <w:rPr>
          <w:sz w:val="22"/>
          <w:szCs w:val="22"/>
        </w:rPr>
        <w:t>0,2 </w:t>
      </w:r>
      <w:r w:rsidR="00EA1600">
        <w:rPr>
          <w:sz w:val="22"/>
          <w:szCs w:val="22"/>
        </w:rPr>
        <w:t>kg), zatiaľ čo u </w:t>
      </w:r>
      <w:r w:rsidRPr="00310BD0">
        <w:rPr>
          <w:sz w:val="22"/>
          <w:szCs w:val="22"/>
        </w:rPr>
        <w:t>pacientov, ktorí dostávali placebo, sa znížila telesná hmotnosť (-</w:t>
      </w:r>
      <w:r w:rsidR="00502F6E">
        <w:rPr>
          <w:sz w:val="22"/>
          <w:szCs w:val="22"/>
        </w:rPr>
        <w:t> </w:t>
      </w:r>
      <w:r w:rsidRPr="00310BD0">
        <w:rPr>
          <w:sz w:val="22"/>
          <w:szCs w:val="22"/>
        </w:rPr>
        <w:t>0,7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kg).</w:t>
      </w:r>
    </w:p>
    <w:p w14:paraId="1D49B249" w14:textId="77777777" w:rsidR="0081018A" w:rsidRPr="00310BD0" w:rsidRDefault="0081018A" w:rsidP="0081018A">
      <w:pPr>
        <w:rPr>
          <w:sz w:val="22"/>
          <w:szCs w:val="22"/>
        </w:rPr>
      </w:pPr>
    </w:p>
    <w:p w14:paraId="2F495C4F" w14:textId="5FEB862A" w:rsidR="0081018A" w:rsidRDefault="00EA1600" w:rsidP="0081018A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10BD0">
        <w:rPr>
          <w:sz w:val="22"/>
          <w:szCs w:val="22"/>
        </w:rPr>
        <w:t>ďalšom</w:t>
      </w:r>
      <w:r w:rsidR="0081018A">
        <w:rPr>
          <w:sz w:val="22"/>
          <w:szCs w:val="22"/>
        </w:rPr>
        <w:t xml:space="preserve"> klinickom skúšaní trvajúcom 24 </w:t>
      </w:r>
      <w:r w:rsidR="0081018A" w:rsidRPr="00310BD0">
        <w:rPr>
          <w:sz w:val="22"/>
          <w:szCs w:val="22"/>
        </w:rPr>
        <w:t>týždňov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pacientmi s</w:t>
      </w:r>
      <w:r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pokročilejším diabetom 2.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typu, ktorí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neboli dosta</w:t>
      </w:r>
      <w:r w:rsidR="00502F6E">
        <w:rPr>
          <w:sz w:val="22"/>
          <w:szCs w:val="22"/>
        </w:rPr>
        <w:t>točne kompenzovaní inzulínom (s </w:t>
      </w:r>
      <w:r w:rsidR="0081018A" w:rsidRPr="00310BD0">
        <w:rPr>
          <w:sz w:val="22"/>
          <w:szCs w:val="22"/>
        </w:rPr>
        <w:t>krátkym a</w:t>
      </w:r>
      <w:r>
        <w:rPr>
          <w:sz w:val="22"/>
          <w:szCs w:val="22"/>
        </w:rPr>
        <w:t> </w:t>
      </w:r>
      <w:r w:rsidR="0081018A">
        <w:rPr>
          <w:sz w:val="22"/>
          <w:szCs w:val="22"/>
        </w:rPr>
        <w:t xml:space="preserve">dlhým účinkom, priemerná dávka </w:t>
      </w:r>
      <w:r w:rsidR="0081018A" w:rsidRPr="00310BD0">
        <w:rPr>
          <w:sz w:val="22"/>
          <w:szCs w:val="22"/>
        </w:rPr>
        <w:t>inzulínu 80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IU/deň), bolo priemerné zníženie HbA1c, keď sa vildagliptín (50</w:t>
      </w:r>
      <w:r w:rsidR="0081018A">
        <w:rPr>
          <w:sz w:val="22"/>
          <w:szCs w:val="22"/>
        </w:rPr>
        <w:t xml:space="preserve"> mg dvakrát denne) </w:t>
      </w:r>
      <w:r w:rsidR="0081018A" w:rsidRPr="00310BD0">
        <w:rPr>
          <w:sz w:val="22"/>
          <w:szCs w:val="22"/>
        </w:rPr>
        <w:t>pridal k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inzulínu, štatisticky významne väčš</w:t>
      </w:r>
      <w:r>
        <w:rPr>
          <w:sz w:val="22"/>
          <w:szCs w:val="22"/>
        </w:rPr>
        <w:t>ie ako pri </w:t>
      </w:r>
      <w:r w:rsidR="00502F6E">
        <w:rPr>
          <w:sz w:val="22"/>
          <w:szCs w:val="22"/>
        </w:rPr>
        <w:t>placebe s </w:t>
      </w:r>
      <w:r w:rsidR="0081018A" w:rsidRPr="00310BD0">
        <w:rPr>
          <w:sz w:val="22"/>
          <w:szCs w:val="22"/>
        </w:rPr>
        <w:t>inzulínom (0,5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oproti 0,2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%).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Incide</w:t>
      </w:r>
      <w:r>
        <w:rPr>
          <w:sz w:val="22"/>
          <w:szCs w:val="22"/>
        </w:rPr>
        <w:t>ncia hypoglykémie bola nižšia v skupine vildagliptínu ako v </w:t>
      </w:r>
      <w:r w:rsidR="0081018A" w:rsidRPr="00310BD0">
        <w:rPr>
          <w:sz w:val="22"/>
          <w:szCs w:val="22"/>
        </w:rPr>
        <w:t>skupine placeba</w:t>
      </w:r>
      <w:r w:rsidR="0081018A">
        <w:rPr>
          <w:sz w:val="22"/>
          <w:szCs w:val="22"/>
        </w:rPr>
        <w:t xml:space="preserve"> </w:t>
      </w:r>
      <w:r w:rsidR="0081018A" w:rsidRPr="00310BD0">
        <w:rPr>
          <w:sz w:val="22"/>
          <w:szCs w:val="22"/>
        </w:rPr>
        <w:t>(22,9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 oproti 29,6</w:t>
      </w:r>
      <w:r w:rsidR="0081018A">
        <w:rPr>
          <w:sz w:val="22"/>
          <w:szCs w:val="22"/>
        </w:rPr>
        <w:t> </w:t>
      </w:r>
      <w:r w:rsidR="0081018A" w:rsidRPr="00310BD0">
        <w:rPr>
          <w:sz w:val="22"/>
          <w:szCs w:val="22"/>
        </w:rPr>
        <w:t>%).</w:t>
      </w:r>
    </w:p>
    <w:p w14:paraId="2C67089C" w14:textId="77777777" w:rsidR="0081018A" w:rsidRPr="00310BD0" w:rsidRDefault="0081018A" w:rsidP="0081018A">
      <w:pPr>
        <w:rPr>
          <w:sz w:val="22"/>
          <w:szCs w:val="22"/>
        </w:rPr>
      </w:pPr>
    </w:p>
    <w:p w14:paraId="07C20E36" w14:textId="2DDB326D" w:rsidR="0081018A" w:rsidRPr="00310BD0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Multicentrické, r</w:t>
      </w:r>
      <w:r w:rsidRPr="00310BD0">
        <w:rPr>
          <w:sz w:val="22"/>
          <w:szCs w:val="22"/>
        </w:rPr>
        <w:t>andomizované, dvojito zaslepené klinické skúšanie trvajúce 52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sa vykonalo u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diabetom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2.</w:t>
      </w:r>
      <w:r>
        <w:rPr>
          <w:sz w:val="22"/>
          <w:szCs w:val="22"/>
        </w:rPr>
        <w:t xml:space="preserve"> t</w:t>
      </w:r>
      <w:r w:rsidRPr="00310BD0">
        <w:rPr>
          <w:sz w:val="22"/>
          <w:szCs w:val="22"/>
        </w:rPr>
        <w:t>ypu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a</w:t>
      </w:r>
      <w:r w:rsidR="00EA1600">
        <w:rPr>
          <w:sz w:val="22"/>
          <w:szCs w:val="22"/>
        </w:rPr>
        <w:t> </w:t>
      </w:r>
      <w:r w:rsidRPr="00310BD0">
        <w:rPr>
          <w:sz w:val="22"/>
          <w:szCs w:val="22"/>
        </w:rPr>
        <w:t>kongestívnym zlyhávaním srdca (funkčná trieda I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-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III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 xml:space="preserve">podľa NYHA) </w:t>
      </w:r>
      <w:r w:rsidR="00EA1600">
        <w:rPr>
          <w:sz w:val="22"/>
          <w:szCs w:val="22"/>
        </w:rPr>
        <w:t>na </w:t>
      </w:r>
      <w:r>
        <w:rPr>
          <w:sz w:val="22"/>
          <w:szCs w:val="22"/>
        </w:rPr>
        <w:t>vyhodnotenie účinku 50 </w:t>
      </w:r>
      <w:r w:rsidRPr="00310BD0">
        <w:rPr>
          <w:sz w:val="22"/>
          <w:szCs w:val="22"/>
        </w:rPr>
        <w:t>mg vildagliptínu dvakrát denne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(N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9C5FF3">
        <w:rPr>
          <w:sz w:val="22"/>
          <w:szCs w:val="22"/>
        </w:rPr>
        <w:t> </w:t>
      </w:r>
      <w:r w:rsidR="00EA1600">
        <w:rPr>
          <w:sz w:val="22"/>
          <w:szCs w:val="22"/>
        </w:rPr>
        <w:t>128) na </w:t>
      </w:r>
      <w:r w:rsidRPr="00310BD0">
        <w:rPr>
          <w:sz w:val="22"/>
          <w:szCs w:val="22"/>
        </w:rPr>
        <w:t>ejekčnú frakciu</w:t>
      </w:r>
      <w:r>
        <w:rPr>
          <w:sz w:val="22"/>
          <w:szCs w:val="22"/>
        </w:rPr>
        <w:t xml:space="preserve"> ľavej komory </w:t>
      </w:r>
      <w:r w:rsidRPr="00310BD0">
        <w:rPr>
          <w:sz w:val="22"/>
          <w:szCs w:val="22"/>
        </w:rPr>
        <w:t>(LVEF)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placebo</w:t>
      </w:r>
      <w:r>
        <w:rPr>
          <w:sz w:val="22"/>
          <w:szCs w:val="22"/>
        </w:rPr>
        <w:t xml:space="preserve">m </w:t>
      </w:r>
      <w:r w:rsidRPr="00310BD0">
        <w:rPr>
          <w:sz w:val="22"/>
          <w:szCs w:val="22"/>
        </w:rPr>
        <w:t>(N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9C5FF3">
        <w:rPr>
          <w:sz w:val="22"/>
          <w:szCs w:val="22"/>
        </w:rPr>
        <w:t> </w:t>
      </w:r>
      <w:r w:rsidRPr="00310BD0">
        <w:rPr>
          <w:sz w:val="22"/>
          <w:szCs w:val="22"/>
        </w:rPr>
        <w:t>126). Vildagliptín s</w:t>
      </w:r>
      <w:r w:rsidR="009C5FF3">
        <w:rPr>
          <w:sz w:val="22"/>
          <w:szCs w:val="22"/>
        </w:rPr>
        <w:t>a nespájal so </w:t>
      </w:r>
      <w:r w:rsidRPr="00310BD0">
        <w:rPr>
          <w:sz w:val="22"/>
          <w:szCs w:val="22"/>
        </w:rPr>
        <w:t>zmenou funkcie ľavej komory alebo zhoršením už prítomného CHF. Potvrdené kardiov</w:t>
      </w:r>
      <w:r>
        <w:rPr>
          <w:sz w:val="22"/>
          <w:szCs w:val="22"/>
        </w:rPr>
        <w:t xml:space="preserve">askulárne udalosti boli celkovo </w:t>
      </w:r>
      <w:r w:rsidRPr="00310BD0">
        <w:rPr>
          <w:sz w:val="22"/>
          <w:szCs w:val="22"/>
        </w:rPr>
        <w:t>vyrovnané. U</w:t>
      </w:r>
      <w:r>
        <w:rPr>
          <w:sz w:val="22"/>
          <w:szCs w:val="22"/>
        </w:rPr>
        <w:t> </w:t>
      </w:r>
      <w:r w:rsidR="00513DEA">
        <w:rPr>
          <w:sz w:val="22"/>
          <w:szCs w:val="22"/>
        </w:rPr>
        <w:t>pacientov so </w:t>
      </w:r>
      <w:r w:rsidRPr="00310BD0">
        <w:rPr>
          <w:sz w:val="22"/>
          <w:szCs w:val="22"/>
        </w:rPr>
        <w:t>zlyhávaním srdca triedy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III podľa NYHA liečených vildagliptínom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sa vyskytlo viac kardiálnych udalostí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D64D7E">
        <w:rPr>
          <w:sz w:val="22"/>
          <w:szCs w:val="22"/>
        </w:rPr>
        <w:t> placebom. Pri </w:t>
      </w:r>
      <w:r w:rsidRPr="00310BD0">
        <w:rPr>
          <w:sz w:val="22"/>
          <w:szCs w:val="22"/>
        </w:rPr>
        <w:t>východiskovom kardiovaskulárnom riziku však bola nerovnováha 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prospech placeba 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počet udalostí bol nízky, čo znemožňuje jednoznačné závery. 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placebom vildagliptín po 16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týždňoch významne znížil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(rozdiel 0,6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oproti priemernej východiskovej hodnote 7,8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 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podskupine s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triedou</w:t>
      </w:r>
      <w:r>
        <w:rPr>
          <w:sz w:val="22"/>
          <w:szCs w:val="22"/>
        </w:rPr>
        <w:t xml:space="preserve"> III podľa </w:t>
      </w:r>
      <w:r w:rsidRPr="00310BD0">
        <w:rPr>
          <w:sz w:val="22"/>
          <w:szCs w:val="22"/>
        </w:rPr>
        <w:t>NYHA bol pokles HbA1c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placebom nižší (rozdiel 0,3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%), ale tento záver je obmedzený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malým počtom pacientov (</w:t>
      </w:r>
      <w:r>
        <w:rPr>
          <w:sz w:val="22"/>
          <w:szCs w:val="22"/>
        </w:rPr>
        <w:t>N</w:t>
      </w:r>
      <w:r w:rsidR="00513DEA">
        <w:rPr>
          <w:sz w:val="22"/>
          <w:szCs w:val="22"/>
        </w:rPr>
        <w:t> </w:t>
      </w:r>
      <w:r w:rsidRPr="00310BD0">
        <w:rPr>
          <w:sz w:val="22"/>
          <w:szCs w:val="22"/>
        </w:rPr>
        <w:t>=</w:t>
      </w:r>
      <w:r w:rsidR="00513DEA">
        <w:rPr>
          <w:sz w:val="22"/>
          <w:szCs w:val="22"/>
        </w:rPr>
        <w:t> </w:t>
      </w:r>
      <w:r w:rsidR="00D64D7E">
        <w:rPr>
          <w:sz w:val="22"/>
          <w:szCs w:val="22"/>
        </w:rPr>
        <w:t>44). Incidencia hypoglykémie v </w:t>
      </w:r>
      <w:r w:rsidRPr="00310BD0">
        <w:rPr>
          <w:sz w:val="22"/>
          <w:szCs w:val="22"/>
        </w:rPr>
        <w:t>celkovej populácii v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skupine vildagliptínu bola 4,7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skupine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placeba 5,6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%.</w:t>
      </w:r>
    </w:p>
    <w:p w14:paraId="3AA7D04F" w14:textId="77777777" w:rsidR="0081018A" w:rsidRDefault="0081018A" w:rsidP="0081018A">
      <w:pPr>
        <w:rPr>
          <w:sz w:val="22"/>
          <w:szCs w:val="22"/>
        </w:rPr>
      </w:pPr>
    </w:p>
    <w:p w14:paraId="52EF445C" w14:textId="77777777" w:rsidR="0081018A" w:rsidRPr="00C146F5" w:rsidRDefault="0081018A" w:rsidP="0081018A">
      <w:pPr>
        <w:rPr>
          <w:i/>
          <w:sz w:val="22"/>
          <w:szCs w:val="22"/>
        </w:rPr>
      </w:pPr>
      <w:r w:rsidRPr="00082FAD">
        <w:rPr>
          <w:i/>
          <w:sz w:val="22"/>
          <w:szCs w:val="22"/>
        </w:rPr>
        <w:t>Kardiovaskulárne riziko</w:t>
      </w:r>
    </w:p>
    <w:p w14:paraId="401E5936" w14:textId="292ED481" w:rsidR="0081018A" w:rsidRPr="00310BD0" w:rsidRDefault="0081018A" w:rsidP="0081018A">
      <w:pPr>
        <w:rPr>
          <w:sz w:val="22"/>
          <w:szCs w:val="22"/>
        </w:rPr>
      </w:pPr>
      <w:r w:rsidRPr="00310BD0">
        <w:rPr>
          <w:sz w:val="22"/>
          <w:szCs w:val="22"/>
        </w:rPr>
        <w:t>Uskutoč</w:t>
      </w:r>
      <w:r w:rsidR="00D64D7E">
        <w:rPr>
          <w:sz w:val="22"/>
          <w:szCs w:val="22"/>
        </w:rPr>
        <w:t>nila sa metaanalýza nezávisle a </w:t>
      </w:r>
      <w:r w:rsidRPr="00310BD0">
        <w:rPr>
          <w:sz w:val="22"/>
          <w:szCs w:val="22"/>
        </w:rPr>
        <w:t>prospektívne potvrdených kardiovaskulárnych udalostí z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37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klinických skúšaní fázy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III 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IV monoterapie a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kombinovanej liečby trvajúcich viac ako 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roky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(priemerná expozícia vildagliptínu bola 50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 a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komparátorom 49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týždňov)</w:t>
      </w:r>
      <w:r>
        <w:rPr>
          <w:sz w:val="22"/>
          <w:szCs w:val="22"/>
        </w:rPr>
        <w:t xml:space="preserve">, ktorá ukázala, </w:t>
      </w:r>
      <w:r w:rsidRPr="00310BD0">
        <w:rPr>
          <w:sz w:val="22"/>
          <w:szCs w:val="22"/>
        </w:rPr>
        <w:t>že liečba vildagliptínom sa v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komparátormi nespájala</w:t>
      </w:r>
      <w:r w:rsidR="00D64D7E">
        <w:rPr>
          <w:sz w:val="22"/>
          <w:szCs w:val="22"/>
        </w:rPr>
        <w:t xml:space="preserve"> so </w:t>
      </w:r>
      <w:r>
        <w:rPr>
          <w:sz w:val="22"/>
          <w:szCs w:val="22"/>
        </w:rPr>
        <w:t xml:space="preserve">zvýšením kardiovaskulárneho </w:t>
      </w:r>
      <w:r w:rsidRPr="00310BD0">
        <w:rPr>
          <w:sz w:val="22"/>
          <w:szCs w:val="22"/>
        </w:rPr>
        <w:t>rizika. Zložený ukazovateľ potvrdených závažných nežiaducich kardiovaskul</w:t>
      </w:r>
      <w:r>
        <w:rPr>
          <w:sz w:val="22"/>
          <w:szCs w:val="22"/>
        </w:rPr>
        <w:t>á</w:t>
      </w:r>
      <w:r w:rsidRPr="00310BD0">
        <w:rPr>
          <w:sz w:val="22"/>
          <w:szCs w:val="22"/>
        </w:rPr>
        <w:t>rnych udalostí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(MACE</w:t>
      </w:r>
      <w:r w:rsidR="00B76F9A">
        <w:rPr>
          <w:sz w:val="22"/>
          <w:szCs w:val="22"/>
        </w:rPr>
        <w:t xml:space="preserve"> z angl. major adverse cardiovascular events</w:t>
      </w:r>
      <w:r w:rsidRPr="00310BD0">
        <w:rPr>
          <w:sz w:val="22"/>
          <w:szCs w:val="22"/>
        </w:rPr>
        <w:t>) vrátane akútneho infarktu myokardu, cievnej</w:t>
      </w:r>
      <w:r w:rsidR="00082FAD">
        <w:rPr>
          <w:sz w:val="22"/>
          <w:szCs w:val="22"/>
        </w:rPr>
        <w:t xml:space="preserve"> mozgovej príhody alebo smrti z </w:t>
      </w:r>
      <w:r w:rsidRPr="00310BD0">
        <w:rPr>
          <w:sz w:val="22"/>
          <w:szCs w:val="22"/>
        </w:rPr>
        <w:t>kardiovaskulárnej príčiny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bol podobný pri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vildagliptíne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v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porovnaní s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kombinovanými účinnými komparátormi 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placebom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[pomer rizík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podľa Mantela–Haenszela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(M-H RR) 0,82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(95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 w:rsidRPr="00310BD0">
        <w:rPr>
          <w:sz w:val="22"/>
          <w:szCs w:val="22"/>
        </w:rPr>
        <w:t>0,61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-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1,11)]. MACE sa vyskytla u</w:t>
      </w:r>
      <w:r w:rsidR="00D64D7E">
        <w:rPr>
          <w:sz w:val="22"/>
          <w:szCs w:val="22"/>
        </w:rPr>
        <w:t> </w:t>
      </w:r>
      <w:r w:rsidRPr="00310BD0">
        <w:rPr>
          <w:sz w:val="22"/>
          <w:szCs w:val="22"/>
        </w:rPr>
        <w:t>83 z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9</w:t>
      </w:r>
      <w:r w:rsidR="00082FAD">
        <w:rPr>
          <w:sz w:val="22"/>
          <w:szCs w:val="22"/>
        </w:rPr>
        <w:t> </w:t>
      </w:r>
      <w:r>
        <w:rPr>
          <w:sz w:val="22"/>
          <w:szCs w:val="22"/>
        </w:rPr>
        <w:t>599 (0,86 </w:t>
      </w:r>
      <w:r w:rsidRPr="00310BD0">
        <w:rPr>
          <w:sz w:val="22"/>
          <w:szCs w:val="22"/>
        </w:rPr>
        <w:t>%) pacientov liečených vildagliptínom a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u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85 zo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7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102 (1,20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%) pacientov liečených komparátorom. Vyhodnotenie každej jednotlivej zložky MACE nepreukázalo zvýšené riziko (podobný M-H RR). Potvrdené udalosti srdcového zlyhávania (S</w:t>
      </w:r>
      <w:r>
        <w:rPr>
          <w:sz w:val="22"/>
          <w:szCs w:val="22"/>
        </w:rPr>
        <w:t xml:space="preserve">Z) definované ako SZ vyžadujúce </w:t>
      </w:r>
      <w:r w:rsidRPr="00310BD0">
        <w:rPr>
          <w:sz w:val="22"/>
          <w:szCs w:val="22"/>
        </w:rPr>
        <w:t>hospitalizáciu alebo nový výskyt SZ boli hlásené u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41 (0,43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pacientov liečených vildagliptínom a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32 (0,45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%) pacientov liečených komparátorom, s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M-H RR 1,08 (95</w:t>
      </w:r>
      <w:r>
        <w:rPr>
          <w:sz w:val="22"/>
          <w:szCs w:val="22"/>
        </w:rPr>
        <w:t> </w:t>
      </w:r>
      <w:r w:rsidRPr="00310BD0">
        <w:rPr>
          <w:sz w:val="22"/>
          <w:szCs w:val="22"/>
        </w:rPr>
        <w:t>% IS 0,68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–</w:t>
      </w:r>
      <w:r w:rsidR="00082FAD">
        <w:rPr>
          <w:sz w:val="22"/>
          <w:szCs w:val="22"/>
        </w:rPr>
        <w:t> </w:t>
      </w:r>
      <w:r w:rsidRPr="00310BD0">
        <w:rPr>
          <w:sz w:val="22"/>
          <w:szCs w:val="22"/>
        </w:rPr>
        <w:t>1,70)</w:t>
      </w:r>
      <w:r>
        <w:rPr>
          <w:sz w:val="22"/>
          <w:szCs w:val="22"/>
        </w:rPr>
        <w:t>.</w:t>
      </w:r>
    </w:p>
    <w:p w14:paraId="313748A3" w14:textId="77777777" w:rsidR="0081018A" w:rsidRPr="004D1FDE" w:rsidRDefault="0081018A" w:rsidP="0081018A">
      <w:pPr>
        <w:rPr>
          <w:sz w:val="22"/>
          <w:szCs w:val="22"/>
        </w:rPr>
      </w:pPr>
    </w:p>
    <w:p w14:paraId="4C3FC332" w14:textId="0C18A016" w:rsidR="00F6104A" w:rsidRPr="00DC580E" w:rsidRDefault="00F6104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DC580E">
        <w:rPr>
          <w:b/>
          <w:noProof/>
          <w:sz w:val="22"/>
          <w:szCs w:val="22"/>
          <w:lang w:eastAsia="en-US"/>
        </w:rPr>
        <w:t>Tabuľka </w:t>
      </w:r>
      <w:r w:rsidR="0081018A" w:rsidRPr="00DC580E">
        <w:rPr>
          <w:b/>
          <w:noProof/>
          <w:sz w:val="22"/>
          <w:szCs w:val="22"/>
          <w:lang w:eastAsia="en-US"/>
        </w:rPr>
        <w:t>8 Kľúčové výs</w:t>
      </w:r>
      <w:r w:rsidRPr="00DC580E">
        <w:rPr>
          <w:b/>
          <w:noProof/>
          <w:sz w:val="22"/>
          <w:szCs w:val="22"/>
          <w:lang w:eastAsia="en-US"/>
        </w:rPr>
        <w:t>ledky účinnosti vildagliptínu v </w:t>
      </w:r>
      <w:r w:rsidR="0081018A" w:rsidRPr="00DC580E">
        <w:rPr>
          <w:b/>
          <w:noProof/>
          <w:sz w:val="22"/>
          <w:szCs w:val="22"/>
          <w:lang w:eastAsia="en-US"/>
        </w:rPr>
        <w:t xml:space="preserve">placebom kontrolovaných klinických </w:t>
      </w:r>
    </w:p>
    <w:p w14:paraId="0EF7CE2E" w14:textId="6423F9E9" w:rsidR="00F6104A" w:rsidRPr="00DC580E" w:rsidRDefault="00F6104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DC580E">
        <w:rPr>
          <w:b/>
          <w:noProof/>
          <w:sz w:val="22"/>
          <w:szCs w:val="22"/>
          <w:lang w:eastAsia="en-US"/>
        </w:rPr>
        <w:t xml:space="preserve">                   </w:t>
      </w:r>
      <w:r w:rsidR="0081018A" w:rsidRPr="00DC580E">
        <w:rPr>
          <w:b/>
          <w:noProof/>
          <w:sz w:val="22"/>
          <w:szCs w:val="22"/>
          <w:lang w:eastAsia="en-US"/>
        </w:rPr>
        <w:t>skúšaniach monot</w:t>
      </w:r>
      <w:r w:rsidRPr="00DC580E">
        <w:rPr>
          <w:b/>
          <w:noProof/>
          <w:sz w:val="22"/>
          <w:szCs w:val="22"/>
          <w:lang w:eastAsia="en-US"/>
        </w:rPr>
        <w:t>erapie a</w:t>
      </w:r>
      <w:r w:rsidR="00E85014">
        <w:rPr>
          <w:b/>
          <w:noProof/>
          <w:sz w:val="22"/>
          <w:szCs w:val="22"/>
          <w:lang w:eastAsia="en-US"/>
        </w:rPr>
        <w:t xml:space="preserve"> </w:t>
      </w:r>
      <w:r w:rsidR="0081018A" w:rsidRPr="00DC580E">
        <w:rPr>
          <w:b/>
          <w:noProof/>
          <w:sz w:val="22"/>
          <w:szCs w:val="22"/>
          <w:lang w:eastAsia="en-US"/>
        </w:rPr>
        <w:t>prídavnej kombinovan</w:t>
      </w:r>
      <w:r w:rsidR="00082FAD" w:rsidRPr="00DC580E">
        <w:rPr>
          <w:b/>
          <w:noProof/>
          <w:sz w:val="22"/>
          <w:szCs w:val="22"/>
          <w:lang w:eastAsia="en-US"/>
        </w:rPr>
        <w:t xml:space="preserve">ej terapie (primárna účinnosť </w:t>
      </w:r>
      <w:r w:rsidRPr="00DC580E">
        <w:rPr>
          <w:b/>
          <w:noProof/>
          <w:sz w:val="22"/>
          <w:szCs w:val="22"/>
          <w:lang w:eastAsia="en-US"/>
        </w:rPr>
        <w:t xml:space="preserve"> </w:t>
      </w:r>
    </w:p>
    <w:p w14:paraId="30EA6D2F" w14:textId="414063E6" w:rsidR="0081018A" w:rsidRPr="002B194B" w:rsidRDefault="00F6104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DC580E">
        <w:rPr>
          <w:b/>
          <w:noProof/>
          <w:sz w:val="22"/>
          <w:szCs w:val="22"/>
          <w:lang w:eastAsia="en-US"/>
        </w:rPr>
        <w:t xml:space="preserve">                   </w:t>
      </w:r>
      <w:r w:rsidR="00082FAD">
        <w:rPr>
          <w:b/>
          <w:noProof/>
          <w:sz w:val="22"/>
          <w:szCs w:val="22"/>
          <w:lang w:val="en-GB" w:eastAsia="en-US"/>
        </w:rPr>
        <w:t>v </w:t>
      </w:r>
      <w:r w:rsidR="0081018A">
        <w:rPr>
          <w:b/>
          <w:noProof/>
          <w:sz w:val="22"/>
          <w:szCs w:val="22"/>
          <w:lang w:val="en-GB" w:eastAsia="en-US"/>
        </w:rPr>
        <w:t>ITT populácii).</w:t>
      </w:r>
    </w:p>
    <w:p w14:paraId="2C6B60FE" w14:textId="77777777" w:rsidR="0081018A" w:rsidRPr="002B194B" w:rsidRDefault="0081018A" w:rsidP="0081018A">
      <w:pPr>
        <w:widowControl w:val="0"/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2072"/>
        <w:gridCol w:w="2154"/>
        <w:gridCol w:w="2154"/>
      </w:tblGrid>
      <w:tr w:rsidR="0081018A" w14:paraId="23EF3063" w14:textId="77777777" w:rsidTr="00894802">
        <w:trPr>
          <w:trHeight w:val="2884"/>
          <w:jc w:val="center"/>
        </w:trPr>
        <w:tc>
          <w:tcPr>
            <w:tcW w:w="3159" w:type="dxa"/>
          </w:tcPr>
          <w:p w14:paraId="2E74BD9A" w14:textId="77777777" w:rsidR="0081018A" w:rsidRPr="008B4D77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Placebom kontrolované klinické skúšania monoterapie</w:t>
            </w:r>
            <w:r>
              <w:rPr>
                <w:noProof/>
                <w:sz w:val="22"/>
                <w:szCs w:val="22"/>
                <w:lang w:val="en-GB" w:eastAsia="en-US"/>
              </w:rPr>
              <w:tab/>
            </w:r>
          </w:p>
          <w:p w14:paraId="4F9A81CE" w14:textId="77777777" w:rsidR="0081018A" w:rsidRPr="00C61B8D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757292E6" w14:textId="77777777" w:rsidR="0081018A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  <w:p w14:paraId="477A844E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2327CD4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5EB9859" w14:textId="2D186EE6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Klinické skúšanie 2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301:</w:t>
            </w:r>
          </w:p>
          <w:p w14:paraId="5A40652C" w14:textId="01330537" w:rsidR="0081018A" w:rsidRPr="00DC580E" w:rsidRDefault="0081018A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mg dvakrát denne (N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=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90)</w:t>
            </w:r>
          </w:p>
          <w:p w14:paraId="737636D4" w14:textId="6364BA4C" w:rsidR="0081018A" w:rsidRPr="00DC580E" w:rsidRDefault="0081018A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Klinické skúšanie 2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384:</w:t>
            </w:r>
          </w:p>
          <w:p w14:paraId="192247CC" w14:textId="7C729A92" w:rsidR="0081018A" w:rsidRPr="00DC580E" w:rsidRDefault="00F6104A" w:rsidP="00C66C84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mg dvakrát denne (N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=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79)</w:t>
            </w:r>
          </w:p>
        </w:tc>
        <w:tc>
          <w:tcPr>
            <w:tcW w:w="2072" w:type="dxa"/>
          </w:tcPr>
          <w:p w14:paraId="53291C6C" w14:textId="77777777" w:rsidR="0081018A" w:rsidRDefault="0081018A" w:rsidP="00894802">
            <w:pPr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Priemerná východisková hodnota HbA</w:t>
            </w:r>
            <w:r w:rsidRPr="00050198">
              <w:rPr>
                <w:b/>
                <w:noProof/>
                <w:sz w:val="22"/>
                <w:szCs w:val="22"/>
                <w:vertAlign w:val="subscript"/>
                <w:lang w:val="en-GB" w:eastAsia="en-US"/>
              </w:rPr>
              <w:t>1c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 (%)</w:t>
            </w:r>
          </w:p>
          <w:p w14:paraId="6B3447BA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FB0AB5F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7AB3EA4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F8EFF56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8,6</w:t>
            </w:r>
          </w:p>
          <w:p w14:paraId="7BE62CFA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8586F80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3BA64EF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0BED9BA" w14:textId="77777777" w:rsidR="0081018A" w:rsidRPr="0005019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8,4</w:t>
            </w:r>
          </w:p>
        </w:tc>
        <w:tc>
          <w:tcPr>
            <w:tcW w:w="2154" w:type="dxa"/>
          </w:tcPr>
          <w:p w14:paraId="54B37130" w14:textId="15D87BF7" w:rsidR="0081018A" w:rsidRDefault="0081018A" w:rsidP="00894802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  <w:lang w:val="en-GB" w:eastAsia="en-US"/>
              </w:rPr>
            </w:pPr>
            <w:r w:rsidRPr="00050198">
              <w:rPr>
                <w:b/>
                <w:noProof/>
                <w:sz w:val="22"/>
                <w:szCs w:val="22"/>
                <w:lang w:val="en-GB" w:eastAsia="en-US"/>
              </w:rPr>
              <w:t>Priemerná zmena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HbA</w:t>
            </w:r>
            <w:r w:rsidRPr="00050198">
              <w:rPr>
                <w:b/>
                <w:noProof/>
                <w:sz w:val="22"/>
                <w:szCs w:val="22"/>
                <w:vertAlign w:val="subscript"/>
                <w:lang w:val="en-GB" w:eastAsia="en-US"/>
              </w:rPr>
              <w:t>1c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 (%)</w:t>
            </w:r>
            <w:r w:rsidR="00C66C84">
              <w:rPr>
                <w:b/>
                <w:noProof/>
                <w:sz w:val="22"/>
                <w:szCs w:val="22"/>
                <w:lang w:val="en-GB" w:eastAsia="en-US"/>
              </w:rPr>
              <w:t xml:space="preserve"> oproti východiskovej hodnote v 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24. týždni</w:t>
            </w:r>
          </w:p>
          <w:p w14:paraId="030A1642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50490F5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B39DC94" w14:textId="1D5BAFBA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</w:t>
            </w:r>
          </w:p>
          <w:p w14:paraId="45CFCE84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503272FF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A7280B2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55C00142" w14:textId="4078F1D2" w:rsidR="0081018A" w:rsidRPr="0005019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0,7</w:t>
            </w:r>
          </w:p>
        </w:tc>
        <w:tc>
          <w:tcPr>
            <w:tcW w:w="2154" w:type="dxa"/>
          </w:tcPr>
          <w:p w14:paraId="41FD1D97" w14:textId="11D9EA6F" w:rsidR="0081018A" w:rsidRDefault="0081018A" w:rsidP="00894802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  <w:lang w:val="en-GB" w:eastAsia="en-US"/>
              </w:rPr>
            </w:pPr>
            <w:r w:rsidRPr="00050198">
              <w:rPr>
                <w:b/>
                <w:noProof/>
                <w:sz w:val="22"/>
                <w:szCs w:val="22"/>
                <w:lang w:val="en-GB" w:eastAsia="en-US"/>
              </w:rPr>
              <w:t>Priemerná zmena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HbA</w:t>
            </w:r>
            <w:r w:rsidRPr="00050198">
              <w:rPr>
                <w:b/>
                <w:noProof/>
                <w:sz w:val="22"/>
                <w:szCs w:val="22"/>
                <w:vertAlign w:val="subscript"/>
                <w:lang w:val="en-GB" w:eastAsia="en-US"/>
              </w:rPr>
              <w:t>1c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 (%) hodnote v 24. t</w:t>
            </w:r>
            <w:r w:rsidR="00F6104A">
              <w:rPr>
                <w:b/>
                <w:noProof/>
                <w:sz w:val="22"/>
                <w:szCs w:val="22"/>
                <w:lang w:val="en-GB" w:eastAsia="en-US"/>
              </w:rPr>
              <w:t>ýždni korigovaná na placebo (95 </w:t>
            </w:r>
            <w:r>
              <w:rPr>
                <w:b/>
                <w:noProof/>
                <w:sz w:val="22"/>
                <w:szCs w:val="22"/>
                <w:lang w:val="en-GB" w:eastAsia="en-US"/>
              </w:rPr>
              <w:t>% IS)</w:t>
            </w:r>
          </w:p>
          <w:p w14:paraId="2664F0D0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97735EE" w14:textId="0C2ADCC9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0,5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0,1)</w:t>
            </w:r>
          </w:p>
          <w:p w14:paraId="3D5CA12F" w14:textId="77777777" w:rsidR="0081018A" w:rsidRPr="0005019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5A06AFB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1634F009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7E93C60" w14:textId="12F48196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0,7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1,1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0,4)</w:t>
            </w:r>
          </w:p>
          <w:p w14:paraId="19BDDDB5" w14:textId="77777777" w:rsidR="0081018A" w:rsidRPr="0005019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</w:tc>
      </w:tr>
      <w:tr w:rsidR="0081018A" w14:paraId="4EC86620" w14:textId="77777777" w:rsidTr="00894802">
        <w:trPr>
          <w:trHeight w:val="498"/>
          <w:jc w:val="center"/>
        </w:trPr>
        <w:tc>
          <w:tcPr>
            <w:tcW w:w="3159" w:type="dxa"/>
          </w:tcPr>
          <w:p w14:paraId="2A201252" w14:textId="77777777" w:rsidR="0081018A" w:rsidRDefault="0081018A" w:rsidP="00894802">
            <w:pPr>
              <w:widowControl w:val="0"/>
              <w:tabs>
                <w:tab w:val="left" w:pos="2186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072" w:type="dxa"/>
          </w:tcPr>
          <w:p w14:paraId="2B6B8ACA" w14:textId="77777777" w:rsidR="0081018A" w:rsidRDefault="0081018A" w:rsidP="00894802">
            <w:pPr>
              <w:widowControl w:val="0"/>
              <w:tabs>
                <w:tab w:val="left" w:pos="2186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4308" w:type="dxa"/>
            <w:gridSpan w:val="2"/>
          </w:tcPr>
          <w:p w14:paraId="57B8274C" w14:textId="4C8E2DCC" w:rsidR="0081018A" w:rsidRDefault="0081018A" w:rsidP="00894802">
            <w:pPr>
              <w:widowControl w:val="0"/>
              <w:tabs>
                <w:tab w:val="left" w:pos="2186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⃰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 xml:space="preserve"> p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</w:t>
            </w:r>
            <w:r w:rsidR="00C66C84">
              <w:rPr>
                <w:noProof/>
                <w:sz w:val="22"/>
                <w:szCs w:val="22"/>
                <w:lang w:val="en-GB" w:eastAsia="en-US"/>
              </w:rPr>
              <w:t>&lt; 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</w:t>
            </w:r>
            <w:r>
              <w:rPr>
                <w:noProof/>
                <w:sz w:val="22"/>
                <w:szCs w:val="22"/>
                <w:lang w:val="en-GB" w:eastAsia="en-US"/>
              </w:rPr>
              <w:t>,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05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pre porovnanie oproti placebu</w:t>
            </w:r>
          </w:p>
        </w:tc>
      </w:tr>
      <w:tr w:rsidR="0081018A" w14:paraId="552962A4" w14:textId="77777777" w:rsidTr="00894802">
        <w:trPr>
          <w:trHeight w:val="2858"/>
          <w:jc w:val="center"/>
        </w:trPr>
        <w:tc>
          <w:tcPr>
            <w:tcW w:w="3159" w:type="dxa"/>
          </w:tcPr>
          <w:p w14:paraId="7902B975" w14:textId="77777777" w:rsidR="0081018A" w:rsidRPr="00DC580E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Klinické skúšania prídavnej/</w:t>
            </w:r>
          </w:p>
          <w:p w14:paraId="7891A38E" w14:textId="77777777" w:rsidR="0081018A" w:rsidRPr="00DC580E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eastAsia="en-US"/>
              </w:rPr>
            </w:pPr>
            <w:r w:rsidRPr="00DC580E">
              <w:rPr>
                <w:b/>
                <w:noProof/>
                <w:sz w:val="22"/>
                <w:szCs w:val="22"/>
                <w:lang w:eastAsia="en-US"/>
              </w:rPr>
              <w:t>kombinovanej terapie</w:t>
            </w:r>
            <w:r w:rsidRPr="00DC580E">
              <w:rPr>
                <w:noProof/>
                <w:sz w:val="22"/>
                <w:szCs w:val="22"/>
                <w:lang w:eastAsia="en-US"/>
              </w:rPr>
              <w:tab/>
            </w:r>
          </w:p>
          <w:p w14:paraId="063C67B7" w14:textId="0E1C16A5" w:rsidR="0081018A" w:rsidRPr="00DC580E" w:rsidRDefault="00C66C84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 </w:t>
            </w:r>
            <w:r w:rsidR="0081018A" w:rsidRPr="00DC580E">
              <w:rPr>
                <w:sz w:val="22"/>
                <w:szCs w:val="22"/>
                <w:lang w:val="de-DE" w:eastAsia="en-US"/>
              </w:rPr>
              <w:t>mg dvakrát denne</w:t>
            </w:r>
          </w:p>
          <w:p w14:paraId="566384F6" w14:textId="0EFB46E2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metformín (N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143)</w:t>
            </w:r>
          </w:p>
          <w:p w14:paraId="42F0B506" w14:textId="46C214A6" w:rsidR="0081018A" w:rsidRPr="00DC580E" w:rsidRDefault="0081018A" w:rsidP="00894802">
            <w:pPr>
              <w:rPr>
                <w:sz w:val="22"/>
                <w:szCs w:val="22"/>
                <w:lang w:val="de-DE"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vildagliptín 50</w:t>
            </w:r>
            <w:r w:rsidR="00C66C84" w:rsidRPr="00DC580E">
              <w:rPr>
                <w:sz w:val="22"/>
                <w:szCs w:val="22"/>
                <w:lang w:val="de-DE" w:eastAsia="en-US"/>
              </w:rPr>
              <w:t> </w:t>
            </w:r>
            <w:r w:rsidRPr="00DC580E">
              <w:rPr>
                <w:sz w:val="22"/>
                <w:szCs w:val="22"/>
                <w:lang w:val="de-DE" w:eastAsia="en-US"/>
              </w:rPr>
              <w:t>mg denne</w:t>
            </w:r>
          </w:p>
          <w:p w14:paraId="275D70FC" w14:textId="63488BE7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val="de-DE"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glimepirid (N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132)</w:t>
            </w:r>
          </w:p>
          <w:p w14:paraId="46C44A2A" w14:textId="45B2205D" w:rsidR="0081018A" w:rsidRPr="00DC580E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vildagliptín 50</w:t>
            </w:r>
            <w:r w:rsidR="00C66C84" w:rsidRPr="00DC580E">
              <w:rPr>
                <w:sz w:val="22"/>
                <w:szCs w:val="22"/>
                <w:lang w:eastAsia="en-US"/>
              </w:rPr>
              <w:t> </w:t>
            </w:r>
            <w:r w:rsidRPr="00DC580E">
              <w:rPr>
                <w:sz w:val="22"/>
                <w:szCs w:val="22"/>
                <w:lang w:eastAsia="en-US"/>
              </w:rPr>
              <w:t>mg dvakrát denne</w:t>
            </w:r>
          </w:p>
          <w:p w14:paraId="735E0632" w14:textId="237C8959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pioglitazón (N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136)</w:t>
            </w:r>
          </w:p>
          <w:p w14:paraId="79209D4D" w14:textId="10E5E7EC" w:rsidR="0081018A" w:rsidRPr="00DC580E" w:rsidRDefault="00C66C84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vildagliptín 50 </w:t>
            </w:r>
            <w:r w:rsidR="0081018A" w:rsidRPr="00DC580E">
              <w:rPr>
                <w:sz w:val="22"/>
                <w:szCs w:val="22"/>
                <w:lang w:eastAsia="en-US"/>
              </w:rPr>
              <w:t>mg dvakrát denne</w:t>
            </w:r>
          </w:p>
          <w:p w14:paraId="733F9DF6" w14:textId="584A31AF" w:rsidR="0081018A" w:rsidRDefault="0081018A" w:rsidP="00894802">
            <w:pPr>
              <w:rPr>
                <w:sz w:val="22"/>
                <w:szCs w:val="22"/>
                <w:lang w:eastAsia="en-US"/>
              </w:rPr>
            </w:pPr>
            <w:r w:rsidRPr="00DC580E">
              <w:rPr>
                <w:sz w:val="22"/>
                <w:szCs w:val="22"/>
                <w:lang w:eastAsia="en-US"/>
              </w:rPr>
              <w:t>+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metformín</w:t>
            </w:r>
            <w:r w:rsidR="00C66C84">
              <w:rPr>
                <w:sz w:val="22"/>
                <w:szCs w:val="22"/>
                <w:lang w:eastAsia="en-US"/>
              </w:rPr>
              <w:t> </w:t>
            </w:r>
            <w:r w:rsidRPr="00DC580E">
              <w:rPr>
                <w:sz w:val="22"/>
                <w:szCs w:val="22"/>
                <w:lang w:eastAsia="en-US"/>
              </w:rPr>
              <w:t>+</w:t>
            </w:r>
            <w:r w:rsidR="00C66C84" w:rsidRPr="00DC580E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glimepirid </w:t>
            </w:r>
          </w:p>
          <w:p w14:paraId="6A9BE478" w14:textId="7AA66913" w:rsidR="0081018A" w:rsidRPr="00365A58" w:rsidRDefault="00C66C84" w:rsidP="00C66C8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(N </w:t>
            </w:r>
            <w:r w:rsidR="0081018A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81018A">
              <w:rPr>
                <w:sz w:val="22"/>
                <w:szCs w:val="22"/>
                <w:lang w:eastAsia="en-US"/>
              </w:rPr>
              <w:t>152)</w:t>
            </w:r>
          </w:p>
        </w:tc>
        <w:tc>
          <w:tcPr>
            <w:tcW w:w="2072" w:type="dxa"/>
          </w:tcPr>
          <w:p w14:paraId="7998C467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74B3AA70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B9E70D1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8,4</w:t>
            </w:r>
          </w:p>
          <w:p w14:paraId="785ACB94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E40DBCF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8,5</w:t>
            </w:r>
          </w:p>
          <w:p w14:paraId="293D7588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35D2BA5F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8,7</w:t>
            </w:r>
          </w:p>
          <w:p w14:paraId="7044B1CA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16658613" w14:textId="77777777" w:rsidR="0081018A" w:rsidRPr="00365A58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8,8</w:t>
            </w:r>
          </w:p>
        </w:tc>
        <w:tc>
          <w:tcPr>
            <w:tcW w:w="2154" w:type="dxa"/>
          </w:tcPr>
          <w:p w14:paraId="4FD54BC3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44C84EE8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5387F6AB" w14:textId="58DB0D83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0,9</w:t>
            </w:r>
          </w:p>
          <w:p w14:paraId="220ED68A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  <w:p w14:paraId="2E492C7F" w14:textId="712BF974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0,6</w:t>
            </w:r>
          </w:p>
          <w:p w14:paraId="483CDF19" w14:textId="77777777" w:rsidR="0081018A" w:rsidRDefault="0081018A" w:rsidP="00894802">
            <w:pPr>
              <w:ind w:firstLine="567"/>
              <w:rPr>
                <w:b/>
                <w:sz w:val="22"/>
                <w:szCs w:val="22"/>
                <w:lang w:val="en-GB" w:eastAsia="en-US"/>
              </w:rPr>
            </w:pPr>
          </w:p>
          <w:p w14:paraId="6247AF8D" w14:textId="7BADF145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1,0</w:t>
            </w:r>
          </w:p>
          <w:p w14:paraId="73269C85" w14:textId="77777777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</w:p>
          <w:p w14:paraId="2B4F9487" w14:textId="5D19F2DD" w:rsidR="0081018A" w:rsidRDefault="0081018A" w:rsidP="00894802">
            <w:pPr>
              <w:ind w:firstLine="567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1,0</w:t>
            </w:r>
          </w:p>
          <w:p w14:paraId="2701BC69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8A5D8EC" w14:textId="77777777" w:rsidR="0081018A" w:rsidRPr="003654D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154" w:type="dxa"/>
          </w:tcPr>
          <w:p w14:paraId="5D7F81DE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7FA5FAF6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1D999CFD" w14:textId="58B59D5C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1,1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1,4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0,8)</w:t>
            </w:r>
          </w:p>
          <w:p w14:paraId="292865DC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DD87B7F" w14:textId="1B1BE7A5" w:rsidR="0081018A" w:rsidRDefault="0081018A" w:rsidP="00894802">
            <w:pPr>
              <w:ind w:hanging="35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0,6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0,9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0,4)</w:t>
            </w:r>
          </w:p>
          <w:p w14:paraId="4506710E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32C0F96" w14:textId="3F2F4803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0,7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0,9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0,4)</w:t>
            </w:r>
          </w:p>
          <w:p w14:paraId="6C5EBDBD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09A1EA1C" w14:textId="5117AB6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0,8 ⃰ (-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1,0</w:t>
            </w:r>
            <w:r w:rsidR="00C66C84">
              <w:rPr>
                <w:sz w:val="22"/>
                <w:szCs w:val="22"/>
                <w:lang w:val="en-GB" w:eastAsia="en-US"/>
              </w:rPr>
              <w:t>;</w:t>
            </w:r>
            <w:r>
              <w:rPr>
                <w:sz w:val="22"/>
                <w:szCs w:val="22"/>
                <w:lang w:val="en-GB" w:eastAsia="en-US"/>
              </w:rPr>
              <w:t xml:space="preserve"> -</w:t>
            </w:r>
            <w:r w:rsidR="00C66C84">
              <w:rPr>
                <w:sz w:val="22"/>
                <w:szCs w:val="22"/>
                <w:lang w:val="en-GB" w:eastAsia="en-US"/>
              </w:rPr>
              <w:t> </w:t>
            </w:r>
            <w:r>
              <w:rPr>
                <w:sz w:val="22"/>
                <w:szCs w:val="22"/>
                <w:lang w:val="en-GB" w:eastAsia="en-US"/>
              </w:rPr>
              <w:t>0,5)</w:t>
            </w:r>
          </w:p>
          <w:p w14:paraId="239EDDC2" w14:textId="77777777" w:rsidR="0081018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  <w:p w14:paraId="20AE2E0D" w14:textId="77777777" w:rsidR="0081018A" w:rsidRPr="003654DA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81018A" w14:paraId="6D197311" w14:textId="77777777" w:rsidTr="00894802">
        <w:trPr>
          <w:trHeight w:val="574"/>
          <w:jc w:val="center"/>
        </w:trPr>
        <w:tc>
          <w:tcPr>
            <w:tcW w:w="3159" w:type="dxa"/>
          </w:tcPr>
          <w:p w14:paraId="2FBA1714" w14:textId="77777777" w:rsidR="0081018A" w:rsidRDefault="0081018A" w:rsidP="00894802">
            <w:pPr>
              <w:widowControl w:val="0"/>
              <w:tabs>
                <w:tab w:val="left" w:pos="0"/>
              </w:tabs>
              <w:rPr>
                <w:b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072" w:type="dxa"/>
          </w:tcPr>
          <w:p w14:paraId="11142A84" w14:textId="77777777" w:rsidR="0081018A" w:rsidRPr="00365A58" w:rsidRDefault="0081018A" w:rsidP="00894802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308" w:type="dxa"/>
            <w:gridSpan w:val="2"/>
          </w:tcPr>
          <w:p w14:paraId="4DAFD209" w14:textId="5D759071" w:rsidR="0081018A" w:rsidRPr="00365A58" w:rsidRDefault="0081018A" w:rsidP="00C66C84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⃰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 xml:space="preserve"> p</w:t>
            </w:r>
            <w:r w:rsidR="00F6104A">
              <w:rPr>
                <w:noProof/>
                <w:sz w:val="22"/>
                <w:szCs w:val="22"/>
                <w:lang w:val="en-GB" w:eastAsia="en-US"/>
              </w:rPr>
              <w:t> 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&lt;</w:t>
            </w:r>
            <w:r w:rsidR="00C66C84">
              <w:rPr>
                <w:noProof/>
                <w:sz w:val="22"/>
                <w:szCs w:val="22"/>
                <w:lang w:val="en-GB" w:eastAsia="en-US"/>
              </w:rPr>
              <w:t> 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</w:t>
            </w:r>
            <w:r>
              <w:rPr>
                <w:noProof/>
                <w:sz w:val="22"/>
                <w:szCs w:val="22"/>
                <w:lang w:val="en-GB" w:eastAsia="en-US"/>
              </w:rPr>
              <w:t>,</w:t>
            </w:r>
            <w:r w:rsidRPr="00B76501">
              <w:rPr>
                <w:noProof/>
                <w:sz w:val="22"/>
                <w:szCs w:val="22"/>
                <w:lang w:val="en-GB" w:eastAsia="en-US"/>
              </w:rPr>
              <w:t>05</w:t>
            </w:r>
            <w:r>
              <w:rPr>
                <w:noProof/>
                <w:sz w:val="22"/>
                <w:szCs w:val="22"/>
                <w:lang w:val="en-GB" w:eastAsia="en-US"/>
              </w:rPr>
              <w:t xml:space="preserve"> pre porovnanie oproti placebu </w:t>
            </w:r>
            <w:r>
              <w:rPr>
                <w:sz w:val="22"/>
                <w:szCs w:val="22"/>
                <w:lang w:val="en-US" w:eastAsia="en-US"/>
              </w:rPr>
              <w:t>+</w:t>
            </w:r>
            <w:r>
              <w:rPr>
                <w:sz w:val="22"/>
                <w:szCs w:val="22"/>
                <w:lang w:eastAsia="en-US"/>
              </w:rPr>
              <w:t xml:space="preserve"> komparátoru</w:t>
            </w:r>
          </w:p>
        </w:tc>
      </w:tr>
    </w:tbl>
    <w:p w14:paraId="04603E2D" w14:textId="77777777" w:rsidR="0081018A" w:rsidRPr="004D1FDE" w:rsidRDefault="0081018A" w:rsidP="0081018A">
      <w:pPr>
        <w:rPr>
          <w:sz w:val="22"/>
          <w:szCs w:val="22"/>
        </w:rPr>
      </w:pPr>
    </w:p>
    <w:p w14:paraId="7B3E0682" w14:textId="77777777" w:rsidR="0081018A" w:rsidRDefault="0081018A" w:rsidP="0081018A">
      <w:pPr>
        <w:rPr>
          <w:sz w:val="22"/>
          <w:szCs w:val="22"/>
          <w:u w:val="single"/>
        </w:rPr>
      </w:pPr>
    </w:p>
    <w:p w14:paraId="158C91FB" w14:textId="77777777" w:rsidR="0081018A" w:rsidRDefault="0081018A" w:rsidP="00810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14:paraId="4CC8FB43" w14:textId="14E9FBAB" w:rsidR="0081018A" w:rsidRPr="00D25488" w:rsidRDefault="00F6104A" w:rsidP="0081018A">
      <w:pPr>
        <w:rPr>
          <w:sz w:val="22"/>
          <w:szCs w:val="22"/>
        </w:rPr>
      </w:pPr>
      <w:r>
        <w:rPr>
          <w:sz w:val="22"/>
          <w:szCs w:val="22"/>
        </w:rPr>
        <w:t>Európska agentúra pre </w:t>
      </w:r>
      <w:r w:rsidR="0081018A" w:rsidRPr="00D25488">
        <w:rPr>
          <w:sz w:val="22"/>
          <w:szCs w:val="22"/>
        </w:rPr>
        <w:t>lieky udelila výnimku z povinnosti predložiť výsl</w:t>
      </w:r>
      <w:r w:rsidR="00070D49">
        <w:rPr>
          <w:sz w:val="22"/>
          <w:szCs w:val="22"/>
        </w:rPr>
        <w:t>edky štúdií s vildagliptínom vo </w:t>
      </w:r>
      <w:r w:rsidR="0081018A" w:rsidRPr="00D25488">
        <w:rPr>
          <w:sz w:val="22"/>
          <w:szCs w:val="22"/>
        </w:rPr>
        <w:t>všetkých podskupi</w:t>
      </w:r>
      <w:r>
        <w:rPr>
          <w:sz w:val="22"/>
          <w:szCs w:val="22"/>
        </w:rPr>
        <w:t>nách pediatrickej populácie pre </w:t>
      </w:r>
      <w:r w:rsidR="0081018A" w:rsidRPr="00D25488">
        <w:rPr>
          <w:sz w:val="22"/>
          <w:szCs w:val="22"/>
        </w:rPr>
        <w:t xml:space="preserve">diabetes mellitus 2. </w:t>
      </w:r>
      <w:r w:rsidR="0081018A">
        <w:rPr>
          <w:sz w:val="22"/>
          <w:szCs w:val="22"/>
        </w:rPr>
        <w:t>t</w:t>
      </w:r>
      <w:r w:rsidR="0081018A" w:rsidRPr="00D25488">
        <w:rPr>
          <w:sz w:val="22"/>
          <w:szCs w:val="22"/>
        </w:rPr>
        <w:t>ypu (informácie o použití v pediatrickej populácii, pozri časť 4.2).</w:t>
      </w:r>
    </w:p>
    <w:p w14:paraId="555C1234" w14:textId="77777777" w:rsidR="0081018A" w:rsidRDefault="0081018A" w:rsidP="0081018A">
      <w:pPr>
        <w:rPr>
          <w:sz w:val="22"/>
          <w:szCs w:val="22"/>
          <w:u w:val="single"/>
        </w:rPr>
      </w:pPr>
    </w:p>
    <w:p w14:paraId="48333F10" w14:textId="77777777" w:rsidR="0081018A" w:rsidRDefault="0081018A" w:rsidP="0081018A">
      <w:pPr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Pr="00D25488">
        <w:rPr>
          <w:b/>
          <w:sz w:val="22"/>
          <w:szCs w:val="22"/>
        </w:rPr>
        <w:t>2 Farmakokinetické vlastnosti</w:t>
      </w:r>
    </w:p>
    <w:p w14:paraId="71073169" w14:textId="77777777" w:rsidR="0081018A" w:rsidRPr="00D25488" w:rsidRDefault="0081018A" w:rsidP="0081018A">
      <w:pPr>
        <w:rPr>
          <w:b/>
          <w:sz w:val="22"/>
          <w:szCs w:val="22"/>
        </w:rPr>
      </w:pPr>
    </w:p>
    <w:p w14:paraId="3BFF78DD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Absorpcia</w:t>
      </w:r>
    </w:p>
    <w:p w14:paraId="52CC8988" w14:textId="600BB26A" w:rsidR="0081018A" w:rsidRPr="00E81A23" w:rsidRDefault="0081018A" w:rsidP="0081018A">
      <w:pPr>
        <w:rPr>
          <w:sz w:val="22"/>
          <w:szCs w:val="22"/>
        </w:rPr>
      </w:pPr>
      <w:r w:rsidRPr="00E81A23">
        <w:rPr>
          <w:sz w:val="22"/>
          <w:szCs w:val="22"/>
        </w:rPr>
        <w:t>Po perorálnom podaní nalačno sa vildagliptín rýchlo vstrebáva 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maximálna plazmatická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koncentrácia</w:t>
      </w:r>
      <w:r>
        <w:rPr>
          <w:sz w:val="22"/>
          <w:szCs w:val="22"/>
        </w:rPr>
        <w:t xml:space="preserve"> </w:t>
      </w:r>
      <w:r w:rsidR="00070D49">
        <w:rPr>
          <w:sz w:val="22"/>
          <w:szCs w:val="22"/>
        </w:rPr>
        <w:t>sa pozoruje po </w:t>
      </w:r>
      <w:r w:rsidRPr="00E81A23">
        <w:rPr>
          <w:sz w:val="22"/>
          <w:szCs w:val="22"/>
        </w:rPr>
        <w:t>1,7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hodiny. Jedlo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 xml:space="preserve">mierne </w:t>
      </w:r>
      <w:r>
        <w:rPr>
          <w:sz w:val="22"/>
          <w:szCs w:val="22"/>
        </w:rPr>
        <w:t>predlžuje čas</w:t>
      </w:r>
      <w:r w:rsidRPr="00E81A23">
        <w:rPr>
          <w:sz w:val="22"/>
          <w:szCs w:val="22"/>
        </w:rPr>
        <w:t xml:space="preserve"> dosiahnutia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maximálnej</w:t>
      </w:r>
      <w:r>
        <w:rPr>
          <w:sz w:val="22"/>
          <w:szCs w:val="22"/>
        </w:rPr>
        <w:t xml:space="preserve"> </w:t>
      </w:r>
      <w:r w:rsidR="00070D49">
        <w:rPr>
          <w:sz w:val="22"/>
          <w:szCs w:val="22"/>
        </w:rPr>
        <w:t>plazmatickej koncentrácie na </w:t>
      </w:r>
      <w:r w:rsidRPr="00E81A23">
        <w:rPr>
          <w:sz w:val="22"/>
          <w:szCs w:val="22"/>
        </w:rPr>
        <w:t>2,5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hodiny, ale nemení celkovú expozíciu (AUC). Podanie vildagliptínu s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jedlom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viedlo k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poklesu C</w:t>
      </w:r>
      <w:r w:rsidRPr="003834ED">
        <w:rPr>
          <w:sz w:val="22"/>
          <w:szCs w:val="22"/>
          <w:vertAlign w:val="subscript"/>
        </w:rPr>
        <w:t>max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(19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%). Rozsah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zmeny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 xml:space="preserve">však nie je klinicky významný, takže </w:t>
      </w:r>
      <w:r w:rsidR="00070D49" w:rsidRPr="00E81A23">
        <w:rPr>
          <w:sz w:val="22"/>
          <w:szCs w:val="22"/>
        </w:rPr>
        <w:t>vildagliptín</w:t>
      </w:r>
      <w:r w:rsidRPr="00E81A23">
        <w:rPr>
          <w:sz w:val="22"/>
          <w:szCs w:val="22"/>
        </w:rPr>
        <w:t xml:space="preserve"> možno užívať s</w:t>
      </w:r>
      <w:r>
        <w:rPr>
          <w:sz w:val="22"/>
          <w:szCs w:val="22"/>
        </w:rPr>
        <w:t> </w:t>
      </w:r>
      <w:r w:rsidR="00F6104A">
        <w:rPr>
          <w:sz w:val="22"/>
          <w:szCs w:val="22"/>
        </w:rPr>
        <w:t>jedlom alebo bez </w:t>
      </w:r>
      <w:r w:rsidRPr="00E81A23">
        <w:rPr>
          <w:sz w:val="22"/>
          <w:szCs w:val="22"/>
        </w:rPr>
        <w:t>neho.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Absolútna biologická dostupnosť je 85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%.</w:t>
      </w:r>
    </w:p>
    <w:p w14:paraId="0BC4F8AE" w14:textId="77777777" w:rsidR="0081018A" w:rsidRDefault="0081018A" w:rsidP="0081018A">
      <w:pPr>
        <w:rPr>
          <w:sz w:val="22"/>
          <w:szCs w:val="22"/>
          <w:u w:val="single"/>
        </w:rPr>
      </w:pPr>
    </w:p>
    <w:p w14:paraId="1E84EF9F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Distribúcia</w:t>
      </w:r>
    </w:p>
    <w:p w14:paraId="6CE97A61" w14:textId="2A0DB986" w:rsidR="0081018A" w:rsidRPr="00E81A23" w:rsidRDefault="00F6104A" w:rsidP="0081018A">
      <w:pPr>
        <w:rPr>
          <w:sz w:val="22"/>
          <w:szCs w:val="22"/>
        </w:rPr>
      </w:pPr>
      <w:r>
        <w:rPr>
          <w:sz w:val="22"/>
          <w:szCs w:val="22"/>
        </w:rPr>
        <w:t>Väzba vildagliptínu na </w:t>
      </w:r>
      <w:r w:rsidR="0081018A" w:rsidRPr="00E81A23">
        <w:rPr>
          <w:sz w:val="22"/>
          <w:szCs w:val="22"/>
        </w:rPr>
        <w:t>bielkoviny plazmy je nízka (9,3</w:t>
      </w:r>
      <w:r w:rsidR="00070D49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%) a</w:t>
      </w:r>
      <w:r w:rsidR="0081018A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vildagliptín sa rovnako distribuuje do</w:t>
      </w:r>
      <w:r w:rsidR="00070D49">
        <w:rPr>
          <w:sz w:val="22"/>
          <w:szCs w:val="22"/>
        </w:rPr>
        <w:t> </w:t>
      </w:r>
      <w:r>
        <w:rPr>
          <w:sz w:val="22"/>
          <w:szCs w:val="22"/>
        </w:rPr>
        <w:t>p</w:t>
      </w:r>
      <w:r w:rsidR="0081018A" w:rsidRPr="00E81A23">
        <w:rPr>
          <w:sz w:val="22"/>
          <w:szCs w:val="22"/>
        </w:rPr>
        <w:t>lazmy</w:t>
      </w:r>
      <w:r w:rsidR="0081018A">
        <w:rPr>
          <w:sz w:val="22"/>
          <w:szCs w:val="22"/>
        </w:rPr>
        <w:t xml:space="preserve"> </w:t>
      </w:r>
      <w:r w:rsidR="0081018A" w:rsidRPr="00E81A23">
        <w:rPr>
          <w:sz w:val="22"/>
          <w:szCs w:val="22"/>
        </w:rPr>
        <w:t>a</w:t>
      </w:r>
      <w:r w:rsidR="00070D49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erytrocytov. Priemerný objem distribúcie vildagliptínu v</w:t>
      </w:r>
      <w:r w:rsidR="0081018A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rovnovážnom</w:t>
      </w:r>
      <w:r w:rsidR="0081018A">
        <w:rPr>
          <w:sz w:val="22"/>
          <w:szCs w:val="22"/>
        </w:rPr>
        <w:t xml:space="preserve"> </w:t>
      </w:r>
      <w:r w:rsidR="0081018A" w:rsidRPr="00E81A23">
        <w:rPr>
          <w:sz w:val="22"/>
          <w:szCs w:val="22"/>
        </w:rPr>
        <w:t>stave po</w:t>
      </w:r>
      <w:r w:rsidR="00070D49">
        <w:rPr>
          <w:sz w:val="22"/>
          <w:szCs w:val="22"/>
        </w:rPr>
        <w:t> </w:t>
      </w:r>
      <w:r w:rsidR="0081018A" w:rsidRPr="00E81A23">
        <w:rPr>
          <w:sz w:val="22"/>
          <w:szCs w:val="22"/>
        </w:rPr>
        <w:t>intravenóznom podaní (Vss) je 71</w:t>
      </w:r>
      <w:r>
        <w:rPr>
          <w:sz w:val="22"/>
          <w:szCs w:val="22"/>
        </w:rPr>
        <w:t> </w:t>
      </w:r>
      <w:r w:rsidR="00070D49">
        <w:rPr>
          <w:sz w:val="22"/>
          <w:szCs w:val="22"/>
        </w:rPr>
        <w:t>litrov, čo poukazuje na </w:t>
      </w:r>
      <w:r w:rsidR="0081018A" w:rsidRPr="00E81A23">
        <w:rPr>
          <w:sz w:val="22"/>
          <w:szCs w:val="22"/>
        </w:rPr>
        <w:t>extravaskulárnu distribúciu</w:t>
      </w:r>
      <w:r w:rsidR="0081018A">
        <w:rPr>
          <w:sz w:val="22"/>
          <w:szCs w:val="22"/>
        </w:rPr>
        <w:t>.</w:t>
      </w:r>
    </w:p>
    <w:p w14:paraId="5408D05A" w14:textId="77777777" w:rsidR="0081018A" w:rsidRPr="004D1FDE" w:rsidRDefault="0081018A" w:rsidP="0081018A">
      <w:pPr>
        <w:rPr>
          <w:sz w:val="22"/>
          <w:szCs w:val="22"/>
        </w:rPr>
      </w:pPr>
    </w:p>
    <w:p w14:paraId="712DE2EF" w14:textId="77777777" w:rsidR="0081018A" w:rsidRPr="004D1FDE" w:rsidRDefault="0081018A" w:rsidP="0081018A">
      <w:pPr>
        <w:snapToGrid w:val="0"/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Biotransformácia</w:t>
      </w:r>
    </w:p>
    <w:p w14:paraId="59E5409D" w14:textId="77777777" w:rsidR="00070D49" w:rsidRDefault="0081018A" w:rsidP="0081018A">
      <w:pPr>
        <w:rPr>
          <w:sz w:val="22"/>
          <w:szCs w:val="22"/>
        </w:rPr>
      </w:pPr>
      <w:r w:rsidRPr="00E81A23">
        <w:rPr>
          <w:sz w:val="22"/>
          <w:szCs w:val="22"/>
        </w:rPr>
        <w:t>Metabolizmus je hlavnou dr</w:t>
      </w:r>
      <w:r w:rsidR="00070D49">
        <w:rPr>
          <w:sz w:val="22"/>
          <w:szCs w:val="22"/>
        </w:rPr>
        <w:t>áhou eliminácie vildagliptínu u </w:t>
      </w:r>
      <w:r w:rsidRPr="00E81A23">
        <w:rPr>
          <w:sz w:val="22"/>
          <w:szCs w:val="22"/>
        </w:rPr>
        <w:t>ľudí, pripadá naň 69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 dávky. Hlavný metabolit (LAY 151) je farmakologicky inaktívny produkt hydrolýzy kyanoskupiny molekuly, na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ktorý pripadá 57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 dávky, po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ňom nasledujú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produkty glukuronidácie (BQS867) 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hydrolýzy amidu (4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% dávky). Údaje o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 xml:space="preserve">mikrozómoch ľudskej obličky </w:t>
      </w:r>
      <w:r w:rsidRPr="00F6104A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naznačujú, že oblička môže byť jedným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hlavných orgánov prispievajúcich k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hydrolýze vildagliptínu na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jeho hlavn</w:t>
      </w:r>
      <w:r>
        <w:rPr>
          <w:sz w:val="22"/>
          <w:szCs w:val="22"/>
        </w:rPr>
        <w:t xml:space="preserve">ý inaktívny </w:t>
      </w:r>
      <w:r w:rsidR="00070D49">
        <w:rPr>
          <w:sz w:val="22"/>
          <w:szCs w:val="22"/>
        </w:rPr>
        <w:t>metabolit LAY151. K </w:t>
      </w:r>
      <w:r w:rsidRPr="00E81A23">
        <w:rPr>
          <w:sz w:val="22"/>
          <w:szCs w:val="22"/>
        </w:rPr>
        <w:t>hydrolýze vildagliptínu čiastočne prispieva DPP-4 podľa štúdie</w:t>
      </w:r>
      <w:r>
        <w:rPr>
          <w:sz w:val="22"/>
          <w:szCs w:val="22"/>
        </w:rPr>
        <w:t xml:space="preserve"> </w:t>
      </w:r>
      <w:r w:rsidRPr="00503042">
        <w:rPr>
          <w:i/>
          <w:sz w:val="22"/>
          <w:szCs w:val="22"/>
        </w:rPr>
        <w:t>in vivo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na</w:t>
      </w:r>
    </w:p>
    <w:p w14:paraId="0867EDA7" w14:textId="66858E53" w:rsidR="0081018A" w:rsidRPr="00503042" w:rsidRDefault="0081018A" w:rsidP="0081018A">
      <w:pPr>
        <w:rPr>
          <w:i/>
          <w:sz w:val="22"/>
          <w:szCs w:val="22"/>
        </w:rPr>
      </w:pPr>
      <w:r w:rsidRPr="00E81A23">
        <w:rPr>
          <w:sz w:val="22"/>
          <w:szCs w:val="22"/>
        </w:rPr>
        <w:t>potkanoch s</w:t>
      </w:r>
      <w:r>
        <w:rPr>
          <w:sz w:val="22"/>
          <w:szCs w:val="22"/>
        </w:rPr>
        <w:t> </w:t>
      </w:r>
      <w:r w:rsidRPr="00E81A23">
        <w:rPr>
          <w:sz w:val="22"/>
          <w:szCs w:val="22"/>
        </w:rPr>
        <w:t>deficitom DPP-4.Vildagliptín sa v</w:t>
      </w:r>
      <w:r w:rsidR="00070D49">
        <w:rPr>
          <w:sz w:val="22"/>
          <w:szCs w:val="22"/>
        </w:rPr>
        <w:t> </w:t>
      </w:r>
      <w:r w:rsidRPr="00E81A23">
        <w:rPr>
          <w:sz w:val="22"/>
          <w:szCs w:val="22"/>
        </w:rPr>
        <w:t>kvantifikovateľnom rozsahu nemetaboliz</w:t>
      </w:r>
      <w:r>
        <w:rPr>
          <w:sz w:val="22"/>
          <w:szCs w:val="22"/>
        </w:rPr>
        <w:t>uje prostredníctvom enzýmov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450. Preto sa nepredpokladá, že by metabolický klírens vildagliptínu ovplyvňovali sú</w:t>
      </w:r>
      <w:r>
        <w:rPr>
          <w:sz w:val="22"/>
          <w:szCs w:val="22"/>
        </w:rPr>
        <w:t>bež</w:t>
      </w:r>
      <w:r w:rsidRPr="00E81A23">
        <w:rPr>
          <w:sz w:val="22"/>
          <w:szCs w:val="22"/>
        </w:rPr>
        <w:t>ne podávané liečivá, ktoré sú inhibítormi a/alebo induktormi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 xml:space="preserve">450. Štúdie </w:t>
      </w:r>
      <w:r w:rsidRPr="00503042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ukázali, že vildagliptín neinhibuje/neindukuje enzýmy CYP 450. Preto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nie je pravdepodobné, že by vildagliptín ovplyvňoval metabolický klírens sú</w:t>
      </w:r>
      <w:r>
        <w:rPr>
          <w:sz w:val="22"/>
          <w:szCs w:val="22"/>
        </w:rPr>
        <w:t>bež</w:t>
      </w:r>
      <w:r w:rsidRPr="00E81A23">
        <w:rPr>
          <w:sz w:val="22"/>
          <w:szCs w:val="22"/>
        </w:rPr>
        <w:t>ne podávaných liečiv, ktoré sa metabolizujú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prostredníctvom</w:t>
      </w:r>
      <w:r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1A2,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2C8,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2C9,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2C19,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2D6, CYP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2E1 alebo CY</w:t>
      </w:r>
      <w:r w:rsidR="00503042">
        <w:rPr>
          <w:sz w:val="22"/>
          <w:szCs w:val="22"/>
        </w:rPr>
        <w:t xml:space="preserve"> </w:t>
      </w:r>
      <w:r w:rsidRPr="00E81A23">
        <w:rPr>
          <w:sz w:val="22"/>
          <w:szCs w:val="22"/>
        </w:rPr>
        <w:t>P3A4/5.</w:t>
      </w:r>
    </w:p>
    <w:p w14:paraId="1614D8D7" w14:textId="77777777" w:rsidR="0081018A" w:rsidRPr="004D1FDE" w:rsidRDefault="0081018A" w:rsidP="0081018A">
      <w:pPr>
        <w:rPr>
          <w:sz w:val="22"/>
          <w:szCs w:val="22"/>
        </w:rPr>
      </w:pPr>
    </w:p>
    <w:p w14:paraId="38CF7A49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  <w:u w:val="single"/>
        </w:rPr>
        <w:t>Eliminácia</w:t>
      </w:r>
    </w:p>
    <w:p w14:paraId="0A93159E" w14:textId="2F3B2A76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Po perorálnom podaní vildagliptínu značeného [14C] sa približne 85</w:t>
      </w:r>
      <w:r w:rsidR="00503042">
        <w:rPr>
          <w:sz w:val="22"/>
          <w:szCs w:val="22"/>
        </w:rPr>
        <w:t> % dávky vylúčilo do </w:t>
      </w:r>
      <w:r w:rsidRPr="00931337">
        <w:rPr>
          <w:sz w:val="22"/>
          <w:szCs w:val="22"/>
        </w:rPr>
        <w:t>moču a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15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% dávky sa našlo</w:t>
      </w:r>
      <w:r>
        <w:rPr>
          <w:sz w:val="22"/>
          <w:szCs w:val="22"/>
        </w:rPr>
        <w:t xml:space="preserve"> </w:t>
      </w:r>
      <w:r w:rsidR="00503042">
        <w:rPr>
          <w:sz w:val="22"/>
          <w:szCs w:val="22"/>
        </w:rPr>
        <w:t>v stolici. Na </w:t>
      </w:r>
      <w:r w:rsidRPr="00931337">
        <w:rPr>
          <w:sz w:val="22"/>
          <w:szCs w:val="22"/>
        </w:rPr>
        <w:t>vylučovanie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nezmeneného vildagliptínu obličkami po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perorálnom podaní pripadá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23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% dávky.</w:t>
      </w:r>
      <w:r>
        <w:rPr>
          <w:sz w:val="22"/>
          <w:szCs w:val="22"/>
        </w:rPr>
        <w:t xml:space="preserve"> </w:t>
      </w:r>
      <w:r w:rsidR="00503042">
        <w:rPr>
          <w:sz w:val="22"/>
          <w:szCs w:val="22"/>
        </w:rPr>
        <w:t>Po </w:t>
      </w:r>
      <w:r w:rsidRPr="00931337">
        <w:rPr>
          <w:sz w:val="22"/>
          <w:szCs w:val="22"/>
        </w:rPr>
        <w:t>intravenóznom podaní vildagliptínu zdravým osobám bol celkový plazmatický klírens 41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l/hod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obličkový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klírens 13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l/hod. Priemerný polčas eliminácie po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intravenóznom podaní je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približne 2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hodiny. Polčas</w:t>
      </w:r>
      <w:r w:rsidR="0031681E">
        <w:rPr>
          <w:sz w:val="22"/>
          <w:szCs w:val="22"/>
        </w:rPr>
        <w:t xml:space="preserve"> eliminácie po </w:t>
      </w:r>
      <w:r w:rsidRPr="00931337">
        <w:rPr>
          <w:sz w:val="22"/>
          <w:szCs w:val="22"/>
        </w:rPr>
        <w:t>perorálnom podaní je približne 3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hodiny.</w:t>
      </w:r>
    </w:p>
    <w:p w14:paraId="47B112BC" w14:textId="77777777" w:rsidR="0081018A" w:rsidRDefault="0081018A" w:rsidP="0081018A">
      <w:pPr>
        <w:rPr>
          <w:sz w:val="22"/>
          <w:szCs w:val="22"/>
        </w:rPr>
      </w:pPr>
    </w:p>
    <w:p w14:paraId="6F2882F2" w14:textId="77777777" w:rsidR="0081018A" w:rsidRDefault="0081018A" w:rsidP="0081018A">
      <w:pPr>
        <w:rPr>
          <w:sz w:val="22"/>
          <w:szCs w:val="22"/>
          <w:u w:val="single"/>
        </w:rPr>
      </w:pPr>
      <w:r w:rsidRPr="00931337">
        <w:rPr>
          <w:sz w:val="22"/>
          <w:szCs w:val="22"/>
          <w:u w:val="single"/>
        </w:rPr>
        <w:t>Linearita/nelinearita</w:t>
      </w:r>
    </w:p>
    <w:p w14:paraId="00347727" w14:textId="62BF9689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C</w:t>
      </w:r>
      <w:r w:rsidRPr="003834ED">
        <w:rPr>
          <w:sz w:val="22"/>
          <w:szCs w:val="22"/>
          <w:vertAlign w:val="subscript"/>
        </w:rPr>
        <w:t>max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vildagliptínu a</w:t>
      </w:r>
      <w:r w:rsidR="00503042">
        <w:rPr>
          <w:sz w:val="22"/>
          <w:szCs w:val="22"/>
        </w:rPr>
        <w:t> plocha pod </w:t>
      </w:r>
      <w:r w:rsidRPr="00931337">
        <w:rPr>
          <w:sz w:val="22"/>
          <w:szCs w:val="22"/>
        </w:rPr>
        <w:t>krivkou plazmatickej koncentrácie v</w:t>
      </w:r>
      <w:r w:rsidR="00503042">
        <w:rPr>
          <w:sz w:val="22"/>
          <w:szCs w:val="22"/>
        </w:rPr>
        <w:t> závislosti od </w:t>
      </w:r>
      <w:r w:rsidRPr="00931337">
        <w:rPr>
          <w:sz w:val="22"/>
          <w:szCs w:val="22"/>
        </w:rPr>
        <w:t>času (AUC) sa v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rozmedzí terapeutických dávok zväčšili približne úmerne veľkosti dávky.</w:t>
      </w:r>
    </w:p>
    <w:p w14:paraId="77CBC2BF" w14:textId="77777777" w:rsidR="0081018A" w:rsidRDefault="0081018A" w:rsidP="0081018A">
      <w:pPr>
        <w:rPr>
          <w:sz w:val="22"/>
          <w:szCs w:val="22"/>
        </w:rPr>
      </w:pPr>
    </w:p>
    <w:p w14:paraId="5EFB0057" w14:textId="77777777" w:rsidR="0081018A" w:rsidRPr="00931337" w:rsidRDefault="0081018A" w:rsidP="0081018A">
      <w:pPr>
        <w:rPr>
          <w:sz w:val="22"/>
          <w:szCs w:val="22"/>
          <w:u w:val="single"/>
        </w:rPr>
      </w:pPr>
      <w:r w:rsidRPr="00931337">
        <w:rPr>
          <w:sz w:val="22"/>
          <w:szCs w:val="22"/>
          <w:u w:val="single"/>
        </w:rPr>
        <w:t>Charakteristika u</w:t>
      </w:r>
      <w:r>
        <w:rPr>
          <w:sz w:val="22"/>
          <w:szCs w:val="22"/>
          <w:u w:val="single"/>
        </w:rPr>
        <w:t xml:space="preserve"> </w:t>
      </w:r>
      <w:r w:rsidRPr="00931337">
        <w:rPr>
          <w:sz w:val="22"/>
          <w:szCs w:val="22"/>
          <w:u w:val="single"/>
        </w:rPr>
        <w:t>osobitných skupín pacientov</w:t>
      </w:r>
    </w:p>
    <w:p w14:paraId="5E48E17F" w14:textId="77777777" w:rsidR="0081018A" w:rsidRPr="0031681E" w:rsidRDefault="0081018A" w:rsidP="0081018A">
      <w:pPr>
        <w:rPr>
          <w:i/>
          <w:sz w:val="22"/>
          <w:szCs w:val="22"/>
          <w:u w:val="single"/>
        </w:rPr>
      </w:pPr>
      <w:r w:rsidRPr="0031681E">
        <w:rPr>
          <w:i/>
          <w:sz w:val="22"/>
          <w:szCs w:val="22"/>
          <w:u w:val="single"/>
        </w:rPr>
        <w:t>Pohlavie</w:t>
      </w:r>
    </w:p>
    <w:p w14:paraId="2CFFA173" w14:textId="1BD03781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Nepozorovali sa žiadne klinicky významné</w:t>
      </w:r>
      <w:r>
        <w:rPr>
          <w:sz w:val="22"/>
          <w:szCs w:val="22"/>
        </w:rPr>
        <w:t xml:space="preserve"> </w:t>
      </w:r>
      <w:r w:rsidR="00503042">
        <w:rPr>
          <w:sz w:val="22"/>
          <w:szCs w:val="22"/>
        </w:rPr>
        <w:t>rozdiely vo </w:t>
      </w:r>
      <w:r w:rsidRPr="00931337">
        <w:rPr>
          <w:sz w:val="22"/>
          <w:szCs w:val="22"/>
        </w:rPr>
        <w:t>farmakokinetike vildagliptínu medzi zdravými mužmi a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ženami v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rámci širokého rozmedzia veku a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indexu telesnej hmotnosti (BMI). P</w:t>
      </w:r>
      <w:r w:rsidR="00503042">
        <w:rPr>
          <w:sz w:val="22"/>
          <w:szCs w:val="22"/>
        </w:rPr>
        <w:t>ohlavie nemá vplyv na </w:t>
      </w:r>
      <w:r>
        <w:rPr>
          <w:sz w:val="22"/>
          <w:szCs w:val="22"/>
        </w:rPr>
        <w:t xml:space="preserve">inhibíciu </w:t>
      </w:r>
      <w:r w:rsidRPr="00931337">
        <w:rPr>
          <w:sz w:val="22"/>
          <w:szCs w:val="22"/>
        </w:rPr>
        <w:t>DPP-4 vildagliptínom.</w:t>
      </w:r>
    </w:p>
    <w:p w14:paraId="65E18A39" w14:textId="77777777" w:rsidR="0081018A" w:rsidRDefault="0081018A" w:rsidP="0081018A">
      <w:pPr>
        <w:rPr>
          <w:sz w:val="22"/>
          <w:szCs w:val="22"/>
        </w:rPr>
      </w:pPr>
    </w:p>
    <w:p w14:paraId="1880978F" w14:textId="77777777" w:rsidR="0081018A" w:rsidRPr="0031681E" w:rsidRDefault="0081018A" w:rsidP="0081018A">
      <w:pPr>
        <w:rPr>
          <w:i/>
          <w:sz w:val="22"/>
          <w:szCs w:val="22"/>
          <w:u w:val="single"/>
        </w:rPr>
      </w:pPr>
      <w:r w:rsidRPr="0031681E">
        <w:rPr>
          <w:i/>
          <w:sz w:val="22"/>
          <w:szCs w:val="22"/>
          <w:u w:val="single"/>
        </w:rPr>
        <w:t>Starší ľudia</w:t>
      </w:r>
    </w:p>
    <w:p w14:paraId="1842FD2D" w14:textId="030C4736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zdravých starších ľudí (≥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70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rokov) sa celková expozícia vildagliptínu (100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mg raz denne) zvýšila o</w:t>
      </w:r>
      <w:r w:rsidR="00503042">
        <w:rPr>
          <w:sz w:val="22"/>
          <w:szCs w:val="22"/>
        </w:rPr>
        <w:t> </w:t>
      </w:r>
      <w:r w:rsidRPr="00931337">
        <w:rPr>
          <w:sz w:val="22"/>
          <w:szCs w:val="22"/>
        </w:rPr>
        <w:t>32</w:t>
      </w:r>
      <w:r w:rsidR="00503042">
        <w:rPr>
          <w:sz w:val="22"/>
          <w:szCs w:val="22"/>
        </w:rPr>
        <w:t> % a </w:t>
      </w:r>
      <w:r w:rsidRPr="00931337">
        <w:rPr>
          <w:sz w:val="22"/>
          <w:szCs w:val="22"/>
        </w:rPr>
        <w:t>maximálna plazmatická koncentrácia 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18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mladými zdravými osobami (18</w:t>
      </w:r>
      <w:r w:rsidR="00C61EE3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40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rokov). Tieto zmeny sa však nepovažujú za klinicky významné</w:t>
      </w:r>
      <w:r>
        <w:rPr>
          <w:sz w:val="22"/>
          <w:szCs w:val="22"/>
        </w:rPr>
        <w:t>.</w:t>
      </w:r>
      <w:r w:rsidRPr="00931337">
        <w:rPr>
          <w:sz w:val="22"/>
          <w:szCs w:val="22"/>
        </w:rPr>
        <w:t xml:space="preserve"> Vek nemá vplyv na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inhibíciu DPP-4 vildagliptínom.</w:t>
      </w:r>
    </w:p>
    <w:p w14:paraId="5CF771FA" w14:textId="77777777" w:rsidR="0081018A" w:rsidRDefault="0081018A" w:rsidP="0081018A">
      <w:pPr>
        <w:rPr>
          <w:sz w:val="22"/>
          <w:szCs w:val="22"/>
        </w:rPr>
      </w:pPr>
    </w:p>
    <w:p w14:paraId="1BDC5A5D" w14:textId="77777777" w:rsidR="0081018A" w:rsidRPr="0031681E" w:rsidRDefault="0081018A" w:rsidP="0081018A">
      <w:pPr>
        <w:rPr>
          <w:i/>
          <w:sz w:val="22"/>
          <w:szCs w:val="22"/>
          <w:u w:val="single"/>
        </w:rPr>
      </w:pPr>
      <w:r w:rsidRPr="0031681E">
        <w:rPr>
          <w:i/>
          <w:sz w:val="22"/>
          <w:szCs w:val="22"/>
          <w:u w:val="single"/>
        </w:rPr>
        <w:t>Porucha funkcie pečene</w:t>
      </w:r>
    </w:p>
    <w:p w14:paraId="6F8373C1" w14:textId="20673844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Vplyv zhoršenia</w:t>
      </w:r>
      <w:r>
        <w:rPr>
          <w:sz w:val="22"/>
          <w:szCs w:val="22"/>
        </w:rPr>
        <w:t xml:space="preserve"> </w:t>
      </w:r>
      <w:r w:rsidR="00C61EE3">
        <w:rPr>
          <w:sz w:val="22"/>
          <w:szCs w:val="22"/>
        </w:rPr>
        <w:t>funkcie pečene na </w:t>
      </w:r>
      <w:r w:rsidRPr="00931337">
        <w:rPr>
          <w:sz w:val="22"/>
          <w:szCs w:val="22"/>
        </w:rPr>
        <w:t>farmakokinetiku vildagliptínu sa skúmal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Pr="00931337">
        <w:rPr>
          <w:sz w:val="22"/>
          <w:szCs w:val="22"/>
        </w:rPr>
        <w:t xml:space="preserve">, stredne </w:t>
      </w:r>
      <w:r w:rsidR="0031681E">
        <w:rPr>
          <w:sz w:val="22"/>
          <w:szCs w:val="22"/>
        </w:rPr>
        <w:t>ťažk</w:t>
      </w:r>
      <w:r>
        <w:rPr>
          <w:sz w:val="22"/>
          <w:szCs w:val="22"/>
        </w:rPr>
        <w:t>ou a </w:t>
      </w:r>
      <w:r w:rsidR="0031681E">
        <w:rPr>
          <w:sz w:val="22"/>
          <w:szCs w:val="22"/>
        </w:rPr>
        <w:t>ťažkou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funkcie pečene, hodnotený</w:t>
      </w:r>
      <w:r>
        <w:rPr>
          <w:sz w:val="22"/>
          <w:szCs w:val="22"/>
        </w:rPr>
        <w:t>ch</w:t>
      </w:r>
      <w:r w:rsidRPr="00931337">
        <w:rPr>
          <w:sz w:val="22"/>
          <w:szCs w:val="22"/>
        </w:rPr>
        <w:t xml:space="preserve"> podľa Childa-Pugha</w:t>
      </w:r>
      <w:r>
        <w:rPr>
          <w:sz w:val="22"/>
          <w:szCs w:val="22"/>
        </w:rPr>
        <w:t xml:space="preserve"> </w:t>
      </w:r>
      <w:r w:rsidR="0031681E">
        <w:rPr>
          <w:sz w:val="22"/>
          <w:szCs w:val="22"/>
        </w:rPr>
        <w:t>(skóre od </w:t>
      </w:r>
      <w:r w:rsidRPr="0093133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pre</w:t>
      </w:r>
      <w:r w:rsidR="0031681E">
        <w:rPr>
          <w:sz w:val="22"/>
          <w:szCs w:val="22"/>
        </w:rPr>
        <w:t> </w:t>
      </w:r>
      <w:r w:rsidR="00EA0FB9">
        <w:rPr>
          <w:sz w:val="22"/>
          <w:szCs w:val="22"/>
        </w:rPr>
        <w:t>ľahkú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EA0FB9">
        <w:rPr>
          <w:sz w:val="22"/>
          <w:szCs w:val="22"/>
        </w:rPr>
        <w:t>pre </w:t>
      </w:r>
      <w:r w:rsidR="0031681E">
        <w:rPr>
          <w:sz w:val="22"/>
          <w:szCs w:val="22"/>
        </w:rPr>
        <w:t>ťažk</w:t>
      </w:r>
      <w:r w:rsidR="00EA0FB9">
        <w:rPr>
          <w:sz w:val="22"/>
          <w:szCs w:val="22"/>
        </w:rPr>
        <w:t>ú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poruchu) 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zdravými osobami. Expozícia vildagliptínu sa po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jednorazovej dávke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pacientom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a stredne </w:t>
      </w:r>
      <w:r w:rsidR="0031681E">
        <w:rPr>
          <w:sz w:val="22"/>
          <w:szCs w:val="22"/>
        </w:rPr>
        <w:t>ťažkou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funkcie pečene znížila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(o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20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931337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%), zatiaľ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čo expozícia vildagliptínu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31681E">
        <w:rPr>
          <w:sz w:val="22"/>
          <w:szCs w:val="22"/>
        </w:rPr>
        <w:t>ťažkou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poruchou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funkcie pečene sa zvýšila o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22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%. Najväčšia zmena (zvýšenie alebo zníženie) expozície vildagliptínu je ~30</w:t>
      </w:r>
      <w:r w:rsidR="00C61EE3">
        <w:rPr>
          <w:sz w:val="22"/>
          <w:szCs w:val="22"/>
        </w:rPr>
        <w:t> %, čo sa nepokladá za </w:t>
      </w:r>
      <w:r w:rsidRPr="00931337">
        <w:rPr>
          <w:sz w:val="22"/>
          <w:szCs w:val="22"/>
        </w:rPr>
        <w:t>klinicky významné. Medzi závažnosťou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ochorenia pečene 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zmenou expozície</w:t>
      </w:r>
      <w:r w:rsidR="00C61EE3"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vildagliptínu nebola korelácia.</w:t>
      </w:r>
    </w:p>
    <w:p w14:paraId="20FCA861" w14:textId="77777777" w:rsidR="0081018A" w:rsidRDefault="0081018A" w:rsidP="0081018A">
      <w:pPr>
        <w:rPr>
          <w:sz w:val="22"/>
          <w:szCs w:val="22"/>
        </w:rPr>
      </w:pPr>
    </w:p>
    <w:p w14:paraId="17D44F0F" w14:textId="77777777" w:rsidR="0081018A" w:rsidRPr="00CC163E" w:rsidRDefault="0081018A" w:rsidP="0081018A">
      <w:pPr>
        <w:rPr>
          <w:sz w:val="22"/>
          <w:szCs w:val="22"/>
          <w:u w:val="single"/>
        </w:rPr>
      </w:pPr>
      <w:r w:rsidRPr="00CC163E">
        <w:rPr>
          <w:sz w:val="22"/>
          <w:szCs w:val="22"/>
          <w:u w:val="single"/>
        </w:rPr>
        <w:t>Porucha</w:t>
      </w:r>
      <w:r>
        <w:rPr>
          <w:sz w:val="22"/>
          <w:szCs w:val="22"/>
          <w:u w:val="single"/>
        </w:rPr>
        <w:t xml:space="preserve"> </w:t>
      </w:r>
      <w:r w:rsidRPr="00CC163E">
        <w:rPr>
          <w:sz w:val="22"/>
          <w:szCs w:val="22"/>
          <w:u w:val="single"/>
        </w:rPr>
        <w:t>funkcie obličiek</w:t>
      </w:r>
    </w:p>
    <w:p w14:paraId="46E9A04E" w14:textId="678231CD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Otvorené klinické skúšanie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opakovaným podávaním sa vykonalo na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vyhodnotenie farmakokinetiky nižšej terapeutickej dávky vildagliptínu (50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mg raz denne)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rôznym stupňom chronickej poruchy funkcie obličiek definovaným klírensom kreatinínu (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="00C61EE3">
        <w:rPr>
          <w:sz w:val="22"/>
          <w:szCs w:val="22"/>
        </w:rPr>
        <w:t>: 50 až </w:t>
      </w:r>
      <w:r w:rsidRPr="00931337">
        <w:rPr>
          <w:sz w:val="22"/>
          <w:szCs w:val="22"/>
        </w:rPr>
        <w:t>&lt;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80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ml/min, stredne </w:t>
      </w:r>
      <w:r w:rsidR="0031681E">
        <w:rPr>
          <w:sz w:val="22"/>
          <w:szCs w:val="22"/>
        </w:rPr>
        <w:t>ťažkou</w:t>
      </w:r>
      <w:r w:rsidR="00C61EE3">
        <w:rPr>
          <w:sz w:val="22"/>
          <w:szCs w:val="22"/>
        </w:rPr>
        <w:t>: 30 až </w:t>
      </w:r>
      <w:r w:rsidRPr="00931337">
        <w:rPr>
          <w:sz w:val="22"/>
          <w:szCs w:val="22"/>
        </w:rPr>
        <w:t>&lt;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50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ml/min a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>: &lt;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ml/min) v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kontrolnou skupinou normálnych zdravých osôb.</w:t>
      </w:r>
      <w:r>
        <w:rPr>
          <w:sz w:val="22"/>
          <w:szCs w:val="22"/>
        </w:rPr>
        <w:t xml:space="preserve"> </w:t>
      </w:r>
    </w:p>
    <w:p w14:paraId="0BB7B079" w14:textId="77777777" w:rsidR="0081018A" w:rsidRDefault="0081018A" w:rsidP="0081018A">
      <w:pPr>
        <w:rPr>
          <w:sz w:val="22"/>
          <w:szCs w:val="22"/>
        </w:rPr>
      </w:pPr>
    </w:p>
    <w:p w14:paraId="006059DE" w14:textId="7E790325" w:rsidR="0049266F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V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porovnaní s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normálnymi zdravými osobami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sa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AUC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vildagliptínu 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priemere zvýšila 1,4-, 1,7-</w:t>
      </w:r>
      <w:r>
        <w:rPr>
          <w:sz w:val="22"/>
          <w:szCs w:val="22"/>
        </w:rPr>
        <w:t xml:space="preserve"> 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2-násobne u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 w:rsidR="00C61EE3"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Pr="00931337">
        <w:rPr>
          <w:sz w:val="22"/>
          <w:szCs w:val="22"/>
        </w:rPr>
        <w:t xml:space="preserve">, stredne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a</w:t>
      </w:r>
      <w:r w:rsidR="00C61EE3">
        <w:rPr>
          <w:sz w:val="22"/>
          <w:szCs w:val="22"/>
        </w:rPr>
        <w:t> 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poruchou funkcie obličiek. AUC metabolitov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LAY151 a BQS867 sa v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priemere zvýšila približne 1,5-, 3-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a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7-násobne u</w:t>
      </w:r>
      <w:r w:rsidR="0031681E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> </w:t>
      </w:r>
      <w:r w:rsidR="00EA0FB9">
        <w:rPr>
          <w:sz w:val="22"/>
          <w:szCs w:val="22"/>
        </w:rPr>
        <w:t>ľahk</w:t>
      </w:r>
      <w:r w:rsidR="00EA0FB9" w:rsidRPr="0081560B">
        <w:rPr>
          <w:sz w:val="22"/>
          <w:szCs w:val="22"/>
        </w:rPr>
        <w:t>ou</w:t>
      </w:r>
      <w:r w:rsidRPr="00931337">
        <w:rPr>
          <w:sz w:val="22"/>
          <w:szCs w:val="22"/>
        </w:rPr>
        <w:t xml:space="preserve">, stredne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31681E">
        <w:rPr>
          <w:sz w:val="22"/>
          <w:szCs w:val="22"/>
        </w:rPr>
        <w:t>ťažkou</w:t>
      </w:r>
      <w:r w:rsidRPr="00931337">
        <w:rPr>
          <w:sz w:val="22"/>
          <w:szCs w:val="22"/>
        </w:rPr>
        <w:t xml:space="preserve"> poruchou funkcie obličiek.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>Obmedzené údaje u</w:t>
      </w:r>
      <w:r w:rsidR="00C61EE3">
        <w:rPr>
          <w:sz w:val="22"/>
          <w:szCs w:val="22"/>
        </w:rPr>
        <w:t> </w:t>
      </w:r>
      <w:r w:rsidRPr="00931337">
        <w:rPr>
          <w:sz w:val="22"/>
          <w:szCs w:val="22"/>
        </w:rPr>
        <w:t>pacientov s</w:t>
      </w:r>
      <w:r>
        <w:rPr>
          <w:sz w:val="22"/>
          <w:szCs w:val="22"/>
        </w:rPr>
        <w:t xml:space="preserve"> terminálnou </w:t>
      </w:r>
      <w:r w:rsidRPr="00931337">
        <w:rPr>
          <w:sz w:val="22"/>
          <w:szCs w:val="22"/>
        </w:rPr>
        <w:t>chorobou obličiek (ESRD) naznačujú, že expozícia vildagliptínu je podobná ako u</w:t>
      </w:r>
      <w:r>
        <w:rPr>
          <w:sz w:val="22"/>
          <w:szCs w:val="22"/>
        </w:rPr>
        <w:t xml:space="preserve"> pacientov </w:t>
      </w:r>
      <w:r w:rsidRPr="00931337">
        <w:rPr>
          <w:sz w:val="22"/>
          <w:szCs w:val="22"/>
        </w:rPr>
        <w:t>s</w:t>
      </w:r>
      <w:r>
        <w:rPr>
          <w:sz w:val="22"/>
          <w:szCs w:val="22"/>
        </w:rPr>
        <w:t xml:space="preserve">o závažnou poruchou funkcie obličiek. Koncentrácie LAY151 boli približne </w:t>
      </w:r>
      <w:r w:rsidRPr="00931337">
        <w:rPr>
          <w:sz w:val="22"/>
          <w:szCs w:val="22"/>
        </w:rPr>
        <w:t>2</w:t>
      </w:r>
      <w:r>
        <w:rPr>
          <w:sz w:val="22"/>
          <w:szCs w:val="22"/>
        </w:rPr>
        <w:t xml:space="preserve"> až </w:t>
      </w:r>
      <w:r w:rsidRPr="00931337">
        <w:rPr>
          <w:sz w:val="22"/>
          <w:szCs w:val="22"/>
        </w:rPr>
        <w:t>3</w:t>
      </w:r>
      <w:r w:rsidR="0049266F">
        <w:rPr>
          <w:sz w:val="22"/>
          <w:szCs w:val="22"/>
        </w:rPr>
        <w:t> </w:t>
      </w:r>
      <w:r>
        <w:rPr>
          <w:sz w:val="22"/>
          <w:szCs w:val="22"/>
        </w:rPr>
        <w:t xml:space="preserve">krát vyššie ako </w:t>
      </w:r>
      <w:r w:rsidRPr="00931337">
        <w:rPr>
          <w:sz w:val="22"/>
          <w:szCs w:val="22"/>
        </w:rPr>
        <w:t>u</w:t>
      </w:r>
      <w:r w:rsidR="0031681E">
        <w:rPr>
          <w:sz w:val="22"/>
          <w:szCs w:val="22"/>
        </w:rPr>
        <w:t> </w:t>
      </w:r>
      <w:r>
        <w:rPr>
          <w:sz w:val="22"/>
          <w:szCs w:val="22"/>
        </w:rPr>
        <w:t>pacient</w:t>
      </w:r>
      <w:r w:rsidRPr="00931337">
        <w:rPr>
          <w:sz w:val="22"/>
          <w:szCs w:val="22"/>
        </w:rPr>
        <w:t>ov s</w:t>
      </w:r>
      <w:r w:rsidR="0031681E">
        <w:rPr>
          <w:sz w:val="22"/>
          <w:szCs w:val="22"/>
        </w:rPr>
        <w:t> ťažkou</w:t>
      </w:r>
      <w:r w:rsidRPr="00931337">
        <w:rPr>
          <w:sz w:val="22"/>
          <w:szCs w:val="22"/>
        </w:rPr>
        <w:t xml:space="preserve"> poruchou funkcie obličiek.</w:t>
      </w:r>
      <w:r w:rsidR="0049266F">
        <w:rPr>
          <w:sz w:val="22"/>
          <w:szCs w:val="22"/>
        </w:rPr>
        <w:t xml:space="preserve"> </w:t>
      </w:r>
    </w:p>
    <w:p w14:paraId="20F9C729" w14:textId="167DE1C7" w:rsidR="0081018A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Vildagliptín sa v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 xml:space="preserve">obmedzenej miere odstránil hemodialýzou </w:t>
      </w:r>
      <w:r>
        <w:rPr>
          <w:sz w:val="22"/>
          <w:szCs w:val="22"/>
        </w:rPr>
        <w:t>(3</w:t>
      </w:r>
      <w:r w:rsidR="0049266F">
        <w:rPr>
          <w:sz w:val="22"/>
          <w:szCs w:val="22"/>
        </w:rPr>
        <w:t> </w:t>
      </w:r>
      <w:r>
        <w:rPr>
          <w:sz w:val="22"/>
          <w:szCs w:val="22"/>
        </w:rPr>
        <w:t xml:space="preserve">% </w:t>
      </w:r>
      <w:r w:rsidRPr="00931337">
        <w:rPr>
          <w:sz w:val="22"/>
          <w:szCs w:val="22"/>
        </w:rPr>
        <w:t>počas hemodialýzy trvajúcej 3</w:t>
      </w:r>
      <w:r w:rsidR="0049266F">
        <w:rPr>
          <w:sz w:val="22"/>
          <w:szCs w:val="22"/>
        </w:rPr>
        <w:t> </w:t>
      </w:r>
      <w:r>
        <w:rPr>
          <w:sz w:val="22"/>
          <w:szCs w:val="22"/>
        </w:rPr>
        <w:t>–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>4</w:t>
      </w:r>
      <w:r w:rsidR="00090B3A">
        <w:rPr>
          <w:sz w:val="22"/>
          <w:szCs w:val="22"/>
        </w:rPr>
        <w:t> </w:t>
      </w:r>
      <w:r w:rsidRPr="00931337">
        <w:rPr>
          <w:sz w:val="22"/>
          <w:szCs w:val="22"/>
        </w:rPr>
        <w:t>hodiny, ktorá začala 4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>hodiny po</w:t>
      </w:r>
      <w:r w:rsidR="0049266F">
        <w:rPr>
          <w:sz w:val="22"/>
          <w:szCs w:val="22"/>
        </w:rPr>
        <w:t> </w:t>
      </w:r>
      <w:r w:rsidRPr="00931337">
        <w:rPr>
          <w:sz w:val="22"/>
          <w:szCs w:val="22"/>
        </w:rPr>
        <w:t>podaní).</w:t>
      </w:r>
    </w:p>
    <w:p w14:paraId="295A2206" w14:textId="77777777" w:rsidR="0081018A" w:rsidRDefault="0081018A" w:rsidP="0081018A">
      <w:pPr>
        <w:rPr>
          <w:sz w:val="22"/>
          <w:szCs w:val="22"/>
        </w:rPr>
      </w:pPr>
    </w:p>
    <w:p w14:paraId="01D80784" w14:textId="77777777" w:rsidR="0081018A" w:rsidRPr="00CC163E" w:rsidRDefault="0081018A" w:rsidP="0081018A">
      <w:pPr>
        <w:rPr>
          <w:sz w:val="22"/>
          <w:szCs w:val="22"/>
          <w:u w:val="single"/>
        </w:rPr>
      </w:pPr>
      <w:r w:rsidRPr="00CC163E">
        <w:rPr>
          <w:sz w:val="22"/>
          <w:szCs w:val="22"/>
          <w:u w:val="single"/>
        </w:rPr>
        <w:t>Etnická príslušnosť</w:t>
      </w:r>
    </w:p>
    <w:p w14:paraId="57A5036E" w14:textId="3AE121B2" w:rsidR="0081018A" w:rsidRPr="00931337" w:rsidRDefault="0081018A" w:rsidP="0081018A">
      <w:pPr>
        <w:rPr>
          <w:sz w:val="22"/>
          <w:szCs w:val="22"/>
        </w:rPr>
      </w:pPr>
      <w:r w:rsidRPr="00931337">
        <w:rPr>
          <w:sz w:val="22"/>
          <w:szCs w:val="22"/>
        </w:rPr>
        <w:t>Obmedzené údaje naznačujú, že rasa nemá</w:t>
      </w:r>
      <w:r>
        <w:rPr>
          <w:sz w:val="22"/>
          <w:szCs w:val="22"/>
        </w:rPr>
        <w:t xml:space="preserve"> </w:t>
      </w:r>
      <w:r w:rsidRPr="00931337">
        <w:rPr>
          <w:sz w:val="22"/>
          <w:szCs w:val="22"/>
        </w:rPr>
        <w:t xml:space="preserve">významný vplyv </w:t>
      </w:r>
      <w:r w:rsidR="00A42433">
        <w:rPr>
          <w:sz w:val="22"/>
          <w:szCs w:val="22"/>
        </w:rPr>
        <w:t>na </w:t>
      </w:r>
      <w:r w:rsidRPr="00931337">
        <w:rPr>
          <w:sz w:val="22"/>
          <w:szCs w:val="22"/>
        </w:rPr>
        <w:t>farmakokinetiku vildagliptínu</w:t>
      </w:r>
      <w:r>
        <w:rPr>
          <w:sz w:val="22"/>
          <w:szCs w:val="22"/>
        </w:rPr>
        <w:t>.</w:t>
      </w:r>
    </w:p>
    <w:p w14:paraId="708180CE" w14:textId="77777777" w:rsidR="0081018A" w:rsidRPr="004D1FDE" w:rsidRDefault="0081018A" w:rsidP="0081018A">
      <w:pPr>
        <w:rPr>
          <w:sz w:val="22"/>
          <w:szCs w:val="22"/>
        </w:rPr>
      </w:pPr>
    </w:p>
    <w:p w14:paraId="33375A9E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5.3</w:t>
      </w:r>
      <w:r w:rsidRPr="004D1FDE">
        <w:rPr>
          <w:b/>
          <w:sz w:val="22"/>
          <w:szCs w:val="22"/>
        </w:rPr>
        <w:tab/>
        <w:t>Predklinické údaje o bezpečnosti</w:t>
      </w:r>
    </w:p>
    <w:p w14:paraId="6D9C3BEF" w14:textId="77777777" w:rsidR="0081018A" w:rsidRPr="004D1FDE" w:rsidRDefault="0081018A" w:rsidP="0081018A">
      <w:pPr>
        <w:rPr>
          <w:sz w:val="22"/>
          <w:szCs w:val="22"/>
        </w:rPr>
      </w:pPr>
    </w:p>
    <w:p w14:paraId="1DB4262E" w14:textId="67A6B619" w:rsidR="0081018A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Spomalenie intrakardiálneho prevodu vzruchu sa pozorovalo u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psov, s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dávkou bez účinku 15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mg/kg (7-násobok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expozície</w:t>
      </w:r>
      <w:r>
        <w:rPr>
          <w:sz w:val="22"/>
          <w:szCs w:val="22"/>
        </w:rPr>
        <w:t xml:space="preserve"> </w:t>
      </w:r>
      <w:r w:rsidR="0049266F">
        <w:rPr>
          <w:sz w:val="22"/>
          <w:szCs w:val="22"/>
        </w:rPr>
        <w:t>u </w:t>
      </w:r>
      <w:r w:rsidRPr="003834ED">
        <w:rPr>
          <w:sz w:val="22"/>
          <w:szCs w:val="22"/>
        </w:rPr>
        <w:t>ľudí na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základe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C</w:t>
      </w:r>
      <w:r w:rsidRPr="00442BF8">
        <w:rPr>
          <w:sz w:val="22"/>
          <w:szCs w:val="22"/>
          <w:vertAlign w:val="subscript"/>
        </w:rPr>
        <w:t>max</w:t>
      </w:r>
      <w:r w:rsidRPr="003834ED">
        <w:rPr>
          <w:sz w:val="22"/>
          <w:szCs w:val="22"/>
        </w:rPr>
        <w:t>).</w:t>
      </w:r>
    </w:p>
    <w:p w14:paraId="23296AFC" w14:textId="77777777" w:rsidR="0081018A" w:rsidRPr="003834ED" w:rsidRDefault="0081018A" w:rsidP="0081018A">
      <w:pPr>
        <w:outlineLvl w:val="0"/>
        <w:rPr>
          <w:sz w:val="22"/>
          <w:szCs w:val="22"/>
        </w:rPr>
      </w:pPr>
    </w:p>
    <w:p w14:paraId="06FA08D6" w14:textId="03046C96" w:rsidR="0081018A" w:rsidRPr="003834ED" w:rsidRDefault="0081018A" w:rsidP="0081018A">
      <w:pPr>
        <w:outlineLvl w:val="0"/>
        <w:rPr>
          <w:sz w:val="22"/>
          <w:szCs w:val="22"/>
        </w:rPr>
      </w:pPr>
      <w:r>
        <w:rPr>
          <w:sz w:val="22"/>
          <w:szCs w:val="22"/>
        </w:rPr>
        <w:t>Hromadenie penových alveolá</w:t>
      </w:r>
      <w:r w:rsidR="00E9023C">
        <w:rPr>
          <w:sz w:val="22"/>
          <w:szCs w:val="22"/>
        </w:rPr>
        <w:t>r</w:t>
      </w:r>
      <w:r w:rsidRPr="003834ED">
        <w:rPr>
          <w:sz w:val="22"/>
          <w:szCs w:val="22"/>
        </w:rPr>
        <w:t>nych makrofágov v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pľúcach sa pozorovalo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A42433">
        <w:rPr>
          <w:sz w:val="22"/>
          <w:szCs w:val="22"/>
        </w:rPr>
        <w:t> myší. Dávka bez </w:t>
      </w:r>
      <w:r w:rsidR="0049266F">
        <w:rPr>
          <w:sz w:val="22"/>
          <w:szCs w:val="22"/>
        </w:rPr>
        <w:t>účinku bola u </w:t>
      </w:r>
      <w:r w:rsidRPr="003834ED">
        <w:rPr>
          <w:sz w:val="22"/>
          <w:szCs w:val="22"/>
        </w:rPr>
        <w:t>potkanov 25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mg/kg (5-násobok expozície u</w:t>
      </w:r>
      <w:r w:rsidR="0049266F">
        <w:rPr>
          <w:sz w:val="22"/>
          <w:szCs w:val="22"/>
        </w:rPr>
        <w:t> </w:t>
      </w:r>
      <w:r w:rsidR="00A42433">
        <w:rPr>
          <w:sz w:val="22"/>
          <w:szCs w:val="22"/>
        </w:rPr>
        <w:t>ľudí na </w:t>
      </w:r>
      <w:r w:rsidRPr="003834ED">
        <w:rPr>
          <w:sz w:val="22"/>
          <w:szCs w:val="22"/>
        </w:rPr>
        <w:t>základe AUC) a</w:t>
      </w:r>
      <w:r>
        <w:rPr>
          <w:sz w:val="22"/>
          <w:szCs w:val="22"/>
        </w:rPr>
        <w:t> u </w:t>
      </w:r>
      <w:r w:rsidRPr="003834ED">
        <w:rPr>
          <w:sz w:val="22"/>
          <w:szCs w:val="22"/>
        </w:rPr>
        <w:t>myší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750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 (142-násobok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expozície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u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ľudí).</w:t>
      </w:r>
    </w:p>
    <w:p w14:paraId="4131B190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2A75C784" w14:textId="5EFAC09E" w:rsidR="0081018A" w:rsidRPr="003834ED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Gastrointestinálne príznaky, najmä mäkká stolic</w:t>
      </w:r>
      <w:r w:rsidR="0049266F">
        <w:rPr>
          <w:sz w:val="22"/>
          <w:szCs w:val="22"/>
        </w:rPr>
        <w:t>a, hlienovitá stolica, hnačka a </w:t>
      </w:r>
      <w:r w:rsidRPr="003834ED">
        <w:rPr>
          <w:sz w:val="22"/>
          <w:szCs w:val="22"/>
        </w:rPr>
        <w:t>pri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vyšších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dávkach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krv v</w:t>
      </w:r>
      <w:r>
        <w:rPr>
          <w:sz w:val="22"/>
          <w:szCs w:val="22"/>
        </w:rPr>
        <w:t> </w:t>
      </w:r>
      <w:r w:rsidR="0049266F">
        <w:rPr>
          <w:sz w:val="22"/>
          <w:szCs w:val="22"/>
        </w:rPr>
        <w:t>stolici sa pozorovali u </w:t>
      </w:r>
      <w:r w:rsidRPr="003834ED">
        <w:rPr>
          <w:sz w:val="22"/>
          <w:szCs w:val="22"/>
        </w:rPr>
        <w:t>psov. Hladina dávky bez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účinku sa nestanovila.</w:t>
      </w:r>
    </w:p>
    <w:p w14:paraId="0373E381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0FEB8975" w14:textId="407FB11E" w:rsidR="0081018A" w:rsidRPr="003834ED" w:rsidRDefault="0081018A" w:rsidP="0081018A">
      <w:pPr>
        <w:ind w:left="567" w:hanging="567"/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Vildagliptín nebol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mutagénny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v</w:t>
      </w:r>
      <w:r w:rsidR="0049266F">
        <w:rPr>
          <w:sz w:val="22"/>
          <w:szCs w:val="22"/>
        </w:rPr>
        <w:t> </w:t>
      </w:r>
      <w:r w:rsidRPr="003834ED">
        <w:rPr>
          <w:sz w:val="22"/>
          <w:szCs w:val="22"/>
        </w:rPr>
        <w:t>bežných testoch genotoxicity</w:t>
      </w:r>
      <w:r>
        <w:rPr>
          <w:sz w:val="22"/>
          <w:szCs w:val="22"/>
        </w:rPr>
        <w:t xml:space="preserve"> </w:t>
      </w:r>
      <w:r w:rsidRPr="0049266F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49266F">
        <w:rPr>
          <w:sz w:val="22"/>
          <w:szCs w:val="22"/>
        </w:rPr>
        <w:t> </w:t>
      </w:r>
      <w:r w:rsidRPr="0049266F">
        <w:rPr>
          <w:i/>
          <w:sz w:val="22"/>
          <w:szCs w:val="22"/>
        </w:rPr>
        <w:t>in vivo</w:t>
      </w:r>
      <w:r w:rsidRPr="003834ED">
        <w:rPr>
          <w:sz w:val="22"/>
          <w:szCs w:val="22"/>
        </w:rPr>
        <w:t>.</w:t>
      </w:r>
    </w:p>
    <w:p w14:paraId="5A050CD1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0EC99A6D" w14:textId="397293A5" w:rsidR="0081018A" w:rsidRPr="003834ED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Štúdia fertility a</w:t>
      </w:r>
      <w:r w:rsidR="0004766D">
        <w:rPr>
          <w:sz w:val="22"/>
          <w:szCs w:val="22"/>
        </w:rPr>
        <w:t> </w:t>
      </w:r>
      <w:r>
        <w:rPr>
          <w:sz w:val="22"/>
          <w:szCs w:val="22"/>
        </w:rPr>
        <w:t>skorého</w:t>
      </w:r>
      <w:r w:rsidRPr="003834ED">
        <w:rPr>
          <w:sz w:val="22"/>
          <w:szCs w:val="22"/>
        </w:rPr>
        <w:t xml:space="preserve"> embryonálneho vývinu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="00A42433">
        <w:rPr>
          <w:rFonts w:eastAsiaTheme="minorHAnsi"/>
          <w:sz w:val="22"/>
          <w:szCs w:val="22"/>
          <w:lang w:eastAsia="en-US"/>
        </w:rPr>
        <w:t>nepriniesla dôkaz o </w:t>
      </w:r>
      <w:r w:rsidRPr="003834ED">
        <w:rPr>
          <w:sz w:val="22"/>
          <w:szCs w:val="22"/>
        </w:rPr>
        <w:t>zhoršen</w:t>
      </w:r>
      <w:r w:rsidR="00A42433">
        <w:rPr>
          <w:sz w:val="22"/>
          <w:szCs w:val="22"/>
        </w:rPr>
        <w:t>í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 xml:space="preserve">fertility, reprodukčných schopností alebo </w:t>
      </w:r>
      <w:r>
        <w:rPr>
          <w:sz w:val="22"/>
          <w:szCs w:val="22"/>
        </w:rPr>
        <w:t>skoré</w:t>
      </w:r>
      <w:r w:rsidRPr="003834ED">
        <w:rPr>
          <w:sz w:val="22"/>
          <w:szCs w:val="22"/>
        </w:rPr>
        <w:t>ho embryonálneho vývinu účinkom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vildagliptínu. Embryonálna a </w:t>
      </w:r>
      <w:r w:rsidRPr="003834ED">
        <w:rPr>
          <w:sz w:val="22"/>
          <w:szCs w:val="22"/>
        </w:rPr>
        <w:t>fetálna toxicita sa hodnotila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králikov.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potkanov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pozorovala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zvýšená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incidencia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zvlnených rebier spolu so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zníženými parametrami telesnej hmotnosti samíc, pričom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dávka bez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účinku bola 75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(10-násobok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ľudí).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králikov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zaznamenala znížená hmotnosť plodu a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odchýlky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skeletu poukazujúce na </w:t>
      </w:r>
      <w:r w:rsidRPr="003834ED">
        <w:rPr>
          <w:sz w:val="22"/>
          <w:szCs w:val="22"/>
        </w:rPr>
        <w:t>spomalenie vývinu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iba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závažných toxických príznakoch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samíc, s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dávkou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bez </w:t>
      </w:r>
      <w:r w:rsidRPr="003834ED">
        <w:rPr>
          <w:sz w:val="22"/>
          <w:szCs w:val="22"/>
        </w:rPr>
        <w:t>účinku 50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(9</w:t>
      </w:r>
      <w:r>
        <w:rPr>
          <w:sz w:val="22"/>
          <w:szCs w:val="22"/>
        </w:rPr>
        <w:t>-</w:t>
      </w:r>
      <w:r w:rsidRPr="003834ED">
        <w:rPr>
          <w:sz w:val="22"/>
          <w:szCs w:val="22"/>
        </w:rPr>
        <w:t>násobok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expozície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ľudí). Štúdia pre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post</w:t>
      </w:r>
      <w:r w:rsidR="0004766D">
        <w:rPr>
          <w:sz w:val="22"/>
          <w:szCs w:val="22"/>
        </w:rPr>
        <w:t>natálneho vývoja sa vykonala na </w:t>
      </w:r>
      <w:r w:rsidRPr="003834ED">
        <w:rPr>
          <w:sz w:val="22"/>
          <w:szCs w:val="22"/>
        </w:rPr>
        <w:t>potkanoch. Nálezy sa pozorovali iba v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súvislosti s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toxicitou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samíc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≥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150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 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zahŕňali prechodný pokles telesnej hmotnosti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zníženú motorickú aktivitu generácie F1.</w:t>
      </w:r>
    </w:p>
    <w:p w14:paraId="6735FBAC" w14:textId="77777777" w:rsidR="0081018A" w:rsidRDefault="0081018A" w:rsidP="0081018A">
      <w:pPr>
        <w:outlineLvl w:val="0"/>
        <w:rPr>
          <w:sz w:val="22"/>
          <w:szCs w:val="22"/>
        </w:rPr>
      </w:pPr>
    </w:p>
    <w:p w14:paraId="1D04D88B" w14:textId="67FD74E6" w:rsidR="0081018A" w:rsidRPr="003834ED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 xml:space="preserve">Dvojročná štúdia </w:t>
      </w:r>
      <w:r w:rsidR="0004766D">
        <w:rPr>
          <w:sz w:val="22"/>
          <w:szCs w:val="22"/>
        </w:rPr>
        <w:t>karcinogenity sa uskutočnila na </w:t>
      </w:r>
      <w:r w:rsidRPr="003834ED">
        <w:rPr>
          <w:sz w:val="22"/>
          <w:szCs w:val="22"/>
        </w:rPr>
        <w:t>potkanoch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perorálnych dávkach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do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900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 (približne 200-násobok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maximálnej odporúčanej dávke). Nepozorovala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zvýšená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incidencia nádorov, ktorú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 xml:space="preserve">by bolo možné pripísať vildagliptínu. Ďalšia dvojročná štúdia </w:t>
      </w:r>
      <w:r w:rsidR="0004766D">
        <w:rPr>
          <w:sz w:val="22"/>
          <w:szCs w:val="22"/>
        </w:rPr>
        <w:t>karcinogenity sa uskutočnila na </w:t>
      </w:r>
      <w:r w:rsidRPr="003834ED">
        <w:rPr>
          <w:sz w:val="22"/>
          <w:szCs w:val="22"/>
        </w:rPr>
        <w:t>myšiach pri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perorálnych dávkach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do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1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mg/kg. Pozorovala sa zvýšená incidencia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adenokarcinómov mliečnej žľazy s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dávkou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bez </w:t>
      </w:r>
      <w:r w:rsidRPr="003834ED">
        <w:rPr>
          <w:sz w:val="22"/>
          <w:szCs w:val="22"/>
        </w:rPr>
        <w:t>účinku 500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(59-násobok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 a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hemangiosarkómov s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dávkou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bez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účinku 100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mg/kg (16-násobok expozície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ľudí). Nepredpokladá sa, že zvýšená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incidencia týchto nádorov u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myší</w:t>
      </w:r>
      <w:r>
        <w:rPr>
          <w:sz w:val="22"/>
          <w:szCs w:val="22"/>
        </w:rPr>
        <w:t xml:space="preserve"> </w:t>
      </w:r>
      <w:r w:rsidR="0004766D">
        <w:rPr>
          <w:sz w:val="22"/>
          <w:szCs w:val="22"/>
        </w:rPr>
        <w:t>predstavuje významné riziko pre </w:t>
      </w:r>
      <w:r w:rsidRPr="003834ED">
        <w:rPr>
          <w:sz w:val="22"/>
          <w:szCs w:val="22"/>
        </w:rPr>
        <w:t>ľudí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vzhľadom na to, že vildagliptín a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jeho hlavný metabolit nie sú genotoxické, nádory sa vyskytujú len u</w:t>
      </w:r>
      <w:r w:rsidR="0004766D">
        <w:rPr>
          <w:sz w:val="22"/>
          <w:szCs w:val="22"/>
        </w:rPr>
        <w:t> </w:t>
      </w:r>
      <w:r w:rsidRPr="003834ED">
        <w:rPr>
          <w:sz w:val="22"/>
          <w:szCs w:val="22"/>
        </w:rPr>
        <w:t>jedného živočíšneho druhu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a</w:t>
      </w:r>
      <w:r w:rsidR="00A42433">
        <w:rPr>
          <w:sz w:val="22"/>
          <w:szCs w:val="22"/>
        </w:rPr>
        <w:t> </w:t>
      </w:r>
      <w:r w:rsidR="0004766D">
        <w:rPr>
          <w:sz w:val="22"/>
          <w:szCs w:val="22"/>
        </w:rPr>
        <w:t>pomer systémovej expozície, pri </w:t>
      </w:r>
      <w:r w:rsidRPr="003834ED">
        <w:rPr>
          <w:sz w:val="22"/>
          <w:szCs w:val="22"/>
        </w:rPr>
        <w:t>ktorom</w:t>
      </w:r>
      <w:r w:rsidR="00E9023C"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sa nádory pozorovali, je vysoký.</w:t>
      </w:r>
    </w:p>
    <w:p w14:paraId="5DF404EA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0D6BBED4" w14:textId="695DEC62" w:rsidR="00090B3A" w:rsidRDefault="0004766D" w:rsidP="0081018A">
      <w:pPr>
        <w:outlineLvl w:val="0"/>
        <w:rPr>
          <w:sz w:val="22"/>
          <w:szCs w:val="22"/>
        </w:rPr>
      </w:pPr>
      <w:r>
        <w:rPr>
          <w:sz w:val="22"/>
          <w:szCs w:val="22"/>
        </w:rPr>
        <w:t>V </w:t>
      </w:r>
      <w:r w:rsidR="0081018A" w:rsidRPr="003834ED">
        <w:rPr>
          <w:sz w:val="22"/>
          <w:szCs w:val="22"/>
        </w:rPr>
        <w:t>toxikologickej štúdii trvajúcej 13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týždňov na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 xml:space="preserve">makakoch </w:t>
      </w:r>
      <w:r w:rsidR="00A42433">
        <w:rPr>
          <w:rFonts w:eastAsiaTheme="minorHAnsi"/>
          <w:sz w:val="22"/>
          <w:szCs w:val="22"/>
          <w:lang w:eastAsia="en-US"/>
        </w:rPr>
        <w:t>krabožravých</w:t>
      </w:r>
      <w:r w:rsidR="0081018A">
        <w:rPr>
          <w:sz w:val="22"/>
          <w:szCs w:val="22"/>
        </w:rPr>
        <w:t xml:space="preserve"> </w:t>
      </w:r>
      <w:r>
        <w:rPr>
          <w:sz w:val="22"/>
          <w:szCs w:val="22"/>
        </w:rPr>
        <w:t>sa zaznamenali kožné lézie pri </w:t>
      </w:r>
      <w:r w:rsidR="0081018A" w:rsidRPr="003834ED">
        <w:rPr>
          <w:sz w:val="22"/>
          <w:szCs w:val="22"/>
        </w:rPr>
        <w:t>dávkach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≥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5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mg/kg/deň. Pravidelne sa nachádzali na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akrálnych častiach tela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(ruky, nohy, uši a</w:t>
      </w:r>
      <w:r w:rsidR="0081018A">
        <w:rPr>
          <w:sz w:val="22"/>
          <w:szCs w:val="22"/>
        </w:rPr>
        <w:t> </w:t>
      </w:r>
      <w:r>
        <w:rPr>
          <w:sz w:val="22"/>
          <w:szCs w:val="22"/>
        </w:rPr>
        <w:t>chvost). Pri </w:t>
      </w:r>
      <w:r w:rsidR="0081018A" w:rsidRPr="003834ED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mg/kg/deň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(rovná sa približne expozícii AUC u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ľudí pri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dávke100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mg) sa pozorovali iba pľuzgiere. Boli reverzibilné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napriek pokračujúcemu podávaniu</w:t>
      </w:r>
      <w:r w:rsidR="00E9023C">
        <w:rPr>
          <w:sz w:val="22"/>
          <w:szCs w:val="22"/>
        </w:rPr>
        <w:t xml:space="preserve"> </w:t>
      </w:r>
      <w:r w:rsidR="00A42433">
        <w:rPr>
          <w:sz w:val="22"/>
          <w:szCs w:val="22"/>
        </w:rPr>
        <w:t>a nespájali sa s </w:t>
      </w:r>
      <w:r w:rsidR="0081018A" w:rsidRPr="003834ED">
        <w:rPr>
          <w:sz w:val="22"/>
          <w:szCs w:val="22"/>
        </w:rPr>
        <w:t>histopatologick</w:t>
      </w:r>
      <w:r>
        <w:rPr>
          <w:sz w:val="22"/>
          <w:szCs w:val="22"/>
        </w:rPr>
        <w:t>ými abnormalitami. Vločkovitá a </w:t>
      </w:r>
      <w:r w:rsidR="0081018A" w:rsidRPr="003834ED">
        <w:rPr>
          <w:sz w:val="22"/>
          <w:szCs w:val="22"/>
        </w:rPr>
        <w:t>odlupujúca sa koža, chrasty 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bolestivé miesta na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chvoste so</w:t>
      </w:r>
      <w:r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zodpovedajúcimi histopatol</w:t>
      </w:r>
      <w:r w:rsidR="00090B3A">
        <w:rPr>
          <w:sz w:val="22"/>
          <w:szCs w:val="22"/>
        </w:rPr>
        <w:t>ogickými zmenami sa zistili pri </w:t>
      </w:r>
      <w:r w:rsidR="0081018A" w:rsidRPr="003834ED">
        <w:rPr>
          <w:sz w:val="22"/>
          <w:szCs w:val="22"/>
        </w:rPr>
        <w:t>dávkach</w:t>
      </w:r>
      <w:r w:rsidR="00090B3A"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≥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>20</w:t>
      </w:r>
      <w:r w:rsidR="00090B3A">
        <w:rPr>
          <w:sz w:val="22"/>
          <w:szCs w:val="22"/>
        </w:rPr>
        <w:t> </w:t>
      </w:r>
      <w:r w:rsidR="0081018A" w:rsidRPr="003834ED">
        <w:rPr>
          <w:sz w:val="22"/>
          <w:szCs w:val="22"/>
        </w:rPr>
        <w:t>mg/kg/deň</w:t>
      </w:r>
      <w:r w:rsidR="0081018A">
        <w:rPr>
          <w:sz w:val="22"/>
          <w:szCs w:val="22"/>
        </w:rPr>
        <w:t xml:space="preserve"> </w:t>
      </w:r>
      <w:r w:rsidR="0081018A" w:rsidRPr="003834ED">
        <w:rPr>
          <w:sz w:val="22"/>
          <w:szCs w:val="22"/>
        </w:rPr>
        <w:t xml:space="preserve">(približne </w:t>
      </w:r>
    </w:p>
    <w:p w14:paraId="6DA75A68" w14:textId="77777777" w:rsidR="00090B3A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3-násobok expozície AUC u</w:t>
      </w:r>
      <w:r w:rsidR="00090B3A">
        <w:rPr>
          <w:sz w:val="22"/>
          <w:szCs w:val="22"/>
        </w:rPr>
        <w:t> ľudí pri </w:t>
      </w:r>
      <w:r w:rsidRPr="003834ED">
        <w:rPr>
          <w:sz w:val="22"/>
          <w:szCs w:val="22"/>
        </w:rPr>
        <w:t>dávke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100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mg). Nekrotické lézie na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chvoste sa pozorovali pri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≥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80</w:t>
      </w:r>
      <w:r>
        <w:rPr>
          <w:sz w:val="22"/>
          <w:szCs w:val="22"/>
        </w:rPr>
        <w:t> </w:t>
      </w:r>
      <w:r w:rsidRPr="003834ED">
        <w:rPr>
          <w:sz w:val="22"/>
          <w:szCs w:val="22"/>
        </w:rPr>
        <w:t>mg/kg/deň. Kožné lézie neboli reverzibilné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>u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opíc, ktoré dostávali 160</w:t>
      </w:r>
      <w:r w:rsidR="00090B3A">
        <w:rPr>
          <w:sz w:val="22"/>
          <w:szCs w:val="22"/>
        </w:rPr>
        <w:t> </w:t>
      </w:r>
      <w:r w:rsidRPr="003834ED">
        <w:rPr>
          <w:sz w:val="22"/>
          <w:szCs w:val="22"/>
        </w:rPr>
        <w:t>mg/kg/deň</w:t>
      </w:r>
      <w:r>
        <w:rPr>
          <w:sz w:val="22"/>
          <w:szCs w:val="22"/>
        </w:rPr>
        <w:t xml:space="preserve"> </w:t>
      </w:r>
      <w:r w:rsidRPr="003834ED">
        <w:rPr>
          <w:sz w:val="22"/>
          <w:szCs w:val="22"/>
        </w:rPr>
        <w:t xml:space="preserve">počas </w:t>
      </w:r>
    </w:p>
    <w:p w14:paraId="756D7C97" w14:textId="484429B6" w:rsidR="0081018A" w:rsidRDefault="0081018A" w:rsidP="0081018A">
      <w:pPr>
        <w:outlineLvl w:val="0"/>
        <w:rPr>
          <w:sz w:val="22"/>
          <w:szCs w:val="22"/>
        </w:rPr>
      </w:pPr>
      <w:r w:rsidRPr="003834ED">
        <w:rPr>
          <w:sz w:val="22"/>
          <w:szCs w:val="22"/>
        </w:rPr>
        <w:t>4-týždňového obdobia rekonvalesce</w:t>
      </w:r>
      <w:r>
        <w:rPr>
          <w:sz w:val="22"/>
          <w:szCs w:val="22"/>
        </w:rPr>
        <w:t>ncie.</w:t>
      </w:r>
    </w:p>
    <w:p w14:paraId="0451A92A" w14:textId="77777777" w:rsidR="0081018A" w:rsidRDefault="0081018A" w:rsidP="0081018A">
      <w:pPr>
        <w:ind w:left="567" w:hanging="567"/>
        <w:outlineLvl w:val="0"/>
        <w:rPr>
          <w:sz w:val="22"/>
          <w:szCs w:val="22"/>
        </w:rPr>
      </w:pPr>
    </w:p>
    <w:p w14:paraId="4BD370EC" w14:textId="77777777" w:rsidR="0081018A" w:rsidRPr="004D1FDE" w:rsidRDefault="0081018A" w:rsidP="0081018A">
      <w:pPr>
        <w:keepNext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6.</w:t>
      </w:r>
      <w:r w:rsidRPr="004D1FDE">
        <w:rPr>
          <w:b/>
          <w:sz w:val="22"/>
          <w:szCs w:val="22"/>
        </w:rPr>
        <w:tab/>
        <w:t>FARMACEUTICKÉ INFORMÁCIE</w:t>
      </w:r>
    </w:p>
    <w:p w14:paraId="099FDE36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551C743D" w14:textId="77777777" w:rsidR="0081018A" w:rsidRPr="004D1FDE" w:rsidRDefault="0081018A" w:rsidP="0081018A">
      <w:pPr>
        <w:keepNext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6.1</w:t>
      </w:r>
      <w:r w:rsidRPr="004D1FDE">
        <w:rPr>
          <w:b/>
          <w:sz w:val="22"/>
          <w:szCs w:val="22"/>
        </w:rPr>
        <w:tab/>
        <w:t>Zoznam pomocných látok</w:t>
      </w:r>
    </w:p>
    <w:p w14:paraId="3FA431F6" w14:textId="77777777" w:rsidR="0081018A" w:rsidRPr="004D1FDE" w:rsidRDefault="0081018A" w:rsidP="0081018A">
      <w:pPr>
        <w:keepNext/>
        <w:rPr>
          <w:iCs/>
          <w:sz w:val="22"/>
          <w:szCs w:val="22"/>
        </w:rPr>
      </w:pPr>
    </w:p>
    <w:p w14:paraId="165449E5" w14:textId="32381083" w:rsidR="00090B3A" w:rsidRDefault="00090B3A" w:rsidP="0081018A">
      <w:pPr>
        <w:rPr>
          <w:sz w:val="22"/>
          <w:szCs w:val="22"/>
        </w:rPr>
      </w:pPr>
      <w:r>
        <w:rPr>
          <w:sz w:val="22"/>
          <w:szCs w:val="22"/>
        </w:rPr>
        <w:t>laktóza</w:t>
      </w:r>
    </w:p>
    <w:p w14:paraId="2A5D1A14" w14:textId="32A351CB" w:rsidR="0081018A" w:rsidRDefault="0081018A" w:rsidP="0081018A">
      <w:pPr>
        <w:rPr>
          <w:sz w:val="22"/>
          <w:szCs w:val="22"/>
        </w:rPr>
      </w:pPr>
      <w:r w:rsidRPr="0090599A">
        <w:rPr>
          <w:sz w:val="22"/>
          <w:szCs w:val="22"/>
        </w:rPr>
        <w:t>karboxymetylškrob</w:t>
      </w:r>
      <w:r w:rsidR="0090599A" w:rsidRPr="0090599A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7665CE">
        <w:rPr>
          <w:sz w:val="22"/>
          <w:szCs w:val="22"/>
        </w:rPr>
        <w:t>, sodná soľ</w:t>
      </w:r>
    </w:p>
    <w:p w14:paraId="2CEFD807" w14:textId="29495FDD" w:rsidR="0081018A" w:rsidRPr="004D1FDE" w:rsidRDefault="007665CE" w:rsidP="0081018A">
      <w:pPr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14:paraId="01540FF1" w14:textId="77777777" w:rsidR="0081018A" w:rsidRPr="004D1FDE" w:rsidRDefault="0081018A" w:rsidP="0081018A">
      <w:pPr>
        <w:rPr>
          <w:iCs/>
          <w:sz w:val="22"/>
          <w:szCs w:val="22"/>
        </w:rPr>
      </w:pPr>
    </w:p>
    <w:p w14:paraId="10F44B26" w14:textId="77777777" w:rsidR="0081018A" w:rsidRPr="004D1FDE" w:rsidRDefault="0081018A" w:rsidP="006076F1">
      <w:pPr>
        <w:keepNext/>
        <w:keepLines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6.2</w:t>
      </w:r>
      <w:r w:rsidRPr="004D1FDE">
        <w:rPr>
          <w:b/>
          <w:sz w:val="22"/>
          <w:szCs w:val="22"/>
        </w:rPr>
        <w:tab/>
        <w:t>Inkompatibility</w:t>
      </w:r>
    </w:p>
    <w:p w14:paraId="06F3A5EF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4C31787C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>Neaplikovateľné.</w:t>
      </w:r>
    </w:p>
    <w:p w14:paraId="20E80726" w14:textId="77777777" w:rsidR="0081018A" w:rsidRPr="004D1FDE" w:rsidRDefault="0081018A" w:rsidP="0081018A">
      <w:pPr>
        <w:rPr>
          <w:sz w:val="22"/>
          <w:szCs w:val="22"/>
        </w:rPr>
      </w:pPr>
    </w:p>
    <w:p w14:paraId="006713BA" w14:textId="77777777" w:rsidR="0081018A" w:rsidRPr="004D1FDE" w:rsidRDefault="0081018A" w:rsidP="0081018A">
      <w:pPr>
        <w:keepNext/>
        <w:keepLines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6.3</w:t>
      </w:r>
      <w:r w:rsidRPr="004D1FDE">
        <w:rPr>
          <w:b/>
          <w:sz w:val="22"/>
          <w:szCs w:val="22"/>
        </w:rPr>
        <w:tab/>
        <w:t>Čas použiteľnosti</w:t>
      </w:r>
    </w:p>
    <w:p w14:paraId="0D6C6EA9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13DE03B1" w14:textId="77777777" w:rsidR="0081018A" w:rsidRPr="004D1FDE" w:rsidRDefault="0081018A" w:rsidP="0081018A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4D1FDE">
        <w:rPr>
          <w:sz w:val="22"/>
          <w:szCs w:val="22"/>
        </w:rPr>
        <w:t> roky.</w:t>
      </w:r>
    </w:p>
    <w:p w14:paraId="47406B48" w14:textId="77777777" w:rsidR="0081018A" w:rsidRPr="004D1FDE" w:rsidRDefault="0081018A" w:rsidP="0081018A">
      <w:pPr>
        <w:rPr>
          <w:sz w:val="22"/>
          <w:szCs w:val="22"/>
        </w:rPr>
      </w:pPr>
    </w:p>
    <w:p w14:paraId="0D608E38" w14:textId="77777777" w:rsidR="0081018A" w:rsidRPr="004D1FDE" w:rsidRDefault="0081018A" w:rsidP="0081018A">
      <w:pPr>
        <w:keepNext/>
        <w:keepLines/>
        <w:ind w:left="567" w:hanging="567"/>
        <w:outlineLvl w:val="0"/>
        <w:rPr>
          <w:sz w:val="22"/>
          <w:szCs w:val="22"/>
        </w:rPr>
      </w:pPr>
      <w:r w:rsidRPr="004D1FDE">
        <w:rPr>
          <w:b/>
          <w:sz w:val="22"/>
          <w:szCs w:val="22"/>
        </w:rPr>
        <w:t>6.4</w:t>
      </w:r>
      <w:r w:rsidRPr="004D1FDE">
        <w:rPr>
          <w:b/>
          <w:sz w:val="22"/>
          <w:szCs w:val="22"/>
        </w:rPr>
        <w:tab/>
        <w:t>Špeciálne upozornenia na uchovávanie</w:t>
      </w:r>
    </w:p>
    <w:p w14:paraId="4C3CB6F6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5509876B" w14:textId="76AA67F4" w:rsidR="0081018A" w:rsidRDefault="00A42433" w:rsidP="0081018A">
      <w:pPr>
        <w:rPr>
          <w:sz w:val="22"/>
          <w:szCs w:val="22"/>
        </w:rPr>
      </w:pPr>
      <w:r>
        <w:rPr>
          <w:sz w:val="22"/>
          <w:szCs w:val="22"/>
        </w:rPr>
        <w:t>Uchovávajte v pôvodnom obale na ochranu pred </w:t>
      </w:r>
      <w:r w:rsidR="0081018A" w:rsidRPr="004D1FDE">
        <w:rPr>
          <w:sz w:val="22"/>
          <w:szCs w:val="22"/>
        </w:rPr>
        <w:t>vlhkosťou</w:t>
      </w:r>
      <w:r w:rsidR="0081018A">
        <w:rPr>
          <w:sz w:val="22"/>
          <w:szCs w:val="22"/>
        </w:rPr>
        <w:t>.</w:t>
      </w:r>
    </w:p>
    <w:p w14:paraId="35B815F3" w14:textId="6E14FC2C" w:rsidR="00E32DF9" w:rsidRDefault="00E32DF9" w:rsidP="00E32DF9">
      <w:pPr>
        <w:rPr>
          <w:sz w:val="22"/>
          <w:szCs w:val="22"/>
        </w:rPr>
      </w:pPr>
      <w:r>
        <w:rPr>
          <w:sz w:val="22"/>
          <w:szCs w:val="22"/>
        </w:rPr>
        <w:t>Tento liek nevyžaduje žiadne</w:t>
      </w:r>
      <w:r w:rsidR="00A42433">
        <w:rPr>
          <w:sz w:val="22"/>
          <w:szCs w:val="22"/>
        </w:rPr>
        <w:t xml:space="preserve"> zvláštne teplotné podmienky na </w:t>
      </w:r>
      <w:r>
        <w:rPr>
          <w:sz w:val="22"/>
          <w:szCs w:val="22"/>
        </w:rPr>
        <w:t>uchovávanie.</w:t>
      </w:r>
    </w:p>
    <w:p w14:paraId="699CE970" w14:textId="77777777" w:rsidR="0081018A" w:rsidRPr="004D1FDE" w:rsidRDefault="0081018A" w:rsidP="0081018A">
      <w:pPr>
        <w:rPr>
          <w:sz w:val="22"/>
          <w:szCs w:val="22"/>
        </w:rPr>
      </w:pPr>
    </w:p>
    <w:p w14:paraId="43B45829" w14:textId="77777777" w:rsidR="0081018A" w:rsidRPr="004D1FDE" w:rsidRDefault="0081018A" w:rsidP="0081018A">
      <w:pPr>
        <w:keepNext/>
        <w:keepLines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6.5</w:t>
      </w:r>
      <w:r w:rsidRPr="004D1FDE">
        <w:rPr>
          <w:b/>
          <w:sz w:val="22"/>
          <w:szCs w:val="22"/>
        </w:rPr>
        <w:tab/>
        <w:t>Druh obalu a obsah balenia</w:t>
      </w:r>
    </w:p>
    <w:p w14:paraId="78A6FB00" w14:textId="77777777" w:rsidR="0081018A" w:rsidRPr="004D1FDE" w:rsidRDefault="0081018A" w:rsidP="0081018A">
      <w:pPr>
        <w:keepNext/>
        <w:keepLines/>
        <w:rPr>
          <w:sz w:val="22"/>
          <w:szCs w:val="22"/>
        </w:rPr>
      </w:pPr>
    </w:p>
    <w:p w14:paraId="0C99DBC1" w14:textId="09E3A7F4" w:rsidR="00E32DF9" w:rsidRPr="00E32DF9" w:rsidRDefault="0081018A" w:rsidP="0081018A">
      <w:pPr>
        <w:rPr>
          <w:sz w:val="22"/>
          <w:szCs w:val="22"/>
          <w:lang w:eastAsia="en-US"/>
        </w:rPr>
      </w:pPr>
      <w:r w:rsidRPr="00E32DF9">
        <w:rPr>
          <w:sz w:val="22"/>
          <w:szCs w:val="22"/>
          <w:lang w:eastAsia="en-US"/>
        </w:rPr>
        <w:t>OPA/Alu/PVC</w:t>
      </w:r>
      <w:r w:rsidR="00E32DF9">
        <w:rPr>
          <w:sz w:val="22"/>
          <w:szCs w:val="22"/>
          <w:lang w:eastAsia="en-US"/>
        </w:rPr>
        <w:t>-</w:t>
      </w:r>
      <w:r w:rsidRPr="00E32DF9">
        <w:rPr>
          <w:sz w:val="22"/>
          <w:szCs w:val="22"/>
          <w:lang w:eastAsia="en-US"/>
        </w:rPr>
        <w:t xml:space="preserve">Alu </w:t>
      </w:r>
      <w:r w:rsidR="00E32DF9">
        <w:rPr>
          <w:sz w:val="22"/>
          <w:szCs w:val="22"/>
        </w:rPr>
        <w:t>b</w:t>
      </w:r>
      <w:r w:rsidR="00E32DF9" w:rsidRPr="00E32DF9">
        <w:rPr>
          <w:sz w:val="22"/>
          <w:szCs w:val="22"/>
        </w:rPr>
        <w:t>lister</w:t>
      </w:r>
    </w:p>
    <w:p w14:paraId="38F83499" w14:textId="0C41D578" w:rsidR="0081018A" w:rsidRPr="00E32DF9" w:rsidRDefault="00E32DF9" w:rsidP="0081018A">
      <w:pPr>
        <w:rPr>
          <w:sz w:val="22"/>
          <w:szCs w:val="22"/>
        </w:rPr>
      </w:pPr>
      <w:r w:rsidRPr="00E32DF9">
        <w:rPr>
          <w:sz w:val="22"/>
          <w:szCs w:val="22"/>
          <w:lang w:eastAsia="en-US"/>
        </w:rPr>
        <w:t xml:space="preserve">Veľkosť balenia: 14, </w:t>
      </w:r>
      <w:r w:rsidR="0081018A" w:rsidRPr="00E32DF9">
        <w:rPr>
          <w:sz w:val="22"/>
          <w:szCs w:val="22"/>
          <w:lang w:eastAsia="en-US"/>
        </w:rPr>
        <w:t>28, 30, 56, 60</w:t>
      </w:r>
      <w:r>
        <w:rPr>
          <w:sz w:val="22"/>
          <w:szCs w:val="22"/>
          <w:lang w:eastAsia="en-US"/>
        </w:rPr>
        <w:t>,</w:t>
      </w:r>
      <w:r w:rsidR="0081018A" w:rsidRPr="00E32DF9">
        <w:rPr>
          <w:sz w:val="22"/>
          <w:szCs w:val="22"/>
          <w:lang w:eastAsia="en-US"/>
        </w:rPr>
        <w:t xml:space="preserve"> 180 tabliet.</w:t>
      </w:r>
    </w:p>
    <w:p w14:paraId="2506A654" w14:textId="77777777" w:rsidR="0081018A" w:rsidRPr="004D1FDE" w:rsidRDefault="0081018A" w:rsidP="0081018A">
      <w:pPr>
        <w:rPr>
          <w:sz w:val="22"/>
          <w:szCs w:val="22"/>
        </w:rPr>
      </w:pPr>
    </w:p>
    <w:p w14:paraId="0B27A8B4" w14:textId="7EEF7CD8" w:rsidR="0081018A" w:rsidRPr="004D1FDE" w:rsidRDefault="007665CE" w:rsidP="0081018A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0B7FC01C" w14:textId="77777777" w:rsidR="0081018A" w:rsidRPr="004D1FDE" w:rsidRDefault="0081018A" w:rsidP="0081018A">
      <w:pPr>
        <w:rPr>
          <w:sz w:val="22"/>
          <w:szCs w:val="22"/>
        </w:rPr>
      </w:pPr>
    </w:p>
    <w:p w14:paraId="3EF9A6EC" w14:textId="77777777" w:rsidR="0081018A" w:rsidRPr="004D1FDE" w:rsidRDefault="0081018A" w:rsidP="0081018A">
      <w:pPr>
        <w:keepNext/>
        <w:keepLines/>
        <w:widowControl w:val="0"/>
        <w:ind w:left="567" w:hanging="567"/>
        <w:outlineLvl w:val="0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6.6</w:t>
      </w:r>
      <w:r w:rsidRPr="004D1FDE">
        <w:rPr>
          <w:b/>
          <w:sz w:val="22"/>
          <w:szCs w:val="22"/>
        </w:rPr>
        <w:tab/>
        <w:t>Špeciálne opatrenia na likvidáciu</w:t>
      </w:r>
    </w:p>
    <w:p w14:paraId="0A8580C8" w14:textId="77777777" w:rsidR="0081018A" w:rsidRPr="004D1FDE" w:rsidRDefault="0081018A" w:rsidP="0081018A">
      <w:pPr>
        <w:keepNext/>
        <w:keepLines/>
        <w:widowControl w:val="0"/>
        <w:rPr>
          <w:sz w:val="22"/>
          <w:szCs w:val="22"/>
        </w:rPr>
      </w:pPr>
    </w:p>
    <w:p w14:paraId="54A714CA" w14:textId="77777777" w:rsidR="00E32DF9" w:rsidRDefault="0081018A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Žiadne zvláštne </w:t>
      </w:r>
      <w:r w:rsidR="00316E3F">
        <w:rPr>
          <w:sz w:val="22"/>
          <w:szCs w:val="22"/>
        </w:rPr>
        <w:t>požiadavky</w:t>
      </w:r>
      <w:r>
        <w:rPr>
          <w:sz w:val="22"/>
          <w:szCs w:val="22"/>
        </w:rPr>
        <w:t xml:space="preserve"> na likvidáciu. </w:t>
      </w:r>
    </w:p>
    <w:p w14:paraId="3EAA325A" w14:textId="28D56C11" w:rsidR="0081018A" w:rsidRPr="004D1FDE" w:rsidRDefault="00316E3F" w:rsidP="0081018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81018A" w:rsidRPr="004D1FDE">
        <w:rPr>
          <w:sz w:val="22"/>
          <w:szCs w:val="22"/>
        </w:rPr>
        <w:t xml:space="preserve">epoužitý liek alebo odpad vzniknutý z lieku </w:t>
      </w:r>
      <w:r>
        <w:rPr>
          <w:sz w:val="22"/>
          <w:szCs w:val="22"/>
        </w:rPr>
        <w:t xml:space="preserve">sa </w:t>
      </w:r>
      <w:r w:rsidR="0081018A" w:rsidRPr="004D1FDE">
        <w:rPr>
          <w:sz w:val="22"/>
          <w:szCs w:val="22"/>
        </w:rPr>
        <w:t>má zlikvidova</w:t>
      </w:r>
      <w:r>
        <w:rPr>
          <w:sz w:val="22"/>
          <w:szCs w:val="22"/>
        </w:rPr>
        <w:t>ť</w:t>
      </w:r>
      <w:r w:rsidR="0081018A" w:rsidRPr="004D1FDE">
        <w:rPr>
          <w:sz w:val="22"/>
          <w:szCs w:val="22"/>
        </w:rPr>
        <w:t xml:space="preserve"> v súlade s národnými požiadavkami.</w:t>
      </w:r>
    </w:p>
    <w:p w14:paraId="225A7B4B" w14:textId="77777777" w:rsidR="0081018A" w:rsidRPr="004D1FDE" w:rsidRDefault="0081018A" w:rsidP="0081018A">
      <w:pPr>
        <w:rPr>
          <w:sz w:val="22"/>
          <w:szCs w:val="22"/>
        </w:rPr>
      </w:pPr>
    </w:p>
    <w:p w14:paraId="0438A280" w14:textId="77777777" w:rsidR="0081018A" w:rsidRPr="004D1FDE" w:rsidRDefault="0081018A" w:rsidP="0081018A">
      <w:pPr>
        <w:rPr>
          <w:sz w:val="22"/>
          <w:szCs w:val="22"/>
        </w:rPr>
      </w:pPr>
    </w:p>
    <w:p w14:paraId="0BBEA919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7.</w:t>
      </w:r>
      <w:r w:rsidRPr="004D1FDE">
        <w:rPr>
          <w:b/>
          <w:sz w:val="22"/>
          <w:szCs w:val="22"/>
        </w:rPr>
        <w:tab/>
        <w:t>DRŽITEĽ ROZHODNUTIA O REGISTRÁCII</w:t>
      </w:r>
    </w:p>
    <w:p w14:paraId="2C69D815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6ED400DE" w14:textId="77777777" w:rsidR="007C7F46" w:rsidRDefault="007C7F46" w:rsidP="007C7F46">
      <w:pPr>
        <w:widowControl w:val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Zentiva, k.s.</w:t>
      </w:r>
    </w:p>
    <w:p w14:paraId="56323856" w14:textId="0879CA90" w:rsidR="007C7F46" w:rsidRDefault="005D1C2B" w:rsidP="007C7F46">
      <w:pPr>
        <w:widowControl w:val="0"/>
        <w:tabs>
          <w:tab w:val="left" w:pos="1978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U kabelovny 130</w:t>
      </w:r>
    </w:p>
    <w:p w14:paraId="5FA82677" w14:textId="23BD9717" w:rsidR="007C7F46" w:rsidRDefault="005D1C2B" w:rsidP="007C7F46">
      <w:pPr>
        <w:widowControl w:val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102 37 Praha 10 </w:t>
      </w:r>
      <w:r w:rsidR="007C7F46">
        <w:rPr>
          <w:sz w:val="22"/>
          <w:szCs w:val="22"/>
        </w:rPr>
        <w:t>–</w:t>
      </w:r>
      <w:r>
        <w:rPr>
          <w:sz w:val="22"/>
          <w:szCs w:val="22"/>
        </w:rPr>
        <w:t> </w:t>
      </w:r>
      <w:r w:rsidR="007C7F46">
        <w:rPr>
          <w:sz w:val="22"/>
          <w:szCs w:val="22"/>
        </w:rPr>
        <w:t>Dolní Měcholupy</w:t>
      </w:r>
    </w:p>
    <w:p w14:paraId="739379B7" w14:textId="50D87A4C" w:rsidR="0081018A" w:rsidRPr="005308C4" w:rsidRDefault="007C7F46" w:rsidP="007C7F46">
      <w:pPr>
        <w:rPr>
          <w:sz w:val="22"/>
          <w:szCs w:val="22"/>
        </w:rPr>
      </w:pPr>
      <w:r>
        <w:rPr>
          <w:sz w:val="22"/>
          <w:szCs w:val="22"/>
        </w:rPr>
        <w:t>Česká republika</w:t>
      </w:r>
    </w:p>
    <w:p w14:paraId="7BB14462" w14:textId="77777777" w:rsidR="0081018A" w:rsidRDefault="0081018A" w:rsidP="0081018A">
      <w:pPr>
        <w:rPr>
          <w:sz w:val="22"/>
          <w:szCs w:val="22"/>
        </w:rPr>
      </w:pPr>
    </w:p>
    <w:p w14:paraId="5A995AD0" w14:textId="77777777" w:rsidR="0081018A" w:rsidRPr="004D1FDE" w:rsidRDefault="0081018A" w:rsidP="0081018A">
      <w:pPr>
        <w:rPr>
          <w:sz w:val="22"/>
          <w:szCs w:val="22"/>
        </w:rPr>
      </w:pPr>
    </w:p>
    <w:p w14:paraId="483DB71A" w14:textId="77777777" w:rsidR="0081018A" w:rsidRPr="004D1FDE" w:rsidRDefault="0081018A" w:rsidP="0081018A">
      <w:pPr>
        <w:keepNext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8.</w:t>
      </w:r>
      <w:r w:rsidRPr="004D1FDE">
        <w:rPr>
          <w:b/>
          <w:sz w:val="22"/>
          <w:szCs w:val="22"/>
        </w:rPr>
        <w:tab/>
        <w:t>REGISTRAČNÉ ČÍSLO</w:t>
      </w:r>
    </w:p>
    <w:p w14:paraId="02A63C9C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3E6FF02F" w14:textId="49ED4A1C" w:rsidR="0081018A" w:rsidRDefault="006B36A1" w:rsidP="0081018A">
      <w:pPr>
        <w:rPr>
          <w:sz w:val="22"/>
          <w:szCs w:val="22"/>
        </w:rPr>
      </w:pPr>
      <w:r w:rsidRPr="006B36A1">
        <w:rPr>
          <w:sz w:val="22"/>
          <w:szCs w:val="22"/>
        </w:rPr>
        <w:t>18/0045/19-S</w:t>
      </w:r>
    </w:p>
    <w:p w14:paraId="17258600" w14:textId="77777777" w:rsidR="00E9454D" w:rsidRPr="004D1FDE" w:rsidRDefault="00E9454D" w:rsidP="0081018A">
      <w:pPr>
        <w:rPr>
          <w:sz w:val="22"/>
          <w:szCs w:val="22"/>
        </w:rPr>
      </w:pPr>
    </w:p>
    <w:p w14:paraId="675E07CD" w14:textId="77777777" w:rsidR="0081018A" w:rsidRPr="004D1FDE" w:rsidRDefault="0081018A" w:rsidP="0081018A">
      <w:pPr>
        <w:rPr>
          <w:sz w:val="22"/>
          <w:szCs w:val="22"/>
        </w:rPr>
      </w:pPr>
    </w:p>
    <w:p w14:paraId="1D5E3451" w14:textId="77777777" w:rsidR="0081018A" w:rsidRPr="004D1FDE" w:rsidRDefault="0081018A" w:rsidP="0081018A">
      <w:pPr>
        <w:keepNext/>
        <w:ind w:left="567" w:hanging="567"/>
        <w:rPr>
          <w:sz w:val="22"/>
          <w:szCs w:val="22"/>
        </w:rPr>
      </w:pPr>
      <w:r w:rsidRPr="004D1FDE">
        <w:rPr>
          <w:b/>
          <w:sz w:val="22"/>
          <w:szCs w:val="22"/>
        </w:rPr>
        <w:t>9.</w:t>
      </w:r>
      <w:r w:rsidRPr="004D1FDE">
        <w:rPr>
          <w:b/>
          <w:sz w:val="22"/>
          <w:szCs w:val="22"/>
        </w:rPr>
        <w:tab/>
        <w:t>DÁTUM PRVEJ REGISTRÁCIE/PREDĹŽENIA REGISTRÁCIE</w:t>
      </w:r>
    </w:p>
    <w:p w14:paraId="4209D008" w14:textId="77777777" w:rsidR="0081018A" w:rsidRPr="004D1FDE" w:rsidRDefault="0081018A" w:rsidP="0081018A">
      <w:pPr>
        <w:keepNext/>
        <w:rPr>
          <w:sz w:val="22"/>
          <w:szCs w:val="22"/>
        </w:rPr>
      </w:pPr>
    </w:p>
    <w:p w14:paraId="0D7E9D20" w14:textId="77777777" w:rsidR="0081018A" w:rsidRPr="004D1FDE" w:rsidRDefault="0081018A" w:rsidP="0081018A">
      <w:pPr>
        <w:rPr>
          <w:sz w:val="22"/>
          <w:szCs w:val="22"/>
        </w:rPr>
      </w:pPr>
      <w:r w:rsidRPr="004D1FDE">
        <w:rPr>
          <w:sz w:val="22"/>
          <w:szCs w:val="22"/>
        </w:rPr>
        <w:t xml:space="preserve">Dátum prvej registrácie: </w:t>
      </w:r>
    </w:p>
    <w:p w14:paraId="4D5E7C69" w14:textId="77777777" w:rsidR="0081018A" w:rsidRPr="004D1FDE" w:rsidRDefault="0081018A" w:rsidP="0081018A">
      <w:pPr>
        <w:rPr>
          <w:sz w:val="22"/>
          <w:szCs w:val="22"/>
        </w:rPr>
      </w:pPr>
    </w:p>
    <w:p w14:paraId="3A061458" w14:textId="77777777" w:rsidR="0081018A" w:rsidRPr="004D1FDE" w:rsidRDefault="0081018A" w:rsidP="0081018A">
      <w:pPr>
        <w:rPr>
          <w:sz w:val="22"/>
          <w:szCs w:val="22"/>
        </w:rPr>
      </w:pPr>
    </w:p>
    <w:p w14:paraId="1647547B" w14:textId="77777777" w:rsidR="0081018A" w:rsidRPr="004D1FDE" w:rsidRDefault="0081018A" w:rsidP="0081018A">
      <w:pPr>
        <w:keepNext/>
        <w:ind w:left="567" w:hanging="567"/>
        <w:rPr>
          <w:b/>
          <w:sz w:val="22"/>
          <w:szCs w:val="22"/>
        </w:rPr>
      </w:pPr>
      <w:r w:rsidRPr="004D1FDE">
        <w:rPr>
          <w:b/>
          <w:sz w:val="22"/>
          <w:szCs w:val="22"/>
        </w:rPr>
        <w:t>10.</w:t>
      </w:r>
      <w:r w:rsidRPr="004D1FDE">
        <w:rPr>
          <w:b/>
          <w:sz w:val="22"/>
          <w:szCs w:val="22"/>
        </w:rPr>
        <w:tab/>
        <w:t>DÁTUM REVÍZIE TEXTU</w:t>
      </w:r>
    </w:p>
    <w:p w14:paraId="4980A45C" w14:textId="77777777" w:rsidR="0081018A" w:rsidRPr="004D1FDE" w:rsidRDefault="0081018A" w:rsidP="0081018A">
      <w:pPr>
        <w:rPr>
          <w:sz w:val="22"/>
          <w:szCs w:val="22"/>
        </w:rPr>
      </w:pPr>
    </w:p>
    <w:p w14:paraId="531329C7" w14:textId="17D28498" w:rsidR="00894802" w:rsidRDefault="007665CE" w:rsidP="0078763F">
      <w:r>
        <w:t>02/2019</w:t>
      </w:r>
    </w:p>
    <w:sectPr w:rsidR="00894802" w:rsidSect="00DC580E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CB4D" w14:textId="77777777" w:rsidR="00B40276" w:rsidRDefault="00B40276" w:rsidP="0081018A">
      <w:r>
        <w:separator/>
      </w:r>
    </w:p>
  </w:endnote>
  <w:endnote w:type="continuationSeparator" w:id="0">
    <w:p w14:paraId="5AA3AA2C" w14:textId="77777777" w:rsidR="00B40276" w:rsidRDefault="00B40276" w:rsidP="0081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CCKJ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8092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203F55" w14:textId="1D02E241" w:rsidR="00B40276" w:rsidRPr="00962F06" w:rsidRDefault="00B40276">
        <w:pPr>
          <w:pStyle w:val="Pta"/>
          <w:jc w:val="center"/>
          <w:rPr>
            <w:sz w:val="18"/>
            <w:szCs w:val="18"/>
          </w:rPr>
        </w:pPr>
        <w:r w:rsidRPr="00962F06">
          <w:rPr>
            <w:sz w:val="18"/>
            <w:szCs w:val="18"/>
          </w:rPr>
          <w:fldChar w:fldCharType="begin"/>
        </w:r>
        <w:r w:rsidRPr="00962F06">
          <w:rPr>
            <w:sz w:val="18"/>
            <w:szCs w:val="18"/>
          </w:rPr>
          <w:instrText>PAGE   \* MERGEFORMAT</w:instrText>
        </w:r>
        <w:r w:rsidRPr="00962F06">
          <w:rPr>
            <w:sz w:val="18"/>
            <w:szCs w:val="18"/>
          </w:rPr>
          <w:fldChar w:fldCharType="separate"/>
        </w:r>
        <w:r w:rsidR="00DC580E">
          <w:rPr>
            <w:noProof/>
            <w:sz w:val="18"/>
            <w:szCs w:val="18"/>
          </w:rPr>
          <w:t>1</w:t>
        </w:r>
        <w:r w:rsidRPr="00962F06">
          <w:rPr>
            <w:sz w:val="18"/>
            <w:szCs w:val="18"/>
          </w:rPr>
          <w:fldChar w:fldCharType="end"/>
        </w:r>
      </w:p>
    </w:sdtContent>
  </w:sdt>
  <w:p w14:paraId="3E201006" w14:textId="77777777" w:rsidR="00B40276" w:rsidRDefault="00B402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C8BF5" w14:textId="77777777" w:rsidR="00B40276" w:rsidRDefault="00B40276" w:rsidP="0081018A">
      <w:r>
        <w:separator/>
      </w:r>
    </w:p>
  </w:footnote>
  <w:footnote w:type="continuationSeparator" w:id="0">
    <w:p w14:paraId="510E73C1" w14:textId="77777777" w:rsidR="00B40276" w:rsidRDefault="00B40276" w:rsidP="0081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0E2D0" w14:textId="7D96EEF2" w:rsidR="00B40276" w:rsidRPr="00C31752" w:rsidRDefault="00B40276" w:rsidP="006076F1">
    <w:pPr>
      <w:pStyle w:val="Hlavika"/>
      <w:rPr>
        <w:sz w:val="18"/>
        <w:szCs w:val="18"/>
      </w:rPr>
    </w:pPr>
    <w:r w:rsidRPr="00C31752">
      <w:rPr>
        <w:sz w:val="18"/>
        <w:szCs w:val="18"/>
      </w:rPr>
      <w:t>Schválený text k rozhodnutiu o registrácii, ev. č.: 201</w:t>
    </w:r>
    <w:r>
      <w:rPr>
        <w:sz w:val="18"/>
        <w:szCs w:val="18"/>
      </w:rPr>
      <w:t>7</w:t>
    </w:r>
    <w:r w:rsidRPr="00C31752">
      <w:rPr>
        <w:sz w:val="18"/>
        <w:szCs w:val="18"/>
      </w:rPr>
      <w:t>/03</w:t>
    </w:r>
    <w:r>
      <w:rPr>
        <w:sz w:val="18"/>
        <w:szCs w:val="18"/>
      </w:rPr>
      <w:t>81</w:t>
    </w:r>
    <w:r w:rsidRPr="00C31752">
      <w:rPr>
        <w:sz w:val="18"/>
        <w:szCs w:val="18"/>
      </w:rPr>
      <w:t>3-REG</w:t>
    </w:r>
  </w:p>
  <w:p w14:paraId="16EF846A" w14:textId="77777777" w:rsidR="00B40276" w:rsidRDefault="00B40276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95162"/>
    <w:multiLevelType w:val="hybridMultilevel"/>
    <w:tmpl w:val="D6865D1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2F9647B"/>
    <w:multiLevelType w:val="hybridMultilevel"/>
    <w:tmpl w:val="064AAC06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58CB"/>
    <w:multiLevelType w:val="hybridMultilevel"/>
    <w:tmpl w:val="6E0668EA"/>
    <w:lvl w:ilvl="0" w:tplc="04090001">
      <w:start w:val="1"/>
      <w:numFmt w:val="bullet"/>
      <w:pStyle w:val="BodyTextInden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79F1"/>
    <w:multiLevelType w:val="hybridMultilevel"/>
    <w:tmpl w:val="A5AC4C8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40BC2"/>
    <w:multiLevelType w:val="hybridMultilevel"/>
    <w:tmpl w:val="82740C12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4C69"/>
    <w:multiLevelType w:val="hybridMultilevel"/>
    <w:tmpl w:val="5246CF3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4AB"/>
    <w:multiLevelType w:val="hybridMultilevel"/>
    <w:tmpl w:val="C63A52E6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0ABC"/>
    <w:multiLevelType w:val="hybridMultilevel"/>
    <w:tmpl w:val="0A50EA76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45F53"/>
    <w:multiLevelType w:val="hybridMultilevel"/>
    <w:tmpl w:val="86364C1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250"/>
    <w:multiLevelType w:val="hybridMultilevel"/>
    <w:tmpl w:val="A99EC134"/>
    <w:lvl w:ilvl="0" w:tplc="1834DB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E35B1"/>
    <w:multiLevelType w:val="hybridMultilevel"/>
    <w:tmpl w:val="1542F02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618EE"/>
    <w:multiLevelType w:val="hybridMultilevel"/>
    <w:tmpl w:val="2BA84A2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97CA3"/>
    <w:multiLevelType w:val="hybridMultilevel"/>
    <w:tmpl w:val="8708C3D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419B"/>
    <w:multiLevelType w:val="hybridMultilevel"/>
    <w:tmpl w:val="2B9AFE8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4D05"/>
    <w:multiLevelType w:val="hybridMultilevel"/>
    <w:tmpl w:val="16CE497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tabs>
            <w:tab w:val="num" w:pos="312"/>
          </w:tabs>
          <w:ind w:left="879" w:hanging="567"/>
        </w:pPr>
        <w:rPr>
          <w:rFonts w:hint="default"/>
        </w:rPr>
      </w:lvl>
    </w:lvlOverride>
  </w:num>
  <w:num w:numId="2">
    <w:abstractNumId w:val="2"/>
  </w:num>
  <w:num w:numId="3">
    <w:abstractNumId w:val="4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9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8A"/>
    <w:rsid w:val="0004766D"/>
    <w:rsid w:val="00070D49"/>
    <w:rsid w:val="00074202"/>
    <w:rsid w:val="00082F44"/>
    <w:rsid w:val="00082FAD"/>
    <w:rsid w:val="00090B3A"/>
    <w:rsid w:val="00097146"/>
    <w:rsid w:val="000C18F9"/>
    <w:rsid w:val="000E5C05"/>
    <w:rsid w:val="00124437"/>
    <w:rsid w:val="001656A8"/>
    <w:rsid w:val="00187F4C"/>
    <w:rsid w:val="001A6B1D"/>
    <w:rsid w:val="00227C92"/>
    <w:rsid w:val="0024385A"/>
    <w:rsid w:val="002554DB"/>
    <w:rsid w:val="00285AB3"/>
    <w:rsid w:val="002A1355"/>
    <w:rsid w:val="002F5E4D"/>
    <w:rsid w:val="00300EC2"/>
    <w:rsid w:val="0031681E"/>
    <w:rsid w:val="00316E3F"/>
    <w:rsid w:val="00332967"/>
    <w:rsid w:val="0033342D"/>
    <w:rsid w:val="003B7BDF"/>
    <w:rsid w:val="003D46D9"/>
    <w:rsid w:val="003D63C3"/>
    <w:rsid w:val="0049266F"/>
    <w:rsid w:val="004C011D"/>
    <w:rsid w:val="004F3514"/>
    <w:rsid w:val="00502F6E"/>
    <w:rsid w:val="00503042"/>
    <w:rsid w:val="00513DEA"/>
    <w:rsid w:val="00562C8E"/>
    <w:rsid w:val="00565D87"/>
    <w:rsid w:val="005906F4"/>
    <w:rsid w:val="005D1C2B"/>
    <w:rsid w:val="006076F1"/>
    <w:rsid w:val="00646582"/>
    <w:rsid w:val="0066641C"/>
    <w:rsid w:val="00693C8B"/>
    <w:rsid w:val="006971BA"/>
    <w:rsid w:val="006B36A1"/>
    <w:rsid w:val="006D5623"/>
    <w:rsid w:val="00724C8E"/>
    <w:rsid w:val="00741E52"/>
    <w:rsid w:val="007656EB"/>
    <w:rsid w:val="007665CE"/>
    <w:rsid w:val="0078763F"/>
    <w:rsid w:val="0079113D"/>
    <w:rsid w:val="007B470C"/>
    <w:rsid w:val="007C47DD"/>
    <w:rsid w:val="007C7F46"/>
    <w:rsid w:val="007D184E"/>
    <w:rsid w:val="007E4328"/>
    <w:rsid w:val="007F0AD4"/>
    <w:rsid w:val="0081018A"/>
    <w:rsid w:val="0081560B"/>
    <w:rsid w:val="00894802"/>
    <w:rsid w:val="008C657B"/>
    <w:rsid w:val="008E112F"/>
    <w:rsid w:val="0090599A"/>
    <w:rsid w:val="009173C9"/>
    <w:rsid w:val="009249B3"/>
    <w:rsid w:val="00952E8C"/>
    <w:rsid w:val="00962F06"/>
    <w:rsid w:val="009B39EE"/>
    <w:rsid w:val="009C5FF3"/>
    <w:rsid w:val="00A42433"/>
    <w:rsid w:val="00A51B9E"/>
    <w:rsid w:val="00A52685"/>
    <w:rsid w:val="00A67F96"/>
    <w:rsid w:val="00B25478"/>
    <w:rsid w:val="00B370D4"/>
    <w:rsid w:val="00B40276"/>
    <w:rsid w:val="00B41F02"/>
    <w:rsid w:val="00B60418"/>
    <w:rsid w:val="00B7342E"/>
    <w:rsid w:val="00B76F9A"/>
    <w:rsid w:val="00B93F62"/>
    <w:rsid w:val="00BA3BF6"/>
    <w:rsid w:val="00BA70F0"/>
    <w:rsid w:val="00BF1CAE"/>
    <w:rsid w:val="00C54166"/>
    <w:rsid w:val="00C61EE3"/>
    <w:rsid w:val="00C66C84"/>
    <w:rsid w:val="00C94F44"/>
    <w:rsid w:val="00D64D7E"/>
    <w:rsid w:val="00D7781A"/>
    <w:rsid w:val="00DB6087"/>
    <w:rsid w:val="00DC580E"/>
    <w:rsid w:val="00DF747A"/>
    <w:rsid w:val="00E32DF9"/>
    <w:rsid w:val="00E43D78"/>
    <w:rsid w:val="00E7271B"/>
    <w:rsid w:val="00E75CFC"/>
    <w:rsid w:val="00E85014"/>
    <w:rsid w:val="00E9023C"/>
    <w:rsid w:val="00E9454D"/>
    <w:rsid w:val="00EA0FB9"/>
    <w:rsid w:val="00EA1600"/>
    <w:rsid w:val="00EC3AA5"/>
    <w:rsid w:val="00ED5FD3"/>
    <w:rsid w:val="00ED6CF4"/>
    <w:rsid w:val="00F220B9"/>
    <w:rsid w:val="00F43893"/>
    <w:rsid w:val="00F6104A"/>
    <w:rsid w:val="00FA15A9"/>
    <w:rsid w:val="00F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01195E"/>
  <w15:docId w15:val="{6A3B5AC0-A1CE-4C42-B909-30F0DA1B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D70AR,Info rubrik 1,titel 1,WLI Heading Level a"/>
    <w:basedOn w:val="Normlny"/>
    <w:next w:val="Normlny"/>
    <w:link w:val="Nadpis1Char"/>
    <w:qFormat/>
    <w:rsid w:val="0081018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aliases w:val="D70AR2"/>
    <w:basedOn w:val="Normlny"/>
    <w:next w:val="Normlny"/>
    <w:link w:val="Nadpis2Char"/>
    <w:qFormat/>
    <w:rsid w:val="008101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en-GB" w:eastAsia="en-US"/>
    </w:rPr>
  </w:style>
  <w:style w:type="paragraph" w:styleId="Nadpis3">
    <w:name w:val="heading 3"/>
    <w:aliases w:val="D70AR3"/>
    <w:basedOn w:val="Normlny"/>
    <w:next w:val="Normlny"/>
    <w:link w:val="Nadpis3Char"/>
    <w:qFormat/>
    <w:rsid w:val="0081018A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 w:eastAsia="en-US"/>
    </w:rPr>
  </w:style>
  <w:style w:type="paragraph" w:styleId="Nadpis4">
    <w:name w:val="heading 4"/>
    <w:aliases w:val="D70AR4"/>
    <w:basedOn w:val="Normlny"/>
    <w:next w:val="Normlny"/>
    <w:link w:val="Nadpis4Char"/>
    <w:qFormat/>
    <w:rsid w:val="0081018A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 w:val="22"/>
      <w:szCs w:val="20"/>
      <w:lang w:val="en-GB" w:eastAsia="en-US"/>
    </w:rPr>
  </w:style>
  <w:style w:type="paragraph" w:styleId="Nadpis5">
    <w:name w:val="heading 5"/>
    <w:aliases w:val="D70AR5"/>
    <w:basedOn w:val="Normlny"/>
    <w:next w:val="Normlny"/>
    <w:link w:val="Nadpis5Char"/>
    <w:qFormat/>
    <w:rsid w:val="0081018A"/>
    <w:pPr>
      <w:keepNext/>
      <w:tabs>
        <w:tab w:val="left" w:pos="567"/>
      </w:tabs>
      <w:spacing w:line="260" w:lineRule="exact"/>
      <w:jc w:val="both"/>
      <w:outlineLvl w:val="4"/>
    </w:pPr>
    <w:rPr>
      <w:noProof/>
      <w:sz w:val="22"/>
      <w:szCs w:val="20"/>
      <w:lang w:val="en-GB" w:eastAsia="en-US"/>
    </w:rPr>
  </w:style>
  <w:style w:type="paragraph" w:styleId="Nadpis6">
    <w:name w:val="heading 6"/>
    <w:basedOn w:val="Normlny"/>
    <w:next w:val="Normlny"/>
    <w:link w:val="Nadpis6Char"/>
    <w:qFormat/>
    <w:rsid w:val="0081018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 w:val="22"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81018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en-GB" w:eastAsia="en-US"/>
    </w:rPr>
  </w:style>
  <w:style w:type="paragraph" w:styleId="Nadpis8">
    <w:name w:val="heading 8"/>
    <w:basedOn w:val="Normlny"/>
    <w:next w:val="Normlny"/>
    <w:link w:val="Nadpis8Char"/>
    <w:qFormat/>
    <w:rsid w:val="0081018A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 w:val="22"/>
      <w:szCs w:val="20"/>
      <w:lang w:val="en-GB" w:eastAsia="en-US"/>
    </w:rPr>
  </w:style>
  <w:style w:type="paragraph" w:styleId="Nadpis9">
    <w:name w:val="heading 9"/>
    <w:basedOn w:val="Normlny"/>
    <w:next w:val="Normlny"/>
    <w:link w:val="Nadpis9Char"/>
    <w:qFormat/>
    <w:rsid w:val="0081018A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70AR Char,Info rubrik 1 Char,titel 1 Char,WLI Heading Level a Char"/>
    <w:basedOn w:val="Predvolenpsmoodseku"/>
    <w:link w:val="Nadpis1"/>
    <w:rsid w:val="008101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aliases w:val="D70AR2 Char"/>
    <w:basedOn w:val="Predvolenpsmoodseku"/>
    <w:link w:val="Nadpis2"/>
    <w:rsid w:val="0081018A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aliases w:val="D70AR3 Char"/>
    <w:basedOn w:val="Predvolenpsmoodseku"/>
    <w:link w:val="Nadpis3"/>
    <w:rsid w:val="0081018A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aliases w:val="D70AR4 Char"/>
    <w:basedOn w:val="Predvolenpsmoodseku"/>
    <w:link w:val="Nadpis4"/>
    <w:rsid w:val="0081018A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aliases w:val="D70AR5 Char"/>
    <w:basedOn w:val="Predvolenpsmoodseku"/>
    <w:link w:val="Nadpis5"/>
    <w:rsid w:val="0081018A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81018A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81018A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81018A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81018A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Textkomentra">
    <w:name w:val="annotation text"/>
    <w:basedOn w:val="Normlny"/>
    <w:link w:val="TextkomentraChar"/>
    <w:semiHidden/>
    <w:rsid w:val="0081018A"/>
    <w:pPr>
      <w:tabs>
        <w:tab w:val="left" w:pos="567"/>
      </w:tabs>
      <w:spacing w:line="260" w:lineRule="exact"/>
    </w:pPr>
    <w:rPr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1018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AHeader1">
    <w:name w:val="AHeader 1"/>
    <w:basedOn w:val="Normlny"/>
    <w:rsid w:val="0081018A"/>
    <w:pPr>
      <w:numPr>
        <w:numId w:val="2"/>
      </w:numPr>
      <w:spacing w:after="120"/>
    </w:pPr>
    <w:rPr>
      <w:rFonts w:ascii="Arial" w:hAnsi="Arial" w:cs="Arial"/>
      <w:b/>
      <w:bCs/>
      <w:szCs w:val="20"/>
      <w:lang w:eastAsia="en-US"/>
    </w:rPr>
  </w:style>
  <w:style w:type="paragraph" w:customStyle="1" w:styleId="AHeader2">
    <w:name w:val="AHeader 2"/>
    <w:basedOn w:val="AHeader1"/>
    <w:rsid w:val="0081018A"/>
    <w:pPr>
      <w:numPr>
        <w:ilvl w:val="1"/>
      </w:numPr>
      <w:tabs>
        <w:tab w:val="clear" w:pos="709"/>
        <w:tab w:val="num" w:pos="360"/>
        <w:tab w:val="num" w:pos="643"/>
      </w:tabs>
      <w:ind w:left="643" w:hanging="360"/>
    </w:pPr>
    <w:rPr>
      <w:sz w:val="22"/>
    </w:rPr>
  </w:style>
  <w:style w:type="paragraph" w:customStyle="1" w:styleId="AHeader3">
    <w:name w:val="AHeader 3"/>
    <w:basedOn w:val="AHeader2"/>
    <w:rsid w:val="0081018A"/>
    <w:pPr>
      <w:numPr>
        <w:ilvl w:val="2"/>
      </w:numPr>
      <w:tabs>
        <w:tab w:val="clear" w:pos="1276"/>
        <w:tab w:val="num" w:pos="360"/>
        <w:tab w:val="num" w:pos="643"/>
      </w:tabs>
      <w:ind w:left="643" w:hanging="360"/>
    </w:pPr>
  </w:style>
  <w:style w:type="paragraph" w:customStyle="1" w:styleId="AHeader2abc">
    <w:name w:val="AHeader 2 abc"/>
    <w:basedOn w:val="AHeader3"/>
    <w:rsid w:val="0081018A"/>
    <w:pPr>
      <w:numPr>
        <w:ilvl w:val="3"/>
      </w:numPr>
      <w:tabs>
        <w:tab w:val="clear" w:pos="1276"/>
        <w:tab w:val="num" w:pos="360"/>
        <w:tab w:val="num" w:pos="643"/>
      </w:tabs>
      <w:ind w:left="643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1018A"/>
    <w:pPr>
      <w:numPr>
        <w:ilvl w:val="4"/>
      </w:numPr>
      <w:tabs>
        <w:tab w:val="clear" w:pos="1701"/>
        <w:tab w:val="num" w:pos="360"/>
        <w:tab w:val="num" w:pos="643"/>
      </w:tabs>
      <w:ind w:left="643" w:hanging="360"/>
    </w:pPr>
  </w:style>
  <w:style w:type="paragraph" w:customStyle="1" w:styleId="Text1">
    <w:name w:val="Text 1"/>
    <w:basedOn w:val="Normlny"/>
    <w:rsid w:val="0081018A"/>
    <w:pPr>
      <w:spacing w:after="240"/>
    </w:pPr>
    <w:rPr>
      <w:szCs w:val="20"/>
      <w:lang w:val="en-US" w:eastAsia="en-US"/>
    </w:rPr>
  </w:style>
  <w:style w:type="character" w:customStyle="1" w:styleId="Text1Char">
    <w:name w:val="Text 1 Char"/>
    <w:rsid w:val="0081018A"/>
    <w:rPr>
      <w:sz w:val="24"/>
      <w:lang w:val="en-US" w:eastAsia="en-US" w:bidi="ar-SA"/>
    </w:rPr>
  </w:style>
  <w:style w:type="paragraph" w:customStyle="1" w:styleId="EMEABodyText">
    <w:name w:val="EMEA Body Text"/>
    <w:basedOn w:val="Normlny"/>
    <w:rsid w:val="0081018A"/>
    <w:rPr>
      <w:sz w:val="22"/>
      <w:szCs w:val="20"/>
      <w:lang w:eastAsia="en-US"/>
    </w:rPr>
  </w:style>
  <w:style w:type="paragraph" w:customStyle="1" w:styleId="EMEABodyTextIndent">
    <w:name w:val="EMEA Body Text Indent"/>
    <w:basedOn w:val="Normlny"/>
    <w:next w:val="Normlny"/>
    <w:rsid w:val="0081018A"/>
    <w:pPr>
      <w:ind w:left="567" w:hanging="567"/>
    </w:pPr>
    <w:rPr>
      <w:sz w:val="22"/>
      <w:szCs w:val="20"/>
      <w:lang w:eastAsia="en-US"/>
    </w:rPr>
  </w:style>
  <w:style w:type="paragraph" w:customStyle="1" w:styleId="CM39">
    <w:name w:val="CM39"/>
    <w:basedOn w:val="Normlny"/>
    <w:next w:val="Normlny"/>
    <w:rsid w:val="0081018A"/>
    <w:pPr>
      <w:widowControl w:val="0"/>
      <w:autoSpaceDE w:val="0"/>
      <w:autoSpaceDN w:val="0"/>
      <w:adjustRightInd w:val="0"/>
      <w:spacing w:after="250"/>
    </w:pPr>
    <w:rPr>
      <w:rFonts w:ascii="KCCKJE+TimesNewRoman" w:hAnsi="KCCKJE+TimesNewRoman"/>
      <w:lang w:val="de-DE" w:eastAsia="de-DE"/>
    </w:rPr>
  </w:style>
  <w:style w:type="paragraph" w:styleId="Popis">
    <w:name w:val="caption"/>
    <w:aliases w:val=" Char,Char"/>
    <w:basedOn w:val="Normlny"/>
    <w:next w:val="Normlny"/>
    <w:qFormat/>
    <w:rsid w:val="0081018A"/>
    <w:pPr>
      <w:keepNext/>
      <w:keepLines/>
      <w:spacing w:after="120"/>
      <w:ind w:left="2160" w:hanging="2160"/>
    </w:pPr>
    <w:rPr>
      <w:b/>
      <w:szCs w:val="20"/>
      <w:lang w:val="en-US" w:eastAsia="en-US"/>
    </w:rPr>
  </w:style>
  <w:style w:type="character" w:customStyle="1" w:styleId="CharCharChar">
    <w:name w:val="Char Char Char"/>
    <w:rsid w:val="0081018A"/>
    <w:rPr>
      <w:b/>
      <w:sz w:val="24"/>
      <w:lang w:val="en-US" w:eastAsia="en-US" w:bidi="ar-SA"/>
    </w:rPr>
  </w:style>
  <w:style w:type="paragraph" w:styleId="Zoznamsodrkami">
    <w:name w:val="List Bullet"/>
    <w:basedOn w:val="Normlny"/>
    <w:autoRedefine/>
    <w:rsid w:val="0081018A"/>
    <w:pPr>
      <w:tabs>
        <w:tab w:val="num" w:pos="360"/>
        <w:tab w:val="left" w:pos="567"/>
      </w:tabs>
      <w:spacing w:line="260" w:lineRule="exact"/>
      <w:ind w:left="360" w:hanging="360"/>
    </w:pPr>
    <w:rPr>
      <w:sz w:val="22"/>
      <w:szCs w:val="20"/>
      <w:lang w:eastAsia="en-US"/>
    </w:rPr>
  </w:style>
  <w:style w:type="paragraph" w:styleId="Zoznamsodrkami2">
    <w:name w:val="List Bullet 2"/>
    <w:basedOn w:val="Normlny"/>
    <w:autoRedefine/>
    <w:rsid w:val="0081018A"/>
    <w:pPr>
      <w:tabs>
        <w:tab w:val="left" w:pos="567"/>
        <w:tab w:val="num" w:pos="643"/>
      </w:tabs>
      <w:spacing w:line="260" w:lineRule="exact"/>
      <w:ind w:left="643" w:hanging="360"/>
    </w:pPr>
    <w:rPr>
      <w:sz w:val="22"/>
      <w:szCs w:val="20"/>
      <w:lang w:eastAsia="en-US"/>
    </w:rPr>
  </w:style>
  <w:style w:type="paragraph" w:styleId="Zoznamsodrkami3">
    <w:name w:val="List Bullet 3"/>
    <w:basedOn w:val="Normlny"/>
    <w:autoRedefine/>
    <w:rsid w:val="0081018A"/>
    <w:pPr>
      <w:tabs>
        <w:tab w:val="left" w:pos="567"/>
        <w:tab w:val="num" w:pos="926"/>
      </w:tabs>
      <w:spacing w:line="260" w:lineRule="exact"/>
      <w:ind w:left="926" w:hanging="360"/>
    </w:pPr>
    <w:rPr>
      <w:sz w:val="22"/>
      <w:szCs w:val="20"/>
      <w:lang w:eastAsia="en-US"/>
    </w:rPr>
  </w:style>
  <w:style w:type="paragraph" w:styleId="Zoznamsodrkami4">
    <w:name w:val="List Bullet 4"/>
    <w:basedOn w:val="Normlny"/>
    <w:autoRedefine/>
    <w:rsid w:val="0081018A"/>
    <w:pPr>
      <w:tabs>
        <w:tab w:val="left" w:pos="567"/>
        <w:tab w:val="num" w:pos="1209"/>
      </w:tabs>
      <w:spacing w:line="260" w:lineRule="exact"/>
      <w:ind w:left="1209" w:hanging="360"/>
    </w:pPr>
    <w:rPr>
      <w:sz w:val="22"/>
      <w:szCs w:val="20"/>
      <w:lang w:eastAsia="en-US"/>
    </w:rPr>
  </w:style>
  <w:style w:type="paragraph" w:styleId="Zoznamsodrkami5">
    <w:name w:val="List Bullet 5"/>
    <w:basedOn w:val="Normlny"/>
    <w:autoRedefine/>
    <w:rsid w:val="0081018A"/>
    <w:pPr>
      <w:tabs>
        <w:tab w:val="left" w:pos="567"/>
        <w:tab w:val="num" w:pos="1492"/>
      </w:tabs>
      <w:spacing w:line="260" w:lineRule="exact"/>
      <w:ind w:left="1492" w:hanging="360"/>
    </w:pPr>
    <w:rPr>
      <w:sz w:val="22"/>
      <w:szCs w:val="20"/>
      <w:lang w:eastAsia="en-US"/>
    </w:rPr>
  </w:style>
  <w:style w:type="paragraph" w:styleId="slovanzoznam">
    <w:name w:val="List Number"/>
    <w:basedOn w:val="Normlny"/>
    <w:rsid w:val="0081018A"/>
    <w:pPr>
      <w:tabs>
        <w:tab w:val="num" w:pos="360"/>
        <w:tab w:val="left" w:pos="567"/>
      </w:tabs>
      <w:spacing w:line="260" w:lineRule="exact"/>
      <w:ind w:left="360" w:hanging="360"/>
    </w:pPr>
    <w:rPr>
      <w:sz w:val="22"/>
      <w:szCs w:val="20"/>
      <w:lang w:eastAsia="en-US"/>
    </w:rPr>
  </w:style>
  <w:style w:type="paragraph" w:styleId="slovanzoznam2">
    <w:name w:val="List Number 2"/>
    <w:basedOn w:val="Normlny"/>
    <w:rsid w:val="0081018A"/>
    <w:pPr>
      <w:tabs>
        <w:tab w:val="left" w:pos="567"/>
        <w:tab w:val="num" w:pos="643"/>
      </w:tabs>
      <w:spacing w:line="260" w:lineRule="exact"/>
      <w:ind w:left="643" w:hanging="360"/>
    </w:pPr>
    <w:rPr>
      <w:sz w:val="22"/>
      <w:szCs w:val="20"/>
      <w:lang w:eastAsia="en-US"/>
    </w:rPr>
  </w:style>
  <w:style w:type="paragraph" w:styleId="slovanzoznam3">
    <w:name w:val="List Number 3"/>
    <w:basedOn w:val="Normlny"/>
    <w:rsid w:val="0081018A"/>
    <w:pPr>
      <w:tabs>
        <w:tab w:val="left" w:pos="567"/>
        <w:tab w:val="num" w:pos="926"/>
      </w:tabs>
      <w:spacing w:line="260" w:lineRule="exact"/>
      <w:ind w:left="926" w:hanging="360"/>
    </w:pPr>
    <w:rPr>
      <w:sz w:val="22"/>
      <w:szCs w:val="20"/>
      <w:lang w:eastAsia="en-US"/>
    </w:rPr>
  </w:style>
  <w:style w:type="paragraph" w:styleId="slovanzoznam4">
    <w:name w:val="List Number 4"/>
    <w:basedOn w:val="Normlny"/>
    <w:rsid w:val="0081018A"/>
    <w:pPr>
      <w:tabs>
        <w:tab w:val="left" w:pos="567"/>
        <w:tab w:val="num" w:pos="1209"/>
      </w:tabs>
      <w:spacing w:line="260" w:lineRule="exact"/>
      <w:ind w:left="1209" w:hanging="360"/>
    </w:pPr>
    <w:rPr>
      <w:sz w:val="22"/>
      <w:szCs w:val="20"/>
      <w:lang w:eastAsia="en-US"/>
    </w:rPr>
  </w:style>
  <w:style w:type="paragraph" w:styleId="slovanzoznam5">
    <w:name w:val="List Number 5"/>
    <w:basedOn w:val="Normlny"/>
    <w:rsid w:val="0081018A"/>
    <w:pPr>
      <w:tabs>
        <w:tab w:val="left" w:pos="567"/>
        <w:tab w:val="num" w:pos="1492"/>
      </w:tabs>
      <w:spacing w:line="260" w:lineRule="exact"/>
      <w:ind w:left="1492" w:hanging="360"/>
    </w:pPr>
    <w:rPr>
      <w:sz w:val="22"/>
      <w:szCs w:val="20"/>
      <w:lang w:eastAsia="en-US"/>
    </w:rPr>
  </w:style>
  <w:style w:type="paragraph" w:customStyle="1" w:styleId="Bulletstext">
    <w:name w:val="Bullets text"/>
    <w:basedOn w:val="Normlny"/>
    <w:rsid w:val="0081018A"/>
    <w:pPr>
      <w:tabs>
        <w:tab w:val="num" w:pos="357"/>
      </w:tabs>
      <w:spacing w:after="240"/>
      <w:ind w:left="357" w:hanging="357"/>
    </w:pPr>
    <w:rPr>
      <w:szCs w:val="20"/>
      <w:lang w:val="en-US" w:eastAsia="en-US"/>
    </w:rPr>
  </w:style>
  <w:style w:type="paragraph" w:customStyle="1" w:styleId="Table-Footer">
    <w:name w:val="Table-Footer"/>
    <w:basedOn w:val="Normlny"/>
    <w:rsid w:val="0081018A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/>
      <w:ind w:left="360" w:hanging="360"/>
    </w:pPr>
    <w:rPr>
      <w:rFonts w:ascii="Arial" w:hAnsi="Arial"/>
      <w:sz w:val="18"/>
      <w:szCs w:val="20"/>
      <w:lang w:val="en-US" w:eastAsia="en-US"/>
    </w:rPr>
  </w:style>
  <w:style w:type="paragraph" w:customStyle="1" w:styleId="Table-Text">
    <w:name w:val="Table-Text"/>
    <w:basedOn w:val="Normlny"/>
    <w:rsid w:val="0081018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Arial" w:hAnsi="Arial"/>
      <w:sz w:val="22"/>
      <w:szCs w:val="20"/>
      <w:lang w:val="en-US" w:eastAsia="en-US"/>
    </w:rPr>
  </w:style>
  <w:style w:type="character" w:customStyle="1" w:styleId="Table-TextChar">
    <w:name w:val="Table-Text Char"/>
    <w:rsid w:val="0081018A"/>
    <w:rPr>
      <w:rFonts w:ascii="Arial" w:hAnsi="Arial"/>
      <w:sz w:val="22"/>
      <w:lang w:val="en-US" w:eastAsia="en-US" w:bidi="ar-SA"/>
    </w:rPr>
  </w:style>
  <w:style w:type="paragraph" w:customStyle="1" w:styleId="Table-Heading">
    <w:name w:val="Table-Heading"/>
    <w:basedOn w:val="Table-Text"/>
    <w:next w:val="Table-Text"/>
    <w:rsid w:val="0081018A"/>
    <w:pPr>
      <w:keepNext/>
      <w:jc w:val="center"/>
    </w:pPr>
    <w:rPr>
      <w:b/>
      <w:sz w:val="20"/>
    </w:rPr>
  </w:style>
  <w:style w:type="character" w:styleId="Odkaznakomentr">
    <w:name w:val="annotation reference"/>
    <w:semiHidden/>
    <w:rsid w:val="0081018A"/>
    <w:rPr>
      <w:sz w:val="16"/>
      <w:szCs w:val="16"/>
    </w:rPr>
  </w:style>
  <w:style w:type="paragraph" w:customStyle="1" w:styleId="Default">
    <w:name w:val="Default"/>
    <w:rsid w:val="0081018A"/>
    <w:pPr>
      <w:widowControl w:val="0"/>
      <w:autoSpaceDE w:val="0"/>
      <w:autoSpaceDN w:val="0"/>
      <w:adjustRightInd w:val="0"/>
      <w:spacing w:after="0" w:line="240" w:lineRule="auto"/>
    </w:pPr>
    <w:rPr>
      <w:rFonts w:ascii="KCCKJE+TimesNewRoman" w:eastAsia="Times New Roman" w:hAnsi="KCCKJE+TimesNewRoman" w:cs="Times New Roman"/>
      <w:color w:val="000000"/>
      <w:sz w:val="24"/>
      <w:szCs w:val="24"/>
      <w:lang w:val="de-DE" w:eastAsia="de-DE"/>
    </w:rPr>
  </w:style>
  <w:style w:type="character" w:styleId="Hypertextovprepojenie">
    <w:name w:val="Hyperlink"/>
    <w:rsid w:val="0081018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8101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18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81018A"/>
  </w:style>
  <w:style w:type="paragraph" w:styleId="Hlavika">
    <w:name w:val="header"/>
    <w:basedOn w:val="Normlny"/>
    <w:link w:val="HlavikaChar"/>
    <w:uiPriority w:val="99"/>
    <w:rsid w:val="008101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1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81018A"/>
    <w:pPr>
      <w:tabs>
        <w:tab w:val="clear" w:pos="567"/>
      </w:tabs>
      <w:spacing w:line="240" w:lineRule="auto"/>
    </w:pPr>
    <w:rPr>
      <w:b/>
      <w:bCs/>
      <w:lang w:eastAsia="sk-SK"/>
    </w:rPr>
  </w:style>
  <w:style w:type="paragraph" w:customStyle="1" w:styleId="Textbubliny1">
    <w:name w:val="Text bubliny1"/>
    <w:basedOn w:val="Normlny"/>
    <w:semiHidden/>
    <w:rsid w:val="0081018A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81018A"/>
    <w:pPr>
      <w:autoSpaceDE w:val="0"/>
      <w:autoSpaceDN w:val="0"/>
      <w:adjustRightInd w:val="0"/>
      <w:ind w:left="720"/>
      <w:jc w:val="both"/>
    </w:pPr>
    <w:rPr>
      <w:sz w:val="22"/>
      <w:szCs w:val="22"/>
      <w:lang w:val="en-GB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81018A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81018A"/>
    <w:pPr>
      <w:autoSpaceDE w:val="0"/>
      <w:autoSpaceDN w:val="0"/>
      <w:adjustRightInd w:val="0"/>
      <w:jc w:val="both"/>
    </w:pPr>
    <w:rPr>
      <w:color w:val="0000FF"/>
      <w:sz w:val="22"/>
      <w:szCs w:val="22"/>
      <w:lang w:val="en-GB" w:eastAsia="en-GB"/>
    </w:rPr>
  </w:style>
  <w:style w:type="character" w:customStyle="1" w:styleId="Zkladntext3Char">
    <w:name w:val="Základný text 3 Char"/>
    <w:basedOn w:val="Predvolenpsmoodseku"/>
    <w:link w:val="Zkladntext3"/>
    <w:rsid w:val="0081018A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81018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b/>
      <w:bCs/>
      <w:color w:val="0000FF"/>
      <w:sz w:val="22"/>
      <w:szCs w:val="22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018A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81018A"/>
    <w:rPr>
      <w:i/>
      <w:color w:val="008000"/>
      <w:sz w:val="22"/>
      <w:szCs w:val="20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8101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81018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b/>
      <w:bCs/>
      <w:color w:val="0000FF"/>
      <w:sz w:val="22"/>
      <w:szCs w:val="22"/>
      <w:u w:val="single"/>
      <w:lang w:val="en-GB" w:eastAsia="en-US"/>
    </w:rPr>
  </w:style>
  <w:style w:type="character" w:customStyle="1" w:styleId="Zkladntext2Char">
    <w:name w:val="Základný text 2 Char"/>
    <w:basedOn w:val="Predvolenpsmoodseku"/>
    <w:link w:val="Zkladntext2"/>
    <w:rsid w:val="0081018A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paragraph" w:customStyle="1" w:styleId="EMEAEnBodyText">
    <w:name w:val="EMEA En Body Text"/>
    <w:basedOn w:val="Normlny"/>
    <w:rsid w:val="0081018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rsid w:val="0081018A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sz w:val="22"/>
      <w:szCs w:val="21"/>
      <w:lang w:val="en-GB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1018A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uiPriority w:val="99"/>
    <w:rsid w:val="0081018A"/>
    <w:rPr>
      <w:color w:val="800080"/>
      <w:u w:val="single"/>
    </w:rPr>
  </w:style>
  <w:style w:type="character" w:customStyle="1" w:styleId="EmailStyle601">
    <w:name w:val="EmailStyle601"/>
    <w:semiHidden/>
    <w:rsid w:val="0081018A"/>
    <w:rPr>
      <w:rFonts w:ascii="Arial" w:hAnsi="Arial" w:cs="Arial" w:hint="default"/>
      <w:color w:val="auto"/>
      <w:sz w:val="20"/>
      <w:szCs w:val="20"/>
    </w:rPr>
  </w:style>
  <w:style w:type="character" w:customStyle="1" w:styleId="BMSSubscript">
    <w:name w:val="BMS Subscript"/>
    <w:rsid w:val="0081018A"/>
    <w:rPr>
      <w:sz w:val="28"/>
      <w:vertAlign w:val="subscript"/>
    </w:rPr>
  </w:style>
  <w:style w:type="paragraph" w:customStyle="1" w:styleId="CM38">
    <w:name w:val="CM38"/>
    <w:basedOn w:val="Default"/>
    <w:next w:val="Default"/>
    <w:rsid w:val="0081018A"/>
    <w:pPr>
      <w:spacing w:after="535"/>
    </w:pPr>
    <w:rPr>
      <w:rFonts w:cs="KCCKJE+TimesNewRoman"/>
      <w:color w:val="auto"/>
    </w:rPr>
  </w:style>
  <w:style w:type="paragraph" w:customStyle="1" w:styleId="CM29">
    <w:name w:val="CM29"/>
    <w:basedOn w:val="Default"/>
    <w:next w:val="Default"/>
    <w:rsid w:val="0081018A"/>
    <w:pPr>
      <w:spacing w:line="260" w:lineRule="atLeast"/>
    </w:pPr>
    <w:rPr>
      <w:rFonts w:cs="KCCKJE+TimesNewRoman"/>
      <w:color w:val="auto"/>
    </w:rPr>
  </w:style>
  <w:style w:type="paragraph" w:styleId="Oznaitext">
    <w:name w:val="Block Text"/>
    <w:basedOn w:val="Normlny"/>
    <w:rsid w:val="0081018A"/>
    <w:pPr>
      <w:tabs>
        <w:tab w:val="left" w:pos="567"/>
      </w:tabs>
      <w:spacing w:after="120" w:line="260" w:lineRule="exact"/>
      <w:ind w:left="1440" w:right="1440"/>
    </w:pPr>
    <w:rPr>
      <w:sz w:val="22"/>
      <w:szCs w:val="20"/>
      <w:lang w:val="en-GB" w:eastAsia="en-US"/>
    </w:rPr>
  </w:style>
  <w:style w:type="paragraph" w:styleId="Prvzarkazkladnhotextu">
    <w:name w:val="Body Text First Indent"/>
    <w:basedOn w:val="Zkladntext"/>
    <w:link w:val="PrvzarkazkladnhotextuChar"/>
    <w:rsid w:val="0081018A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1018A"/>
    <w:rPr>
      <w:rFonts w:ascii="Times New Roman" w:eastAsia="Times New Roman" w:hAnsi="Times New Roman" w:cs="Times New Roman"/>
      <w:i w:val="0"/>
      <w:color w:val="008000"/>
      <w:szCs w:val="20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81018A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szCs w:val="20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1018A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Zver">
    <w:name w:val="Closing"/>
    <w:basedOn w:val="Normlny"/>
    <w:link w:val="ZverChar"/>
    <w:rsid w:val="0081018A"/>
    <w:pPr>
      <w:tabs>
        <w:tab w:val="left" w:pos="567"/>
      </w:tabs>
      <w:spacing w:line="260" w:lineRule="exact"/>
      <w:ind w:left="4252"/>
    </w:pPr>
    <w:rPr>
      <w:sz w:val="22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Dtum">
    <w:name w:val="Date"/>
    <w:basedOn w:val="Normlny"/>
    <w:next w:val="Normlny"/>
    <w:link w:val="DtumChar"/>
    <w:uiPriority w:val="99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uiPriority w:val="99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Podpise-mailu">
    <w:name w:val="E-mail Signature"/>
    <w:basedOn w:val="Normlny"/>
    <w:link w:val="Podpise-mailuChar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Adresanaoblke">
    <w:name w:val="envelope address"/>
    <w:basedOn w:val="Normlny"/>
    <w:rsid w:val="0081018A"/>
    <w:pPr>
      <w:framePr w:w="7920" w:h="1980" w:hRule="exact" w:hSpace="180" w:wrap="auto" w:hAnchor="page" w:xAlign="center" w:yAlign="bottom"/>
      <w:tabs>
        <w:tab w:val="left" w:pos="567"/>
      </w:tabs>
      <w:spacing w:line="260" w:lineRule="exact"/>
      <w:ind w:left="2880"/>
    </w:pPr>
    <w:rPr>
      <w:rFonts w:ascii="Arial" w:hAnsi="Arial" w:cs="Arial"/>
      <w:lang w:val="en-GB" w:eastAsia="en-US"/>
    </w:rPr>
  </w:style>
  <w:style w:type="paragraph" w:styleId="Spiatonadresanaoblke">
    <w:name w:val="envelope return"/>
    <w:basedOn w:val="Normlny"/>
    <w:rsid w:val="0081018A"/>
    <w:pPr>
      <w:tabs>
        <w:tab w:val="left" w:pos="567"/>
      </w:tabs>
      <w:spacing w:line="260" w:lineRule="exact"/>
    </w:pPr>
    <w:rPr>
      <w:rFonts w:ascii="Arial" w:hAnsi="Arial" w:cs="Arial"/>
      <w:sz w:val="20"/>
      <w:szCs w:val="20"/>
      <w:lang w:val="en-GB" w:eastAsia="en-US"/>
    </w:rPr>
  </w:style>
  <w:style w:type="paragraph" w:styleId="AdresaHTML">
    <w:name w:val="HTML Address"/>
    <w:basedOn w:val="Normlny"/>
    <w:link w:val="AdresaHTMLChar"/>
    <w:rsid w:val="0081018A"/>
    <w:pPr>
      <w:tabs>
        <w:tab w:val="left" w:pos="567"/>
      </w:tabs>
      <w:spacing w:line="260" w:lineRule="exact"/>
    </w:pPr>
    <w:rPr>
      <w:i/>
      <w:iCs/>
      <w:sz w:val="22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81018A"/>
    <w:rPr>
      <w:rFonts w:ascii="Times New Roman" w:eastAsia="Times New Roman" w:hAnsi="Times New Roman" w:cs="Times New Roman"/>
      <w:i/>
      <w:iCs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81018A"/>
    <w:pPr>
      <w:tabs>
        <w:tab w:val="left" w:pos="567"/>
      </w:tabs>
      <w:spacing w:line="260" w:lineRule="exac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1018A"/>
    <w:rPr>
      <w:rFonts w:ascii="Courier New" w:eastAsia="Times New Roman" w:hAnsi="Courier New" w:cs="Courier New"/>
      <w:sz w:val="20"/>
      <w:szCs w:val="20"/>
      <w:lang w:val="en-GB"/>
    </w:rPr>
  </w:style>
  <w:style w:type="paragraph" w:styleId="Zoznam">
    <w:name w:val="List"/>
    <w:basedOn w:val="Normlny"/>
    <w:rsid w:val="0081018A"/>
    <w:pPr>
      <w:tabs>
        <w:tab w:val="left" w:pos="567"/>
      </w:tabs>
      <w:spacing w:line="260" w:lineRule="exact"/>
      <w:ind w:left="283" w:hanging="283"/>
    </w:pPr>
    <w:rPr>
      <w:sz w:val="22"/>
      <w:szCs w:val="20"/>
      <w:lang w:val="en-GB" w:eastAsia="en-US"/>
    </w:rPr>
  </w:style>
  <w:style w:type="paragraph" w:styleId="Zoznam2">
    <w:name w:val="List 2"/>
    <w:basedOn w:val="Normlny"/>
    <w:rsid w:val="0081018A"/>
    <w:pPr>
      <w:tabs>
        <w:tab w:val="left" w:pos="567"/>
      </w:tabs>
      <w:spacing w:line="260" w:lineRule="exact"/>
      <w:ind w:left="566" w:hanging="283"/>
    </w:pPr>
    <w:rPr>
      <w:sz w:val="22"/>
      <w:szCs w:val="20"/>
      <w:lang w:val="en-GB" w:eastAsia="en-US"/>
    </w:rPr>
  </w:style>
  <w:style w:type="paragraph" w:styleId="Zoznam3">
    <w:name w:val="List 3"/>
    <w:basedOn w:val="Normlny"/>
    <w:rsid w:val="0081018A"/>
    <w:pPr>
      <w:tabs>
        <w:tab w:val="left" w:pos="567"/>
      </w:tabs>
      <w:spacing w:line="260" w:lineRule="exact"/>
      <w:ind w:left="849" w:hanging="283"/>
    </w:pPr>
    <w:rPr>
      <w:sz w:val="22"/>
      <w:szCs w:val="20"/>
      <w:lang w:val="en-GB" w:eastAsia="en-US"/>
    </w:rPr>
  </w:style>
  <w:style w:type="paragraph" w:styleId="Zoznam4">
    <w:name w:val="List 4"/>
    <w:basedOn w:val="Normlny"/>
    <w:rsid w:val="0081018A"/>
    <w:pPr>
      <w:tabs>
        <w:tab w:val="left" w:pos="567"/>
      </w:tabs>
      <w:spacing w:line="260" w:lineRule="exact"/>
      <w:ind w:left="1132" w:hanging="283"/>
    </w:pPr>
    <w:rPr>
      <w:sz w:val="22"/>
      <w:szCs w:val="20"/>
      <w:lang w:val="en-GB" w:eastAsia="en-US"/>
    </w:rPr>
  </w:style>
  <w:style w:type="paragraph" w:styleId="Zoznam5">
    <w:name w:val="List 5"/>
    <w:basedOn w:val="Normlny"/>
    <w:rsid w:val="0081018A"/>
    <w:pPr>
      <w:tabs>
        <w:tab w:val="left" w:pos="567"/>
      </w:tabs>
      <w:spacing w:line="260" w:lineRule="exact"/>
      <w:ind w:left="1415" w:hanging="283"/>
    </w:pPr>
    <w:rPr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81018A"/>
    <w:pPr>
      <w:tabs>
        <w:tab w:val="left" w:pos="567"/>
      </w:tabs>
      <w:spacing w:after="120" w:line="260" w:lineRule="exact"/>
      <w:ind w:left="283"/>
    </w:pPr>
    <w:rPr>
      <w:sz w:val="22"/>
      <w:szCs w:val="20"/>
      <w:lang w:val="en-GB" w:eastAsia="en-US"/>
    </w:rPr>
  </w:style>
  <w:style w:type="paragraph" w:styleId="Pokraovaniezoznamu2">
    <w:name w:val="List Continue 2"/>
    <w:basedOn w:val="Normlny"/>
    <w:rsid w:val="0081018A"/>
    <w:pPr>
      <w:tabs>
        <w:tab w:val="left" w:pos="567"/>
      </w:tabs>
      <w:spacing w:after="120" w:line="260" w:lineRule="exact"/>
      <w:ind w:left="566"/>
    </w:pPr>
    <w:rPr>
      <w:sz w:val="22"/>
      <w:szCs w:val="20"/>
      <w:lang w:val="en-GB" w:eastAsia="en-US"/>
    </w:rPr>
  </w:style>
  <w:style w:type="paragraph" w:styleId="Pokraovaniezoznamu3">
    <w:name w:val="List Continue 3"/>
    <w:basedOn w:val="Normlny"/>
    <w:rsid w:val="0081018A"/>
    <w:pPr>
      <w:tabs>
        <w:tab w:val="left" w:pos="567"/>
      </w:tabs>
      <w:spacing w:after="120" w:line="260" w:lineRule="exact"/>
      <w:ind w:left="849"/>
    </w:pPr>
    <w:rPr>
      <w:sz w:val="22"/>
      <w:szCs w:val="20"/>
      <w:lang w:val="en-GB" w:eastAsia="en-US"/>
    </w:rPr>
  </w:style>
  <w:style w:type="paragraph" w:styleId="Pokraovaniezoznamu4">
    <w:name w:val="List Continue 4"/>
    <w:basedOn w:val="Normlny"/>
    <w:rsid w:val="0081018A"/>
    <w:pPr>
      <w:tabs>
        <w:tab w:val="left" w:pos="567"/>
      </w:tabs>
      <w:spacing w:after="120" w:line="260" w:lineRule="exact"/>
      <w:ind w:left="1132"/>
    </w:pPr>
    <w:rPr>
      <w:sz w:val="22"/>
      <w:szCs w:val="20"/>
      <w:lang w:val="en-GB" w:eastAsia="en-US"/>
    </w:rPr>
  </w:style>
  <w:style w:type="paragraph" w:styleId="Pokraovaniezoznamu5">
    <w:name w:val="List Continue 5"/>
    <w:basedOn w:val="Normlny"/>
    <w:rsid w:val="0081018A"/>
    <w:pPr>
      <w:tabs>
        <w:tab w:val="left" w:pos="567"/>
      </w:tabs>
      <w:spacing w:after="120" w:line="260" w:lineRule="exact"/>
      <w:ind w:left="1415"/>
    </w:pPr>
    <w:rPr>
      <w:sz w:val="22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8101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hAnsi="Arial" w:cs="Arial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81018A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lnywebov">
    <w:name w:val="Normal (Web)"/>
    <w:basedOn w:val="Normlny"/>
    <w:rsid w:val="0081018A"/>
    <w:pPr>
      <w:tabs>
        <w:tab w:val="left" w:pos="567"/>
      </w:tabs>
      <w:spacing w:line="260" w:lineRule="exact"/>
    </w:pPr>
    <w:rPr>
      <w:lang w:val="en-GB" w:eastAsia="en-US"/>
    </w:rPr>
  </w:style>
  <w:style w:type="paragraph" w:styleId="Normlnysozarkami">
    <w:name w:val="Normal Indent"/>
    <w:basedOn w:val="Normlny"/>
    <w:rsid w:val="0081018A"/>
    <w:pPr>
      <w:tabs>
        <w:tab w:val="left" w:pos="567"/>
      </w:tabs>
      <w:spacing w:line="260" w:lineRule="exact"/>
      <w:ind w:left="720"/>
    </w:pPr>
    <w:rPr>
      <w:sz w:val="22"/>
      <w:szCs w:val="20"/>
      <w:lang w:val="en-GB" w:eastAsia="en-US"/>
    </w:rPr>
  </w:style>
  <w:style w:type="paragraph" w:styleId="Nadpispoznmky">
    <w:name w:val="Note Heading"/>
    <w:basedOn w:val="Normlny"/>
    <w:next w:val="Normlny"/>
    <w:link w:val="NadpispoznmkyChar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Obyajntext">
    <w:name w:val="Plain Text"/>
    <w:basedOn w:val="Normlny"/>
    <w:link w:val="ObyajntextChar"/>
    <w:rsid w:val="0081018A"/>
    <w:pPr>
      <w:tabs>
        <w:tab w:val="left" w:pos="567"/>
      </w:tabs>
      <w:spacing w:line="260" w:lineRule="exac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81018A"/>
    <w:rPr>
      <w:rFonts w:ascii="Courier New" w:eastAsia="Times New Roman" w:hAnsi="Courier New" w:cs="Courier New"/>
      <w:sz w:val="20"/>
      <w:szCs w:val="20"/>
      <w:lang w:val="en-GB"/>
    </w:rPr>
  </w:style>
  <w:style w:type="paragraph" w:styleId="Oslovenie">
    <w:name w:val="Salutation"/>
    <w:basedOn w:val="Normlny"/>
    <w:next w:val="Normlny"/>
    <w:link w:val="OslovenieChar"/>
    <w:rsid w:val="0081018A"/>
    <w:pPr>
      <w:tabs>
        <w:tab w:val="left" w:pos="567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Podpis">
    <w:name w:val="Signature"/>
    <w:basedOn w:val="Normlny"/>
    <w:link w:val="PodpisChar"/>
    <w:rsid w:val="0081018A"/>
    <w:pPr>
      <w:tabs>
        <w:tab w:val="left" w:pos="567"/>
      </w:tabs>
      <w:spacing w:line="260" w:lineRule="exact"/>
      <w:ind w:left="4252"/>
    </w:pPr>
    <w:rPr>
      <w:sz w:val="22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81018A"/>
    <w:rPr>
      <w:rFonts w:ascii="Times New Roman" w:eastAsia="Times New Roman" w:hAnsi="Times New Roman" w:cs="Times New Roman"/>
      <w:szCs w:val="20"/>
      <w:lang w:val="en-GB"/>
    </w:rPr>
  </w:style>
  <w:style w:type="paragraph" w:styleId="Podtitul">
    <w:name w:val="Subtitle"/>
    <w:basedOn w:val="Normlny"/>
    <w:link w:val="PodtitulChar"/>
    <w:qFormat/>
    <w:rsid w:val="0081018A"/>
    <w:pPr>
      <w:tabs>
        <w:tab w:val="left" w:pos="567"/>
      </w:tabs>
      <w:spacing w:after="60" w:line="260" w:lineRule="exact"/>
      <w:jc w:val="center"/>
      <w:outlineLvl w:val="1"/>
    </w:pPr>
    <w:rPr>
      <w:rFonts w:ascii="Arial" w:hAnsi="Arial" w:cs="Arial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81018A"/>
    <w:rPr>
      <w:rFonts w:ascii="Arial" w:eastAsia="Times New Roman" w:hAnsi="Arial" w:cs="Arial"/>
      <w:sz w:val="24"/>
      <w:szCs w:val="24"/>
      <w:lang w:val="en-GB"/>
    </w:rPr>
  </w:style>
  <w:style w:type="paragraph" w:styleId="Nzov">
    <w:name w:val="Title"/>
    <w:basedOn w:val="Normlny"/>
    <w:link w:val="NzovChar"/>
    <w:qFormat/>
    <w:rsid w:val="0081018A"/>
    <w:pPr>
      <w:tabs>
        <w:tab w:val="left" w:pos="567"/>
      </w:tabs>
      <w:spacing w:before="240" w:after="60" w:line="26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rsid w:val="0081018A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paragraph" w:customStyle="1" w:styleId="SynopsisText">
    <w:name w:val="Synopsis Text"/>
    <w:basedOn w:val="Normlny"/>
    <w:rsid w:val="0081018A"/>
    <w:pPr>
      <w:spacing w:before="120" w:after="120"/>
    </w:pPr>
    <w:rPr>
      <w:szCs w:val="20"/>
      <w:lang w:val="en-US" w:eastAsia="en-US"/>
    </w:rPr>
  </w:style>
  <w:style w:type="character" w:styleId="Siln">
    <w:name w:val="Strong"/>
    <w:qFormat/>
    <w:rsid w:val="0081018A"/>
    <w:rPr>
      <w:b/>
      <w:bCs/>
    </w:rPr>
  </w:style>
  <w:style w:type="paragraph" w:styleId="Register1">
    <w:name w:val="index 1"/>
    <w:basedOn w:val="Normlny"/>
    <w:next w:val="Normlny"/>
    <w:autoRedefine/>
    <w:semiHidden/>
    <w:rsid w:val="0081018A"/>
    <w:pPr>
      <w:spacing w:line="260" w:lineRule="exact"/>
      <w:ind w:left="220" w:hanging="220"/>
    </w:pPr>
    <w:rPr>
      <w:sz w:val="22"/>
      <w:szCs w:val="20"/>
      <w:lang w:val="en-GB" w:eastAsia="en-US"/>
    </w:rPr>
  </w:style>
  <w:style w:type="paragraph" w:styleId="Obsah1">
    <w:name w:val="toc 1"/>
    <w:basedOn w:val="Normlny"/>
    <w:next w:val="Normlny"/>
    <w:autoRedefine/>
    <w:semiHidden/>
    <w:rsid w:val="0081018A"/>
    <w:pPr>
      <w:spacing w:line="260" w:lineRule="exact"/>
    </w:pPr>
    <w:rPr>
      <w:sz w:val="22"/>
      <w:szCs w:val="20"/>
      <w:lang w:val="en-GB" w:eastAsia="en-US"/>
    </w:rPr>
  </w:style>
  <w:style w:type="character" w:customStyle="1" w:styleId="CharChar">
    <w:name w:val="Char Char"/>
    <w:rsid w:val="0081018A"/>
    <w:rPr>
      <w:sz w:val="22"/>
      <w:lang w:val="en-GB" w:eastAsia="en-US" w:bidi="ar-SA"/>
    </w:rPr>
  </w:style>
  <w:style w:type="paragraph" w:styleId="Textbubliny">
    <w:name w:val="Balloon Text"/>
    <w:basedOn w:val="Normlny"/>
    <w:link w:val="TextbublinyChar"/>
    <w:rsid w:val="0081018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rsid w:val="00810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itleA">
    <w:name w:val="Title A"/>
    <w:basedOn w:val="Normlny"/>
    <w:rsid w:val="0081018A"/>
    <w:pPr>
      <w:jc w:val="center"/>
    </w:pPr>
    <w:rPr>
      <w:b/>
      <w:sz w:val="22"/>
      <w:szCs w:val="22"/>
    </w:rPr>
  </w:style>
  <w:style w:type="paragraph" w:customStyle="1" w:styleId="TitleB">
    <w:name w:val="Title B"/>
    <w:basedOn w:val="Normlny"/>
    <w:rsid w:val="0081018A"/>
    <w:pPr>
      <w:keepNext/>
      <w:keepLines/>
      <w:ind w:left="567" w:hanging="567"/>
    </w:pPr>
    <w:rPr>
      <w:b/>
      <w:sz w:val="22"/>
      <w:szCs w:val="22"/>
    </w:rPr>
  </w:style>
  <w:style w:type="paragraph" w:customStyle="1" w:styleId="Title1EMEA">
    <w:name w:val="Title 1 EMEA"/>
    <w:basedOn w:val="TitleA"/>
    <w:rsid w:val="0081018A"/>
  </w:style>
  <w:style w:type="paragraph" w:customStyle="1" w:styleId="Title2EMEA">
    <w:name w:val="Title 2 EMEA"/>
    <w:basedOn w:val="Normlny"/>
    <w:rsid w:val="0081018A"/>
    <w:pPr>
      <w:ind w:left="1701" w:right="1416"/>
      <w:jc w:val="both"/>
    </w:pPr>
    <w:rPr>
      <w:b/>
      <w:sz w:val="22"/>
      <w:szCs w:val="22"/>
    </w:rPr>
  </w:style>
  <w:style w:type="paragraph" w:styleId="truktradokumentu">
    <w:name w:val="Document Map"/>
    <w:basedOn w:val="Normlny"/>
    <w:link w:val="truktradokumentuChar"/>
    <w:semiHidden/>
    <w:rsid w:val="008101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1018A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Textvysvetlivky">
    <w:name w:val="endnote text"/>
    <w:basedOn w:val="Normlny"/>
    <w:link w:val="TextvysvetlivkyChar"/>
    <w:semiHidden/>
    <w:rsid w:val="0081018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101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1018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101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semiHidden/>
    <w:rsid w:val="0081018A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81018A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81018A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81018A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81018A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81018A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81018A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81018A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81018A"/>
    <w:rPr>
      <w:rFonts w:ascii="Arial" w:hAnsi="Arial" w:cs="Arial"/>
      <w:b/>
      <w:bCs/>
    </w:rPr>
  </w:style>
  <w:style w:type="paragraph" w:styleId="Textmakra">
    <w:name w:val="macro"/>
    <w:link w:val="TextmakraChar"/>
    <w:semiHidden/>
    <w:rsid w:val="00810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extmakraChar">
    <w:name w:val="Text makra Char"/>
    <w:basedOn w:val="Predvolenpsmoodseku"/>
    <w:link w:val="Textmakra"/>
    <w:semiHidden/>
    <w:rsid w:val="0081018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oznamcitci">
    <w:name w:val="table of authorities"/>
    <w:basedOn w:val="Normlny"/>
    <w:next w:val="Normlny"/>
    <w:semiHidden/>
    <w:rsid w:val="0081018A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81018A"/>
  </w:style>
  <w:style w:type="paragraph" w:styleId="Hlavikazoznamucitci">
    <w:name w:val="toa heading"/>
    <w:basedOn w:val="Normlny"/>
    <w:next w:val="Normlny"/>
    <w:semiHidden/>
    <w:rsid w:val="0081018A"/>
    <w:pPr>
      <w:spacing w:before="120"/>
    </w:pPr>
    <w:rPr>
      <w:rFonts w:ascii="Arial" w:hAnsi="Arial" w:cs="Arial"/>
      <w:b/>
      <w:bCs/>
    </w:rPr>
  </w:style>
  <w:style w:type="paragraph" w:styleId="Obsah2">
    <w:name w:val="toc 2"/>
    <w:basedOn w:val="Normlny"/>
    <w:next w:val="Normlny"/>
    <w:autoRedefine/>
    <w:semiHidden/>
    <w:rsid w:val="0081018A"/>
    <w:pPr>
      <w:ind w:left="240"/>
    </w:pPr>
  </w:style>
  <w:style w:type="paragraph" w:styleId="Obsah3">
    <w:name w:val="toc 3"/>
    <w:basedOn w:val="Normlny"/>
    <w:next w:val="Normlny"/>
    <w:autoRedefine/>
    <w:semiHidden/>
    <w:rsid w:val="0081018A"/>
    <w:pPr>
      <w:ind w:left="480"/>
    </w:pPr>
  </w:style>
  <w:style w:type="paragraph" w:styleId="Obsah4">
    <w:name w:val="toc 4"/>
    <w:basedOn w:val="Normlny"/>
    <w:next w:val="Normlny"/>
    <w:autoRedefine/>
    <w:semiHidden/>
    <w:rsid w:val="0081018A"/>
    <w:pPr>
      <w:ind w:left="720"/>
    </w:pPr>
  </w:style>
  <w:style w:type="paragraph" w:styleId="Obsah5">
    <w:name w:val="toc 5"/>
    <w:basedOn w:val="Normlny"/>
    <w:next w:val="Normlny"/>
    <w:autoRedefine/>
    <w:semiHidden/>
    <w:rsid w:val="0081018A"/>
    <w:pPr>
      <w:ind w:left="960"/>
    </w:pPr>
  </w:style>
  <w:style w:type="paragraph" w:styleId="Obsah6">
    <w:name w:val="toc 6"/>
    <w:basedOn w:val="Normlny"/>
    <w:next w:val="Normlny"/>
    <w:autoRedefine/>
    <w:semiHidden/>
    <w:rsid w:val="0081018A"/>
    <w:pPr>
      <w:ind w:left="1200"/>
    </w:pPr>
  </w:style>
  <w:style w:type="paragraph" w:styleId="Obsah7">
    <w:name w:val="toc 7"/>
    <w:basedOn w:val="Normlny"/>
    <w:next w:val="Normlny"/>
    <w:autoRedefine/>
    <w:semiHidden/>
    <w:rsid w:val="0081018A"/>
    <w:pPr>
      <w:ind w:left="1440"/>
    </w:pPr>
  </w:style>
  <w:style w:type="paragraph" w:styleId="Obsah8">
    <w:name w:val="toc 8"/>
    <w:basedOn w:val="Normlny"/>
    <w:next w:val="Normlny"/>
    <w:autoRedefine/>
    <w:semiHidden/>
    <w:rsid w:val="0081018A"/>
    <w:pPr>
      <w:ind w:left="1680"/>
    </w:pPr>
  </w:style>
  <w:style w:type="paragraph" w:styleId="Obsah9">
    <w:name w:val="toc 9"/>
    <w:basedOn w:val="Normlny"/>
    <w:next w:val="Normlny"/>
    <w:autoRedefine/>
    <w:semiHidden/>
    <w:rsid w:val="0081018A"/>
    <w:pPr>
      <w:ind w:left="1920"/>
    </w:pPr>
  </w:style>
  <w:style w:type="character" w:styleId="Zvraznenie">
    <w:name w:val="Emphasis"/>
    <w:qFormat/>
    <w:rsid w:val="0081018A"/>
    <w:rPr>
      <w:rFonts w:cs="Times New Roman"/>
      <w:i/>
      <w:iCs/>
    </w:rPr>
  </w:style>
  <w:style w:type="paragraph" w:customStyle="1" w:styleId="MemoHeaderStyle">
    <w:name w:val="MemoHeaderStyle"/>
    <w:basedOn w:val="Normlny"/>
    <w:next w:val="Normlny"/>
    <w:rsid w:val="0081018A"/>
    <w:pPr>
      <w:spacing w:line="120" w:lineRule="atLeast"/>
      <w:ind w:left="1418"/>
      <w:jc w:val="both"/>
    </w:pPr>
    <w:rPr>
      <w:rFonts w:ascii="Arial" w:hAnsi="Arial"/>
      <w:b/>
      <w:smallCaps/>
      <w:sz w:val="22"/>
      <w:szCs w:val="20"/>
      <w:lang w:val="en-GB" w:eastAsia="en-US"/>
    </w:rPr>
  </w:style>
  <w:style w:type="paragraph" w:customStyle="1" w:styleId="Text">
    <w:name w:val="Text"/>
    <w:basedOn w:val="Normlny"/>
    <w:rsid w:val="0081018A"/>
    <w:pPr>
      <w:spacing w:after="240" w:line="312" w:lineRule="atLeast"/>
    </w:pPr>
    <w:rPr>
      <w:sz w:val="22"/>
      <w:szCs w:val="20"/>
      <w:lang w:val="en-GB" w:eastAsia="en-US"/>
    </w:rPr>
  </w:style>
  <w:style w:type="paragraph" w:customStyle="1" w:styleId="Normal1">
    <w:name w:val="Normal1"/>
    <w:basedOn w:val="Nadpis1"/>
    <w:rsid w:val="0081018A"/>
    <w:pPr>
      <w:tabs>
        <w:tab w:val="clear" w:pos="567"/>
        <w:tab w:val="num" w:pos="570"/>
      </w:tabs>
      <w:spacing w:before="0" w:after="0" w:line="240" w:lineRule="auto"/>
      <w:ind w:left="570" w:hanging="570"/>
      <w:jc w:val="center"/>
    </w:pPr>
    <w:rPr>
      <w:rFonts w:ascii="Times New Roman Bold" w:hAnsi="Times New Roman Bold"/>
      <w:b w:val="0"/>
      <w:sz w:val="28"/>
      <w:lang w:val="en-GB"/>
    </w:rPr>
  </w:style>
  <w:style w:type="character" w:customStyle="1" w:styleId="t101">
    <w:name w:val="t101"/>
    <w:rsid w:val="0081018A"/>
    <w:rPr>
      <w:rFonts w:ascii="Arial" w:hAnsi="Arial" w:cs="Arial"/>
      <w:sz w:val="18"/>
      <w:szCs w:val="18"/>
    </w:rPr>
  </w:style>
  <w:style w:type="paragraph" w:customStyle="1" w:styleId="Proc1">
    <w:name w:val="Proc 1"/>
    <w:basedOn w:val="bullethead"/>
    <w:rsid w:val="0081018A"/>
    <w:pPr>
      <w:tabs>
        <w:tab w:val="num" w:pos="567"/>
      </w:tabs>
      <w:ind w:left="567" w:hanging="567"/>
    </w:pPr>
  </w:style>
  <w:style w:type="paragraph" w:customStyle="1" w:styleId="bullethead">
    <w:name w:val="bullet head"/>
    <w:basedOn w:val="Normlny"/>
    <w:rsid w:val="0081018A"/>
    <w:pPr>
      <w:spacing w:before="240" w:line="240" w:lineRule="exact"/>
    </w:pPr>
    <w:rPr>
      <w:b/>
      <w:kern w:val="28"/>
      <w:sz w:val="22"/>
      <w:szCs w:val="20"/>
      <w:lang w:val="en-GB" w:eastAsia="en-US"/>
    </w:rPr>
  </w:style>
  <w:style w:type="paragraph" w:customStyle="1" w:styleId="Proc2">
    <w:name w:val="Proc 2"/>
    <w:basedOn w:val="bullethead"/>
    <w:rsid w:val="0081018A"/>
    <w:pPr>
      <w:tabs>
        <w:tab w:val="num" w:pos="567"/>
      </w:tabs>
      <w:ind w:left="567" w:hanging="567"/>
    </w:pPr>
  </w:style>
  <w:style w:type="paragraph" w:customStyle="1" w:styleId="Proc3">
    <w:name w:val="Proc 3"/>
    <w:basedOn w:val="bulletlist"/>
    <w:rsid w:val="0081018A"/>
    <w:pPr>
      <w:tabs>
        <w:tab w:val="num" w:pos="567"/>
      </w:tabs>
      <w:ind w:left="567" w:hanging="567"/>
    </w:pPr>
  </w:style>
  <w:style w:type="paragraph" w:customStyle="1" w:styleId="bulletlist">
    <w:name w:val="bullet list"/>
    <w:basedOn w:val="Normlny"/>
    <w:rsid w:val="0081018A"/>
    <w:pPr>
      <w:spacing w:before="120" w:line="240" w:lineRule="exact"/>
    </w:pPr>
    <w:rPr>
      <w:kern w:val="28"/>
      <w:sz w:val="22"/>
      <w:szCs w:val="20"/>
      <w:lang w:val="en-GB" w:eastAsia="en-US"/>
    </w:rPr>
  </w:style>
  <w:style w:type="paragraph" w:customStyle="1" w:styleId="Obyajntext1">
    <w:name w:val="Obyčajný text1"/>
    <w:basedOn w:val="bullethead"/>
    <w:rsid w:val="0081018A"/>
    <w:pPr>
      <w:ind w:left="567" w:hanging="567"/>
    </w:pPr>
    <w:rPr>
      <w:b w:val="0"/>
    </w:rPr>
  </w:style>
  <w:style w:type="paragraph" w:styleId="Predmetkomentra">
    <w:name w:val="annotation subject"/>
    <w:basedOn w:val="Textkomentra"/>
    <w:next w:val="Textkomentra"/>
    <w:link w:val="PredmetkomentraChar"/>
    <w:rsid w:val="0081018A"/>
    <w:pPr>
      <w:tabs>
        <w:tab w:val="clear" w:pos="567"/>
      </w:tabs>
      <w:spacing w:line="240" w:lineRule="auto"/>
    </w:pPr>
  </w:style>
  <w:style w:type="character" w:customStyle="1" w:styleId="PredmetkomentraChar">
    <w:name w:val="Predmet komentára Char"/>
    <w:basedOn w:val="TextkomentraChar"/>
    <w:link w:val="Predmetkomentra"/>
    <w:rsid w:val="0081018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BodyTextIndent4">
    <w:name w:val="Body Text Indent 4"/>
    <w:basedOn w:val="Normlny"/>
    <w:rsid w:val="0081018A"/>
    <w:pPr>
      <w:numPr>
        <w:numId w:val="3"/>
      </w:numPr>
      <w:spacing w:line="260" w:lineRule="exact"/>
    </w:pPr>
    <w:rPr>
      <w:sz w:val="22"/>
      <w:szCs w:val="20"/>
      <w:lang w:val="en-GB" w:eastAsia="en-GB"/>
    </w:rPr>
  </w:style>
  <w:style w:type="character" w:customStyle="1" w:styleId="EMEASubscript">
    <w:name w:val="EMEA Subscript"/>
    <w:rsid w:val="0081018A"/>
    <w:rPr>
      <w:sz w:val="22"/>
      <w:vertAlign w:val="subscript"/>
    </w:rPr>
  </w:style>
  <w:style w:type="character" w:customStyle="1" w:styleId="apple-style-span">
    <w:name w:val="apple-style-span"/>
    <w:basedOn w:val="Predvolenpsmoodseku"/>
    <w:rsid w:val="0081018A"/>
  </w:style>
  <w:style w:type="paragraph" w:customStyle="1" w:styleId="Revision2">
    <w:name w:val="Revision2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evision1">
    <w:name w:val="Revision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arevnstnovnzvraznn11">
    <w:name w:val="Barevné stínování – zvýraznění 1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arevnseznamzvraznn11">
    <w:name w:val="Barevný seznam – zvýraznění 11"/>
    <w:basedOn w:val="Normlny"/>
    <w:uiPriority w:val="34"/>
    <w:qFormat/>
    <w:rsid w:val="0081018A"/>
    <w:pPr>
      <w:ind w:left="708"/>
    </w:pPr>
  </w:style>
  <w:style w:type="paragraph" w:customStyle="1" w:styleId="Revision3">
    <w:name w:val="Revision3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Char27">
    <w:name w:val="Char Char27"/>
    <w:locked/>
    <w:rsid w:val="0081018A"/>
    <w:rPr>
      <w:sz w:val="22"/>
      <w:lang w:val="en-GB" w:eastAsia="en-US"/>
    </w:rPr>
  </w:style>
  <w:style w:type="paragraph" w:customStyle="1" w:styleId="Revision4">
    <w:name w:val="Revision4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lorfulShading-Accent11">
    <w:name w:val="Colorful Shading - Accent 11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81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m-p-">
    <w:name w:val="tm-p-"/>
    <w:rsid w:val="0081018A"/>
  </w:style>
  <w:style w:type="character" w:customStyle="1" w:styleId="tm-p-em">
    <w:name w:val="tm-p-em"/>
    <w:rsid w:val="0081018A"/>
  </w:style>
  <w:style w:type="character" w:styleId="Odkaznapoznmkupodiarou">
    <w:name w:val="footnote reference"/>
    <w:basedOn w:val="Predvolenpsmoodseku"/>
    <w:uiPriority w:val="99"/>
    <w:semiHidden/>
    <w:unhideWhenUsed/>
    <w:rsid w:val="00EA0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17</Pages>
  <Words>6879</Words>
  <Characters>39214</Characters>
  <Application>Microsoft Office Word</Application>
  <DocSecurity>0</DocSecurity>
  <Lines>326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46001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Suttova, Kristina</dc:creator>
  <cp:lastModifiedBy>Kristína Ráczová</cp:lastModifiedBy>
  <cp:revision>22</cp:revision>
  <dcterms:created xsi:type="dcterms:W3CDTF">2018-12-12T14:29:00Z</dcterms:created>
  <dcterms:modified xsi:type="dcterms:W3CDTF">2019-02-18T09:32:00Z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1342556645</vt:i4>
  </property>
  <property fmtid="{D5CDD505-2E9C-101B-9397-08002B2CF9AE}" pid="3" name="_NewReviewCycle">
    <vt:lpwstr/>
  </property>
  <property fmtid="{D5CDD505-2E9C-101B-9397-08002B2CF9AE}" pid="4" name="_EmailSubject">
    <vt:lpwstr>Viglita, 2017/03813-REG - ukončenie národnej fázy registračnej procedúry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