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F05A6" w14:textId="77777777" w:rsidR="00A55259" w:rsidRPr="00097607" w:rsidRDefault="00A55259" w:rsidP="00B13562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  <w:bookmarkStart w:id="0" w:name="_GoBack"/>
      <w:bookmarkEnd w:id="0"/>
      <w:r w:rsidRPr="00097607">
        <w:rPr>
          <w:b/>
          <w:szCs w:val="24"/>
          <w:lang w:val="sk-SK"/>
        </w:rPr>
        <w:t>SÚHRN CHARAKTERISTICKÝCH VLASTNOSTÍ LIEKU</w:t>
      </w:r>
    </w:p>
    <w:p w14:paraId="42F88BF8" w14:textId="77777777" w:rsidR="00A55259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FF08991" w14:textId="77777777" w:rsidR="00A6420D" w:rsidRPr="00097607" w:rsidRDefault="00A6420D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541E7AB1" w14:textId="77777777" w:rsidR="00A55259" w:rsidRPr="00097607" w:rsidRDefault="00A55259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b/>
          <w:szCs w:val="24"/>
          <w:lang w:val="sk-SK"/>
        </w:rPr>
        <w:t>1.</w:t>
      </w:r>
      <w:r w:rsidRPr="00097607">
        <w:rPr>
          <w:b/>
          <w:szCs w:val="24"/>
          <w:lang w:val="sk-SK"/>
        </w:rPr>
        <w:tab/>
        <w:t>NÁZOV LIEKU</w:t>
      </w:r>
    </w:p>
    <w:p w14:paraId="3055AAB9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61834D8D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3320"/>
        <w:jc w:val="both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Spironolactone Accord 25 mg filmom obalené tablety </w:t>
      </w:r>
    </w:p>
    <w:p w14:paraId="05430BF8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3320"/>
        <w:jc w:val="both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Spironolactone Accord 50 mg filmom obalené tablety </w:t>
      </w:r>
    </w:p>
    <w:p w14:paraId="782ED23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3320"/>
        <w:jc w:val="both"/>
        <w:rPr>
          <w:szCs w:val="24"/>
          <w:lang w:val="sk-SK"/>
        </w:rPr>
      </w:pPr>
      <w:r w:rsidRPr="00097607">
        <w:rPr>
          <w:szCs w:val="24"/>
          <w:lang w:val="sk-SK"/>
        </w:rPr>
        <w:t>Spironolactone Accord 100 mg filmom obalené tablety</w:t>
      </w:r>
    </w:p>
    <w:p w14:paraId="3743F08F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4707098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289C5E79" w14:textId="77777777" w:rsidR="00A55259" w:rsidRPr="00097607" w:rsidRDefault="00A55259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b/>
          <w:szCs w:val="24"/>
          <w:lang w:val="sk-SK"/>
        </w:rPr>
        <w:t>2.</w:t>
      </w:r>
      <w:r w:rsidRPr="00097607">
        <w:rPr>
          <w:b/>
          <w:szCs w:val="24"/>
          <w:lang w:val="sk-SK"/>
        </w:rPr>
        <w:tab/>
        <w:t>KVALITATÍVNE A KVANTITATÍVNE ZLOŽENIE</w:t>
      </w:r>
    </w:p>
    <w:p w14:paraId="11E106FA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0D54F16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Spironolactone Accord 25 mg filmom obalené tablety obsahujú 25 mg spironolaktónu.</w:t>
      </w:r>
    </w:p>
    <w:p w14:paraId="12479D31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Pomocná látka so známym účinkom:</w:t>
      </w:r>
      <w:r w:rsidRPr="00097607">
        <w:rPr>
          <w:spacing w:val="2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>laktóza</w:t>
      </w:r>
    </w:p>
    <w:p w14:paraId="60661BFE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Každá tableta obsahuje 75 mg monohydrátu laktózy.</w:t>
      </w:r>
    </w:p>
    <w:p w14:paraId="484CD7A5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6F9BA8B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Spironolactone Accord 50 mg filmom obalené tablety obsahujú 50 mg spironolaktónu.</w:t>
      </w:r>
    </w:p>
    <w:p w14:paraId="75764C05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Pomocná látka so známym účinkom:</w:t>
      </w:r>
      <w:r w:rsidRPr="00097607">
        <w:rPr>
          <w:spacing w:val="2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>laktóza</w:t>
      </w:r>
    </w:p>
    <w:p w14:paraId="564F60BD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Každá tableta obsahuje 150 mg monohydrátu laktózy.</w:t>
      </w:r>
    </w:p>
    <w:p w14:paraId="3E3F157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15284CA8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Spironolactone Accord 100 mg filmom obalené tablety obsahujú 100 mg spironolaktónu.</w:t>
      </w:r>
    </w:p>
    <w:p w14:paraId="46118041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Pomocná látka so známym účinkom:</w:t>
      </w:r>
      <w:r w:rsidRPr="00097607">
        <w:rPr>
          <w:spacing w:val="2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>laktóza</w:t>
      </w:r>
    </w:p>
    <w:p w14:paraId="2872126F" w14:textId="77777777" w:rsidR="00A55259" w:rsidRPr="00097607" w:rsidRDefault="00A55259">
      <w:pPr>
        <w:widowControl w:val="0"/>
        <w:autoSpaceDE w:val="0"/>
        <w:autoSpaceDN w:val="0"/>
        <w:adjustRightInd w:val="0"/>
        <w:spacing w:line="480" w:lineRule="auto"/>
        <w:ind w:right="-1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Každá tableta obsahuje 300 mg monohydrátu laktózy. </w:t>
      </w:r>
    </w:p>
    <w:p w14:paraId="3B39F77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655"/>
        <w:rPr>
          <w:szCs w:val="24"/>
          <w:lang w:val="sk-SK"/>
        </w:rPr>
      </w:pPr>
      <w:r w:rsidRPr="00097607">
        <w:rPr>
          <w:szCs w:val="24"/>
          <w:lang w:val="sk-SK"/>
        </w:rPr>
        <w:t>Úplný zoznam pomocných látok, pozri časť 6.1.</w:t>
      </w:r>
    </w:p>
    <w:p w14:paraId="39D7E44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655"/>
        <w:rPr>
          <w:szCs w:val="24"/>
          <w:lang w:val="sk-SK"/>
        </w:rPr>
      </w:pPr>
    </w:p>
    <w:p w14:paraId="2A5D5348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655"/>
        <w:rPr>
          <w:szCs w:val="24"/>
          <w:lang w:val="sk-SK"/>
        </w:rPr>
      </w:pPr>
    </w:p>
    <w:p w14:paraId="5950C2AD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097607">
        <w:rPr>
          <w:b/>
          <w:szCs w:val="24"/>
          <w:lang w:val="sk-SK"/>
        </w:rPr>
        <w:t>3.</w:t>
      </w:r>
      <w:r w:rsidRPr="00097607">
        <w:rPr>
          <w:b/>
          <w:szCs w:val="24"/>
          <w:lang w:val="sk-SK"/>
        </w:rPr>
        <w:tab/>
        <w:t>LIEKOVÁ FORMA</w:t>
      </w:r>
    </w:p>
    <w:p w14:paraId="0A4958AB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 w:val="26"/>
          <w:szCs w:val="24"/>
          <w:lang w:val="sk-SK"/>
        </w:rPr>
      </w:pPr>
    </w:p>
    <w:p w14:paraId="3ADB483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Filmom obalená tableta</w:t>
      </w:r>
    </w:p>
    <w:p w14:paraId="096EA41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rPr>
          <w:sz w:val="26"/>
          <w:szCs w:val="24"/>
          <w:lang w:val="sk-SK"/>
        </w:rPr>
      </w:pPr>
    </w:p>
    <w:p w14:paraId="74993FEC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Spironolactone Accord 25 mg filmom obalené tablety sú biele až takmer biele, okrúhle, bikonvexné tablety s vyrazeným nápisom „AD“ na jednej strane a bez označenia na opačnej strane.</w:t>
      </w:r>
    </w:p>
    <w:p w14:paraId="36362477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25 mg tableta má priemer približne </w:t>
      </w:r>
      <w:smartTag w:uri="urn:schemas-microsoft-com:office:smarttags" w:element="metricconverter">
        <w:smartTagPr>
          <w:attr w:name="ProductID" w:val="8,1 mm"/>
        </w:smartTagPr>
        <w:r w:rsidRPr="00097607">
          <w:rPr>
            <w:szCs w:val="24"/>
            <w:lang w:val="sk-SK"/>
          </w:rPr>
          <w:t>8,1 mm</w:t>
        </w:r>
      </w:smartTag>
      <w:r w:rsidRPr="00097607">
        <w:rPr>
          <w:szCs w:val="24"/>
          <w:lang w:val="sk-SK"/>
        </w:rPr>
        <w:t>.</w:t>
      </w:r>
    </w:p>
    <w:p w14:paraId="5621BA14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14:paraId="66EC6ABA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Spironolactone Accord 50 mg filmom obalené tablety sú biele až takmer biele, okrúhle, bikonvexné tablety s vyrazeným nápisom „AE“ na jednej strane a bez označenia na opačnej strane.</w:t>
      </w:r>
    </w:p>
    <w:p w14:paraId="16C75D21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50 mg tableta má priemer približne </w:t>
      </w:r>
      <w:smartTag w:uri="urn:schemas-microsoft-com:office:smarttags" w:element="metricconverter">
        <w:smartTagPr>
          <w:attr w:name="ProductID" w:val="10,1 mm"/>
        </w:smartTagPr>
        <w:r w:rsidRPr="00097607">
          <w:rPr>
            <w:szCs w:val="24"/>
            <w:lang w:val="sk-SK"/>
          </w:rPr>
          <w:t>10,1 mm</w:t>
        </w:r>
      </w:smartTag>
      <w:r w:rsidRPr="00097607">
        <w:rPr>
          <w:szCs w:val="24"/>
          <w:lang w:val="sk-SK"/>
        </w:rPr>
        <w:t>.</w:t>
      </w:r>
    </w:p>
    <w:p w14:paraId="794C829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14:paraId="073BDA1E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exact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Spironolactone Accord 100 mg filmom obalené tablety sú biele až takmer biele, okrúhle, bikonvexné tablety s vyrazeným nápisom „AF“ na jednej strane a bez označenia na opačnej strane.</w:t>
      </w:r>
    </w:p>
    <w:p w14:paraId="1E2B67F9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100 mg tableta má priemer približne </w:t>
      </w:r>
      <w:smartTag w:uri="urn:schemas-microsoft-com:office:smarttags" w:element="metricconverter">
        <w:smartTagPr>
          <w:attr w:name="ProductID" w:val="11,2 mm"/>
        </w:smartTagPr>
        <w:r w:rsidRPr="00097607">
          <w:rPr>
            <w:szCs w:val="24"/>
            <w:lang w:val="sk-SK"/>
          </w:rPr>
          <w:t>11,2 mm</w:t>
        </w:r>
      </w:smartTag>
      <w:r w:rsidRPr="00097607">
        <w:rPr>
          <w:szCs w:val="24"/>
          <w:lang w:val="sk-SK"/>
        </w:rPr>
        <w:t>.</w:t>
      </w:r>
    </w:p>
    <w:p w14:paraId="02408258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FD516FF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2CE03B36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b/>
          <w:szCs w:val="24"/>
          <w:lang w:val="sk-SK"/>
        </w:rPr>
        <w:t>4.</w:t>
      </w:r>
      <w:r w:rsidRPr="00097607">
        <w:rPr>
          <w:b/>
          <w:szCs w:val="24"/>
          <w:lang w:val="sk-SK"/>
        </w:rPr>
        <w:tab/>
        <w:t>KLINICKÉ ÚDAJE</w:t>
      </w:r>
    </w:p>
    <w:p w14:paraId="314C59DD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5920458E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b/>
          <w:szCs w:val="24"/>
          <w:lang w:val="sk-SK"/>
        </w:rPr>
        <w:t>4.1</w:t>
      </w:r>
      <w:r w:rsidRPr="00097607">
        <w:rPr>
          <w:b/>
          <w:szCs w:val="24"/>
          <w:lang w:val="sk-SK"/>
        </w:rPr>
        <w:tab/>
        <w:t>Terapeutické indikácie</w:t>
      </w:r>
    </w:p>
    <w:p w14:paraId="4619435C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5239F40B" w14:textId="77777777" w:rsidR="00A55259" w:rsidRPr="00097607" w:rsidRDefault="00A55259">
      <w:pPr>
        <w:pStyle w:val="ListParagraph1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Edém spojený s kongestívnym zlyhaním srdca</w:t>
      </w:r>
    </w:p>
    <w:p w14:paraId="145418C0" w14:textId="77777777" w:rsidR="00A55259" w:rsidRPr="00097607" w:rsidRDefault="00A55259">
      <w:pPr>
        <w:pStyle w:val="ListParagraph1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Závažné srdcové zlyhanie (NYHA III-IV)</w:t>
      </w:r>
    </w:p>
    <w:p w14:paraId="79462D8D" w14:textId="77777777" w:rsidR="00A55259" w:rsidRPr="00097607" w:rsidRDefault="00A55259">
      <w:pPr>
        <w:pStyle w:val="ListParagraph1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Ako adjuvans pri liečbe rezistentnej hypertenzie</w:t>
      </w:r>
    </w:p>
    <w:p w14:paraId="144E7615" w14:textId="77777777" w:rsidR="00A55259" w:rsidRPr="00097607" w:rsidRDefault="00A55259">
      <w:pPr>
        <w:pStyle w:val="ListParagraph1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Nefrotický syndróm</w:t>
      </w:r>
    </w:p>
    <w:p w14:paraId="2114C0D9" w14:textId="77777777" w:rsidR="00A55259" w:rsidRPr="00097607" w:rsidRDefault="00A55259">
      <w:pPr>
        <w:pStyle w:val="ListParagraph1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rPr>
          <w:spacing w:val="1"/>
          <w:szCs w:val="24"/>
          <w:lang w:val="sk-SK"/>
        </w:rPr>
      </w:pPr>
      <w:r w:rsidRPr="00097607">
        <w:rPr>
          <w:szCs w:val="24"/>
          <w:lang w:val="sk-SK"/>
        </w:rPr>
        <w:t>Hepatálna cirhóza s ascitom a edémom</w:t>
      </w:r>
    </w:p>
    <w:p w14:paraId="343707AB" w14:textId="77777777" w:rsidR="00A55259" w:rsidRPr="00097607" w:rsidRDefault="00A55259">
      <w:pPr>
        <w:pStyle w:val="ListParagraph1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pacing w:val="1"/>
          <w:szCs w:val="24"/>
          <w:lang w:val="sk-SK"/>
        </w:rPr>
        <w:t xml:space="preserve">Diagnostika a liečba primárneho hyperaldosteronizmu (Connov syndróm)                           </w:t>
      </w:r>
    </w:p>
    <w:p w14:paraId="3E2E05DC" w14:textId="77777777" w:rsidR="00A55259" w:rsidRPr="00097607" w:rsidRDefault="00A55259">
      <w:pPr>
        <w:widowControl w:val="0"/>
        <w:tabs>
          <w:tab w:val="left" w:pos="820"/>
        </w:tabs>
        <w:autoSpaceDE w:val="0"/>
        <w:autoSpaceDN w:val="0"/>
        <w:adjustRightInd w:val="0"/>
        <w:spacing w:line="252" w:lineRule="exact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         </w:t>
      </w:r>
    </w:p>
    <w:p w14:paraId="06A3A17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097607">
        <w:rPr>
          <w:szCs w:val="24"/>
          <w:lang w:val="sk-SK"/>
        </w:rPr>
        <w:lastRenderedPageBreak/>
        <w:t>Deti by mali byť liečené iba pod dohľadom odborného detského lekára.</w:t>
      </w:r>
      <w:r w:rsidRPr="00097607">
        <w:rPr>
          <w:i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>K dispozícii sú len obmedzené pediatrické údaje (pozri časti 5.1 a 5.2).</w:t>
      </w:r>
    </w:p>
    <w:p w14:paraId="4E7706B6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74946D7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612F6DF6" w14:textId="77777777" w:rsidR="00A55259" w:rsidRPr="00097607" w:rsidRDefault="00A55259">
      <w:pPr>
        <w:widowControl w:val="0"/>
        <w:tabs>
          <w:tab w:val="left" w:pos="660"/>
          <w:tab w:val="left" w:pos="154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b/>
          <w:szCs w:val="24"/>
          <w:lang w:val="sk-SK"/>
        </w:rPr>
        <w:t>4.2</w:t>
      </w:r>
      <w:r w:rsidRPr="00097607">
        <w:rPr>
          <w:b/>
          <w:szCs w:val="24"/>
          <w:lang w:val="sk-SK"/>
        </w:rPr>
        <w:tab/>
        <w:t>Dávkovanie a spôsob podávania</w:t>
      </w:r>
    </w:p>
    <w:p w14:paraId="739A579F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3206620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i/>
          <w:spacing w:val="-1"/>
          <w:szCs w:val="24"/>
          <w:u w:val="single"/>
          <w:lang w:val="sk-SK"/>
        </w:rPr>
      </w:pPr>
      <w:r w:rsidRPr="00097607">
        <w:rPr>
          <w:i/>
          <w:spacing w:val="-1"/>
          <w:szCs w:val="24"/>
          <w:u w:val="single"/>
          <w:lang w:val="sk-SK"/>
        </w:rPr>
        <w:t>Dávkovanie</w:t>
      </w:r>
    </w:p>
    <w:p w14:paraId="0CFA9ABE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u w:val="single"/>
          <w:lang w:val="sk-SK"/>
        </w:rPr>
      </w:pPr>
    </w:p>
    <w:p w14:paraId="050F1896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  <w:r w:rsidRPr="00097607">
        <w:rPr>
          <w:szCs w:val="24"/>
          <w:u w:val="single"/>
          <w:lang w:val="sk-SK"/>
        </w:rPr>
        <w:t>Dospelí</w:t>
      </w:r>
    </w:p>
    <w:p w14:paraId="2F2EE762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097607">
        <w:rPr>
          <w:szCs w:val="24"/>
          <w:lang w:val="sk-SK"/>
        </w:rPr>
        <w:t>Dávka sa má stanoviť individuálne v závislosti od stavu a stupňa požadovanej diurézy.</w:t>
      </w:r>
      <w:r w:rsidRPr="00097607">
        <w:rPr>
          <w:spacing w:val="-2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 xml:space="preserve">Dávka až do 100 mg denne sa môže podávať ako jedna dávka alebo v rozdelených dávkach. </w:t>
      </w:r>
    </w:p>
    <w:p w14:paraId="356F6E5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</w:p>
    <w:p w14:paraId="0EE8434B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097607">
        <w:rPr>
          <w:i/>
          <w:szCs w:val="24"/>
          <w:u w:val="single"/>
          <w:lang w:val="sk-SK"/>
        </w:rPr>
        <w:t xml:space="preserve">Edém spojený s kongestívnym zlyhaním srdca </w:t>
      </w:r>
    </w:p>
    <w:p w14:paraId="7F6A3F40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097607">
        <w:rPr>
          <w:szCs w:val="24"/>
          <w:lang w:val="sk-SK"/>
        </w:rPr>
        <w:t>Pri manažmente edému sa odporúča podávať počiatočnú dennú dávku spironolaktónu 100 mg podanú jednorazovo alebo vo viacerých rozdelených dávkach, ktorá sa však môže pohybovať v rozmedzí od 25 do 200 mg denne. Udržiavacia dávka sa má stanoviť individuálne.</w:t>
      </w:r>
    </w:p>
    <w:p w14:paraId="2A09847F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</w:p>
    <w:p w14:paraId="4A2CB48F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r w:rsidRPr="00097607">
        <w:rPr>
          <w:i/>
          <w:szCs w:val="24"/>
          <w:u w:val="single"/>
          <w:lang w:val="sk-SK"/>
        </w:rPr>
        <w:t>Závažné srdcové zlyhanie (NYHA III-IV)</w:t>
      </w:r>
    </w:p>
    <w:p w14:paraId="3017A32C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097607">
        <w:rPr>
          <w:szCs w:val="24"/>
          <w:lang w:val="sk-SK"/>
        </w:rPr>
        <w:t>Liečba v spojení so štandardnou terapiou sa má začať dávkou 25 mg spironolaktónu raz denne, ak je hladina sérového draslíka ≤ 5,0 mEq/l a sérového kreatinínu ≤ 2,5 mg/dl (221 µmol/l). U pacientov, ktorí tolerujú dávku 25 mg raz denne, sa môže ich dávka zvýšiť na 50 mg raz denne, ako je klinicky indikované. U pacientov, ktorí netolerujú dávku 25 mg raz denne, sa môže ich dávka znížiť na 25 mg každý druhý deň. Ohľadne monitorovania hladín sérového draslíka a sérového kreatinínu pozri časť 4.4.</w:t>
      </w:r>
    </w:p>
    <w:p w14:paraId="15DBA4E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</w:p>
    <w:p w14:paraId="2652FF0D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r w:rsidRPr="00097607">
        <w:rPr>
          <w:i/>
          <w:szCs w:val="24"/>
          <w:u w:val="single"/>
          <w:lang w:val="sk-SK"/>
        </w:rPr>
        <w:t>Rezistentná hypertenzia</w:t>
      </w:r>
    </w:p>
    <w:p w14:paraId="590F5F3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097607">
        <w:rPr>
          <w:szCs w:val="24"/>
          <w:lang w:val="sk-SK"/>
        </w:rPr>
        <w:t>Počiatočná dávka spironolaktónu má byť 25 mg denne podaná jednorazovo; je potrebné zistiť najnižšiu účinnú dávku a potom dávkovanie postupne titrovať smerom nahor na dávku 100 mg denne alebo viac.</w:t>
      </w:r>
    </w:p>
    <w:p w14:paraId="3DC5152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</w:p>
    <w:p w14:paraId="4CCA48C5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r w:rsidRPr="00097607">
        <w:rPr>
          <w:i/>
          <w:szCs w:val="24"/>
          <w:u w:val="single"/>
          <w:lang w:val="sk-SK"/>
        </w:rPr>
        <w:t>Nefrotický syndróm</w:t>
      </w:r>
    </w:p>
    <w:p w14:paraId="07569D3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097607">
        <w:rPr>
          <w:szCs w:val="24"/>
          <w:lang w:val="sk-SK"/>
        </w:rPr>
        <w:t>Zvyčajná dávka je 100-200 mg denne. Nebolo preukázané, že by spironolaktón pôsobil protizápalovo alebo ovplyvňoval základný patologický proces. Jeho použitie sa odporúča len vtedy, ak sú nedostatočne účinné samotné glukokortikoidy.</w:t>
      </w:r>
    </w:p>
    <w:p w14:paraId="20D9ECD2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</w:p>
    <w:p w14:paraId="635F03B6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r w:rsidRPr="00097607">
        <w:rPr>
          <w:i/>
          <w:szCs w:val="24"/>
          <w:u w:val="single"/>
          <w:lang w:val="sk-SK"/>
        </w:rPr>
        <w:t>Hepatálna cirhóza s ascitom a edémom</w:t>
      </w:r>
    </w:p>
    <w:p w14:paraId="4F1E4BA3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lang w:val="sk-SK"/>
        </w:rPr>
      </w:pPr>
      <w:r w:rsidRPr="00097607">
        <w:rPr>
          <w:szCs w:val="24"/>
          <w:lang w:val="sk-SK"/>
        </w:rPr>
        <w:t xml:space="preserve">Počiatočná dávka je 100 až 200 mg denne, napr. na základe pomeru Na + / K +. Ak je reakcia na 200 mg spironolaktónu do prvých dvoch týždňov nedostatočná, pridáva sa furosemid a v prípade potreby sa dávka spironolaktónu postupne zvyšuje na 400 mg denne. Udržiavacia dávka sa má stanoviť individuálne. </w:t>
      </w:r>
    </w:p>
    <w:p w14:paraId="584882F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lang w:val="sk-SK"/>
        </w:rPr>
      </w:pPr>
    </w:p>
    <w:p w14:paraId="70D5BE0F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i/>
          <w:szCs w:val="24"/>
          <w:u w:val="single"/>
          <w:lang w:val="sk-SK"/>
        </w:rPr>
      </w:pPr>
      <w:r w:rsidRPr="00097607">
        <w:rPr>
          <w:i/>
          <w:szCs w:val="24"/>
          <w:u w:val="single"/>
          <w:lang w:val="sk-SK"/>
        </w:rPr>
        <w:t>Diagnostika a liečba primárneho aldosteronizmu</w:t>
      </w:r>
    </w:p>
    <w:p w14:paraId="52E92E59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71"/>
        <w:rPr>
          <w:szCs w:val="24"/>
          <w:lang w:val="sk-SK"/>
        </w:rPr>
      </w:pPr>
      <w:r w:rsidRPr="00097607">
        <w:rPr>
          <w:szCs w:val="24"/>
          <w:lang w:val="sk-SK"/>
        </w:rPr>
        <w:t>Ak existuje podozrenie na primárny hyperaldosteronizmus, podáva sa 100-150 mg spironolaktónu alebo až do 400 mg denne.</w:t>
      </w:r>
      <w:r w:rsidRPr="00097607">
        <w:rPr>
          <w:spacing w:val="4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>V prípade rýchleho nástupu silného diuretického a antihypertenzného účinku ide o jasný dôkaz zvýšenej produkcie aldosterónu. V tomto prípade sa podáva 100-150 mg denne po dobu 3-5 týždňov pred chirurgickým zákrokom.</w:t>
      </w:r>
      <w:r w:rsidRPr="00097607">
        <w:rPr>
          <w:spacing w:val="2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>Ak chirurgický zákrok nepripadá do úvahy, táto dávka je často dostatočná na udržanie tlaku krvi a koncentrácie draslíka pri normálnych hladinách. Vo výnimočných prípadoch sú potrebné vyššie dávky, ale je potrebné zistiť najnižšiu možnú dávku.</w:t>
      </w:r>
    </w:p>
    <w:p w14:paraId="56A3F18F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</w:p>
    <w:p w14:paraId="6A76E3FF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  <w:r w:rsidRPr="00097607">
        <w:rPr>
          <w:szCs w:val="24"/>
          <w:u w:val="single"/>
          <w:lang w:val="sk-SK"/>
        </w:rPr>
        <w:t>Pediatrická populácia</w:t>
      </w:r>
    </w:p>
    <w:p w14:paraId="6E15A0CD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Počiatočná denná dávka má predstavovať 1-3 mg spironolaktónu na jeden kilogram telesnej hmotnosti a má sa podať vo viacerých dávkach. Dávka sa má upraviť podľa reakcie a tolerancie (pozri časti </w:t>
      </w:r>
      <w:smartTag w:uri="urn:schemas-microsoft-com:office:smarttags" w:element="metricconverter">
        <w:smartTagPr>
          <w:attr w:name="ProductID" w:val="4.3 a"/>
        </w:smartTagPr>
        <w:r w:rsidRPr="00097607">
          <w:rPr>
            <w:szCs w:val="24"/>
            <w:lang w:val="sk-SK"/>
          </w:rPr>
          <w:t>4.3 a</w:t>
        </w:r>
      </w:smartTag>
      <w:r w:rsidRPr="00097607">
        <w:rPr>
          <w:szCs w:val="24"/>
          <w:lang w:val="sk-SK"/>
        </w:rPr>
        <w:t xml:space="preserve"> 4.4). Tableta sa môže rozdrviť a potom sa rozpustí vo vode, aby sa mohla ľahšie užiť.</w:t>
      </w:r>
    </w:p>
    <w:p w14:paraId="4EC6B948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Deti majú byť liečené iba pod dohľadom odborného detského lekára. K dispozícii sú len obmedzené </w:t>
      </w:r>
      <w:r w:rsidRPr="00097607">
        <w:rPr>
          <w:szCs w:val="24"/>
          <w:lang w:val="sk-SK"/>
        </w:rPr>
        <w:lastRenderedPageBreak/>
        <w:t>pediatrické údaje (pozri časti 5.1 a 5.2).</w:t>
      </w:r>
    </w:p>
    <w:p w14:paraId="38BECCB5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AC01586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  <w:r w:rsidRPr="00097607">
        <w:rPr>
          <w:szCs w:val="24"/>
          <w:u w:val="single"/>
          <w:lang w:val="sk-SK"/>
        </w:rPr>
        <w:t>Starší pacienti</w:t>
      </w:r>
    </w:p>
    <w:p w14:paraId="06065A06" w14:textId="77777777" w:rsidR="00A55259" w:rsidRPr="00097607" w:rsidRDefault="00A55259">
      <w:pPr>
        <w:widowControl w:val="0"/>
        <w:autoSpaceDE w:val="0"/>
        <w:autoSpaceDN w:val="0"/>
        <w:adjustRightInd w:val="0"/>
        <w:ind w:right="105"/>
        <w:rPr>
          <w:szCs w:val="24"/>
          <w:lang w:val="sk-SK"/>
        </w:rPr>
      </w:pPr>
      <w:r w:rsidRPr="00097607">
        <w:rPr>
          <w:szCs w:val="24"/>
          <w:lang w:val="sk-SK"/>
        </w:rPr>
        <w:t>Odporúča sa začať liečbu najnižšou možnou dávkou a potom ju titrovať smerom nahor, až kým sa nedosiahne optimálny účinok. Opatrnosť je potrebná pri renálnej dysfunkcii.</w:t>
      </w:r>
    </w:p>
    <w:p w14:paraId="3CB84F5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5C8175F" w14:textId="77777777" w:rsidR="00A55259" w:rsidRPr="00097607" w:rsidRDefault="00A55259">
      <w:pPr>
        <w:widowControl w:val="0"/>
        <w:autoSpaceDE w:val="0"/>
        <w:autoSpaceDN w:val="0"/>
        <w:adjustRightInd w:val="0"/>
        <w:ind w:right="91"/>
        <w:rPr>
          <w:i/>
          <w:spacing w:val="2"/>
          <w:szCs w:val="24"/>
          <w:u w:val="single"/>
          <w:lang w:val="sk-SK"/>
        </w:rPr>
      </w:pPr>
      <w:r w:rsidRPr="00097607">
        <w:rPr>
          <w:i/>
          <w:spacing w:val="2"/>
          <w:szCs w:val="24"/>
          <w:u w:val="single"/>
          <w:lang w:val="sk-SK"/>
        </w:rPr>
        <w:t>Spôsob podania</w:t>
      </w:r>
    </w:p>
    <w:p w14:paraId="6835406C" w14:textId="77777777" w:rsidR="00A55259" w:rsidRPr="00097607" w:rsidRDefault="00A55259">
      <w:pPr>
        <w:widowControl w:val="0"/>
        <w:autoSpaceDE w:val="0"/>
        <w:autoSpaceDN w:val="0"/>
        <w:adjustRightInd w:val="0"/>
        <w:spacing w:line="252" w:lineRule="exact"/>
        <w:ind w:right="91"/>
        <w:rPr>
          <w:i/>
          <w:spacing w:val="2"/>
          <w:szCs w:val="24"/>
          <w:lang w:val="sk-SK"/>
        </w:rPr>
      </w:pPr>
    </w:p>
    <w:p w14:paraId="5DF54FD1" w14:textId="77777777" w:rsidR="00A55259" w:rsidRPr="00097607" w:rsidRDefault="00A55259">
      <w:pPr>
        <w:widowControl w:val="0"/>
        <w:autoSpaceDE w:val="0"/>
        <w:autoSpaceDN w:val="0"/>
        <w:adjustRightInd w:val="0"/>
        <w:ind w:right="91"/>
        <w:rPr>
          <w:szCs w:val="24"/>
          <w:lang w:val="sk-SK"/>
        </w:rPr>
      </w:pPr>
      <w:r w:rsidRPr="00097607">
        <w:rPr>
          <w:szCs w:val="24"/>
          <w:lang w:val="sk-SK"/>
        </w:rPr>
        <w:t>Tablety sa majú podávať s jedlom.</w:t>
      </w:r>
      <w:r w:rsidRPr="00097607">
        <w:rPr>
          <w:spacing w:val="-2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>Denná dávka, ktorá presahuje 100 mg, sa má podávať v niekoľkých rozdelených dávkach.</w:t>
      </w:r>
    </w:p>
    <w:p w14:paraId="2703E3F0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5B4C2DF3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b/>
          <w:szCs w:val="24"/>
          <w:lang w:val="sk-SK"/>
        </w:rPr>
        <w:t>4.3</w:t>
      </w:r>
      <w:r w:rsidRPr="00097607">
        <w:rPr>
          <w:b/>
          <w:szCs w:val="24"/>
          <w:lang w:val="sk-SK"/>
        </w:rPr>
        <w:tab/>
        <w:t>Kontraindikácie</w:t>
      </w:r>
    </w:p>
    <w:p w14:paraId="148BB339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E67536B" w14:textId="77777777" w:rsidR="00A55259" w:rsidRPr="00097607" w:rsidRDefault="00A55259" w:rsidP="00B13562">
      <w:pPr>
        <w:pStyle w:val="ListParagraph1"/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ind w:left="220" w:right="504" w:firstLine="0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Precitlivenosť na niektoré liečivo alebo na ktorúkoľvek z pomocných látok uvedených v časti </w:t>
      </w:r>
      <w:r w:rsidRPr="00097607">
        <w:rPr>
          <w:szCs w:val="24"/>
          <w:lang w:val="sk-SK"/>
        </w:rPr>
        <w:tab/>
        <w:t>6.1.</w:t>
      </w:r>
    </w:p>
    <w:p w14:paraId="6CF8152C" w14:textId="77777777" w:rsidR="00A55259" w:rsidRPr="00097607" w:rsidRDefault="00A55259" w:rsidP="00B13562">
      <w:pPr>
        <w:pStyle w:val="ListParagraph1"/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ind w:left="220" w:right="504" w:firstLine="0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Ťažká renálna insuficiencia </w:t>
      </w:r>
      <w:r w:rsidRPr="00097607">
        <w:rPr>
          <w:spacing w:val="-2"/>
          <w:szCs w:val="24"/>
          <w:lang w:val="sk-SK"/>
        </w:rPr>
        <w:t xml:space="preserve">(eGFR &lt; 30 ml/min. na </w:t>
      </w:r>
      <w:smartTag w:uri="urn:schemas-microsoft-com:office:smarttags" w:element="metricconverter">
        <w:smartTagPr>
          <w:attr w:name="ProductID" w:val="1,73 m2"/>
        </w:smartTagPr>
        <w:r w:rsidRPr="00097607">
          <w:rPr>
            <w:spacing w:val="-2"/>
            <w:szCs w:val="24"/>
            <w:lang w:val="sk-SK"/>
          </w:rPr>
          <w:t>1,73 m</w:t>
        </w:r>
        <w:r w:rsidRPr="00097607">
          <w:rPr>
            <w:spacing w:val="-2"/>
            <w:szCs w:val="24"/>
            <w:vertAlign w:val="superscript"/>
            <w:lang w:val="sk-SK"/>
          </w:rPr>
          <w:t>2</w:t>
        </w:r>
      </w:smartTag>
      <w:r w:rsidRPr="00097607">
        <w:rPr>
          <w:spacing w:val="-2"/>
          <w:szCs w:val="24"/>
          <w:lang w:val="sk-SK"/>
        </w:rPr>
        <w:t>)</w:t>
      </w:r>
      <w:r w:rsidRPr="00097607">
        <w:rPr>
          <w:szCs w:val="24"/>
          <w:lang w:val="sk-SK"/>
        </w:rPr>
        <w:t>, akútne alebo progresívne ochorenie obličiek (sprevádzané alebo nesprevádzané anúriou)</w:t>
      </w:r>
    </w:p>
    <w:p w14:paraId="04512902" w14:textId="77777777" w:rsidR="00A55259" w:rsidRPr="00097607" w:rsidRDefault="00A55259" w:rsidP="00B13562">
      <w:pPr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spacing w:line="240" w:lineRule="auto"/>
        <w:ind w:left="220" w:firstLine="0"/>
        <w:rPr>
          <w:szCs w:val="24"/>
          <w:lang w:val="sk-SK"/>
        </w:rPr>
      </w:pPr>
      <w:r w:rsidRPr="00097607">
        <w:rPr>
          <w:szCs w:val="24"/>
          <w:lang w:val="sk-SK"/>
        </w:rPr>
        <w:t>Hyponatrémia</w:t>
      </w:r>
    </w:p>
    <w:p w14:paraId="389ED41F" w14:textId="77777777" w:rsidR="00A55259" w:rsidRPr="00097607" w:rsidRDefault="00A55259" w:rsidP="00B13562">
      <w:pPr>
        <w:pStyle w:val="ListParagraph1"/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ind w:left="220" w:right="504" w:firstLine="0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Hyperkaliémia (hladina sérové draslíka &gt; 5,0 mmol/l) na začiatku liečby </w:t>
      </w:r>
    </w:p>
    <w:p w14:paraId="403C6B0D" w14:textId="77777777" w:rsidR="00A55259" w:rsidRPr="00097607" w:rsidRDefault="00A55259" w:rsidP="00B13562">
      <w:pPr>
        <w:pStyle w:val="ListParagraph1"/>
        <w:widowControl w:val="0"/>
        <w:numPr>
          <w:ilvl w:val="0"/>
          <w:numId w:val="1"/>
        </w:numPr>
        <w:tabs>
          <w:tab w:val="clear" w:pos="567"/>
          <w:tab w:val="left" w:pos="220"/>
        </w:tabs>
        <w:autoSpaceDE w:val="0"/>
        <w:autoSpaceDN w:val="0"/>
        <w:adjustRightInd w:val="0"/>
        <w:ind w:left="220" w:right="504" w:firstLine="0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Súbežné užívanie draslík šetriacich diuretík (vrátane eplerenónu) alebo doplnkov draslíka, alebo duálna blokáda RAAS kombinovaným použitím inhibítorov angiotenzín konvertujúceho enzýmu (ACE) a blokátorov receptorov angiotenzínu (ARB) </w:t>
      </w:r>
    </w:p>
    <w:p w14:paraId="68E397A1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E3CE762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Spironolaktón je kontraindikovaný u pediatrických pacientov so stredne závažným až závažným poškodením obličiek. </w:t>
      </w:r>
    </w:p>
    <w:p w14:paraId="01858A06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B0CBF8C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097607">
        <w:rPr>
          <w:b/>
          <w:szCs w:val="24"/>
          <w:lang w:val="sk-SK"/>
        </w:rPr>
        <w:t>4.4</w:t>
      </w:r>
      <w:r w:rsidRPr="00097607">
        <w:rPr>
          <w:b/>
          <w:szCs w:val="24"/>
          <w:lang w:val="sk-SK"/>
        </w:rPr>
        <w:tab/>
        <w:t>Osobitné upozornenia a opatrenia pri používaní</w:t>
      </w:r>
    </w:p>
    <w:p w14:paraId="331D66F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A0479A3" w14:textId="77777777" w:rsidR="00A55259" w:rsidRPr="00097607" w:rsidRDefault="00A55259">
      <w:pPr>
        <w:widowControl w:val="0"/>
        <w:autoSpaceDE w:val="0"/>
        <w:autoSpaceDN w:val="0"/>
        <w:adjustRightInd w:val="0"/>
        <w:ind w:right="129"/>
        <w:rPr>
          <w:i/>
          <w:spacing w:val="-1"/>
          <w:szCs w:val="24"/>
          <w:u w:val="single"/>
          <w:lang w:val="sk-SK"/>
        </w:rPr>
      </w:pPr>
      <w:r w:rsidRPr="00097607">
        <w:rPr>
          <w:i/>
          <w:spacing w:val="-1"/>
          <w:szCs w:val="24"/>
          <w:u w:val="single"/>
          <w:lang w:val="sk-SK"/>
        </w:rPr>
        <w:t>Rovnováha tekutín a elektrolytov</w:t>
      </w:r>
    </w:p>
    <w:p w14:paraId="68BB1C82" w14:textId="77777777" w:rsidR="00A55259" w:rsidRPr="00097607" w:rsidRDefault="00A55259">
      <w:pPr>
        <w:widowControl w:val="0"/>
        <w:autoSpaceDE w:val="0"/>
        <w:autoSpaceDN w:val="0"/>
        <w:adjustRightInd w:val="0"/>
        <w:ind w:right="129"/>
        <w:rPr>
          <w:szCs w:val="24"/>
          <w:lang w:val="sk-SK"/>
        </w:rPr>
      </w:pPr>
      <w:r w:rsidRPr="00097607">
        <w:rPr>
          <w:szCs w:val="24"/>
          <w:lang w:val="sk-SK"/>
        </w:rPr>
        <w:t>Počas dlhodobej liečby spironolaktónom sa stav tekutín a elektrolytov má pravidelne monitorovať, najmä u starších pacientov.</w:t>
      </w:r>
      <w:r w:rsidRPr="00097607">
        <w:rPr>
          <w:spacing w:val="3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>Podávanie spironolaktónu sa neodporúča, ak sú hladiny draslíka v plazme zvýšené a ak je kontraindikovaný pri závažnom poškodení obličiek (pozri časť 4.3). Počas liečby spironolaktónom môže dôjsť k závažnej hyperkaliémii, ktorá môže viesť k zástave srdca (niekedy smrteľnej) u pacientov so závažnou renálnou dysfunkciou, ktorí dostávajú súbežnú liečbu s doplnkami draslíka.</w:t>
      </w:r>
    </w:p>
    <w:p w14:paraId="6D418D3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ind w:right="87"/>
        <w:rPr>
          <w:spacing w:val="-1"/>
          <w:szCs w:val="24"/>
          <w:lang w:val="sk-SK"/>
        </w:rPr>
      </w:pPr>
    </w:p>
    <w:p w14:paraId="06D2E5E7" w14:textId="77777777" w:rsidR="00A55259" w:rsidRPr="00097607" w:rsidRDefault="00A55259">
      <w:pPr>
        <w:widowControl w:val="0"/>
        <w:autoSpaceDE w:val="0"/>
        <w:autoSpaceDN w:val="0"/>
        <w:adjustRightInd w:val="0"/>
        <w:ind w:right="87"/>
        <w:rPr>
          <w:szCs w:val="24"/>
          <w:lang w:val="sk-SK"/>
        </w:rPr>
      </w:pPr>
      <w:r w:rsidRPr="00097607">
        <w:rPr>
          <w:szCs w:val="24"/>
          <w:lang w:val="sk-SK"/>
        </w:rPr>
        <w:t>Hyperkaliémiu môže sprevádzať parestézia, slabosť, mierne ochrnutie alebo svalové kŕče a je ťažké ju klinicky odlíšiť od hypokaliémie. Zmeny na EKG môžu byť prvým prejavom narušenej draslíkovej rovnováhy, hoci hyperkaliémiu nie vždy sprevádza abnormálne EKG.</w:t>
      </w:r>
    </w:p>
    <w:p w14:paraId="63CA7282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54" w:lineRule="exact"/>
        <w:ind w:right="419"/>
        <w:rPr>
          <w:spacing w:val="-1"/>
          <w:szCs w:val="24"/>
          <w:lang w:val="sk-SK"/>
        </w:rPr>
      </w:pPr>
    </w:p>
    <w:p w14:paraId="6897C9C7" w14:textId="77777777" w:rsidR="00A55259" w:rsidRPr="00097607" w:rsidRDefault="00A55259">
      <w:pPr>
        <w:widowControl w:val="0"/>
        <w:autoSpaceDE w:val="0"/>
        <w:autoSpaceDN w:val="0"/>
        <w:adjustRightInd w:val="0"/>
        <w:ind w:right="419"/>
        <w:rPr>
          <w:szCs w:val="24"/>
          <w:lang w:val="sk-SK"/>
        </w:rPr>
      </w:pPr>
      <w:r w:rsidRPr="00097607">
        <w:rPr>
          <w:szCs w:val="24"/>
          <w:lang w:val="sk-SK"/>
        </w:rPr>
        <w:t>Kombinácia so silnými draslík šetriacimi diuretikami, ako sú triamterén a amilorid, je kontraindikovaná, aby sa zabránilo hyperkaliémii, a je potrebné dbať o to, aby sa zabránilo podávaniu ďalšieho draslíka.</w:t>
      </w:r>
      <w:r w:rsidRPr="00097607">
        <w:rPr>
          <w:spacing w:val="-4"/>
          <w:szCs w:val="24"/>
          <w:lang w:val="sk-SK"/>
        </w:rPr>
        <w:t xml:space="preserve"> </w:t>
      </w:r>
    </w:p>
    <w:p w14:paraId="2224CE5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54" w:lineRule="exact"/>
        <w:ind w:right="419"/>
        <w:rPr>
          <w:i/>
          <w:szCs w:val="24"/>
          <w:u w:val="single"/>
          <w:lang w:val="sk-SK"/>
        </w:rPr>
      </w:pPr>
    </w:p>
    <w:p w14:paraId="790D4495" w14:textId="77777777" w:rsidR="00A55259" w:rsidRPr="00097607" w:rsidRDefault="00A55259">
      <w:pPr>
        <w:widowControl w:val="0"/>
        <w:autoSpaceDE w:val="0"/>
        <w:autoSpaceDN w:val="0"/>
        <w:adjustRightInd w:val="0"/>
        <w:ind w:right="419"/>
        <w:rPr>
          <w:i/>
          <w:szCs w:val="24"/>
          <w:u w:val="single"/>
          <w:lang w:val="sk-SK"/>
        </w:rPr>
      </w:pPr>
      <w:r w:rsidRPr="00097607">
        <w:rPr>
          <w:i/>
          <w:szCs w:val="24"/>
          <w:u w:val="single"/>
          <w:lang w:val="sk-SK"/>
        </w:rPr>
        <w:t>Znížená funkcia obličiek</w:t>
      </w:r>
    </w:p>
    <w:p w14:paraId="0D0D0BEE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19"/>
        <w:rPr>
          <w:szCs w:val="24"/>
          <w:lang w:val="sk-SK"/>
        </w:rPr>
      </w:pPr>
      <w:r w:rsidRPr="00097607">
        <w:rPr>
          <w:szCs w:val="24"/>
          <w:lang w:val="sk-SK"/>
        </w:rPr>
        <w:t xml:space="preserve">Je potrebné pravidelne monitorovať hladiny draslíka u pacientov so zníženou funkciou obličiek, vrátane diabetickej mikroalbuminúrie. Riziko hyperkaliémie sa zvyšuje so zníženou funkciou obličiek. Preto by mali byť títo pacienti liečení s opatrnosťou. </w:t>
      </w:r>
    </w:p>
    <w:p w14:paraId="488F706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54" w:lineRule="exact"/>
        <w:ind w:right="419"/>
        <w:rPr>
          <w:szCs w:val="24"/>
          <w:lang w:val="sk-SK"/>
        </w:rPr>
      </w:pPr>
    </w:p>
    <w:p w14:paraId="41D8933C" w14:textId="77777777" w:rsidR="00A55259" w:rsidRPr="00097607" w:rsidRDefault="00A55259">
      <w:pPr>
        <w:widowControl w:val="0"/>
        <w:autoSpaceDE w:val="0"/>
        <w:autoSpaceDN w:val="0"/>
        <w:adjustRightInd w:val="0"/>
        <w:ind w:right="419"/>
        <w:rPr>
          <w:i/>
          <w:szCs w:val="24"/>
          <w:u w:val="single"/>
          <w:lang w:val="sk-SK"/>
        </w:rPr>
      </w:pPr>
      <w:r w:rsidRPr="00097607">
        <w:rPr>
          <w:i/>
          <w:szCs w:val="24"/>
          <w:u w:val="single"/>
          <w:lang w:val="sk-SK"/>
        </w:rPr>
        <w:t>Závažná hepatická insuficiencia</w:t>
      </w:r>
    </w:p>
    <w:p w14:paraId="2C9540E3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19"/>
        <w:rPr>
          <w:szCs w:val="24"/>
          <w:lang w:val="sk-SK"/>
        </w:rPr>
      </w:pPr>
      <w:r w:rsidRPr="00097607">
        <w:rPr>
          <w:szCs w:val="24"/>
          <w:lang w:val="sk-SK"/>
        </w:rPr>
        <w:t>Opatrnosť je potrebná u pacientov s poruchami pečene z dôvodu rizika pečeňovej kómy.</w:t>
      </w:r>
    </w:p>
    <w:p w14:paraId="74E70101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39" w:lineRule="auto"/>
        <w:ind w:right="338"/>
        <w:rPr>
          <w:spacing w:val="-1"/>
          <w:szCs w:val="24"/>
          <w:lang w:val="sk-SK"/>
        </w:rPr>
      </w:pPr>
    </w:p>
    <w:p w14:paraId="5D1E7A93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338"/>
        <w:rPr>
          <w:i/>
          <w:spacing w:val="-1"/>
          <w:szCs w:val="24"/>
          <w:u w:val="single"/>
          <w:lang w:val="sk-SK"/>
        </w:rPr>
      </w:pPr>
      <w:r w:rsidRPr="00097607">
        <w:rPr>
          <w:i/>
          <w:spacing w:val="-1"/>
          <w:szCs w:val="24"/>
          <w:u w:val="single"/>
          <w:lang w:val="sk-SK"/>
        </w:rPr>
        <w:t>Karcinogenicita</w:t>
      </w:r>
    </w:p>
    <w:p w14:paraId="755132F0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338"/>
        <w:rPr>
          <w:szCs w:val="24"/>
          <w:lang w:val="sk-SK"/>
        </w:rPr>
      </w:pPr>
      <w:r w:rsidRPr="00097607">
        <w:rPr>
          <w:szCs w:val="24"/>
          <w:lang w:val="sk-SK"/>
        </w:rPr>
        <w:t>Štúdie na zvieratách preukázali, že pri vysokých dávkach a po dlhodobom užívaní spironolaktón vyvoláva tvorbu tumorov.</w:t>
      </w:r>
      <w:r w:rsidRPr="00097607">
        <w:rPr>
          <w:spacing w:val="-1"/>
          <w:szCs w:val="24"/>
          <w:lang w:val="sk-SK"/>
        </w:rPr>
        <w:t xml:space="preserve"> </w:t>
      </w:r>
      <w:r w:rsidRPr="00097607">
        <w:rPr>
          <w:szCs w:val="24"/>
          <w:lang w:val="sk-SK"/>
        </w:rPr>
        <w:t xml:space="preserve">Význam týchto údajov pre klinické použitie nie je jasný. Avšak prínosy </w:t>
      </w:r>
      <w:r w:rsidRPr="00097607">
        <w:rPr>
          <w:szCs w:val="24"/>
          <w:lang w:val="sk-SK"/>
        </w:rPr>
        <w:lastRenderedPageBreak/>
        <w:t>liečby by sa mali zvážiť v porovnaní s možným dlhodobým poškodením ešte pred začatím dlhodobého užívania spironolaktónu u mladších pacientov.</w:t>
      </w:r>
    </w:p>
    <w:p w14:paraId="471C23B6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1D92E725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r w:rsidRPr="00097607">
        <w:rPr>
          <w:i/>
          <w:szCs w:val="24"/>
          <w:u w:val="single"/>
          <w:lang w:val="sk-SK"/>
        </w:rPr>
        <w:t>Laktóza</w:t>
      </w:r>
    </w:p>
    <w:p w14:paraId="27BA2ABE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Tento liek obsahuje laktózu. Pacienti so zriedkavými dedičnými problémami galaktózovej intolerancie,</w:t>
      </w:r>
    </w:p>
    <w:p w14:paraId="2C068C9F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097607">
        <w:rPr>
          <w:szCs w:val="24"/>
          <w:lang w:val="sk-SK"/>
        </w:rPr>
        <w:t>lapónskeho deficitu laktázy alebo glukózovo-galaktózovej malabsorpcie nesmú užívať tento liek.</w:t>
      </w:r>
    </w:p>
    <w:p w14:paraId="124D8230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288176C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b/>
          <w:szCs w:val="24"/>
          <w:lang w:val="sk-SK"/>
        </w:rPr>
      </w:pPr>
      <w:r w:rsidRPr="00097607">
        <w:rPr>
          <w:b/>
          <w:szCs w:val="24"/>
          <w:lang w:val="sk-SK"/>
        </w:rPr>
        <w:t>Pediatrická populácia</w:t>
      </w:r>
    </w:p>
    <w:p w14:paraId="79F7559C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097607">
        <w:rPr>
          <w:szCs w:val="24"/>
          <w:lang w:val="sk-SK"/>
        </w:rPr>
        <w:t>Draslík šetriace diuretiká sa majú používať s opatrnosťou u hypertenzívnych pediatrických pacientov s miernou renálnou insuficienciou z dôvodu rizika hyperkaliémie. (Spironolaktón je kontraindikovaný pri používaní u pediatrických pacientov so stredne závažným až stredne závažným poškodením obličiek; pozri časť 4.3).</w:t>
      </w:r>
    </w:p>
    <w:p w14:paraId="209C3789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615470B5" w14:textId="30184112" w:rsidR="00A55259" w:rsidRDefault="00FC33E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D60157">
        <w:rPr>
          <w:szCs w:val="24"/>
          <w:lang w:val="sk-SK"/>
        </w:rPr>
        <w:t xml:space="preserve">Súčasné užívanie liekov, o ktorých je známe, že spôsobujú hyperkaliémiu so spironolaktónom, môže spôsobiť závažnú hyperkaliémiu. </w:t>
      </w:r>
    </w:p>
    <w:p w14:paraId="59DA6906" w14:textId="77777777" w:rsidR="00A6420D" w:rsidRPr="00097607" w:rsidRDefault="00A6420D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F74B2E1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b/>
          <w:szCs w:val="24"/>
          <w:lang w:val="sk-SK"/>
        </w:rPr>
        <w:t>4.5</w:t>
      </w:r>
      <w:r>
        <w:rPr>
          <w:b/>
          <w:szCs w:val="24"/>
          <w:lang w:val="sk-SK"/>
        </w:rPr>
        <w:tab/>
        <w:t>Liekové a iné interakcie</w:t>
      </w:r>
    </w:p>
    <w:p w14:paraId="3AFF6DD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42637CF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exact"/>
        <w:rPr>
          <w:szCs w:val="24"/>
          <w:u w:val="single"/>
          <w:lang w:val="sk-SK"/>
        </w:rPr>
      </w:pPr>
      <w:r>
        <w:rPr>
          <w:szCs w:val="24"/>
          <w:u w:val="single"/>
          <w:lang w:val="sk-SK"/>
        </w:rPr>
        <w:t>Interakcie ovplyvňujúce spironolaktón</w:t>
      </w:r>
    </w:p>
    <w:p w14:paraId="7937E47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u w:val="single"/>
          <w:lang w:val="sk-SK"/>
        </w:rPr>
      </w:pPr>
    </w:p>
    <w:p w14:paraId="7044117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exact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Kombinácie spôsobujúce hyperkaliémiu</w:t>
      </w:r>
    </w:p>
    <w:p w14:paraId="7E5F5F57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>Súbežné užívanie draslík šetriacich diuretík (vrátane eplerenónu) alebo doplnkov draslíka, alebo duálna blokáda RAAS kombinovaným použitím inhibítorov angiotenzín konvertujúceho enzýmu (ACE) a blokátorov receptorov angiotenzínu (ARB) je kontraindikované z dôvodu rizika hyperkaliémie (pozri časť 4.3).</w:t>
      </w:r>
    </w:p>
    <w:p w14:paraId="2BD98DB5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left="100" w:right="59"/>
        <w:rPr>
          <w:szCs w:val="24"/>
          <w:lang w:val="sk-SK"/>
        </w:rPr>
      </w:pPr>
    </w:p>
    <w:p w14:paraId="541E3165" w14:textId="77777777" w:rsidR="00A55259" w:rsidRPr="00097607" w:rsidRDefault="00A55259">
      <w:pPr>
        <w:widowControl w:val="0"/>
        <w:tabs>
          <w:tab w:val="clear" w:pos="567"/>
        </w:tabs>
        <w:autoSpaceDE w:val="0"/>
        <w:autoSpaceDN w:val="0"/>
        <w:adjustRightInd w:val="0"/>
        <w:ind w:right="59"/>
        <w:rPr>
          <w:szCs w:val="24"/>
          <w:lang w:val="sk-SK"/>
        </w:rPr>
      </w:pPr>
      <w:r>
        <w:rPr>
          <w:szCs w:val="24"/>
          <w:lang w:val="sk-SK"/>
        </w:rPr>
        <w:t>Používanie inhibítorov ACE v kombinácii so spironolaktónom môže byť sprevádzané hyperkaliémiou, predovšetkým u pacientov so zníženou funkciou obličiek. Súbežné používanie si vyžaduje opatrné dávkovanie a starostlivé monitorovanie elektrolytickej rovnováhy.</w:t>
      </w:r>
    </w:p>
    <w:p w14:paraId="2559C4F6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szCs w:val="24"/>
          <w:lang w:val="sk-SK"/>
        </w:rPr>
      </w:pPr>
    </w:p>
    <w:p w14:paraId="7FE5DFF7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>Súčasné podávanie spironolaktónu a cyklosporínu sa neodporúča, keďže obidva zvyšujú hladinu sérového draslíka a vzhľadom na možné závažné, život ohrozujúce interakcie.</w:t>
      </w:r>
    </w:p>
    <w:p w14:paraId="30CDF553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59" w:hanging="360"/>
        <w:rPr>
          <w:szCs w:val="24"/>
          <w:lang w:val="sk-SK"/>
        </w:rPr>
      </w:pPr>
    </w:p>
    <w:p w14:paraId="68494EE3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Heparín, nízkomolekulárny heparín:</w:t>
      </w:r>
    </w:p>
    <w:p w14:paraId="5F643D38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 xml:space="preserve">Súčasné podávanie spironolaktónu s heparínom alebo nízkomolekulárnym heparínom môže viesť k ťažkej hyperkaliémii. Pri súčasnom podávaní spironolaktónu a heparínu bola pozorovaná zvýšená diuréza. </w:t>
      </w:r>
    </w:p>
    <w:p w14:paraId="238D769F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szCs w:val="24"/>
          <w:lang w:val="sk-SK"/>
        </w:rPr>
      </w:pPr>
    </w:p>
    <w:p w14:paraId="050C6D1C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Nesteroidné protizápalové lieky</w:t>
      </w:r>
    </w:p>
    <w:p w14:paraId="48C27941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>Kyselina acetylsalicylová a indometacín môžu zmierniť diuretický účinok spironolaktónu kvôli inhibícii intrarenálnej syntézy prostaglandínov. Hyperkaliémia je spojená s užívaním indometacínu v kombinácii s draslík šeriacimi diuretikami.</w:t>
      </w:r>
    </w:p>
    <w:p w14:paraId="67B28149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szCs w:val="24"/>
          <w:u w:val="single"/>
          <w:lang w:val="sk-SK"/>
        </w:rPr>
      </w:pPr>
    </w:p>
    <w:p w14:paraId="4616C315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u w:val="single"/>
          <w:lang w:val="sk-SK"/>
        </w:rPr>
      </w:pPr>
      <w:r>
        <w:rPr>
          <w:szCs w:val="24"/>
          <w:u w:val="single"/>
          <w:lang w:val="sk-SK"/>
        </w:rPr>
        <w:t>Interakcie ovplyvňujúce iné lieky</w:t>
      </w:r>
    </w:p>
    <w:p w14:paraId="7246D63E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szCs w:val="24"/>
          <w:u w:val="single"/>
          <w:lang w:val="sk-SK"/>
        </w:rPr>
      </w:pPr>
    </w:p>
    <w:p w14:paraId="2295EBA8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Antikoagulanty</w:t>
      </w:r>
    </w:p>
    <w:p w14:paraId="6C7E4B7E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>Spironolaktón znižuje účinok antikoagulantov.</w:t>
      </w:r>
    </w:p>
    <w:p w14:paraId="44231B35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spacing w:line="266" w:lineRule="exact"/>
        <w:ind w:right="-20"/>
        <w:rPr>
          <w:i/>
          <w:szCs w:val="24"/>
          <w:u w:val="single"/>
          <w:lang w:val="sk-SK"/>
        </w:rPr>
      </w:pPr>
    </w:p>
    <w:p w14:paraId="11D7929A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Noradrenalín</w:t>
      </w:r>
    </w:p>
    <w:p w14:paraId="161FE953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>Spironolaktón znižuje vazokonstrikčné účinky noradrenalínu.</w:t>
      </w:r>
    </w:p>
    <w:p w14:paraId="6146E4A6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spacing w:line="264" w:lineRule="exact"/>
        <w:ind w:left="100" w:right="-20"/>
        <w:rPr>
          <w:i/>
          <w:szCs w:val="24"/>
          <w:u w:val="single"/>
          <w:lang w:val="sk-SK"/>
        </w:rPr>
      </w:pPr>
    </w:p>
    <w:p w14:paraId="77BEA9CA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-20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Antihypertenzíva</w:t>
      </w:r>
    </w:p>
    <w:p w14:paraId="6884A364" w14:textId="77777777" w:rsidR="00A55259" w:rsidRPr="00097607" w:rsidRDefault="00A55259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87"/>
        <w:rPr>
          <w:szCs w:val="24"/>
          <w:lang w:val="sk-SK"/>
        </w:rPr>
      </w:pPr>
      <w:r>
        <w:rPr>
          <w:szCs w:val="24"/>
          <w:lang w:val="sk-SK"/>
        </w:rPr>
        <w:t>Spironolaktón môže zosilňovať účinok antihypertenzív.</w:t>
      </w:r>
      <w:r>
        <w:rPr>
          <w:spacing w:val="2"/>
          <w:szCs w:val="24"/>
          <w:lang w:val="sk-SK"/>
        </w:rPr>
        <w:t xml:space="preserve"> </w:t>
      </w:r>
      <w:r>
        <w:rPr>
          <w:szCs w:val="24"/>
          <w:lang w:val="sk-SK"/>
        </w:rPr>
        <w:t>Dávkovanie takýchto liekov, predovšetkým liekov blokujúcich ganglion, sa často znižuje na polovicu, keď sa k liečbe pridáva užívanie spironolaktónu.</w:t>
      </w:r>
    </w:p>
    <w:p w14:paraId="437D1AA8" w14:textId="77777777" w:rsidR="00A55259" w:rsidRPr="00097607" w:rsidRDefault="00A55259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87"/>
        <w:rPr>
          <w:szCs w:val="24"/>
          <w:lang w:val="sk-SK"/>
        </w:rPr>
      </w:pPr>
    </w:p>
    <w:p w14:paraId="31746504" w14:textId="77777777" w:rsidR="00A55259" w:rsidRPr="00097607" w:rsidRDefault="00A55259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87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Lítium</w:t>
      </w:r>
    </w:p>
    <w:p w14:paraId="595416F4" w14:textId="77777777" w:rsidR="00A55259" w:rsidRPr="00097607" w:rsidRDefault="00A55259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87"/>
        <w:rPr>
          <w:szCs w:val="24"/>
          <w:lang w:val="sk-SK"/>
        </w:rPr>
      </w:pPr>
      <w:r>
        <w:rPr>
          <w:szCs w:val="24"/>
          <w:lang w:val="sk-SK"/>
        </w:rPr>
        <w:t>Diuretiká znižujú renálny klírens lítia a a prispievajú k vysokému riziku lítiovej toxicity.</w:t>
      </w:r>
    </w:p>
    <w:p w14:paraId="0A0179F1" w14:textId="77777777" w:rsidR="00A55259" w:rsidRPr="00097607" w:rsidRDefault="00A55259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ind w:right="187"/>
        <w:rPr>
          <w:szCs w:val="24"/>
          <w:lang w:val="sk-SK"/>
        </w:rPr>
      </w:pPr>
    </w:p>
    <w:p w14:paraId="75AFCA38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907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Digoxín</w:t>
      </w:r>
    </w:p>
    <w:p w14:paraId="73EDC4F8" w14:textId="77777777" w:rsidR="00A55259" w:rsidRPr="00097607" w:rsidRDefault="00A55259">
      <w:pPr>
        <w:widowControl w:val="0"/>
        <w:tabs>
          <w:tab w:val="clear" w:pos="567"/>
          <w:tab w:val="left" w:pos="0"/>
          <w:tab w:val="left" w:pos="142"/>
        </w:tabs>
        <w:autoSpaceDE w:val="0"/>
        <w:autoSpaceDN w:val="0"/>
        <w:adjustRightInd w:val="0"/>
        <w:spacing w:line="240" w:lineRule="auto"/>
        <w:ind w:right="907"/>
        <w:rPr>
          <w:szCs w:val="24"/>
          <w:lang w:val="sk-SK"/>
        </w:rPr>
      </w:pPr>
      <w:r>
        <w:rPr>
          <w:szCs w:val="24"/>
          <w:lang w:val="sk-SK"/>
        </w:rPr>
        <w:t xml:space="preserve">U spironolaktónu bolo preukázané, že zvyšuje polčas digoxínu. To môže mať za následok zvýšené hladiny digoxínu v sére a následne digitalisovú toxicitu. </w:t>
      </w:r>
    </w:p>
    <w:p w14:paraId="03AA5D67" w14:textId="77777777" w:rsidR="00A55259" w:rsidRPr="00097607" w:rsidRDefault="00A55259">
      <w:pPr>
        <w:widowControl w:val="0"/>
        <w:tabs>
          <w:tab w:val="left" w:pos="460"/>
        </w:tabs>
        <w:autoSpaceDE w:val="0"/>
        <w:autoSpaceDN w:val="0"/>
        <w:adjustRightInd w:val="0"/>
        <w:ind w:right="907" w:hanging="360"/>
        <w:rPr>
          <w:szCs w:val="24"/>
          <w:lang w:val="sk-SK"/>
        </w:rPr>
      </w:pPr>
    </w:p>
    <w:p w14:paraId="39CDDCE9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Alkohol, barbituráty alebo narkotiká</w:t>
      </w:r>
    </w:p>
    <w:p w14:paraId="29A09BB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Môže sa objaviť zosilnenie ortostatickej hypotenzie.</w:t>
      </w:r>
    </w:p>
    <w:p w14:paraId="11831A8C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6D9E168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Chlorestyramín</w:t>
      </w:r>
    </w:p>
    <w:p w14:paraId="64D2C5D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Hyperchloremická metabolická acidóza, často spájaná s hyperkaliémiou, bola hlásená u pacientov, ktorí dostávali spironolaktón súbežne s cholestyramínom.</w:t>
      </w:r>
    </w:p>
    <w:p w14:paraId="04FD3ECD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25EE298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Kortikosteroidy, ACTH</w:t>
      </w:r>
    </w:p>
    <w:p w14:paraId="0D278377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Môže sa objaviť zosilnená deplécia elektrolytov, predovšetkým hypokaliémia.</w:t>
      </w:r>
    </w:p>
    <w:p w14:paraId="3FEB2015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3A3AAAC6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u w:val="single"/>
          <w:lang w:val="sk-SK"/>
        </w:rPr>
      </w:pPr>
      <w:r>
        <w:rPr>
          <w:szCs w:val="24"/>
          <w:u w:val="single"/>
          <w:lang w:val="sk-SK"/>
        </w:rPr>
        <w:t>Iné formy interakcie</w:t>
      </w:r>
    </w:p>
    <w:p w14:paraId="77B640B9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25DDEE66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Chlorid amónny</w:t>
      </w:r>
    </w:p>
    <w:p w14:paraId="4E0F75D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Hyperchloremická metabolická acidóza, často spájaná s hyperkaliémiou, bola hlásená u pacientov, ktorí dostávali spironolaktón súbežne s chloridom amónnym (napr. v sladkom drievku).</w:t>
      </w:r>
    </w:p>
    <w:p w14:paraId="4228176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171614D9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i/>
          <w:szCs w:val="24"/>
          <w:u w:val="single"/>
          <w:lang w:val="sk-SK"/>
        </w:rPr>
      </w:pPr>
      <w:r>
        <w:rPr>
          <w:i/>
          <w:szCs w:val="24"/>
          <w:u w:val="single"/>
          <w:lang w:val="sk-SK"/>
        </w:rPr>
        <w:t>Hladiny kortizónu v plazme</w:t>
      </w:r>
    </w:p>
    <w:p w14:paraId="452A812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Pri použití Mattinglyho fluorometrickej metódy môže spironolaktón interferovať so stanovovaním hladín kortizónu v plazme.</w:t>
      </w:r>
    </w:p>
    <w:p w14:paraId="0AAA8BF8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BC85CCB" w14:textId="77777777" w:rsidR="00FC33E9" w:rsidRPr="00FC33E9" w:rsidRDefault="00FC33E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FC33E9">
        <w:rPr>
          <w:szCs w:val="24"/>
          <w:lang w:val="sk-SK"/>
        </w:rPr>
        <w:t xml:space="preserve">Okrem súčasného užívania iných liekov, o ktorých je známe, že spôsobujú hyperkaliémiu, môže aj súčasné užívanie trimetoprimu/sulfametoxazolu (ko-trimoxazolu) a spironolaktónu spôsobiť klinicky relevantnú hyperkaliémiu. </w:t>
      </w:r>
    </w:p>
    <w:p w14:paraId="783E432D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7A40B10" w14:textId="77777777" w:rsidR="00A55259" w:rsidRPr="00097607" w:rsidRDefault="00A55259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b/>
          <w:szCs w:val="24"/>
          <w:lang w:val="sk-SK"/>
        </w:rPr>
        <w:t>4.6</w:t>
      </w:r>
      <w:r>
        <w:rPr>
          <w:b/>
          <w:szCs w:val="24"/>
          <w:lang w:val="sk-SK"/>
        </w:rPr>
        <w:tab/>
        <w:t>Fertilita, gravidita a dojčenie</w:t>
      </w:r>
    </w:p>
    <w:p w14:paraId="3B49261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04688C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u w:val="single"/>
          <w:lang w:val="sk-SK"/>
        </w:rPr>
      </w:pPr>
      <w:r>
        <w:rPr>
          <w:szCs w:val="24"/>
          <w:u w:val="single"/>
          <w:lang w:val="sk-SK"/>
        </w:rPr>
        <w:t>Gravidita</w:t>
      </w:r>
    </w:p>
    <w:p w14:paraId="2CF95CDC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Existuje len veľmi málo údajov o užívaní spironolaktónu počas gravidity u ľudí.</w:t>
      </w:r>
    </w:p>
    <w:p w14:paraId="756C2A5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Experimentálne štúdie na zvieratách preukázali reprodukčnú toxicitu súvisiacu s antiandrogénnym účinkom spironolaktónu (pozri časť 5.3). Spironolaktón sa nemá užívať počas gravidity.</w:t>
      </w:r>
    </w:p>
    <w:p w14:paraId="51A1C36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Diuretiká môžu viesť k zníženému prekrvovaniu placenty, a tým k zhoršeniu vnútromaternicového rastu, preto sa neodporúča v rámci štandardnej liečby hypertenzie a edému počas gravidity.</w:t>
      </w:r>
    </w:p>
    <w:p w14:paraId="45D1C78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1BE0EEC6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u w:val="single"/>
          <w:lang w:val="sk-SK"/>
        </w:rPr>
      </w:pPr>
      <w:r>
        <w:rPr>
          <w:szCs w:val="24"/>
          <w:u w:val="single"/>
          <w:lang w:val="sk-SK"/>
        </w:rPr>
        <w:t>Dojčenie</w:t>
      </w:r>
    </w:p>
    <w:p w14:paraId="1F34DC27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Kanrenón, základný a aktívny metabolit spironolaktónu, sa objavuje v malých množstvách v materskom mlieku. Spironolaktón sa nemá užívať počas laktácie. Je potrebné rozhodnúť sa, či sa preruší dojčenie alebo či sa ukonči/preruší liečba spironolaktónom, pričom sa majú brať do úvahy výhody dojčenia pre dieťa a prínosy liečby pre ženy.</w:t>
      </w:r>
    </w:p>
    <w:p w14:paraId="49EE7CD0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5D371DB0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u w:val="single"/>
          <w:lang w:val="sk-SK"/>
        </w:rPr>
      </w:pPr>
      <w:r>
        <w:rPr>
          <w:szCs w:val="24"/>
          <w:u w:val="single"/>
          <w:lang w:val="sk-SK"/>
        </w:rPr>
        <w:t>Fertilita</w:t>
      </w:r>
    </w:p>
    <w:p w14:paraId="267AD8E2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>
        <w:rPr>
          <w:szCs w:val="24"/>
          <w:lang w:val="sk-SK"/>
        </w:rPr>
        <w:t>Spironolaktón môže vyvolať impotenciu a nepravidelnú menštruáciu (pozri časť 4.8).</w:t>
      </w:r>
    </w:p>
    <w:p w14:paraId="51DF17D0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6A16BDD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rPr>
          <w:szCs w:val="24"/>
          <w:lang w:val="sk-SK"/>
        </w:rPr>
      </w:pPr>
      <w:r>
        <w:rPr>
          <w:b/>
          <w:szCs w:val="24"/>
          <w:lang w:val="sk-SK"/>
        </w:rPr>
        <w:t>4.7</w:t>
      </w:r>
      <w:r>
        <w:rPr>
          <w:b/>
          <w:szCs w:val="24"/>
          <w:lang w:val="sk-SK"/>
        </w:rPr>
        <w:tab/>
        <w:t>Ovplyvnenie schopnosti viesť vozidlá a obsluhovať stroje</w:t>
      </w:r>
    </w:p>
    <w:p w14:paraId="29B3ED4E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6A3921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Nie sú k dispozícii žiadne údaje o ovplyvnení schopnosti viesť vozidlá. Môžu sa objaviť nežiaduce účinky, ako sú závraty, zmätenosť a bolesť hlavy.</w:t>
      </w:r>
      <w:r>
        <w:rPr>
          <w:spacing w:val="-2"/>
          <w:szCs w:val="24"/>
          <w:lang w:val="sk-SK"/>
        </w:rPr>
        <w:t xml:space="preserve"> </w:t>
      </w:r>
      <w:r>
        <w:rPr>
          <w:szCs w:val="24"/>
          <w:lang w:val="sk-SK"/>
        </w:rPr>
        <w:t>Možný výskyt týchto nežiaducich účinkov je potrebné vziať do úvahy pri vedení vozidiel alebo pri obsluhe strojov.</w:t>
      </w:r>
    </w:p>
    <w:p w14:paraId="7C286481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34A49549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b/>
          <w:szCs w:val="24"/>
          <w:lang w:val="sk-SK"/>
        </w:rPr>
        <w:t>4.8.</w:t>
      </w:r>
      <w:r>
        <w:rPr>
          <w:b/>
          <w:szCs w:val="24"/>
          <w:lang w:val="sk-SK"/>
        </w:rPr>
        <w:tab/>
        <w:t>Nežiaduce účinky</w:t>
      </w:r>
    </w:p>
    <w:p w14:paraId="28FFE511" w14:textId="77777777" w:rsidR="00A55259" w:rsidRPr="00097607" w:rsidRDefault="00A55259" w:rsidP="00B13562">
      <w:pPr>
        <w:widowControl w:val="0"/>
        <w:autoSpaceDE w:val="0"/>
        <w:autoSpaceDN w:val="0"/>
        <w:adjustRightInd w:val="0"/>
        <w:rPr>
          <w:sz w:val="26"/>
          <w:szCs w:val="24"/>
          <w:lang w:val="sk-SK"/>
        </w:rPr>
      </w:pPr>
    </w:p>
    <w:p w14:paraId="7C0384F4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>Nežiaduce účinky závisia od dávky a trvania liečby.</w:t>
      </w:r>
    </w:p>
    <w:p w14:paraId="2E10854B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60"/>
        <w:rPr>
          <w:szCs w:val="24"/>
          <w:lang w:val="sk-SK"/>
        </w:rPr>
      </w:pPr>
      <w:r>
        <w:rPr>
          <w:szCs w:val="24"/>
          <w:lang w:val="sk-SK"/>
        </w:rPr>
        <w:t>Najčastejšími nežiaducimi účinkami sú hyperkaliémia (9 %), poruchy reprodukčného systému a prsníkov, vrátane gynekomastie, ktoré boli hlásené u 13 % pacientov (pri dávke nižšej ako 100 mg). Gynekomastia zrejme súvisí s úrovňou dávky, ako aj s trvaním liečby a zvyčajne je reverzibilná po ukončení liečby. Ďalšími veľmi častými nežiaducimi účinkami sú bolesť hlavy, poruchy tráviaceho systému, hnačka, únava a ospalosť.</w:t>
      </w:r>
    </w:p>
    <w:p w14:paraId="4AD66370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1DB1ADAF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1113"/>
        <w:rPr>
          <w:szCs w:val="24"/>
          <w:lang w:val="sk-SK"/>
        </w:rPr>
      </w:pPr>
      <w:r>
        <w:rPr>
          <w:szCs w:val="24"/>
          <w:lang w:val="sk-SK"/>
        </w:rPr>
        <w:t xml:space="preserve">Nižšie uvedené nežiaduce účinky sú klasifikované podľa nasledujúcich frekvencií: </w:t>
      </w:r>
      <w:r>
        <w:rPr>
          <w:spacing w:val="1"/>
          <w:szCs w:val="24"/>
          <w:lang w:val="sk-SK"/>
        </w:rPr>
        <w:t>Veľmi časté</w:t>
      </w:r>
      <w:r>
        <w:rPr>
          <w:szCs w:val="24"/>
          <w:lang w:val="sk-SK"/>
        </w:rPr>
        <w:t xml:space="preserve"> </w:t>
      </w:r>
      <w:r>
        <w:rPr>
          <w:spacing w:val="1"/>
          <w:szCs w:val="24"/>
          <w:lang w:val="sk-SK"/>
        </w:rPr>
        <w:t>(</w:t>
      </w:r>
      <w:r>
        <w:rPr>
          <w:rFonts w:ascii="Symbol" w:hAnsi="Symbol"/>
          <w:spacing w:val="1"/>
          <w:szCs w:val="24"/>
          <w:lang w:val="sk-SK"/>
        </w:rPr>
        <w:t></w:t>
      </w:r>
      <w:r>
        <w:rPr>
          <w:rFonts w:ascii="Symbol" w:hAnsi="Symbol"/>
          <w:spacing w:val="1"/>
          <w:szCs w:val="24"/>
          <w:lang w:val="sk-SK"/>
        </w:rPr>
        <w:t></w:t>
      </w:r>
      <w:r>
        <w:rPr>
          <w:szCs w:val="24"/>
          <w:lang w:val="sk-SK"/>
        </w:rPr>
        <w:t>1</w:t>
      </w:r>
      <w:r>
        <w:rPr>
          <w:spacing w:val="1"/>
          <w:szCs w:val="24"/>
          <w:lang w:val="sk-SK"/>
        </w:rPr>
        <w:t>/</w:t>
      </w:r>
      <w:r>
        <w:rPr>
          <w:szCs w:val="24"/>
          <w:lang w:val="sk-SK"/>
        </w:rPr>
        <w:t>1</w:t>
      </w:r>
      <w:r>
        <w:rPr>
          <w:spacing w:val="-2"/>
          <w:szCs w:val="24"/>
          <w:lang w:val="sk-SK"/>
        </w:rPr>
        <w:t>0</w:t>
      </w:r>
      <w:r>
        <w:rPr>
          <w:szCs w:val="24"/>
          <w:lang w:val="sk-SK"/>
        </w:rPr>
        <w:t>),</w:t>
      </w:r>
      <w:r>
        <w:rPr>
          <w:spacing w:val="-1"/>
          <w:szCs w:val="24"/>
          <w:lang w:val="sk-SK"/>
        </w:rPr>
        <w:t xml:space="preserve"> časté</w:t>
      </w:r>
      <w:r>
        <w:rPr>
          <w:szCs w:val="24"/>
          <w:lang w:val="sk-SK"/>
        </w:rPr>
        <w:t xml:space="preserve"> </w:t>
      </w:r>
      <w:r>
        <w:rPr>
          <w:spacing w:val="1"/>
          <w:szCs w:val="24"/>
          <w:lang w:val="sk-SK"/>
        </w:rPr>
        <w:t>(</w:t>
      </w:r>
      <w:r>
        <w:rPr>
          <w:rFonts w:ascii="Symbol" w:hAnsi="Symbol"/>
          <w:szCs w:val="24"/>
          <w:lang w:val="sk-SK"/>
        </w:rPr>
        <w:t></w:t>
      </w:r>
      <w:r>
        <w:rPr>
          <w:spacing w:val="1"/>
          <w:szCs w:val="24"/>
          <w:lang w:val="sk-SK"/>
        </w:rPr>
        <w:t xml:space="preserve"> </w:t>
      </w:r>
      <w:r>
        <w:rPr>
          <w:szCs w:val="24"/>
          <w:lang w:val="sk-SK"/>
        </w:rPr>
        <w:t>1</w:t>
      </w:r>
      <w:r>
        <w:rPr>
          <w:spacing w:val="1"/>
          <w:szCs w:val="24"/>
          <w:lang w:val="sk-SK"/>
        </w:rPr>
        <w:t>/</w:t>
      </w:r>
      <w:r>
        <w:rPr>
          <w:szCs w:val="24"/>
          <w:lang w:val="sk-SK"/>
        </w:rPr>
        <w:t>100 až</w:t>
      </w:r>
      <w:r>
        <w:rPr>
          <w:spacing w:val="-2"/>
          <w:szCs w:val="24"/>
          <w:lang w:val="sk-SK"/>
        </w:rPr>
        <w:t xml:space="preserve"> </w:t>
      </w:r>
      <w:r>
        <w:rPr>
          <w:szCs w:val="24"/>
          <w:lang w:val="sk-SK"/>
        </w:rPr>
        <w:t>&lt; 1</w:t>
      </w:r>
      <w:r>
        <w:rPr>
          <w:spacing w:val="-1"/>
          <w:szCs w:val="24"/>
          <w:lang w:val="sk-SK"/>
        </w:rPr>
        <w:t>/</w:t>
      </w:r>
      <w:r>
        <w:rPr>
          <w:szCs w:val="24"/>
          <w:lang w:val="sk-SK"/>
        </w:rPr>
        <w:t xml:space="preserve">10), menej časté </w:t>
      </w:r>
      <w:r>
        <w:rPr>
          <w:spacing w:val="1"/>
          <w:szCs w:val="24"/>
          <w:lang w:val="sk-SK"/>
        </w:rPr>
        <w:t>(</w:t>
      </w:r>
      <w:r>
        <w:rPr>
          <w:rFonts w:ascii="Symbol" w:hAnsi="Symbol"/>
          <w:szCs w:val="24"/>
          <w:lang w:val="sk-SK"/>
        </w:rPr>
        <w:t></w:t>
      </w:r>
      <w:r>
        <w:rPr>
          <w:spacing w:val="1"/>
          <w:szCs w:val="24"/>
          <w:lang w:val="sk-SK"/>
        </w:rPr>
        <w:t xml:space="preserve"> </w:t>
      </w:r>
      <w:r>
        <w:rPr>
          <w:szCs w:val="24"/>
          <w:lang w:val="sk-SK"/>
        </w:rPr>
        <w:t>1</w:t>
      </w:r>
      <w:r>
        <w:rPr>
          <w:spacing w:val="1"/>
          <w:szCs w:val="24"/>
          <w:lang w:val="sk-SK"/>
        </w:rPr>
        <w:t>/</w:t>
      </w:r>
      <w:r>
        <w:rPr>
          <w:szCs w:val="24"/>
          <w:lang w:val="sk-SK"/>
        </w:rPr>
        <w:t>1</w:t>
      </w:r>
      <w:r>
        <w:rPr>
          <w:spacing w:val="-2"/>
          <w:szCs w:val="24"/>
          <w:lang w:val="sk-SK"/>
        </w:rPr>
        <w:t xml:space="preserve"> </w:t>
      </w:r>
      <w:r>
        <w:rPr>
          <w:szCs w:val="24"/>
          <w:lang w:val="sk-SK"/>
        </w:rPr>
        <w:t xml:space="preserve">000 až </w:t>
      </w:r>
      <w:r>
        <w:rPr>
          <w:spacing w:val="-2"/>
          <w:szCs w:val="24"/>
          <w:lang w:val="sk-SK"/>
        </w:rPr>
        <w:t>&lt;</w:t>
      </w:r>
      <w:r>
        <w:rPr>
          <w:szCs w:val="24"/>
          <w:lang w:val="sk-SK"/>
        </w:rPr>
        <w:t>1</w:t>
      </w:r>
      <w:r>
        <w:rPr>
          <w:spacing w:val="-1"/>
          <w:szCs w:val="24"/>
          <w:lang w:val="sk-SK"/>
        </w:rPr>
        <w:t>/</w:t>
      </w:r>
      <w:r>
        <w:rPr>
          <w:szCs w:val="24"/>
          <w:lang w:val="sk-SK"/>
        </w:rPr>
        <w:t>100), zriedkavé</w:t>
      </w:r>
      <w:r>
        <w:rPr>
          <w:spacing w:val="-2"/>
          <w:szCs w:val="24"/>
          <w:lang w:val="sk-SK"/>
        </w:rPr>
        <w:t xml:space="preserve"> </w:t>
      </w:r>
      <w:r>
        <w:rPr>
          <w:spacing w:val="1"/>
          <w:szCs w:val="24"/>
          <w:lang w:val="sk-SK"/>
        </w:rPr>
        <w:t>(</w:t>
      </w:r>
      <w:r>
        <w:rPr>
          <w:rFonts w:ascii="Symbol" w:hAnsi="Symbol"/>
          <w:szCs w:val="24"/>
          <w:lang w:val="sk-SK"/>
        </w:rPr>
        <w:t></w:t>
      </w:r>
      <w:r>
        <w:rPr>
          <w:spacing w:val="1"/>
          <w:szCs w:val="24"/>
          <w:lang w:val="sk-SK"/>
        </w:rPr>
        <w:t xml:space="preserve"> </w:t>
      </w:r>
      <w:r>
        <w:rPr>
          <w:spacing w:val="-2"/>
          <w:szCs w:val="24"/>
          <w:lang w:val="sk-SK"/>
        </w:rPr>
        <w:t>1</w:t>
      </w:r>
      <w:r>
        <w:rPr>
          <w:spacing w:val="1"/>
          <w:szCs w:val="24"/>
          <w:lang w:val="sk-SK"/>
        </w:rPr>
        <w:t>/</w:t>
      </w:r>
      <w:r>
        <w:rPr>
          <w:szCs w:val="24"/>
          <w:lang w:val="sk-SK"/>
        </w:rPr>
        <w:t>10 000 až &lt;</w:t>
      </w:r>
      <w:r>
        <w:rPr>
          <w:spacing w:val="-2"/>
          <w:szCs w:val="24"/>
          <w:lang w:val="sk-SK"/>
        </w:rPr>
        <w:t>1</w:t>
      </w:r>
      <w:r>
        <w:rPr>
          <w:spacing w:val="1"/>
          <w:szCs w:val="24"/>
          <w:lang w:val="sk-SK"/>
        </w:rPr>
        <w:t>/</w:t>
      </w:r>
      <w:r>
        <w:rPr>
          <w:szCs w:val="24"/>
          <w:lang w:val="sk-SK"/>
        </w:rPr>
        <w:t xml:space="preserve">1 </w:t>
      </w:r>
      <w:r>
        <w:rPr>
          <w:spacing w:val="-2"/>
          <w:szCs w:val="24"/>
          <w:lang w:val="sk-SK"/>
        </w:rPr>
        <w:t>0</w:t>
      </w:r>
      <w:r>
        <w:rPr>
          <w:szCs w:val="24"/>
          <w:lang w:val="sk-SK"/>
        </w:rPr>
        <w:t>0</w:t>
      </w:r>
      <w:r>
        <w:rPr>
          <w:spacing w:val="-2"/>
          <w:szCs w:val="24"/>
          <w:lang w:val="sk-SK"/>
        </w:rPr>
        <w:t>0</w:t>
      </w:r>
      <w:r>
        <w:rPr>
          <w:szCs w:val="24"/>
          <w:lang w:val="sk-SK"/>
        </w:rPr>
        <w:t>),</w:t>
      </w:r>
      <w:r>
        <w:rPr>
          <w:spacing w:val="1"/>
          <w:szCs w:val="24"/>
          <w:lang w:val="sk-SK"/>
        </w:rPr>
        <w:t xml:space="preserve"> veľmi zriedkavé</w:t>
      </w:r>
      <w:r>
        <w:rPr>
          <w:spacing w:val="-2"/>
          <w:szCs w:val="24"/>
          <w:lang w:val="sk-SK"/>
        </w:rPr>
        <w:t xml:space="preserve"> </w:t>
      </w:r>
      <w:r>
        <w:rPr>
          <w:spacing w:val="1"/>
          <w:szCs w:val="24"/>
          <w:lang w:val="sk-SK"/>
        </w:rPr>
        <w:t>(</w:t>
      </w:r>
      <w:r>
        <w:rPr>
          <w:szCs w:val="24"/>
          <w:lang w:val="sk-SK"/>
        </w:rPr>
        <w:t xml:space="preserve">&lt; </w:t>
      </w:r>
      <w:r>
        <w:rPr>
          <w:spacing w:val="-2"/>
          <w:szCs w:val="24"/>
          <w:lang w:val="sk-SK"/>
        </w:rPr>
        <w:t>1</w:t>
      </w:r>
      <w:r>
        <w:rPr>
          <w:spacing w:val="1"/>
          <w:szCs w:val="24"/>
          <w:lang w:val="sk-SK"/>
        </w:rPr>
        <w:t>/</w:t>
      </w:r>
      <w:r>
        <w:rPr>
          <w:szCs w:val="24"/>
          <w:lang w:val="sk-SK"/>
        </w:rPr>
        <w:t>10 000</w:t>
      </w:r>
      <w:r>
        <w:rPr>
          <w:spacing w:val="1"/>
          <w:szCs w:val="24"/>
          <w:lang w:val="sk-SK"/>
        </w:rPr>
        <w:t>)</w:t>
      </w:r>
      <w:r>
        <w:rPr>
          <w:szCs w:val="24"/>
          <w:lang w:val="sk-SK"/>
        </w:rPr>
        <w:t>,</w:t>
      </w:r>
      <w:r>
        <w:rPr>
          <w:spacing w:val="-2"/>
          <w:szCs w:val="24"/>
          <w:lang w:val="sk-SK"/>
        </w:rPr>
        <w:t xml:space="preserve"> </w:t>
      </w:r>
      <w:r>
        <w:rPr>
          <w:szCs w:val="24"/>
          <w:lang w:val="sk-SK"/>
        </w:rPr>
        <w:t>neznáme (nie je možné ich odhadnúť z dostupných údajov)</w:t>
      </w:r>
    </w:p>
    <w:p w14:paraId="4460DEED" w14:textId="77777777" w:rsidR="00A55259" w:rsidRPr="00097607" w:rsidRDefault="00A55259" w:rsidP="00B13562">
      <w:pPr>
        <w:widowControl w:val="0"/>
        <w:autoSpaceDE w:val="0"/>
        <w:autoSpaceDN w:val="0"/>
        <w:adjustRightInd w:val="0"/>
        <w:rPr>
          <w:sz w:val="26"/>
          <w:szCs w:val="24"/>
          <w:lang w:val="sk-SK"/>
        </w:rPr>
      </w:pPr>
    </w:p>
    <w:p w14:paraId="53550775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 xml:space="preserve">Benígne a malígne nádory, </w:t>
      </w:r>
      <w:r>
        <w:rPr>
          <w:lang w:val="sk-SK"/>
        </w:rPr>
        <w:t>vrátane nešpecifikovaných novotvarov (cysty a polypy)</w:t>
      </w:r>
    </w:p>
    <w:p w14:paraId="000BF9C9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Veľmi zriedkavé: </w:t>
      </w:r>
      <w:r>
        <w:rPr>
          <w:spacing w:val="-1"/>
          <w:szCs w:val="24"/>
          <w:lang w:val="sk-SK"/>
        </w:rPr>
        <w:t>rakovina prsníka</w:t>
      </w:r>
    </w:p>
    <w:p w14:paraId="667A452C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14:paraId="7BBC88D1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>Poruchy krvi a lymfatického systému</w:t>
      </w:r>
    </w:p>
    <w:p w14:paraId="0AD9AD9E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zCs w:val="24"/>
          <w:lang w:val="sk-SK"/>
        </w:rPr>
        <w:t>Zriedkavé:</w:t>
      </w:r>
      <w:r>
        <w:rPr>
          <w:i/>
          <w:spacing w:val="-1"/>
          <w:szCs w:val="24"/>
          <w:lang w:val="sk-SK"/>
        </w:rPr>
        <w:t xml:space="preserve"> </w:t>
      </w:r>
      <w:r>
        <w:rPr>
          <w:szCs w:val="24"/>
          <w:lang w:val="sk-SK"/>
        </w:rPr>
        <w:t>trombocytopénia, eozinofília, leukopénia (vrátane agranulocytózy)</w:t>
      </w:r>
    </w:p>
    <w:p w14:paraId="5BE64B42" w14:textId="77777777" w:rsidR="00A55259" w:rsidRPr="00097607" w:rsidRDefault="00A55259" w:rsidP="00B13562">
      <w:pPr>
        <w:widowControl w:val="0"/>
        <w:autoSpaceDE w:val="0"/>
        <w:autoSpaceDN w:val="0"/>
        <w:adjustRightInd w:val="0"/>
        <w:rPr>
          <w:sz w:val="26"/>
          <w:szCs w:val="24"/>
          <w:lang w:val="sk-SK"/>
        </w:rPr>
      </w:pPr>
    </w:p>
    <w:p w14:paraId="2CE1FA0B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>Poruchy imunitného systému</w:t>
      </w:r>
    </w:p>
    <w:p w14:paraId="74425461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>Zriedkavé:</w:t>
      </w:r>
      <w:r>
        <w:rPr>
          <w:spacing w:val="-1"/>
          <w:szCs w:val="24"/>
          <w:lang w:val="sk-SK"/>
        </w:rPr>
        <w:t xml:space="preserve"> ekzém (alergická reakcia typu 1), precitlivenosť</w:t>
      </w:r>
    </w:p>
    <w:p w14:paraId="2FAC0C05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14:paraId="7655DC2D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>Poruchy endokrinného systému</w:t>
      </w:r>
    </w:p>
    <w:p w14:paraId="56ECABAC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Neznáme: </w:t>
      </w:r>
      <w:r>
        <w:rPr>
          <w:spacing w:val="-1"/>
          <w:szCs w:val="24"/>
          <w:lang w:val="sk-SK"/>
        </w:rPr>
        <w:t>mierne androgénne účinky, vrátane hirzutizmu</w:t>
      </w:r>
    </w:p>
    <w:p w14:paraId="5082D31B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14:paraId="45E982AF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>Poruchy metabolizmu a výživy</w:t>
      </w:r>
    </w:p>
    <w:p w14:paraId="2A473F2E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Veľmi časté: </w:t>
      </w:r>
      <w:r>
        <w:rPr>
          <w:spacing w:val="-1"/>
          <w:szCs w:val="24"/>
          <w:lang w:val="sk-SK"/>
        </w:rPr>
        <w:t>hyperkaliémia u pacientov so závažnou renálnou dysfunkciou, ktorí dostávajú súbežnú liečbu s doplnkami draslíka (pozri tiež časť 4.4).</w:t>
      </w:r>
    </w:p>
    <w:p w14:paraId="0A4F85C1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Časté: </w:t>
      </w:r>
      <w:r>
        <w:rPr>
          <w:spacing w:val="-1"/>
          <w:szCs w:val="24"/>
          <w:lang w:val="sk-SK"/>
        </w:rPr>
        <w:t>hyponatrémia (predovšetkým počas kombinovanej intenzívnej liečby s tiazidovými diuretikami), hyperkaliémia u (1) pacientov so závažnou renálnou dysfunkciou, (2) pacientov, ktorí dostávajú liečbu s ACE inhibítormi alebo chloridom draselným, (3) starších pacientov a (4) diabetických pacientov.</w:t>
      </w:r>
    </w:p>
    <w:p w14:paraId="27CAFFE0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Menej časté: </w:t>
      </w:r>
      <w:r>
        <w:rPr>
          <w:spacing w:val="-1"/>
          <w:szCs w:val="24"/>
          <w:lang w:val="sk-SK"/>
        </w:rPr>
        <w:t>kyslosť krvi (acidóza) u pacientov s problémami pečene</w:t>
      </w:r>
    </w:p>
    <w:p w14:paraId="31C70825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Zriedkavé: </w:t>
      </w:r>
      <w:r>
        <w:rPr>
          <w:spacing w:val="-1"/>
          <w:szCs w:val="24"/>
          <w:lang w:val="sk-SK"/>
        </w:rPr>
        <w:t>nedostatok tekutiny v tkanivách (dehydratácia), porfýria, dočasné zvýšenie hladiny dusíka v krvi a moči, hyperurikémia (môže viesť ku dne u pacientov predispozíciou)</w:t>
      </w:r>
    </w:p>
    <w:p w14:paraId="3B905021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Neznáme: </w:t>
      </w:r>
      <w:r>
        <w:rPr>
          <w:spacing w:val="-1"/>
          <w:szCs w:val="24"/>
          <w:lang w:val="sk-SK"/>
        </w:rPr>
        <w:t>reverzibilná hyperchloremická metabolická acidóza – zvyčajne sprevádzaná hyperkaliémiou bola hlásená u niektorých pacientov s dekompenzovanou cirhózou pečene aj vtedy, keď bola funkcia obličiek normálna.</w:t>
      </w:r>
    </w:p>
    <w:p w14:paraId="2A5ECFEA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14:paraId="125B1A41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>Psychické poruchy:</w:t>
      </w:r>
    </w:p>
    <w:p w14:paraId="4C0AE5B6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Menej časté: </w:t>
      </w:r>
      <w:r>
        <w:rPr>
          <w:spacing w:val="-1"/>
          <w:szCs w:val="24"/>
          <w:lang w:val="sk-SK"/>
        </w:rPr>
        <w:t>zmätenosť</w:t>
      </w:r>
    </w:p>
    <w:p w14:paraId="591B5680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1"/>
          <w:szCs w:val="24"/>
          <w:lang w:val="sk-SK"/>
        </w:rPr>
      </w:pPr>
    </w:p>
    <w:p w14:paraId="08D24F1C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szCs w:val="24"/>
          <w:lang w:val="sk-SK"/>
        </w:rPr>
        <w:t>Poruchy nervového systému:</w:t>
      </w:r>
    </w:p>
    <w:p w14:paraId="07319A26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zCs w:val="24"/>
          <w:lang w:val="sk-SK"/>
        </w:rPr>
        <w:t>Veľmi časté:</w:t>
      </w:r>
      <w:r>
        <w:rPr>
          <w:i/>
          <w:spacing w:val="1"/>
          <w:szCs w:val="24"/>
          <w:lang w:val="sk-SK"/>
        </w:rPr>
        <w:t xml:space="preserve"> </w:t>
      </w:r>
      <w:r>
        <w:rPr>
          <w:szCs w:val="24"/>
          <w:lang w:val="sk-SK"/>
        </w:rPr>
        <w:t>bolesť hlavy</w:t>
      </w:r>
    </w:p>
    <w:p w14:paraId="14F36765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>
        <w:rPr>
          <w:i/>
          <w:szCs w:val="24"/>
          <w:lang w:val="sk-SK"/>
        </w:rPr>
        <w:t>Časté:</w:t>
      </w:r>
      <w:r>
        <w:rPr>
          <w:i/>
          <w:spacing w:val="1"/>
          <w:szCs w:val="24"/>
          <w:lang w:val="sk-SK"/>
        </w:rPr>
        <w:t xml:space="preserve"> </w:t>
      </w:r>
      <w:r>
        <w:rPr>
          <w:szCs w:val="24"/>
          <w:lang w:val="sk-SK"/>
        </w:rPr>
        <w:t>slabosť, letargia u pacientov s cirhózou, mravčenie (parestéza)</w:t>
      </w:r>
    </w:p>
    <w:p w14:paraId="58D23B06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zCs w:val="24"/>
          <w:lang w:val="sk-SK"/>
        </w:rPr>
        <w:t>Zriedkavé:</w:t>
      </w:r>
      <w:r>
        <w:rPr>
          <w:i/>
          <w:spacing w:val="-1"/>
          <w:szCs w:val="24"/>
          <w:lang w:val="sk-SK"/>
        </w:rPr>
        <w:t xml:space="preserve"> </w:t>
      </w:r>
      <w:r>
        <w:rPr>
          <w:szCs w:val="24"/>
          <w:lang w:val="sk-SK"/>
        </w:rPr>
        <w:t>paralýza, paraplégia končatín kvôli hyperkaliémii</w:t>
      </w:r>
    </w:p>
    <w:p w14:paraId="142F2AE7" w14:textId="77777777" w:rsidR="00A55259" w:rsidRPr="00097607" w:rsidRDefault="00A55259">
      <w:pPr>
        <w:widowControl w:val="0"/>
        <w:autoSpaceDE w:val="0"/>
        <w:autoSpaceDN w:val="0"/>
        <w:adjustRightInd w:val="0"/>
        <w:rPr>
          <w:szCs w:val="24"/>
          <w:lang w:val="sk-SK"/>
        </w:rPr>
      </w:pPr>
      <w:r>
        <w:rPr>
          <w:i/>
          <w:szCs w:val="24"/>
          <w:lang w:val="sk-SK"/>
        </w:rPr>
        <w:t xml:space="preserve">Neznáme: </w:t>
      </w:r>
      <w:r>
        <w:rPr>
          <w:szCs w:val="24"/>
          <w:lang w:val="sk-SK"/>
        </w:rPr>
        <w:t>závraty, ataxia</w:t>
      </w:r>
    </w:p>
    <w:p w14:paraId="708D8B99" w14:textId="77777777" w:rsidR="00A55259" w:rsidRPr="00097607" w:rsidRDefault="00A55259" w:rsidP="00B13562">
      <w:pPr>
        <w:widowControl w:val="0"/>
        <w:autoSpaceDE w:val="0"/>
        <w:autoSpaceDN w:val="0"/>
        <w:adjustRightInd w:val="0"/>
        <w:rPr>
          <w:sz w:val="26"/>
          <w:szCs w:val="24"/>
          <w:lang w:val="sk-SK"/>
        </w:rPr>
      </w:pPr>
    </w:p>
    <w:p w14:paraId="013168D1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>Poruchy ciev</w:t>
      </w:r>
    </w:p>
    <w:p w14:paraId="5F8ED3B2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Veľmi zriedkavé: </w:t>
      </w:r>
      <w:r>
        <w:rPr>
          <w:spacing w:val="-1"/>
          <w:szCs w:val="24"/>
          <w:lang w:val="sk-SK"/>
        </w:rPr>
        <w:t>zápal cievnych stien (vaskulitída)</w:t>
      </w:r>
    </w:p>
    <w:p w14:paraId="055C2F3B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Neznáme: </w:t>
      </w:r>
      <w:r>
        <w:rPr>
          <w:spacing w:val="-1"/>
          <w:szCs w:val="24"/>
          <w:lang w:val="sk-SK"/>
        </w:rPr>
        <w:t>mierna hypotenzia</w:t>
      </w:r>
    </w:p>
    <w:p w14:paraId="3C8CA806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</w:p>
    <w:p w14:paraId="7B16D3DB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szCs w:val="24"/>
          <w:lang w:val="sk-SK"/>
        </w:rPr>
        <w:t>Poruchy gastrointestinálneho traktu</w:t>
      </w:r>
    </w:p>
    <w:p w14:paraId="35CA650E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zCs w:val="24"/>
          <w:lang w:val="sk-SK"/>
        </w:rPr>
        <w:t>Veľmi časté:</w:t>
      </w:r>
      <w:r>
        <w:rPr>
          <w:i/>
          <w:spacing w:val="-1"/>
          <w:szCs w:val="24"/>
          <w:lang w:val="sk-SK"/>
        </w:rPr>
        <w:t xml:space="preserve"> </w:t>
      </w:r>
      <w:r>
        <w:rPr>
          <w:szCs w:val="24"/>
          <w:lang w:val="sk-SK"/>
        </w:rPr>
        <w:t>poruchy trávenia, hnačka</w:t>
      </w:r>
    </w:p>
    <w:p w14:paraId="3093A48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zCs w:val="24"/>
          <w:lang w:val="sk-SK"/>
        </w:rPr>
        <w:t>Časté:</w:t>
      </w:r>
      <w:r>
        <w:rPr>
          <w:i/>
          <w:spacing w:val="1"/>
          <w:szCs w:val="24"/>
          <w:lang w:val="sk-SK"/>
        </w:rPr>
        <w:t xml:space="preserve"> </w:t>
      </w:r>
      <w:r>
        <w:rPr>
          <w:szCs w:val="24"/>
          <w:lang w:val="sk-SK"/>
        </w:rPr>
        <w:t>nevoľnosť a vracanie</w:t>
      </w:r>
    </w:p>
    <w:p w14:paraId="2B1B8BBD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14"/>
        <w:rPr>
          <w:szCs w:val="24"/>
          <w:lang w:val="sk-SK"/>
        </w:rPr>
      </w:pPr>
      <w:r>
        <w:rPr>
          <w:i/>
          <w:szCs w:val="24"/>
          <w:lang w:val="sk-SK"/>
        </w:rPr>
        <w:lastRenderedPageBreak/>
        <w:t>Veľmi zriedkavé:</w:t>
      </w:r>
      <w:r>
        <w:rPr>
          <w:i/>
          <w:spacing w:val="1"/>
          <w:szCs w:val="24"/>
          <w:lang w:val="sk-SK"/>
        </w:rPr>
        <w:t xml:space="preserve"> </w:t>
      </w:r>
      <w:r>
        <w:rPr>
          <w:szCs w:val="24"/>
          <w:lang w:val="sk-SK"/>
        </w:rPr>
        <w:t>zápal žalúdka, žalúdočné vredy, krvácanie do čriev, kŕče</w:t>
      </w:r>
    </w:p>
    <w:p w14:paraId="5ACC8A14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14"/>
        <w:rPr>
          <w:szCs w:val="24"/>
          <w:lang w:val="sk-SK"/>
        </w:rPr>
      </w:pPr>
    </w:p>
    <w:p w14:paraId="73DA18D9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14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>Poruchy pečene a žlčových ciest:</w:t>
      </w:r>
    </w:p>
    <w:p w14:paraId="10F83924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14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Veľmi zriedkavé: </w:t>
      </w:r>
      <w:r>
        <w:rPr>
          <w:spacing w:val="-1"/>
          <w:szCs w:val="24"/>
          <w:lang w:val="sk-SK"/>
        </w:rPr>
        <w:t>hepatitída</w:t>
      </w:r>
    </w:p>
    <w:p w14:paraId="1DB4DABE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</w:p>
    <w:p w14:paraId="3E387B7F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>Poruchy kože a podkožného tkaniva</w:t>
      </w:r>
    </w:p>
    <w:p w14:paraId="17E69420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Menej časté: </w:t>
      </w:r>
      <w:r>
        <w:rPr>
          <w:szCs w:val="24"/>
          <w:lang w:val="sk-SK"/>
        </w:rPr>
        <w:t>kožná vyrážka, žihľavka, erytém, chloazma, svrbenie, exantém</w:t>
      </w:r>
    </w:p>
    <w:p w14:paraId="03CD5311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Veľmi zriedkavé: </w:t>
      </w:r>
      <w:r>
        <w:rPr>
          <w:szCs w:val="24"/>
          <w:lang w:val="sk-SK"/>
        </w:rPr>
        <w:t>alopécia, ekzém, anulárny centrifugálny erytém (EAC), hypertrichóza</w:t>
      </w:r>
    </w:p>
    <w:p w14:paraId="76F85291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>
        <w:rPr>
          <w:i/>
          <w:szCs w:val="24"/>
          <w:lang w:val="sk-SK"/>
        </w:rPr>
        <w:t>Neznáme:</w:t>
      </w:r>
      <w:r>
        <w:rPr>
          <w:szCs w:val="24"/>
          <w:lang w:val="sk-SK"/>
        </w:rPr>
        <w:t xml:space="preserve"> Stevensov-Johnsonov syndróm (SJS), toxická epidermálna nekrolýza (TEN), lieková vyrážka s eozinofíliou a systémovými príznakmi (</w:t>
      </w:r>
      <w:r>
        <w:rPr>
          <w:lang w:val="sk-SK"/>
        </w:rPr>
        <w:t>drug rash with eosinophilia and systemic symptoms,</w:t>
      </w:r>
      <w:r>
        <w:rPr>
          <w:szCs w:val="24"/>
          <w:lang w:val="sk-SK"/>
        </w:rPr>
        <w:t xml:space="preserve"> DRESS</w:t>
      </w:r>
      <w:r w:rsidRPr="00B13562">
        <w:rPr>
          <w:szCs w:val="24"/>
          <w:lang w:val="sk-SK"/>
        </w:rPr>
        <w:t xml:space="preserve">), </w:t>
      </w:r>
      <w:r w:rsidRPr="00D60157">
        <w:rPr>
          <w:szCs w:val="24"/>
          <w:lang w:val="sk-SK"/>
        </w:rPr>
        <w:t>pemfigoid</w:t>
      </w:r>
    </w:p>
    <w:p w14:paraId="2F848900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</w:p>
    <w:p w14:paraId="0A889673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>
        <w:rPr>
          <w:spacing w:val="-1"/>
          <w:szCs w:val="24"/>
          <w:lang w:val="sk-SK"/>
        </w:rPr>
        <w:t>Poruchy kostrovej a svalovej sústavy a spojivového tkaniva</w:t>
      </w:r>
    </w:p>
    <w:p w14:paraId="35007E43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Menej časté: </w:t>
      </w:r>
      <w:r>
        <w:rPr>
          <w:szCs w:val="24"/>
          <w:lang w:val="sk-SK"/>
        </w:rPr>
        <w:t>svalové kŕče, kŕče v dolných končatinách</w:t>
      </w:r>
    </w:p>
    <w:p w14:paraId="6EF8AAED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pacing w:val="-1"/>
          <w:szCs w:val="24"/>
          <w:lang w:val="sk-SK"/>
        </w:rPr>
        <w:t xml:space="preserve">Veľmi zriedkavé: </w:t>
      </w:r>
      <w:r>
        <w:rPr>
          <w:spacing w:val="-1"/>
          <w:szCs w:val="24"/>
          <w:lang w:val="sk-SK"/>
        </w:rPr>
        <w:t>systémový lupus erythematosus (SLE), osteomalácia</w:t>
      </w:r>
    </w:p>
    <w:p w14:paraId="54C2371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pacing w:val="-1"/>
          <w:szCs w:val="24"/>
          <w:lang w:val="sk-SK"/>
        </w:rPr>
      </w:pPr>
    </w:p>
    <w:p w14:paraId="39C843E6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szCs w:val="24"/>
          <w:lang w:val="sk-SK"/>
        </w:rPr>
        <w:t>Poruchy obličiek a močových ciest</w:t>
      </w:r>
    </w:p>
    <w:p w14:paraId="52E1A08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zCs w:val="24"/>
          <w:lang w:val="sk-SK"/>
        </w:rPr>
        <w:t>Menej časté:</w:t>
      </w:r>
      <w:r>
        <w:rPr>
          <w:i/>
          <w:spacing w:val="1"/>
          <w:szCs w:val="24"/>
          <w:lang w:val="sk-SK"/>
        </w:rPr>
        <w:t xml:space="preserve"> </w:t>
      </w:r>
      <w:r>
        <w:rPr>
          <w:szCs w:val="24"/>
          <w:lang w:val="sk-SK"/>
        </w:rPr>
        <w:t>zvýšené hladiny kreatinínu v sére</w:t>
      </w:r>
    </w:p>
    <w:p w14:paraId="34D829F2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>
        <w:rPr>
          <w:i/>
          <w:szCs w:val="24"/>
          <w:lang w:val="sk-SK"/>
        </w:rPr>
        <w:t>Veľmi zriedkavé:</w:t>
      </w:r>
      <w:r>
        <w:rPr>
          <w:i/>
          <w:spacing w:val="1"/>
          <w:szCs w:val="24"/>
          <w:lang w:val="sk-SK"/>
        </w:rPr>
        <w:t xml:space="preserve"> </w:t>
      </w:r>
      <w:r>
        <w:rPr>
          <w:szCs w:val="24"/>
          <w:lang w:val="sk-SK"/>
        </w:rPr>
        <w:t>akútne zlyhanie obličiek</w:t>
      </w:r>
    </w:p>
    <w:p w14:paraId="63CDE6A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 w:val="26"/>
          <w:szCs w:val="24"/>
          <w:lang w:val="sk-SK"/>
        </w:rPr>
      </w:pPr>
    </w:p>
    <w:p w14:paraId="6D168848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Poruchy reprodukčného systému a prsníkov</w:t>
      </w:r>
    </w:p>
    <w:p w14:paraId="1477166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i/>
          <w:szCs w:val="24"/>
          <w:lang w:val="sk-SK"/>
        </w:rPr>
      </w:pPr>
      <w:r>
        <w:rPr>
          <w:i/>
          <w:szCs w:val="24"/>
          <w:lang w:val="sk-SK"/>
        </w:rPr>
        <w:t>Veľmi časté:</w:t>
      </w:r>
    </w:p>
    <w:p w14:paraId="37A3957C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i/>
          <w:szCs w:val="24"/>
          <w:lang w:val="sk-SK"/>
        </w:rPr>
      </w:pPr>
      <w:r>
        <w:rPr>
          <w:i/>
          <w:szCs w:val="24"/>
          <w:lang w:val="sk-SK"/>
        </w:rPr>
        <w:t xml:space="preserve"> </w:t>
      </w:r>
      <w:r>
        <w:rPr>
          <w:szCs w:val="24"/>
          <w:lang w:val="sk-SK"/>
        </w:rPr>
        <w:t>Muži: znížené libido, erektilná dysfunkcia, impotencia, zväčšenie prsných žliaz (gynekomastia)</w:t>
      </w:r>
    </w:p>
    <w:p w14:paraId="19AA79A3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Ženy: poruchy prsníkov, citlivosť prsníkov, menštruačné poruchy, prehĺbenie hlasu (v mnohých prípadoch nezvratné)</w:t>
      </w:r>
    </w:p>
    <w:p w14:paraId="3C090F8C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>
        <w:rPr>
          <w:i/>
          <w:szCs w:val="24"/>
          <w:lang w:val="sk-SK"/>
        </w:rPr>
        <w:t xml:space="preserve">Časté: </w:t>
      </w:r>
      <w:r>
        <w:rPr>
          <w:szCs w:val="24"/>
          <w:lang w:val="sk-SK"/>
        </w:rPr>
        <w:t>Ženy: zmeny vaginálnych sekrétov, znížené libido, absencia menštruácie (amenorea)</w:t>
      </w:r>
    </w:p>
    <w:p w14:paraId="42A64394" w14:textId="77777777" w:rsidR="00A55259" w:rsidRPr="00097607" w:rsidRDefault="00A55259">
      <w:pPr>
        <w:widowControl w:val="0"/>
        <w:autoSpaceDE w:val="0"/>
        <w:autoSpaceDN w:val="0"/>
        <w:adjustRightInd w:val="0"/>
        <w:rPr>
          <w:szCs w:val="24"/>
          <w:lang w:val="sk-SK"/>
        </w:rPr>
      </w:pPr>
      <w:r>
        <w:rPr>
          <w:szCs w:val="24"/>
          <w:lang w:val="sk-SK"/>
        </w:rPr>
        <w:t>postmenopauzálne krvácanie</w:t>
      </w:r>
    </w:p>
    <w:p w14:paraId="7F7B56CF" w14:textId="77777777" w:rsidR="00A55259" w:rsidRPr="00097607" w:rsidRDefault="00A55259" w:rsidP="00B13562">
      <w:pPr>
        <w:widowControl w:val="0"/>
        <w:autoSpaceDE w:val="0"/>
        <w:autoSpaceDN w:val="0"/>
        <w:adjustRightInd w:val="0"/>
        <w:rPr>
          <w:szCs w:val="24"/>
          <w:lang w:val="sk-SK"/>
        </w:rPr>
      </w:pPr>
    </w:p>
    <w:p w14:paraId="39BE3F6E" w14:textId="77777777" w:rsidR="00A55259" w:rsidRPr="00097607" w:rsidRDefault="00A55259">
      <w:pPr>
        <w:widowControl w:val="0"/>
        <w:autoSpaceDE w:val="0"/>
        <w:autoSpaceDN w:val="0"/>
        <w:adjustRightInd w:val="0"/>
        <w:rPr>
          <w:szCs w:val="24"/>
          <w:lang w:val="sk-SK"/>
        </w:rPr>
      </w:pPr>
      <w:r>
        <w:rPr>
          <w:szCs w:val="24"/>
          <w:lang w:val="sk-SK"/>
        </w:rPr>
        <w:t>Celkové poruchy a reakcie v mieste podania</w:t>
      </w:r>
    </w:p>
    <w:p w14:paraId="52943F18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>
        <w:rPr>
          <w:i/>
          <w:szCs w:val="24"/>
          <w:lang w:val="sk-SK"/>
        </w:rPr>
        <w:t xml:space="preserve">Veľmi časté: </w:t>
      </w:r>
      <w:r>
        <w:rPr>
          <w:szCs w:val="24"/>
          <w:lang w:val="sk-SK"/>
        </w:rPr>
        <w:t>únava, ospalosť</w:t>
      </w:r>
    </w:p>
    <w:p w14:paraId="1C455749" w14:textId="77777777" w:rsidR="00A55259" w:rsidRPr="00097607" w:rsidRDefault="00A55259">
      <w:pPr>
        <w:widowControl w:val="0"/>
        <w:autoSpaceDE w:val="0"/>
        <w:autoSpaceDN w:val="0"/>
        <w:adjustRightInd w:val="0"/>
        <w:rPr>
          <w:i/>
          <w:spacing w:val="-1"/>
          <w:szCs w:val="24"/>
          <w:lang w:val="sk-SK"/>
        </w:rPr>
      </w:pPr>
      <w:r>
        <w:rPr>
          <w:i/>
          <w:spacing w:val="-1"/>
          <w:szCs w:val="24"/>
          <w:lang w:val="sk-SK"/>
        </w:rPr>
        <w:t>Časté:</w:t>
      </w:r>
      <w:r>
        <w:rPr>
          <w:szCs w:val="24"/>
          <w:lang w:val="sk-SK"/>
        </w:rPr>
        <w:t xml:space="preserve"> celková nevoľnosť</w:t>
      </w:r>
    </w:p>
    <w:p w14:paraId="2B323DA6" w14:textId="77777777" w:rsidR="00A55259" w:rsidRPr="00097607" w:rsidRDefault="00A55259" w:rsidP="00B13562">
      <w:pPr>
        <w:widowControl w:val="0"/>
        <w:autoSpaceDE w:val="0"/>
        <w:autoSpaceDN w:val="0"/>
        <w:adjustRightInd w:val="0"/>
        <w:rPr>
          <w:szCs w:val="24"/>
          <w:lang w:val="sk-SK"/>
        </w:rPr>
      </w:pPr>
    </w:p>
    <w:p w14:paraId="4173D0A3" w14:textId="77777777" w:rsidR="00A55259" w:rsidRPr="00097607" w:rsidRDefault="00A55259">
      <w:pPr>
        <w:widowControl w:val="0"/>
        <w:autoSpaceDE w:val="0"/>
        <w:autoSpaceDN w:val="0"/>
        <w:adjustRightInd w:val="0"/>
        <w:rPr>
          <w:szCs w:val="24"/>
          <w:u w:val="single"/>
          <w:lang w:val="sk-SK"/>
        </w:rPr>
      </w:pPr>
      <w:r>
        <w:rPr>
          <w:szCs w:val="24"/>
          <w:u w:val="single"/>
          <w:lang w:val="sk-SK"/>
        </w:rPr>
        <w:t>Hlásenie podozrení na nežiaduce účinky</w:t>
      </w:r>
    </w:p>
    <w:p w14:paraId="1317D40F" w14:textId="7233C2F1" w:rsidR="00A55259" w:rsidRPr="00097607" w:rsidRDefault="00A55259" w:rsidP="00B13562">
      <w:pPr>
        <w:widowControl w:val="0"/>
        <w:autoSpaceDE w:val="0"/>
        <w:autoSpaceDN w:val="0"/>
        <w:adjustRightInd w:val="0"/>
        <w:ind w:right="-20"/>
        <w:rPr>
          <w:noProof/>
          <w:szCs w:val="22"/>
          <w:lang w:val="sk-SK"/>
        </w:rPr>
      </w:pPr>
      <w:r>
        <w:rPr>
          <w:szCs w:val="24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6A68BA">
        <w:rPr>
          <w:szCs w:val="24"/>
          <w:lang w:val="sk-SK"/>
        </w:rPr>
        <w:t xml:space="preserve">na </w:t>
      </w:r>
      <w:r>
        <w:rPr>
          <w:szCs w:val="24"/>
          <w:lang w:val="sk-SK"/>
        </w:rPr>
        <w:t xml:space="preserve">národné </w:t>
      </w:r>
      <w:r w:rsidR="006A68BA">
        <w:rPr>
          <w:szCs w:val="24"/>
          <w:lang w:val="sk-SK"/>
        </w:rPr>
        <w:t>centrum</w:t>
      </w:r>
      <w:r>
        <w:rPr>
          <w:szCs w:val="24"/>
          <w:lang w:val="sk-SK"/>
        </w:rPr>
        <w:t xml:space="preserve"> </w:t>
      </w:r>
      <w:r w:rsidRPr="00583623">
        <w:rPr>
          <w:noProof/>
          <w:szCs w:val="22"/>
          <w:highlight w:val="lightGray"/>
          <w:lang w:val="sk-SK"/>
        </w:rPr>
        <w:t>hlásenia uvedené v </w:t>
      </w:r>
      <w:hyperlink r:id="rId7" w:history="1">
        <w:r w:rsidRPr="00583623">
          <w:rPr>
            <w:rStyle w:val="Hypertextovprepojenie"/>
            <w:noProof/>
            <w:color w:val="auto"/>
            <w:szCs w:val="22"/>
            <w:highlight w:val="lightGray"/>
            <w:u w:val="none"/>
            <w:lang w:val="sk-SK"/>
          </w:rPr>
          <w:t>Prílohe V</w:t>
        </w:r>
      </w:hyperlink>
      <w:r w:rsidRPr="00097607">
        <w:rPr>
          <w:noProof/>
          <w:szCs w:val="22"/>
          <w:lang w:val="sk-SK"/>
        </w:rPr>
        <w:t>.</w:t>
      </w:r>
    </w:p>
    <w:p w14:paraId="142F0AEF" w14:textId="77777777" w:rsidR="00A55259" w:rsidRPr="00097607" w:rsidRDefault="00A55259" w:rsidP="00B13562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14:paraId="6BC3313D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4.9</w:t>
      </w:r>
      <w:r w:rsidRPr="008D0406">
        <w:rPr>
          <w:b/>
          <w:szCs w:val="24"/>
          <w:lang w:val="sk-SK"/>
        </w:rPr>
        <w:tab/>
        <w:t>Predávkovanie</w:t>
      </w:r>
    </w:p>
    <w:p w14:paraId="3A44D6C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DEFDC5D" w14:textId="77777777" w:rsidR="00A55259" w:rsidRPr="00097607" w:rsidRDefault="00A55259">
      <w:pPr>
        <w:widowControl w:val="0"/>
        <w:autoSpaceDE w:val="0"/>
        <w:autoSpaceDN w:val="0"/>
        <w:adjustRightInd w:val="0"/>
        <w:ind w:right="-30"/>
        <w:rPr>
          <w:szCs w:val="24"/>
          <w:lang w:val="sk-SK"/>
        </w:rPr>
      </w:pPr>
      <w:r w:rsidRPr="008D0406">
        <w:rPr>
          <w:szCs w:val="24"/>
          <w:lang w:val="sk-SK"/>
        </w:rPr>
        <w:t>Predávkovanie sa môže prejavovať v podobe nevoľnosti a vracania a (zriedkavejšie) v podobe ospalosti, zmätenosti, vyrážok alebo hnačky.</w:t>
      </w:r>
    </w:p>
    <w:p w14:paraId="75E5E0B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Okrem toho sa pri veľmi vysokých dávkach (450 mg/deň) môže objaviť neplodnosť.</w:t>
      </w:r>
    </w:p>
    <w:p w14:paraId="0EEA6296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1073"/>
        <w:rPr>
          <w:szCs w:val="24"/>
          <w:lang w:val="sk-SK"/>
        </w:rPr>
      </w:pPr>
      <w:r w:rsidRPr="008D0406">
        <w:rPr>
          <w:szCs w:val="24"/>
          <w:lang w:val="sk-SK"/>
        </w:rPr>
        <w:t xml:space="preserve">Môže sa vyvolať hyponatrémia alebo hyperkaliémia, ale je nepravdepodobné, že sa tieto účinky spájajú s akútnym predávkovaním. Príznaky hyperkaliémie sa môžu prejavovať ako parestézia, slabosť, ochabnutie alebo svalové kŕče a môže byť ťažké klinicky ju odlíšiť od hypokaliémie. Elektrokardiografické zmeny sú najskorším špecifickým prejavom porúch metabolizmu draslíka. Žiadne špecifické antidotum nebolo identifikované. Zlepšenie možno očakávať po vysadení lieku. </w:t>
      </w:r>
    </w:p>
    <w:p w14:paraId="50D4DE72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54" w:lineRule="exact"/>
        <w:ind w:right="1073"/>
        <w:rPr>
          <w:szCs w:val="24"/>
          <w:lang w:val="sk-SK"/>
        </w:rPr>
      </w:pPr>
    </w:p>
    <w:p w14:paraId="11669FF9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1073"/>
        <w:rPr>
          <w:szCs w:val="24"/>
          <w:lang w:val="sk-SK"/>
        </w:rPr>
      </w:pPr>
      <w:r w:rsidRPr="008D0406">
        <w:rPr>
          <w:szCs w:val="24"/>
          <w:lang w:val="sk-SK"/>
        </w:rPr>
        <w:t>Ak dôjde k narušeniu rovnováhy elektrolytov a k dehydratácii, liečba je symptomatická a podporná a môže zahŕňať náhradu tekutín a môžu sa indikovať elektrolyty. Pri hyperkaliémii znížte príjem draslíka, podávajte draslík vylučujúce diuretiká, intravenóznu glukózu s pravidelným inzulínom a perorálnou, ióny meniacou živicou.</w:t>
      </w:r>
    </w:p>
    <w:p w14:paraId="2913BDCB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4"/>
          <w:lang w:val="sk-SK"/>
        </w:rPr>
      </w:pPr>
    </w:p>
    <w:p w14:paraId="7564E045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4"/>
          <w:lang w:val="sk-SK"/>
        </w:rPr>
      </w:pPr>
    </w:p>
    <w:p w14:paraId="39FCBADE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lastRenderedPageBreak/>
        <w:t>5.</w:t>
      </w:r>
      <w:r w:rsidRPr="008D0406">
        <w:rPr>
          <w:b/>
          <w:szCs w:val="24"/>
          <w:lang w:val="sk-SK"/>
        </w:rPr>
        <w:tab/>
        <w:t>FARMAKOLOGICKÉ VLASTNOSTI</w:t>
      </w:r>
    </w:p>
    <w:p w14:paraId="2F999D9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33401DAC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5.1</w:t>
      </w:r>
      <w:r w:rsidRPr="008D0406">
        <w:rPr>
          <w:b/>
          <w:szCs w:val="24"/>
          <w:lang w:val="sk-SK"/>
        </w:rPr>
        <w:tab/>
        <w:t>Farmakodynamické vlastnosti</w:t>
      </w:r>
    </w:p>
    <w:p w14:paraId="3DBF2B92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69F762F1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7"/>
        <w:rPr>
          <w:szCs w:val="24"/>
          <w:lang w:val="sk-SK"/>
        </w:rPr>
      </w:pPr>
      <w:r w:rsidRPr="008D0406">
        <w:rPr>
          <w:szCs w:val="24"/>
          <w:lang w:val="sk-SK"/>
        </w:rPr>
        <w:t>Farmakoterapeutická skupina:</w:t>
      </w:r>
      <w:r w:rsidRPr="008D0406">
        <w:rPr>
          <w:spacing w:val="1"/>
          <w:szCs w:val="24"/>
          <w:lang w:val="sk-SK"/>
        </w:rPr>
        <w:t xml:space="preserve"> </w:t>
      </w:r>
      <w:r w:rsidRPr="008D0406">
        <w:rPr>
          <w:szCs w:val="24"/>
          <w:lang w:val="sk-SK"/>
        </w:rPr>
        <w:t>kardiovaskulárny systém, draslík šetriace diuretiká, antagonista aldosterónu.</w:t>
      </w:r>
    </w:p>
    <w:p w14:paraId="529BAEC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398C484E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ATC kód:</w:t>
      </w:r>
      <w:r w:rsidRPr="008D0406">
        <w:rPr>
          <w:spacing w:val="1"/>
          <w:szCs w:val="24"/>
          <w:lang w:val="sk-SK"/>
        </w:rPr>
        <w:t xml:space="preserve"> </w:t>
      </w:r>
      <w:r w:rsidRPr="008D0406">
        <w:rPr>
          <w:spacing w:val="-1"/>
          <w:szCs w:val="24"/>
          <w:lang w:val="sk-SK"/>
        </w:rPr>
        <w:t>C</w:t>
      </w:r>
      <w:r w:rsidRPr="008D0406">
        <w:rPr>
          <w:szCs w:val="24"/>
          <w:lang w:val="sk-SK"/>
        </w:rPr>
        <w:t>03</w:t>
      </w:r>
      <w:r w:rsidRPr="008D0406">
        <w:rPr>
          <w:spacing w:val="-1"/>
          <w:szCs w:val="24"/>
          <w:lang w:val="sk-SK"/>
        </w:rPr>
        <w:t>DA</w:t>
      </w:r>
      <w:r w:rsidRPr="008D0406">
        <w:rPr>
          <w:szCs w:val="24"/>
          <w:lang w:val="sk-SK"/>
        </w:rPr>
        <w:t>01</w:t>
      </w:r>
    </w:p>
    <w:p w14:paraId="55BEAD87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F14020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30"/>
        <w:rPr>
          <w:szCs w:val="24"/>
          <w:lang w:val="sk-SK"/>
        </w:rPr>
      </w:pPr>
      <w:r w:rsidRPr="008D0406">
        <w:rPr>
          <w:szCs w:val="24"/>
          <w:lang w:val="sk-SK"/>
        </w:rPr>
        <w:t>Spironolaktón pôsobí na obličky a nadobličky (ako antagonista aldosterónu v tubuloch obličiek a ako inhibítor syntézy aldosterónu vo vysokých koncentráciách).</w:t>
      </w:r>
    </w:p>
    <w:p w14:paraId="0D9F05FD" w14:textId="77777777" w:rsidR="00A55259" w:rsidRPr="00097607" w:rsidRDefault="00A55259">
      <w:pPr>
        <w:widowControl w:val="0"/>
        <w:autoSpaceDE w:val="0"/>
        <w:autoSpaceDN w:val="0"/>
        <w:adjustRightInd w:val="0"/>
        <w:ind w:right="-30"/>
        <w:rPr>
          <w:szCs w:val="24"/>
          <w:lang w:val="sk-SK"/>
        </w:rPr>
      </w:pPr>
      <w:r w:rsidRPr="008D0406">
        <w:rPr>
          <w:szCs w:val="24"/>
          <w:lang w:val="sk-SK"/>
        </w:rPr>
        <w:t>Spironolaktón podporuje diurézu u pacientov s edémom alebo ascitom tak, že zvyšuje vylučovanie sodíka v moči. Zníži sa strata draslíka spôsobená tiazidovými diuretikami.</w:t>
      </w:r>
      <w:r w:rsidRPr="008D0406">
        <w:rPr>
          <w:color w:val="0000FF"/>
          <w:szCs w:val="24"/>
          <w:lang w:val="sk-SK"/>
        </w:rPr>
        <w:t xml:space="preserve"> </w:t>
      </w:r>
      <w:r w:rsidRPr="008D0406">
        <w:rPr>
          <w:szCs w:val="24"/>
          <w:lang w:val="sk-SK"/>
        </w:rPr>
        <w:t>Má postupný a predĺžený účinok.</w:t>
      </w:r>
    </w:p>
    <w:p w14:paraId="28B571E9" w14:textId="77777777" w:rsidR="00A55259" w:rsidRPr="00097607" w:rsidRDefault="00A55259">
      <w:pPr>
        <w:widowControl w:val="0"/>
        <w:autoSpaceDE w:val="0"/>
        <w:autoSpaceDN w:val="0"/>
        <w:adjustRightInd w:val="0"/>
        <w:ind w:right="-30"/>
        <w:rPr>
          <w:szCs w:val="24"/>
          <w:lang w:val="sk-SK"/>
        </w:rPr>
      </w:pPr>
      <w:r w:rsidRPr="008D0406">
        <w:rPr>
          <w:szCs w:val="24"/>
          <w:lang w:val="sk-SK"/>
        </w:rPr>
        <w:t>Antihypertenzívny účinok spironolaktónu ja založený na deplécii vody a soli.</w:t>
      </w:r>
    </w:p>
    <w:p w14:paraId="53DFB78F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891C07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i/>
          <w:szCs w:val="24"/>
          <w:lang w:val="sk-SK"/>
        </w:rPr>
      </w:pPr>
      <w:r w:rsidRPr="008D0406">
        <w:rPr>
          <w:i/>
          <w:szCs w:val="24"/>
          <w:lang w:val="sk-SK"/>
        </w:rPr>
        <w:t>Závažné srdcové zlyhanie:</w:t>
      </w:r>
      <w:r w:rsidRPr="008D0406">
        <w:rPr>
          <w:szCs w:val="24"/>
          <w:lang w:val="sk-SK"/>
        </w:rPr>
        <w:t xml:space="preserve"> </w:t>
      </w:r>
      <w:r w:rsidRPr="008D0406">
        <w:rPr>
          <w:i/>
          <w:szCs w:val="24"/>
          <w:lang w:val="sk-SK"/>
        </w:rPr>
        <w:t>RALES</w:t>
      </w:r>
    </w:p>
    <w:p w14:paraId="1A917511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b/>
          <w:szCs w:val="24"/>
          <w:lang w:val="sk-SK"/>
        </w:rPr>
      </w:pPr>
      <w:r w:rsidRPr="008D0406">
        <w:rPr>
          <w:szCs w:val="24"/>
          <w:lang w:val="sk-SK"/>
        </w:rPr>
        <w:t xml:space="preserve">Randomized Aldactone Evaluation Study (RALES) bola medzinárodná, dvojito zaslepená štúdia s 1663 pacientmi s ejekčnou frakciou ≤ 35 %, s anamnézou zlyhania srdca trieda IV podľa New York Heart Association (NYHA) počas 6 mesiacov, a zlyhania srdca, trieda III-IV v čase randomizácie. Všetci pacienti užívali kľučkové diuretikum, 97 % z nich užívalo ACE inhibítor a 78 % bolo na digoxíne (v čase, keď sa uskutočnila táto skúška, betablokátory sa veľmi nepoužívali pri liečbe srdcového zlyhania, a len 15 % bolo liečených betablokátormi). Pacienti s východiskovou hodnotou kreatinínu v sére &gt; 2,5 mg/dl alebo s nedávnym zvýšením o 25 % alebo s východiskovou hodnotou draslíka v sére &gt; 5,0 mEq/l boli vylúčení. Pacienti boli randomizovaní 1:1, spironolaktón 25 mg perorálne jedenkrát denne alebo zodpovedajúce placebo. U pacientov, ktorí tolerovali dávku 25 mg raz denne, sa dávka zvýšila na 50 mg raz denne, ako je klinicky indikované. U pacientov, ktorí netolerovali dávku 25 mg raz denne, sa dávka znížila na 25 mg každý druhý deň. Primárnym cieľom štúdie RALES bolo zistenie mortality z akejkoľvek príčiny. Štúdia RALES bola predčasne ukončená, po strednej dobe sledovania v trvaní 24 mesiacov, pretože sa zistilo výrazné prispenie k úmrtnosti pri plánovanej priebežnej analýze. Spironolaktón znížil riziko úmrtia v porovnaní s placebom (mortalita pri spironolaktóne 284/841 (35 %); placebo 386/822 (46 %); zníženie rizika 30 %; 95 % interval spoľahlivosti 18-40 %; p &lt; 0,001). Spironolaktón tiež výrazne znížil riziko srdcového úmrtia, primárneho náhleho úmrtia a úmrtia z progresívneho srdcového zlyhania ako aj riziko hospitalizácie kvôli srdcovým príčinám. </w:t>
      </w:r>
    </w:p>
    <w:p w14:paraId="5944CCDD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b/>
          <w:szCs w:val="24"/>
          <w:lang w:val="sk-SK"/>
        </w:rPr>
      </w:pPr>
    </w:p>
    <w:p w14:paraId="3F74234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b/>
          <w:szCs w:val="24"/>
          <w:lang w:val="sk-SK"/>
        </w:rPr>
      </w:pPr>
      <w:r w:rsidRPr="008D0406">
        <w:rPr>
          <w:b/>
          <w:szCs w:val="24"/>
          <w:lang w:val="sk-SK"/>
        </w:rPr>
        <w:t>Pediatrická populácia</w:t>
      </w:r>
    </w:p>
    <w:p w14:paraId="6579872C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8D0406">
        <w:rPr>
          <w:szCs w:val="24"/>
          <w:lang w:val="sk-SK"/>
        </w:rPr>
        <w:t>Existuje nedostatok vecných informácií z klinických štúdií o účinku spironolaktónu u detí. Je to spôsobené niekoľkými faktormi: malý počet štúdií, ktoré sa vykonali v pediatrickej populácii, používanie spironolaktónu v kombinácii s inými látkami, malý počet pacientov hodnotených v jednotlivých skúškach a rôzne skúmané indikácie. Odporúčané dávkovanie pre deti a dospievajúcich vychádza z klinických skúseností a prípadových štúdií uvedených v odbornej literatúre.</w:t>
      </w:r>
    </w:p>
    <w:p w14:paraId="024387E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73C1E92E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5.2</w:t>
      </w:r>
      <w:r w:rsidRPr="008D0406">
        <w:rPr>
          <w:b/>
          <w:szCs w:val="24"/>
          <w:lang w:val="sk-SK"/>
        </w:rPr>
        <w:tab/>
        <w:t>Farmakokinetické vlastnosti</w:t>
      </w:r>
    </w:p>
    <w:p w14:paraId="711B8D5C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u w:val="single"/>
          <w:lang w:val="sk-SK"/>
        </w:rPr>
      </w:pPr>
    </w:p>
    <w:p w14:paraId="490AF8BC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8D0406">
        <w:rPr>
          <w:szCs w:val="24"/>
          <w:lang w:val="sk-SK"/>
        </w:rPr>
        <w:t>Absorpcia</w:t>
      </w:r>
    </w:p>
    <w:p w14:paraId="44F516F1" w14:textId="46CA9548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u w:val="single"/>
          <w:lang w:val="sk-SK"/>
        </w:rPr>
      </w:pPr>
      <w:r w:rsidRPr="008D0406">
        <w:rPr>
          <w:szCs w:val="24"/>
          <w:lang w:val="sk-SK"/>
        </w:rPr>
        <w:t>Približne 70 % spironolaktónu sa absorbuje po perorálnom podaní.</w:t>
      </w:r>
      <w:r w:rsidRPr="008D0406">
        <w:rPr>
          <w:spacing w:val="3"/>
          <w:szCs w:val="24"/>
          <w:lang w:val="sk-SK"/>
        </w:rPr>
        <w:t xml:space="preserve"> </w:t>
      </w:r>
      <w:r w:rsidRPr="008D0406">
        <w:rPr>
          <w:szCs w:val="24"/>
          <w:lang w:val="sk-SK"/>
        </w:rPr>
        <w:t>Biologickú dostupnosť spironolaktónu je možné zvýšiť, ak sa bude užívať spolu s jedlom.</w:t>
      </w:r>
      <w:r w:rsidRPr="008D0406">
        <w:rPr>
          <w:spacing w:val="-2"/>
          <w:szCs w:val="24"/>
          <w:lang w:val="sk-SK"/>
        </w:rPr>
        <w:t xml:space="preserve"> </w:t>
      </w:r>
      <w:r w:rsidRPr="008D0406">
        <w:rPr>
          <w:szCs w:val="24"/>
          <w:lang w:val="sk-SK"/>
        </w:rPr>
        <w:t>Klinický význam tohto účinku však doteraz nie je celkom jasný.</w:t>
      </w:r>
      <w:r w:rsidRPr="008D0406">
        <w:rPr>
          <w:spacing w:val="-2"/>
          <w:szCs w:val="24"/>
          <w:lang w:val="sk-SK"/>
        </w:rPr>
        <w:t xml:space="preserve"> Po podaní 100 mg spironolaktónu denne po dobu 15 dní u zdravých dobrovoľníkov nie nalačno, čas k dosiahnutiu najvyššej koncentrácie v plazme (tmax), najvyššej koncentrácie v plazme (Cmax) a eliminácie polčasu (t1/2) pre spironolaktón je 2,6 h, 80 mg/L a približne 1,4 h, v uvedenom poradí. Pri metabolitoch 7-alfa-(tiometyl) spironolaktóne a kanrenóne bola hodnota tmax 3,2 h a 4,3 h, Cmax bol 391 ng/ml a 181 ng/ml a t1/2 bol 13,8 h a 16,5 h, v uvedenom poradí.</w:t>
      </w:r>
    </w:p>
    <w:p w14:paraId="097E02CE" w14:textId="77777777" w:rsidR="00A55259" w:rsidRPr="00097607" w:rsidRDefault="00A55259">
      <w:pPr>
        <w:widowControl w:val="0"/>
        <w:autoSpaceDE w:val="0"/>
        <w:autoSpaceDN w:val="0"/>
        <w:adjustRightInd w:val="0"/>
        <w:spacing w:line="239" w:lineRule="auto"/>
        <w:ind w:left="100" w:right="436"/>
        <w:rPr>
          <w:spacing w:val="-2"/>
          <w:szCs w:val="24"/>
          <w:lang w:val="sk-SK"/>
        </w:rPr>
      </w:pPr>
    </w:p>
    <w:p w14:paraId="423E57DA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36"/>
        <w:rPr>
          <w:spacing w:val="-1"/>
          <w:szCs w:val="24"/>
          <w:lang w:val="sk-SK"/>
        </w:rPr>
      </w:pPr>
      <w:r w:rsidRPr="008D0406">
        <w:rPr>
          <w:spacing w:val="-1"/>
          <w:szCs w:val="24"/>
          <w:lang w:val="sk-SK"/>
        </w:rPr>
        <w:t>Distribúcia</w:t>
      </w:r>
    </w:p>
    <w:p w14:paraId="6CBD16D1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lang w:val="sk-SK"/>
        </w:rPr>
      </w:pPr>
      <w:r w:rsidRPr="008D0406">
        <w:rPr>
          <w:szCs w:val="24"/>
          <w:lang w:val="sk-SK"/>
        </w:rPr>
        <w:t xml:space="preserve">Spironolaktón ako aj kanrenón sú viac ako na 90 % naviazané na plazmatické bielkoviny. </w:t>
      </w:r>
    </w:p>
    <w:p w14:paraId="2D213ADA" w14:textId="77777777" w:rsidR="00A55259" w:rsidRPr="00097607" w:rsidRDefault="00A55259">
      <w:pPr>
        <w:widowControl w:val="0"/>
        <w:autoSpaceDE w:val="0"/>
        <w:autoSpaceDN w:val="0"/>
        <w:adjustRightInd w:val="0"/>
        <w:spacing w:line="239" w:lineRule="auto"/>
        <w:ind w:right="436"/>
        <w:rPr>
          <w:szCs w:val="24"/>
          <w:lang w:val="sk-SK"/>
        </w:rPr>
      </w:pPr>
    </w:p>
    <w:p w14:paraId="6EDB7876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lang w:val="sk-SK"/>
        </w:rPr>
      </w:pPr>
      <w:r w:rsidRPr="008D0406">
        <w:rPr>
          <w:szCs w:val="24"/>
          <w:lang w:val="sk-SK"/>
        </w:rPr>
        <w:t>Biotransformácia</w:t>
      </w:r>
    </w:p>
    <w:p w14:paraId="74A93AB4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lang w:val="sk-SK"/>
        </w:rPr>
      </w:pPr>
      <w:r w:rsidRPr="008D0406">
        <w:rPr>
          <w:szCs w:val="24"/>
          <w:lang w:val="sk-SK"/>
        </w:rPr>
        <w:t>Spironolaktón sa vo výraznej miere metabolizuje na aktívne metabolity: vrátane tiometyl-spironolaktónu a kanrenónu.</w:t>
      </w:r>
    </w:p>
    <w:p w14:paraId="1B3E04B4" w14:textId="77777777" w:rsidR="00A55259" w:rsidRPr="00097607" w:rsidRDefault="00A55259">
      <w:pPr>
        <w:widowControl w:val="0"/>
        <w:autoSpaceDE w:val="0"/>
        <w:autoSpaceDN w:val="0"/>
        <w:adjustRightInd w:val="0"/>
        <w:spacing w:line="239" w:lineRule="auto"/>
        <w:ind w:right="436"/>
        <w:rPr>
          <w:szCs w:val="24"/>
          <w:lang w:val="sk-SK"/>
        </w:rPr>
      </w:pPr>
    </w:p>
    <w:p w14:paraId="354723DD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436"/>
        <w:rPr>
          <w:szCs w:val="24"/>
          <w:lang w:val="sk-SK"/>
        </w:rPr>
      </w:pPr>
      <w:r w:rsidRPr="008D0406">
        <w:rPr>
          <w:szCs w:val="24"/>
          <w:lang w:val="sk-SK"/>
        </w:rPr>
        <w:t xml:space="preserve">Eliminácia </w:t>
      </w:r>
    </w:p>
    <w:p w14:paraId="0537B127" w14:textId="77777777" w:rsidR="00A55259" w:rsidRPr="00097607" w:rsidRDefault="00A55259" w:rsidP="00B13562">
      <w:pPr>
        <w:widowControl w:val="0"/>
        <w:autoSpaceDE w:val="0"/>
        <w:autoSpaceDN w:val="0"/>
        <w:adjustRightInd w:val="0"/>
        <w:ind w:right="66"/>
        <w:rPr>
          <w:szCs w:val="24"/>
          <w:lang w:val="sk-SK"/>
        </w:rPr>
      </w:pPr>
      <w:r w:rsidRPr="008D0406">
        <w:rPr>
          <w:szCs w:val="24"/>
          <w:lang w:val="sk-SK"/>
        </w:rPr>
        <w:t xml:space="preserve">Plazmatický polčas spironolaktónu je približne 1,5 h, z toho </w:t>
      </w:r>
      <w:r w:rsidRPr="008D0406">
        <w:rPr>
          <w:spacing w:val="3"/>
          <w:szCs w:val="24"/>
          <w:lang w:val="sk-SK"/>
        </w:rPr>
        <w:t>7</w:t>
      </w:r>
      <w:r w:rsidRPr="008D0406">
        <w:rPr>
          <w:rFonts w:ascii="Symbol" w:hAnsi="Symbol"/>
          <w:szCs w:val="24"/>
          <w:lang w:val="sk-SK"/>
        </w:rPr>
        <w:t></w:t>
      </w:r>
      <w:r w:rsidRPr="008D0406">
        <w:rPr>
          <w:spacing w:val="-4"/>
          <w:szCs w:val="24"/>
          <w:lang w:val="sk-SK"/>
        </w:rPr>
        <w:t>-</w:t>
      </w:r>
      <w:r w:rsidRPr="008D0406">
        <w:rPr>
          <w:spacing w:val="1"/>
          <w:szCs w:val="24"/>
          <w:lang w:val="sk-SK"/>
        </w:rPr>
        <w:t>ti</w:t>
      </w:r>
      <w:r w:rsidRPr="008D0406">
        <w:rPr>
          <w:spacing w:val="-2"/>
          <w:szCs w:val="24"/>
          <w:lang w:val="sk-SK"/>
        </w:rPr>
        <w:t>o</w:t>
      </w:r>
      <w:r w:rsidRPr="008D0406">
        <w:rPr>
          <w:spacing w:val="-4"/>
          <w:szCs w:val="24"/>
          <w:lang w:val="sk-SK"/>
        </w:rPr>
        <w:t>m</w:t>
      </w:r>
      <w:r w:rsidRPr="008D0406">
        <w:rPr>
          <w:szCs w:val="24"/>
          <w:lang w:val="sk-SK"/>
        </w:rPr>
        <w:t>e</w:t>
      </w:r>
      <w:r w:rsidRPr="008D0406">
        <w:rPr>
          <w:spacing w:val="1"/>
          <w:szCs w:val="24"/>
          <w:lang w:val="sk-SK"/>
        </w:rPr>
        <w:t>t</w:t>
      </w:r>
      <w:r w:rsidRPr="008D0406">
        <w:rPr>
          <w:spacing w:val="-2"/>
          <w:szCs w:val="24"/>
          <w:lang w:val="sk-SK"/>
        </w:rPr>
        <w:t>y</w:t>
      </w:r>
      <w:r w:rsidRPr="008D0406">
        <w:rPr>
          <w:spacing w:val="4"/>
          <w:szCs w:val="24"/>
          <w:lang w:val="sk-SK"/>
        </w:rPr>
        <w:t>l</w:t>
      </w:r>
      <w:r w:rsidRPr="008D0406">
        <w:rPr>
          <w:szCs w:val="24"/>
          <w:lang w:val="sk-SK"/>
        </w:rPr>
        <w:t>- sp</w:t>
      </w:r>
      <w:r w:rsidRPr="008D0406">
        <w:rPr>
          <w:spacing w:val="1"/>
          <w:szCs w:val="24"/>
          <w:lang w:val="sk-SK"/>
        </w:rPr>
        <w:t>i</w:t>
      </w:r>
      <w:r w:rsidRPr="008D0406">
        <w:rPr>
          <w:spacing w:val="-2"/>
          <w:szCs w:val="24"/>
          <w:lang w:val="sk-SK"/>
        </w:rPr>
        <w:t>r</w:t>
      </w:r>
      <w:r w:rsidRPr="008D0406">
        <w:rPr>
          <w:szCs w:val="24"/>
          <w:lang w:val="sk-SK"/>
        </w:rPr>
        <w:t>onolaktón má približne 9-12 hodín a kanrenón 10-35 hodín.</w:t>
      </w:r>
      <w:r w:rsidRPr="008D0406">
        <w:rPr>
          <w:spacing w:val="-2"/>
          <w:szCs w:val="24"/>
          <w:lang w:val="sk-SK"/>
        </w:rPr>
        <w:t xml:space="preserve"> </w:t>
      </w:r>
      <w:r w:rsidRPr="008D0406">
        <w:rPr>
          <w:szCs w:val="24"/>
          <w:lang w:val="sk-SK"/>
        </w:rPr>
        <w:t>K eliminácii metabolitov primárne dochádza v moči a sekundárne sa dostáva žlčou do stolice. Renálny účinok jednej dávky spironolaktónu dosahuje svoje maximum po 7 hodinách a aktivita pretrváva po dobu najmenej 24 hodín.</w:t>
      </w:r>
    </w:p>
    <w:p w14:paraId="4493CCC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b/>
          <w:szCs w:val="24"/>
          <w:lang w:val="sk-SK"/>
        </w:rPr>
      </w:pPr>
    </w:p>
    <w:p w14:paraId="7524D80B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b/>
          <w:szCs w:val="24"/>
          <w:lang w:val="sk-SK"/>
        </w:rPr>
      </w:pPr>
      <w:r w:rsidRPr="008D0406">
        <w:rPr>
          <w:b/>
          <w:szCs w:val="24"/>
          <w:lang w:val="sk-SK"/>
        </w:rPr>
        <w:t>Pediatrická populácia</w:t>
      </w:r>
    </w:p>
    <w:p w14:paraId="21811CB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  <w:r w:rsidRPr="008D0406">
        <w:rPr>
          <w:szCs w:val="24"/>
          <w:lang w:val="sk-SK"/>
        </w:rPr>
        <w:t>Nie sú k dispozícii žiadne farmakokinetické údaje, čo sa týka užívania lieku v pediatrickej populácii. Odporúčané dávkovanie pre deti a dospievajúcich vychádza z klinických skúseností a prípadových štúdií uvedených v odbornej literatúre.</w:t>
      </w:r>
    </w:p>
    <w:p w14:paraId="7136DEDC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611083F9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5.3</w:t>
      </w:r>
      <w:r w:rsidRPr="008D0406">
        <w:rPr>
          <w:b/>
          <w:szCs w:val="24"/>
          <w:lang w:val="sk-SK"/>
        </w:rPr>
        <w:tab/>
        <w:t>Predklinické údaje o bezpečnosti</w:t>
      </w:r>
    </w:p>
    <w:p w14:paraId="51A3D095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1485B7E7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 xml:space="preserve">Predklinické údaje neobsahujú doplňujúce relevantné údaje k tým, ktoré sú uvedené v iných častiach tohto súhrnu charakteristických vlastností lieku. </w:t>
      </w:r>
    </w:p>
    <w:p w14:paraId="68ECCF3D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14:paraId="5FD74B72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Preukázalo sa, že spironolaktón je tumorogénny u potkanov, keď sa podáva vo vysokých dávkach po dlhé časové obdobie. Význam týchto zistení s ohľadom na klinické použitie nie je známy.</w:t>
      </w:r>
    </w:p>
    <w:p w14:paraId="61765105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14:paraId="130F0948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Štúdie o reprodukčnej toxicite nepreukázali zvýšené riziko vrodených vývojových chýb, ale antiandrogénny účinok u potomkov potkanov vyvoláva obavy o možných nežiaducich účinkoch na vývoj mužských pohlavných orgánov. Neexistuje žiadne potvrdenie o týchto možných nežiaducich účinkoch u ľudí.</w:t>
      </w:r>
    </w:p>
    <w:p w14:paraId="42E3C82D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14:paraId="378348F4" w14:textId="77777777" w:rsidR="00A55259" w:rsidRPr="00097607" w:rsidRDefault="00A55259" w:rsidP="00B13562">
      <w:pPr>
        <w:widowControl w:val="0"/>
        <w:autoSpaceDE w:val="0"/>
        <w:autoSpaceDN w:val="0"/>
        <w:adjustRightInd w:val="0"/>
        <w:rPr>
          <w:sz w:val="26"/>
          <w:szCs w:val="24"/>
          <w:lang w:val="sk-SK"/>
        </w:rPr>
      </w:pPr>
    </w:p>
    <w:p w14:paraId="429293FA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6.</w:t>
      </w:r>
      <w:r w:rsidRPr="008D0406">
        <w:rPr>
          <w:b/>
          <w:szCs w:val="24"/>
          <w:lang w:val="sk-SK"/>
        </w:rPr>
        <w:tab/>
        <w:t>FARMACEUTICKÉ INFORMÁCIE</w:t>
      </w:r>
    </w:p>
    <w:p w14:paraId="0C43C7C6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1F53A443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6.1</w:t>
      </w:r>
      <w:r w:rsidRPr="008D0406">
        <w:rPr>
          <w:b/>
          <w:szCs w:val="24"/>
          <w:lang w:val="sk-SK"/>
        </w:rPr>
        <w:tab/>
        <w:t>Zoznam pomocných látok</w:t>
      </w:r>
    </w:p>
    <w:p w14:paraId="66D1740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C5E3580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Jadro tablety:</w:t>
      </w:r>
    </w:p>
    <w:p w14:paraId="15371F02" w14:textId="77777777" w:rsidR="00A55259" w:rsidRPr="00097607" w:rsidRDefault="00A55259">
      <w:pPr>
        <w:widowControl w:val="0"/>
        <w:autoSpaceDE w:val="0"/>
        <w:autoSpaceDN w:val="0"/>
        <w:adjustRightInd w:val="0"/>
        <w:ind w:right="181"/>
        <w:rPr>
          <w:spacing w:val="-2"/>
          <w:szCs w:val="24"/>
          <w:lang w:val="sk-SK"/>
        </w:rPr>
      </w:pPr>
      <w:r w:rsidRPr="008D0406">
        <w:rPr>
          <w:szCs w:val="24"/>
          <w:lang w:val="sk-SK"/>
        </w:rPr>
        <w:t>Monohydrát laktózy</w:t>
      </w:r>
    </w:p>
    <w:p w14:paraId="7EAD4958" w14:textId="77777777" w:rsidR="00A55259" w:rsidRPr="00097607" w:rsidRDefault="00A55259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r w:rsidRPr="008D0406">
        <w:rPr>
          <w:szCs w:val="24"/>
          <w:lang w:val="sk-SK"/>
        </w:rPr>
        <w:t xml:space="preserve">Predželatínovaný kukuričný škrob </w:t>
      </w:r>
    </w:p>
    <w:p w14:paraId="58E3A8F5" w14:textId="77777777" w:rsidR="00A55259" w:rsidRPr="00097607" w:rsidRDefault="00A55259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r w:rsidRPr="008D0406">
        <w:rPr>
          <w:szCs w:val="24"/>
          <w:lang w:val="sk-SK"/>
        </w:rPr>
        <w:t xml:space="preserve">Hydrogén fosforečnan vápenatý, bezvodý </w:t>
      </w:r>
    </w:p>
    <w:p w14:paraId="30D59FBD" w14:textId="77777777" w:rsidR="00A55259" w:rsidRPr="00097607" w:rsidRDefault="00A55259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r w:rsidRPr="008D0406">
        <w:rPr>
          <w:szCs w:val="24"/>
          <w:lang w:val="sk-SK"/>
        </w:rPr>
        <w:t>Povidón K25</w:t>
      </w:r>
    </w:p>
    <w:p w14:paraId="0E5DDC3F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ind w:right="181"/>
        <w:rPr>
          <w:spacing w:val="-2"/>
          <w:szCs w:val="24"/>
          <w:lang w:val="sk-SK"/>
        </w:rPr>
      </w:pPr>
      <w:r w:rsidRPr="008D0406">
        <w:rPr>
          <w:szCs w:val="24"/>
          <w:lang w:val="sk-SK"/>
        </w:rPr>
        <w:t>Pepermintový olej</w:t>
      </w:r>
    </w:p>
    <w:p w14:paraId="41D71469" w14:textId="77777777" w:rsidR="00A55259" w:rsidRPr="00097607" w:rsidRDefault="00A55259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r w:rsidRPr="008D0406">
        <w:rPr>
          <w:szCs w:val="24"/>
          <w:lang w:val="sk-SK"/>
        </w:rPr>
        <w:t>Čistený mastenec</w:t>
      </w:r>
    </w:p>
    <w:p w14:paraId="7336CA78" w14:textId="77777777" w:rsidR="00A55259" w:rsidRPr="00097607" w:rsidRDefault="00A55259">
      <w:pPr>
        <w:widowControl w:val="0"/>
        <w:autoSpaceDE w:val="0"/>
        <w:autoSpaceDN w:val="0"/>
        <w:adjustRightInd w:val="0"/>
        <w:ind w:right="181"/>
        <w:rPr>
          <w:spacing w:val="-2"/>
          <w:szCs w:val="24"/>
          <w:lang w:val="sk-SK"/>
        </w:rPr>
      </w:pPr>
      <w:r w:rsidRPr="008D0406">
        <w:rPr>
          <w:szCs w:val="24"/>
          <w:lang w:val="sk-SK"/>
        </w:rPr>
        <w:t xml:space="preserve">Oxid kremičitý koloidný, bezvodý </w:t>
      </w:r>
    </w:p>
    <w:p w14:paraId="180264FE" w14:textId="77777777" w:rsidR="00A55259" w:rsidRPr="00097607" w:rsidRDefault="00A55259">
      <w:pPr>
        <w:widowControl w:val="0"/>
        <w:autoSpaceDE w:val="0"/>
        <w:autoSpaceDN w:val="0"/>
        <w:adjustRightInd w:val="0"/>
        <w:ind w:right="181"/>
        <w:rPr>
          <w:szCs w:val="24"/>
          <w:lang w:val="sk-SK"/>
        </w:rPr>
      </w:pPr>
      <w:r w:rsidRPr="008D0406">
        <w:rPr>
          <w:szCs w:val="24"/>
          <w:lang w:val="sk-SK"/>
        </w:rPr>
        <w:t>Stearan horečnatý (E470b)</w:t>
      </w:r>
    </w:p>
    <w:p w14:paraId="2EE92071" w14:textId="77777777" w:rsidR="00A55259" w:rsidRPr="00097607" w:rsidRDefault="00A55259">
      <w:pPr>
        <w:widowControl w:val="0"/>
        <w:autoSpaceDE w:val="0"/>
        <w:autoSpaceDN w:val="0"/>
        <w:adjustRightInd w:val="0"/>
        <w:spacing w:line="252" w:lineRule="exact"/>
        <w:ind w:right="-20"/>
        <w:rPr>
          <w:szCs w:val="24"/>
          <w:lang w:val="sk-SK"/>
        </w:rPr>
      </w:pPr>
    </w:p>
    <w:p w14:paraId="408E636C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Filmová vrstva:</w:t>
      </w:r>
    </w:p>
    <w:p w14:paraId="3188EDF1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 xml:space="preserve">Hypromelóza </w:t>
      </w:r>
    </w:p>
    <w:p w14:paraId="6D1D09DE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pacing w:val="-2"/>
          <w:szCs w:val="24"/>
          <w:lang w:val="sk-SK"/>
        </w:rPr>
      </w:pPr>
      <w:r w:rsidRPr="008D0406">
        <w:rPr>
          <w:szCs w:val="24"/>
          <w:lang w:val="sk-SK"/>
        </w:rPr>
        <w:t>Makrogol</w:t>
      </w:r>
    </w:p>
    <w:p w14:paraId="0E108941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Oxid titaničitý (E171)</w:t>
      </w:r>
    </w:p>
    <w:p w14:paraId="2B6E42FA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00C4BC9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6.2</w:t>
      </w:r>
      <w:r w:rsidRPr="008D0406">
        <w:rPr>
          <w:b/>
          <w:szCs w:val="24"/>
          <w:lang w:val="sk-SK"/>
        </w:rPr>
        <w:tab/>
        <w:t>Inkompatibility</w:t>
      </w:r>
    </w:p>
    <w:p w14:paraId="32C42521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29D124ED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Neaplikovateľné.</w:t>
      </w:r>
    </w:p>
    <w:p w14:paraId="57826BF1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4173E035" w14:textId="77777777" w:rsidR="00A55259" w:rsidRPr="00D85AE3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D85AE3">
        <w:rPr>
          <w:b/>
          <w:szCs w:val="24"/>
          <w:lang w:val="sk-SK"/>
        </w:rPr>
        <w:t>6.3</w:t>
      </w:r>
      <w:r w:rsidRPr="00D85AE3">
        <w:rPr>
          <w:b/>
          <w:szCs w:val="24"/>
          <w:lang w:val="sk-SK"/>
        </w:rPr>
        <w:tab/>
        <w:t>Čas použiteľnosti</w:t>
      </w:r>
    </w:p>
    <w:p w14:paraId="156D1B10" w14:textId="77777777" w:rsidR="00A55259" w:rsidRPr="00D85AE3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15B3E512" w14:textId="77777777" w:rsidR="00A55259" w:rsidRPr="00D85AE3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4851BA">
        <w:rPr>
          <w:spacing w:val="-1"/>
          <w:szCs w:val="24"/>
          <w:lang w:val="sk-SK"/>
        </w:rPr>
        <w:lastRenderedPageBreak/>
        <w:t xml:space="preserve">Blistrové balenie: </w:t>
      </w:r>
      <w:r w:rsidRPr="00D85AE3">
        <w:rPr>
          <w:szCs w:val="24"/>
          <w:lang w:val="sk-SK"/>
        </w:rPr>
        <w:t>3 roky</w:t>
      </w:r>
    </w:p>
    <w:p w14:paraId="3167961E" w14:textId="0C9D3D82" w:rsidR="00A55259" w:rsidRPr="00D85AE3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D85AE3">
        <w:rPr>
          <w:szCs w:val="24"/>
          <w:lang w:val="sk-SK"/>
        </w:rPr>
        <w:t xml:space="preserve">Fľaša: </w:t>
      </w:r>
      <w:r w:rsidR="00F71049">
        <w:rPr>
          <w:szCs w:val="24"/>
          <w:lang w:val="sk-SK"/>
        </w:rPr>
        <w:t>2 roky</w:t>
      </w:r>
    </w:p>
    <w:p w14:paraId="6DF6C7AD" w14:textId="77777777" w:rsidR="00A55259" w:rsidRPr="004851BA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D85AE3">
        <w:rPr>
          <w:szCs w:val="24"/>
          <w:lang w:val="sk-SK"/>
        </w:rPr>
        <w:t xml:space="preserve">           doba použiteľnosti po prvom otvorení: 3 mesiace.</w:t>
      </w:r>
    </w:p>
    <w:p w14:paraId="2F571C54" w14:textId="77777777" w:rsidR="00A55259" w:rsidRPr="004851BA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14:paraId="16A1FC69" w14:textId="77777777" w:rsidR="00A55259" w:rsidRPr="00D85AE3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5F5CFAB8" w14:textId="77777777" w:rsidR="00A55259" w:rsidRPr="00D85AE3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D85AE3">
        <w:rPr>
          <w:b/>
          <w:szCs w:val="24"/>
          <w:lang w:val="sk-SK"/>
        </w:rPr>
        <w:t>6.4</w:t>
      </w:r>
      <w:r w:rsidRPr="00D85AE3">
        <w:rPr>
          <w:b/>
          <w:szCs w:val="24"/>
          <w:lang w:val="sk-SK"/>
        </w:rPr>
        <w:tab/>
        <w:t>Špeciálne upozornenie na uchovávanie</w:t>
      </w:r>
    </w:p>
    <w:p w14:paraId="0D0B55FD" w14:textId="77777777" w:rsidR="00A55259" w:rsidRPr="00D85AE3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06EE8908" w14:textId="77777777" w:rsidR="00A55259" w:rsidRPr="00D85AE3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D85AE3">
        <w:rPr>
          <w:szCs w:val="24"/>
          <w:lang w:val="sk-SK"/>
        </w:rPr>
        <w:t>Tento liek nevyžaduje žiadne zvláštne teplotné podmienky na uchovávanie. Uchovávajte v pôvodnom obale na ochranu pred svetlom.</w:t>
      </w:r>
    </w:p>
    <w:p w14:paraId="080B9B47" w14:textId="77777777" w:rsidR="00A55259" w:rsidRPr="00D85AE3" w:rsidRDefault="00A55259">
      <w:pPr>
        <w:widowControl w:val="0"/>
        <w:autoSpaceDE w:val="0"/>
        <w:autoSpaceDN w:val="0"/>
        <w:adjustRightInd w:val="0"/>
        <w:spacing w:line="241" w:lineRule="auto"/>
        <w:ind w:right="6483"/>
        <w:rPr>
          <w:szCs w:val="24"/>
          <w:lang w:val="sk-SK"/>
        </w:rPr>
      </w:pPr>
    </w:p>
    <w:p w14:paraId="40509C14" w14:textId="77777777" w:rsidR="00A55259" w:rsidRPr="00D85AE3" w:rsidRDefault="00A55259" w:rsidP="00B13562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D85AE3">
        <w:rPr>
          <w:b/>
          <w:szCs w:val="24"/>
          <w:lang w:val="sk-SK"/>
        </w:rPr>
        <w:t>6.5</w:t>
      </w:r>
      <w:r w:rsidRPr="00D85AE3">
        <w:rPr>
          <w:b/>
          <w:szCs w:val="24"/>
          <w:lang w:val="sk-SK"/>
        </w:rPr>
        <w:tab/>
        <w:t>Druh obalu a obsah balenia</w:t>
      </w:r>
    </w:p>
    <w:p w14:paraId="6F808853" w14:textId="77777777" w:rsidR="00A55259" w:rsidRPr="00D85AE3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30FAC8EC" w14:textId="77777777" w:rsidR="00A55259" w:rsidRPr="004851BA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D85AE3">
        <w:rPr>
          <w:szCs w:val="24"/>
          <w:lang w:val="sk-SK"/>
        </w:rPr>
        <w:t>Tablety sú balené v PVC-hliníkových blistroch a HDPE fľašiach.</w:t>
      </w:r>
    </w:p>
    <w:p w14:paraId="1FFAC773" w14:textId="699475D2" w:rsidR="00A55259" w:rsidRPr="00D85AE3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</w:p>
    <w:p w14:paraId="72C245B7" w14:textId="7F78DBD1" w:rsidR="00A55259" w:rsidRPr="004851BA" w:rsidRDefault="00A55259" w:rsidP="00B13562">
      <w:pPr>
        <w:widowControl w:val="0"/>
        <w:autoSpaceDE w:val="0"/>
        <w:autoSpaceDN w:val="0"/>
        <w:adjustRightInd w:val="0"/>
        <w:spacing w:line="254" w:lineRule="exact"/>
        <w:ind w:right="1131"/>
        <w:rPr>
          <w:spacing w:val="-1"/>
          <w:szCs w:val="24"/>
          <w:lang w:val="sk-SK"/>
        </w:rPr>
      </w:pPr>
      <w:r w:rsidRPr="004851BA">
        <w:rPr>
          <w:spacing w:val="-1"/>
          <w:szCs w:val="24"/>
          <w:lang w:val="sk-SK"/>
        </w:rPr>
        <w:t xml:space="preserve">Veľkosti balenia: </w:t>
      </w:r>
    </w:p>
    <w:p w14:paraId="21F96D80" w14:textId="77777777" w:rsidR="00A55259" w:rsidRPr="004851BA" w:rsidRDefault="00A55259" w:rsidP="00B13562">
      <w:pPr>
        <w:widowControl w:val="0"/>
        <w:autoSpaceDE w:val="0"/>
        <w:autoSpaceDN w:val="0"/>
        <w:adjustRightInd w:val="0"/>
        <w:spacing w:line="254" w:lineRule="exact"/>
        <w:ind w:right="1131"/>
        <w:rPr>
          <w:spacing w:val="-1"/>
          <w:szCs w:val="24"/>
          <w:lang w:val="sk-SK"/>
        </w:rPr>
      </w:pPr>
      <w:r w:rsidRPr="004851BA">
        <w:rPr>
          <w:spacing w:val="-1"/>
          <w:szCs w:val="24"/>
          <w:lang w:val="sk-SK"/>
        </w:rPr>
        <w:t xml:space="preserve">Blistrové balenie: 20, 28, 30, 50, 60, 90 a 100 tabliet v blistri. </w:t>
      </w:r>
    </w:p>
    <w:p w14:paraId="78EA9041" w14:textId="18F83720" w:rsidR="00A55259" w:rsidRPr="004851BA" w:rsidRDefault="00A55259" w:rsidP="00B13562">
      <w:pPr>
        <w:widowControl w:val="0"/>
        <w:autoSpaceDE w:val="0"/>
        <w:autoSpaceDN w:val="0"/>
        <w:adjustRightInd w:val="0"/>
        <w:spacing w:line="254" w:lineRule="exact"/>
        <w:ind w:right="1131"/>
        <w:rPr>
          <w:spacing w:val="-1"/>
          <w:szCs w:val="24"/>
          <w:lang w:val="sk-SK"/>
        </w:rPr>
      </w:pPr>
      <w:r w:rsidRPr="004851BA">
        <w:rPr>
          <w:spacing w:val="-1"/>
          <w:szCs w:val="24"/>
          <w:lang w:val="sk-SK"/>
        </w:rPr>
        <w:t xml:space="preserve">HDPE fľaša: 250, 500 a 1000 tabliet </w:t>
      </w:r>
      <w:r w:rsidRPr="004851BA">
        <w:rPr>
          <w:szCs w:val="24"/>
          <w:lang w:val="sk-SK"/>
        </w:rPr>
        <w:t>(</w:t>
      </w:r>
      <w:r w:rsidRPr="00D85AE3">
        <w:rPr>
          <w:lang w:val="sk-SK"/>
        </w:rPr>
        <w:t xml:space="preserve">len </w:t>
      </w:r>
      <w:r w:rsidR="00F276C5">
        <w:rPr>
          <w:lang w:val="sk-SK"/>
        </w:rPr>
        <w:t>na</w:t>
      </w:r>
      <w:r w:rsidRPr="00D85AE3">
        <w:rPr>
          <w:lang w:val="sk-SK"/>
        </w:rPr>
        <w:t xml:space="preserve"> použitie v nemocniciach).</w:t>
      </w:r>
    </w:p>
    <w:p w14:paraId="59ACF5C3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54" w:lineRule="exact"/>
        <w:ind w:right="1131"/>
        <w:rPr>
          <w:spacing w:val="-1"/>
          <w:szCs w:val="24"/>
          <w:lang w:val="sk-SK"/>
        </w:rPr>
      </w:pPr>
    </w:p>
    <w:p w14:paraId="5B5D2642" w14:textId="77777777" w:rsidR="00A55259" w:rsidRPr="00097607" w:rsidRDefault="00A55259">
      <w:pPr>
        <w:widowControl w:val="0"/>
        <w:autoSpaceDE w:val="0"/>
        <w:autoSpaceDN w:val="0"/>
        <w:adjustRightInd w:val="0"/>
        <w:ind w:right="1131"/>
        <w:rPr>
          <w:szCs w:val="24"/>
          <w:lang w:val="sk-SK"/>
        </w:rPr>
      </w:pPr>
      <w:r w:rsidRPr="008D0406">
        <w:rPr>
          <w:szCs w:val="24"/>
          <w:lang w:val="sk-SK"/>
        </w:rPr>
        <w:t>Na trh nemusia byť uvedené všetky veľkosti balenia.</w:t>
      </w:r>
    </w:p>
    <w:p w14:paraId="1F91ABD0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32790B60" w14:textId="77777777" w:rsidR="00A55259" w:rsidRPr="00097607" w:rsidRDefault="00A55259">
      <w:pPr>
        <w:widowControl w:val="0"/>
        <w:tabs>
          <w:tab w:val="clear" w:pos="567"/>
          <w:tab w:val="left" w:pos="58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6.6</w:t>
      </w:r>
      <w:r w:rsidRPr="008D0406">
        <w:rPr>
          <w:b/>
          <w:szCs w:val="24"/>
          <w:lang w:val="sk-SK"/>
        </w:rPr>
        <w:tab/>
        <w:t>Špeciálne opatrenia na likvidáciu</w:t>
      </w:r>
    </w:p>
    <w:p w14:paraId="68B64048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32CD0544" w14:textId="77777777" w:rsidR="00A55259" w:rsidRPr="00097607" w:rsidRDefault="00A55259">
      <w:pPr>
        <w:widowControl w:val="0"/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szCs w:val="24"/>
          <w:lang w:val="sk-SK"/>
        </w:rPr>
        <w:t>Všetok nepoužitý liek alebo odpad vzniknutý z lieku sa má zlikvidovať v súlade s národnými požiadavkami.</w:t>
      </w:r>
    </w:p>
    <w:p w14:paraId="55677A8B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7DD501AE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6FAE7295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7.</w:t>
      </w:r>
      <w:r w:rsidRPr="008D0406">
        <w:rPr>
          <w:b/>
          <w:szCs w:val="24"/>
          <w:lang w:val="sk-SK"/>
        </w:rPr>
        <w:tab/>
        <w:t>DRŽITEĽ ROZHODNUTIA O REGISTRÁCII</w:t>
      </w:r>
    </w:p>
    <w:p w14:paraId="126EC06F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3DD91101" w14:textId="77777777" w:rsidR="0091597A" w:rsidRDefault="0091597A">
      <w:pPr>
        <w:rPr>
          <w:szCs w:val="22"/>
          <w:lang w:val="sk-SK"/>
        </w:rPr>
      </w:pPr>
      <w:r>
        <w:t>Accord Healthcare Polska Sp. z o.o.</w:t>
      </w:r>
    </w:p>
    <w:p w14:paraId="4B6E336C" w14:textId="77777777" w:rsidR="0091597A" w:rsidRDefault="0091597A">
      <w:pPr>
        <w:rPr>
          <w:szCs w:val="24"/>
          <w:lang w:val="hu-HU" w:eastAsia="cs-CZ"/>
        </w:rPr>
      </w:pPr>
      <w:r>
        <w:t>Taśmowa 7</w:t>
      </w:r>
    </w:p>
    <w:p w14:paraId="5DB78AD4" w14:textId="77777777" w:rsidR="0091597A" w:rsidRDefault="0091597A">
      <w:pPr>
        <w:rPr>
          <w:lang w:val="en-US" w:eastAsia="en-US"/>
        </w:rPr>
      </w:pPr>
      <w:r>
        <w:t>02-677 Varšava</w:t>
      </w:r>
    </w:p>
    <w:p w14:paraId="6555C3A0" w14:textId="77777777" w:rsidR="0091597A" w:rsidRDefault="0091597A">
      <w:pPr>
        <w:tabs>
          <w:tab w:val="num" w:pos="0"/>
        </w:tabs>
        <w:ind w:right="29"/>
        <w:jc w:val="both"/>
        <w:rPr>
          <w:lang w:val="sk-SK"/>
        </w:rPr>
      </w:pPr>
      <w:r>
        <w:t>Poľsko</w:t>
      </w:r>
    </w:p>
    <w:p w14:paraId="3DABAA5A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7DB30AD2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58B3091B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8.</w:t>
      </w:r>
      <w:r w:rsidRPr="008D0406">
        <w:rPr>
          <w:b/>
          <w:szCs w:val="24"/>
          <w:lang w:val="sk-SK"/>
        </w:rPr>
        <w:tab/>
        <w:t>REGISTRAČNÉ ČÍSLO</w:t>
      </w:r>
    </w:p>
    <w:p w14:paraId="67714386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7F384909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D0406">
        <w:rPr>
          <w:szCs w:val="22"/>
          <w:lang w:val="sk-SK"/>
        </w:rPr>
        <w:t>Spironolactone Accord 25 mg filmom obalené tablety: 50/0068/16-S</w:t>
      </w:r>
    </w:p>
    <w:p w14:paraId="2D56EAE9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D0406">
        <w:rPr>
          <w:szCs w:val="22"/>
          <w:lang w:val="sk-SK"/>
        </w:rPr>
        <w:t>Spironolactone Accord 50 mg filmom obalené tablety: 50/0069/16-S</w:t>
      </w:r>
    </w:p>
    <w:p w14:paraId="7A7EC43C" w14:textId="77777777" w:rsidR="00A55259" w:rsidRPr="00097607" w:rsidRDefault="00A55259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D0406">
        <w:rPr>
          <w:szCs w:val="22"/>
          <w:lang w:val="sk-SK"/>
        </w:rPr>
        <w:t>Spironolactone Accord 100 mg filmom obalené tablety: 50/0070/16-S</w:t>
      </w:r>
    </w:p>
    <w:p w14:paraId="6C3B1899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322B8784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4AFA9603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9.</w:t>
      </w:r>
      <w:r w:rsidRPr="008D0406">
        <w:rPr>
          <w:b/>
          <w:szCs w:val="24"/>
          <w:lang w:val="sk-SK"/>
        </w:rPr>
        <w:tab/>
        <w:t>DÁTUM REGISTRÁCIE/PREDĹŽENIE REGISTRÁCIE</w:t>
      </w:r>
    </w:p>
    <w:p w14:paraId="0A59E0BD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350F5880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Cs w:val="24"/>
          <w:lang w:val="sk-SK"/>
        </w:rPr>
      </w:pPr>
      <w:r w:rsidRPr="008D0406">
        <w:rPr>
          <w:szCs w:val="24"/>
          <w:lang w:val="sk-SK"/>
        </w:rPr>
        <w:t>Dátum registrácie: 16.03.2016</w:t>
      </w:r>
    </w:p>
    <w:p w14:paraId="28C2F5ED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Cs w:val="24"/>
          <w:lang w:val="sk-SK"/>
        </w:rPr>
      </w:pPr>
    </w:p>
    <w:p w14:paraId="5A614D41" w14:textId="77777777" w:rsidR="00A55259" w:rsidRPr="00097607" w:rsidRDefault="00A5525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4"/>
          <w:lang w:val="sk-SK"/>
        </w:rPr>
      </w:pPr>
    </w:p>
    <w:p w14:paraId="61DD8D61" w14:textId="77777777" w:rsidR="00A55259" w:rsidRPr="00097607" w:rsidRDefault="00A55259">
      <w:pPr>
        <w:widowControl w:val="0"/>
        <w:tabs>
          <w:tab w:val="left" w:pos="660"/>
        </w:tabs>
        <w:autoSpaceDE w:val="0"/>
        <w:autoSpaceDN w:val="0"/>
        <w:adjustRightInd w:val="0"/>
        <w:ind w:right="-20"/>
        <w:rPr>
          <w:szCs w:val="24"/>
          <w:lang w:val="sk-SK"/>
        </w:rPr>
      </w:pPr>
      <w:r w:rsidRPr="008D0406">
        <w:rPr>
          <w:b/>
          <w:szCs w:val="24"/>
          <w:lang w:val="sk-SK"/>
        </w:rPr>
        <w:t>10.</w:t>
      </w:r>
      <w:r w:rsidRPr="008D0406">
        <w:rPr>
          <w:b/>
          <w:szCs w:val="24"/>
          <w:lang w:val="sk-SK"/>
        </w:rPr>
        <w:tab/>
        <w:t>DÁTUM REVÍZIE TEXTU</w:t>
      </w:r>
    </w:p>
    <w:p w14:paraId="0B85A91E" w14:textId="77777777" w:rsidR="00A55259" w:rsidRPr="00097607" w:rsidRDefault="00A55259" w:rsidP="00B13562">
      <w:pPr>
        <w:widowControl w:val="0"/>
        <w:autoSpaceDE w:val="0"/>
        <w:autoSpaceDN w:val="0"/>
        <w:adjustRightInd w:val="0"/>
        <w:spacing w:line="240" w:lineRule="exact"/>
        <w:rPr>
          <w:szCs w:val="24"/>
          <w:lang w:val="sk-SK"/>
        </w:rPr>
      </w:pPr>
    </w:p>
    <w:p w14:paraId="21B5A670" w14:textId="42823768" w:rsidR="004A75C1" w:rsidRPr="00097607" w:rsidRDefault="00370D1E">
      <w:pPr>
        <w:tabs>
          <w:tab w:val="clear" w:pos="567"/>
        </w:tabs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Február</w:t>
      </w:r>
      <w:r w:rsidR="004A75C1">
        <w:rPr>
          <w:szCs w:val="24"/>
          <w:lang w:val="sk-SK"/>
        </w:rPr>
        <w:t xml:space="preserve"> 2019</w:t>
      </w:r>
    </w:p>
    <w:p w14:paraId="50BED58D" w14:textId="77777777" w:rsidR="00A55259" w:rsidRPr="00097607" w:rsidRDefault="00A55259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4136B46" w14:textId="77777777" w:rsidR="00A55259" w:rsidRPr="00097607" w:rsidRDefault="00A55259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807293B" w14:textId="77777777" w:rsidR="00A55259" w:rsidRPr="00097607" w:rsidRDefault="00A55259">
      <w:pPr>
        <w:tabs>
          <w:tab w:val="clear" w:pos="567"/>
        </w:tabs>
        <w:spacing w:line="240" w:lineRule="auto"/>
        <w:rPr>
          <w:b/>
          <w:szCs w:val="24"/>
          <w:lang w:val="sk-SK"/>
        </w:rPr>
      </w:pPr>
    </w:p>
    <w:p w14:paraId="05C59D3F" w14:textId="77777777" w:rsidR="00A55259" w:rsidRPr="00097607" w:rsidRDefault="00A55259">
      <w:pPr>
        <w:rPr>
          <w:lang w:val="sk-SK"/>
        </w:rPr>
      </w:pPr>
    </w:p>
    <w:sectPr w:rsidR="00A55259" w:rsidRPr="00097607" w:rsidSect="00B1356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DBBF5" w14:textId="77777777" w:rsidR="00583623" w:rsidRDefault="00583623">
      <w:pPr>
        <w:spacing w:line="240" w:lineRule="auto"/>
      </w:pPr>
      <w:r>
        <w:separator/>
      </w:r>
    </w:p>
  </w:endnote>
  <w:endnote w:type="continuationSeparator" w:id="0">
    <w:p w14:paraId="5BA965EF" w14:textId="77777777" w:rsidR="00583623" w:rsidRDefault="00583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CC660" w14:textId="77777777" w:rsidR="003D13FC" w:rsidRPr="00B13562" w:rsidRDefault="003D13FC">
    <w:pPr>
      <w:pStyle w:val="Pta"/>
      <w:jc w:val="center"/>
      <w:rPr>
        <w:rFonts w:ascii="Times New Roman" w:hAnsi="Times New Roman"/>
        <w:sz w:val="18"/>
        <w:szCs w:val="18"/>
      </w:rPr>
    </w:pPr>
    <w:r w:rsidRPr="00B13562">
      <w:rPr>
        <w:rFonts w:ascii="Times New Roman" w:hAnsi="Times New Roman"/>
        <w:sz w:val="18"/>
        <w:szCs w:val="18"/>
      </w:rPr>
      <w:fldChar w:fldCharType="begin"/>
    </w:r>
    <w:r w:rsidRPr="00B13562">
      <w:rPr>
        <w:rFonts w:ascii="Times New Roman" w:hAnsi="Times New Roman"/>
        <w:sz w:val="18"/>
        <w:szCs w:val="18"/>
      </w:rPr>
      <w:instrText>PAGE   \* MERGEFORMAT</w:instrText>
    </w:r>
    <w:r w:rsidRPr="00B13562">
      <w:rPr>
        <w:rFonts w:ascii="Times New Roman" w:hAnsi="Times New Roman"/>
        <w:sz w:val="18"/>
        <w:szCs w:val="18"/>
      </w:rPr>
      <w:fldChar w:fldCharType="separate"/>
    </w:r>
    <w:r w:rsidR="00D60157" w:rsidRPr="00D60157">
      <w:rPr>
        <w:rFonts w:ascii="Times New Roman" w:hAnsi="Times New Roman"/>
        <w:noProof/>
        <w:sz w:val="18"/>
        <w:szCs w:val="18"/>
        <w:lang w:val="sk-SK"/>
      </w:rPr>
      <w:t>9</w:t>
    </w:r>
    <w:r w:rsidRPr="00B13562">
      <w:rPr>
        <w:rFonts w:ascii="Times New Roman" w:hAnsi="Times New Roman"/>
        <w:sz w:val="18"/>
        <w:szCs w:val="18"/>
      </w:rPr>
      <w:fldChar w:fldCharType="end"/>
    </w:r>
  </w:p>
  <w:p w14:paraId="6B563F68" w14:textId="77777777" w:rsidR="004A75C1" w:rsidRDefault="004A75C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1D56F" w14:textId="77777777" w:rsidR="00A55259" w:rsidRDefault="00A55259">
    <w:pPr>
      <w:pStyle w:val="Pta"/>
      <w:pBdr>
        <w:top w:val="thinThickSmallGap" w:sz="12" w:space="1" w:color="auto"/>
      </w:pBdr>
      <w:tabs>
        <w:tab w:val="right" w:pos="8280"/>
      </w:tabs>
      <w:rPr>
        <w:rFonts w:ascii="Times New Roman" w:hAnsi="Times New Roman"/>
        <w:sz w:val="24"/>
        <w:szCs w:val="24"/>
      </w:rPr>
    </w:pPr>
    <w:r>
      <w:rPr>
        <w:rFonts w:ascii="Arial" w:hAnsi="Arial"/>
        <w:szCs w:val="24"/>
      </w:rPr>
      <w:fldChar w:fldCharType="begin"/>
    </w:r>
    <w:r>
      <w:rPr>
        <w:rFonts w:ascii="Arial" w:hAnsi="Arial"/>
        <w:szCs w:val="24"/>
      </w:rPr>
      <w:instrText xml:space="preserve"> EQ </w:instrText>
    </w:r>
    <w:r>
      <w:rPr>
        <w:rFonts w:ascii="Arial" w:hAnsi="Arial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noProof/>
        <w:sz w:val="24"/>
        <w:szCs w:val="24"/>
      </w:rPr>
      <w:t>Module 1.3.1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noProof/>
        <w:sz w:val="24"/>
        <w:szCs w:val="24"/>
      </w:rPr>
      <w:t xml:space="preserve">Page </w:t>
    </w:r>
    <w:r>
      <w:rPr>
        <w:rFonts w:ascii="Times New Roman" w:hAnsi="Times New Roman"/>
        <w:noProof/>
        <w:sz w:val="24"/>
        <w:szCs w:val="24"/>
      </w:rPr>
      <w:fldChar w:fldCharType="begin"/>
    </w:r>
    <w:r>
      <w:rPr>
        <w:rFonts w:ascii="Times New Roman" w:hAnsi="Times New Roman"/>
        <w:noProof/>
        <w:sz w:val="24"/>
        <w:szCs w:val="24"/>
      </w:rPr>
      <w:instrText xml:space="preserve"> PAGE </w:instrText>
    </w:r>
    <w:r>
      <w:rPr>
        <w:rFonts w:ascii="Times New Roman" w:hAnsi="Times New Roman"/>
        <w:noProof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noProof/>
        <w:sz w:val="24"/>
        <w:szCs w:val="24"/>
      </w:rPr>
      <w:fldChar w:fldCharType="end"/>
    </w:r>
    <w:r>
      <w:rPr>
        <w:rFonts w:ascii="Times New Roman" w:hAnsi="Times New Roman"/>
        <w:noProof/>
        <w:sz w:val="24"/>
        <w:szCs w:val="24"/>
      </w:rPr>
      <w:t xml:space="preserve"> of 13</w:t>
    </w:r>
  </w:p>
  <w:p w14:paraId="02B5F106" w14:textId="77777777" w:rsidR="00A55259" w:rsidRDefault="00A5525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65F76" w14:textId="77777777" w:rsidR="00583623" w:rsidRDefault="00583623">
      <w:pPr>
        <w:spacing w:line="240" w:lineRule="auto"/>
      </w:pPr>
      <w:r>
        <w:separator/>
      </w:r>
    </w:p>
  </w:footnote>
  <w:footnote w:type="continuationSeparator" w:id="0">
    <w:p w14:paraId="022D8375" w14:textId="77777777" w:rsidR="00583623" w:rsidRDefault="005836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52352" w14:textId="3928C5DE" w:rsidR="004A75C1" w:rsidRPr="00097607" w:rsidRDefault="004A75C1" w:rsidP="004A75C1">
    <w:pPr>
      <w:spacing w:line="240" w:lineRule="auto"/>
      <w:rPr>
        <w:sz w:val="18"/>
        <w:szCs w:val="18"/>
        <w:lang w:val="sk-SK"/>
      </w:rPr>
    </w:pPr>
    <w:r w:rsidRPr="00097607">
      <w:rPr>
        <w:sz w:val="18"/>
        <w:szCs w:val="18"/>
        <w:lang w:val="sk-SK"/>
      </w:rPr>
      <w:t>Schválený text k ro</w:t>
    </w:r>
    <w:r>
      <w:rPr>
        <w:sz w:val="18"/>
        <w:szCs w:val="18"/>
        <w:lang w:val="sk-SK"/>
      </w:rPr>
      <w:t>zhodnutiu o prevode, ev. č.: 2018/08250-TR, 2018/08251-TR, 2018/08252-TR</w:t>
    </w:r>
  </w:p>
  <w:p w14:paraId="62D8BF0D" w14:textId="1D1E993A" w:rsidR="004A75C1" w:rsidRDefault="004A75C1" w:rsidP="004A75C1">
    <w:pPr>
      <w:tabs>
        <w:tab w:val="clear" w:pos="567"/>
      </w:tabs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</w:t>
    </w:r>
    <w:r w:rsidR="00F276C5">
      <w:rPr>
        <w:sz w:val="18"/>
        <w:szCs w:val="18"/>
        <w:lang w:val="sk-SK"/>
      </w:rPr>
      <w:t> zmene, ev. č.: 2016/04119-Z1B</w:t>
    </w:r>
  </w:p>
  <w:p w14:paraId="0175BE9F" w14:textId="19CB6C4D" w:rsidR="00F276C5" w:rsidRPr="00DB6D95" w:rsidRDefault="00F276C5" w:rsidP="00B13562">
    <w:pPr>
      <w:spacing w:line="240" w:lineRule="auto"/>
      <w:rPr>
        <w:sz w:val="18"/>
        <w:szCs w:val="18"/>
        <w:lang w:val="sk-SK"/>
      </w:rPr>
    </w:pPr>
    <w:r w:rsidRPr="00631EC0">
      <w:rPr>
        <w:sz w:val="18"/>
        <w:szCs w:val="18"/>
        <w:lang w:val="sk-SK"/>
      </w:rPr>
      <w:t>Príloha č. 2 k notifikácii o zmene, ev. č.: 2016/03814-Z1A, 2018/01192-Z1B</w:t>
    </w:r>
  </w:p>
  <w:p w14:paraId="4967F186" w14:textId="77777777" w:rsidR="0091597A" w:rsidRPr="00B13562" w:rsidRDefault="0091597A">
    <w:pPr>
      <w:pStyle w:val="Hlavika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3593" w14:textId="77777777" w:rsidR="00A55259" w:rsidRDefault="00A55259">
    <w:pPr>
      <w:pStyle w:val="Hlavika"/>
      <w:pBdr>
        <w:bottom w:val="thinThickSmallGap" w:sz="12" w:space="1" w:color="auto"/>
      </w:pBd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t>Levetiracetam oral solution 100mg/ml</w:t>
    </w:r>
    <w:r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1EC9"/>
    <w:multiLevelType w:val="hybridMultilevel"/>
    <w:tmpl w:val="5E068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BF0AF0"/>
    <w:multiLevelType w:val="hybridMultilevel"/>
    <w:tmpl w:val="1C069742"/>
    <w:lvl w:ilvl="0" w:tplc="359C03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57714"/>
    <w:multiLevelType w:val="hybridMultilevel"/>
    <w:tmpl w:val="9E523246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C84"/>
    <w:rsid w:val="00000E23"/>
    <w:rsid w:val="000224E1"/>
    <w:rsid w:val="00097607"/>
    <w:rsid w:val="000B04FA"/>
    <w:rsid w:val="000E7ABD"/>
    <w:rsid w:val="00107C72"/>
    <w:rsid w:val="0013380E"/>
    <w:rsid w:val="00133E0D"/>
    <w:rsid w:val="001B705F"/>
    <w:rsid w:val="00225170"/>
    <w:rsid w:val="0022692B"/>
    <w:rsid w:val="00254616"/>
    <w:rsid w:val="002B400E"/>
    <w:rsid w:val="002B5AA2"/>
    <w:rsid w:val="002B7D94"/>
    <w:rsid w:val="002C5A11"/>
    <w:rsid w:val="00362EAE"/>
    <w:rsid w:val="00365658"/>
    <w:rsid w:val="00370D1E"/>
    <w:rsid w:val="003D13FC"/>
    <w:rsid w:val="003D19F9"/>
    <w:rsid w:val="003D2CEC"/>
    <w:rsid w:val="003D6C84"/>
    <w:rsid w:val="003D7EA7"/>
    <w:rsid w:val="00443541"/>
    <w:rsid w:val="004851BA"/>
    <w:rsid w:val="004A13E1"/>
    <w:rsid w:val="004A3F6F"/>
    <w:rsid w:val="004A75C1"/>
    <w:rsid w:val="00583623"/>
    <w:rsid w:val="00594CDD"/>
    <w:rsid w:val="005A6AA0"/>
    <w:rsid w:val="005B48A1"/>
    <w:rsid w:val="005C2919"/>
    <w:rsid w:val="00650CE9"/>
    <w:rsid w:val="006778A7"/>
    <w:rsid w:val="0068071E"/>
    <w:rsid w:val="0068785B"/>
    <w:rsid w:val="00694598"/>
    <w:rsid w:val="006A68BA"/>
    <w:rsid w:val="006A766B"/>
    <w:rsid w:val="006D2D1F"/>
    <w:rsid w:val="006E6C20"/>
    <w:rsid w:val="007333C9"/>
    <w:rsid w:val="00761121"/>
    <w:rsid w:val="0076340B"/>
    <w:rsid w:val="007A45A5"/>
    <w:rsid w:val="007F3657"/>
    <w:rsid w:val="00830F34"/>
    <w:rsid w:val="00853A2C"/>
    <w:rsid w:val="008A0213"/>
    <w:rsid w:val="008A404E"/>
    <w:rsid w:val="008A5FF4"/>
    <w:rsid w:val="008C7A93"/>
    <w:rsid w:val="008D0406"/>
    <w:rsid w:val="008E0259"/>
    <w:rsid w:val="0091597A"/>
    <w:rsid w:val="00915E5E"/>
    <w:rsid w:val="0098286A"/>
    <w:rsid w:val="009A0A52"/>
    <w:rsid w:val="009A4A13"/>
    <w:rsid w:val="00A5123C"/>
    <w:rsid w:val="00A55259"/>
    <w:rsid w:val="00A56EE7"/>
    <w:rsid w:val="00A6420D"/>
    <w:rsid w:val="00A70BBC"/>
    <w:rsid w:val="00AC36BF"/>
    <w:rsid w:val="00AD3A36"/>
    <w:rsid w:val="00AF2DF3"/>
    <w:rsid w:val="00B13562"/>
    <w:rsid w:val="00B24A98"/>
    <w:rsid w:val="00B64D74"/>
    <w:rsid w:val="00B727E2"/>
    <w:rsid w:val="00B92AEA"/>
    <w:rsid w:val="00B9636F"/>
    <w:rsid w:val="00BA14BD"/>
    <w:rsid w:val="00BC74FE"/>
    <w:rsid w:val="00C12F5F"/>
    <w:rsid w:val="00C24D5B"/>
    <w:rsid w:val="00C475EA"/>
    <w:rsid w:val="00C70605"/>
    <w:rsid w:val="00C863A6"/>
    <w:rsid w:val="00D5542A"/>
    <w:rsid w:val="00D60157"/>
    <w:rsid w:val="00D64A0D"/>
    <w:rsid w:val="00D85AE3"/>
    <w:rsid w:val="00DC22AF"/>
    <w:rsid w:val="00DC371A"/>
    <w:rsid w:val="00E11F9D"/>
    <w:rsid w:val="00E20A8B"/>
    <w:rsid w:val="00E37FDB"/>
    <w:rsid w:val="00E73862"/>
    <w:rsid w:val="00ED5B3A"/>
    <w:rsid w:val="00F276C5"/>
    <w:rsid w:val="00F66F79"/>
    <w:rsid w:val="00F71049"/>
    <w:rsid w:val="00F81B5B"/>
    <w:rsid w:val="00FA5859"/>
    <w:rsid w:val="00FB3864"/>
    <w:rsid w:val="00FC33E9"/>
    <w:rsid w:val="00FD6727"/>
    <w:rsid w:val="00FD7D21"/>
    <w:rsid w:val="00FE4E2A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E56DF"/>
  <w15:docId w15:val="{1671AC26-33BB-47B8-8B80-1C573A3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6C84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475EA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sk-SK"/>
    </w:rPr>
  </w:style>
  <w:style w:type="paragraph" w:styleId="Nadpis2">
    <w:name w:val="heading 2"/>
    <w:basedOn w:val="Normlny"/>
    <w:link w:val="Nadpis2Char"/>
    <w:uiPriority w:val="99"/>
    <w:qFormat/>
    <w:rsid w:val="00C475EA"/>
    <w:pPr>
      <w:spacing w:before="127" w:line="240" w:lineRule="auto"/>
      <w:ind w:left="860" w:hanging="720"/>
      <w:outlineLvl w:val="1"/>
    </w:pPr>
    <w:rPr>
      <w:rFonts w:ascii="Verdana" w:hAnsi="Verdana"/>
      <w:b/>
      <w:bCs/>
      <w:sz w:val="32"/>
      <w:szCs w:val="32"/>
      <w:lang w:val="en-US"/>
    </w:rPr>
  </w:style>
  <w:style w:type="paragraph" w:styleId="Nadpis4">
    <w:name w:val="heading 4"/>
    <w:basedOn w:val="Normlny"/>
    <w:link w:val="Nadpis4Char"/>
    <w:uiPriority w:val="99"/>
    <w:qFormat/>
    <w:rsid w:val="00C475EA"/>
    <w:pPr>
      <w:spacing w:line="240" w:lineRule="auto"/>
      <w:ind w:left="860" w:hanging="720"/>
      <w:outlineLvl w:val="3"/>
    </w:pPr>
    <w:rPr>
      <w:rFonts w:ascii="Verdana" w:hAnsi="Verdana"/>
      <w:b/>
      <w:bCs/>
      <w:sz w:val="24"/>
      <w:szCs w:val="24"/>
      <w:lang w:val="en-US"/>
    </w:rPr>
  </w:style>
  <w:style w:type="paragraph" w:styleId="Nadpis7">
    <w:name w:val="heading 7"/>
    <w:basedOn w:val="Normlny"/>
    <w:link w:val="Nadpis7Char"/>
    <w:uiPriority w:val="99"/>
    <w:qFormat/>
    <w:rsid w:val="00C475EA"/>
    <w:pPr>
      <w:spacing w:line="240" w:lineRule="auto"/>
      <w:ind w:left="1580"/>
      <w:outlineLvl w:val="6"/>
    </w:pPr>
    <w:rPr>
      <w:rFonts w:ascii="Verdana" w:hAnsi="Verdana"/>
      <w:b/>
      <w:bCs/>
      <w:sz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475EA"/>
    <w:rPr>
      <w:rFonts w:ascii="Cambria" w:hAnsi="Cambria"/>
      <w:b/>
      <w:color w:val="365F91"/>
      <w:sz w:val="28"/>
    </w:rPr>
  </w:style>
  <w:style w:type="character" w:customStyle="1" w:styleId="Nadpis2Char">
    <w:name w:val="Nadpis 2 Char"/>
    <w:link w:val="Nadpis2"/>
    <w:uiPriority w:val="99"/>
    <w:locked/>
    <w:rsid w:val="00C475EA"/>
    <w:rPr>
      <w:rFonts w:ascii="Verdana" w:hAnsi="Verdana"/>
      <w:b/>
      <w:sz w:val="32"/>
      <w:lang w:val="en-US"/>
    </w:rPr>
  </w:style>
  <w:style w:type="character" w:customStyle="1" w:styleId="Nadpis4Char">
    <w:name w:val="Nadpis 4 Char"/>
    <w:link w:val="Nadpis4"/>
    <w:uiPriority w:val="99"/>
    <w:locked/>
    <w:rsid w:val="00C475EA"/>
    <w:rPr>
      <w:rFonts w:ascii="Verdana" w:hAnsi="Verdana"/>
      <w:b/>
      <w:sz w:val="24"/>
      <w:lang w:val="en-US"/>
    </w:rPr>
  </w:style>
  <w:style w:type="character" w:customStyle="1" w:styleId="Nadpis7Char">
    <w:name w:val="Nadpis 7 Char"/>
    <w:link w:val="Nadpis7"/>
    <w:uiPriority w:val="99"/>
    <w:locked/>
    <w:rsid w:val="00C475EA"/>
    <w:rPr>
      <w:rFonts w:ascii="Verdana" w:hAnsi="Verdana"/>
      <w:b/>
      <w:sz w:val="20"/>
      <w:lang w:val="en-US"/>
    </w:rPr>
  </w:style>
  <w:style w:type="paragraph" w:styleId="Obsah1">
    <w:name w:val="toc 1"/>
    <w:basedOn w:val="Normlny"/>
    <w:next w:val="Normlny"/>
    <w:autoRedefine/>
    <w:uiPriority w:val="99"/>
    <w:rsid w:val="00C475EA"/>
    <w:pPr>
      <w:spacing w:after="100"/>
    </w:pPr>
  </w:style>
  <w:style w:type="paragraph" w:styleId="Obsah2">
    <w:name w:val="toc 2"/>
    <w:basedOn w:val="Normlny"/>
    <w:next w:val="Normlny"/>
    <w:autoRedefine/>
    <w:uiPriority w:val="99"/>
    <w:semiHidden/>
    <w:rsid w:val="00C475EA"/>
    <w:pPr>
      <w:spacing w:after="100"/>
      <w:ind w:left="220"/>
    </w:pPr>
    <w:rPr>
      <w:lang w:eastAsia="cs-CZ"/>
    </w:rPr>
  </w:style>
  <w:style w:type="paragraph" w:styleId="Obsah3">
    <w:name w:val="toc 3"/>
    <w:basedOn w:val="Normlny"/>
    <w:next w:val="Normlny"/>
    <w:autoRedefine/>
    <w:uiPriority w:val="99"/>
    <w:rsid w:val="00C475EA"/>
    <w:pPr>
      <w:spacing w:after="100"/>
      <w:ind w:left="440"/>
    </w:pPr>
  </w:style>
  <w:style w:type="paragraph" w:styleId="Zkladntext">
    <w:name w:val="Body Text"/>
    <w:basedOn w:val="Normlny"/>
    <w:link w:val="ZkladntextChar"/>
    <w:uiPriority w:val="99"/>
    <w:rsid w:val="00C475EA"/>
    <w:pPr>
      <w:spacing w:line="240" w:lineRule="auto"/>
      <w:ind w:left="2300"/>
    </w:pPr>
    <w:rPr>
      <w:rFonts w:ascii="Verdana" w:hAnsi="Verdana"/>
      <w:sz w:val="20"/>
      <w:lang w:val="en-US"/>
    </w:rPr>
  </w:style>
  <w:style w:type="character" w:customStyle="1" w:styleId="ZkladntextChar">
    <w:name w:val="Základný text Char"/>
    <w:link w:val="Zkladntext"/>
    <w:uiPriority w:val="99"/>
    <w:locked/>
    <w:rsid w:val="00C475EA"/>
    <w:rPr>
      <w:rFonts w:ascii="Verdana" w:hAnsi="Verdana"/>
      <w:sz w:val="20"/>
      <w:lang w:val="en-US"/>
    </w:rPr>
  </w:style>
  <w:style w:type="paragraph" w:styleId="Bezriadkovania">
    <w:name w:val="No Spacing"/>
    <w:uiPriority w:val="99"/>
    <w:qFormat/>
    <w:rsid w:val="00C475EA"/>
    <w:pPr>
      <w:widowControl w:val="0"/>
    </w:pPr>
    <w:rPr>
      <w:sz w:val="22"/>
      <w:szCs w:val="22"/>
      <w:lang w:val="cs-CZ" w:eastAsia="en-US"/>
    </w:rPr>
  </w:style>
  <w:style w:type="paragraph" w:styleId="Odsekzoznamu">
    <w:name w:val="List Paragraph"/>
    <w:basedOn w:val="Normlny"/>
    <w:uiPriority w:val="99"/>
    <w:qFormat/>
    <w:rsid w:val="00C475EA"/>
    <w:pPr>
      <w:ind w:left="720"/>
      <w:contextualSpacing/>
    </w:pPr>
  </w:style>
  <w:style w:type="paragraph" w:styleId="Hlavikaobsahu">
    <w:name w:val="TOC Heading"/>
    <w:basedOn w:val="Nadpis1"/>
    <w:next w:val="Normlny"/>
    <w:uiPriority w:val="99"/>
    <w:qFormat/>
    <w:rsid w:val="00C475EA"/>
    <w:pPr>
      <w:outlineLvl w:val="9"/>
    </w:pPr>
    <w:rPr>
      <w:lang w:eastAsia="cs-CZ"/>
    </w:rPr>
  </w:style>
  <w:style w:type="paragraph" w:styleId="Hlavika">
    <w:name w:val="header"/>
    <w:basedOn w:val="Normlny"/>
    <w:link w:val="HlavikaChar"/>
    <w:rsid w:val="003D6C84"/>
    <w:pPr>
      <w:tabs>
        <w:tab w:val="center" w:pos="4153"/>
        <w:tab w:val="right" w:pos="8306"/>
      </w:tabs>
      <w:spacing w:line="240" w:lineRule="auto"/>
    </w:pPr>
    <w:rPr>
      <w:rFonts w:ascii="Helvetica" w:eastAsia="Calibri" w:hAnsi="Helvetica"/>
      <w:sz w:val="20"/>
    </w:rPr>
  </w:style>
  <w:style w:type="character" w:customStyle="1" w:styleId="HlavikaChar">
    <w:name w:val="Hlavička Char"/>
    <w:link w:val="Hlavika"/>
    <w:locked/>
    <w:rsid w:val="003D6C84"/>
    <w:rPr>
      <w:rFonts w:ascii="Helvetica" w:hAnsi="Helvetica"/>
      <w:sz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3D6C84"/>
    <w:pPr>
      <w:tabs>
        <w:tab w:val="center" w:pos="4536"/>
        <w:tab w:val="center" w:pos="8930"/>
      </w:tabs>
      <w:spacing w:line="240" w:lineRule="auto"/>
    </w:pPr>
    <w:rPr>
      <w:rFonts w:ascii="Helvetica" w:eastAsia="Calibri" w:hAnsi="Helvetica"/>
      <w:sz w:val="20"/>
    </w:rPr>
  </w:style>
  <w:style w:type="character" w:customStyle="1" w:styleId="PtaChar">
    <w:name w:val="Päta Char"/>
    <w:link w:val="Pta"/>
    <w:uiPriority w:val="99"/>
    <w:locked/>
    <w:rsid w:val="003D6C84"/>
    <w:rPr>
      <w:rFonts w:ascii="Helvetica" w:hAnsi="Helvetica"/>
      <w:sz w:val="20"/>
      <w:lang w:val="en-GB" w:eastAsia="sk-SK"/>
    </w:rPr>
  </w:style>
  <w:style w:type="paragraph" w:customStyle="1" w:styleId="ListParagraph1">
    <w:name w:val="List Paragraph1"/>
    <w:basedOn w:val="Normlny"/>
    <w:uiPriority w:val="99"/>
    <w:rsid w:val="003D6C84"/>
    <w:pPr>
      <w:ind w:left="720"/>
      <w:contextualSpacing/>
    </w:pPr>
  </w:style>
  <w:style w:type="character" w:styleId="Hypertextovprepojenie">
    <w:name w:val="Hyperlink"/>
    <w:uiPriority w:val="99"/>
    <w:rsid w:val="003D7EA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DC371A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371A"/>
    <w:rPr>
      <w:rFonts w:ascii="Tahoma" w:hAnsi="Tahoma"/>
      <w:sz w:val="16"/>
      <w:lang w:val="en-GB" w:eastAsia="sk-SK"/>
    </w:rPr>
  </w:style>
  <w:style w:type="paragraph" w:styleId="Revzia">
    <w:name w:val="Revision"/>
    <w:hidden/>
    <w:uiPriority w:val="99"/>
    <w:semiHidden/>
    <w:rsid w:val="002B5AA2"/>
    <w:rPr>
      <w:rFonts w:ascii="Times New Roman" w:eastAsia="Times New Roman" w:hAnsi="Times New Roman"/>
      <w:sz w:val="22"/>
      <w:lang w:val="en-GB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BA14BD"/>
    <w:pPr>
      <w:spacing w:line="240" w:lineRule="auto"/>
    </w:pPr>
    <w:rPr>
      <w:rFonts w:ascii="Consolas" w:hAnsi="Consolas"/>
      <w:sz w:val="20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BA14BD"/>
    <w:rPr>
      <w:rFonts w:ascii="Consolas" w:hAnsi="Consolas" w:cs="Times New Roman"/>
      <w:lang w:val="en-GB" w:eastAsia="sk-SK"/>
    </w:rPr>
  </w:style>
  <w:style w:type="character" w:styleId="Odkaznakomentr">
    <w:name w:val="annotation reference"/>
    <w:uiPriority w:val="99"/>
    <w:semiHidden/>
    <w:unhideWhenUsed/>
    <w:rsid w:val="00F710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1049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F71049"/>
    <w:rPr>
      <w:rFonts w:ascii="Times New Roman" w:eastAsia="Times New Roman" w:hAnsi="Times New Roman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104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71049"/>
    <w:rPr>
      <w:rFonts w:ascii="Times New Roman" w:eastAsia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HP</Company>
  <LinksUpToDate>false</LinksUpToDate>
  <CharactersWithSpaces>24635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subject/>
  <dc:creator>Translators &amp; Transcreators Network</dc:creator>
  <cp:keywords/>
  <dc:description/>
  <cp:lastModifiedBy>Kuziaková, Marianna</cp:lastModifiedBy>
  <cp:revision>2</cp:revision>
  <dcterms:created xsi:type="dcterms:W3CDTF">2019-02-04T13:42:00Z</dcterms:created>
  <dcterms:modified xsi:type="dcterms:W3CDTF">2019-02-04T13:42:00Z</dcterms:modified>
</cp:coreProperties>
</file>