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D6AE4" w14:textId="77777777" w:rsidR="00D16EA1" w:rsidRPr="00430DA7" w:rsidRDefault="00D16EA1" w:rsidP="00D16EA1">
      <w:pPr>
        <w:pStyle w:val="SPCaPILhlavika"/>
        <w:spacing w:before="0" w:after="0"/>
        <w:rPr>
          <w:lang w:val="sk-SK"/>
        </w:rPr>
      </w:pPr>
      <w:bookmarkStart w:id="0" w:name="_GoBack"/>
      <w:bookmarkEnd w:id="0"/>
    </w:p>
    <w:p w14:paraId="69CA919B" w14:textId="77777777" w:rsidR="00D16EA1" w:rsidRDefault="00D16EA1" w:rsidP="00D16EA1">
      <w:pPr>
        <w:pStyle w:val="SPCaPILhlavika"/>
        <w:spacing w:before="0" w:after="0"/>
        <w:rPr>
          <w:lang w:val="sk-SK"/>
        </w:rPr>
      </w:pPr>
    </w:p>
    <w:p w14:paraId="1B40CCEA" w14:textId="77777777" w:rsidR="00615A93" w:rsidRDefault="00615A93" w:rsidP="00D16EA1">
      <w:pPr>
        <w:pStyle w:val="SPCaPILhlavika"/>
        <w:spacing w:before="0" w:after="0"/>
        <w:rPr>
          <w:lang w:val="sk-SK"/>
        </w:rPr>
      </w:pPr>
    </w:p>
    <w:p w14:paraId="2001EC2D" w14:textId="77777777" w:rsidR="00615A93" w:rsidRPr="007C1581" w:rsidRDefault="00615A93" w:rsidP="00D16EA1">
      <w:pPr>
        <w:pStyle w:val="SPCaPILhlavika"/>
        <w:spacing w:before="0" w:after="0"/>
        <w:rPr>
          <w:lang w:val="sk-SK"/>
        </w:rPr>
      </w:pPr>
    </w:p>
    <w:p w14:paraId="04CE328C" w14:textId="77777777" w:rsidR="00E76947" w:rsidRPr="007C1581" w:rsidRDefault="006F5ADE" w:rsidP="00D16EA1">
      <w:pPr>
        <w:pStyle w:val="SPCaPILhlavika"/>
        <w:spacing w:before="0" w:after="0"/>
        <w:rPr>
          <w:lang w:val="sk-SK"/>
        </w:rPr>
      </w:pPr>
      <w:r w:rsidRPr="007C1581">
        <w:rPr>
          <w:lang w:val="sk-SK"/>
        </w:rPr>
        <w:t>SÚHRN CHARAKTERISTICKÝCH VLASTNOSTÍ LIEKU</w:t>
      </w:r>
    </w:p>
    <w:p w14:paraId="7575E12C" w14:textId="77777777" w:rsidR="00D16EA1" w:rsidRPr="007C1581" w:rsidRDefault="00D16EA1" w:rsidP="00D16EA1">
      <w:pPr>
        <w:pStyle w:val="SPCaPILhlavika"/>
        <w:spacing w:before="0" w:after="0"/>
        <w:jc w:val="left"/>
        <w:rPr>
          <w:lang w:val="sk-SK"/>
        </w:rPr>
      </w:pPr>
    </w:p>
    <w:p w14:paraId="464C5DA7" w14:textId="77777777" w:rsidR="00D16EA1" w:rsidRDefault="00D16EA1" w:rsidP="00D16EA1">
      <w:pPr>
        <w:pStyle w:val="SPCaPILhlavika"/>
        <w:spacing w:before="0" w:after="0"/>
        <w:jc w:val="left"/>
        <w:rPr>
          <w:lang w:val="sk-SK"/>
        </w:rPr>
      </w:pPr>
    </w:p>
    <w:p w14:paraId="7AB1B57E" w14:textId="77777777" w:rsidR="00615A93" w:rsidRDefault="00615A93" w:rsidP="00D16EA1">
      <w:pPr>
        <w:pStyle w:val="SPCaPILhlavika"/>
        <w:spacing w:before="0" w:after="0"/>
        <w:jc w:val="left"/>
        <w:rPr>
          <w:lang w:val="sk-SK"/>
        </w:rPr>
      </w:pPr>
    </w:p>
    <w:p w14:paraId="0E8C9D36" w14:textId="77777777" w:rsidR="00615A93" w:rsidRPr="007C1581" w:rsidRDefault="00615A93" w:rsidP="00D16EA1">
      <w:pPr>
        <w:pStyle w:val="SPCaPILhlavika"/>
        <w:spacing w:before="0" w:after="0"/>
        <w:jc w:val="left"/>
        <w:rPr>
          <w:lang w:val="sk-SK"/>
        </w:rPr>
      </w:pPr>
    </w:p>
    <w:p w14:paraId="4377CC9A" w14:textId="77777777" w:rsidR="005D0D77" w:rsidRPr="000145FD" w:rsidRDefault="005D0D77" w:rsidP="000145FD">
      <w:pPr>
        <w:pStyle w:val="Styl1"/>
      </w:pPr>
      <w:r w:rsidRPr="000145FD">
        <w:t>NÁZOV LIEKU</w:t>
      </w:r>
    </w:p>
    <w:p w14:paraId="65F0FB52" w14:textId="77777777" w:rsidR="00D16EA1" w:rsidRPr="007C1581" w:rsidRDefault="00D16EA1" w:rsidP="0071569C">
      <w:pPr>
        <w:pStyle w:val="Normlndobloku"/>
      </w:pPr>
    </w:p>
    <w:p w14:paraId="68E66EA6" w14:textId="77777777" w:rsidR="00880E16" w:rsidRPr="007C1581" w:rsidRDefault="00880E16" w:rsidP="0071569C">
      <w:pPr>
        <w:pStyle w:val="Normlndobloku"/>
      </w:pPr>
      <w:r w:rsidRPr="007C1581">
        <w:t>AXETINE 75</w:t>
      </w:r>
      <w:r w:rsidR="00994936" w:rsidRPr="007C1581">
        <w:t>0 </w:t>
      </w:r>
      <w:r w:rsidRPr="007C1581">
        <w:t>mg</w:t>
      </w:r>
    </w:p>
    <w:p w14:paraId="6B2FCBCA" w14:textId="77777777" w:rsidR="005D0D77" w:rsidRPr="007C1581" w:rsidRDefault="00587216" w:rsidP="0071569C">
      <w:pPr>
        <w:pStyle w:val="Normlndobloku"/>
      </w:pPr>
      <w:r w:rsidRPr="007C1581">
        <w:t>AXETINE</w:t>
      </w:r>
      <w:r w:rsidR="005D0D77" w:rsidRPr="007C1581">
        <w:t xml:space="preserve"> 1,</w:t>
      </w:r>
      <w:r w:rsidR="00994936" w:rsidRPr="007C1581">
        <w:t>5 </w:t>
      </w:r>
      <w:r w:rsidR="005D0D77" w:rsidRPr="007C1581">
        <w:t>g</w:t>
      </w:r>
    </w:p>
    <w:p w14:paraId="23A9FD65" w14:textId="45256400" w:rsidR="00D16EA1" w:rsidRPr="007C1581" w:rsidRDefault="00D16EA1" w:rsidP="0071569C">
      <w:pPr>
        <w:pStyle w:val="Normlndobloku"/>
      </w:pPr>
      <w:r w:rsidRPr="007C1581">
        <w:t>p</w:t>
      </w:r>
      <w:r w:rsidR="0035164E" w:rsidRPr="007C1581">
        <w:t>rášok na injekčný</w:t>
      </w:r>
      <w:r w:rsidR="0071569C">
        <w:t xml:space="preserve"> alebo </w:t>
      </w:r>
      <w:r w:rsidR="0035164E" w:rsidRPr="007C1581">
        <w:t>infúzny roztok</w:t>
      </w:r>
    </w:p>
    <w:p w14:paraId="4B6ACCA7" w14:textId="77777777" w:rsidR="00D16EA1" w:rsidRDefault="00D16EA1" w:rsidP="0071569C">
      <w:pPr>
        <w:pStyle w:val="Normlndobloku"/>
      </w:pPr>
    </w:p>
    <w:p w14:paraId="5B3A0F03" w14:textId="77777777" w:rsidR="00445774" w:rsidRPr="002E0B42" w:rsidRDefault="00445774" w:rsidP="0071569C">
      <w:pPr>
        <w:pStyle w:val="Normlndobloku"/>
      </w:pPr>
    </w:p>
    <w:p w14:paraId="5D5ED8F4" w14:textId="77777777" w:rsidR="005D0D77" w:rsidRPr="000145FD" w:rsidRDefault="005D0D77" w:rsidP="000145FD">
      <w:pPr>
        <w:pStyle w:val="Styl1"/>
      </w:pPr>
      <w:r w:rsidRPr="000145FD">
        <w:t>KVALIT</w:t>
      </w:r>
      <w:r w:rsidR="00BE77C8" w:rsidRPr="000145FD">
        <w:t>ATÍVNE</w:t>
      </w:r>
      <w:r w:rsidR="00021F6F" w:rsidRPr="000145FD">
        <w:t xml:space="preserve"> a </w:t>
      </w:r>
      <w:r w:rsidR="00BE77C8" w:rsidRPr="000145FD">
        <w:t>KVANTITATÍVNE ZLOŽENIE</w:t>
      </w:r>
    </w:p>
    <w:p w14:paraId="1AB5F3F1" w14:textId="77777777" w:rsidR="00D16EA1" w:rsidRPr="002E0B42" w:rsidRDefault="00D16EA1" w:rsidP="0071569C">
      <w:pPr>
        <w:pStyle w:val="Normlndobloku"/>
      </w:pPr>
    </w:p>
    <w:p w14:paraId="515C1C39" w14:textId="77777777" w:rsidR="0035164E" w:rsidRPr="007C1581" w:rsidRDefault="0035164E" w:rsidP="0071569C">
      <w:pPr>
        <w:pStyle w:val="Normlndobloku"/>
      </w:pPr>
      <w:r w:rsidRPr="007C1581">
        <w:t>AXETINE 75</w:t>
      </w:r>
      <w:r w:rsidR="00994936" w:rsidRPr="007C1581">
        <w:t>0 </w:t>
      </w:r>
      <w:r w:rsidRPr="007C1581">
        <w:t>mg: Jedna injekčná liekovka obsahuje 75</w:t>
      </w:r>
      <w:r w:rsidR="00994936" w:rsidRPr="007C1581">
        <w:t>0 </w:t>
      </w:r>
      <w:r w:rsidRPr="007C1581">
        <w:t xml:space="preserve">mg </w:t>
      </w:r>
      <w:r w:rsidR="00C27623" w:rsidRPr="007C1581">
        <w:t xml:space="preserve">cefuroxímu, </w:t>
      </w:r>
      <w:r w:rsidRPr="007C1581">
        <w:t xml:space="preserve">ako </w:t>
      </w:r>
      <w:r w:rsidR="00C27623" w:rsidRPr="007C1581">
        <w:t>sodnú soľ cefuroxímu</w:t>
      </w:r>
      <w:r w:rsidRPr="007C1581">
        <w:t>.</w:t>
      </w:r>
    </w:p>
    <w:p w14:paraId="55B38EF9" w14:textId="77777777" w:rsidR="0035164E" w:rsidRPr="007C1581" w:rsidRDefault="0035164E" w:rsidP="0071569C">
      <w:pPr>
        <w:pStyle w:val="Normlndobloku"/>
      </w:pPr>
      <w:r w:rsidRPr="007C1581">
        <w:t>AXETINE 1,</w:t>
      </w:r>
      <w:r w:rsidR="00994936" w:rsidRPr="007C1581">
        <w:t>5 </w:t>
      </w:r>
      <w:r w:rsidRPr="007C1581">
        <w:t>g: Jedna injekčná liekovka obsahuje 1,</w:t>
      </w:r>
      <w:r w:rsidR="00994936" w:rsidRPr="007C1581">
        <w:t>5 </w:t>
      </w:r>
      <w:r w:rsidRPr="007C1581">
        <w:t xml:space="preserve">g </w:t>
      </w:r>
      <w:r w:rsidR="00C27623" w:rsidRPr="007C1581">
        <w:t xml:space="preserve">cefuroxímu, </w:t>
      </w:r>
      <w:r w:rsidRPr="007C1581">
        <w:t xml:space="preserve">ako </w:t>
      </w:r>
      <w:r w:rsidR="00C27623" w:rsidRPr="007C1581">
        <w:t>sodnú soľ cefuroxímu</w:t>
      </w:r>
      <w:r w:rsidRPr="007C1581">
        <w:t>.</w:t>
      </w:r>
    </w:p>
    <w:p w14:paraId="6480BF3F" w14:textId="77777777" w:rsidR="009F0BE1" w:rsidRPr="007C1581" w:rsidRDefault="009F0BE1" w:rsidP="0071569C">
      <w:pPr>
        <w:pStyle w:val="Normlndobloku"/>
      </w:pPr>
      <w:r w:rsidRPr="007C1581">
        <w:t xml:space="preserve">AXETINE 750 mg: Jedna injekčná liekovka obsahuje </w:t>
      </w:r>
      <w:r>
        <w:t>42</w:t>
      </w:r>
      <w:r w:rsidRPr="007C1581">
        <w:t> mg sodíka.</w:t>
      </w:r>
    </w:p>
    <w:p w14:paraId="3A35B718" w14:textId="77777777" w:rsidR="009F0BE1" w:rsidRPr="007C1581" w:rsidRDefault="009F0BE1" w:rsidP="0071569C">
      <w:pPr>
        <w:pStyle w:val="Normlndobloku"/>
      </w:pPr>
      <w:r w:rsidRPr="007C1581">
        <w:t xml:space="preserve">AXETINE 1,5 g: Jedna injekčná liekovka obsahuje </w:t>
      </w:r>
      <w:r>
        <w:t>83</w:t>
      </w:r>
      <w:r w:rsidRPr="007C1581">
        <w:t xml:space="preserve"> mg sodíka.</w:t>
      </w:r>
    </w:p>
    <w:p w14:paraId="39BDDA14" w14:textId="77777777" w:rsidR="009F0BE1" w:rsidRDefault="009F0BE1" w:rsidP="0071569C">
      <w:pPr>
        <w:pStyle w:val="Normlndobloku"/>
      </w:pPr>
    </w:p>
    <w:p w14:paraId="4363FA3F" w14:textId="77777777" w:rsidR="002E0B42" w:rsidRPr="002E0B42" w:rsidRDefault="002E0B42" w:rsidP="0071569C">
      <w:pPr>
        <w:pStyle w:val="Normlndobloku"/>
      </w:pPr>
    </w:p>
    <w:p w14:paraId="6D841994" w14:textId="77777777" w:rsidR="005D0D77" w:rsidRPr="000145FD" w:rsidRDefault="005D0D77" w:rsidP="000145FD">
      <w:pPr>
        <w:pStyle w:val="Styl1"/>
      </w:pPr>
      <w:r w:rsidRPr="000145FD">
        <w:t>LIEKOVÁ FORMA</w:t>
      </w:r>
    </w:p>
    <w:p w14:paraId="7FD622AC" w14:textId="77777777" w:rsidR="00D16EA1" w:rsidRPr="007C1581" w:rsidRDefault="00D16EA1" w:rsidP="0071569C">
      <w:pPr>
        <w:pStyle w:val="Normlndobloku"/>
      </w:pPr>
    </w:p>
    <w:p w14:paraId="54FD0D81" w14:textId="467A1FE7" w:rsidR="0035164E" w:rsidRPr="007C1581" w:rsidRDefault="008D12E7" w:rsidP="0071569C">
      <w:pPr>
        <w:pStyle w:val="Normlndobloku"/>
      </w:pPr>
      <w:r w:rsidRPr="007C1581">
        <w:t>p</w:t>
      </w:r>
      <w:r w:rsidR="0035164E" w:rsidRPr="007C1581">
        <w:t>rášok na injekčný</w:t>
      </w:r>
      <w:r w:rsidR="0071569C">
        <w:t xml:space="preserve"> alebo </w:t>
      </w:r>
      <w:r w:rsidR="0035164E" w:rsidRPr="007C1581">
        <w:t>infúzny roztok</w:t>
      </w:r>
    </w:p>
    <w:p w14:paraId="0AFBF2CC" w14:textId="77777777" w:rsidR="00D16EA1" w:rsidRPr="007C1581" w:rsidRDefault="002E0B42" w:rsidP="0071569C">
      <w:pPr>
        <w:pStyle w:val="Normlndobloku"/>
      </w:pPr>
      <w:r>
        <w:t>b</w:t>
      </w:r>
      <w:r w:rsidR="00F44CA2" w:rsidRPr="007C1581">
        <w:t>iely alebo takmer biely prášok</w:t>
      </w:r>
    </w:p>
    <w:p w14:paraId="7E9E22EB" w14:textId="77777777" w:rsidR="004B71EE" w:rsidRDefault="004B71EE" w:rsidP="0071569C">
      <w:pPr>
        <w:pStyle w:val="Normlndobloku"/>
      </w:pPr>
    </w:p>
    <w:p w14:paraId="13AE9506" w14:textId="77777777" w:rsidR="002E0B42" w:rsidRPr="002E0B42" w:rsidRDefault="002E0B42" w:rsidP="0071569C">
      <w:pPr>
        <w:pStyle w:val="Normlndobloku"/>
      </w:pPr>
    </w:p>
    <w:p w14:paraId="2B97C034" w14:textId="77777777" w:rsidR="005D0D77" w:rsidRPr="000145FD" w:rsidRDefault="005D0D77" w:rsidP="000145FD">
      <w:pPr>
        <w:pStyle w:val="Styl1"/>
      </w:pPr>
      <w:r w:rsidRPr="000145FD">
        <w:t>KLINICKÉ ÚDAJE</w:t>
      </w:r>
    </w:p>
    <w:p w14:paraId="77B54721" w14:textId="77777777" w:rsidR="00D16EA1" w:rsidRPr="002E0B42" w:rsidRDefault="00D16EA1" w:rsidP="0071569C">
      <w:pPr>
        <w:pStyle w:val="Normlndobloku"/>
      </w:pPr>
    </w:p>
    <w:p w14:paraId="0076BEB2" w14:textId="77777777" w:rsidR="005D0D77" w:rsidRPr="007C1581" w:rsidRDefault="005D0D77" w:rsidP="00D16EA1">
      <w:pPr>
        <w:pStyle w:val="Styl2"/>
      </w:pPr>
      <w:r w:rsidRPr="007C1581">
        <w:t>Terapeutické indikácie</w:t>
      </w:r>
    </w:p>
    <w:p w14:paraId="667E4FF6" w14:textId="77777777" w:rsidR="00D16EA1" w:rsidRPr="007C1581" w:rsidRDefault="00D16EA1" w:rsidP="0071569C">
      <w:pPr>
        <w:pStyle w:val="Normlndobloku"/>
      </w:pPr>
    </w:p>
    <w:p w14:paraId="16CE6B09" w14:textId="77777777" w:rsidR="008E0BBE" w:rsidRPr="007C1581" w:rsidRDefault="008E0BBE" w:rsidP="0071569C">
      <w:pPr>
        <w:pStyle w:val="Normlndobloku"/>
      </w:pPr>
      <w:r w:rsidRPr="007C1581">
        <w:t>AXETINE je indikovaný na liečbu nasledujúcich infekcií</w:t>
      </w:r>
      <w:r w:rsidR="00021F6F" w:rsidRPr="007C1581">
        <w:t xml:space="preserve"> u </w:t>
      </w:r>
      <w:r w:rsidRPr="007C1581">
        <w:t>dospelých</w:t>
      </w:r>
      <w:r w:rsidR="00021F6F" w:rsidRPr="007C1581">
        <w:t xml:space="preserve"> a </w:t>
      </w:r>
      <w:r w:rsidRPr="007C1581">
        <w:t>detí, vrátane novorodencov (od narodenia) (pozri časti 4.</w:t>
      </w:r>
      <w:r w:rsidR="00994936" w:rsidRPr="007C1581">
        <w:t>4</w:t>
      </w:r>
      <w:r w:rsidR="00021F6F" w:rsidRPr="007C1581">
        <w:t xml:space="preserve"> a </w:t>
      </w:r>
      <w:r w:rsidRPr="007C1581">
        <w:t>5.1).</w:t>
      </w:r>
    </w:p>
    <w:p w14:paraId="07ECEEF9" w14:textId="77777777" w:rsidR="00C27623" w:rsidRPr="007C1581" w:rsidRDefault="00C27623" w:rsidP="0071569C">
      <w:pPr>
        <w:pStyle w:val="Normlndobloku"/>
      </w:pPr>
    </w:p>
    <w:p w14:paraId="27986A80" w14:textId="77777777" w:rsidR="008E0BBE" w:rsidRPr="007C1581" w:rsidRDefault="008E0BBE" w:rsidP="0071569C">
      <w:pPr>
        <w:pStyle w:val="Normlndoblokusodrkami"/>
      </w:pPr>
      <w:r w:rsidRPr="007C1581">
        <w:t>Pneumónia získaná</w:t>
      </w:r>
      <w:r w:rsidR="00021F6F" w:rsidRPr="007C1581">
        <w:t xml:space="preserve"> v </w:t>
      </w:r>
      <w:r w:rsidRPr="007C1581">
        <w:t>komunite</w:t>
      </w:r>
    </w:p>
    <w:p w14:paraId="1D3A7224" w14:textId="77777777" w:rsidR="008E0BBE" w:rsidRPr="007C1581" w:rsidRDefault="008E0BBE" w:rsidP="0071569C">
      <w:pPr>
        <w:pStyle w:val="Normlndoblokusodrkami"/>
      </w:pPr>
      <w:r w:rsidRPr="007C1581">
        <w:t>Akútne exacerbácie chronickej bronchitídy</w:t>
      </w:r>
    </w:p>
    <w:p w14:paraId="6639870C" w14:textId="77777777" w:rsidR="008E0BBE" w:rsidRPr="007C1581" w:rsidRDefault="008E0BBE" w:rsidP="0071569C">
      <w:pPr>
        <w:pStyle w:val="Normlndoblokusodrkami"/>
      </w:pPr>
      <w:r w:rsidRPr="007C1581">
        <w:t>Komplikované infekcie močových ciest, vrátane pyelonefritídy</w:t>
      </w:r>
    </w:p>
    <w:p w14:paraId="47FECB80" w14:textId="77777777" w:rsidR="008E0BBE" w:rsidRPr="007C1581" w:rsidRDefault="008E0BBE" w:rsidP="0071569C">
      <w:pPr>
        <w:pStyle w:val="Normlndoblokusodrkami"/>
      </w:pPr>
      <w:r w:rsidRPr="007C1581">
        <w:t>Infekcie mäkkých tkanív: celulitída, eryzipel</w:t>
      </w:r>
      <w:r w:rsidR="00021F6F" w:rsidRPr="007C1581">
        <w:t xml:space="preserve"> a </w:t>
      </w:r>
      <w:r w:rsidRPr="007C1581">
        <w:t>infekcie</w:t>
      </w:r>
      <w:r w:rsidR="00021F6F" w:rsidRPr="007C1581">
        <w:t xml:space="preserve"> v </w:t>
      </w:r>
      <w:r w:rsidRPr="007C1581">
        <w:t>ranách</w:t>
      </w:r>
    </w:p>
    <w:p w14:paraId="14D1B5CF" w14:textId="77777777" w:rsidR="008E0BBE" w:rsidRPr="007C1581" w:rsidRDefault="008E0BBE" w:rsidP="0071569C">
      <w:pPr>
        <w:pStyle w:val="Normlndoblokusodrkami"/>
      </w:pPr>
      <w:r w:rsidRPr="007C1581">
        <w:t>Intraabdominálne infekcie (pozri časť 4.4)</w:t>
      </w:r>
    </w:p>
    <w:p w14:paraId="4C38848A" w14:textId="77777777" w:rsidR="008E0BBE" w:rsidRPr="007C1581" w:rsidRDefault="008E0BBE" w:rsidP="0071569C">
      <w:pPr>
        <w:pStyle w:val="Normlndoblokusodrkami"/>
      </w:pPr>
      <w:r w:rsidRPr="007C1581">
        <w:t>Profylaxia infekcie pri gastroinstestinálnych (vrátane operácií na pažeráku), ortopedických, kardiovaskulárnych</w:t>
      </w:r>
      <w:r w:rsidR="00021F6F" w:rsidRPr="007C1581">
        <w:t xml:space="preserve"> a </w:t>
      </w:r>
      <w:r w:rsidRPr="007C1581">
        <w:t>gynekologických operáciách (vrátane cisárskeho rezu)</w:t>
      </w:r>
    </w:p>
    <w:p w14:paraId="2F4180C5" w14:textId="77777777" w:rsidR="00C27623" w:rsidRPr="007C1581" w:rsidRDefault="00C27623" w:rsidP="0071569C">
      <w:pPr>
        <w:pStyle w:val="Normlndobloku"/>
      </w:pPr>
    </w:p>
    <w:p w14:paraId="7EF5C8D9" w14:textId="77777777" w:rsidR="008E0BBE" w:rsidRPr="007C1581" w:rsidRDefault="008E0BBE" w:rsidP="0071569C">
      <w:pPr>
        <w:pStyle w:val="Normlndobloku"/>
      </w:pPr>
      <w:r w:rsidRPr="007C1581">
        <w:t>Pri liečbe</w:t>
      </w:r>
      <w:r w:rsidR="00021F6F" w:rsidRPr="007C1581">
        <w:t xml:space="preserve"> a </w:t>
      </w:r>
      <w:r w:rsidRPr="007C1581">
        <w:t>prevencii infekcií, pri ktorých je veľmi pravdepodobné objavenie sa anaeróbnych mikroorganizmov, sa má cefuroxím podávať</w:t>
      </w:r>
      <w:r w:rsidR="00021F6F" w:rsidRPr="007C1581">
        <w:t xml:space="preserve"> s </w:t>
      </w:r>
      <w:r w:rsidRPr="007C1581">
        <w:t>ďalšími vhodnými antibakteriálnymi látkami.</w:t>
      </w:r>
    </w:p>
    <w:p w14:paraId="36273162" w14:textId="77777777" w:rsidR="00E83747" w:rsidRPr="007C1581" w:rsidRDefault="00E83747" w:rsidP="0071569C">
      <w:pPr>
        <w:pStyle w:val="Normlndobloku"/>
      </w:pPr>
    </w:p>
    <w:p w14:paraId="189E3C85" w14:textId="77777777" w:rsidR="008E0BBE" w:rsidRPr="007C1581" w:rsidRDefault="008E0BBE" w:rsidP="0071569C">
      <w:pPr>
        <w:pStyle w:val="Normlndobloku"/>
      </w:pPr>
      <w:r w:rsidRPr="007C1581">
        <w:t>Je potrebné vziať do úvahy oficiálne usmernenie pre náležité používanie antibakteriálnych látok.</w:t>
      </w:r>
    </w:p>
    <w:p w14:paraId="09846B79" w14:textId="77777777" w:rsidR="008E0BBE" w:rsidRPr="007C1581" w:rsidRDefault="002E0B42" w:rsidP="002E0B42">
      <w:pPr>
        <w:pStyle w:val="Styl2"/>
      </w:pPr>
      <w:r>
        <w:br w:type="page"/>
      </w:r>
      <w:r w:rsidR="008E0BBE" w:rsidRPr="007C1581">
        <w:lastRenderedPageBreak/>
        <w:t>Dávkovanie</w:t>
      </w:r>
      <w:r w:rsidR="00021F6F" w:rsidRPr="007C1581">
        <w:t xml:space="preserve"> a </w:t>
      </w:r>
      <w:r w:rsidR="008E0BBE" w:rsidRPr="007C1581">
        <w:t>spôsob podávania</w:t>
      </w:r>
    </w:p>
    <w:p w14:paraId="381BBA6E" w14:textId="77777777" w:rsidR="00D16EA1" w:rsidRPr="007C1581" w:rsidRDefault="00D16EA1" w:rsidP="00F8196D">
      <w:pPr>
        <w:pStyle w:val="Nadpisuvnittabulky"/>
      </w:pPr>
    </w:p>
    <w:p w14:paraId="1ACBCDA7" w14:textId="77777777" w:rsidR="008E0BBE" w:rsidRPr="007C1581" w:rsidRDefault="008E0BBE" w:rsidP="005D142A">
      <w:pPr>
        <w:pStyle w:val="Nadpisuvnittabulky"/>
      </w:pPr>
      <w:r w:rsidRPr="007C1581">
        <w:t>Dávkovanie</w:t>
      </w:r>
    </w:p>
    <w:p w14:paraId="179D4248" w14:textId="77777777" w:rsidR="00E83747" w:rsidRPr="000145FD" w:rsidRDefault="00E83747" w:rsidP="0071569C">
      <w:pPr>
        <w:pStyle w:val="Normlndobloku"/>
        <w:rPr>
          <w:rStyle w:val="Bacil"/>
          <w:rFonts w:eastAsia="Calibri"/>
        </w:rPr>
      </w:pPr>
    </w:p>
    <w:p w14:paraId="070489FE" w14:textId="77777777" w:rsidR="008E0BBE" w:rsidRPr="007C1581" w:rsidRDefault="008E0BBE" w:rsidP="0071569C">
      <w:pPr>
        <w:pStyle w:val="Normlndobloku"/>
        <w:rPr>
          <w:rStyle w:val="Bacil"/>
        </w:rPr>
      </w:pPr>
      <w:r w:rsidRPr="007C1581">
        <w:rPr>
          <w:rStyle w:val="Bacil"/>
        </w:rPr>
        <w:t>Tabuľka 1. Dospelí</w:t>
      </w:r>
      <w:r w:rsidR="00021F6F" w:rsidRPr="007C1581">
        <w:rPr>
          <w:rStyle w:val="Bacil"/>
        </w:rPr>
        <w:t xml:space="preserve"> a </w:t>
      </w:r>
      <w:r w:rsidRPr="007C1581">
        <w:rPr>
          <w:rStyle w:val="Bacil"/>
        </w:rPr>
        <w:t>deti</w:t>
      </w:r>
      <w:r w:rsidR="00021F6F" w:rsidRPr="007C1581">
        <w:rPr>
          <w:rStyle w:val="Bacil"/>
        </w:rPr>
        <w:t xml:space="preserve"> s </w:t>
      </w:r>
      <w:r w:rsidRPr="007C1581">
        <w:rPr>
          <w:rStyle w:val="Bacil"/>
        </w:rPr>
        <w:t>telesnou hmotnosťou ≥</w:t>
      </w:r>
      <w:r w:rsidR="00021F6F" w:rsidRPr="007C1581">
        <w:rPr>
          <w:rStyle w:val="Bacil"/>
        </w:rPr>
        <w:t> </w:t>
      </w:r>
      <w:r w:rsidRPr="007C1581">
        <w:rPr>
          <w:rStyle w:val="Bacil"/>
        </w:rPr>
        <w:t>4</w:t>
      </w:r>
      <w:r w:rsidR="00994936" w:rsidRPr="007C1581">
        <w:rPr>
          <w:rStyle w:val="Bacil"/>
        </w:rPr>
        <w:t>0 </w:t>
      </w:r>
      <w:r w:rsidRPr="007C1581">
        <w:rPr>
          <w:rStyle w:val="Bacil"/>
        </w:rPr>
        <w:t>kg</w:t>
      </w:r>
    </w:p>
    <w:p w14:paraId="542E93D6" w14:textId="77777777" w:rsidR="00E83747" w:rsidRPr="007C1581" w:rsidRDefault="00E83747" w:rsidP="0071569C">
      <w:pPr>
        <w:pStyle w:val="Normlndobloku"/>
        <w:rPr>
          <w:rStyle w:val="Baci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528"/>
      </w:tblGrid>
      <w:tr w:rsidR="008D12E7" w:rsidRPr="007C1581" w14:paraId="744A455B" w14:textId="77777777" w:rsidTr="00B82B89">
        <w:tc>
          <w:tcPr>
            <w:tcW w:w="4606" w:type="dxa"/>
            <w:shd w:val="clear" w:color="auto" w:fill="auto"/>
          </w:tcPr>
          <w:p w14:paraId="19EA6C49" w14:textId="77777777" w:rsidR="008D12E7" w:rsidRPr="007C1581" w:rsidRDefault="008D12E7" w:rsidP="00F8196D">
            <w:pPr>
              <w:pStyle w:val="Nadpisuvnittabulky"/>
            </w:pPr>
            <w:r w:rsidRPr="007C1581">
              <w:t>Indikácia</w:t>
            </w:r>
          </w:p>
        </w:tc>
        <w:tc>
          <w:tcPr>
            <w:tcW w:w="4607" w:type="dxa"/>
            <w:shd w:val="clear" w:color="auto" w:fill="auto"/>
          </w:tcPr>
          <w:p w14:paraId="5148E371" w14:textId="77777777" w:rsidR="008D12E7" w:rsidRPr="007C1581" w:rsidRDefault="008D12E7" w:rsidP="005D142A">
            <w:pPr>
              <w:pStyle w:val="Nadpisuvnittabulky"/>
            </w:pPr>
            <w:r w:rsidRPr="007C1581">
              <w:t>Dávkovanie</w:t>
            </w:r>
          </w:p>
        </w:tc>
      </w:tr>
      <w:tr w:rsidR="008D12E7" w:rsidRPr="002E0B42" w14:paraId="114B07AB" w14:textId="77777777" w:rsidTr="00B82B89">
        <w:tc>
          <w:tcPr>
            <w:tcW w:w="4606" w:type="dxa"/>
            <w:shd w:val="clear" w:color="auto" w:fill="auto"/>
          </w:tcPr>
          <w:p w14:paraId="6053B60F" w14:textId="77777777" w:rsidR="008D12E7" w:rsidRPr="007C1581" w:rsidRDefault="008D12E7" w:rsidP="0071569C">
            <w:pPr>
              <w:pStyle w:val="Tabulkynormlndoblokuzarovnndoleva"/>
            </w:pPr>
            <w:r w:rsidRPr="007C1581">
              <w:t>Pneumónia získaná</w:t>
            </w:r>
            <w:r w:rsidR="00021F6F" w:rsidRPr="007C1581">
              <w:t xml:space="preserve"> v </w:t>
            </w:r>
            <w:r w:rsidRPr="007C1581">
              <w:t>komunite</w:t>
            </w:r>
            <w:r w:rsidR="00021F6F" w:rsidRPr="007C1581">
              <w:t xml:space="preserve"> a </w:t>
            </w:r>
            <w:r w:rsidRPr="007C1581">
              <w:t>akútne exacerbácie chronickej bronchitídy</w:t>
            </w:r>
          </w:p>
        </w:tc>
        <w:tc>
          <w:tcPr>
            <w:tcW w:w="4607" w:type="dxa"/>
            <w:vMerge w:val="restart"/>
            <w:shd w:val="clear" w:color="auto" w:fill="auto"/>
          </w:tcPr>
          <w:p w14:paraId="067C3CFD" w14:textId="77777777" w:rsidR="008D12E7" w:rsidRPr="007C1581" w:rsidRDefault="008D12E7" w:rsidP="0071569C">
            <w:pPr>
              <w:pStyle w:val="Tabulkynormlndoblokuzarovnndoleva"/>
            </w:pPr>
            <w:r w:rsidRPr="007C1581">
              <w:t>75</w:t>
            </w:r>
            <w:r w:rsidR="00994936" w:rsidRPr="007C1581">
              <w:t>0 </w:t>
            </w:r>
            <w:r w:rsidRPr="007C1581">
              <w:t xml:space="preserve">mg každých </w:t>
            </w:r>
            <w:r w:rsidR="00994936" w:rsidRPr="007C1581">
              <w:t>8 </w:t>
            </w:r>
            <w:r w:rsidRPr="007C1581">
              <w:t>hodín</w:t>
            </w:r>
          </w:p>
          <w:p w14:paraId="673C59B9" w14:textId="77777777" w:rsidR="008D12E7" w:rsidRPr="007C1581" w:rsidRDefault="008D12E7" w:rsidP="0071569C">
            <w:pPr>
              <w:pStyle w:val="Tabulkynormlndoblokuzarovnndoleva"/>
            </w:pPr>
            <w:r w:rsidRPr="007C1581">
              <w:t>(intravenózne alebo intramuskulárne)</w:t>
            </w:r>
          </w:p>
        </w:tc>
      </w:tr>
      <w:tr w:rsidR="008D12E7" w:rsidRPr="002E0B42" w14:paraId="739D5966" w14:textId="77777777" w:rsidTr="00B82B89">
        <w:tc>
          <w:tcPr>
            <w:tcW w:w="4606" w:type="dxa"/>
            <w:shd w:val="clear" w:color="auto" w:fill="auto"/>
          </w:tcPr>
          <w:p w14:paraId="0671EF76" w14:textId="77777777" w:rsidR="008D12E7" w:rsidRPr="007C1581" w:rsidRDefault="008D12E7" w:rsidP="0071569C">
            <w:pPr>
              <w:pStyle w:val="Tabulkynormlndoblokuzarovnndoleva"/>
            </w:pPr>
            <w:r w:rsidRPr="007C1581">
              <w:t>Infekcie mäkkých tkanív: celulitída, eryzipel</w:t>
            </w:r>
            <w:r w:rsidR="00021F6F" w:rsidRPr="007C1581">
              <w:t xml:space="preserve"> a </w:t>
            </w:r>
            <w:r w:rsidRPr="007C1581">
              <w:t>infekcie</w:t>
            </w:r>
            <w:r w:rsidR="00021F6F" w:rsidRPr="007C1581">
              <w:t xml:space="preserve"> v </w:t>
            </w:r>
            <w:r w:rsidRPr="007C1581">
              <w:t>ranách</w:t>
            </w:r>
          </w:p>
        </w:tc>
        <w:tc>
          <w:tcPr>
            <w:tcW w:w="4607" w:type="dxa"/>
            <w:vMerge/>
            <w:shd w:val="clear" w:color="auto" w:fill="auto"/>
          </w:tcPr>
          <w:p w14:paraId="5BFC2827" w14:textId="77777777" w:rsidR="008D12E7" w:rsidRPr="007C1581" w:rsidRDefault="008D12E7" w:rsidP="0071569C">
            <w:pPr>
              <w:pStyle w:val="Tabulkynormlndoblokuzarovnndoleva"/>
            </w:pPr>
          </w:p>
        </w:tc>
      </w:tr>
      <w:tr w:rsidR="008D12E7" w:rsidRPr="007C1581" w14:paraId="3B21128B" w14:textId="77777777" w:rsidTr="00B82B89">
        <w:tc>
          <w:tcPr>
            <w:tcW w:w="4606" w:type="dxa"/>
            <w:shd w:val="clear" w:color="auto" w:fill="auto"/>
          </w:tcPr>
          <w:p w14:paraId="767B9A35" w14:textId="77777777" w:rsidR="008D12E7" w:rsidRPr="007C1581" w:rsidRDefault="008D12E7" w:rsidP="0071569C">
            <w:pPr>
              <w:pStyle w:val="Tabulkynormlndoblokuzarovnndoleva"/>
            </w:pPr>
            <w:r w:rsidRPr="007C1581">
              <w:t>Intraabdominálne infekcie</w:t>
            </w:r>
          </w:p>
        </w:tc>
        <w:tc>
          <w:tcPr>
            <w:tcW w:w="4607" w:type="dxa"/>
            <w:vMerge/>
            <w:shd w:val="clear" w:color="auto" w:fill="auto"/>
          </w:tcPr>
          <w:p w14:paraId="7ED7E2B4" w14:textId="77777777" w:rsidR="008D12E7" w:rsidRPr="007C1581" w:rsidRDefault="008D12E7" w:rsidP="0071569C">
            <w:pPr>
              <w:pStyle w:val="Tabulkynormlndoblokuzarovnndoleva"/>
            </w:pPr>
          </w:p>
        </w:tc>
      </w:tr>
      <w:tr w:rsidR="008D12E7" w:rsidRPr="002E0B42" w14:paraId="5AB7FED4" w14:textId="77777777" w:rsidTr="00B82B89">
        <w:tc>
          <w:tcPr>
            <w:tcW w:w="4606" w:type="dxa"/>
            <w:shd w:val="clear" w:color="auto" w:fill="auto"/>
          </w:tcPr>
          <w:p w14:paraId="7ED141C6" w14:textId="77777777" w:rsidR="008D12E7" w:rsidRPr="007C1581" w:rsidRDefault="008D12E7" w:rsidP="0071569C">
            <w:pPr>
              <w:pStyle w:val="Tabulkynormlndoblokuzarovnndoleva"/>
            </w:pPr>
            <w:r w:rsidRPr="007C1581">
              <w:t>Komplikované infekcie močových ciest, vrátane pyelonefritídy</w:t>
            </w:r>
          </w:p>
        </w:tc>
        <w:tc>
          <w:tcPr>
            <w:tcW w:w="4607" w:type="dxa"/>
            <w:shd w:val="clear" w:color="auto" w:fill="auto"/>
          </w:tcPr>
          <w:p w14:paraId="3CD53C9F" w14:textId="77777777" w:rsidR="008D12E7" w:rsidRPr="007C1581" w:rsidRDefault="008D12E7" w:rsidP="0071569C">
            <w:pPr>
              <w:pStyle w:val="Tabulkynormlndoblokuzarovnndoleva"/>
            </w:pPr>
            <w:r w:rsidRPr="007C1581">
              <w:t>1,</w:t>
            </w:r>
            <w:r w:rsidR="00994936" w:rsidRPr="007C1581">
              <w:t>5 </w:t>
            </w:r>
            <w:r w:rsidRPr="007C1581">
              <w:t xml:space="preserve">g každých </w:t>
            </w:r>
            <w:r w:rsidR="00994936" w:rsidRPr="007C1581">
              <w:t>8 </w:t>
            </w:r>
            <w:r w:rsidRPr="007C1581">
              <w:t>hodín</w:t>
            </w:r>
          </w:p>
          <w:p w14:paraId="5B83649F" w14:textId="77777777" w:rsidR="008D12E7" w:rsidRPr="007C1581" w:rsidRDefault="008D12E7" w:rsidP="0071569C">
            <w:pPr>
              <w:pStyle w:val="Tabulkynormlndoblokuzarovnndoleva"/>
            </w:pPr>
            <w:r w:rsidRPr="007C1581">
              <w:t>(intravenózne alebo intramuskulárne)</w:t>
            </w:r>
          </w:p>
        </w:tc>
      </w:tr>
      <w:tr w:rsidR="008D12E7" w:rsidRPr="002E0B42" w14:paraId="343372C6" w14:textId="77777777" w:rsidTr="00B82B89">
        <w:tc>
          <w:tcPr>
            <w:tcW w:w="4606" w:type="dxa"/>
            <w:shd w:val="clear" w:color="auto" w:fill="auto"/>
          </w:tcPr>
          <w:p w14:paraId="5FB7E767" w14:textId="77777777" w:rsidR="008D12E7" w:rsidRPr="007C1581" w:rsidRDefault="008D12E7" w:rsidP="0071569C">
            <w:pPr>
              <w:pStyle w:val="Tabulkynormlndoblokuzarovnndoleva"/>
            </w:pPr>
            <w:r w:rsidRPr="007C1581">
              <w:t>Závažné infekcie</w:t>
            </w:r>
          </w:p>
        </w:tc>
        <w:tc>
          <w:tcPr>
            <w:tcW w:w="4607" w:type="dxa"/>
            <w:shd w:val="clear" w:color="auto" w:fill="auto"/>
          </w:tcPr>
          <w:p w14:paraId="2D3532D6" w14:textId="77777777" w:rsidR="008D12E7" w:rsidRPr="007C1581" w:rsidRDefault="008D12E7" w:rsidP="0071569C">
            <w:pPr>
              <w:pStyle w:val="Tabulkynormlndoblokuzarovnndoleva"/>
            </w:pPr>
            <w:r w:rsidRPr="007C1581">
              <w:t>75</w:t>
            </w:r>
            <w:r w:rsidR="00994936" w:rsidRPr="007C1581">
              <w:t>0 </w:t>
            </w:r>
            <w:r w:rsidRPr="007C1581">
              <w:t xml:space="preserve">mg každých </w:t>
            </w:r>
            <w:r w:rsidR="00994936" w:rsidRPr="007C1581">
              <w:t>6 </w:t>
            </w:r>
            <w:r w:rsidRPr="007C1581">
              <w:t>hodín (intravenózne)</w:t>
            </w:r>
          </w:p>
          <w:p w14:paraId="6CEBFC1A" w14:textId="77777777" w:rsidR="008D12E7" w:rsidRPr="007C1581" w:rsidRDefault="008D12E7" w:rsidP="0071569C">
            <w:pPr>
              <w:pStyle w:val="Tabulkynormlndoblokuzarovnndoleva"/>
            </w:pPr>
            <w:r w:rsidRPr="007C1581">
              <w:t>1,</w:t>
            </w:r>
            <w:r w:rsidR="00994936" w:rsidRPr="007C1581">
              <w:t>5 </w:t>
            </w:r>
            <w:r w:rsidRPr="007C1581">
              <w:t xml:space="preserve">g každých </w:t>
            </w:r>
            <w:r w:rsidR="00994936" w:rsidRPr="007C1581">
              <w:t>8 </w:t>
            </w:r>
            <w:r w:rsidRPr="007C1581">
              <w:t>hodín (intravenózne)</w:t>
            </w:r>
          </w:p>
        </w:tc>
      </w:tr>
      <w:tr w:rsidR="008D12E7" w:rsidRPr="002E0B42" w14:paraId="0DCFAAAB" w14:textId="77777777" w:rsidTr="00B82B89">
        <w:tc>
          <w:tcPr>
            <w:tcW w:w="4606" w:type="dxa"/>
            <w:shd w:val="clear" w:color="auto" w:fill="auto"/>
          </w:tcPr>
          <w:p w14:paraId="34C6DD30" w14:textId="77777777" w:rsidR="008D12E7" w:rsidRPr="007C1581" w:rsidRDefault="008D12E7" w:rsidP="0071569C">
            <w:pPr>
              <w:pStyle w:val="Tabulkynormlndoblokuzarovnndoleva"/>
            </w:pPr>
            <w:r w:rsidRPr="007C1581">
              <w:t>Chirurgická profylaxia pri gastrointestinálnych, gynekologických operáciách (vrátane cisárskeho rezu)</w:t>
            </w:r>
            <w:r w:rsidR="00021F6F" w:rsidRPr="007C1581">
              <w:t xml:space="preserve"> a </w:t>
            </w:r>
            <w:r w:rsidRPr="007C1581">
              <w:t>ortopedických operáciách</w:t>
            </w:r>
          </w:p>
        </w:tc>
        <w:tc>
          <w:tcPr>
            <w:tcW w:w="4607" w:type="dxa"/>
            <w:shd w:val="clear" w:color="auto" w:fill="auto"/>
          </w:tcPr>
          <w:p w14:paraId="4C204A50" w14:textId="77777777" w:rsidR="008D12E7" w:rsidRPr="007C1581" w:rsidRDefault="008D12E7" w:rsidP="0071569C">
            <w:pPr>
              <w:pStyle w:val="Tabulkynormlndoblokuzarovnndoleva"/>
            </w:pPr>
            <w:r w:rsidRPr="007C1581">
              <w:t>1,</w:t>
            </w:r>
            <w:r w:rsidR="00994936" w:rsidRPr="007C1581">
              <w:t>5 </w:t>
            </w:r>
            <w:r w:rsidRPr="007C1581">
              <w:t>g pri navodení anestézie.</w:t>
            </w:r>
            <w:r w:rsidR="00021F6F" w:rsidRPr="007C1581">
              <w:t xml:space="preserve"> </w:t>
            </w:r>
            <w:r w:rsidR="002C6A3E" w:rsidRPr="007C1581">
              <w:t>K</w:t>
            </w:r>
            <w:r w:rsidR="00021F6F" w:rsidRPr="007C1581">
              <w:t> </w:t>
            </w:r>
            <w:r w:rsidRPr="007C1581">
              <w:t>tejto dávke je možné pridať dve 75</w:t>
            </w:r>
            <w:r w:rsidR="00994936" w:rsidRPr="007C1581">
              <w:t>0 </w:t>
            </w:r>
            <w:r w:rsidRPr="007C1581">
              <w:t xml:space="preserve">mg dávky (intramuskulárne) po </w:t>
            </w:r>
            <w:r w:rsidR="00994936" w:rsidRPr="007C1581">
              <w:t>8 </w:t>
            </w:r>
            <w:r w:rsidRPr="007C1581">
              <w:t>hodinách</w:t>
            </w:r>
            <w:r w:rsidR="00021F6F" w:rsidRPr="007C1581">
              <w:t xml:space="preserve"> a </w:t>
            </w:r>
            <w:r w:rsidRPr="007C1581">
              <w:t>1</w:t>
            </w:r>
            <w:r w:rsidR="00994936" w:rsidRPr="007C1581">
              <w:t>6 </w:t>
            </w:r>
            <w:r w:rsidRPr="007C1581">
              <w:t>hodinách.</w:t>
            </w:r>
          </w:p>
        </w:tc>
      </w:tr>
      <w:tr w:rsidR="008D12E7" w:rsidRPr="002E0B42" w14:paraId="2B71C9AA" w14:textId="77777777" w:rsidTr="00B82B89">
        <w:tc>
          <w:tcPr>
            <w:tcW w:w="4606" w:type="dxa"/>
            <w:shd w:val="clear" w:color="auto" w:fill="auto"/>
          </w:tcPr>
          <w:p w14:paraId="72D32029" w14:textId="77777777" w:rsidR="008D12E7" w:rsidRPr="007C1581" w:rsidRDefault="008D12E7" w:rsidP="0071569C">
            <w:pPr>
              <w:pStyle w:val="Tabulkynormlndoblokuzarovnndoleva"/>
            </w:pPr>
            <w:r w:rsidRPr="007C1581">
              <w:t>Chirurgická profylaxia pri kardiovaskulárnych operáciách</w:t>
            </w:r>
            <w:r w:rsidR="00021F6F" w:rsidRPr="007C1581">
              <w:t xml:space="preserve"> a </w:t>
            </w:r>
            <w:r w:rsidRPr="007C1581">
              <w:t>operáciách na pažeráku</w:t>
            </w:r>
          </w:p>
        </w:tc>
        <w:tc>
          <w:tcPr>
            <w:tcW w:w="4607" w:type="dxa"/>
            <w:shd w:val="clear" w:color="auto" w:fill="auto"/>
          </w:tcPr>
          <w:p w14:paraId="2885AE05" w14:textId="77777777" w:rsidR="008D12E7" w:rsidRPr="007C1581" w:rsidRDefault="008D12E7" w:rsidP="0071569C">
            <w:pPr>
              <w:pStyle w:val="Tabulkynormlndoblokuzarovnndoleva"/>
            </w:pPr>
            <w:r w:rsidRPr="007C1581">
              <w:t>1,</w:t>
            </w:r>
            <w:r w:rsidR="00994936" w:rsidRPr="007C1581">
              <w:t>5 </w:t>
            </w:r>
            <w:r w:rsidRPr="007C1581">
              <w:t>g pri navodení anestézie</w:t>
            </w:r>
            <w:r w:rsidR="00021F6F" w:rsidRPr="007C1581">
              <w:t xml:space="preserve"> a </w:t>
            </w:r>
            <w:r w:rsidRPr="007C1581">
              <w:t>následne 75</w:t>
            </w:r>
            <w:r w:rsidR="00994936" w:rsidRPr="007C1581">
              <w:t>0 </w:t>
            </w:r>
            <w:r w:rsidRPr="007C1581">
              <w:t xml:space="preserve">mg (intramuskulárne) každých </w:t>
            </w:r>
            <w:r w:rsidR="00994936" w:rsidRPr="007C1581">
              <w:t>8 </w:t>
            </w:r>
            <w:r w:rsidRPr="007C1581">
              <w:t>hodín</w:t>
            </w:r>
            <w:r w:rsidR="00021F6F" w:rsidRPr="007C1581">
              <w:t xml:space="preserve"> v </w:t>
            </w:r>
            <w:r w:rsidRPr="007C1581">
              <w:t>priebehu ďalších 2</w:t>
            </w:r>
            <w:r w:rsidR="00994936" w:rsidRPr="007C1581">
              <w:t>4 </w:t>
            </w:r>
            <w:r w:rsidRPr="007C1581">
              <w:t>hodín.</w:t>
            </w:r>
          </w:p>
        </w:tc>
      </w:tr>
    </w:tbl>
    <w:p w14:paraId="47523C0D" w14:textId="77777777" w:rsidR="00F56643" w:rsidRPr="000145FD" w:rsidRDefault="00F56643" w:rsidP="0071569C">
      <w:pPr>
        <w:pStyle w:val="Normlndobloku"/>
        <w:rPr>
          <w:rStyle w:val="Bacil"/>
        </w:rPr>
      </w:pPr>
    </w:p>
    <w:p w14:paraId="38D68887" w14:textId="77777777" w:rsidR="008E0BBE" w:rsidRPr="007C1581" w:rsidRDefault="008E0BBE" w:rsidP="0071569C">
      <w:pPr>
        <w:pStyle w:val="Normlndobloku"/>
        <w:rPr>
          <w:rStyle w:val="Bacil"/>
        </w:rPr>
      </w:pPr>
      <w:r w:rsidRPr="007C1581">
        <w:rPr>
          <w:rStyle w:val="Bacil"/>
        </w:rPr>
        <w:t>Tabuľka 2. Deti</w:t>
      </w:r>
      <w:r w:rsidR="00021F6F" w:rsidRPr="007C1581">
        <w:rPr>
          <w:rStyle w:val="Bacil"/>
        </w:rPr>
        <w:t xml:space="preserve"> s </w:t>
      </w:r>
      <w:r w:rsidRPr="007C1581">
        <w:rPr>
          <w:rStyle w:val="Bacil"/>
        </w:rPr>
        <w:t>telesnou hmotnosťou &lt;</w:t>
      </w:r>
      <w:r w:rsidR="00021F6F" w:rsidRPr="007C1581">
        <w:rPr>
          <w:rStyle w:val="Bacil"/>
        </w:rPr>
        <w:t> </w:t>
      </w:r>
      <w:r w:rsidRPr="007C1581">
        <w:rPr>
          <w:rStyle w:val="Bacil"/>
        </w:rPr>
        <w:t>4</w:t>
      </w:r>
      <w:r w:rsidR="00994936" w:rsidRPr="007C1581">
        <w:rPr>
          <w:rStyle w:val="Bacil"/>
        </w:rPr>
        <w:t>0 </w:t>
      </w:r>
      <w:r w:rsidRPr="007C1581">
        <w:rPr>
          <w:rStyle w:val="Bacil"/>
        </w:rPr>
        <w:t>kg</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5"/>
        <w:gridCol w:w="3097"/>
        <w:gridCol w:w="2988"/>
      </w:tblGrid>
      <w:tr w:rsidR="008D12E7" w:rsidRPr="007C1581" w14:paraId="2E74C34C" w14:textId="77777777" w:rsidTr="00B82B89">
        <w:tc>
          <w:tcPr>
            <w:tcW w:w="3095" w:type="dxa"/>
            <w:shd w:val="clear" w:color="auto" w:fill="auto"/>
          </w:tcPr>
          <w:p w14:paraId="194079AA" w14:textId="77777777" w:rsidR="008D12E7" w:rsidRPr="007C1581" w:rsidRDefault="008D12E7" w:rsidP="00F8196D">
            <w:pPr>
              <w:pStyle w:val="Nadpisuvnittabulky"/>
            </w:pPr>
          </w:p>
        </w:tc>
        <w:tc>
          <w:tcPr>
            <w:tcW w:w="3097" w:type="dxa"/>
            <w:shd w:val="clear" w:color="auto" w:fill="auto"/>
          </w:tcPr>
          <w:p w14:paraId="59882155" w14:textId="77777777" w:rsidR="008D12E7" w:rsidRPr="00333D9E" w:rsidRDefault="008D12E7" w:rsidP="0071569C">
            <w:pPr>
              <w:pStyle w:val="Normlndobloku"/>
            </w:pPr>
            <w:r w:rsidRPr="00333D9E">
              <w:t>Dojčatá</w:t>
            </w:r>
            <w:r w:rsidR="00021F6F" w:rsidRPr="00333D9E">
              <w:t xml:space="preserve"> a </w:t>
            </w:r>
            <w:r w:rsidRPr="00333D9E">
              <w:t>batoľatá vo veku &gt;</w:t>
            </w:r>
            <w:r w:rsidR="002C6A3E" w:rsidRPr="00333D9E">
              <w:t> </w:t>
            </w:r>
            <w:r w:rsidR="00994936" w:rsidRPr="00333D9E">
              <w:t>3 </w:t>
            </w:r>
            <w:r w:rsidRPr="00333D9E">
              <w:t>týždne</w:t>
            </w:r>
            <w:r w:rsidR="00021F6F" w:rsidRPr="00333D9E">
              <w:t xml:space="preserve"> a </w:t>
            </w:r>
            <w:r w:rsidRPr="00333D9E">
              <w:t>deti</w:t>
            </w:r>
            <w:r w:rsidR="00021F6F" w:rsidRPr="00333D9E">
              <w:t xml:space="preserve"> s </w:t>
            </w:r>
            <w:r w:rsidRPr="00333D9E">
              <w:t>telesnou hmotnosťou &lt; 4</w:t>
            </w:r>
            <w:r w:rsidR="00994936" w:rsidRPr="00333D9E">
              <w:t>0 </w:t>
            </w:r>
            <w:r w:rsidRPr="00333D9E">
              <w:t>kg</w:t>
            </w:r>
          </w:p>
        </w:tc>
        <w:tc>
          <w:tcPr>
            <w:tcW w:w="2988" w:type="dxa"/>
            <w:shd w:val="clear" w:color="auto" w:fill="auto"/>
          </w:tcPr>
          <w:p w14:paraId="5673AB05" w14:textId="77777777" w:rsidR="008D12E7" w:rsidRPr="00333D9E" w:rsidRDefault="008D12E7" w:rsidP="0071569C">
            <w:pPr>
              <w:pStyle w:val="Normlndobloku"/>
            </w:pPr>
            <w:r w:rsidRPr="00333D9E">
              <w:t xml:space="preserve">Dojčatá (od narodenia do </w:t>
            </w:r>
            <w:r w:rsidR="00994936" w:rsidRPr="00333D9E">
              <w:t>3 </w:t>
            </w:r>
            <w:r w:rsidRPr="00333D9E">
              <w:t>týždňov veku)</w:t>
            </w:r>
          </w:p>
        </w:tc>
      </w:tr>
      <w:tr w:rsidR="008D12E7" w:rsidRPr="002E0B42" w14:paraId="5A221E40" w14:textId="77777777" w:rsidTr="00B82B89">
        <w:tc>
          <w:tcPr>
            <w:tcW w:w="3095" w:type="dxa"/>
            <w:shd w:val="clear" w:color="auto" w:fill="auto"/>
          </w:tcPr>
          <w:p w14:paraId="50750457" w14:textId="77777777" w:rsidR="008D12E7" w:rsidRPr="007C1581" w:rsidRDefault="008D12E7" w:rsidP="0071569C">
            <w:pPr>
              <w:pStyle w:val="Normlndobloku"/>
            </w:pPr>
            <w:r w:rsidRPr="007C1581">
              <w:t>Pneumónia získaná</w:t>
            </w:r>
            <w:r w:rsidR="00021F6F" w:rsidRPr="007C1581">
              <w:t xml:space="preserve"> v </w:t>
            </w:r>
            <w:r w:rsidRPr="007C1581">
              <w:t>komunite</w:t>
            </w:r>
          </w:p>
        </w:tc>
        <w:tc>
          <w:tcPr>
            <w:tcW w:w="3097" w:type="dxa"/>
            <w:vMerge w:val="restart"/>
            <w:shd w:val="clear" w:color="auto" w:fill="auto"/>
          </w:tcPr>
          <w:p w14:paraId="34344D41" w14:textId="77777777" w:rsidR="008D12E7" w:rsidRPr="007C1581" w:rsidRDefault="008D12E7" w:rsidP="0071569C">
            <w:pPr>
              <w:pStyle w:val="Normlndobloku"/>
            </w:pPr>
            <w:r w:rsidRPr="007C1581">
              <w:t>3</w:t>
            </w:r>
            <w:r w:rsidR="00994936" w:rsidRPr="007C1581">
              <w:t>0 </w:t>
            </w:r>
            <w:r w:rsidRPr="007C1581">
              <w:t>až 10</w:t>
            </w:r>
            <w:r w:rsidR="00994936" w:rsidRPr="007C1581">
              <w:t>0 </w:t>
            </w:r>
            <w:r w:rsidRPr="007C1581">
              <w:t xml:space="preserve">mg/kg/deň (intravenózne), ktoré sa podávajú rozdelené do </w:t>
            </w:r>
            <w:r w:rsidR="00994936" w:rsidRPr="007C1581">
              <w:t>3 </w:t>
            </w:r>
            <w:r w:rsidRPr="007C1581">
              <w:t xml:space="preserve">alebo </w:t>
            </w:r>
            <w:r w:rsidR="00994936" w:rsidRPr="007C1581">
              <w:t>4 </w:t>
            </w:r>
            <w:r w:rsidRPr="007C1581">
              <w:t>dávok; na väčšinu infekcií je vhodná dávka 6</w:t>
            </w:r>
            <w:r w:rsidR="00994936" w:rsidRPr="007C1581">
              <w:t>0 </w:t>
            </w:r>
            <w:r w:rsidRPr="007C1581">
              <w:t>mg/kg/deň</w:t>
            </w:r>
          </w:p>
        </w:tc>
        <w:tc>
          <w:tcPr>
            <w:tcW w:w="2988" w:type="dxa"/>
            <w:vMerge w:val="restart"/>
            <w:shd w:val="clear" w:color="auto" w:fill="auto"/>
          </w:tcPr>
          <w:p w14:paraId="558493AC" w14:textId="77777777" w:rsidR="008D12E7" w:rsidRPr="007C1581" w:rsidRDefault="008D12E7" w:rsidP="0071569C">
            <w:pPr>
              <w:pStyle w:val="Normlndobloku"/>
            </w:pPr>
            <w:r w:rsidRPr="007C1581">
              <w:t>3</w:t>
            </w:r>
            <w:r w:rsidR="00994936" w:rsidRPr="007C1581">
              <w:t>0 </w:t>
            </w:r>
            <w:r w:rsidRPr="007C1581">
              <w:t>až 10</w:t>
            </w:r>
            <w:r w:rsidR="00994936" w:rsidRPr="007C1581">
              <w:t>0 </w:t>
            </w:r>
            <w:r w:rsidRPr="007C1581">
              <w:t xml:space="preserve">mg/kg/deň (intravenózne), ktoré sa podávajú rozdelené do </w:t>
            </w:r>
            <w:r w:rsidR="00994936" w:rsidRPr="007C1581">
              <w:t>2 </w:t>
            </w:r>
            <w:r w:rsidRPr="007C1581">
              <w:t xml:space="preserve">alebo </w:t>
            </w:r>
            <w:r w:rsidR="00994936" w:rsidRPr="007C1581">
              <w:t>3 </w:t>
            </w:r>
            <w:r w:rsidRPr="007C1581">
              <w:t>dávok (pozri časť 5.2)</w:t>
            </w:r>
          </w:p>
        </w:tc>
      </w:tr>
      <w:tr w:rsidR="008D12E7" w:rsidRPr="002E0B42" w14:paraId="2F301D60" w14:textId="77777777" w:rsidTr="00B82B89">
        <w:tc>
          <w:tcPr>
            <w:tcW w:w="3095" w:type="dxa"/>
            <w:shd w:val="clear" w:color="auto" w:fill="auto"/>
          </w:tcPr>
          <w:p w14:paraId="69EF6540" w14:textId="77777777" w:rsidR="008D12E7" w:rsidRPr="007C1581" w:rsidRDefault="008D12E7" w:rsidP="0071569C">
            <w:pPr>
              <w:pStyle w:val="Normlndobloku"/>
            </w:pPr>
            <w:r w:rsidRPr="007C1581">
              <w:t>Komplikované infekcie močových ciest, vrátane pyelonefritídy</w:t>
            </w:r>
          </w:p>
        </w:tc>
        <w:tc>
          <w:tcPr>
            <w:tcW w:w="3097" w:type="dxa"/>
            <w:vMerge/>
            <w:shd w:val="clear" w:color="auto" w:fill="auto"/>
          </w:tcPr>
          <w:p w14:paraId="200C2696" w14:textId="77777777" w:rsidR="008D12E7" w:rsidRPr="007C1581" w:rsidRDefault="008D12E7" w:rsidP="0071569C">
            <w:pPr>
              <w:pStyle w:val="Tabulkynormlndoblokuzarovnndoleva"/>
            </w:pPr>
          </w:p>
        </w:tc>
        <w:tc>
          <w:tcPr>
            <w:tcW w:w="2988" w:type="dxa"/>
            <w:vMerge/>
            <w:shd w:val="clear" w:color="auto" w:fill="auto"/>
          </w:tcPr>
          <w:p w14:paraId="0D311645" w14:textId="77777777" w:rsidR="008D12E7" w:rsidRPr="007C1581" w:rsidRDefault="008D12E7" w:rsidP="0071569C">
            <w:pPr>
              <w:pStyle w:val="Tabulkynormlndoblokuzarovnndoleva"/>
            </w:pPr>
          </w:p>
        </w:tc>
      </w:tr>
      <w:tr w:rsidR="008D12E7" w:rsidRPr="002E0B42" w14:paraId="0B8515C3" w14:textId="77777777" w:rsidTr="00B82B89">
        <w:tc>
          <w:tcPr>
            <w:tcW w:w="3095" w:type="dxa"/>
            <w:shd w:val="clear" w:color="auto" w:fill="auto"/>
          </w:tcPr>
          <w:p w14:paraId="63E3AA37" w14:textId="77777777" w:rsidR="008D12E7" w:rsidRPr="007C1581" w:rsidRDefault="008D12E7" w:rsidP="0071569C">
            <w:pPr>
              <w:pStyle w:val="Normlndobloku"/>
            </w:pPr>
            <w:r w:rsidRPr="007C1581">
              <w:t>Infekcie mäkkých tkanív: celulitída, eryzipel</w:t>
            </w:r>
            <w:r w:rsidR="00021F6F" w:rsidRPr="007C1581">
              <w:t xml:space="preserve"> a </w:t>
            </w:r>
            <w:r w:rsidRPr="007C1581">
              <w:t>infekcie</w:t>
            </w:r>
            <w:r w:rsidR="00021F6F" w:rsidRPr="007C1581">
              <w:t xml:space="preserve"> v </w:t>
            </w:r>
            <w:r w:rsidRPr="007C1581">
              <w:t>ranách</w:t>
            </w:r>
          </w:p>
        </w:tc>
        <w:tc>
          <w:tcPr>
            <w:tcW w:w="3097" w:type="dxa"/>
            <w:vMerge/>
            <w:shd w:val="clear" w:color="auto" w:fill="auto"/>
          </w:tcPr>
          <w:p w14:paraId="3005DE9E" w14:textId="77777777" w:rsidR="008D12E7" w:rsidRPr="007C1581" w:rsidRDefault="008D12E7" w:rsidP="0071569C">
            <w:pPr>
              <w:pStyle w:val="Tabulkynormlndoblokuzarovnndoleva"/>
            </w:pPr>
          </w:p>
        </w:tc>
        <w:tc>
          <w:tcPr>
            <w:tcW w:w="2988" w:type="dxa"/>
            <w:vMerge/>
            <w:shd w:val="clear" w:color="auto" w:fill="auto"/>
          </w:tcPr>
          <w:p w14:paraId="6C3A16AF" w14:textId="77777777" w:rsidR="008D12E7" w:rsidRPr="007C1581" w:rsidRDefault="008D12E7" w:rsidP="0071569C">
            <w:pPr>
              <w:pStyle w:val="Tabulkynormlndoblokuzarovnndoleva"/>
            </w:pPr>
          </w:p>
        </w:tc>
      </w:tr>
      <w:tr w:rsidR="008D12E7" w:rsidRPr="007C1581" w14:paraId="67F647D7" w14:textId="77777777" w:rsidTr="00B82B89">
        <w:tc>
          <w:tcPr>
            <w:tcW w:w="3095" w:type="dxa"/>
            <w:shd w:val="clear" w:color="auto" w:fill="auto"/>
          </w:tcPr>
          <w:p w14:paraId="0BA099C2" w14:textId="77777777" w:rsidR="008D12E7" w:rsidRPr="007C1581" w:rsidRDefault="008D12E7" w:rsidP="0071569C">
            <w:pPr>
              <w:pStyle w:val="Normlndobloku"/>
            </w:pPr>
            <w:r w:rsidRPr="007C1581">
              <w:t>Intraabdominálne infekcie</w:t>
            </w:r>
          </w:p>
        </w:tc>
        <w:tc>
          <w:tcPr>
            <w:tcW w:w="3097" w:type="dxa"/>
            <w:vMerge/>
            <w:shd w:val="clear" w:color="auto" w:fill="auto"/>
          </w:tcPr>
          <w:p w14:paraId="2B3758A2" w14:textId="77777777" w:rsidR="008D12E7" w:rsidRPr="007C1581" w:rsidRDefault="008D12E7" w:rsidP="0071569C">
            <w:pPr>
              <w:pStyle w:val="Tabulkynormlndoblokuzarovnndoleva"/>
            </w:pPr>
          </w:p>
        </w:tc>
        <w:tc>
          <w:tcPr>
            <w:tcW w:w="2988" w:type="dxa"/>
            <w:vMerge/>
            <w:shd w:val="clear" w:color="auto" w:fill="auto"/>
          </w:tcPr>
          <w:p w14:paraId="054FF853" w14:textId="77777777" w:rsidR="008D12E7" w:rsidRPr="007C1581" w:rsidRDefault="008D12E7" w:rsidP="0071569C">
            <w:pPr>
              <w:pStyle w:val="Tabulkynormlndoblokuzarovnndoleva"/>
            </w:pPr>
          </w:p>
        </w:tc>
      </w:tr>
    </w:tbl>
    <w:p w14:paraId="6E2EEC14" w14:textId="77777777" w:rsidR="008D12E7" w:rsidRPr="007C1581" w:rsidRDefault="008D12E7" w:rsidP="0071569C">
      <w:pPr>
        <w:pStyle w:val="Styl3"/>
      </w:pPr>
    </w:p>
    <w:p w14:paraId="1923A777" w14:textId="77777777" w:rsidR="008E0BBE" w:rsidRPr="007C1581" w:rsidRDefault="008E0BBE" w:rsidP="0071569C">
      <w:pPr>
        <w:pStyle w:val="Styl3"/>
      </w:pPr>
      <w:r w:rsidRPr="007C1581">
        <w:t>Porucha funkcie obličiek</w:t>
      </w:r>
    </w:p>
    <w:p w14:paraId="07DC3ECD" w14:textId="77777777" w:rsidR="008E0BBE" w:rsidRPr="007C1581" w:rsidRDefault="008E0BBE" w:rsidP="0071569C">
      <w:pPr>
        <w:pStyle w:val="Normlndobloku"/>
      </w:pPr>
      <w:r w:rsidRPr="007C1581">
        <w:t>Cefuroxím sa vylučuje prevažne obličkami. Preto sa, podobne ako pri všetkých takýchto antibiotikách,</w:t>
      </w:r>
      <w:r w:rsidR="00021F6F" w:rsidRPr="007C1581">
        <w:t xml:space="preserve"> u </w:t>
      </w:r>
      <w:r w:rsidRPr="007C1581">
        <w:t>pacientov</w:t>
      </w:r>
      <w:r w:rsidR="00021F6F" w:rsidRPr="007C1581">
        <w:t xml:space="preserve"> s </w:t>
      </w:r>
      <w:r w:rsidRPr="007C1581">
        <w:t>výraznou poruchou funkcie obličiek odporúča znížiť dávku AXETIN</w:t>
      </w:r>
      <w:r w:rsidR="002C6A3E" w:rsidRPr="007C1581">
        <w:t>U</w:t>
      </w:r>
      <w:r w:rsidRPr="007C1581">
        <w:t xml:space="preserve"> tak, aby sa vykompenzovalo jeho pomalšie vylučovanie.</w:t>
      </w:r>
    </w:p>
    <w:p w14:paraId="2761E54A" w14:textId="77777777" w:rsidR="002C6A3E" w:rsidRPr="007C1581" w:rsidRDefault="002C6A3E" w:rsidP="0071569C">
      <w:pPr>
        <w:pStyle w:val="Normlndobloku"/>
        <w:rPr>
          <w:rStyle w:val="Bacil"/>
        </w:rPr>
      </w:pPr>
    </w:p>
    <w:p w14:paraId="71A5FECD" w14:textId="77777777" w:rsidR="008E0BBE" w:rsidRPr="007C1581" w:rsidRDefault="008E0BBE" w:rsidP="0071569C">
      <w:pPr>
        <w:pStyle w:val="Normlndobloku"/>
        <w:rPr>
          <w:rStyle w:val="Bacil"/>
        </w:rPr>
      </w:pPr>
      <w:r w:rsidRPr="007C1581">
        <w:rPr>
          <w:rStyle w:val="Bacil"/>
        </w:rPr>
        <w:t>Tabuľka 3. Odporúčané dávky pri poruche funkcie obličiek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3012"/>
        <w:gridCol w:w="3023"/>
      </w:tblGrid>
      <w:tr w:rsidR="008D12E7" w:rsidRPr="007C1581" w14:paraId="1B5F3BC9" w14:textId="77777777" w:rsidTr="00B82B89">
        <w:trPr>
          <w:tblHeader/>
        </w:trPr>
        <w:tc>
          <w:tcPr>
            <w:tcW w:w="3071" w:type="dxa"/>
            <w:shd w:val="clear" w:color="auto" w:fill="auto"/>
          </w:tcPr>
          <w:p w14:paraId="082D0426" w14:textId="77777777" w:rsidR="008D12E7" w:rsidRPr="007C1581" w:rsidRDefault="008D12E7" w:rsidP="00F8196D">
            <w:pPr>
              <w:pStyle w:val="Nadpisuvnittabulky"/>
            </w:pPr>
            <w:r w:rsidRPr="007C1581">
              <w:t>Klírens kreatinínu</w:t>
            </w:r>
          </w:p>
        </w:tc>
        <w:tc>
          <w:tcPr>
            <w:tcW w:w="3071" w:type="dxa"/>
            <w:shd w:val="clear" w:color="auto" w:fill="auto"/>
          </w:tcPr>
          <w:p w14:paraId="4204DB14" w14:textId="77777777" w:rsidR="008D12E7" w:rsidRPr="007C1581" w:rsidRDefault="008D12E7" w:rsidP="005D142A">
            <w:pPr>
              <w:pStyle w:val="Nadpisuvnittabulky"/>
            </w:pPr>
            <w:r w:rsidRPr="007C1581">
              <w:t>T</w:t>
            </w:r>
            <w:r w:rsidRPr="007C1581">
              <w:rPr>
                <w:vertAlign w:val="subscript"/>
              </w:rPr>
              <w:t>1/</w:t>
            </w:r>
            <w:r w:rsidR="00994936" w:rsidRPr="007C1581">
              <w:rPr>
                <w:vertAlign w:val="subscript"/>
              </w:rPr>
              <w:t>2 </w:t>
            </w:r>
            <w:r w:rsidRPr="007C1581">
              <w:t>(hod)</w:t>
            </w:r>
          </w:p>
        </w:tc>
        <w:tc>
          <w:tcPr>
            <w:tcW w:w="3071" w:type="dxa"/>
            <w:shd w:val="clear" w:color="auto" w:fill="auto"/>
          </w:tcPr>
          <w:p w14:paraId="4F556DB9" w14:textId="77777777" w:rsidR="008D12E7" w:rsidRPr="007C1581" w:rsidRDefault="008D12E7" w:rsidP="005D142A">
            <w:pPr>
              <w:pStyle w:val="Nadpisuvnittabulky"/>
            </w:pPr>
            <w:r w:rsidRPr="007C1581">
              <w:t>Dávka (mg)</w:t>
            </w:r>
          </w:p>
        </w:tc>
      </w:tr>
      <w:tr w:rsidR="008D12E7" w:rsidRPr="002E0B42" w14:paraId="5B30C3FC" w14:textId="77777777" w:rsidTr="00B82B89">
        <w:tc>
          <w:tcPr>
            <w:tcW w:w="3071" w:type="dxa"/>
            <w:shd w:val="clear" w:color="auto" w:fill="auto"/>
          </w:tcPr>
          <w:p w14:paraId="2F853EE0" w14:textId="77777777" w:rsidR="008D12E7" w:rsidRPr="007C1581" w:rsidRDefault="008D12E7" w:rsidP="0071569C">
            <w:pPr>
              <w:pStyle w:val="Tabulkynormlndoblokuzarovnndoleva"/>
            </w:pPr>
            <w:r w:rsidRPr="007C1581">
              <w:t>&gt; 2</w:t>
            </w:r>
            <w:r w:rsidR="00994936" w:rsidRPr="007C1581">
              <w:t>0 </w:t>
            </w:r>
            <w:r w:rsidRPr="007C1581">
              <w:t>ml/min/1,7</w:t>
            </w:r>
            <w:r w:rsidR="00994936" w:rsidRPr="007C1581">
              <w:t>3 </w:t>
            </w:r>
            <w:r w:rsidRPr="007C1581">
              <w:t>m</w:t>
            </w:r>
            <w:r w:rsidRPr="007C1581">
              <w:rPr>
                <w:vertAlign w:val="superscript"/>
              </w:rPr>
              <w:t>2</w:t>
            </w:r>
          </w:p>
        </w:tc>
        <w:tc>
          <w:tcPr>
            <w:tcW w:w="3071" w:type="dxa"/>
            <w:shd w:val="clear" w:color="auto" w:fill="auto"/>
          </w:tcPr>
          <w:p w14:paraId="25C9DB56" w14:textId="77777777" w:rsidR="008D12E7" w:rsidRPr="007C1581" w:rsidRDefault="008D12E7" w:rsidP="0071569C">
            <w:pPr>
              <w:pStyle w:val="Tabulkynormlndoblokuzarovnndoleva"/>
            </w:pPr>
            <w:r w:rsidRPr="007C1581">
              <w:t>1,7</w:t>
            </w:r>
            <w:r w:rsidR="002C6A3E" w:rsidRPr="007C1581">
              <w:t xml:space="preserve"> </w:t>
            </w:r>
            <w:r w:rsidRPr="007C1581">
              <w:t>–</w:t>
            </w:r>
            <w:r w:rsidR="002C6A3E" w:rsidRPr="007C1581">
              <w:t xml:space="preserve"> </w:t>
            </w:r>
            <w:r w:rsidRPr="007C1581">
              <w:t>2,6</w:t>
            </w:r>
          </w:p>
        </w:tc>
        <w:tc>
          <w:tcPr>
            <w:tcW w:w="3071" w:type="dxa"/>
            <w:shd w:val="clear" w:color="auto" w:fill="auto"/>
          </w:tcPr>
          <w:p w14:paraId="4BF0426A" w14:textId="77777777" w:rsidR="008D12E7" w:rsidRPr="007C1581" w:rsidRDefault="008D12E7" w:rsidP="0071569C">
            <w:pPr>
              <w:pStyle w:val="Tabulkynormlndoblokuzarovnndoleva"/>
            </w:pPr>
            <w:r w:rsidRPr="007C1581">
              <w:t>Nie je potrebné znížiť štandardnú dávku (75</w:t>
            </w:r>
            <w:r w:rsidR="00994936" w:rsidRPr="007C1581">
              <w:t>0 </w:t>
            </w:r>
            <w:r w:rsidRPr="007C1581">
              <w:t>mg až 1,</w:t>
            </w:r>
            <w:r w:rsidR="00994936" w:rsidRPr="007C1581">
              <w:t>5 </w:t>
            </w:r>
            <w:r w:rsidRPr="007C1581">
              <w:t>g trikrát denne).</w:t>
            </w:r>
          </w:p>
        </w:tc>
      </w:tr>
      <w:tr w:rsidR="008D12E7" w:rsidRPr="007C1581" w14:paraId="3272F963" w14:textId="77777777" w:rsidTr="00B82B89">
        <w:tc>
          <w:tcPr>
            <w:tcW w:w="3071" w:type="dxa"/>
            <w:shd w:val="clear" w:color="auto" w:fill="auto"/>
          </w:tcPr>
          <w:p w14:paraId="78DB6E77" w14:textId="77777777" w:rsidR="008D12E7" w:rsidRPr="007C1581" w:rsidRDefault="008D12E7" w:rsidP="0071569C">
            <w:pPr>
              <w:pStyle w:val="Tabulkynormlndoblokuzarovnndoleva"/>
            </w:pPr>
            <w:r w:rsidRPr="007C1581">
              <w:t>10</w:t>
            </w:r>
            <w:r w:rsidR="002C6A3E" w:rsidRPr="007C1581">
              <w:t xml:space="preserve"> </w:t>
            </w:r>
            <w:r w:rsidR="00430DA7" w:rsidRPr="007C1581">
              <w:t>–</w:t>
            </w:r>
            <w:r w:rsidR="002C6A3E" w:rsidRPr="007C1581">
              <w:t xml:space="preserve"> </w:t>
            </w:r>
            <w:r w:rsidRPr="007C1581">
              <w:t>2</w:t>
            </w:r>
            <w:r w:rsidR="00994936" w:rsidRPr="007C1581">
              <w:t>0 </w:t>
            </w:r>
            <w:r w:rsidRPr="007C1581">
              <w:t>ml/min/1,7</w:t>
            </w:r>
            <w:r w:rsidR="00994936" w:rsidRPr="007C1581">
              <w:t>3 </w:t>
            </w:r>
            <w:r w:rsidRPr="007C1581">
              <w:t>m</w:t>
            </w:r>
            <w:r w:rsidRPr="007C1581">
              <w:rPr>
                <w:vertAlign w:val="superscript"/>
              </w:rPr>
              <w:t>2</w:t>
            </w:r>
          </w:p>
        </w:tc>
        <w:tc>
          <w:tcPr>
            <w:tcW w:w="3071" w:type="dxa"/>
            <w:shd w:val="clear" w:color="auto" w:fill="auto"/>
          </w:tcPr>
          <w:p w14:paraId="1529B5DB" w14:textId="77777777" w:rsidR="008D12E7" w:rsidRPr="007C1581" w:rsidRDefault="008D12E7" w:rsidP="0071569C">
            <w:pPr>
              <w:pStyle w:val="Tabulkynormlndoblokuzarovnndoleva"/>
            </w:pPr>
            <w:r w:rsidRPr="007C1581">
              <w:t>4,3</w:t>
            </w:r>
            <w:r w:rsidR="002C6A3E" w:rsidRPr="007C1581">
              <w:t xml:space="preserve"> </w:t>
            </w:r>
            <w:r w:rsidRPr="007C1581">
              <w:t>–</w:t>
            </w:r>
            <w:r w:rsidR="002C6A3E" w:rsidRPr="007C1581">
              <w:t xml:space="preserve"> </w:t>
            </w:r>
            <w:r w:rsidRPr="007C1581">
              <w:t>6,5</w:t>
            </w:r>
          </w:p>
        </w:tc>
        <w:tc>
          <w:tcPr>
            <w:tcW w:w="3071" w:type="dxa"/>
            <w:shd w:val="clear" w:color="auto" w:fill="auto"/>
          </w:tcPr>
          <w:p w14:paraId="7C325850" w14:textId="77777777" w:rsidR="008D12E7" w:rsidRPr="007C1581" w:rsidRDefault="008D12E7" w:rsidP="0071569C">
            <w:pPr>
              <w:pStyle w:val="Tabulkynormlndoblokuzarovnndoleva"/>
            </w:pPr>
            <w:r w:rsidRPr="007C1581">
              <w:t>75</w:t>
            </w:r>
            <w:r w:rsidR="00994936" w:rsidRPr="007C1581">
              <w:t>0 </w:t>
            </w:r>
            <w:r w:rsidRPr="007C1581">
              <w:t>mg dvakrát denne</w:t>
            </w:r>
          </w:p>
        </w:tc>
      </w:tr>
      <w:tr w:rsidR="008D12E7" w:rsidRPr="007C1581" w14:paraId="2E898CA8" w14:textId="77777777" w:rsidTr="00B82B89">
        <w:tc>
          <w:tcPr>
            <w:tcW w:w="3071" w:type="dxa"/>
            <w:shd w:val="clear" w:color="auto" w:fill="auto"/>
          </w:tcPr>
          <w:p w14:paraId="7FD61C69" w14:textId="77777777" w:rsidR="008D12E7" w:rsidRPr="007C1581" w:rsidRDefault="008D12E7" w:rsidP="0071569C">
            <w:pPr>
              <w:pStyle w:val="Tabulkynormlndoblokuzarovnndoleva"/>
            </w:pPr>
            <w:r w:rsidRPr="007C1581">
              <w:t>&lt; 1</w:t>
            </w:r>
            <w:r w:rsidR="00994936" w:rsidRPr="007C1581">
              <w:t>0 </w:t>
            </w:r>
            <w:r w:rsidRPr="007C1581">
              <w:t>ml/min/1,7</w:t>
            </w:r>
            <w:r w:rsidR="00994936" w:rsidRPr="007C1581">
              <w:t>3 </w:t>
            </w:r>
            <w:r w:rsidRPr="007C1581">
              <w:t>m</w:t>
            </w:r>
            <w:r w:rsidRPr="007C1581">
              <w:rPr>
                <w:vertAlign w:val="superscript"/>
              </w:rPr>
              <w:t>2</w:t>
            </w:r>
          </w:p>
        </w:tc>
        <w:tc>
          <w:tcPr>
            <w:tcW w:w="3071" w:type="dxa"/>
            <w:shd w:val="clear" w:color="auto" w:fill="auto"/>
          </w:tcPr>
          <w:p w14:paraId="540CD2FE" w14:textId="77777777" w:rsidR="008D12E7" w:rsidRPr="007C1581" w:rsidRDefault="008D12E7" w:rsidP="0071569C">
            <w:pPr>
              <w:pStyle w:val="Tabulkynormlndoblokuzarovnndoleva"/>
            </w:pPr>
            <w:r w:rsidRPr="007C1581">
              <w:t>14,8</w:t>
            </w:r>
            <w:r w:rsidR="002C6A3E" w:rsidRPr="007C1581">
              <w:t xml:space="preserve"> </w:t>
            </w:r>
            <w:r w:rsidRPr="007C1581">
              <w:t>–</w:t>
            </w:r>
            <w:r w:rsidR="002C6A3E" w:rsidRPr="007C1581">
              <w:t xml:space="preserve"> </w:t>
            </w:r>
            <w:r w:rsidRPr="007C1581">
              <w:t>22,3</w:t>
            </w:r>
          </w:p>
        </w:tc>
        <w:tc>
          <w:tcPr>
            <w:tcW w:w="3071" w:type="dxa"/>
            <w:shd w:val="clear" w:color="auto" w:fill="auto"/>
          </w:tcPr>
          <w:p w14:paraId="0B073504" w14:textId="77777777" w:rsidR="008D12E7" w:rsidRPr="007C1581" w:rsidRDefault="008D12E7" w:rsidP="0071569C">
            <w:pPr>
              <w:pStyle w:val="Tabulkynormlndoblokuzarovnndoleva"/>
            </w:pPr>
            <w:r w:rsidRPr="007C1581">
              <w:t>75</w:t>
            </w:r>
            <w:r w:rsidR="00994936" w:rsidRPr="007C1581">
              <w:t>0 </w:t>
            </w:r>
            <w:r w:rsidRPr="007C1581">
              <w:t>mg jednou denne</w:t>
            </w:r>
          </w:p>
        </w:tc>
      </w:tr>
      <w:tr w:rsidR="008D12E7" w:rsidRPr="002E0B42" w14:paraId="0ACDA2BC" w14:textId="77777777" w:rsidTr="00B82B89">
        <w:tc>
          <w:tcPr>
            <w:tcW w:w="3071" w:type="dxa"/>
            <w:shd w:val="clear" w:color="auto" w:fill="auto"/>
          </w:tcPr>
          <w:p w14:paraId="6DE5D754" w14:textId="77777777" w:rsidR="008D12E7" w:rsidRPr="007C1581" w:rsidRDefault="008D12E7" w:rsidP="0071569C">
            <w:pPr>
              <w:pStyle w:val="Tabulkynormlndoblokuzarovnndoleva"/>
            </w:pPr>
            <w:r w:rsidRPr="007C1581">
              <w:t>Pacienti podstupujúci hemodialýzu</w:t>
            </w:r>
          </w:p>
        </w:tc>
        <w:tc>
          <w:tcPr>
            <w:tcW w:w="3071" w:type="dxa"/>
            <w:shd w:val="clear" w:color="auto" w:fill="auto"/>
          </w:tcPr>
          <w:p w14:paraId="2582AA9A" w14:textId="77777777" w:rsidR="008D12E7" w:rsidRPr="007C1581" w:rsidRDefault="008D12E7" w:rsidP="0071569C">
            <w:pPr>
              <w:pStyle w:val="Tabulkynormlndoblokuzarovnndoleva"/>
            </w:pPr>
            <w:r w:rsidRPr="007C1581">
              <w:t>3,75</w:t>
            </w:r>
          </w:p>
        </w:tc>
        <w:tc>
          <w:tcPr>
            <w:tcW w:w="3071" w:type="dxa"/>
            <w:shd w:val="clear" w:color="auto" w:fill="auto"/>
          </w:tcPr>
          <w:p w14:paraId="20D79DCE" w14:textId="77777777" w:rsidR="008D12E7" w:rsidRPr="007C1581" w:rsidRDefault="008D12E7" w:rsidP="0071569C">
            <w:pPr>
              <w:pStyle w:val="Tabulkynormlndoblokuzarovnndoleva"/>
            </w:pPr>
            <w:r w:rsidRPr="007C1581">
              <w:t>Po skončení každej dialýzy sa má podať ďalšia 75</w:t>
            </w:r>
            <w:r w:rsidR="00994936" w:rsidRPr="007C1581">
              <w:t>0 </w:t>
            </w:r>
            <w:r w:rsidRPr="007C1581">
              <w:t>mg dávka intravenózne alebo intramuskulárne; navyše</w:t>
            </w:r>
            <w:r w:rsidR="00021F6F" w:rsidRPr="007C1581">
              <w:t xml:space="preserve"> k </w:t>
            </w:r>
            <w:r w:rsidRPr="007C1581">
              <w:t xml:space="preserve">parenterálnemu podaniu sa sodná soľ cefuroxímu môže </w:t>
            </w:r>
            <w:r w:rsidRPr="007C1581">
              <w:lastRenderedPageBreak/>
              <w:t>pridať do peritoneálneho dialyzačného roztoku (zvyčajne 25</w:t>
            </w:r>
            <w:r w:rsidR="00994936" w:rsidRPr="007C1581">
              <w:t>0 </w:t>
            </w:r>
            <w:r w:rsidRPr="007C1581">
              <w:t xml:space="preserve">mg na každé </w:t>
            </w:r>
            <w:r w:rsidR="00994936" w:rsidRPr="007C1581">
              <w:t>2 </w:t>
            </w:r>
            <w:r w:rsidRPr="007C1581">
              <w:t>litre dialyzačného roztoku).</w:t>
            </w:r>
          </w:p>
        </w:tc>
      </w:tr>
      <w:tr w:rsidR="008D12E7" w:rsidRPr="002E0B42" w14:paraId="3BAF5DCE" w14:textId="77777777" w:rsidTr="00B82B89">
        <w:tc>
          <w:tcPr>
            <w:tcW w:w="3071" w:type="dxa"/>
            <w:shd w:val="clear" w:color="auto" w:fill="auto"/>
          </w:tcPr>
          <w:p w14:paraId="0DE8B0EF" w14:textId="77777777" w:rsidR="008D12E7" w:rsidRPr="007C1581" w:rsidRDefault="008D12E7" w:rsidP="0071569C">
            <w:pPr>
              <w:pStyle w:val="Tabulkynormlndoblokuzarovnndoleva"/>
            </w:pPr>
            <w:r w:rsidRPr="007C1581">
              <w:lastRenderedPageBreak/>
              <w:t>Pacienti so zlyhaním obličiek podstupujúci kontinuálnu artériovenóznu hemodialýzu (CAVH) alebo vysokoprietokovú (high-flux, HF) hemofiltráciu na jednotkách intenzívnej starostlivosti</w:t>
            </w:r>
          </w:p>
        </w:tc>
        <w:tc>
          <w:tcPr>
            <w:tcW w:w="3071" w:type="dxa"/>
            <w:shd w:val="clear" w:color="auto" w:fill="auto"/>
          </w:tcPr>
          <w:p w14:paraId="32D881DD" w14:textId="77777777" w:rsidR="008D12E7" w:rsidRPr="007C1581" w:rsidRDefault="008D12E7" w:rsidP="0071569C">
            <w:pPr>
              <w:pStyle w:val="Tabulkynormlndoblokuzarovnndoleva"/>
            </w:pPr>
            <w:r w:rsidRPr="007C1581">
              <w:t>7,9</w:t>
            </w:r>
            <w:r w:rsidR="002C6A3E" w:rsidRPr="007C1581">
              <w:t xml:space="preserve"> </w:t>
            </w:r>
            <w:r w:rsidRPr="007C1581">
              <w:t>–</w:t>
            </w:r>
            <w:r w:rsidR="002C6A3E" w:rsidRPr="007C1581">
              <w:t xml:space="preserve"> </w:t>
            </w:r>
            <w:r w:rsidRPr="007C1581">
              <w:t>12,</w:t>
            </w:r>
            <w:r w:rsidR="00994936" w:rsidRPr="007C1581">
              <w:t>6 </w:t>
            </w:r>
            <w:r w:rsidRPr="007C1581">
              <w:t>(CAVH)</w:t>
            </w:r>
          </w:p>
          <w:p w14:paraId="36FAC83D" w14:textId="77777777" w:rsidR="008D12E7" w:rsidRPr="007C1581" w:rsidRDefault="008D12E7" w:rsidP="0071569C">
            <w:pPr>
              <w:pStyle w:val="Tabulkynormlndoblokuzarovnndoleva"/>
            </w:pPr>
            <w:r w:rsidRPr="007C1581">
              <w:t>1,</w:t>
            </w:r>
            <w:r w:rsidR="00994936" w:rsidRPr="007C1581">
              <w:t>6 </w:t>
            </w:r>
            <w:r w:rsidRPr="007C1581">
              <w:t>(HF)</w:t>
            </w:r>
          </w:p>
        </w:tc>
        <w:tc>
          <w:tcPr>
            <w:tcW w:w="3071" w:type="dxa"/>
            <w:shd w:val="clear" w:color="auto" w:fill="auto"/>
          </w:tcPr>
          <w:p w14:paraId="4DE0948A" w14:textId="77777777" w:rsidR="008D12E7" w:rsidRPr="007C1581" w:rsidRDefault="008D12E7" w:rsidP="0071569C">
            <w:pPr>
              <w:pStyle w:val="Tabulkynormlndoblokuzarovnndoleva"/>
            </w:pPr>
            <w:r w:rsidRPr="007C1581">
              <w:t>75</w:t>
            </w:r>
            <w:r w:rsidR="00994936" w:rsidRPr="007C1581">
              <w:t>0 </w:t>
            </w:r>
            <w:r w:rsidRPr="007C1581">
              <w:t>mg dvakrát denne; pri nízkoprietokovej (low-flux) hemofiltrácii sa má dodržiavať dávkovanie odporúčané pri poruche funkcie obličiek.</w:t>
            </w:r>
          </w:p>
        </w:tc>
      </w:tr>
    </w:tbl>
    <w:p w14:paraId="51AE8259" w14:textId="77777777" w:rsidR="008D12E7" w:rsidRPr="007C1581" w:rsidRDefault="008D12E7" w:rsidP="0071569C">
      <w:pPr>
        <w:pStyle w:val="Normlndobloku"/>
      </w:pPr>
    </w:p>
    <w:p w14:paraId="2ECB7A5B" w14:textId="77777777" w:rsidR="008E0BBE" w:rsidRPr="007C1581" w:rsidRDefault="008E0BBE" w:rsidP="0071569C">
      <w:pPr>
        <w:pStyle w:val="Styl3"/>
      </w:pPr>
      <w:r w:rsidRPr="007C1581">
        <w:t>Porucha funkcie pečene</w:t>
      </w:r>
    </w:p>
    <w:p w14:paraId="4F21CFB9" w14:textId="5626BAD5" w:rsidR="008E0BBE" w:rsidRPr="007C1581" w:rsidRDefault="008E0BBE" w:rsidP="0071569C">
      <w:pPr>
        <w:pStyle w:val="Normlndobloku"/>
      </w:pPr>
      <w:r w:rsidRPr="007C1581">
        <w:t>Cefuroxím sa vylučuje prevažne obličkami.</w:t>
      </w:r>
      <w:r w:rsidR="00021F6F" w:rsidRPr="007C1581">
        <w:t xml:space="preserve"> </w:t>
      </w:r>
      <w:r w:rsidR="00D849B2">
        <w:t>U</w:t>
      </w:r>
      <w:r w:rsidR="00021F6F" w:rsidRPr="007C1581">
        <w:t> </w:t>
      </w:r>
      <w:r w:rsidRPr="007C1581">
        <w:t>pacientov</w:t>
      </w:r>
      <w:r w:rsidR="00021F6F" w:rsidRPr="007C1581">
        <w:t xml:space="preserve"> s </w:t>
      </w:r>
      <w:r w:rsidRPr="007C1581">
        <w:t>poruchou funkcie pečene sa neočakáva, že táto porucha bude mať vplyv na farmakokinetiky cefuroxímu.</w:t>
      </w:r>
    </w:p>
    <w:p w14:paraId="5F2ABDCD" w14:textId="77777777" w:rsidR="002C6A3E" w:rsidRPr="007C1581" w:rsidRDefault="002C6A3E" w:rsidP="00F8196D">
      <w:pPr>
        <w:pStyle w:val="Nadpisuvnittabulky"/>
      </w:pPr>
    </w:p>
    <w:p w14:paraId="05C05A43" w14:textId="77777777" w:rsidR="008E0BBE" w:rsidRPr="007C1581" w:rsidRDefault="008E0BBE" w:rsidP="005D142A">
      <w:pPr>
        <w:pStyle w:val="Nadpisuvnittabulky"/>
      </w:pPr>
      <w:r w:rsidRPr="007C1581">
        <w:t>Spôsob podania</w:t>
      </w:r>
    </w:p>
    <w:p w14:paraId="3F536853" w14:textId="77777777" w:rsidR="008E0BBE" w:rsidRPr="007C1581" w:rsidRDefault="008E0BBE" w:rsidP="0071569C">
      <w:pPr>
        <w:pStyle w:val="Normlndobloku"/>
      </w:pPr>
      <w:r w:rsidRPr="007C1581">
        <w:t xml:space="preserve">AXETINE sa má podávať intravenóznou injekciou trvajúcou </w:t>
      </w:r>
      <w:r w:rsidR="00994936" w:rsidRPr="007C1581">
        <w:t>3 </w:t>
      </w:r>
      <w:r w:rsidRPr="007C1581">
        <w:t xml:space="preserve">až </w:t>
      </w:r>
      <w:r w:rsidR="00994936" w:rsidRPr="007C1581">
        <w:t>5 </w:t>
      </w:r>
      <w:r w:rsidRPr="007C1581">
        <w:t>minút priamo do žily alebo do infúznej hadičky alebo infúziou trvajúcou 3</w:t>
      </w:r>
      <w:r w:rsidR="00994936" w:rsidRPr="007C1581">
        <w:t>0 </w:t>
      </w:r>
      <w:r w:rsidRPr="007C1581">
        <w:t>až 6</w:t>
      </w:r>
      <w:r w:rsidR="00994936" w:rsidRPr="007C1581">
        <w:t>0 </w:t>
      </w:r>
      <w:r w:rsidRPr="007C1581">
        <w:t>minút, alebo hlbokou intramuskulárnou injekciou. Pokyny na rekonštitúciu lieku pred podaním, pozri časť 6.6.</w:t>
      </w:r>
    </w:p>
    <w:p w14:paraId="7DD60387" w14:textId="77777777" w:rsidR="00D16EA1" w:rsidRPr="007C1581" w:rsidRDefault="00D16EA1" w:rsidP="0071569C">
      <w:pPr>
        <w:pStyle w:val="Normlndobloku"/>
      </w:pPr>
    </w:p>
    <w:p w14:paraId="165247E8" w14:textId="77777777" w:rsidR="008E0BBE" w:rsidRPr="007C1581" w:rsidRDefault="008E0BBE" w:rsidP="00D16EA1">
      <w:pPr>
        <w:pStyle w:val="Styl2"/>
      </w:pPr>
      <w:r w:rsidRPr="007C1581">
        <w:t>Kontraindikácie</w:t>
      </w:r>
    </w:p>
    <w:p w14:paraId="6D9D5E7A" w14:textId="77777777" w:rsidR="00D16EA1" w:rsidRPr="007C1581" w:rsidRDefault="00D16EA1" w:rsidP="0071569C">
      <w:pPr>
        <w:pStyle w:val="Normlndobloku"/>
      </w:pPr>
    </w:p>
    <w:p w14:paraId="493E6E4C" w14:textId="77777777" w:rsidR="002C6A3E" w:rsidRPr="007C1581" w:rsidRDefault="008E0BBE" w:rsidP="0071569C">
      <w:pPr>
        <w:pStyle w:val="Normlndoblokusodrkami"/>
      </w:pPr>
      <w:r w:rsidRPr="007C1581">
        <w:t xml:space="preserve">Precitlivenosť na </w:t>
      </w:r>
      <w:r w:rsidR="00445774">
        <w:t>cefurox</w:t>
      </w:r>
      <w:r w:rsidR="002E0B42">
        <w:t>í</w:t>
      </w:r>
      <w:r w:rsidR="00445774">
        <w:t>m</w:t>
      </w:r>
    </w:p>
    <w:p w14:paraId="7B1A3CBC" w14:textId="77777777" w:rsidR="008E0BBE" w:rsidRPr="007C1581" w:rsidRDefault="008E0BBE" w:rsidP="0071569C">
      <w:pPr>
        <w:pStyle w:val="Normlndoblokusodrkami"/>
      </w:pPr>
      <w:r w:rsidRPr="007C1581">
        <w:t>Pacienti so známou precitlivenosťou</w:t>
      </w:r>
      <w:r w:rsidR="008D461B">
        <w:t xml:space="preserve"> na cefalosporínové antibiotiká</w:t>
      </w:r>
    </w:p>
    <w:p w14:paraId="3899046A" w14:textId="77777777" w:rsidR="008E0BBE" w:rsidRPr="007C1581" w:rsidRDefault="008E0BBE" w:rsidP="0071569C">
      <w:pPr>
        <w:pStyle w:val="Normlndoblokusodrkami"/>
      </w:pPr>
      <w:r w:rsidRPr="007C1581">
        <w:t>Závažná precitlivenosť (napr. anafylaktická reakcia) na akýkoľvek iný typ betalaktámovej antibakteriálnej látky (penicilíny, monobaktámy</w:t>
      </w:r>
      <w:r w:rsidR="00021F6F" w:rsidRPr="007C1581">
        <w:t xml:space="preserve"> a </w:t>
      </w:r>
      <w:r w:rsidRPr="007C1581">
        <w:t>karbapenémy)</w:t>
      </w:r>
      <w:r w:rsidR="00021F6F" w:rsidRPr="007C1581">
        <w:t xml:space="preserve"> v </w:t>
      </w:r>
      <w:r w:rsidR="008D461B">
        <w:t>anamnéze</w:t>
      </w:r>
    </w:p>
    <w:p w14:paraId="614B23C2" w14:textId="77777777" w:rsidR="00D16EA1" w:rsidRPr="007C1581" w:rsidRDefault="00D16EA1" w:rsidP="0071569C">
      <w:pPr>
        <w:pStyle w:val="Normlndobloku"/>
      </w:pPr>
    </w:p>
    <w:p w14:paraId="1AA7ADBC" w14:textId="77777777" w:rsidR="008E0BBE" w:rsidRPr="007C1581" w:rsidRDefault="008E0BBE" w:rsidP="00D16EA1">
      <w:pPr>
        <w:pStyle w:val="Styl2"/>
      </w:pPr>
      <w:r w:rsidRPr="007C1581">
        <w:t>Osobitné upozornenia</w:t>
      </w:r>
      <w:r w:rsidR="00021F6F" w:rsidRPr="007C1581">
        <w:t xml:space="preserve"> a </w:t>
      </w:r>
      <w:r w:rsidRPr="007C1581">
        <w:t>opatrenia pri používaní</w:t>
      </w:r>
    </w:p>
    <w:p w14:paraId="2DC0BA1F" w14:textId="77777777" w:rsidR="00D16EA1" w:rsidRPr="007C1581" w:rsidRDefault="00D16EA1" w:rsidP="0071569C">
      <w:pPr>
        <w:pStyle w:val="Styl3"/>
      </w:pPr>
    </w:p>
    <w:p w14:paraId="55B11346" w14:textId="77777777" w:rsidR="008E0BBE" w:rsidRPr="007C1581" w:rsidRDefault="008E0BBE" w:rsidP="0071569C">
      <w:pPr>
        <w:pStyle w:val="Styl3"/>
      </w:pPr>
      <w:r w:rsidRPr="007C1581">
        <w:t>Reakcie</w:t>
      </w:r>
      <w:r w:rsidR="00021F6F" w:rsidRPr="007C1581">
        <w:t xml:space="preserve"> z </w:t>
      </w:r>
      <w:r w:rsidRPr="007C1581">
        <w:t>precitlivenosti</w:t>
      </w:r>
    </w:p>
    <w:p w14:paraId="053D405F" w14:textId="77777777" w:rsidR="008E0BBE" w:rsidRPr="007C1581" w:rsidRDefault="008E0BBE" w:rsidP="0071569C">
      <w:pPr>
        <w:pStyle w:val="Normlndobloku"/>
      </w:pPr>
      <w:r w:rsidRPr="007C1581">
        <w:t>Tak ako pri všetkých betalaktámových antibakteriálnych látkach, hlásené boli závažné</w:t>
      </w:r>
      <w:r w:rsidR="00021F6F" w:rsidRPr="007C1581">
        <w:t xml:space="preserve"> a </w:t>
      </w:r>
      <w:r w:rsidRPr="007C1581">
        <w:t>občas fatálne reakcie</w:t>
      </w:r>
      <w:r w:rsidR="00021F6F" w:rsidRPr="007C1581">
        <w:t xml:space="preserve"> z </w:t>
      </w:r>
      <w:r w:rsidRPr="007C1581">
        <w:t>precitlivenosti.</w:t>
      </w:r>
      <w:r w:rsidR="00021F6F" w:rsidRPr="007C1581">
        <w:t xml:space="preserve"> </w:t>
      </w:r>
      <w:r w:rsidR="002C6A3E" w:rsidRPr="007C1581">
        <w:t>V</w:t>
      </w:r>
      <w:r w:rsidR="00021F6F" w:rsidRPr="007C1581">
        <w:t> </w:t>
      </w:r>
      <w:r w:rsidRPr="007C1581">
        <w:t>prípade závažných reakcií</w:t>
      </w:r>
      <w:r w:rsidR="00021F6F" w:rsidRPr="007C1581">
        <w:t xml:space="preserve"> z </w:t>
      </w:r>
      <w:r w:rsidRPr="007C1581">
        <w:t>precitlivenosti sa musí liečba cefuroxímom ihneď ukončiť</w:t>
      </w:r>
      <w:r w:rsidR="00021F6F" w:rsidRPr="007C1581">
        <w:t xml:space="preserve"> a </w:t>
      </w:r>
      <w:r w:rsidRPr="007C1581">
        <w:t>musia sa prijať náležité pohotovostné opatrenia.</w:t>
      </w:r>
    </w:p>
    <w:p w14:paraId="19DB2B1F" w14:textId="77777777" w:rsidR="002C6A3E" w:rsidRPr="007C1581" w:rsidRDefault="002C6A3E" w:rsidP="0071569C">
      <w:pPr>
        <w:pStyle w:val="Normlndobloku"/>
      </w:pPr>
    </w:p>
    <w:p w14:paraId="0811F6FE" w14:textId="77777777" w:rsidR="008E0BBE" w:rsidRPr="007C1581" w:rsidRDefault="008E0BBE" w:rsidP="0071569C">
      <w:pPr>
        <w:pStyle w:val="Normlndobloku"/>
      </w:pPr>
      <w:r w:rsidRPr="007C1581">
        <w:t>Pred začiatkom liečby treba zistiť, či pacient má</w:t>
      </w:r>
      <w:r w:rsidR="00021F6F" w:rsidRPr="007C1581">
        <w:t xml:space="preserve"> v </w:t>
      </w:r>
      <w:r w:rsidRPr="007C1581">
        <w:t>anamnéze závažné reakcie</w:t>
      </w:r>
      <w:r w:rsidR="00021F6F" w:rsidRPr="007C1581">
        <w:t xml:space="preserve"> z </w:t>
      </w:r>
      <w:r w:rsidRPr="007C1581">
        <w:t>precitlivenosti na cefuroxím, na iné cefalosporíny alebo na akýkoľvek iný typ betalaktámovej látky. Vyžaduje sa obozretnosť, ak sa cefuroxím podáva pacientom, ktorí majú</w:t>
      </w:r>
      <w:r w:rsidR="00021F6F" w:rsidRPr="007C1581">
        <w:t xml:space="preserve"> v </w:t>
      </w:r>
      <w:r w:rsidRPr="007C1581">
        <w:t>anamnéze nezávažnú precitlivenosť na iné betalaktámové látky.</w:t>
      </w:r>
    </w:p>
    <w:p w14:paraId="343D20A0" w14:textId="77777777" w:rsidR="002C6A3E" w:rsidRPr="007C1581" w:rsidRDefault="002C6A3E" w:rsidP="0071569C">
      <w:pPr>
        <w:pStyle w:val="Styl3"/>
      </w:pPr>
    </w:p>
    <w:p w14:paraId="2819765D" w14:textId="77777777" w:rsidR="008E0BBE" w:rsidRPr="007C1581" w:rsidRDefault="008E0BBE" w:rsidP="0071569C">
      <w:pPr>
        <w:pStyle w:val="Styl3"/>
      </w:pPr>
      <w:r w:rsidRPr="007C1581">
        <w:t>Súbežná liečba silne účinnými diuretikami alebo aminoglykozidmi</w:t>
      </w:r>
    </w:p>
    <w:p w14:paraId="73DE9843" w14:textId="77777777" w:rsidR="008E0BBE" w:rsidRPr="007C1581" w:rsidRDefault="008E0BBE" w:rsidP="0071569C">
      <w:pPr>
        <w:pStyle w:val="Normlndobloku"/>
      </w:pPr>
      <w:r w:rsidRPr="007C1581">
        <w:t>Vysoké dávky cefalosporínových antibiotík sa majú podávať obozretne pacientom, ktorí sú súbežne liečení silne účinnými diuretikami, napríklad furosemidom, alebo aminoglykozidmi. Počas podávania týchto kombinácií bola hlásená porucha funkcie obličiek. Funkciu obličiek treba sledovať</w:t>
      </w:r>
      <w:r w:rsidR="00021F6F" w:rsidRPr="007C1581">
        <w:t xml:space="preserve"> u </w:t>
      </w:r>
      <w:r w:rsidRPr="007C1581">
        <w:t>starších pacientov</w:t>
      </w:r>
      <w:r w:rsidR="00021F6F" w:rsidRPr="007C1581">
        <w:t xml:space="preserve"> a u </w:t>
      </w:r>
      <w:r w:rsidRPr="007C1581">
        <w:t>pacientov so známou už existujúcou poruchou funkcie obličiek (pozri časť 4.2).</w:t>
      </w:r>
    </w:p>
    <w:p w14:paraId="3D84314F" w14:textId="77777777" w:rsidR="002C6A3E" w:rsidRPr="007C1581" w:rsidRDefault="002C6A3E" w:rsidP="0071569C">
      <w:pPr>
        <w:pStyle w:val="Styl3"/>
      </w:pPr>
    </w:p>
    <w:p w14:paraId="13647DFE" w14:textId="77777777" w:rsidR="008E0BBE" w:rsidRPr="007C1581" w:rsidRDefault="008E0BBE" w:rsidP="0071569C">
      <w:pPr>
        <w:pStyle w:val="Styl3"/>
      </w:pPr>
      <w:r w:rsidRPr="007C1581">
        <w:t>P</w:t>
      </w:r>
      <w:r w:rsidR="002C6A3E" w:rsidRPr="007C1581">
        <w:t>re</w:t>
      </w:r>
      <w:r w:rsidRPr="007C1581">
        <w:t>množenie necitlivých mikroorganizmov</w:t>
      </w:r>
    </w:p>
    <w:p w14:paraId="11422808" w14:textId="77777777" w:rsidR="008E0BBE" w:rsidRPr="007C1581" w:rsidRDefault="008E0BBE" w:rsidP="0071569C">
      <w:pPr>
        <w:pStyle w:val="Normlndobloku"/>
      </w:pPr>
      <w:r w:rsidRPr="007C1581">
        <w:t>Použitie cefuroxímu môže mať za následok p</w:t>
      </w:r>
      <w:r w:rsidR="002C6A3E" w:rsidRPr="007C1581">
        <w:t>re</w:t>
      </w:r>
      <w:r w:rsidRPr="007C1581">
        <w:t xml:space="preserve">množenie kvasiniek rodu </w:t>
      </w:r>
      <w:r w:rsidRPr="007C1581">
        <w:rPr>
          <w:rStyle w:val="Bacil"/>
        </w:rPr>
        <w:t>Candida</w:t>
      </w:r>
      <w:r w:rsidRPr="007C1581">
        <w:t>. Pri dlhodobom podávaní môže dôjsť</w:t>
      </w:r>
      <w:r w:rsidR="00021F6F" w:rsidRPr="007C1581">
        <w:t xml:space="preserve"> k </w:t>
      </w:r>
      <w:r w:rsidRPr="007C1581">
        <w:t>p</w:t>
      </w:r>
      <w:r w:rsidR="002C6A3E" w:rsidRPr="007C1581">
        <w:t>re</w:t>
      </w:r>
      <w:r w:rsidRPr="007C1581">
        <w:t xml:space="preserve">množeniu necitlivých mikroorganizmov (napr. enterokoky, </w:t>
      </w:r>
      <w:r w:rsidRPr="007C1581">
        <w:rPr>
          <w:rStyle w:val="Bacil"/>
        </w:rPr>
        <w:t>Clostridium difficile</w:t>
      </w:r>
      <w:r w:rsidRPr="007C1581">
        <w:t>), čo si môže vyžiadať prerušenie liečby (pozri časť 4.8).</w:t>
      </w:r>
    </w:p>
    <w:p w14:paraId="32067B92" w14:textId="77777777" w:rsidR="002C6A3E" w:rsidRPr="007C1581" w:rsidRDefault="002C6A3E" w:rsidP="0071569C">
      <w:pPr>
        <w:pStyle w:val="Normlndobloku"/>
      </w:pPr>
    </w:p>
    <w:p w14:paraId="3DBF6083" w14:textId="77777777" w:rsidR="008E0BBE" w:rsidRPr="007C1581" w:rsidRDefault="008E0BBE" w:rsidP="0071569C">
      <w:pPr>
        <w:pStyle w:val="Normlndobloku"/>
      </w:pPr>
      <w:r w:rsidRPr="007C1581">
        <w:t>Pri použití cefuroxímu bola hlásená pseudomembranózna kolitída súvisiaca</w:t>
      </w:r>
      <w:r w:rsidR="00021F6F" w:rsidRPr="007C1581">
        <w:t xml:space="preserve"> s </w:t>
      </w:r>
      <w:r w:rsidRPr="007C1581">
        <w:t>podávaním antibakteriálnych látok</w:t>
      </w:r>
      <w:r w:rsidR="00021F6F" w:rsidRPr="007C1581">
        <w:t xml:space="preserve"> a </w:t>
      </w:r>
      <w:r w:rsidRPr="007C1581">
        <w:t xml:space="preserve">jej závažnosť sa môže pohybovať od miernej až po život ohrozujúcu. Táto </w:t>
      </w:r>
      <w:r w:rsidRPr="007C1581">
        <w:lastRenderedPageBreak/>
        <w:t>diagnóza sa má vziať do úvahy</w:t>
      </w:r>
      <w:r w:rsidR="00021F6F" w:rsidRPr="007C1581">
        <w:t xml:space="preserve"> u </w:t>
      </w:r>
      <w:r w:rsidRPr="007C1581">
        <w:t>pacientov, ktorí trpia hnačkou počas podávania cefuroxímu alebo následne po jeho vysadení (pozri časť 4.8). Má sa zvážiť ukončenie liečby cefuroxímom</w:t>
      </w:r>
      <w:r w:rsidR="00021F6F" w:rsidRPr="007C1581">
        <w:t xml:space="preserve"> a </w:t>
      </w:r>
      <w:r w:rsidRPr="007C1581">
        <w:t xml:space="preserve">podanie špecifickej liečby zameranej na </w:t>
      </w:r>
      <w:r w:rsidRPr="007C1581">
        <w:rPr>
          <w:rStyle w:val="Bacil"/>
        </w:rPr>
        <w:t>Clostridium difficile</w:t>
      </w:r>
      <w:r w:rsidRPr="007C1581">
        <w:t>. Lieky, ktoré inhibujú peristaltiku, sa nemajú podávať.</w:t>
      </w:r>
    </w:p>
    <w:p w14:paraId="71E65E93" w14:textId="77777777" w:rsidR="002C6A3E" w:rsidRPr="007C1581" w:rsidRDefault="002C6A3E" w:rsidP="0071569C">
      <w:pPr>
        <w:pStyle w:val="Styl3"/>
      </w:pPr>
    </w:p>
    <w:p w14:paraId="2DC71734" w14:textId="77777777" w:rsidR="008E0BBE" w:rsidRPr="007C1581" w:rsidRDefault="008E0BBE" w:rsidP="0071569C">
      <w:pPr>
        <w:pStyle w:val="Styl3"/>
      </w:pPr>
      <w:r w:rsidRPr="007C1581">
        <w:t>Intraabdominálne infekcie</w:t>
      </w:r>
    </w:p>
    <w:p w14:paraId="49D1EBA6" w14:textId="77777777" w:rsidR="008E0BBE" w:rsidRPr="007C1581" w:rsidRDefault="008E0BBE" w:rsidP="0071569C">
      <w:pPr>
        <w:pStyle w:val="Normlndobloku"/>
      </w:pPr>
      <w:r w:rsidRPr="007C1581">
        <w:t>Vzhľadom na jeho spektrum účinku nie je cefuroxím vhodný na liečbu infekcií vyvolaných gramnegatívnymi nefermentujúcimi baktériami (pozri časť 5.1).</w:t>
      </w:r>
    </w:p>
    <w:p w14:paraId="154A1D45" w14:textId="77777777" w:rsidR="002C6A3E" w:rsidRPr="007C1581" w:rsidRDefault="002C6A3E" w:rsidP="0071569C">
      <w:pPr>
        <w:pStyle w:val="Styl3"/>
      </w:pPr>
    </w:p>
    <w:p w14:paraId="57518B00" w14:textId="77777777" w:rsidR="008E0BBE" w:rsidRPr="007C1581" w:rsidRDefault="008E0BBE" w:rsidP="0071569C">
      <w:pPr>
        <w:pStyle w:val="Styl3"/>
      </w:pPr>
      <w:r w:rsidRPr="007C1581">
        <w:t>Interferencia</w:t>
      </w:r>
      <w:r w:rsidR="00021F6F" w:rsidRPr="007C1581">
        <w:t xml:space="preserve"> s </w:t>
      </w:r>
      <w:r w:rsidRPr="007C1581">
        <w:t xml:space="preserve">diagnostickými </w:t>
      </w:r>
      <w:r w:rsidR="00B7573D" w:rsidRPr="007C1581">
        <w:t>testami</w:t>
      </w:r>
    </w:p>
    <w:p w14:paraId="6E4E5BE9" w14:textId="77777777" w:rsidR="008E0BBE" w:rsidRPr="007C1581" w:rsidRDefault="008E0BBE" w:rsidP="0071569C">
      <w:pPr>
        <w:pStyle w:val="Normlndobloku"/>
      </w:pPr>
      <w:r w:rsidRPr="007C1581">
        <w:t>Použitie cefuroxímu je spájané</w:t>
      </w:r>
      <w:r w:rsidR="00021F6F" w:rsidRPr="007C1581">
        <w:t xml:space="preserve"> s </w:t>
      </w:r>
      <w:r w:rsidRPr="007C1581">
        <w:t>pozitivitou Coombsovho testu, čo môže interferovať</w:t>
      </w:r>
      <w:r w:rsidR="00021F6F" w:rsidRPr="007C1581">
        <w:t xml:space="preserve"> s </w:t>
      </w:r>
      <w:r w:rsidRPr="007C1581">
        <w:t>krížovou krvnou skúškou (pozri časť 4.8).</w:t>
      </w:r>
    </w:p>
    <w:p w14:paraId="4F28DC79" w14:textId="77777777" w:rsidR="007911F5" w:rsidRPr="007C1581" w:rsidRDefault="007911F5" w:rsidP="0071569C">
      <w:pPr>
        <w:pStyle w:val="Normlndobloku"/>
      </w:pPr>
    </w:p>
    <w:p w14:paraId="6D9EFE46" w14:textId="77777777" w:rsidR="008E0BBE" w:rsidRPr="007C1581" w:rsidRDefault="008E0BBE" w:rsidP="0071569C">
      <w:pPr>
        <w:pStyle w:val="Normlndobloku"/>
      </w:pPr>
      <w:r w:rsidRPr="007C1581">
        <w:t>Môže sa pozorovať mierna interferencia</w:t>
      </w:r>
      <w:r w:rsidR="00021F6F" w:rsidRPr="007C1581">
        <w:t xml:space="preserve"> s </w:t>
      </w:r>
      <w:r w:rsidRPr="007C1581">
        <w:t>metódami založenými na redukcii medi (s Benedictovým činidlom, Fehlingovým roztokom alebo</w:t>
      </w:r>
      <w:r w:rsidR="00021F6F" w:rsidRPr="007C1581">
        <w:t xml:space="preserve"> s </w:t>
      </w:r>
      <w:r w:rsidRPr="007C1581">
        <w:t>tabletami Clinitest). Nemalo by to však viesť</w:t>
      </w:r>
      <w:r w:rsidR="00021F6F" w:rsidRPr="007C1581">
        <w:t xml:space="preserve"> k </w:t>
      </w:r>
      <w:r w:rsidRPr="007C1581">
        <w:t>falošne pozitívnym výsledkom,</w:t>
      </w:r>
      <w:r w:rsidR="00021F6F" w:rsidRPr="007C1581">
        <w:t xml:space="preserve"> k </w:t>
      </w:r>
      <w:r w:rsidRPr="007C1581">
        <w:t>čomu môže dochádzať pri použití niektorých iných cefalosporínov.</w:t>
      </w:r>
    </w:p>
    <w:p w14:paraId="078DA7FD" w14:textId="77777777" w:rsidR="007911F5" w:rsidRPr="007C1581" w:rsidRDefault="007911F5" w:rsidP="0071569C">
      <w:pPr>
        <w:pStyle w:val="Normlndobloku"/>
      </w:pPr>
    </w:p>
    <w:p w14:paraId="60723F65" w14:textId="77777777" w:rsidR="008E0BBE" w:rsidRPr="007C1581" w:rsidRDefault="008E0BBE" w:rsidP="0071569C">
      <w:pPr>
        <w:pStyle w:val="Normlndobloku"/>
      </w:pPr>
      <w:r w:rsidRPr="007C1581">
        <w:t>Keďže pri stanovení glykémie ferikyanidovou metódou môže dôjsť</w:t>
      </w:r>
      <w:r w:rsidR="00021F6F" w:rsidRPr="007C1581">
        <w:t xml:space="preserve"> k </w:t>
      </w:r>
      <w:r w:rsidRPr="007C1581">
        <w:t>falošnej negativite,</w:t>
      </w:r>
      <w:r w:rsidR="00021F6F" w:rsidRPr="007C1581">
        <w:t xml:space="preserve"> u </w:t>
      </w:r>
      <w:r w:rsidRPr="007C1581">
        <w:t>pacientov liečených sodnou soľou cefuroxímu sa na stanovenie hladín glukózy</w:t>
      </w:r>
      <w:r w:rsidR="00021F6F" w:rsidRPr="007C1581">
        <w:t xml:space="preserve"> v </w:t>
      </w:r>
      <w:r w:rsidRPr="007C1581">
        <w:t>krvi/plazme odporúča používať buď glukózooxidázovú, alebo hexokinázovú metódu.</w:t>
      </w:r>
    </w:p>
    <w:p w14:paraId="19F6DF29" w14:textId="77777777" w:rsidR="007911F5" w:rsidRPr="007C1581" w:rsidRDefault="007911F5" w:rsidP="0071569C">
      <w:pPr>
        <w:pStyle w:val="Styl3"/>
      </w:pPr>
    </w:p>
    <w:p w14:paraId="2EDBD6BA" w14:textId="77777777" w:rsidR="001D540B" w:rsidRDefault="001D540B" w:rsidP="0071569C">
      <w:pPr>
        <w:pStyle w:val="Styl3"/>
      </w:pPr>
      <w:r>
        <w:t>Intrakamerálne použitie a poruchy oka</w:t>
      </w:r>
    </w:p>
    <w:p w14:paraId="42C96534" w14:textId="77777777" w:rsidR="001D540B" w:rsidRDefault="001D540B" w:rsidP="007B0036">
      <w:pPr>
        <w:pStyle w:val="Normlndobloku"/>
      </w:pPr>
      <w:r>
        <w:t>AXETINE  nie je určený na intrakamerálne použitie (t. j. na podanie formou intraokulárnej injekcie do prednej komory oka). Po neschválenom intrakamerálnom použití sodnej soli cefuroxímu pripravenej z injekčných liekoviek a schválenej na intravenózne/intramuskulárne podanie boli hlásené individuálne prípady a kombinácie závažných očných nežiaducich reakcií. Tieto reakcie zahŕňali edém makuly, edém sietnice, odlúpenie sietnice, toxické účinky na sietnicu, poruchu zraku, zníženú zrakovú ostrosť, rozmazané videnie, zákal rohovky a edém rohovky.</w:t>
      </w:r>
    </w:p>
    <w:p w14:paraId="433C483E" w14:textId="77777777" w:rsidR="001D540B" w:rsidRDefault="001D540B" w:rsidP="0071569C">
      <w:pPr>
        <w:pStyle w:val="Styl3"/>
      </w:pPr>
    </w:p>
    <w:p w14:paraId="7AAC4FE1" w14:textId="77777777" w:rsidR="008E0BBE" w:rsidRPr="007C1581" w:rsidRDefault="008E0BBE" w:rsidP="0071569C">
      <w:pPr>
        <w:pStyle w:val="Styl3"/>
      </w:pPr>
      <w:r w:rsidRPr="007C1581">
        <w:t>Dôležité informácie</w:t>
      </w:r>
      <w:r w:rsidR="00021F6F" w:rsidRPr="007C1581">
        <w:t xml:space="preserve"> o </w:t>
      </w:r>
      <w:r w:rsidRPr="007C1581">
        <w:t>pomocných látkach</w:t>
      </w:r>
    </w:p>
    <w:p w14:paraId="3F817761" w14:textId="77777777" w:rsidR="008E0BBE" w:rsidRPr="007C1581" w:rsidRDefault="008E0BBE" w:rsidP="0071569C">
      <w:pPr>
        <w:pStyle w:val="Normlndobloku"/>
      </w:pPr>
      <w:r w:rsidRPr="007C1581">
        <w:t>AXETINE vo forme prášku na injekčný</w:t>
      </w:r>
      <w:r w:rsidR="00021F6F" w:rsidRPr="007C1581">
        <w:t xml:space="preserve"> a </w:t>
      </w:r>
      <w:r w:rsidRPr="007C1581">
        <w:t>infúzny roztok obsahuje sodík. Toto treba vziať do úvahy</w:t>
      </w:r>
      <w:r w:rsidR="00021F6F" w:rsidRPr="007C1581">
        <w:t xml:space="preserve"> u </w:t>
      </w:r>
      <w:r w:rsidRPr="007C1581">
        <w:t>pacientov, ktorí sú na diéte</w:t>
      </w:r>
      <w:r w:rsidR="00021F6F" w:rsidRPr="007C1581">
        <w:t xml:space="preserve"> s </w:t>
      </w:r>
      <w:r w:rsidRPr="007C1581">
        <w:t>kontrolovaným obsahom sodíka.</w:t>
      </w:r>
    </w:p>
    <w:p w14:paraId="64CD9BD4" w14:textId="77777777" w:rsidR="00D16EA1" w:rsidRPr="007C1581" w:rsidRDefault="00D16EA1" w:rsidP="0071569C">
      <w:pPr>
        <w:pStyle w:val="Normlndobloku"/>
      </w:pPr>
    </w:p>
    <w:p w14:paraId="3EDFFAD1" w14:textId="77777777" w:rsidR="008E0BBE" w:rsidRPr="007C1581" w:rsidRDefault="008E0BBE" w:rsidP="00D16EA1">
      <w:pPr>
        <w:pStyle w:val="Styl2"/>
      </w:pPr>
      <w:r w:rsidRPr="007C1581">
        <w:t>Liekové</w:t>
      </w:r>
      <w:r w:rsidR="00021F6F" w:rsidRPr="007C1581">
        <w:t xml:space="preserve"> a </w:t>
      </w:r>
      <w:r w:rsidRPr="007C1581">
        <w:t>iné interakcie</w:t>
      </w:r>
    </w:p>
    <w:p w14:paraId="31A605DC" w14:textId="77777777" w:rsidR="00D16EA1" w:rsidRPr="007C1581" w:rsidRDefault="00D16EA1" w:rsidP="0071569C">
      <w:pPr>
        <w:pStyle w:val="Normlndobloku"/>
      </w:pPr>
    </w:p>
    <w:p w14:paraId="493B8BE8" w14:textId="77777777" w:rsidR="008E0BBE" w:rsidRPr="007C1581" w:rsidRDefault="008E0BBE" w:rsidP="0071569C">
      <w:pPr>
        <w:pStyle w:val="Normlndobloku"/>
      </w:pPr>
      <w:r w:rsidRPr="007C1581">
        <w:t>Cefuroxím môže ovplyvniť črevnú flóru,</w:t>
      </w:r>
      <w:r w:rsidR="00021F6F" w:rsidRPr="007C1581">
        <w:t xml:space="preserve"> a </w:t>
      </w:r>
      <w:r w:rsidRPr="007C1581">
        <w:t>tým viesť</w:t>
      </w:r>
      <w:r w:rsidR="00021F6F" w:rsidRPr="007C1581">
        <w:t xml:space="preserve"> k </w:t>
      </w:r>
      <w:r w:rsidRPr="007C1581">
        <w:t>nižšej reabsorpcii estrogénu</w:t>
      </w:r>
      <w:r w:rsidR="00021F6F" w:rsidRPr="007C1581">
        <w:t xml:space="preserve"> a </w:t>
      </w:r>
      <w:r w:rsidRPr="007C1581">
        <w:t>zníženej účinnosti kombinovaných perorálnych kontraceptív.</w:t>
      </w:r>
    </w:p>
    <w:p w14:paraId="0C732BF6" w14:textId="77777777" w:rsidR="007911F5" w:rsidRPr="007C1581" w:rsidRDefault="007911F5" w:rsidP="0071569C">
      <w:pPr>
        <w:pStyle w:val="Normlndobloku"/>
      </w:pPr>
    </w:p>
    <w:p w14:paraId="396A2654" w14:textId="77777777" w:rsidR="008E0BBE" w:rsidRPr="007C1581" w:rsidRDefault="008E0BBE" w:rsidP="0071569C">
      <w:pPr>
        <w:pStyle w:val="Normlndobloku"/>
      </w:pPr>
      <w:r w:rsidRPr="007C1581">
        <w:t>Cefuroxím sa vylučuje glomerulárnou filtráciou</w:t>
      </w:r>
      <w:r w:rsidR="00021F6F" w:rsidRPr="007C1581">
        <w:t xml:space="preserve"> a </w:t>
      </w:r>
      <w:r w:rsidRPr="007C1581">
        <w:t>tubulárnou sekréciou. Súbežné podávanie probenecidu sa neodporúča. Súbežné podávanie probenecidu predlžuje vylučovanie antibiotika</w:t>
      </w:r>
      <w:r w:rsidR="00021F6F" w:rsidRPr="007C1581">
        <w:t xml:space="preserve"> a </w:t>
      </w:r>
      <w:r w:rsidRPr="007C1581">
        <w:t>zvyšuje jeho maximálnu hladinu</w:t>
      </w:r>
      <w:r w:rsidR="00021F6F" w:rsidRPr="007C1581">
        <w:t xml:space="preserve"> v </w:t>
      </w:r>
      <w:r w:rsidRPr="007C1581">
        <w:t>sére.</w:t>
      </w:r>
    </w:p>
    <w:p w14:paraId="384D3391" w14:textId="77777777" w:rsidR="007911F5" w:rsidRPr="007C1581" w:rsidRDefault="007911F5" w:rsidP="0071569C">
      <w:pPr>
        <w:pStyle w:val="Styl3"/>
      </w:pPr>
    </w:p>
    <w:p w14:paraId="04C00D5B" w14:textId="77777777" w:rsidR="008E0BBE" w:rsidRPr="007C1581" w:rsidRDefault="008E0BBE" w:rsidP="0071569C">
      <w:pPr>
        <w:pStyle w:val="Styl3"/>
      </w:pPr>
      <w:r w:rsidRPr="007C1581">
        <w:t>Potenciálne nefrotoxické liečivá</w:t>
      </w:r>
      <w:r w:rsidR="00021F6F" w:rsidRPr="007C1581">
        <w:t xml:space="preserve"> a </w:t>
      </w:r>
      <w:r w:rsidRPr="007C1581">
        <w:t>slučkové diuretiká</w:t>
      </w:r>
    </w:p>
    <w:p w14:paraId="56CD2111" w14:textId="77777777" w:rsidR="008E0BBE" w:rsidRPr="007C1581" w:rsidRDefault="008E0BBE" w:rsidP="0071569C">
      <w:pPr>
        <w:pStyle w:val="Normlndobloku"/>
      </w:pPr>
      <w:r w:rsidRPr="007C1581">
        <w:t xml:space="preserve">U pacientov, ktorí užívajú silne účinné diuretiká (napríklad furosemid) alebo potenciálne nefrotoxické lieky (napríklad aminoglykozidové antibiotiká), je pri liečbe vysokými dávkami cefalosporínov potrebná obozretnosť, keďže počas podávania takýchto kombinácii nemožno vylúčiť </w:t>
      </w:r>
      <w:r w:rsidR="007911F5" w:rsidRPr="007C1581">
        <w:t xml:space="preserve">poruchu </w:t>
      </w:r>
      <w:r w:rsidRPr="007C1581">
        <w:t>funkcie obličiek.</w:t>
      </w:r>
    </w:p>
    <w:p w14:paraId="167A6E2F" w14:textId="77777777" w:rsidR="007911F5" w:rsidRPr="007C1581" w:rsidRDefault="007911F5" w:rsidP="0071569C">
      <w:pPr>
        <w:pStyle w:val="Styl3"/>
      </w:pPr>
    </w:p>
    <w:p w14:paraId="71E1AEDA" w14:textId="77777777" w:rsidR="008E0BBE" w:rsidRPr="007C1581" w:rsidRDefault="008E0BBE" w:rsidP="0071569C">
      <w:pPr>
        <w:pStyle w:val="Styl3"/>
      </w:pPr>
      <w:r w:rsidRPr="007C1581">
        <w:t>Iné interakcie</w:t>
      </w:r>
    </w:p>
    <w:p w14:paraId="79FDE0B8" w14:textId="77777777" w:rsidR="008E0BBE" w:rsidRPr="007C1581" w:rsidRDefault="008E0BBE" w:rsidP="0071569C">
      <w:pPr>
        <w:pStyle w:val="Normlndobloku"/>
      </w:pPr>
      <w:r w:rsidRPr="007C1581">
        <w:t>Stanovenie hladín glukózy</w:t>
      </w:r>
      <w:r w:rsidR="00021F6F" w:rsidRPr="007C1581">
        <w:t xml:space="preserve"> v </w:t>
      </w:r>
      <w:r w:rsidRPr="007C1581">
        <w:t>krvi/plazme: pozri</w:t>
      </w:r>
      <w:r w:rsidR="001766F2" w:rsidRPr="007C1581">
        <w:t xml:space="preserve"> </w:t>
      </w:r>
      <w:r w:rsidRPr="007C1581">
        <w:t>časť 4.4.</w:t>
      </w:r>
    </w:p>
    <w:p w14:paraId="1BA2F90B" w14:textId="77777777" w:rsidR="008E0BBE" w:rsidRPr="007C1581" w:rsidRDefault="008E0BBE" w:rsidP="0071569C">
      <w:pPr>
        <w:pStyle w:val="Normlndobloku"/>
      </w:pPr>
      <w:r w:rsidRPr="007C1581">
        <w:t>Ak sa cefuroxím podáva súbežne</w:t>
      </w:r>
      <w:r w:rsidR="00021F6F" w:rsidRPr="007C1581">
        <w:t xml:space="preserve"> s </w:t>
      </w:r>
      <w:r w:rsidRPr="007C1581">
        <w:t>perorálnymi antikoagulanciami, môže to spôsobiť zvýšené hodnoty medzinárodného normalizovaného pomeru (INR).</w:t>
      </w:r>
    </w:p>
    <w:p w14:paraId="5638DAC2" w14:textId="77777777" w:rsidR="00D16EA1" w:rsidRPr="007C1581" w:rsidRDefault="00D16EA1" w:rsidP="0071569C">
      <w:pPr>
        <w:pStyle w:val="Normlndobloku"/>
      </w:pPr>
    </w:p>
    <w:p w14:paraId="5E2D346B" w14:textId="77777777" w:rsidR="008E0BBE" w:rsidRPr="007C1581" w:rsidRDefault="008E0BBE" w:rsidP="00D16EA1">
      <w:pPr>
        <w:pStyle w:val="Styl2"/>
      </w:pPr>
      <w:r w:rsidRPr="007C1581">
        <w:t>Fertilita, gravidita</w:t>
      </w:r>
      <w:r w:rsidR="00021F6F" w:rsidRPr="007C1581">
        <w:t xml:space="preserve"> a </w:t>
      </w:r>
      <w:r w:rsidRPr="007C1581">
        <w:t>laktácia</w:t>
      </w:r>
    </w:p>
    <w:p w14:paraId="0740D4F3" w14:textId="77777777" w:rsidR="00D16EA1" w:rsidRPr="007C1581" w:rsidRDefault="00D16EA1" w:rsidP="0071569C">
      <w:pPr>
        <w:pStyle w:val="Styl3"/>
      </w:pPr>
    </w:p>
    <w:p w14:paraId="5D362D37" w14:textId="77777777" w:rsidR="008E0BBE" w:rsidRPr="007C1581" w:rsidRDefault="008E0BBE" w:rsidP="0071569C">
      <w:pPr>
        <w:pStyle w:val="Styl3"/>
      </w:pPr>
      <w:r w:rsidRPr="007C1581">
        <w:lastRenderedPageBreak/>
        <w:t>Gravidita</w:t>
      </w:r>
    </w:p>
    <w:p w14:paraId="02718701" w14:textId="77777777" w:rsidR="008E0BBE" w:rsidRPr="007C1581" w:rsidRDefault="008E0BBE" w:rsidP="0071569C">
      <w:pPr>
        <w:pStyle w:val="Normlndobloku"/>
      </w:pPr>
      <w:r w:rsidRPr="007C1581">
        <w:t>K dispozícii je obmedzené množstvo údajov</w:t>
      </w:r>
      <w:r w:rsidR="00021F6F" w:rsidRPr="007C1581">
        <w:t xml:space="preserve"> o </w:t>
      </w:r>
      <w:r w:rsidRPr="007C1581">
        <w:t>použití cefuroxímu</w:t>
      </w:r>
      <w:r w:rsidR="00021F6F" w:rsidRPr="007C1581">
        <w:t xml:space="preserve"> u </w:t>
      </w:r>
      <w:r w:rsidRPr="007C1581">
        <w:t>gravidných žien. Štúdie na zvieratách nepreukázali reprodukčnú toxicitu (pozri časť 5.3). AXETINE sa má predpisovať gravidným ženám iba vtedy, keď prínos prevažuje nad rizikom.</w:t>
      </w:r>
    </w:p>
    <w:p w14:paraId="5854D3AE" w14:textId="77777777" w:rsidR="007911F5" w:rsidRPr="007C1581" w:rsidRDefault="007911F5" w:rsidP="0071569C">
      <w:pPr>
        <w:pStyle w:val="Normlndobloku"/>
      </w:pPr>
    </w:p>
    <w:p w14:paraId="49499B65" w14:textId="77777777" w:rsidR="008E0BBE" w:rsidRPr="007C1581" w:rsidRDefault="008E0BBE" w:rsidP="0071569C">
      <w:pPr>
        <w:pStyle w:val="Normlndobloku"/>
      </w:pPr>
      <w:r w:rsidRPr="007C1581">
        <w:t>Cefuroxím preukázateľne prechádza placentou</w:t>
      </w:r>
      <w:r w:rsidR="00021F6F" w:rsidRPr="007C1581">
        <w:t xml:space="preserve"> a </w:t>
      </w:r>
      <w:r w:rsidRPr="007C1581">
        <w:t>po dávke podanej intramuskulárne alebo intravenózne matke dosahuje terapeutické hladiny</w:t>
      </w:r>
      <w:r w:rsidR="00021F6F" w:rsidRPr="007C1581">
        <w:t xml:space="preserve"> v </w:t>
      </w:r>
      <w:r w:rsidRPr="007C1581">
        <w:t>amniotickej tekutine</w:t>
      </w:r>
      <w:r w:rsidR="00021F6F" w:rsidRPr="007C1581">
        <w:t xml:space="preserve"> a </w:t>
      </w:r>
      <w:r w:rsidRPr="007C1581">
        <w:t>pupočníkovej krvi.</w:t>
      </w:r>
    </w:p>
    <w:p w14:paraId="27DB52BA" w14:textId="77777777" w:rsidR="00D16EA1" w:rsidRPr="007C1581" w:rsidRDefault="00D16EA1" w:rsidP="0071569C">
      <w:pPr>
        <w:pStyle w:val="Styl3"/>
      </w:pPr>
    </w:p>
    <w:p w14:paraId="240165AA" w14:textId="77777777" w:rsidR="008E0BBE" w:rsidRPr="007C1581" w:rsidRDefault="008E0BBE" w:rsidP="0071569C">
      <w:pPr>
        <w:pStyle w:val="Styl3"/>
      </w:pPr>
      <w:r w:rsidRPr="007C1581">
        <w:t>Laktácia</w:t>
      </w:r>
    </w:p>
    <w:p w14:paraId="64A5F828" w14:textId="77777777" w:rsidR="008E0BBE" w:rsidRPr="007C1581" w:rsidRDefault="008E0BBE" w:rsidP="0071569C">
      <w:pPr>
        <w:pStyle w:val="Normlndobloku"/>
      </w:pPr>
      <w:r w:rsidRPr="007C1581">
        <w:t>Cefuroxím sa</w:t>
      </w:r>
      <w:r w:rsidR="00021F6F" w:rsidRPr="007C1581">
        <w:t xml:space="preserve"> v </w:t>
      </w:r>
      <w:r w:rsidRPr="007C1581">
        <w:t xml:space="preserve">malom množstve vylučuje do ľudského mlieka. Pri podávaní </w:t>
      </w:r>
      <w:r w:rsidR="007911F5" w:rsidRPr="007C1581">
        <w:t xml:space="preserve">liečebných </w:t>
      </w:r>
      <w:r w:rsidRPr="007C1581">
        <w:t>dávok sa nežiaduce reakcie neočakávajú, i keď nemožno vylúčiť riziko vzniku hnačky</w:t>
      </w:r>
      <w:r w:rsidR="00021F6F" w:rsidRPr="007C1581">
        <w:t xml:space="preserve"> a </w:t>
      </w:r>
      <w:r w:rsidRPr="007C1581">
        <w:t>mykotickej infekcie slizníc. Rozhodnutie, či ukončiť dojčenie alebo ukončiť/prerušiť liečbu cefuroxímom sa má urobiť po zvážení prínosu dojčenia pre dieťa</w:t>
      </w:r>
      <w:r w:rsidR="00021F6F" w:rsidRPr="007C1581">
        <w:t xml:space="preserve"> a </w:t>
      </w:r>
      <w:r w:rsidRPr="007C1581">
        <w:t>prínosu liečby pre ženu.</w:t>
      </w:r>
    </w:p>
    <w:p w14:paraId="4E2E08B9" w14:textId="77777777" w:rsidR="00D16EA1" w:rsidRPr="007C1581" w:rsidRDefault="00D16EA1" w:rsidP="0071569C">
      <w:pPr>
        <w:pStyle w:val="Styl3"/>
      </w:pPr>
    </w:p>
    <w:p w14:paraId="57117427" w14:textId="77777777" w:rsidR="008E0BBE" w:rsidRPr="007C1581" w:rsidRDefault="008E0BBE" w:rsidP="0071569C">
      <w:pPr>
        <w:pStyle w:val="Styl3"/>
      </w:pPr>
      <w:r w:rsidRPr="007C1581">
        <w:t>Fertilita</w:t>
      </w:r>
    </w:p>
    <w:p w14:paraId="53A1D8EE" w14:textId="77777777" w:rsidR="008E0BBE" w:rsidRPr="007C1581" w:rsidRDefault="008E0BBE" w:rsidP="0071569C">
      <w:pPr>
        <w:pStyle w:val="Normlndobloku"/>
      </w:pPr>
      <w:r w:rsidRPr="007C1581">
        <w:t>Nie sú</w:t>
      </w:r>
      <w:r w:rsidR="00021F6F" w:rsidRPr="007C1581">
        <w:t xml:space="preserve"> k </w:t>
      </w:r>
      <w:r w:rsidRPr="007C1581">
        <w:t>dispozícii údaje</w:t>
      </w:r>
      <w:r w:rsidR="00021F6F" w:rsidRPr="007C1581">
        <w:t xml:space="preserve"> o </w:t>
      </w:r>
      <w:r w:rsidRPr="007C1581">
        <w:t>účinkoch cefuroxímu na fertilitu</w:t>
      </w:r>
      <w:r w:rsidR="00021F6F" w:rsidRPr="007C1581">
        <w:t xml:space="preserve"> u </w:t>
      </w:r>
      <w:r w:rsidRPr="007C1581">
        <w:t>ľudí. Reprodukčné štúdie na zvieratách nepreukázali žiadne účinky na fertilitu.</w:t>
      </w:r>
    </w:p>
    <w:p w14:paraId="030BF75C" w14:textId="77777777" w:rsidR="00D16EA1" w:rsidRPr="007C1581" w:rsidRDefault="00D16EA1" w:rsidP="0071569C">
      <w:pPr>
        <w:pStyle w:val="Normlndobloku"/>
      </w:pPr>
    </w:p>
    <w:p w14:paraId="7D1D302D" w14:textId="77777777" w:rsidR="008E0BBE" w:rsidRPr="007C1581" w:rsidRDefault="008E0BBE" w:rsidP="00D16EA1">
      <w:pPr>
        <w:pStyle w:val="Styl2"/>
      </w:pPr>
      <w:r w:rsidRPr="007C1581">
        <w:t>Ovplyvnenie schopnosti viesť vozidlá</w:t>
      </w:r>
      <w:r w:rsidR="00021F6F" w:rsidRPr="007C1581">
        <w:t xml:space="preserve"> a </w:t>
      </w:r>
      <w:r w:rsidRPr="007C1581">
        <w:t>obsluhovať stroje</w:t>
      </w:r>
    </w:p>
    <w:p w14:paraId="63CE318C" w14:textId="77777777" w:rsidR="00D16EA1" w:rsidRPr="007C1581" w:rsidRDefault="00D16EA1" w:rsidP="0071569C">
      <w:pPr>
        <w:pStyle w:val="Normlndobloku"/>
      </w:pPr>
    </w:p>
    <w:p w14:paraId="784FBAB9" w14:textId="77777777" w:rsidR="008E0BBE" w:rsidRPr="007C1581" w:rsidRDefault="008E0BBE" w:rsidP="0071569C">
      <w:pPr>
        <w:pStyle w:val="Normlndobloku"/>
      </w:pPr>
      <w:r w:rsidRPr="007C1581">
        <w:t>Neuskutočnili sa žiadne štúdie</w:t>
      </w:r>
      <w:r w:rsidR="00021F6F" w:rsidRPr="007C1581">
        <w:t xml:space="preserve"> o </w:t>
      </w:r>
      <w:r w:rsidRPr="007C1581">
        <w:t>účinkoch cefuroxímu na schopnosť viesť vozidlá</w:t>
      </w:r>
      <w:r w:rsidR="00021F6F" w:rsidRPr="007C1581">
        <w:t xml:space="preserve"> a </w:t>
      </w:r>
      <w:r w:rsidRPr="007C1581">
        <w:t>obsluhovať stroje. Na základe známych nežiaducich reakcií však cefuroxím pravdepodobne nemá účinok na schopnosť viesť vozidlá</w:t>
      </w:r>
      <w:r w:rsidR="00021F6F" w:rsidRPr="007C1581">
        <w:t xml:space="preserve"> a </w:t>
      </w:r>
      <w:r w:rsidRPr="007C1581">
        <w:t>obsluhovať stroje.</w:t>
      </w:r>
    </w:p>
    <w:p w14:paraId="25BB3682" w14:textId="77777777" w:rsidR="00D16EA1" w:rsidRPr="007C1581" w:rsidRDefault="00D16EA1" w:rsidP="0071569C">
      <w:pPr>
        <w:pStyle w:val="Normlndobloku"/>
      </w:pPr>
    </w:p>
    <w:p w14:paraId="1A26D0E7" w14:textId="77777777" w:rsidR="008E0BBE" w:rsidRPr="007C1581" w:rsidRDefault="008E0BBE" w:rsidP="00D16EA1">
      <w:pPr>
        <w:pStyle w:val="Styl2"/>
      </w:pPr>
      <w:r w:rsidRPr="007C1581">
        <w:t>Nežiaduce účinky</w:t>
      </w:r>
    </w:p>
    <w:p w14:paraId="5E28DFD2" w14:textId="77777777" w:rsidR="00D16EA1" w:rsidRPr="007C1581" w:rsidRDefault="00D16EA1" w:rsidP="0071569C">
      <w:pPr>
        <w:pStyle w:val="Normlndobloku"/>
      </w:pPr>
    </w:p>
    <w:p w14:paraId="611F5414" w14:textId="77777777" w:rsidR="008E0BBE" w:rsidRPr="007C1581" w:rsidRDefault="008E0BBE" w:rsidP="0071569C">
      <w:pPr>
        <w:pStyle w:val="Normlndobloku"/>
      </w:pPr>
      <w:r w:rsidRPr="007C1581">
        <w:t>Najčastejšie nežiaduce reakcie sú neutropénia, eozinofília, prechodný vzostup hladín pečeňových enzýmov alebo bilirubínu, najmä</w:t>
      </w:r>
      <w:r w:rsidR="00021F6F" w:rsidRPr="007C1581">
        <w:t xml:space="preserve"> u </w:t>
      </w:r>
      <w:r w:rsidRPr="007C1581">
        <w:t>pacientov</w:t>
      </w:r>
      <w:r w:rsidR="00021F6F" w:rsidRPr="007C1581">
        <w:t xml:space="preserve"> s </w:t>
      </w:r>
      <w:r w:rsidRPr="007C1581">
        <w:t>už existujúcim ochorením pečene, ale nepreukázalo sa poškodenie pečene,</w:t>
      </w:r>
      <w:r w:rsidR="00021F6F" w:rsidRPr="007C1581">
        <w:t xml:space="preserve"> a </w:t>
      </w:r>
      <w:r w:rsidRPr="007C1581">
        <w:t>reakcie</w:t>
      </w:r>
      <w:r w:rsidR="00021F6F" w:rsidRPr="007C1581">
        <w:t xml:space="preserve"> v </w:t>
      </w:r>
      <w:r w:rsidRPr="007C1581">
        <w:t>mieste vpichu.</w:t>
      </w:r>
    </w:p>
    <w:p w14:paraId="09E96679" w14:textId="77777777" w:rsidR="00B75994" w:rsidRPr="007C1581" w:rsidRDefault="00B75994" w:rsidP="0071569C">
      <w:pPr>
        <w:pStyle w:val="Normlndobloku"/>
      </w:pPr>
    </w:p>
    <w:p w14:paraId="5A0CF650" w14:textId="77777777" w:rsidR="008E0BBE" w:rsidRPr="007C1581" w:rsidRDefault="008E0BBE" w:rsidP="0071569C">
      <w:pPr>
        <w:pStyle w:val="Normlndobloku"/>
      </w:pPr>
      <w:r w:rsidRPr="007C1581">
        <w:t>Kategórie frekvencie výskytu priradené</w:t>
      </w:r>
      <w:r w:rsidR="00021F6F" w:rsidRPr="007C1581">
        <w:t xml:space="preserve"> k </w:t>
      </w:r>
      <w:r w:rsidRPr="007C1581">
        <w:t>ďalej uvedeným nežiaducim reakciám sú odhadmi, pretože pri väčšine reakcií neboli</w:t>
      </w:r>
      <w:r w:rsidR="00021F6F" w:rsidRPr="007C1581">
        <w:t xml:space="preserve"> k </w:t>
      </w:r>
      <w:r w:rsidRPr="007C1581">
        <w:t>dispozícii vhodné údaje pre výpočet výskytu. Výskyt nežiaducich reakcií súvisiacich so sodnou soľou cefuroxímu sa okrem toho môže líšiť podľa indikácie.</w:t>
      </w:r>
    </w:p>
    <w:p w14:paraId="3E524A68" w14:textId="77777777" w:rsidR="00B75994" w:rsidRPr="007C1581" w:rsidRDefault="00B75994" w:rsidP="0071569C">
      <w:pPr>
        <w:pStyle w:val="Normlndobloku"/>
      </w:pPr>
    </w:p>
    <w:p w14:paraId="75FD4E78" w14:textId="77777777" w:rsidR="008E0BBE" w:rsidRPr="007C1581" w:rsidRDefault="008E0BBE" w:rsidP="0071569C">
      <w:pPr>
        <w:pStyle w:val="Normlndobloku"/>
      </w:pPr>
      <w:r w:rsidRPr="007C1581">
        <w:t>Na určenie frekvencie výskytu veľmi častých až zriedkavých nežiaducich reakcií sa použili údaje získané</w:t>
      </w:r>
      <w:r w:rsidR="00021F6F" w:rsidRPr="007C1581">
        <w:t xml:space="preserve"> z </w:t>
      </w:r>
      <w:r w:rsidRPr="007C1581">
        <w:t>klinických štúdií. Frekvencie výskytu priradené</w:t>
      </w:r>
      <w:r w:rsidR="00021F6F" w:rsidRPr="007C1581">
        <w:t xml:space="preserve"> k </w:t>
      </w:r>
      <w:r w:rsidRPr="007C1581">
        <w:t>všetkým ostatným nežiaducim reakciám (t.j.</w:t>
      </w:r>
      <w:r w:rsidR="00021F6F" w:rsidRPr="007C1581">
        <w:t xml:space="preserve"> k </w:t>
      </w:r>
      <w:r w:rsidRPr="007C1581">
        <w:t>tým, ktoré sa vyskytovali</w:t>
      </w:r>
      <w:r w:rsidR="00021F6F" w:rsidRPr="007C1581">
        <w:t xml:space="preserve"> u </w:t>
      </w:r>
      <w:r w:rsidRPr="007C1581">
        <w:t>&lt;</w:t>
      </w:r>
      <w:r w:rsidR="00B75994" w:rsidRPr="007C1581">
        <w:t> </w:t>
      </w:r>
      <w:r w:rsidRPr="007C1581">
        <w:t>1/1</w:t>
      </w:r>
      <w:r w:rsidR="00994936" w:rsidRPr="007C1581">
        <w:t>0 </w:t>
      </w:r>
      <w:r w:rsidRPr="007C1581">
        <w:t>000) boli určené hlavne pomocou údajov získaných</w:t>
      </w:r>
      <w:r w:rsidR="00021F6F" w:rsidRPr="007C1581">
        <w:t xml:space="preserve"> v </w:t>
      </w:r>
      <w:r w:rsidRPr="007C1581">
        <w:t>období po uvedení lieku na trh</w:t>
      </w:r>
      <w:r w:rsidR="00021F6F" w:rsidRPr="007C1581">
        <w:t xml:space="preserve"> a </w:t>
      </w:r>
      <w:r w:rsidRPr="007C1581">
        <w:t>vypovedajú skôr</w:t>
      </w:r>
      <w:r w:rsidR="00021F6F" w:rsidRPr="007C1581">
        <w:t xml:space="preserve"> o </w:t>
      </w:r>
      <w:r w:rsidRPr="007C1581">
        <w:t>miere hlásenia ako</w:t>
      </w:r>
      <w:r w:rsidR="00021F6F" w:rsidRPr="007C1581">
        <w:t xml:space="preserve"> o </w:t>
      </w:r>
      <w:r w:rsidRPr="007C1581">
        <w:t>skutočnej frekvencii.</w:t>
      </w:r>
    </w:p>
    <w:p w14:paraId="11B857DE" w14:textId="77777777" w:rsidR="00B75994" w:rsidRPr="007C1581" w:rsidRDefault="00B75994" w:rsidP="0071569C">
      <w:pPr>
        <w:pStyle w:val="Normlndobloku"/>
      </w:pPr>
    </w:p>
    <w:p w14:paraId="680FA64E" w14:textId="77777777" w:rsidR="008E0BBE" w:rsidRPr="007C1581" w:rsidRDefault="008E0BBE" w:rsidP="0071569C">
      <w:pPr>
        <w:pStyle w:val="Normlndobloku"/>
      </w:pPr>
      <w:r w:rsidRPr="007C1581">
        <w:t>Nežiaduce reakcie súvisiace</w:t>
      </w:r>
      <w:r w:rsidR="00021F6F" w:rsidRPr="007C1581">
        <w:t xml:space="preserve"> s </w:t>
      </w:r>
      <w:r w:rsidRPr="007C1581">
        <w:t>liečbou, všetkých stupňov závažnosti, sú ďalej uvedené podľa triedy orgánových systémov MedDRA, frekvencie výskytu</w:t>
      </w:r>
      <w:r w:rsidR="00021F6F" w:rsidRPr="007C1581">
        <w:t xml:space="preserve"> a </w:t>
      </w:r>
      <w:r w:rsidRPr="007C1581">
        <w:t xml:space="preserve">stupňa závažnosti. Na klasifikáciu frekvencie výskytu sa použila nasledujúca konvencia: veľmi časté </w:t>
      </w:r>
      <w:r w:rsidR="001766F2" w:rsidRPr="007C1581">
        <w:t>≥</w:t>
      </w:r>
      <w:r w:rsidRPr="007C1581">
        <w:t xml:space="preserve"> 1/10; časté </w:t>
      </w:r>
      <w:r w:rsidR="001766F2" w:rsidRPr="007C1581">
        <w:t>≥</w:t>
      </w:r>
      <w:r w:rsidRPr="007C1581">
        <w:t xml:space="preserve"> 1/10</w:t>
      </w:r>
      <w:r w:rsidR="00994936" w:rsidRPr="007C1581">
        <w:t>0 </w:t>
      </w:r>
      <w:r w:rsidRPr="007C1581">
        <w:t xml:space="preserve">až &lt; 1/10, menej časté </w:t>
      </w:r>
      <w:r w:rsidR="001766F2" w:rsidRPr="007C1581">
        <w:t>≥</w:t>
      </w:r>
      <w:r w:rsidRPr="007C1581">
        <w:t xml:space="preserve"> 1/</w:t>
      </w:r>
      <w:r w:rsidR="00994936" w:rsidRPr="007C1581">
        <w:t>1 </w:t>
      </w:r>
      <w:r w:rsidRPr="007C1581">
        <w:t>00</w:t>
      </w:r>
      <w:r w:rsidR="00994936" w:rsidRPr="007C1581">
        <w:t>0 </w:t>
      </w:r>
      <w:r w:rsidRPr="007C1581">
        <w:t xml:space="preserve">až &lt; 1/100; zriedkavé </w:t>
      </w:r>
      <w:r w:rsidR="001766F2" w:rsidRPr="007C1581">
        <w:t>≥</w:t>
      </w:r>
      <w:r w:rsidRPr="007C1581">
        <w:t xml:space="preserve"> 1/1</w:t>
      </w:r>
      <w:r w:rsidR="00994936" w:rsidRPr="007C1581">
        <w:t>0 </w:t>
      </w:r>
      <w:r w:rsidRPr="007C1581">
        <w:t>00</w:t>
      </w:r>
      <w:r w:rsidR="00994936" w:rsidRPr="007C1581">
        <w:t>0 </w:t>
      </w:r>
      <w:r w:rsidRPr="007C1581">
        <w:t>až &lt; 1/</w:t>
      </w:r>
      <w:r w:rsidR="00994936" w:rsidRPr="007C1581">
        <w:t>1 </w:t>
      </w:r>
      <w:r w:rsidRPr="007C1581">
        <w:t>000; veľmi zriedkavé &lt; 1/1</w:t>
      </w:r>
      <w:r w:rsidR="00994936" w:rsidRPr="007C1581">
        <w:t>0 </w:t>
      </w:r>
      <w:r w:rsidRPr="007C1581">
        <w:t>00</w:t>
      </w:r>
      <w:r w:rsidR="00994936" w:rsidRPr="007C1581">
        <w:t>0</w:t>
      </w:r>
      <w:r w:rsidR="00021F6F" w:rsidRPr="007C1581">
        <w:t xml:space="preserve"> a </w:t>
      </w:r>
      <w:r w:rsidRPr="007C1581">
        <w:t>neznáme (z</w:t>
      </w:r>
      <w:r w:rsidR="001766F2" w:rsidRPr="007C1581">
        <w:t> </w:t>
      </w:r>
      <w:r w:rsidRPr="007C1581">
        <w:t>dostupných údajov).</w:t>
      </w:r>
    </w:p>
    <w:p w14:paraId="3B6BE331" w14:textId="77777777" w:rsidR="00226020" w:rsidRPr="007C1581" w:rsidRDefault="00226020" w:rsidP="0071569C">
      <w:pPr>
        <w:pStyle w:val="Normlndobloku"/>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4"/>
        <w:gridCol w:w="2252"/>
        <w:gridCol w:w="2253"/>
        <w:gridCol w:w="2284"/>
      </w:tblGrid>
      <w:tr w:rsidR="00403E7B" w:rsidRPr="007C1581" w14:paraId="01428E11" w14:textId="77777777" w:rsidTr="00B82B89">
        <w:trPr>
          <w:tblHeader/>
        </w:trPr>
        <w:tc>
          <w:tcPr>
            <w:tcW w:w="2303" w:type="dxa"/>
            <w:shd w:val="clear" w:color="auto" w:fill="auto"/>
          </w:tcPr>
          <w:p w14:paraId="34F79502" w14:textId="77777777" w:rsidR="00403E7B" w:rsidRPr="007C1581" w:rsidRDefault="00403E7B" w:rsidP="00F8196D">
            <w:pPr>
              <w:pStyle w:val="Nadpisuvnittabulky"/>
            </w:pPr>
            <w:r w:rsidRPr="007C1581">
              <w:t>Trieda orgánových systémov</w:t>
            </w:r>
          </w:p>
        </w:tc>
        <w:tc>
          <w:tcPr>
            <w:tcW w:w="2303" w:type="dxa"/>
            <w:shd w:val="clear" w:color="auto" w:fill="auto"/>
          </w:tcPr>
          <w:p w14:paraId="191C4F23" w14:textId="77777777" w:rsidR="00403E7B" w:rsidRPr="007C1581" w:rsidRDefault="00403E7B" w:rsidP="005D142A">
            <w:pPr>
              <w:pStyle w:val="Nadpisuvnittabulky"/>
            </w:pPr>
            <w:r w:rsidRPr="007C1581">
              <w:t>Časté</w:t>
            </w:r>
          </w:p>
        </w:tc>
        <w:tc>
          <w:tcPr>
            <w:tcW w:w="2303" w:type="dxa"/>
            <w:shd w:val="clear" w:color="auto" w:fill="auto"/>
          </w:tcPr>
          <w:p w14:paraId="6E14AA49" w14:textId="77777777" w:rsidR="00403E7B" w:rsidRPr="007C1581" w:rsidRDefault="00403E7B" w:rsidP="005D142A">
            <w:pPr>
              <w:pStyle w:val="Nadpisuvnittabulky"/>
            </w:pPr>
            <w:r w:rsidRPr="007C1581">
              <w:t>Menej časté</w:t>
            </w:r>
          </w:p>
        </w:tc>
        <w:tc>
          <w:tcPr>
            <w:tcW w:w="2304" w:type="dxa"/>
            <w:shd w:val="clear" w:color="auto" w:fill="auto"/>
          </w:tcPr>
          <w:p w14:paraId="29D591AE" w14:textId="77777777" w:rsidR="00403E7B" w:rsidRPr="007C1581" w:rsidRDefault="00403E7B" w:rsidP="005D142A">
            <w:pPr>
              <w:pStyle w:val="Nadpisuvnittabulky"/>
            </w:pPr>
            <w:r w:rsidRPr="007C1581">
              <w:t>Neznáme</w:t>
            </w:r>
          </w:p>
        </w:tc>
      </w:tr>
      <w:tr w:rsidR="00403E7B" w:rsidRPr="002E0B42" w14:paraId="77B46B0F" w14:textId="77777777" w:rsidTr="00B82B89">
        <w:tc>
          <w:tcPr>
            <w:tcW w:w="2303" w:type="dxa"/>
            <w:shd w:val="clear" w:color="auto" w:fill="auto"/>
          </w:tcPr>
          <w:p w14:paraId="7150CB15" w14:textId="77777777" w:rsidR="00403E7B" w:rsidRPr="007C1581" w:rsidRDefault="00403E7B" w:rsidP="0071569C">
            <w:pPr>
              <w:pStyle w:val="Tabulkynormlndoblokuzarovnndoleva"/>
            </w:pPr>
            <w:r w:rsidRPr="007C1581">
              <w:t>Infekcie</w:t>
            </w:r>
            <w:r w:rsidR="00021F6F" w:rsidRPr="007C1581">
              <w:t xml:space="preserve"> a </w:t>
            </w:r>
            <w:r w:rsidRPr="007C1581">
              <w:t>nákazy</w:t>
            </w:r>
          </w:p>
        </w:tc>
        <w:tc>
          <w:tcPr>
            <w:tcW w:w="2303" w:type="dxa"/>
            <w:shd w:val="clear" w:color="auto" w:fill="auto"/>
          </w:tcPr>
          <w:p w14:paraId="438BEB93" w14:textId="77777777" w:rsidR="00403E7B" w:rsidRPr="007C1581" w:rsidRDefault="00403E7B" w:rsidP="0071569C">
            <w:pPr>
              <w:pStyle w:val="Tabulkynormlndoblokuzarovnndoleva"/>
            </w:pPr>
          </w:p>
        </w:tc>
        <w:tc>
          <w:tcPr>
            <w:tcW w:w="2303" w:type="dxa"/>
            <w:shd w:val="clear" w:color="auto" w:fill="auto"/>
          </w:tcPr>
          <w:p w14:paraId="69D95106" w14:textId="77777777" w:rsidR="00403E7B" w:rsidRPr="007C1581" w:rsidRDefault="00403E7B" w:rsidP="0071569C">
            <w:pPr>
              <w:pStyle w:val="Tabulkynormlndoblokuzarovnndoleva"/>
            </w:pPr>
          </w:p>
        </w:tc>
        <w:tc>
          <w:tcPr>
            <w:tcW w:w="2304" w:type="dxa"/>
            <w:shd w:val="clear" w:color="auto" w:fill="auto"/>
          </w:tcPr>
          <w:p w14:paraId="51063F3A" w14:textId="77777777" w:rsidR="00403E7B" w:rsidRPr="007C1581" w:rsidRDefault="00403E7B" w:rsidP="0071569C">
            <w:pPr>
              <w:pStyle w:val="Tabulkynormlndoblokuzarovnndoleva"/>
            </w:pPr>
            <w:r w:rsidRPr="007C1581">
              <w:t>p</w:t>
            </w:r>
            <w:r w:rsidR="00B75994" w:rsidRPr="007C1581">
              <w:t>re</w:t>
            </w:r>
            <w:r w:rsidRPr="007C1581">
              <w:t xml:space="preserve">množenie kvasiniek rodu </w:t>
            </w:r>
            <w:r w:rsidRPr="007C1581">
              <w:rPr>
                <w:rStyle w:val="Bacil"/>
                <w:lang w:val="sk-SK"/>
              </w:rPr>
              <w:t>Candida</w:t>
            </w:r>
            <w:r w:rsidRPr="007C1581">
              <w:t>, p</w:t>
            </w:r>
            <w:r w:rsidR="00B75994" w:rsidRPr="007C1581">
              <w:t>re</w:t>
            </w:r>
            <w:r w:rsidRPr="007C1581">
              <w:t xml:space="preserve">množenie baktérie </w:t>
            </w:r>
            <w:r w:rsidRPr="007C1581">
              <w:rPr>
                <w:rStyle w:val="Bacil"/>
                <w:lang w:val="sk-SK"/>
              </w:rPr>
              <w:t>Clostridium difficile</w:t>
            </w:r>
          </w:p>
        </w:tc>
      </w:tr>
      <w:tr w:rsidR="00403E7B" w:rsidRPr="007C1581" w14:paraId="4E4CE344" w14:textId="77777777" w:rsidTr="00B82B89">
        <w:tc>
          <w:tcPr>
            <w:tcW w:w="2303" w:type="dxa"/>
            <w:shd w:val="clear" w:color="auto" w:fill="auto"/>
          </w:tcPr>
          <w:p w14:paraId="5F7C1A3B" w14:textId="77777777" w:rsidR="00403E7B" w:rsidRPr="007C1581" w:rsidRDefault="00403E7B" w:rsidP="0071569C">
            <w:pPr>
              <w:pStyle w:val="Tabulkynormlndoblokuzarovnndoleva"/>
            </w:pPr>
            <w:r w:rsidRPr="007C1581">
              <w:t>Poruchy krvi</w:t>
            </w:r>
            <w:r w:rsidR="00021F6F" w:rsidRPr="007C1581">
              <w:t xml:space="preserve"> a </w:t>
            </w:r>
            <w:r w:rsidRPr="007C1581">
              <w:t>lymfatického systému</w:t>
            </w:r>
          </w:p>
        </w:tc>
        <w:tc>
          <w:tcPr>
            <w:tcW w:w="2303" w:type="dxa"/>
            <w:shd w:val="clear" w:color="auto" w:fill="auto"/>
          </w:tcPr>
          <w:p w14:paraId="370725F9" w14:textId="77777777" w:rsidR="00403E7B" w:rsidRPr="007C1581" w:rsidRDefault="00403E7B" w:rsidP="0071569C">
            <w:pPr>
              <w:pStyle w:val="Tabulkynormlndoblokuzarovnndoleva"/>
            </w:pPr>
            <w:r w:rsidRPr="007C1581">
              <w:t>neutropénia, eozinofília, znížená koncentrácia hemoglobínu</w:t>
            </w:r>
          </w:p>
        </w:tc>
        <w:tc>
          <w:tcPr>
            <w:tcW w:w="2303" w:type="dxa"/>
            <w:shd w:val="clear" w:color="auto" w:fill="auto"/>
          </w:tcPr>
          <w:p w14:paraId="28488173" w14:textId="77777777" w:rsidR="00403E7B" w:rsidRPr="007C1581" w:rsidRDefault="00403E7B" w:rsidP="0071569C">
            <w:pPr>
              <w:pStyle w:val="Tabulkynormlndoblokuzarovnndoleva"/>
            </w:pPr>
            <w:r w:rsidRPr="007C1581">
              <w:t>leukopénia, pozitivita Coombsovho testu</w:t>
            </w:r>
          </w:p>
        </w:tc>
        <w:tc>
          <w:tcPr>
            <w:tcW w:w="2304" w:type="dxa"/>
            <w:shd w:val="clear" w:color="auto" w:fill="auto"/>
          </w:tcPr>
          <w:p w14:paraId="009AD0E7" w14:textId="77777777" w:rsidR="00403E7B" w:rsidRPr="007C1581" w:rsidRDefault="00403E7B" w:rsidP="0071569C">
            <w:pPr>
              <w:pStyle w:val="Tabulkynormlndoblokuzarovnndoleva"/>
            </w:pPr>
            <w:r w:rsidRPr="007C1581">
              <w:t>trombocytopénia, hemolytická anémia</w:t>
            </w:r>
          </w:p>
        </w:tc>
      </w:tr>
      <w:tr w:rsidR="00403E7B" w:rsidRPr="002E0B42" w14:paraId="20968CF5" w14:textId="77777777" w:rsidTr="00B82B89">
        <w:tc>
          <w:tcPr>
            <w:tcW w:w="2303" w:type="dxa"/>
            <w:shd w:val="clear" w:color="auto" w:fill="auto"/>
          </w:tcPr>
          <w:p w14:paraId="76B78E21" w14:textId="77777777" w:rsidR="00403E7B" w:rsidRPr="007C1581" w:rsidRDefault="00403E7B" w:rsidP="0071569C">
            <w:pPr>
              <w:pStyle w:val="Tabulkynormlndoblokuzarovnndoleva"/>
            </w:pPr>
            <w:r w:rsidRPr="007C1581">
              <w:lastRenderedPageBreak/>
              <w:t>Poruchy imunitného systému</w:t>
            </w:r>
          </w:p>
        </w:tc>
        <w:tc>
          <w:tcPr>
            <w:tcW w:w="2303" w:type="dxa"/>
            <w:shd w:val="clear" w:color="auto" w:fill="auto"/>
          </w:tcPr>
          <w:p w14:paraId="7AD478E7" w14:textId="77777777" w:rsidR="00403E7B" w:rsidRPr="007C1581" w:rsidRDefault="00403E7B" w:rsidP="0071569C">
            <w:pPr>
              <w:pStyle w:val="Tabulkynormlndoblokuzarovnndoleva"/>
            </w:pPr>
          </w:p>
        </w:tc>
        <w:tc>
          <w:tcPr>
            <w:tcW w:w="2303" w:type="dxa"/>
            <w:shd w:val="clear" w:color="auto" w:fill="auto"/>
          </w:tcPr>
          <w:p w14:paraId="442F2BEE" w14:textId="77777777" w:rsidR="00403E7B" w:rsidRPr="007C1581" w:rsidRDefault="00403E7B" w:rsidP="0071569C">
            <w:pPr>
              <w:pStyle w:val="Tabulkynormlndoblokuzarovnndoleva"/>
            </w:pPr>
          </w:p>
        </w:tc>
        <w:tc>
          <w:tcPr>
            <w:tcW w:w="2304" w:type="dxa"/>
            <w:shd w:val="clear" w:color="auto" w:fill="auto"/>
          </w:tcPr>
          <w:p w14:paraId="60B52698" w14:textId="77777777" w:rsidR="00403E7B" w:rsidRPr="007C1581" w:rsidRDefault="00403E7B" w:rsidP="0071569C">
            <w:pPr>
              <w:pStyle w:val="Tabulkynormlndoblokuzarovnndoleva"/>
            </w:pPr>
            <w:r w:rsidRPr="007C1581">
              <w:t>lieková horúčka, intersticiálna nefritída, anafylaxia, kožná vaskulitída</w:t>
            </w:r>
          </w:p>
        </w:tc>
      </w:tr>
      <w:tr w:rsidR="00403E7B" w:rsidRPr="007C1581" w14:paraId="24C42891" w14:textId="77777777" w:rsidTr="00403E7B">
        <w:trPr>
          <w:trHeight w:val="326"/>
        </w:trPr>
        <w:tc>
          <w:tcPr>
            <w:tcW w:w="2303" w:type="dxa"/>
            <w:shd w:val="clear" w:color="auto" w:fill="auto"/>
          </w:tcPr>
          <w:p w14:paraId="4AAA5085" w14:textId="77777777" w:rsidR="00403E7B" w:rsidRPr="007C1581" w:rsidRDefault="00403E7B" w:rsidP="0071569C">
            <w:pPr>
              <w:pStyle w:val="Tabulkynormlndoblokuzarovnndoleva"/>
            </w:pPr>
            <w:r w:rsidRPr="007C1581">
              <w:t>Poruchy gastrointestinálneho traktu</w:t>
            </w:r>
          </w:p>
        </w:tc>
        <w:tc>
          <w:tcPr>
            <w:tcW w:w="2303" w:type="dxa"/>
            <w:shd w:val="clear" w:color="auto" w:fill="auto"/>
          </w:tcPr>
          <w:p w14:paraId="02DFDD08" w14:textId="77777777" w:rsidR="00403E7B" w:rsidRPr="007C1581" w:rsidRDefault="00403E7B" w:rsidP="0071569C">
            <w:pPr>
              <w:pStyle w:val="Tabulkynormlndoblokuzarovnndoleva"/>
            </w:pPr>
          </w:p>
        </w:tc>
        <w:tc>
          <w:tcPr>
            <w:tcW w:w="2303" w:type="dxa"/>
            <w:shd w:val="clear" w:color="auto" w:fill="auto"/>
          </w:tcPr>
          <w:p w14:paraId="612F1FCC" w14:textId="77777777" w:rsidR="00403E7B" w:rsidRPr="007C1581" w:rsidRDefault="00403E7B" w:rsidP="0071569C">
            <w:pPr>
              <w:pStyle w:val="Tabulkynormlndoblokuzarovnndoleva"/>
            </w:pPr>
            <w:r w:rsidRPr="007C1581">
              <w:t>gastrointestinálne ťažkosti</w:t>
            </w:r>
          </w:p>
        </w:tc>
        <w:tc>
          <w:tcPr>
            <w:tcW w:w="2304" w:type="dxa"/>
            <w:shd w:val="clear" w:color="auto" w:fill="auto"/>
          </w:tcPr>
          <w:p w14:paraId="67E3AF2C" w14:textId="77777777" w:rsidR="00403E7B" w:rsidRPr="007C1581" w:rsidRDefault="00403E7B" w:rsidP="0071569C">
            <w:pPr>
              <w:pStyle w:val="Tabulkynormlndoblokuzarovnndoleva"/>
            </w:pPr>
            <w:r w:rsidRPr="007C1581">
              <w:t>pseudomembranózna kolitída</w:t>
            </w:r>
          </w:p>
        </w:tc>
      </w:tr>
      <w:tr w:rsidR="00403E7B" w:rsidRPr="007C1581" w14:paraId="1B540AB8" w14:textId="77777777" w:rsidTr="00B82B89">
        <w:tc>
          <w:tcPr>
            <w:tcW w:w="2303" w:type="dxa"/>
            <w:shd w:val="clear" w:color="auto" w:fill="auto"/>
          </w:tcPr>
          <w:p w14:paraId="145506A4" w14:textId="77777777" w:rsidR="00403E7B" w:rsidRPr="007C1581" w:rsidRDefault="00403E7B" w:rsidP="0071569C">
            <w:pPr>
              <w:pStyle w:val="Tabulkynormlndoblokuzarovnndoleva"/>
            </w:pPr>
            <w:r w:rsidRPr="007C1581">
              <w:t>Poruchy pečene</w:t>
            </w:r>
            <w:r w:rsidR="00021F6F" w:rsidRPr="007C1581">
              <w:t xml:space="preserve"> a </w:t>
            </w:r>
            <w:r w:rsidRPr="007C1581">
              <w:t>žlčových ciest</w:t>
            </w:r>
          </w:p>
        </w:tc>
        <w:tc>
          <w:tcPr>
            <w:tcW w:w="2303" w:type="dxa"/>
            <w:shd w:val="clear" w:color="auto" w:fill="auto"/>
          </w:tcPr>
          <w:p w14:paraId="1CEC6B64" w14:textId="77777777" w:rsidR="00403E7B" w:rsidRPr="007C1581" w:rsidRDefault="00403E7B" w:rsidP="0071569C">
            <w:pPr>
              <w:pStyle w:val="Tabulkynormlndoblokuzarovnndoleva"/>
            </w:pPr>
            <w:r w:rsidRPr="007C1581">
              <w:t>prechodný vzostup hladín pečeňových enzýmov</w:t>
            </w:r>
          </w:p>
        </w:tc>
        <w:tc>
          <w:tcPr>
            <w:tcW w:w="2303" w:type="dxa"/>
            <w:shd w:val="clear" w:color="auto" w:fill="auto"/>
          </w:tcPr>
          <w:p w14:paraId="34E09C71" w14:textId="77777777" w:rsidR="00403E7B" w:rsidRPr="007C1581" w:rsidRDefault="00403E7B" w:rsidP="0071569C">
            <w:pPr>
              <w:pStyle w:val="Tabulkynormlndoblokuzarovnndoleva"/>
            </w:pPr>
            <w:r w:rsidRPr="007C1581">
              <w:t>prechodný vzostup hladín bilirubínu</w:t>
            </w:r>
          </w:p>
        </w:tc>
        <w:tc>
          <w:tcPr>
            <w:tcW w:w="2304" w:type="dxa"/>
            <w:shd w:val="clear" w:color="auto" w:fill="auto"/>
          </w:tcPr>
          <w:p w14:paraId="27DE6EF9" w14:textId="77777777" w:rsidR="00403E7B" w:rsidRPr="007C1581" w:rsidRDefault="00403E7B" w:rsidP="0071569C">
            <w:pPr>
              <w:pStyle w:val="Tabulkynormlndoblokuzarovnndoleva"/>
            </w:pPr>
          </w:p>
        </w:tc>
      </w:tr>
      <w:tr w:rsidR="00403E7B" w:rsidRPr="002E0B42" w14:paraId="4207BE7A" w14:textId="77777777" w:rsidTr="00B82B89">
        <w:tc>
          <w:tcPr>
            <w:tcW w:w="2303" w:type="dxa"/>
            <w:shd w:val="clear" w:color="auto" w:fill="auto"/>
          </w:tcPr>
          <w:p w14:paraId="022BFA88" w14:textId="77777777" w:rsidR="00403E7B" w:rsidRPr="007C1581" w:rsidRDefault="00403E7B" w:rsidP="0071569C">
            <w:pPr>
              <w:pStyle w:val="Tabulkynormlndoblokuzarovnndoleva"/>
            </w:pPr>
            <w:r w:rsidRPr="007C1581">
              <w:t>Poruchy kože</w:t>
            </w:r>
            <w:r w:rsidR="00021F6F" w:rsidRPr="007C1581">
              <w:t xml:space="preserve"> a </w:t>
            </w:r>
            <w:r w:rsidRPr="007C1581">
              <w:t>podkožného tkaniva</w:t>
            </w:r>
          </w:p>
        </w:tc>
        <w:tc>
          <w:tcPr>
            <w:tcW w:w="2303" w:type="dxa"/>
            <w:shd w:val="clear" w:color="auto" w:fill="auto"/>
          </w:tcPr>
          <w:p w14:paraId="6C36E408" w14:textId="77777777" w:rsidR="00403E7B" w:rsidRPr="007C1581" w:rsidRDefault="00403E7B" w:rsidP="0071569C">
            <w:pPr>
              <w:pStyle w:val="Tabulkynormlndoblokuzarovnndoleva"/>
            </w:pPr>
          </w:p>
        </w:tc>
        <w:tc>
          <w:tcPr>
            <w:tcW w:w="2303" w:type="dxa"/>
            <w:shd w:val="clear" w:color="auto" w:fill="auto"/>
          </w:tcPr>
          <w:p w14:paraId="10D702B1" w14:textId="77777777" w:rsidR="00403E7B" w:rsidRPr="007C1581" w:rsidRDefault="00403E7B" w:rsidP="0071569C">
            <w:pPr>
              <w:pStyle w:val="Tabulkynormlndoblokuzarovnndoleva"/>
            </w:pPr>
            <w:r w:rsidRPr="007C1581">
              <w:t>kožná vyrážka, urtikária</w:t>
            </w:r>
            <w:r w:rsidR="00021F6F" w:rsidRPr="007C1581">
              <w:t xml:space="preserve"> a </w:t>
            </w:r>
            <w:r w:rsidRPr="007C1581">
              <w:t>pruritus</w:t>
            </w:r>
          </w:p>
        </w:tc>
        <w:tc>
          <w:tcPr>
            <w:tcW w:w="2304" w:type="dxa"/>
            <w:shd w:val="clear" w:color="auto" w:fill="auto"/>
          </w:tcPr>
          <w:p w14:paraId="238F0D8E" w14:textId="77777777" w:rsidR="00403E7B" w:rsidRPr="007C1581" w:rsidRDefault="00403E7B" w:rsidP="0071569C">
            <w:pPr>
              <w:pStyle w:val="Tabulkynormlndoblokuzarovnndoleva"/>
            </w:pPr>
            <w:r w:rsidRPr="007C1581">
              <w:t>multiformný erytém, toxická epidermálna nekrolýza</w:t>
            </w:r>
            <w:r w:rsidR="00021F6F" w:rsidRPr="007C1581">
              <w:t xml:space="preserve"> a </w:t>
            </w:r>
            <w:r w:rsidRPr="007C1581">
              <w:t>Stevensov-Johnsonov syndróm, angioneurotický edém</w:t>
            </w:r>
          </w:p>
        </w:tc>
      </w:tr>
      <w:tr w:rsidR="00403E7B" w:rsidRPr="002E0B42" w14:paraId="691FBBCF" w14:textId="77777777" w:rsidTr="00B82B89">
        <w:tc>
          <w:tcPr>
            <w:tcW w:w="2303" w:type="dxa"/>
            <w:shd w:val="clear" w:color="auto" w:fill="auto"/>
          </w:tcPr>
          <w:p w14:paraId="3E232982" w14:textId="77777777" w:rsidR="00403E7B" w:rsidRPr="007C1581" w:rsidRDefault="00403E7B" w:rsidP="0071569C">
            <w:pPr>
              <w:pStyle w:val="Tabulkynormlndoblokuzarovnndoleva"/>
            </w:pPr>
            <w:r w:rsidRPr="007C1581">
              <w:t>Poruchy obličiek</w:t>
            </w:r>
            <w:r w:rsidR="00021F6F" w:rsidRPr="007C1581">
              <w:t xml:space="preserve"> a </w:t>
            </w:r>
            <w:r w:rsidRPr="007C1581">
              <w:t>močových ciest</w:t>
            </w:r>
          </w:p>
        </w:tc>
        <w:tc>
          <w:tcPr>
            <w:tcW w:w="2303" w:type="dxa"/>
            <w:shd w:val="clear" w:color="auto" w:fill="auto"/>
          </w:tcPr>
          <w:p w14:paraId="65FC3C3D" w14:textId="77777777" w:rsidR="00403E7B" w:rsidRPr="007C1581" w:rsidRDefault="00403E7B" w:rsidP="0071569C">
            <w:pPr>
              <w:pStyle w:val="Tabulkynormlndoblokuzarovnndoleva"/>
            </w:pPr>
          </w:p>
        </w:tc>
        <w:tc>
          <w:tcPr>
            <w:tcW w:w="2303" w:type="dxa"/>
            <w:shd w:val="clear" w:color="auto" w:fill="auto"/>
          </w:tcPr>
          <w:p w14:paraId="189FCC1A" w14:textId="77777777" w:rsidR="00403E7B" w:rsidRPr="007C1581" w:rsidRDefault="00403E7B" w:rsidP="0071569C">
            <w:pPr>
              <w:pStyle w:val="Tabulkynormlndoblokuzarovnndoleva"/>
            </w:pPr>
          </w:p>
        </w:tc>
        <w:tc>
          <w:tcPr>
            <w:tcW w:w="2304" w:type="dxa"/>
            <w:shd w:val="clear" w:color="auto" w:fill="auto"/>
          </w:tcPr>
          <w:p w14:paraId="4565B00D" w14:textId="77777777" w:rsidR="00403E7B" w:rsidRPr="007C1581" w:rsidRDefault="00403E7B" w:rsidP="0071569C">
            <w:pPr>
              <w:pStyle w:val="Tabulkynormlndoblokuzarovnndoleva"/>
            </w:pPr>
            <w:r w:rsidRPr="007C1581">
              <w:t>vzostupy hladín kreatinínu</w:t>
            </w:r>
            <w:r w:rsidR="00021F6F" w:rsidRPr="007C1581">
              <w:t xml:space="preserve"> v </w:t>
            </w:r>
            <w:r w:rsidRPr="007C1581">
              <w:t>sére, vzostupy hladín dusíka močoviny</w:t>
            </w:r>
            <w:r w:rsidR="00021F6F" w:rsidRPr="007C1581">
              <w:t xml:space="preserve"> v </w:t>
            </w:r>
            <w:r w:rsidRPr="007C1581">
              <w:t>krvi</w:t>
            </w:r>
            <w:r w:rsidR="00021F6F" w:rsidRPr="007C1581">
              <w:t xml:space="preserve"> a </w:t>
            </w:r>
            <w:r w:rsidRPr="007C1581">
              <w:t>znížený klírens kreatinínu (pozri časť 4.4)</w:t>
            </w:r>
          </w:p>
        </w:tc>
      </w:tr>
      <w:tr w:rsidR="00403E7B" w:rsidRPr="002E0B42" w14:paraId="65D35556" w14:textId="77777777" w:rsidTr="00B82B89">
        <w:tc>
          <w:tcPr>
            <w:tcW w:w="2303" w:type="dxa"/>
            <w:shd w:val="clear" w:color="auto" w:fill="auto"/>
          </w:tcPr>
          <w:p w14:paraId="0174F348" w14:textId="77777777" w:rsidR="00403E7B" w:rsidRPr="007C1581" w:rsidRDefault="00403E7B" w:rsidP="0071569C">
            <w:pPr>
              <w:pStyle w:val="Tabulkynormlndoblokuzarovnndoleva"/>
            </w:pPr>
            <w:r w:rsidRPr="007C1581">
              <w:t>Celkové poruchy</w:t>
            </w:r>
            <w:r w:rsidR="00021F6F" w:rsidRPr="007C1581">
              <w:t xml:space="preserve"> a </w:t>
            </w:r>
            <w:r w:rsidRPr="007C1581">
              <w:t>reakcie</w:t>
            </w:r>
            <w:r w:rsidR="00021F6F" w:rsidRPr="007C1581">
              <w:t xml:space="preserve"> v </w:t>
            </w:r>
            <w:r w:rsidRPr="007C1581">
              <w:t>mieste podania</w:t>
            </w:r>
          </w:p>
        </w:tc>
        <w:tc>
          <w:tcPr>
            <w:tcW w:w="2303" w:type="dxa"/>
            <w:shd w:val="clear" w:color="auto" w:fill="auto"/>
          </w:tcPr>
          <w:p w14:paraId="7EA5C707" w14:textId="77777777" w:rsidR="00403E7B" w:rsidRPr="007C1581" w:rsidRDefault="00403E7B" w:rsidP="0071569C">
            <w:pPr>
              <w:pStyle w:val="Tabulkynormlndoblokuzarovnndoleva"/>
            </w:pPr>
            <w:r w:rsidRPr="007C1581">
              <w:t>reakcie</w:t>
            </w:r>
            <w:r w:rsidR="00021F6F" w:rsidRPr="007C1581">
              <w:t xml:space="preserve"> v </w:t>
            </w:r>
            <w:r w:rsidRPr="007C1581">
              <w:t>mieste vpichu, ktoré môžu zahŕňať bolesť</w:t>
            </w:r>
            <w:r w:rsidR="00021F6F" w:rsidRPr="007C1581">
              <w:t xml:space="preserve"> a </w:t>
            </w:r>
            <w:r w:rsidRPr="007C1581">
              <w:t>tromboflebitídu</w:t>
            </w:r>
          </w:p>
        </w:tc>
        <w:tc>
          <w:tcPr>
            <w:tcW w:w="2303" w:type="dxa"/>
            <w:shd w:val="clear" w:color="auto" w:fill="auto"/>
          </w:tcPr>
          <w:p w14:paraId="38D14863" w14:textId="77777777" w:rsidR="00403E7B" w:rsidRPr="007C1581" w:rsidRDefault="00403E7B" w:rsidP="0071569C">
            <w:pPr>
              <w:pStyle w:val="Tabulkynormlndoblokuzarovnndoleva"/>
            </w:pPr>
          </w:p>
        </w:tc>
        <w:tc>
          <w:tcPr>
            <w:tcW w:w="2304" w:type="dxa"/>
            <w:shd w:val="clear" w:color="auto" w:fill="auto"/>
          </w:tcPr>
          <w:p w14:paraId="4FD2D21C" w14:textId="77777777" w:rsidR="00403E7B" w:rsidRPr="007C1581" w:rsidRDefault="00403E7B" w:rsidP="0071569C">
            <w:pPr>
              <w:pStyle w:val="Tabulkynormlndoblokuzarovnndoleva"/>
            </w:pPr>
          </w:p>
        </w:tc>
      </w:tr>
      <w:tr w:rsidR="00403E7B" w:rsidRPr="007C1581" w14:paraId="44C41459" w14:textId="77777777" w:rsidTr="00B82B89">
        <w:tc>
          <w:tcPr>
            <w:tcW w:w="9213" w:type="dxa"/>
            <w:gridSpan w:val="4"/>
            <w:shd w:val="clear" w:color="auto" w:fill="auto"/>
          </w:tcPr>
          <w:p w14:paraId="777DA3EC" w14:textId="77777777" w:rsidR="00403E7B" w:rsidRPr="002E0B42" w:rsidRDefault="00403E7B" w:rsidP="0071569C">
            <w:pPr>
              <w:pStyle w:val="Tabulkynormlndoblokuzarovnndoleva"/>
            </w:pPr>
            <w:r w:rsidRPr="002E0B42">
              <w:t>Popis vybraných nežiaducich reakcií</w:t>
            </w:r>
          </w:p>
          <w:p w14:paraId="2A069337" w14:textId="77777777" w:rsidR="00403E7B" w:rsidRPr="007C1581" w:rsidRDefault="00403E7B" w:rsidP="0071569C">
            <w:pPr>
              <w:pStyle w:val="Tabulkynormlndoblokuzarovnndoleva"/>
            </w:pPr>
            <w:r w:rsidRPr="007C1581">
              <w:t>Cefalosporíny sú skupina liečiv, ktoré majú tendenciu sa absorbovať na povrch membrán erytrocytov</w:t>
            </w:r>
            <w:r w:rsidR="00021F6F" w:rsidRPr="007C1581">
              <w:t xml:space="preserve"> a </w:t>
            </w:r>
            <w:r w:rsidRPr="007C1581">
              <w:t>tam reagovať</w:t>
            </w:r>
            <w:r w:rsidR="00021F6F" w:rsidRPr="007C1581">
              <w:t xml:space="preserve"> s </w:t>
            </w:r>
            <w:r w:rsidRPr="007C1581">
              <w:t>protilátkami proti lieku, čo vedie</w:t>
            </w:r>
            <w:r w:rsidR="00021F6F" w:rsidRPr="007C1581">
              <w:t xml:space="preserve"> k </w:t>
            </w:r>
            <w:r w:rsidRPr="007C1581">
              <w:t>pozitivite Coombsovho testu (čo môže interferovať</w:t>
            </w:r>
            <w:r w:rsidR="00021F6F" w:rsidRPr="007C1581">
              <w:t xml:space="preserve"> s </w:t>
            </w:r>
            <w:r w:rsidRPr="007C1581">
              <w:t>krížovou krvnou skúškou)</w:t>
            </w:r>
            <w:r w:rsidR="00021F6F" w:rsidRPr="007C1581">
              <w:t xml:space="preserve"> a </w:t>
            </w:r>
            <w:r w:rsidRPr="007C1581">
              <w:t>veľmi zriedkavo aj</w:t>
            </w:r>
            <w:r w:rsidR="00021F6F" w:rsidRPr="007C1581">
              <w:t xml:space="preserve"> k </w:t>
            </w:r>
            <w:r w:rsidRPr="007C1581">
              <w:t>hemolytickej anémii.</w:t>
            </w:r>
          </w:p>
          <w:p w14:paraId="594A6FD5" w14:textId="77777777" w:rsidR="00B75994" w:rsidRPr="007C1581" w:rsidRDefault="00B75994" w:rsidP="0071569C">
            <w:pPr>
              <w:pStyle w:val="Tabulkynormlndoblokuzarovnndoleva"/>
            </w:pPr>
          </w:p>
          <w:p w14:paraId="17B129D4" w14:textId="77777777" w:rsidR="00403E7B" w:rsidRPr="007C1581" w:rsidRDefault="00403E7B" w:rsidP="0071569C">
            <w:pPr>
              <w:pStyle w:val="Tabulkynormlndoblokuzarovnndoleva"/>
            </w:pPr>
            <w:r w:rsidRPr="007C1581">
              <w:t>Pozorovaný bol prechodný vzostup hladín pečeňových enzýmov alebo bilirubínu</w:t>
            </w:r>
            <w:r w:rsidR="00021F6F" w:rsidRPr="007C1581">
              <w:t xml:space="preserve"> v </w:t>
            </w:r>
            <w:r w:rsidRPr="007C1581">
              <w:t>sére, ktorý je zvyčajne reverzibilný.</w:t>
            </w:r>
          </w:p>
          <w:p w14:paraId="029E6FA1" w14:textId="77777777" w:rsidR="00B75994" w:rsidRPr="007C1581" w:rsidRDefault="00B75994" w:rsidP="0071569C">
            <w:pPr>
              <w:pStyle w:val="Tabulkynormlndoblokuzarovnndoleva"/>
            </w:pPr>
          </w:p>
          <w:p w14:paraId="132D1D27" w14:textId="77777777" w:rsidR="00403E7B" w:rsidRPr="007C1581" w:rsidRDefault="00403E7B" w:rsidP="0071569C">
            <w:pPr>
              <w:pStyle w:val="Tabulkynormlndoblokuzarovnndoleva"/>
            </w:pPr>
            <w:r w:rsidRPr="007C1581">
              <w:t>Bolesť</w:t>
            </w:r>
            <w:r w:rsidR="00021F6F" w:rsidRPr="007C1581">
              <w:t xml:space="preserve"> v </w:t>
            </w:r>
            <w:r w:rsidRPr="007C1581">
              <w:t>mieste podania intramuskulárnej injekcie je pravdepodobnejšia pri vyšších dávkach. Je však nepravdepodobné, že by bola príčinou ukončenia liečby.</w:t>
            </w:r>
          </w:p>
        </w:tc>
      </w:tr>
    </w:tbl>
    <w:p w14:paraId="314D6722" w14:textId="77777777" w:rsidR="00202DF8" w:rsidRPr="007C1581" w:rsidRDefault="00202DF8" w:rsidP="0071569C">
      <w:pPr>
        <w:pStyle w:val="Styl3"/>
      </w:pPr>
    </w:p>
    <w:p w14:paraId="017A642A" w14:textId="77777777" w:rsidR="008E0BBE" w:rsidRPr="007C1581" w:rsidRDefault="00994936" w:rsidP="0071569C">
      <w:pPr>
        <w:pStyle w:val="Styl3"/>
      </w:pPr>
      <w:r w:rsidRPr="007C1581">
        <w:t>Pediatrická populácia</w:t>
      </w:r>
    </w:p>
    <w:p w14:paraId="4F614672" w14:textId="77777777" w:rsidR="008E0BBE" w:rsidRPr="007C1581" w:rsidRDefault="008E0BBE" w:rsidP="0071569C">
      <w:pPr>
        <w:pStyle w:val="Normlndobloku"/>
      </w:pPr>
      <w:r w:rsidRPr="007C1581">
        <w:t>Bezpečnostný profil sodnej soli cefuroxímu</w:t>
      </w:r>
      <w:r w:rsidR="00021F6F" w:rsidRPr="007C1581">
        <w:t xml:space="preserve"> u </w:t>
      </w:r>
      <w:r w:rsidRPr="007C1581">
        <w:t>detí sa zhoduje</w:t>
      </w:r>
      <w:r w:rsidR="00021F6F" w:rsidRPr="007C1581">
        <w:t xml:space="preserve"> s </w:t>
      </w:r>
      <w:r w:rsidRPr="007C1581">
        <w:t>profilom zisteným</w:t>
      </w:r>
      <w:r w:rsidR="00021F6F" w:rsidRPr="007C1581">
        <w:t xml:space="preserve"> u </w:t>
      </w:r>
      <w:r w:rsidRPr="007C1581">
        <w:t>dospelých.</w:t>
      </w:r>
    </w:p>
    <w:p w14:paraId="61D85D2D" w14:textId="77777777" w:rsidR="00B75994" w:rsidRPr="007C1581" w:rsidRDefault="00B75994" w:rsidP="0071569C">
      <w:pPr>
        <w:pStyle w:val="Styl3"/>
      </w:pPr>
    </w:p>
    <w:p w14:paraId="447B83E1" w14:textId="77777777" w:rsidR="00994936" w:rsidRPr="007C1581" w:rsidRDefault="00994936" w:rsidP="0071569C">
      <w:pPr>
        <w:pStyle w:val="Styl3"/>
      </w:pPr>
      <w:r w:rsidRPr="007C1581">
        <w:t>Hlásenie podozrení na nežiaduce reakcie</w:t>
      </w:r>
    </w:p>
    <w:p w14:paraId="517F243B" w14:textId="77777777" w:rsidR="00994936" w:rsidRPr="007C1581" w:rsidRDefault="00994936" w:rsidP="0071569C">
      <w:pPr>
        <w:pStyle w:val="Normlndobloku"/>
      </w:pPr>
      <w:r w:rsidRPr="007C1581">
        <w:t>Hlásenie podozrení na nežiaduce reakcie po registrácii lieku je dôležité. Umožňuje priebežné monitorovanie pomeru prínosu</w:t>
      </w:r>
      <w:r w:rsidR="00021F6F" w:rsidRPr="007C1581">
        <w:t xml:space="preserve"> a </w:t>
      </w:r>
      <w:r w:rsidRPr="007C1581">
        <w:t xml:space="preserve">rizika lieku. Od zdravotníckych pracovníkov sa vyžaduje, aby hlásili akékoľvek podozrenia na nežiaduce reakcie prostredníctvom </w:t>
      </w:r>
      <w:r w:rsidRPr="00F70189">
        <w:rPr>
          <w:highlight w:val="lightGray"/>
        </w:rPr>
        <w:t>národného systému hlásenia uvedeného</w:t>
      </w:r>
      <w:r w:rsidR="00021F6F" w:rsidRPr="00F70189">
        <w:rPr>
          <w:highlight w:val="lightGray"/>
        </w:rPr>
        <w:t xml:space="preserve"> v </w:t>
      </w:r>
      <w:hyperlink r:id="rId8" w:history="1">
        <w:r w:rsidRPr="00F70189">
          <w:rPr>
            <w:rStyle w:val="Hypertextovprepojenie"/>
            <w:highlight w:val="lightGray"/>
          </w:rPr>
          <w:t>Prílohe V</w:t>
        </w:r>
      </w:hyperlink>
      <w:r w:rsidRPr="007C1581">
        <w:t>.</w:t>
      </w:r>
    </w:p>
    <w:p w14:paraId="159DCEF1" w14:textId="77777777" w:rsidR="00D16EA1" w:rsidRPr="007C1581" w:rsidRDefault="00D16EA1" w:rsidP="0071569C">
      <w:pPr>
        <w:pStyle w:val="Normlndobloku"/>
      </w:pPr>
    </w:p>
    <w:p w14:paraId="6218AF6B" w14:textId="77777777" w:rsidR="008E0BBE" w:rsidRPr="007C1581" w:rsidRDefault="008E0BBE" w:rsidP="00D16EA1">
      <w:pPr>
        <w:pStyle w:val="Styl2"/>
      </w:pPr>
      <w:r w:rsidRPr="007C1581">
        <w:t>Predávkovanie</w:t>
      </w:r>
    </w:p>
    <w:p w14:paraId="680E7ABA" w14:textId="77777777" w:rsidR="00D16EA1" w:rsidRPr="007C1581" w:rsidRDefault="00D16EA1" w:rsidP="0071569C">
      <w:pPr>
        <w:pStyle w:val="Normlndobloku"/>
      </w:pPr>
    </w:p>
    <w:p w14:paraId="0E873021" w14:textId="77777777" w:rsidR="008E0BBE" w:rsidRPr="007C1581" w:rsidRDefault="008E0BBE" w:rsidP="0071569C">
      <w:pPr>
        <w:pStyle w:val="Normlndobloku"/>
      </w:pPr>
      <w:r w:rsidRPr="007C1581">
        <w:t>Predávkovanie môže viesť</w:t>
      </w:r>
      <w:r w:rsidR="00021F6F" w:rsidRPr="007C1581">
        <w:t xml:space="preserve"> k </w:t>
      </w:r>
      <w:r w:rsidRPr="007C1581">
        <w:t>neurologickým poruchám zahŕňajúcim encefalopatiu, kŕče</w:t>
      </w:r>
      <w:r w:rsidR="00021F6F" w:rsidRPr="007C1581">
        <w:t xml:space="preserve"> a </w:t>
      </w:r>
      <w:r w:rsidRPr="007C1581">
        <w:t>kómu. Príznaky predávkovania sa môžu vyskytnúť</w:t>
      </w:r>
      <w:r w:rsidR="00021F6F" w:rsidRPr="007C1581">
        <w:t xml:space="preserve"> u </w:t>
      </w:r>
      <w:r w:rsidRPr="007C1581">
        <w:t>pacientov</w:t>
      </w:r>
      <w:r w:rsidR="00021F6F" w:rsidRPr="007C1581">
        <w:t xml:space="preserve"> s </w:t>
      </w:r>
      <w:r w:rsidRPr="007C1581">
        <w:t>poruchou funkcie obličiek, ktorým sa dávka vhodným spôsobom nezníži (pozri časti 4.</w:t>
      </w:r>
      <w:r w:rsidR="00994936" w:rsidRPr="007C1581">
        <w:t>2</w:t>
      </w:r>
      <w:r w:rsidR="00021F6F" w:rsidRPr="007C1581">
        <w:t xml:space="preserve"> a </w:t>
      </w:r>
      <w:r w:rsidRPr="007C1581">
        <w:t>4.4).</w:t>
      </w:r>
    </w:p>
    <w:p w14:paraId="734E0D72" w14:textId="77777777" w:rsidR="00B75994" w:rsidRPr="007C1581" w:rsidRDefault="00B75994" w:rsidP="0071569C">
      <w:pPr>
        <w:pStyle w:val="Normlndobloku"/>
      </w:pPr>
    </w:p>
    <w:p w14:paraId="1466B5BE" w14:textId="77777777" w:rsidR="005D0D77" w:rsidRPr="007C1581" w:rsidRDefault="008E0BBE" w:rsidP="0071569C">
      <w:pPr>
        <w:pStyle w:val="Normlndobloku"/>
      </w:pPr>
      <w:r w:rsidRPr="007C1581">
        <w:t>Hladiny cefuroxímu</w:t>
      </w:r>
      <w:r w:rsidR="00021F6F" w:rsidRPr="007C1581">
        <w:t xml:space="preserve"> v </w:t>
      </w:r>
      <w:r w:rsidRPr="007C1581">
        <w:t>sére je možné znížiť hemodialýzou alebo peritoneálnou dialýzou.</w:t>
      </w:r>
    </w:p>
    <w:p w14:paraId="43570015" w14:textId="77777777" w:rsidR="00D16EA1" w:rsidRPr="007C1581" w:rsidRDefault="00D16EA1" w:rsidP="0071569C">
      <w:pPr>
        <w:pStyle w:val="Normlndobloku"/>
      </w:pPr>
    </w:p>
    <w:p w14:paraId="7BAAF919" w14:textId="77777777" w:rsidR="00B75994" w:rsidRPr="007C1581" w:rsidRDefault="00B75994" w:rsidP="0071569C">
      <w:pPr>
        <w:pStyle w:val="Normlndobloku"/>
      </w:pPr>
    </w:p>
    <w:p w14:paraId="69231B42" w14:textId="77777777" w:rsidR="005D0D77" w:rsidRPr="000145FD" w:rsidRDefault="005D0D77" w:rsidP="000145FD">
      <w:pPr>
        <w:pStyle w:val="Styl1"/>
      </w:pPr>
      <w:r w:rsidRPr="000145FD">
        <w:t>FARMAKOLOGICKÉ VLASTNOSTI</w:t>
      </w:r>
    </w:p>
    <w:p w14:paraId="02D99177" w14:textId="77777777" w:rsidR="00D16EA1" w:rsidRPr="002E0B42" w:rsidRDefault="00D16EA1" w:rsidP="0071569C">
      <w:pPr>
        <w:pStyle w:val="Normlndobloku"/>
      </w:pPr>
    </w:p>
    <w:p w14:paraId="6FAE3794" w14:textId="77777777" w:rsidR="005D0D77" w:rsidRPr="007C1581" w:rsidRDefault="005D0D77" w:rsidP="00D16EA1">
      <w:pPr>
        <w:pStyle w:val="Styl2"/>
      </w:pPr>
      <w:r w:rsidRPr="007C1581">
        <w:t>Farmakodynamické vlastnosti</w:t>
      </w:r>
    </w:p>
    <w:p w14:paraId="09970F33" w14:textId="77777777" w:rsidR="00D16EA1" w:rsidRPr="007C1581" w:rsidRDefault="00D16EA1" w:rsidP="00D16EA1">
      <w:pPr>
        <w:pStyle w:val="Styl2"/>
        <w:numPr>
          <w:ilvl w:val="0"/>
          <w:numId w:val="0"/>
        </w:numPr>
      </w:pPr>
    </w:p>
    <w:p w14:paraId="032EC743" w14:textId="77777777" w:rsidR="002E0B42" w:rsidRDefault="007C5DFC" w:rsidP="0071569C">
      <w:pPr>
        <w:pStyle w:val="Normlndobloku"/>
      </w:pPr>
      <w:r w:rsidRPr="007C1581">
        <w:t>Farmakoterapeutická skupina: antibiotiká na systémové použitie, cefalosporíny druhej generácie,</w:t>
      </w:r>
    </w:p>
    <w:p w14:paraId="349EFD81" w14:textId="77777777" w:rsidR="007C5DFC" w:rsidRPr="007C1581" w:rsidRDefault="007C5DFC" w:rsidP="0071569C">
      <w:pPr>
        <w:pStyle w:val="Normlndobloku"/>
      </w:pPr>
      <w:r w:rsidRPr="007C1581">
        <w:t>ATC kód: J01DC02</w:t>
      </w:r>
    </w:p>
    <w:p w14:paraId="526FFF21" w14:textId="77777777" w:rsidR="00D16EA1" w:rsidRPr="007C1581" w:rsidRDefault="00D16EA1" w:rsidP="0071569C">
      <w:pPr>
        <w:pStyle w:val="Styl3"/>
      </w:pPr>
    </w:p>
    <w:p w14:paraId="2D9B677C" w14:textId="77777777" w:rsidR="007C5DFC" w:rsidRPr="007C1581" w:rsidRDefault="00B75994" w:rsidP="0071569C">
      <w:pPr>
        <w:pStyle w:val="Styl3"/>
      </w:pPr>
      <w:r w:rsidRPr="007C1581">
        <w:t xml:space="preserve">Mechanizmus </w:t>
      </w:r>
      <w:r w:rsidR="007C5DFC" w:rsidRPr="007C1581">
        <w:t>účinku</w:t>
      </w:r>
    </w:p>
    <w:p w14:paraId="3DDDD95D" w14:textId="77777777" w:rsidR="007C5DFC" w:rsidRPr="007C1581" w:rsidRDefault="007C5DFC" w:rsidP="0071569C">
      <w:pPr>
        <w:pStyle w:val="Normlndobloku"/>
      </w:pPr>
      <w:r w:rsidRPr="007C1581">
        <w:t>Cefuroxím inhibuje syntézu bakteriálnej bunkovej steny po naviazaní sa na penicilín viažuce proteíny (penicillin binding proteins - PBP). Výsledkom je narušenie biosyntézy bunkovej steny (peptidoglykánu), čo vedie</w:t>
      </w:r>
      <w:r w:rsidR="00021F6F" w:rsidRPr="007C1581">
        <w:t xml:space="preserve"> k </w:t>
      </w:r>
      <w:r w:rsidRPr="007C1581">
        <w:t>lýze</w:t>
      </w:r>
      <w:r w:rsidR="00021F6F" w:rsidRPr="007C1581">
        <w:t xml:space="preserve"> a </w:t>
      </w:r>
      <w:r w:rsidRPr="007C1581">
        <w:t>smrti bakteriálnej bunky.</w:t>
      </w:r>
    </w:p>
    <w:p w14:paraId="02E88C0C" w14:textId="77777777" w:rsidR="00D16EA1" w:rsidRPr="007C1581" w:rsidRDefault="00D16EA1" w:rsidP="0071569C">
      <w:pPr>
        <w:pStyle w:val="Styl3"/>
      </w:pPr>
    </w:p>
    <w:p w14:paraId="2E5151DF" w14:textId="77777777" w:rsidR="007C5DFC" w:rsidRPr="007C1581" w:rsidRDefault="007C5DFC" w:rsidP="0071569C">
      <w:pPr>
        <w:pStyle w:val="Styl3"/>
      </w:pPr>
      <w:r w:rsidRPr="007C1581">
        <w:t>Mechanizmus rezistencie</w:t>
      </w:r>
    </w:p>
    <w:p w14:paraId="00BEA39F" w14:textId="77777777" w:rsidR="007C5DFC" w:rsidRPr="007C1581" w:rsidRDefault="007C5DFC" w:rsidP="0071569C">
      <w:pPr>
        <w:pStyle w:val="Normlndobloku"/>
      </w:pPr>
      <w:r w:rsidRPr="007C1581">
        <w:t>Bakteriálna rezistencia na cefuroxím môže byť zapríčinená jedným alebo viacerými</w:t>
      </w:r>
      <w:r w:rsidR="00021F6F" w:rsidRPr="007C1581">
        <w:t xml:space="preserve"> z </w:t>
      </w:r>
      <w:r w:rsidRPr="007C1581">
        <w:t>nasledujúcich mechanizmov:</w:t>
      </w:r>
    </w:p>
    <w:p w14:paraId="2C97B972" w14:textId="77777777" w:rsidR="007C5DFC" w:rsidRPr="007C1581" w:rsidRDefault="007C5DFC" w:rsidP="0071569C">
      <w:pPr>
        <w:pStyle w:val="Normlndoblokusodrkami"/>
      </w:pPr>
      <w:r w:rsidRPr="007C1581">
        <w:t>hydrolýza betalakt</w:t>
      </w:r>
      <w:r w:rsidR="0075347C" w:rsidRPr="007C1581">
        <w:t>am</w:t>
      </w:r>
      <w:r w:rsidRPr="007C1581">
        <w:t>ázami vrátane (ale nie výhradne) betalaktamáz</w:t>
      </w:r>
      <w:r w:rsidR="00021F6F" w:rsidRPr="007C1581">
        <w:t xml:space="preserve"> s </w:t>
      </w:r>
      <w:r w:rsidRPr="007C1581">
        <w:t>rozšíreným spektrom účinku (extended-spectrum beta-lactamases - ESBL)</w:t>
      </w:r>
      <w:r w:rsidR="00021F6F" w:rsidRPr="007C1581">
        <w:t xml:space="preserve"> a </w:t>
      </w:r>
      <w:r w:rsidRPr="007C1581">
        <w:t>enzýmov AmpC, ktoré môžu byť pri niektorých aeróbnych gramnegatívnych bakteriálnych druhoch indukované alebo trvale dereprimované</w:t>
      </w:r>
    </w:p>
    <w:p w14:paraId="53B2041C" w14:textId="77777777" w:rsidR="007C5DFC" w:rsidRPr="007C1581" w:rsidRDefault="007C5DFC" w:rsidP="0071569C">
      <w:pPr>
        <w:pStyle w:val="Normlndoblokusodrkami"/>
      </w:pPr>
      <w:r w:rsidRPr="007C1581">
        <w:t>znížená afinita penicilín viažucich proteínov</w:t>
      </w:r>
      <w:r w:rsidR="00021F6F" w:rsidRPr="007C1581">
        <w:t xml:space="preserve"> k </w:t>
      </w:r>
      <w:r w:rsidRPr="007C1581">
        <w:t>cefuroxímu</w:t>
      </w:r>
    </w:p>
    <w:p w14:paraId="6F548644" w14:textId="77777777" w:rsidR="007C5DFC" w:rsidRPr="007C1581" w:rsidRDefault="007C5DFC" w:rsidP="0071569C">
      <w:pPr>
        <w:pStyle w:val="Normlndoblokusodrkami"/>
      </w:pPr>
      <w:r w:rsidRPr="007C1581">
        <w:t>nepriepustnosť vonkajšej membrány, ktorá obmedzuje prístup cefuroxímu</w:t>
      </w:r>
      <w:r w:rsidR="00021F6F" w:rsidRPr="007C1581">
        <w:t xml:space="preserve"> k </w:t>
      </w:r>
      <w:r w:rsidRPr="007C1581">
        <w:t>penicilín viažucim proteínom pri gramnegatívnych baktériách</w:t>
      </w:r>
    </w:p>
    <w:p w14:paraId="18AFCA01" w14:textId="77777777" w:rsidR="007C5DFC" w:rsidRPr="007C1581" w:rsidRDefault="007C5DFC" w:rsidP="0071569C">
      <w:pPr>
        <w:pStyle w:val="Normlndoblokusodrkami"/>
      </w:pPr>
      <w:r w:rsidRPr="007C1581">
        <w:t>bakteriálne efluxné pumpy</w:t>
      </w:r>
    </w:p>
    <w:p w14:paraId="2AE54009" w14:textId="77777777" w:rsidR="0075347C" w:rsidRPr="007C1581" w:rsidRDefault="0075347C" w:rsidP="0071569C">
      <w:pPr>
        <w:pStyle w:val="Normlndobloku"/>
      </w:pPr>
    </w:p>
    <w:p w14:paraId="37D67189" w14:textId="77777777" w:rsidR="007C5DFC" w:rsidRPr="007C1581" w:rsidRDefault="007C5DFC" w:rsidP="0071569C">
      <w:pPr>
        <w:pStyle w:val="Normlndobloku"/>
      </w:pPr>
      <w:r w:rsidRPr="007C1581">
        <w:t>Predpokladá sa, že mikroorganizmy, ktoré majú získanú rezistenciu na iné injekčne podávané cefalosporíny, budú rezistentné na cefuroxím.</w:t>
      </w:r>
      <w:r w:rsidR="00021F6F" w:rsidRPr="007C1581">
        <w:t xml:space="preserve"> v </w:t>
      </w:r>
      <w:r w:rsidRPr="007C1581">
        <w:t>závislosti od mechanizmu rezistencie môžu mikroorganizmy so získanou rezistenciou na penicilíny vykazovať zníženú citlivosť alebo rezistenciu na cefuroxím.</w:t>
      </w:r>
    </w:p>
    <w:p w14:paraId="38CE6D8F" w14:textId="77777777" w:rsidR="00D16EA1" w:rsidRPr="007C1581" w:rsidRDefault="00D16EA1" w:rsidP="0071569C">
      <w:pPr>
        <w:pStyle w:val="Styl3"/>
      </w:pPr>
    </w:p>
    <w:p w14:paraId="624DEA27" w14:textId="77777777" w:rsidR="007C5DFC" w:rsidRPr="007C1581" w:rsidRDefault="007C5DFC" w:rsidP="0071569C">
      <w:pPr>
        <w:pStyle w:val="Styl3"/>
      </w:pPr>
      <w:r w:rsidRPr="007C1581">
        <w:t>Hraničné hodnoty sodnej soli cefuroxímu</w:t>
      </w:r>
    </w:p>
    <w:p w14:paraId="621CC6E3" w14:textId="77777777" w:rsidR="007C5DFC" w:rsidRPr="007C1581" w:rsidRDefault="007C5DFC" w:rsidP="0071569C">
      <w:pPr>
        <w:pStyle w:val="Normlndobloku"/>
      </w:pPr>
      <w:r w:rsidRPr="007C1581">
        <w:t>Hraničné hodnoty minimálnej inhibičnej koncentrácie (MIC) stanovené Európskou komisiou pre testovanie antimikrobiálnej citlivosti (European Committee on Antimicrobial Susceptibility Testing - EUCAST) sú nasledovné:</w:t>
      </w:r>
    </w:p>
    <w:p w14:paraId="0506E1D0" w14:textId="77777777" w:rsidR="0075347C" w:rsidRPr="007C1581" w:rsidRDefault="0075347C" w:rsidP="0071569C">
      <w:pPr>
        <w:pStyle w:val="Normlndobloku"/>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9"/>
        <w:gridCol w:w="3012"/>
        <w:gridCol w:w="3012"/>
      </w:tblGrid>
      <w:tr w:rsidR="007C5DFC" w:rsidRPr="007C1581" w14:paraId="7DC41350" w14:textId="77777777" w:rsidTr="00B82B89">
        <w:tc>
          <w:tcPr>
            <w:tcW w:w="3071" w:type="dxa"/>
            <w:shd w:val="clear" w:color="auto" w:fill="auto"/>
          </w:tcPr>
          <w:p w14:paraId="741198E3" w14:textId="77777777" w:rsidR="007C5DFC" w:rsidRPr="007C1581" w:rsidRDefault="007C5DFC" w:rsidP="00F8196D">
            <w:pPr>
              <w:pStyle w:val="Nadpisuvnittabulky"/>
            </w:pPr>
            <w:r w:rsidRPr="007C1581">
              <w:t>Mikroorganizmus</w:t>
            </w:r>
          </w:p>
        </w:tc>
        <w:tc>
          <w:tcPr>
            <w:tcW w:w="6142" w:type="dxa"/>
            <w:gridSpan w:val="2"/>
            <w:shd w:val="clear" w:color="auto" w:fill="auto"/>
          </w:tcPr>
          <w:p w14:paraId="622342BC" w14:textId="77777777" w:rsidR="007C5DFC" w:rsidRPr="007C1581" w:rsidRDefault="007C5DFC" w:rsidP="005D142A">
            <w:pPr>
              <w:pStyle w:val="Nadpisuvnittabulky"/>
            </w:pPr>
            <w:r w:rsidRPr="007C1581">
              <w:t>Hraničné hodnoty (mg/l)</w:t>
            </w:r>
          </w:p>
        </w:tc>
      </w:tr>
      <w:tr w:rsidR="007C5DFC" w:rsidRPr="007C1581" w14:paraId="04AAB285" w14:textId="77777777" w:rsidTr="00B82B89">
        <w:tc>
          <w:tcPr>
            <w:tcW w:w="3071" w:type="dxa"/>
            <w:shd w:val="clear" w:color="auto" w:fill="auto"/>
          </w:tcPr>
          <w:p w14:paraId="6625EF47" w14:textId="77777777" w:rsidR="007C5DFC" w:rsidRPr="007C1581" w:rsidRDefault="007C5DFC" w:rsidP="0071569C">
            <w:pPr>
              <w:pStyle w:val="Tabulkynormlndoblokuzarovnndoleva"/>
            </w:pPr>
          </w:p>
        </w:tc>
        <w:tc>
          <w:tcPr>
            <w:tcW w:w="3071" w:type="dxa"/>
            <w:shd w:val="clear" w:color="auto" w:fill="auto"/>
          </w:tcPr>
          <w:p w14:paraId="58596383" w14:textId="77777777" w:rsidR="007C5DFC" w:rsidRPr="007C1581" w:rsidRDefault="007C5DFC" w:rsidP="0071569C">
            <w:pPr>
              <w:pStyle w:val="Tabulkynormlndoblokuzarovnndoleva"/>
            </w:pPr>
            <w:r w:rsidRPr="007C1581">
              <w:t>S</w:t>
            </w:r>
          </w:p>
        </w:tc>
        <w:tc>
          <w:tcPr>
            <w:tcW w:w="3071" w:type="dxa"/>
            <w:shd w:val="clear" w:color="auto" w:fill="auto"/>
          </w:tcPr>
          <w:p w14:paraId="784B87EE" w14:textId="77777777" w:rsidR="007C5DFC" w:rsidRPr="007C1581" w:rsidRDefault="007C5DFC" w:rsidP="0071569C">
            <w:pPr>
              <w:pStyle w:val="Tabulkynormlndoblokuzarovnndoleva"/>
            </w:pPr>
            <w:r w:rsidRPr="007C1581">
              <w:t>R</w:t>
            </w:r>
          </w:p>
        </w:tc>
      </w:tr>
      <w:tr w:rsidR="007C5DFC" w:rsidRPr="007C1581" w14:paraId="05F2FF32" w14:textId="77777777" w:rsidTr="00B82B89">
        <w:tc>
          <w:tcPr>
            <w:tcW w:w="3071" w:type="dxa"/>
            <w:shd w:val="clear" w:color="auto" w:fill="auto"/>
          </w:tcPr>
          <w:p w14:paraId="238F51F0" w14:textId="77777777" w:rsidR="007C5DFC" w:rsidRPr="007C1581" w:rsidRDefault="007C5DFC" w:rsidP="0071569C">
            <w:pPr>
              <w:pStyle w:val="Tabulkynormlndoblokuzarovnndoleva"/>
            </w:pPr>
            <w:r w:rsidRPr="007C1581">
              <w:rPr>
                <w:rStyle w:val="Bacil"/>
                <w:lang w:val="sk-SK"/>
              </w:rPr>
              <w:t>Enterobacteriaceae</w:t>
            </w:r>
            <w:r w:rsidRPr="007C1581">
              <w:rPr>
                <w:vertAlign w:val="superscript"/>
              </w:rPr>
              <w:t>1</w:t>
            </w:r>
          </w:p>
        </w:tc>
        <w:tc>
          <w:tcPr>
            <w:tcW w:w="3071" w:type="dxa"/>
            <w:shd w:val="clear" w:color="auto" w:fill="auto"/>
          </w:tcPr>
          <w:p w14:paraId="4C4731D0" w14:textId="77777777" w:rsidR="007C5DFC" w:rsidRPr="007C1581" w:rsidRDefault="007C5DFC" w:rsidP="0071569C">
            <w:pPr>
              <w:pStyle w:val="Tabulkynormlndoblokuzarovnndoleva"/>
            </w:pPr>
            <w:r w:rsidRPr="007C1581">
              <w:t>≤ 8</w:t>
            </w:r>
            <w:r w:rsidRPr="007C1581">
              <w:rPr>
                <w:vertAlign w:val="superscript"/>
              </w:rPr>
              <w:t>2</w:t>
            </w:r>
          </w:p>
        </w:tc>
        <w:tc>
          <w:tcPr>
            <w:tcW w:w="3071" w:type="dxa"/>
            <w:shd w:val="clear" w:color="auto" w:fill="auto"/>
          </w:tcPr>
          <w:p w14:paraId="624ED94B" w14:textId="77777777" w:rsidR="007C5DFC" w:rsidRPr="007C1581" w:rsidRDefault="007C5DFC" w:rsidP="0071569C">
            <w:pPr>
              <w:pStyle w:val="Tabulkynormlndoblokuzarovnndoleva"/>
            </w:pPr>
            <w:r w:rsidRPr="007C1581">
              <w:t>&gt; 8</w:t>
            </w:r>
          </w:p>
        </w:tc>
      </w:tr>
      <w:tr w:rsidR="007C5DFC" w:rsidRPr="007C1581" w14:paraId="709A6DC0" w14:textId="77777777" w:rsidTr="00B82B89">
        <w:tc>
          <w:tcPr>
            <w:tcW w:w="3071" w:type="dxa"/>
            <w:shd w:val="clear" w:color="auto" w:fill="auto"/>
          </w:tcPr>
          <w:p w14:paraId="5634D8AF" w14:textId="77777777" w:rsidR="007C5DFC" w:rsidRPr="007C1581" w:rsidRDefault="007C5DFC" w:rsidP="0071569C">
            <w:pPr>
              <w:pStyle w:val="Tabulkynormlndoblokuzarovnndoleva"/>
            </w:pPr>
            <w:r w:rsidRPr="007C1581">
              <w:rPr>
                <w:rStyle w:val="Bacil"/>
                <w:lang w:val="sk-SK"/>
              </w:rPr>
              <w:t>Staphylococcus</w:t>
            </w:r>
            <w:r w:rsidRPr="007C1581">
              <w:t xml:space="preserve"> spp.</w:t>
            </w:r>
          </w:p>
        </w:tc>
        <w:tc>
          <w:tcPr>
            <w:tcW w:w="3071" w:type="dxa"/>
            <w:shd w:val="clear" w:color="auto" w:fill="auto"/>
          </w:tcPr>
          <w:p w14:paraId="4469A244" w14:textId="77777777" w:rsidR="007C5DFC" w:rsidRPr="007C1581" w:rsidRDefault="007C5DFC" w:rsidP="0071569C">
            <w:pPr>
              <w:pStyle w:val="Tabulkynormlndoblokuzarovnndoleva"/>
            </w:pPr>
            <w:r w:rsidRPr="007C1581">
              <w:t>poznámka</w:t>
            </w:r>
            <w:r w:rsidRPr="007C1581">
              <w:rPr>
                <w:vertAlign w:val="superscript"/>
              </w:rPr>
              <w:t>3</w:t>
            </w:r>
          </w:p>
        </w:tc>
        <w:tc>
          <w:tcPr>
            <w:tcW w:w="3071" w:type="dxa"/>
            <w:shd w:val="clear" w:color="auto" w:fill="auto"/>
          </w:tcPr>
          <w:p w14:paraId="2382EBBD" w14:textId="77777777" w:rsidR="007C5DFC" w:rsidRPr="007C1581" w:rsidRDefault="007C5DFC" w:rsidP="0071569C">
            <w:pPr>
              <w:pStyle w:val="Tabulkynormlndoblokuzarovnndoleva"/>
            </w:pPr>
            <w:r w:rsidRPr="007C1581">
              <w:t>poznámka</w:t>
            </w:r>
            <w:r w:rsidRPr="007C1581">
              <w:rPr>
                <w:vertAlign w:val="superscript"/>
              </w:rPr>
              <w:t>3</w:t>
            </w:r>
          </w:p>
        </w:tc>
      </w:tr>
      <w:tr w:rsidR="007C5DFC" w:rsidRPr="007C1581" w14:paraId="137BFE79" w14:textId="77777777" w:rsidTr="00B82B89">
        <w:tc>
          <w:tcPr>
            <w:tcW w:w="3071" w:type="dxa"/>
            <w:shd w:val="clear" w:color="auto" w:fill="auto"/>
          </w:tcPr>
          <w:p w14:paraId="6F715283" w14:textId="77777777" w:rsidR="007C5DFC" w:rsidRPr="007C1581" w:rsidRDefault="007C5DFC" w:rsidP="0071569C">
            <w:pPr>
              <w:pStyle w:val="Tabulkynormlndoblokuzarovnndoleva"/>
            </w:pPr>
            <w:r w:rsidRPr="007C1581">
              <w:rPr>
                <w:rStyle w:val="Bacil"/>
                <w:lang w:val="sk-SK"/>
              </w:rPr>
              <w:t>Streptococcus</w:t>
            </w:r>
            <w:r w:rsidRPr="007C1581">
              <w:t xml:space="preserve"> A, B, C</w:t>
            </w:r>
            <w:r w:rsidR="00021F6F" w:rsidRPr="007C1581">
              <w:t xml:space="preserve"> a </w:t>
            </w:r>
            <w:r w:rsidRPr="007C1581">
              <w:t>G</w:t>
            </w:r>
          </w:p>
        </w:tc>
        <w:tc>
          <w:tcPr>
            <w:tcW w:w="3071" w:type="dxa"/>
            <w:shd w:val="clear" w:color="auto" w:fill="auto"/>
          </w:tcPr>
          <w:p w14:paraId="69775DDA" w14:textId="77777777" w:rsidR="007C5DFC" w:rsidRPr="007C1581" w:rsidRDefault="007C5DFC" w:rsidP="0071569C">
            <w:pPr>
              <w:pStyle w:val="Tabulkynormlndoblokuzarovnndoleva"/>
            </w:pPr>
            <w:r w:rsidRPr="007C1581">
              <w:t>poznámka</w:t>
            </w:r>
            <w:r w:rsidRPr="007C1581">
              <w:rPr>
                <w:vertAlign w:val="superscript"/>
              </w:rPr>
              <w:t>4</w:t>
            </w:r>
          </w:p>
        </w:tc>
        <w:tc>
          <w:tcPr>
            <w:tcW w:w="3071" w:type="dxa"/>
            <w:shd w:val="clear" w:color="auto" w:fill="auto"/>
          </w:tcPr>
          <w:p w14:paraId="2358748D" w14:textId="77777777" w:rsidR="007C5DFC" w:rsidRPr="007C1581" w:rsidRDefault="007C5DFC" w:rsidP="0071569C">
            <w:pPr>
              <w:pStyle w:val="Tabulkynormlndoblokuzarovnndoleva"/>
            </w:pPr>
            <w:r w:rsidRPr="007C1581">
              <w:t>poznámka</w:t>
            </w:r>
            <w:r w:rsidRPr="007C1581">
              <w:rPr>
                <w:vertAlign w:val="superscript"/>
              </w:rPr>
              <w:t>4</w:t>
            </w:r>
          </w:p>
        </w:tc>
      </w:tr>
      <w:tr w:rsidR="007C5DFC" w:rsidRPr="007C1581" w14:paraId="1FDB2540" w14:textId="77777777" w:rsidTr="00B82B89">
        <w:tc>
          <w:tcPr>
            <w:tcW w:w="3071" w:type="dxa"/>
            <w:shd w:val="clear" w:color="auto" w:fill="auto"/>
          </w:tcPr>
          <w:p w14:paraId="16DE12BE" w14:textId="77777777" w:rsidR="007C5DFC" w:rsidRPr="007C1581" w:rsidRDefault="007C5DFC" w:rsidP="0071569C">
            <w:pPr>
              <w:pStyle w:val="Tabulkynormlndoblokuzarovnndoleva"/>
              <w:rPr>
                <w:rStyle w:val="Bacil"/>
                <w:rFonts w:ascii="Times New Roman" w:hAnsi="Times New Roman" w:cs="Times New Roman"/>
                <w:sz w:val="20"/>
                <w:lang w:val="sk-SK" w:eastAsia="sk-SK"/>
              </w:rPr>
            </w:pPr>
            <w:r w:rsidRPr="007C1581">
              <w:rPr>
                <w:rStyle w:val="Bacil"/>
                <w:lang w:val="sk-SK"/>
              </w:rPr>
              <w:t>Streptococcus pneumoniae</w:t>
            </w:r>
          </w:p>
        </w:tc>
        <w:tc>
          <w:tcPr>
            <w:tcW w:w="3071" w:type="dxa"/>
            <w:shd w:val="clear" w:color="auto" w:fill="auto"/>
          </w:tcPr>
          <w:p w14:paraId="6081D1FF" w14:textId="77777777" w:rsidR="007C5DFC" w:rsidRPr="007C1581" w:rsidRDefault="007C5DFC" w:rsidP="0071569C">
            <w:pPr>
              <w:pStyle w:val="Tabulkynormlndoblokuzarovnndoleva"/>
            </w:pPr>
            <w:r w:rsidRPr="007C1581">
              <w:t>≤</w:t>
            </w:r>
            <w:r w:rsidR="0075347C" w:rsidRPr="007C1581">
              <w:t xml:space="preserve"> </w:t>
            </w:r>
            <w:r w:rsidRPr="007C1581">
              <w:t>0,5</w:t>
            </w:r>
          </w:p>
        </w:tc>
        <w:tc>
          <w:tcPr>
            <w:tcW w:w="3071" w:type="dxa"/>
            <w:shd w:val="clear" w:color="auto" w:fill="auto"/>
          </w:tcPr>
          <w:p w14:paraId="6F620EB5" w14:textId="77777777" w:rsidR="007C5DFC" w:rsidRPr="007C1581" w:rsidRDefault="007C5DFC" w:rsidP="0071569C">
            <w:pPr>
              <w:pStyle w:val="Tabulkynormlndoblokuzarovnndoleva"/>
            </w:pPr>
            <w:r w:rsidRPr="007C1581">
              <w:t>&gt;</w:t>
            </w:r>
            <w:r w:rsidR="0075347C" w:rsidRPr="007C1581">
              <w:t xml:space="preserve"> </w:t>
            </w:r>
            <w:r w:rsidRPr="007C1581">
              <w:t>1</w:t>
            </w:r>
          </w:p>
        </w:tc>
      </w:tr>
      <w:tr w:rsidR="007C5DFC" w:rsidRPr="007C1581" w14:paraId="4005536E" w14:textId="77777777" w:rsidTr="00B82B89">
        <w:tc>
          <w:tcPr>
            <w:tcW w:w="3071" w:type="dxa"/>
            <w:shd w:val="clear" w:color="auto" w:fill="auto"/>
          </w:tcPr>
          <w:p w14:paraId="3530C684" w14:textId="77777777" w:rsidR="007C5DFC" w:rsidRPr="007C1581" w:rsidRDefault="007C5DFC" w:rsidP="0071569C">
            <w:pPr>
              <w:pStyle w:val="Tabulkynormlndoblokuzarovnndoleva"/>
            </w:pPr>
            <w:r w:rsidRPr="007C1581">
              <w:rPr>
                <w:rStyle w:val="Bacil"/>
                <w:lang w:val="sk-SK"/>
              </w:rPr>
              <w:t>Streptococcus</w:t>
            </w:r>
            <w:r w:rsidRPr="007C1581">
              <w:t xml:space="preserve"> (iné)</w:t>
            </w:r>
          </w:p>
        </w:tc>
        <w:tc>
          <w:tcPr>
            <w:tcW w:w="3071" w:type="dxa"/>
            <w:shd w:val="clear" w:color="auto" w:fill="auto"/>
          </w:tcPr>
          <w:p w14:paraId="2B3C8D9F" w14:textId="77777777" w:rsidR="007C5DFC" w:rsidRPr="007C1581" w:rsidRDefault="007C5DFC" w:rsidP="0071569C">
            <w:pPr>
              <w:pStyle w:val="Tabulkynormlndoblokuzarovnndoleva"/>
            </w:pPr>
            <w:r w:rsidRPr="007C1581">
              <w:t>≤</w:t>
            </w:r>
            <w:r w:rsidR="0075347C" w:rsidRPr="007C1581">
              <w:t xml:space="preserve"> </w:t>
            </w:r>
            <w:r w:rsidRPr="007C1581">
              <w:t>0,5</w:t>
            </w:r>
          </w:p>
        </w:tc>
        <w:tc>
          <w:tcPr>
            <w:tcW w:w="3071" w:type="dxa"/>
            <w:shd w:val="clear" w:color="auto" w:fill="auto"/>
          </w:tcPr>
          <w:p w14:paraId="4D11D42B" w14:textId="77777777" w:rsidR="007C5DFC" w:rsidRPr="007C1581" w:rsidRDefault="007C5DFC" w:rsidP="0071569C">
            <w:pPr>
              <w:pStyle w:val="Tabulkynormlndoblokuzarovnndoleva"/>
            </w:pPr>
            <w:r w:rsidRPr="007C1581">
              <w:t>&gt;</w:t>
            </w:r>
            <w:r w:rsidR="0075347C" w:rsidRPr="007C1581">
              <w:t xml:space="preserve"> </w:t>
            </w:r>
            <w:r w:rsidRPr="007C1581">
              <w:t>0,5</w:t>
            </w:r>
          </w:p>
        </w:tc>
      </w:tr>
      <w:tr w:rsidR="007C5DFC" w:rsidRPr="007C1581" w14:paraId="20AF3EAB" w14:textId="77777777" w:rsidTr="00B82B89">
        <w:tc>
          <w:tcPr>
            <w:tcW w:w="3071" w:type="dxa"/>
            <w:shd w:val="clear" w:color="auto" w:fill="auto"/>
          </w:tcPr>
          <w:p w14:paraId="275E8CB0" w14:textId="77777777" w:rsidR="007C5DFC" w:rsidRPr="007C1581" w:rsidRDefault="007C5DFC" w:rsidP="0071569C">
            <w:pPr>
              <w:pStyle w:val="Tabulkynormlndoblokuzarovnndoleva"/>
              <w:rPr>
                <w:rStyle w:val="Bacil"/>
                <w:rFonts w:ascii="Times New Roman" w:hAnsi="Times New Roman" w:cs="Times New Roman"/>
                <w:sz w:val="20"/>
                <w:lang w:val="sk-SK" w:eastAsia="sk-SK"/>
              </w:rPr>
            </w:pPr>
            <w:r w:rsidRPr="007C1581">
              <w:rPr>
                <w:rStyle w:val="Bacil"/>
                <w:lang w:val="sk-SK"/>
              </w:rPr>
              <w:t>Haemophilus influenzae</w:t>
            </w:r>
          </w:p>
        </w:tc>
        <w:tc>
          <w:tcPr>
            <w:tcW w:w="3071" w:type="dxa"/>
            <w:shd w:val="clear" w:color="auto" w:fill="auto"/>
          </w:tcPr>
          <w:p w14:paraId="7147FABA" w14:textId="77777777" w:rsidR="007C5DFC" w:rsidRPr="007C1581" w:rsidRDefault="007C5DFC" w:rsidP="0071569C">
            <w:pPr>
              <w:pStyle w:val="Tabulkynormlndoblokuzarovnndoleva"/>
            </w:pPr>
            <w:r w:rsidRPr="007C1581">
              <w:t>≤</w:t>
            </w:r>
            <w:r w:rsidR="0075347C" w:rsidRPr="007C1581">
              <w:t xml:space="preserve"> </w:t>
            </w:r>
            <w:r w:rsidRPr="007C1581">
              <w:t>1</w:t>
            </w:r>
          </w:p>
        </w:tc>
        <w:tc>
          <w:tcPr>
            <w:tcW w:w="3071" w:type="dxa"/>
            <w:shd w:val="clear" w:color="auto" w:fill="auto"/>
          </w:tcPr>
          <w:p w14:paraId="716A93A6" w14:textId="77777777" w:rsidR="007C5DFC" w:rsidRPr="007C1581" w:rsidRDefault="007C5DFC" w:rsidP="0071569C">
            <w:pPr>
              <w:pStyle w:val="Tabulkynormlndoblokuzarovnndoleva"/>
            </w:pPr>
            <w:r w:rsidRPr="007C1581">
              <w:t>&gt;</w:t>
            </w:r>
            <w:r w:rsidR="0075347C" w:rsidRPr="007C1581">
              <w:t xml:space="preserve"> </w:t>
            </w:r>
            <w:r w:rsidRPr="007C1581">
              <w:t>2</w:t>
            </w:r>
          </w:p>
        </w:tc>
      </w:tr>
      <w:tr w:rsidR="007C5DFC" w:rsidRPr="007C1581" w14:paraId="2B9C0892" w14:textId="77777777" w:rsidTr="00B82B89">
        <w:tc>
          <w:tcPr>
            <w:tcW w:w="3071" w:type="dxa"/>
            <w:shd w:val="clear" w:color="auto" w:fill="auto"/>
          </w:tcPr>
          <w:p w14:paraId="7E03E73B" w14:textId="77777777" w:rsidR="007C5DFC" w:rsidRPr="007C1581" w:rsidRDefault="007C5DFC" w:rsidP="0071569C">
            <w:pPr>
              <w:pStyle w:val="Tabulkynormlndoblokuzarovnndoleva"/>
              <w:rPr>
                <w:rStyle w:val="Bacil"/>
                <w:rFonts w:ascii="Times New Roman" w:hAnsi="Times New Roman" w:cs="Times New Roman"/>
                <w:sz w:val="20"/>
                <w:lang w:val="sk-SK" w:eastAsia="sk-SK"/>
              </w:rPr>
            </w:pPr>
            <w:r w:rsidRPr="007C1581">
              <w:rPr>
                <w:rStyle w:val="Bacil"/>
                <w:lang w:val="sk-SK"/>
              </w:rPr>
              <w:t>Moraxella catarrhalis</w:t>
            </w:r>
          </w:p>
        </w:tc>
        <w:tc>
          <w:tcPr>
            <w:tcW w:w="3071" w:type="dxa"/>
            <w:shd w:val="clear" w:color="auto" w:fill="auto"/>
          </w:tcPr>
          <w:p w14:paraId="76CABCB7" w14:textId="77777777" w:rsidR="007C5DFC" w:rsidRPr="007C1581" w:rsidRDefault="007C5DFC" w:rsidP="0071569C">
            <w:pPr>
              <w:pStyle w:val="Tabulkynormlndoblokuzarovnndoleva"/>
            </w:pPr>
            <w:r w:rsidRPr="007C1581">
              <w:t>≤</w:t>
            </w:r>
            <w:r w:rsidR="0075347C" w:rsidRPr="007C1581">
              <w:t xml:space="preserve"> </w:t>
            </w:r>
            <w:r w:rsidRPr="007C1581">
              <w:t>4</w:t>
            </w:r>
          </w:p>
        </w:tc>
        <w:tc>
          <w:tcPr>
            <w:tcW w:w="3071" w:type="dxa"/>
            <w:shd w:val="clear" w:color="auto" w:fill="auto"/>
          </w:tcPr>
          <w:p w14:paraId="5AB6A31A" w14:textId="77777777" w:rsidR="007C5DFC" w:rsidRPr="007C1581" w:rsidRDefault="007C5DFC" w:rsidP="0071569C">
            <w:pPr>
              <w:pStyle w:val="Tabulkynormlndoblokuzarovnndoleva"/>
            </w:pPr>
            <w:r w:rsidRPr="007C1581">
              <w:t>&gt;</w:t>
            </w:r>
            <w:r w:rsidR="0075347C" w:rsidRPr="007C1581">
              <w:t xml:space="preserve"> </w:t>
            </w:r>
            <w:r w:rsidRPr="007C1581">
              <w:t>8</w:t>
            </w:r>
          </w:p>
        </w:tc>
      </w:tr>
      <w:tr w:rsidR="007C5DFC" w:rsidRPr="007C1581" w14:paraId="11AD0556" w14:textId="77777777" w:rsidTr="00B82B89">
        <w:tc>
          <w:tcPr>
            <w:tcW w:w="3071" w:type="dxa"/>
            <w:shd w:val="clear" w:color="auto" w:fill="auto"/>
          </w:tcPr>
          <w:p w14:paraId="1C0180A3" w14:textId="77777777" w:rsidR="007C5DFC" w:rsidRPr="007C1581" w:rsidRDefault="007C5DFC" w:rsidP="0071569C">
            <w:pPr>
              <w:pStyle w:val="Tabulkynormlndoblokuzarovnndoleva"/>
            </w:pPr>
            <w:r w:rsidRPr="007C1581">
              <w:t xml:space="preserve">Hraničné hodnoty nezávislé od bakteriálnych druhov </w:t>
            </w:r>
            <w:r w:rsidRPr="007C1581">
              <w:rPr>
                <w:vertAlign w:val="superscript"/>
              </w:rPr>
              <w:t>1</w:t>
            </w:r>
          </w:p>
        </w:tc>
        <w:tc>
          <w:tcPr>
            <w:tcW w:w="3071" w:type="dxa"/>
            <w:shd w:val="clear" w:color="auto" w:fill="auto"/>
          </w:tcPr>
          <w:p w14:paraId="00B0BE84" w14:textId="77777777" w:rsidR="007C5DFC" w:rsidRPr="007C1581" w:rsidRDefault="007C5DFC" w:rsidP="0071569C">
            <w:pPr>
              <w:pStyle w:val="Tabulkynormlndoblokuzarovnndoleva"/>
              <w:rPr>
                <w:rFonts w:ascii="Times New Roman" w:hAnsi="Times New Roman" w:cs="Times New Roman"/>
              </w:rPr>
            </w:pPr>
            <w:r w:rsidRPr="007C1581">
              <w:t>≤</w:t>
            </w:r>
            <w:r w:rsidR="0075347C" w:rsidRPr="007C1581">
              <w:t xml:space="preserve"> </w:t>
            </w:r>
            <w:r w:rsidRPr="007C1581">
              <w:t>4</w:t>
            </w:r>
            <w:r w:rsidRPr="007C1581">
              <w:rPr>
                <w:vertAlign w:val="superscript"/>
              </w:rPr>
              <w:t>5</w:t>
            </w:r>
          </w:p>
        </w:tc>
        <w:tc>
          <w:tcPr>
            <w:tcW w:w="3071" w:type="dxa"/>
            <w:shd w:val="clear" w:color="auto" w:fill="auto"/>
          </w:tcPr>
          <w:p w14:paraId="17898481" w14:textId="77777777" w:rsidR="007C5DFC" w:rsidRPr="007C1581" w:rsidRDefault="007C5DFC" w:rsidP="0071569C">
            <w:pPr>
              <w:pStyle w:val="Tabulkynormlndoblokuzarovnndoleva"/>
            </w:pPr>
            <w:r w:rsidRPr="007C1581">
              <w:t>&gt;</w:t>
            </w:r>
            <w:r w:rsidR="0075347C" w:rsidRPr="007C1581">
              <w:t xml:space="preserve"> </w:t>
            </w:r>
            <w:r w:rsidRPr="007C1581">
              <w:t>8</w:t>
            </w:r>
            <w:r w:rsidRPr="007C1581">
              <w:rPr>
                <w:vertAlign w:val="superscript"/>
              </w:rPr>
              <w:t>5</w:t>
            </w:r>
          </w:p>
        </w:tc>
      </w:tr>
      <w:tr w:rsidR="007C5DFC" w:rsidRPr="002E0B42" w14:paraId="491A6BC9" w14:textId="77777777" w:rsidTr="00B82B89">
        <w:tc>
          <w:tcPr>
            <w:tcW w:w="9213" w:type="dxa"/>
            <w:gridSpan w:val="3"/>
            <w:shd w:val="clear" w:color="auto" w:fill="auto"/>
          </w:tcPr>
          <w:p w14:paraId="35B26343" w14:textId="77777777" w:rsidR="007C5DFC" w:rsidRPr="007C1581" w:rsidRDefault="00994936" w:rsidP="0071569C">
            <w:pPr>
              <w:pStyle w:val="Normlndobloku"/>
            </w:pPr>
            <w:r w:rsidRPr="007C1581">
              <w:t>1 </w:t>
            </w:r>
            <w:r w:rsidR="007C5DFC" w:rsidRPr="007C1581">
              <w:t xml:space="preserve">Hraničné hodnoty cefalosporínov pre </w:t>
            </w:r>
            <w:r w:rsidR="007C5DFC" w:rsidRPr="007C1581">
              <w:rPr>
                <w:rStyle w:val="Bacil"/>
              </w:rPr>
              <w:t>Enterobacteriaceae</w:t>
            </w:r>
            <w:r w:rsidR="007C5DFC" w:rsidRPr="007C1581">
              <w:t xml:space="preserve"> detegujú všetky klinicky významné mechanizmy rezistencie (vrátane ESBL</w:t>
            </w:r>
            <w:r w:rsidR="00021F6F" w:rsidRPr="007C1581">
              <w:t xml:space="preserve"> a </w:t>
            </w:r>
            <w:r w:rsidR="007C5DFC" w:rsidRPr="007C1581">
              <w:t>plazmidom kódovaného AmpC). Niektoré kmene, ktoré produkujú betalaktamázy, sú citlivé alebo intermediárne citlivé na cefalosporíny 3. alebo 4. generácie pri uvedených hraničných hodnotách</w:t>
            </w:r>
            <w:r w:rsidR="00021F6F" w:rsidRPr="007C1581">
              <w:t xml:space="preserve"> a </w:t>
            </w:r>
            <w:r w:rsidR="007C5DFC" w:rsidRPr="007C1581">
              <w:t>majú sa hlásiť ako zistené, t.j. prítomnosť alebo absencia ESBL sama</w:t>
            </w:r>
            <w:r w:rsidR="00021F6F" w:rsidRPr="007C1581">
              <w:t xml:space="preserve"> o </w:t>
            </w:r>
            <w:r w:rsidR="007C5DFC" w:rsidRPr="007C1581">
              <w:t>sebe nemá vplyv na kategorizáciu citlivosti.</w:t>
            </w:r>
            <w:r w:rsidR="00021F6F" w:rsidRPr="007C1581">
              <w:t xml:space="preserve"> v </w:t>
            </w:r>
            <w:r w:rsidR="007C5DFC" w:rsidRPr="007C1581">
              <w:t>mnohých oblastiach sa detekcia</w:t>
            </w:r>
            <w:r w:rsidR="00021F6F" w:rsidRPr="007C1581">
              <w:t xml:space="preserve"> a </w:t>
            </w:r>
            <w:r w:rsidR="007C5DFC" w:rsidRPr="007C1581">
              <w:t>charakterizácia ESBL odporúča alebo je povinná na účely kontroly infekcií.</w:t>
            </w:r>
          </w:p>
          <w:p w14:paraId="1796C737" w14:textId="77777777" w:rsidR="007C5DFC" w:rsidRPr="007C1581" w:rsidRDefault="00994936" w:rsidP="0071569C">
            <w:pPr>
              <w:pStyle w:val="Normlndobloku"/>
            </w:pPr>
            <w:r w:rsidRPr="007C1581">
              <w:t>2 </w:t>
            </w:r>
            <w:r w:rsidR="007C5DFC" w:rsidRPr="007C1581">
              <w:t>Hraničná hodnota sa týka dávky 1,</w:t>
            </w:r>
            <w:r w:rsidRPr="007C1581">
              <w:t>5 </w:t>
            </w:r>
            <w:r w:rsidR="007C5DFC" w:rsidRPr="007C1581">
              <w:t>g trikrát denne</w:t>
            </w:r>
            <w:r w:rsidR="00021F6F" w:rsidRPr="007C1581">
              <w:t xml:space="preserve"> a </w:t>
            </w:r>
            <w:r w:rsidR="007C5DFC" w:rsidRPr="007C1581">
              <w:t xml:space="preserve">iba </w:t>
            </w:r>
            <w:r w:rsidR="007C5DFC" w:rsidRPr="007C1581">
              <w:rPr>
                <w:rStyle w:val="Bacil"/>
              </w:rPr>
              <w:t>E. coli</w:t>
            </w:r>
            <w:r w:rsidR="007C5DFC" w:rsidRPr="007C1581">
              <w:t xml:space="preserve">, </w:t>
            </w:r>
            <w:r w:rsidR="007C5DFC" w:rsidRPr="007C1581">
              <w:rPr>
                <w:rStyle w:val="Bacil"/>
              </w:rPr>
              <w:t>P. mirabilis</w:t>
            </w:r>
            <w:r w:rsidR="00021F6F" w:rsidRPr="007C1581">
              <w:t xml:space="preserve"> a </w:t>
            </w:r>
            <w:r w:rsidR="007C5DFC" w:rsidRPr="007C1581">
              <w:rPr>
                <w:rStyle w:val="Bacil"/>
              </w:rPr>
              <w:t>Klebsiella</w:t>
            </w:r>
            <w:r w:rsidR="007C5DFC" w:rsidRPr="007C1581">
              <w:t xml:space="preserve"> spp.</w:t>
            </w:r>
          </w:p>
          <w:p w14:paraId="0E6537E4" w14:textId="77777777" w:rsidR="007C5DFC" w:rsidRPr="007C1581" w:rsidRDefault="00994936" w:rsidP="0071569C">
            <w:pPr>
              <w:pStyle w:val="Normlndobloku"/>
            </w:pPr>
            <w:r w:rsidRPr="007C1581">
              <w:lastRenderedPageBreak/>
              <w:t>3 </w:t>
            </w:r>
            <w:r w:rsidR="007C5DFC" w:rsidRPr="007C1581">
              <w:t>Citlivosť stafylokokov na cefalosporíny je odvodená od citlivosti meticilínu, okrem ceftazidímu</w:t>
            </w:r>
            <w:r w:rsidR="00021F6F" w:rsidRPr="007C1581">
              <w:t xml:space="preserve"> a </w:t>
            </w:r>
            <w:r w:rsidR="007C5DFC" w:rsidRPr="007C1581">
              <w:t>cefixímu</w:t>
            </w:r>
            <w:r w:rsidR="00021F6F" w:rsidRPr="007C1581">
              <w:t xml:space="preserve"> a </w:t>
            </w:r>
            <w:r w:rsidR="007C5DFC" w:rsidRPr="007C1581">
              <w:t>ceftibuténu, ktoré nemajú stanovené hraničné hodnoty</w:t>
            </w:r>
            <w:r w:rsidR="00021F6F" w:rsidRPr="007C1581">
              <w:t xml:space="preserve"> a </w:t>
            </w:r>
            <w:r w:rsidR="007C5DFC" w:rsidRPr="007C1581">
              <w:t>nemajú sa používať</w:t>
            </w:r>
          </w:p>
          <w:p w14:paraId="5C1DCE10" w14:textId="77777777" w:rsidR="007C5DFC" w:rsidRPr="007C1581" w:rsidRDefault="007C5DFC" w:rsidP="0071569C">
            <w:pPr>
              <w:pStyle w:val="Normlndobloku"/>
            </w:pPr>
            <w:r w:rsidRPr="007C1581">
              <w:t>pri stafylokokových infekciách.</w:t>
            </w:r>
          </w:p>
          <w:p w14:paraId="7E772A67" w14:textId="77777777" w:rsidR="007C5DFC" w:rsidRPr="007C1581" w:rsidRDefault="00994936" w:rsidP="0071569C">
            <w:pPr>
              <w:pStyle w:val="Normlndobloku"/>
            </w:pPr>
            <w:r w:rsidRPr="007C1581">
              <w:t>4 </w:t>
            </w:r>
            <w:r w:rsidR="007C5DFC" w:rsidRPr="007C1581">
              <w:t>Citlivosť betahemolytických streptokokov skupiny A, B, C</w:t>
            </w:r>
            <w:r w:rsidR="00021F6F" w:rsidRPr="007C1581">
              <w:t xml:space="preserve"> a </w:t>
            </w:r>
            <w:r w:rsidR="007C5DFC" w:rsidRPr="007C1581">
              <w:t>G na betalaktámové antibiotiká je odvodená od citlivosti na penicilín.</w:t>
            </w:r>
          </w:p>
          <w:p w14:paraId="3CA2B584" w14:textId="77777777" w:rsidR="007C5DFC" w:rsidRPr="007C1581" w:rsidRDefault="00994936" w:rsidP="0071569C">
            <w:pPr>
              <w:pStyle w:val="Normlndobloku"/>
            </w:pPr>
            <w:r w:rsidRPr="007C1581">
              <w:t>5 </w:t>
            </w:r>
            <w:r w:rsidR="007C5DFC" w:rsidRPr="007C1581">
              <w:t>Hraničné hodnoty sa týkajú dennej intravenóznej dávky 75</w:t>
            </w:r>
            <w:r w:rsidRPr="007C1581">
              <w:t>0 </w:t>
            </w:r>
            <w:r w:rsidR="007C5DFC" w:rsidRPr="007C1581">
              <w:t>mg trikrát denne</w:t>
            </w:r>
            <w:r w:rsidR="00021F6F" w:rsidRPr="007C1581">
              <w:t xml:space="preserve"> a </w:t>
            </w:r>
            <w:r w:rsidR="007C5DFC" w:rsidRPr="007C1581">
              <w:t>vysokej dávky minimálne 1,</w:t>
            </w:r>
            <w:r w:rsidRPr="007C1581">
              <w:t>5 </w:t>
            </w:r>
            <w:r w:rsidR="007C5DFC" w:rsidRPr="007C1581">
              <w:t>g trikrát denne.</w:t>
            </w:r>
          </w:p>
        </w:tc>
      </w:tr>
    </w:tbl>
    <w:p w14:paraId="15A5C7E7" w14:textId="77777777" w:rsidR="007C5DFC" w:rsidRPr="007C1581" w:rsidRDefault="00B7573D" w:rsidP="0071569C">
      <w:pPr>
        <w:pStyle w:val="Normlndobloku"/>
      </w:pPr>
      <w:r w:rsidRPr="007C1581">
        <w:lastRenderedPageBreak/>
        <w:t>S=citlivé, R=rezistentné</w:t>
      </w:r>
    </w:p>
    <w:p w14:paraId="13F2A025" w14:textId="77777777" w:rsidR="0075347C" w:rsidRPr="007C1581" w:rsidRDefault="0075347C" w:rsidP="0071569C">
      <w:pPr>
        <w:pStyle w:val="Styl3"/>
      </w:pPr>
    </w:p>
    <w:p w14:paraId="5DF659E5" w14:textId="77777777" w:rsidR="007C5DFC" w:rsidRPr="007C1581" w:rsidRDefault="007C5DFC" w:rsidP="0071569C">
      <w:pPr>
        <w:pStyle w:val="Styl3"/>
      </w:pPr>
      <w:r w:rsidRPr="007C1581">
        <w:t>Mikrobiologická citlivosť</w:t>
      </w:r>
    </w:p>
    <w:p w14:paraId="4EE397B5" w14:textId="77777777" w:rsidR="007C5DFC" w:rsidRPr="007C1581" w:rsidRDefault="007C5DFC" w:rsidP="0071569C">
      <w:pPr>
        <w:pStyle w:val="Normlndobloku"/>
      </w:pPr>
      <w:r w:rsidRPr="007C1581">
        <w:t>Prevalencia získanej rezistencie sa môže pri vybraných druhoch geograficky</w:t>
      </w:r>
      <w:r w:rsidR="00021F6F" w:rsidRPr="007C1581">
        <w:t xml:space="preserve"> a </w:t>
      </w:r>
      <w:r w:rsidRPr="007C1581">
        <w:t>časovo meniť</w:t>
      </w:r>
      <w:r w:rsidR="00021F6F" w:rsidRPr="007C1581">
        <w:t xml:space="preserve"> a </w:t>
      </w:r>
      <w:r w:rsidRPr="007C1581">
        <w:t>je potrebné získať lokálne informácie</w:t>
      </w:r>
      <w:r w:rsidR="00021F6F" w:rsidRPr="007C1581">
        <w:t xml:space="preserve"> o </w:t>
      </w:r>
      <w:r w:rsidRPr="007C1581">
        <w:t>rezistencii, najmä pri liečbe ťažkých infekcií.</w:t>
      </w:r>
      <w:r w:rsidR="00021F6F" w:rsidRPr="007C1581">
        <w:t xml:space="preserve"> </w:t>
      </w:r>
      <w:r w:rsidR="005B2701" w:rsidRPr="007C1581">
        <w:rPr>
          <w:rFonts w:eastAsia="Lucida Sans Unicode"/>
        </w:rPr>
        <w:t>Ak je lokálna prevalencia rezistencie taká, že prospešnosť liečiva je prinajmenšom u niektorých typov infekcií sporná, je potrebné sa poradiť s odborníkom</w:t>
      </w:r>
      <w:r w:rsidRPr="007C1581">
        <w:t>.</w:t>
      </w:r>
    </w:p>
    <w:p w14:paraId="0C3FDBB7" w14:textId="77777777" w:rsidR="0075347C" w:rsidRPr="007C1581" w:rsidRDefault="0075347C" w:rsidP="0071569C">
      <w:pPr>
        <w:pStyle w:val="Normlndobloku"/>
        <w:rPr>
          <w:rStyle w:val="Bacil"/>
        </w:rPr>
      </w:pPr>
    </w:p>
    <w:p w14:paraId="08DCB09C" w14:textId="77777777" w:rsidR="007C5DFC" w:rsidRPr="007C1581" w:rsidRDefault="007C5DFC" w:rsidP="0071569C">
      <w:pPr>
        <w:pStyle w:val="Normlndobloku"/>
      </w:pPr>
      <w:r w:rsidRPr="007C1581">
        <w:rPr>
          <w:rStyle w:val="Bacil"/>
        </w:rPr>
        <w:t>In vitro</w:t>
      </w:r>
      <w:r w:rsidRPr="007C1581">
        <w:t xml:space="preserve"> je cefuroxím zvyčajne účinný proti nasledujúcim mikroorganizmom.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3"/>
      </w:tblGrid>
      <w:tr w:rsidR="007C5DFC" w:rsidRPr="007C1581" w14:paraId="041CE5D6" w14:textId="77777777" w:rsidTr="00B82B89">
        <w:tc>
          <w:tcPr>
            <w:tcW w:w="9213" w:type="dxa"/>
            <w:shd w:val="clear" w:color="auto" w:fill="auto"/>
          </w:tcPr>
          <w:p w14:paraId="156FFBD5" w14:textId="77777777" w:rsidR="007C5DFC" w:rsidRPr="007C1581" w:rsidRDefault="007C5DFC" w:rsidP="00F8196D">
            <w:pPr>
              <w:pStyle w:val="Nadpisuvnittabulky"/>
            </w:pPr>
            <w:r w:rsidRPr="007C1581">
              <w:t>Zvyčajne citlivé druhy</w:t>
            </w:r>
          </w:p>
        </w:tc>
      </w:tr>
      <w:tr w:rsidR="007C5DFC" w:rsidRPr="007C1581" w14:paraId="563236A7" w14:textId="77777777" w:rsidTr="007C1581">
        <w:trPr>
          <w:trHeight w:val="1330"/>
        </w:trPr>
        <w:tc>
          <w:tcPr>
            <w:tcW w:w="9213" w:type="dxa"/>
            <w:shd w:val="clear" w:color="auto" w:fill="auto"/>
          </w:tcPr>
          <w:p w14:paraId="63A9F2D8" w14:textId="77777777" w:rsidR="007C5DFC" w:rsidRPr="007C1581" w:rsidRDefault="00B5385A" w:rsidP="0071569C">
            <w:pPr>
              <w:pStyle w:val="Styl3"/>
            </w:pPr>
            <w:r w:rsidRPr="007C1581">
              <w:t>Grampozitívne aeróby:</w:t>
            </w:r>
          </w:p>
          <w:p w14:paraId="09D639D7" w14:textId="77777777" w:rsidR="007C5DFC" w:rsidRPr="007C1581" w:rsidRDefault="007C5DFC" w:rsidP="0071569C">
            <w:pPr>
              <w:pStyle w:val="Normlndobloku"/>
            </w:pPr>
            <w:r w:rsidRPr="007C1581">
              <w:rPr>
                <w:rStyle w:val="Bacil"/>
              </w:rPr>
              <w:t>Staphylococcus aureus</w:t>
            </w:r>
            <w:r w:rsidRPr="007C1581">
              <w:t xml:space="preserve"> (citlivý na meticil</w:t>
            </w:r>
            <w:r w:rsidR="00B5385A" w:rsidRPr="007C1581">
              <w:t>ín</w:t>
            </w:r>
            <w:r w:rsidRPr="007C1581">
              <w:t>)</w:t>
            </w:r>
            <w:r w:rsidRPr="007C1581">
              <w:rPr>
                <w:vertAlign w:val="superscript"/>
              </w:rPr>
              <w:t>$</w:t>
            </w:r>
          </w:p>
          <w:p w14:paraId="7A7599C2" w14:textId="77777777" w:rsidR="007C5DFC" w:rsidRPr="007C1581" w:rsidRDefault="007C5DFC" w:rsidP="0071569C">
            <w:pPr>
              <w:pStyle w:val="Normlndobloku"/>
              <w:rPr>
                <w:rStyle w:val="Bacil"/>
              </w:rPr>
            </w:pPr>
            <w:r w:rsidRPr="007C1581">
              <w:rPr>
                <w:rStyle w:val="Bacil"/>
              </w:rPr>
              <w:t>Streptococcus pyogenes</w:t>
            </w:r>
          </w:p>
          <w:p w14:paraId="0C98B193" w14:textId="77777777" w:rsidR="007C5DFC" w:rsidRPr="007C1581" w:rsidRDefault="007C5DFC" w:rsidP="0071569C">
            <w:pPr>
              <w:pStyle w:val="Normlndobloku"/>
              <w:rPr>
                <w:rStyle w:val="Bacil"/>
              </w:rPr>
            </w:pPr>
            <w:r w:rsidRPr="007C1581">
              <w:rPr>
                <w:rStyle w:val="Bacil"/>
              </w:rPr>
              <w:t>Streptococcus agalactiae</w:t>
            </w:r>
          </w:p>
          <w:p w14:paraId="58E0FEE3" w14:textId="77777777" w:rsidR="007C5DFC" w:rsidRPr="007C1581" w:rsidRDefault="007C5DFC" w:rsidP="0071569C">
            <w:pPr>
              <w:pStyle w:val="Normlndobloku"/>
            </w:pPr>
            <w:r w:rsidRPr="007C1581">
              <w:rPr>
                <w:rStyle w:val="Bacil"/>
              </w:rPr>
              <w:t>Streptococcus mitis</w:t>
            </w:r>
            <w:r w:rsidRPr="007C1581">
              <w:t xml:space="preserve"> (skupina viridans)</w:t>
            </w:r>
          </w:p>
          <w:p w14:paraId="4A9F23EE" w14:textId="77777777" w:rsidR="005B2701" w:rsidRPr="007C1581" w:rsidRDefault="005B2701" w:rsidP="0071569C">
            <w:pPr>
              <w:pStyle w:val="Normlndobloku"/>
            </w:pPr>
          </w:p>
        </w:tc>
      </w:tr>
      <w:tr w:rsidR="007C5DFC" w:rsidRPr="007C1581" w14:paraId="42E6B90F" w14:textId="77777777" w:rsidTr="007C1581">
        <w:trPr>
          <w:trHeight w:val="995"/>
        </w:trPr>
        <w:tc>
          <w:tcPr>
            <w:tcW w:w="9213" w:type="dxa"/>
            <w:shd w:val="clear" w:color="auto" w:fill="auto"/>
          </w:tcPr>
          <w:p w14:paraId="5F6792A9" w14:textId="77777777" w:rsidR="007C5DFC" w:rsidRPr="007C1581" w:rsidRDefault="00B5385A" w:rsidP="0071569C">
            <w:pPr>
              <w:pStyle w:val="Styl3"/>
            </w:pPr>
            <w:r w:rsidRPr="007C1581">
              <w:t>Gramnegatívne aeróby</w:t>
            </w:r>
            <w:r w:rsidR="007C5DFC" w:rsidRPr="007C1581">
              <w:t>:</w:t>
            </w:r>
          </w:p>
          <w:p w14:paraId="2372501D" w14:textId="77777777" w:rsidR="007C5DFC" w:rsidRPr="000145FD" w:rsidRDefault="007C5DFC" w:rsidP="0071569C">
            <w:pPr>
              <w:pStyle w:val="Normlndobloku"/>
              <w:rPr>
                <w:rStyle w:val="Bacil"/>
              </w:rPr>
            </w:pPr>
            <w:r w:rsidRPr="007C1581">
              <w:rPr>
                <w:rStyle w:val="Bacil"/>
              </w:rPr>
              <w:t>Haemophilus influenzae</w:t>
            </w:r>
          </w:p>
          <w:p w14:paraId="73781F88" w14:textId="77777777" w:rsidR="007C5DFC" w:rsidRPr="007C1581" w:rsidRDefault="007C5DFC" w:rsidP="0071569C">
            <w:pPr>
              <w:pStyle w:val="Normlndobloku"/>
              <w:rPr>
                <w:rStyle w:val="Bacil"/>
              </w:rPr>
            </w:pPr>
            <w:r w:rsidRPr="007C1581">
              <w:rPr>
                <w:rStyle w:val="Bacil"/>
              </w:rPr>
              <w:t>Haemophilus parainfluenzae</w:t>
            </w:r>
          </w:p>
          <w:p w14:paraId="625E8AAE" w14:textId="77777777" w:rsidR="007C5DFC" w:rsidRPr="007C1581" w:rsidRDefault="007C5DFC" w:rsidP="0071569C">
            <w:pPr>
              <w:pStyle w:val="Normlndobloku"/>
              <w:rPr>
                <w:rStyle w:val="Bacil"/>
              </w:rPr>
            </w:pPr>
            <w:r w:rsidRPr="007C1581">
              <w:rPr>
                <w:rStyle w:val="Bacil"/>
              </w:rPr>
              <w:t>Moraxella catarrhalis</w:t>
            </w:r>
          </w:p>
          <w:p w14:paraId="5FFB332A" w14:textId="77777777" w:rsidR="005B2701" w:rsidRPr="007C1581" w:rsidRDefault="005B2701" w:rsidP="0071569C">
            <w:pPr>
              <w:pStyle w:val="Normlndobloku"/>
            </w:pPr>
          </w:p>
        </w:tc>
      </w:tr>
      <w:tr w:rsidR="007C5DFC" w:rsidRPr="007C1581" w14:paraId="133CB097" w14:textId="77777777" w:rsidTr="00B82B89">
        <w:tc>
          <w:tcPr>
            <w:tcW w:w="9213" w:type="dxa"/>
            <w:shd w:val="clear" w:color="auto" w:fill="auto"/>
          </w:tcPr>
          <w:p w14:paraId="28565662" w14:textId="77777777" w:rsidR="007C5DFC" w:rsidRPr="007C1581" w:rsidRDefault="00B5385A" w:rsidP="00F8196D">
            <w:pPr>
              <w:pStyle w:val="Nadpisuvnittabulky"/>
            </w:pPr>
            <w:r w:rsidRPr="007C1581">
              <w:t>Mikroorganizmy, pri ktorých môže byť problémom získaná rezistencia</w:t>
            </w:r>
          </w:p>
        </w:tc>
      </w:tr>
      <w:tr w:rsidR="007C5DFC" w:rsidRPr="007C1581" w14:paraId="2231017C" w14:textId="77777777" w:rsidTr="007C1581">
        <w:trPr>
          <w:trHeight w:val="439"/>
        </w:trPr>
        <w:tc>
          <w:tcPr>
            <w:tcW w:w="9213" w:type="dxa"/>
            <w:shd w:val="clear" w:color="auto" w:fill="auto"/>
          </w:tcPr>
          <w:p w14:paraId="1A4F532B" w14:textId="77777777" w:rsidR="00B5385A" w:rsidRPr="007C1581" w:rsidRDefault="00B5385A" w:rsidP="0071569C">
            <w:pPr>
              <w:pStyle w:val="Styl3"/>
            </w:pPr>
            <w:r w:rsidRPr="007C1581">
              <w:t>Grampozitívne aeróby:</w:t>
            </w:r>
          </w:p>
          <w:p w14:paraId="703668F1" w14:textId="77777777" w:rsidR="007C5DFC" w:rsidRPr="000145FD" w:rsidRDefault="007C5DFC" w:rsidP="0071569C">
            <w:pPr>
              <w:pStyle w:val="Normlndobloku"/>
              <w:rPr>
                <w:rStyle w:val="Bacil"/>
              </w:rPr>
            </w:pPr>
            <w:r w:rsidRPr="007C1581">
              <w:rPr>
                <w:rStyle w:val="Bacil"/>
              </w:rPr>
              <w:t>Streptococcus pneumoniae</w:t>
            </w:r>
          </w:p>
          <w:p w14:paraId="7264DAF6" w14:textId="77777777" w:rsidR="005B2701" w:rsidRPr="007C1581" w:rsidRDefault="005B2701" w:rsidP="0071569C">
            <w:pPr>
              <w:pStyle w:val="Normlndobloku"/>
              <w:rPr>
                <w:rStyle w:val="Bacil"/>
              </w:rPr>
            </w:pPr>
          </w:p>
        </w:tc>
      </w:tr>
      <w:tr w:rsidR="007C5DFC" w:rsidRPr="007C1581" w14:paraId="522B81DB" w14:textId="77777777" w:rsidTr="007C1581">
        <w:trPr>
          <w:trHeight w:val="2491"/>
        </w:trPr>
        <w:tc>
          <w:tcPr>
            <w:tcW w:w="9213" w:type="dxa"/>
            <w:shd w:val="clear" w:color="auto" w:fill="auto"/>
          </w:tcPr>
          <w:p w14:paraId="4D12BE19" w14:textId="77777777" w:rsidR="00B5385A" w:rsidRPr="002E0B42" w:rsidRDefault="00B5385A" w:rsidP="0071569C">
            <w:pPr>
              <w:pStyle w:val="Normlndobloku"/>
            </w:pPr>
            <w:r w:rsidRPr="002E0B42">
              <w:t>Gramnegatívne aeróby:</w:t>
            </w:r>
          </w:p>
          <w:p w14:paraId="6313ACEE" w14:textId="77777777" w:rsidR="007C5DFC" w:rsidRPr="007C1581" w:rsidRDefault="007C5DFC" w:rsidP="0071569C">
            <w:pPr>
              <w:pStyle w:val="Normlndobloku"/>
              <w:rPr>
                <w:rStyle w:val="Bacil"/>
              </w:rPr>
            </w:pPr>
            <w:r w:rsidRPr="007C1581">
              <w:rPr>
                <w:rStyle w:val="Bacil"/>
              </w:rPr>
              <w:t>Citrobacter freundii</w:t>
            </w:r>
          </w:p>
          <w:p w14:paraId="04DE1D3A" w14:textId="77777777" w:rsidR="007C5DFC" w:rsidRPr="007C1581" w:rsidRDefault="007C5DFC" w:rsidP="0071569C">
            <w:pPr>
              <w:pStyle w:val="Normlndobloku"/>
              <w:rPr>
                <w:rStyle w:val="Bacil"/>
              </w:rPr>
            </w:pPr>
            <w:r w:rsidRPr="007C1581">
              <w:rPr>
                <w:rStyle w:val="Bacil"/>
              </w:rPr>
              <w:t>Enterobacter cloacae</w:t>
            </w:r>
          </w:p>
          <w:p w14:paraId="5813E9B9" w14:textId="77777777" w:rsidR="007C5DFC" w:rsidRPr="007C1581" w:rsidRDefault="007C5DFC" w:rsidP="0071569C">
            <w:pPr>
              <w:pStyle w:val="Normlndobloku"/>
              <w:rPr>
                <w:rStyle w:val="Bacil"/>
              </w:rPr>
            </w:pPr>
            <w:r w:rsidRPr="007C1581">
              <w:rPr>
                <w:rStyle w:val="Bacil"/>
              </w:rPr>
              <w:t>Enterobacter aerogenes</w:t>
            </w:r>
          </w:p>
          <w:p w14:paraId="0EFA4C21" w14:textId="77777777" w:rsidR="007C5DFC" w:rsidRPr="007C1581" w:rsidRDefault="007C5DFC" w:rsidP="0071569C">
            <w:pPr>
              <w:pStyle w:val="Normlndobloku"/>
              <w:rPr>
                <w:rStyle w:val="Bacil"/>
              </w:rPr>
            </w:pPr>
            <w:r w:rsidRPr="007C1581">
              <w:rPr>
                <w:rStyle w:val="Bacil"/>
              </w:rPr>
              <w:t>Escherichia coli</w:t>
            </w:r>
          </w:p>
          <w:p w14:paraId="3347535F" w14:textId="77777777" w:rsidR="007C5DFC" w:rsidRPr="007C1581" w:rsidRDefault="007C5DFC" w:rsidP="0071569C">
            <w:pPr>
              <w:pStyle w:val="Normlndobloku"/>
              <w:rPr>
                <w:rStyle w:val="Bacil"/>
              </w:rPr>
            </w:pPr>
            <w:r w:rsidRPr="007C1581">
              <w:rPr>
                <w:rStyle w:val="Bacil"/>
              </w:rPr>
              <w:t>Klebsiella pneumoniae</w:t>
            </w:r>
          </w:p>
          <w:p w14:paraId="525644FE" w14:textId="77777777" w:rsidR="007C5DFC" w:rsidRPr="007C1581" w:rsidRDefault="007C5DFC" w:rsidP="0071569C">
            <w:pPr>
              <w:pStyle w:val="Normlndobloku"/>
              <w:rPr>
                <w:rStyle w:val="Bacil"/>
              </w:rPr>
            </w:pPr>
            <w:r w:rsidRPr="007C1581">
              <w:rPr>
                <w:rStyle w:val="Bacil"/>
              </w:rPr>
              <w:t>Proteus mirabilis</w:t>
            </w:r>
          </w:p>
          <w:p w14:paraId="52A1AA2D" w14:textId="77777777" w:rsidR="007C5DFC" w:rsidRPr="007C1581" w:rsidRDefault="007C5DFC" w:rsidP="0071569C">
            <w:pPr>
              <w:pStyle w:val="Normlndobloku"/>
            </w:pPr>
            <w:r w:rsidRPr="007C1581">
              <w:rPr>
                <w:rStyle w:val="Bacil"/>
              </w:rPr>
              <w:t>Proteus</w:t>
            </w:r>
            <w:r w:rsidRPr="007C1581">
              <w:t xml:space="preserve"> spp (</w:t>
            </w:r>
            <w:r w:rsidR="00B7573D" w:rsidRPr="007C1581">
              <w:t xml:space="preserve">iné ako </w:t>
            </w:r>
            <w:r w:rsidRPr="007C1581">
              <w:rPr>
                <w:rStyle w:val="Bacil"/>
              </w:rPr>
              <w:t>P. vulgaris</w:t>
            </w:r>
            <w:r w:rsidRPr="007C1581">
              <w:t>)</w:t>
            </w:r>
          </w:p>
          <w:p w14:paraId="1F0A5B63" w14:textId="77777777" w:rsidR="007C5DFC" w:rsidRPr="007C1581" w:rsidRDefault="007C5DFC" w:rsidP="0071569C">
            <w:pPr>
              <w:pStyle w:val="Normlndobloku"/>
            </w:pPr>
            <w:r w:rsidRPr="007C1581">
              <w:rPr>
                <w:rStyle w:val="Bacil"/>
              </w:rPr>
              <w:t>Providencia</w:t>
            </w:r>
            <w:r w:rsidRPr="007C1581">
              <w:t xml:space="preserve"> spp.</w:t>
            </w:r>
          </w:p>
          <w:p w14:paraId="6B60B30A" w14:textId="77777777" w:rsidR="007C5DFC" w:rsidRPr="007C1581" w:rsidRDefault="007C5DFC" w:rsidP="0071569C">
            <w:pPr>
              <w:pStyle w:val="Normlndobloku"/>
            </w:pPr>
            <w:r w:rsidRPr="007C1581">
              <w:rPr>
                <w:rStyle w:val="Bacil"/>
              </w:rPr>
              <w:t>Salmonella</w:t>
            </w:r>
            <w:r w:rsidRPr="007C1581">
              <w:t xml:space="preserve"> spp.</w:t>
            </w:r>
          </w:p>
          <w:p w14:paraId="77C16ACF" w14:textId="77777777" w:rsidR="005B2701" w:rsidRPr="007C1581" w:rsidRDefault="005B2701" w:rsidP="0071569C">
            <w:pPr>
              <w:pStyle w:val="Normlndobloku"/>
            </w:pPr>
          </w:p>
        </w:tc>
      </w:tr>
      <w:tr w:rsidR="007C5DFC" w:rsidRPr="007C1581" w14:paraId="2F2B73A7" w14:textId="77777777" w:rsidTr="007C1581">
        <w:trPr>
          <w:trHeight w:val="733"/>
        </w:trPr>
        <w:tc>
          <w:tcPr>
            <w:tcW w:w="9213" w:type="dxa"/>
            <w:shd w:val="clear" w:color="auto" w:fill="auto"/>
          </w:tcPr>
          <w:p w14:paraId="6A2195BC" w14:textId="77777777" w:rsidR="00B5385A" w:rsidRPr="002E0B42" w:rsidRDefault="00B5385A" w:rsidP="0071569C">
            <w:pPr>
              <w:pStyle w:val="Normlndobloku"/>
            </w:pPr>
            <w:r w:rsidRPr="002E0B42">
              <w:t>Grampozitívne anaeróby:</w:t>
            </w:r>
          </w:p>
          <w:p w14:paraId="257A2BB5" w14:textId="77777777" w:rsidR="007C5DFC" w:rsidRPr="007C1581" w:rsidRDefault="007C5DFC" w:rsidP="0071569C">
            <w:pPr>
              <w:pStyle w:val="Normlndobloku"/>
            </w:pPr>
            <w:r w:rsidRPr="007C1581">
              <w:rPr>
                <w:rStyle w:val="Bacil"/>
              </w:rPr>
              <w:t>Peptostreptococcus</w:t>
            </w:r>
            <w:r w:rsidRPr="007C1581">
              <w:t xml:space="preserve"> spp.</w:t>
            </w:r>
          </w:p>
          <w:p w14:paraId="5AEB937F" w14:textId="77777777" w:rsidR="007C5DFC" w:rsidRPr="007C1581" w:rsidRDefault="007C5DFC" w:rsidP="0071569C">
            <w:pPr>
              <w:pStyle w:val="Normlndobloku"/>
            </w:pPr>
            <w:r w:rsidRPr="007C1581">
              <w:rPr>
                <w:rStyle w:val="Bacil"/>
              </w:rPr>
              <w:t>Propionibacterium</w:t>
            </w:r>
            <w:r w:rsidRPr="007C1581">
              <w:t xml:space="preserve"> spp.</w:t>
            </w:r>
          </w:p>
          <w:p w14:paraId="1A8659B0" w14:textId="77777777" w:rsidR="005B2701" w:rsidRPr="007C1581" w:rsidRDefault="005B2701" w:rsidP="0071569C">
            <w:pPr>
              <w:pStyle w:val="Normlndobloku"/>
            </w:pPr>
          </w:p>
        </w:tc>
      </w:tr>
      <w:tr w:rsidR="007C5DFC" w:rsidRPr="007C1581" w14:paraId="3730B69B" w14:textId="77777777" w:rsidTr="007C1581">
        <w:trPr>
          <w:trHeight w:val="693"/>
        </w:trPr>
        <w:tc>
          <w:tcPr>
            <w:tcW w:w="9213" w:type="dxa"/>
            <w:shd w:val="clear" w:color="auto" w:fill="auto"/>
          </w:tcPr>
          <w:p w14:paraId="3100A8C8" w14:textId="77777777" w:rsidR="00B5385A" w:rsidRPr="002E0B42" w:rsidRDefault="00B5385A" w:rsidP="0071569C">
            <w:pPr>
              <w:pStyle w:val="Normlndobloku"/>
            </w:pPr>
            <w:r w:rsidRPr="002E0B42">
              <w:t>Gramnegatívne anaeróby:</w:t>
            </w:r>
          </w:p>
          <w:p w14:paraId="0157D5B4" w14:textId="77777777" w:rsidR="007C5DFC" w:rsidRPr="007C1581" w:rsidRDefault="007C5DFC" w:rsidP="0071569C">
            <w:pPr>
              <w:pStyle w:val="Normlndobloku"/>
            </w:pPr>
            <w:r w:rsidRPr="007C1581">
              <w:rPr>
                <w:rStyle w:val="Bacil"/>
              </w:rPr>
              <w:t>Fusobacterium</w:t>
            </w:r>
            <w:r w:rsidRPr="007C1581">
              <w:t xml:space="preserve"> spp.</w:t>
            </w:r>
          </w:p>
          <w:p w14:paraId="21AE1416" w14:textId="77777777" w:rsidR="007C5DFC" w:rsidRPr="007C1581" w:rsidRDefault="007C5DFC" w:rsidP="0071569C">
            <w:pPr>
              <w:pStyle w:val="Normlndobloku"/>
            </w:pPr>
            <w:r w:rsidRPr="007C1581">
              <w:rPr>
                <w:rStyle w:val="Bacil"/>
              </w:rPr>
              <w:t>Bacteroides</w:t>
            </w:r>
            <w:r w:rsidRPr="007C1581">
              <w:t xml:space="preserve"> spp.</w:t>
            </w:r>
          </w:p>
          <w:p w14:paraId="2E456497" w14:textId="77777777" w:rsidR="005B2701" w:rsidRPr="007C1581" w:rsidRDefault="005B2701" w:rsidP="0071569C">
            <w:pPr>
              <w:pStyle w:val="Normlndobloku"/>
            </w:pPr>
          </w:p>
        </w:tc>
      </w:tr>
      <w:tr w:rsidR="007C5DFC" w:rsidRPr="007C1581" w14:paraId="672044D2" w14:textId="77777777" w:rsidTr="00B82B89">
        <w:tc>
          <w:tcPr>
            <w:tcW w:w="9213" w:type="dxa"/>
            <w:shd w:val="clear" w:color="auto" w:fill="auto"/>
          </w:tcPr>
          <w:p w14:paraId="62DA2DEA" w14:textId="77777777" w:rsidR="007C5DFC" w:rsidRPr="007C1581" w:rsidRDefault="00B5385A" w:rsidP="00F8196D">
            <w:pPr>
              <w:pStyle w:val="Nadpisuvnittabulky"/>
            </w:pPr>
            <w:r w:rsidRPr="007C1581">
              <w:t>Inherentne rezistentné mikroorganizmy</w:t>
            </w:r>
          </w:p>
        </w:tc>
      </w:tr>
      <w:tr w:rsidR="007C5DFC" w:rsidRPr="007C1581" w14:paraId="6BBD86AE" w14:textId="77777777" w:rsidTr="007C1581">
        <w:trPr>
          <w:trHeight w:val="685"/>
        </w:trPr>
        <w:tc>
          <w:tcPr>
            <w:tcW w:w="9213" w:type="dxa"/>
            <w:shd w:val="clear" w:color="auto" w:fill="auto"/>
          </w:tcPr>
          <w:p w14:paraId="5BFD0BD2" w14:textId="77777777" w:rsidR="00B5385A" w:rsidRPr="002E0B42" w:rsidRDefault="00B5385A" w:rsidP="0071569C">
            <w:pPr>
              <w:pStyle w:val="Normlndobloku"/>
            </w:pPr>
            <w:r w:rsidRPr="002E0B42">
              <w:t>Grampozitívne aeróby:</w:t>
            </w:r>
          </w:p>
          <w:p w14:paraId="15BB67D6" w14:textId="77777777" w:rsidR="007C5DFC" w:rsidRPr="007C1581" w:rsidRDefault="007C5DFC" w:rsidP="0071569C">
            <w:pPr>
              <w:pStyle w:val="Normlndobloku"/>
              <w:rPr>
                <w:rStyle w:val="Bacil"/>
              </w:rPr>
            </w:pPr>
            <w:r w:rsidRPr="007C1581">
              <w:rPr>
                <w:rStyle w:val="Bacil"/>
              </w:rPr>
              <w:t>Enterococcus faecalis</w:t>
            </w:r>
          </w:p>
          <w:p w14:paraId="518B2979" w14:textId="77777777" w:rsidR="007C5DFC" w:rsidRPr="007C1581" w:rsidRDefault="007C5DFC" w:rsidP="0071569C">
            <w:pPr>
              <w:pStyle w:val="Normlndobloku"/>
              <w:rPr>
                <w:rStyle w:val="Bacil"/>
              </w:rPr>
            </w:pPr>
            <w:r w:rsidRPr="007C1581">
              <w:rPr>
                <w:rStyle w:val="Bacil"/>
              </w:rPr>
              <w:lastRenderedPageBreak/>
              <w:t>Enterococcus faecium</w:t>
            </w:r>
          </w:p>
          <w:p w14:paraId="62C2F1A7" w14:textId="77777777" w:rsidR="005B2701" w:rsidRPr="007C1581" w:rsidRDefault="005B2701" w:rsidP="0071569C">
            <w:pPr>
              <w:pStyle w:val="Normlndobloku"/>
            </w:pPr>
          </w:p>
        </w:tc>
      </w:tr>
      <w:tr w:rsidR="007C5DFC" w:rsidRPr="002E0B42" w14:paraId="44DB6F90" w14:textId="77777777" w:rsidTr="007C1581">
        <w:trPr>
          <w:trHeight w:val="1510"/>
        </w:trPr>
        <w:tc>
          <w:tcPr>
            <w:tcW w:w="9213" w:type="dxa"/>
            <w:shd w:val="clear" w:color="auto" w:fill="auto"/>
          </w:tcPr>
          <w:p w14:paraId="60E4BA71" w14:textId="77777777" w:rsidR="00B5385A" w:rsidRPr="002E0B42" w:rsidRDefault="00B5385A" w:rsidP="0071569C">
            <w:pPr>
              <w:pStyle w:val="Normlndobloku"/>
            </w:pPr>
            <w:r w:rsidRPr="002E0B42">
              <w:lastRenderedPageBreak/>
              <w:t>Gramnegatívne aeróby:</w:t>
            </w:r>
          </w:p>
          <w:p w14:paraId="41D17D5B" w14:textId="77777777" w:rsidR="007C5DFC" w:rsidRPr="007C1581" w:rsidRDefault="007C5DFC" w:rsidP="0071569C">
            <w:pPr>
              <w:pStyle w:val="Normlndobloku"/>
            </w:pPr>
            <w:r w:rsidRPr="007C1581">
              <w:rPr>
                <w:rStyle w:val="Bacil"/>
              </w:rPr>
              <w:t>Acinetobacter</w:t>
            </w:r>
            <w:r w:rsidRPr="007C1581">
              <w:t xml:space="preserve"> spp</w:t>
            </w:r>
          </w:p>
          <w:p w14:paraId="1CC2F303" w14:textId="77777777" w:rsidR="007C5DFC" w:rsidRPr="007C1581" w:rsidRDefault="007C5DFC" w:rsidP="0071569C">
            <w:pPr>
              <w:pStyle w:val="Normlndobloku"/>
              <w:rPr>
                <w:rStyle w:val="Bacil"/>
              </w:rPr>
            </w:pPr>
            <w:r w:rsidRPr="007C1581">
              <w:rPr>
                <w:rStyle w:val="Bacil"/>
              </w:rPr>
              <w:t>Morganella morganii</w:t>
            </w:r>
          </w:p>
          <w:p w14:paraId="7DF18397" w14:textId="77777777" w:rsidR="007C5DFC" w:rsidRPr="007C1581" w:rsidRDefault="007C5DFC" w:rsidP="0071569C">
            <w:pPr>
              <w:pStyle w:val="Normlndobloku"/>
              <w:rPr>
                <w:rStyle w:val="Bacil"/>
              </w:rPr>
            </w:pPr>
            <w:r w:rsidRPr="007C1581">
              <w:rPr>
                <w:rStyle w:val="Bacil"/>
              </w:rPr>
              <w:t>Proteus vulgaris</w:t>
            </w:r>
          </w:p>
          <w:p w14:paraId="35523F54" w14:textId="77777777" w:rsidR="007C5DFC" w:rsidRPr="007C1581" w:rsidRDefault="007C5DFC" w:rsidP="0071569C">
            <w:pPr>
              <w:pStyle w:val="Normlndobloku"/>
              <w:rPr>
                <w:rStyle w:val="Bacil"/>
              </w:rPr>
            </w:pPr>
            <w:r w:rsidRPr="007C1581">
              <w:rPr>
                <w:rStyle w:val="Bacil"/>
              </w:rPr>
              <w:t>Pseudomonas aeruginosa</w:t>
            </w:r>
          </w:p>
          <w:p w14:paraId="2F543C94" w14:textId="77777777" w:rsidR="007C5DFC" w:rsidRPr="007C1581" w:rsidRDefault="007C5DFC" w:rsidP="0071569C">
            <w:pPr>
              <w:pStyle w:val="Normlndobloku"/>
            </w:pPr>
            <w:r w:rsidRPr="007C1581">
              <w:rPr>
                <w:rStyle w:val="Bacil"/>
              </w:rPr>
              <w:t>Serratia marcescen</w:t>
            </w:r>
            <w:r w:rsidRPr="007C1581">
              <w:t>s</w:t>
            </w:r>
          </w:p>
          <w:p w14:paraId="4DA4C30C" w14:textId="77777777" w:rsidR="005B2701" w:rsidRPr="007C1581" w:rsidRDefault="005B2701" w:rsidP="0071569C">
            <w:pPr>
              <w:pStyle w:val="Normlndobloku"/>
            </w:pPr>
          </w:p>
        </w:tc>
      </w:tr>
      <w:tr w:rsidR="007C5DFC" w:rsidRPr="007C1581" w14:paraId="786BED53" w14:textId="77777777" w:rsidTr="007C1581">
        <w:trPr>
          <w:trHeight w:val="451"/>
        </w:trPr>
        <w:tc>
          <w:tcPr>
            <w:tcW w:w="9213" w:type="dxa"/>
            <w:shd w:val="clear" w:color="auto" w:fill="auto"/>
          </w:tcPr>
          <w:p w14:paraId="3153B6BD" w14:textId="77777777" w:rsidR="000E3C2C" w:rsidRPr="002E0B42" w:rsidRDefault="00B5385A" w:rsidP="0071569C">
            <w:pPr>
              <w:pStyle w:val="Normlndobloku"/>
            </w:pPr>
            <w:r w:rsidRPr="002E0B42">
              <w:t>Grampozitívne anaeróby:</w:t>
            </w:r>
          </w:p>
          <w:p w14:paraId="739638D0" w14:textId="77777777" w:rsidR="007C5DFC" w:rsidRPr="007C1581" w:rsidRDefault="007C5DFC" w:rsidP="0071569C">
            <w:pPr>
              <w:pStyle w:val="Normlndobloku"/>
              <w:rPr>
                <w:rStyle w:val="Bacil"/>
              </w:rPr>
            </w:pPr>
            <w:r w:rsidRPr="007C1581">
              <w:rPr>
                <w:rStyle w:val="Bacil"/>
              </w:rPr>
              <w:t>Clostridium difficile</w:t>
            </w:r>
          </w:p>
          <w:p w14:paraId="650E80B1" w14:textId="77777777" w:rsidR="005B2701" w:rsidRPr="007C1581" w:rsidRDefault="005B2701" w:rsidP="0071569C">
            <w:pPr>
              <w:pStyle w:val="Normlndobloku"/>
              <w:rPr>
                <w:rStyle w:val="Bacil"/>
              </w:rPr>
            </w:pPr>
          </w:p>
        </w:tc>
      </w:tr>
      <w:tr w:rsidR="007C5DFC" w:rsidRPr="007C1581" w14:paraId="3935ACD0" w14:textId="77777777" w:rsidTr="007C1581">
        <w:trPr>
          <w:trHeight w:val="519"/>
        </w:trPr>
        <w:tc>
          <w:tcPr>
            <w:tcW w:w="9213" w:type="dxa"/>
            <w:shd w:val="clear" w:color="auto" w:fill="auto"/>
          </w:tcPr>
          <w:p w14:paraId="5F7C7FFD" w14:textId="77777777" w:rsidR="00B5385A" w:rsidRPr="002E0B42" w:rsidRDefault="00B5385A" w:rsidP="0071569C">
            <w:pPr>
              <w:pStyle w:val="Normlndobloku"/>
            </w:pPr>
            <w:r w:rsidRPr="002E0B42">
              <w:t>Gramnegatívne anaeróby:</w:t>
            </w:r>
          </w:p>
          <w:p w14:paraId="4646EA0C" w14:textId="77777777" w:rsidR="007C5DFC" w:rsidRPr="007C1581" w:rsidRDefault="007C5DFC" w:rsidP="0071569C">
            <w:pPr>
              <w:pStyle w:val="Normlndobloku"/>
              <w:rPr>
                <w:rStyle w:val="Bacil"/>
              </w:rPr>
            </w:pPr>
            <w:r w:rsidRPr="007C1581">
              <w:rPr>
                <w:rStyle w:val="Bacil"/>
              </w:rPr>
              <w:t>Bacteroides fragilis</w:t>
            </w:r>
          </w:p>
          <w:p w14:paraId="298D9FBC" w14:textId="77777777" w:rsidR="005B2701" w:rsidRPr="007C1581" w:rsidRDefault="005B2701" w:rsidP="0071569C">
            <w:pPr>
              <w:pStyle w:val="Normlndobloku"/>
              <w:rPr>
                <w:rStyle w:val="Bacil"/>
              </w:rPr>
            </w:pPr>
          </w:p>
        </w:tc>
      </w:tr>
      <w:tr w:rsidR="007C5DFC" w:rsidRPr="007C1581" w14:paraId="05A813C7" w14:textId="77777777" w:rsidTr="007C1581">
        <w:trPr>
          <w:trHeight w:val="983"/>
        </w:trPr>
        <w:tc>
          <w:tcPr>
            <w:tcW w:w="9213" w:type="dxa"/>
            <w:shd w:val="clear" w:color="auto" w:fill="auto"/>
          </w:tcPr>
          <w:p w14:paraId="5B338645" w14:textId="77777777" w:rsidR="007C5DFC" w:rsidRPr="007C1581" w:rsidRDefault="00B5385A" w:rsidP="0071569C">
            <w:pPr>
              <w:pStyle w:val="Styl3"/>
            </w:pPr>
            <w:r w:rsidRPr="007C1581">
              <w:t>Iné</w:t>
            </w:r>
            <w:r w:rsidR="007C5DFC" w:rsidRPr="007C1581">
              <w:t>:</w:t>
            </w:r>
          </w:p>
          <w:p w14:paraId="62B2F5AF" w14:textId="77777777" w:rsidR="007C5DFC" w:rsidRPr="007C1581" w:rsidRDefault="007C5DFC" w:rsidP="0071569C">
            <w:pPr>
              <w:pStyle w:val="Normlndobloku"/>
            </w:pPr>
            <w:r w:rsidRPr="007C1581">
              <w:rPr>
                <w:rStyle w:val="Bacil"/>
              </w:rPr>
              <w:t>Chlamydia</w:t>
            </w:r>
            <w:r w:rsidRPr="007C1581">
              <w:t xml:space="preserve"> spp</w:t>
            </w:r>
          </w:p>
          <w:p w14:paraId="068814A4" w14:textId="77777777" w:rsidR="007C5DFC" w:rsidRPr="007C1581" w:rsidRDefault="007C5DFC" w:rsidP="0071569C">
            <w:pPr>
              <w:pStyle w:val="Normlndobloku"/>
            </w:pPr>
            <w:r w:rsidRPr="007C1581">
              <w:rPr>
                <w:rStyle w:val="Bacil"/>
              </w:rPr>
              <w:t>Mycoplasma</w:t>
            </w:r>
            <w:r w:rsidRPr="007C1581">
              <w:t xml:space="preserve"> spp</w:t>
            </w:r>
          </w:p>
          <w:p w14:paraId="2D8C97CB" w14:textId="77777777" w:rsidR="007C5DFC" w:rsidRPr="007C1581" w:rsidRDefault="007C5DFC" w:rsidP="0071569C">
            <w:pPr>
              <w:pStyle w:val="Normlndobloku"/>
            </w:pPr>
            <w:r w:rsidRPr="007C1581">
              <w:rPr>
                <w:rStyle w:val="Bacil"/>
              </w:rPr>
              <w:t>Legionella</w:t>
            </w:r>
            <w:r w:rsidRPr="007C1581">
              <w:t xml:space="preserve"> spp</w:t>
            </w:r>
          </w:p>
        </w:tc>
      </w:tr>
    </w:tbl>
    <w:p w14:paraId="1C0B6248" w14:textId="77777777" w:rsidR="007C5DFC" w:rsidRPr="007C1581" w:rsidRDefault="007C5DFC" w:rsidP="0071569C">
      <w:pPr>
        <w:pStyle w:val="Normlndobloku"/>
      </w:pPr>
      <w:r w:rsidRPr="007C1581">
        <w:t xml:space="preserve">$ Každý </w:t>
      </w:r>
      <w:r w:rsidRPr="007C1581">
        <w:rPr>
          <w:rStyle w:val="Bacil"/>
        </w:rPr>
        <w:t>S. aureus</w:t>
      </w:r>
      <w:r w:rsidRPr="007C1581">
        <w:t xml:space="preserve"> rezistentný na meticilín je rezistentný aj na cefuroxím.</w:t>
      </w:r>
    </w:p>
    <w:p w14:paraId="7BC62557" w14:textId="77777777" w:rsidR="005B2701" w:rsidRPr="007C1581" w:rsidRDefault="005B2701" w:rsidP="0071569C">
      <w:pPr>
        <w:pStyle w:val="Normlndobloku"/>
      </w:pPr>
    </w:p>
    <w:p w14:paraId="7B937BDA" w14:textId="77777777" w:rsidR="007C5DFC" w:rsidRPr="007C1581" w:rsidRDefault="007C5DFC" w:rsidP="0071569C">
      <w:pPr>
        <w:pStyle w:val="Normlndobloku"/>
      </w:pPr>
      <w:r w:rsidRPr="007C1581">
        <w:t>Preukázalo sa, že sodná soľ cefuroxímu</w:t>
      </w:r>
      <w:r w:rsidR="00021F6F" w:rsidRPr="007C1581">
        <w:t xml:space="preserve"> a </w:t>
      </w:r>
      <w:r w:rsidRPr="007C1581">
        <w:t>aminoglykozidové antibiotiká podávané</w:t>
      </w:r>
      <w:r w:rsidR="00021F6F" w:rsidRPr="007C1581">
        <w:t xml:space="preserve"> v </w:t>
      </w:r>
      <w:r w:rsidRPr="007C1581">
        <w:t xml:space="preserve">kombinácii majú </w:t>
      </w:r>
      <w:r w:rsidRPr="007C1581">
        <w:rPr>
          <w:rStyle w:val="Bacil"/>
        </w:rPr>
        <w:t>in vitro</w:t>
      </w:r>
      <w:r w:rsidRPr="007C1581">
        <w:t xml:space="preserve"> minimálne aditívnu účinnosť, pričom občas sa preukázalo ich synergické pôsobenie.</w:t>
      </w:r>
    </w:p>
    <w:p w14:paraId="64036722" w14:textId="77777777" w:rsidR="005B2701" w:rsidRPr="007C1581" w:rsidRDefault="005B2701" w:rsidP="0071569C">
      <w:pPr>
        <w:pStyle w:val="Normlndobloku"/>
      </w:pPr>
    </w:p>
    <w:p w14:paraId="719876D0" w14:textId="77777777" w:rsidR="007C5DFC" w:rsidRPr="007C1581" w:rsidRDefault="007C5DFC" w:rsidP="00D16EA1">
      <w:pPr>
        <w:pStyle w:val="Styl2"/>
      </w:pPr>
      <w:r w:rsidRPr="007C1581">
        <w:t>Farmakokinetické vlastnosti</w:t>
      </w:r>
    </w:p>
    <w:p w14:paraId="0113063F" w14:textId="77777777" w:rsidR="005B2701" w:rsidRPr="007C1581" w:rsidRDefault="005B2701" w:rsidP="0071569C">
      <w:pPr>
        <w:pStyle w:val="Styl3"/>
      </w:pPr>
    </w:p>
    <w:p w14:paraId="51E35BF4" w14:textId="77777777" w:rsidR="007C5DFC" w:rsidRPr="007C1581" w:rsidRDefault="007C5DFC" w:rsidP="0071569C">
      <w:pPr>
        <w:pStyle w:val="Styl3"/>
      </w:pPr>
      <w:r w:rsidRPr="007C1581">
        <w:t>Absorpcia</w:t>
      </w:r>
    </w:p>
    <w:p w14:paraId="1A4B7AE8" w14:textId="77777777" w:rsidR="007C5DFC" w:rsidRPr="007C1581" w:rsidRDefault="007C5DFC" w:rsidP="0071569C">
      <w:pPr>
        <w:pStyle w:val="Normlndobloku"/>
      </w:pPr>
      <w:r w:rsidRPr="007C1581">
        <w:t>Po intramuskulárnej (i.m.) injekcii cefuroxímu podanej zdravým dobrovoľníkom sa priemerná maximálna koncentrácia</w:t>
      </w:r>
      <w:r w:rsidR="00021F6F" w:rsidRPr="007C1581">
        <w:t xml:space="preserve"> v </w:t>
      </w:r>
      <w:r w:rsidRPr="007C1581">
        <w:t>sére pohybovala</w:t>
      </w:r>
      <w:r w:rsidR="00021F6F" w:rsidRPr="007C1581">
        <w:t xml:space="preserve"> v </w:t>
      </w:r>
      <w:r w:rsidRPr="007C1581">
        <w:t>rozmedzí od 2</w:t>
      </w:r>
      <w:r w:rsidR="00994936" w:rsidRPr="007C1581">
        <w:t>7 </w:t>
      </w:r>
      <w:r w:rsidRPr="007C1581">
        <w:t>do 3</w:t>
      </w:r>
      <w:r w:rsidR="00994936" w:rsidRPr="007C1581">
        <w:t>5 </w:t>
      </w:r>
      <w:r w:rsidRPr="007C1581">
        <w:t>μg/ml po 75</w:t>
      </w:r>
      <w:r w:rsidR="00994936" w:rsidRPr="007C1581">
        <w:t>0 </w:t>
      </w:r>
      <w:r w:rsidRPr="007C1581">
        <w:t>mg dávke</w:t>
      </w:r>
      <w:r w:rsidR="00021F6F" w:rsidRPr="007C1581">
        <w:t xml:space="preserve"> a </w:t>
      </w:r>
      <w:r w:rsidRPr="007C1581">
        <w:t>od 3</w:t>
      </w:r>
      <w:r w:rsidR="00994936" w:rsidRPr="007C1581">
        <w:t>3 </w:t>
      </w:r>
      <w:r w:rsidRPr="007C1581">
        <w:t>do 4</w:t>
      </w:r>
      <w:r w:rsidR="00994936" w:rsidRPr="007C1581">
        <w:t>0 </w:t>
      </w:r>
      <w:r w:rsidRPr="007C1581">
        <w:t xml:space="preserve">μg/ml po </w:t>
      </w:r>
      <w:r w:rsidR="00994936" w:rsidRPr="007C1581">
        <w:t>1 </w:t>
      </w:r>
      <w:r w:rsidRPr="007C1581">
        <w:t>00</w:t>
      </w:r>
      <w:r w:rsidR="00994936" w:rsidRPr="007C1581">
        <w:t>0 </w:t>
      </w:r>
      <w:r w:rsidRPr="007C1581">
        <w:t>mg dávke</w:t>
      </w:r>
      <w:r w:rsidR="00021F6F" w:rsidRPr="007C1581">
        <w:t xml:space="preserve"> a </w:t>
      </w:r>
      <w:r w:rsidRPr="007C1581">
        <w:t>dosiahla sa</w:t>
      </w:r>
      <w:r w:rsidR="00021F6F" w:rsidRPr="007C1581">
        <w:t xml:space="preserve"> v </w:t>
      </w:r>
      <w:r w:rsidRPr="007C1581">
        <w:t>priebehu 3</w:t>
      </w:r>
      <w:r w:rsidR="00994936" w:rsidRPr="007C1581">
        <w:t>0 </w:t>
      </w:r>
      <w:r w:rsidRPr="007C1581">
        <w:t>až 6</w:t>
      </w:r>
      <w:r w:rsidR="00994936" w:rsidRPr="007C1581">
        <w:t>0 </w:t>
      </w:r>
      <w:r w:rsidRPr="007C1581">
        <w:t>minút po podaní. Po intravenóznej (i.v.) dávke 75</w:t>
      </w:r>
      <w:r w:rsidR="00994936" w:rsidRPr="007C1581">
        <w:t>0 </w:t>
      </w:r>
      <w:r w:rsidRPr="007C1581">
        <w:t>mg bola koncentrácie</w:t>
      </w:r>
      <w:r w:rsidR="00021F6F" w:rsidRPr="007C1581">
        <w:t xml:space="preserve"> v </w:t>
      </w:r>
      <w:r w:rsidRPr="007C1581">
        <w:t>sére 5</w:t>
      </w:r>
      <w:r w:rsidR="00994936" w:rsidRPr="007C1581">
        <w:t>0 </w:t>
      </w:r>
      <w:r w:rsidRPr="007C1581">
        <w:t>μg/ml</w:t>
      </w:r>
      <w:r w:rsidR="00021F6F" w:rsidRPr="007C1581">
        <w:t xml:space="preserve"> a </w:t>
      </w:r>
      <w:r w:rsidRPr="007C1581">
        <w:t xml:space="preserve">po dávke </w:t>
      </w:r>
      <w:r w:rsidR="00994936" w:rsidRPr="007C1581">
        <w:t>1 </w:t>
      </w:r>
      <w:r w:rsidRPr="007C1581">
        <w:t>50</w:t>
      </w:r>
      <w:r w:rsidR="00994936" w:rsidRPr="007C1581">
        <w:t>0 </w:t>
      </w:r>
      <w:r w:rsidRPr="007C1581">
        <w:t>mg bola 10</w:t>
      </w:r>
      <w:r w:rsidR="00994936" w:rsidRPr="007C1581">
        <w:t>0 </w:t>
      </w:r>
      <w:r w:rsidRPr="007C1581">
        <w:t>μg/ml, pričom sa dosiahla po 1</w:t>
      </w:r>
      <w:r w:rsidR="00994936" w:rsidRPr="007C1581">
        <w:t>5 </w:t>
      </w:r>
      <w:r w:rsidRPr="007C1581">
        <w:t>minútach.</w:t>
      </w:r>
    </w:p>
    <w:p w14:paraId="5CB6DE5C" w14:textId="77777777" w:rsidR="005B2701" w:rsidRPr="007C1581" w:rsidRDefault="005B2701" w:rsidP="0071569C">
      <w:pPr>
        <w:pStyle w:val="Normlndobloku"/>
      </w:pPr>
    </w:p>
    <w:p w14:paraId="6E7D6595" w14:textId="77777777" w:rsidR="007C5DFC" w:rsidRPr="007C1581" w:rsidRDefault="007C5DFC" w:rsidP="0071569C">
      <w:pPr>
        <w:pStyle w:val="Normlndobloku"/>
      </w:pPr>
      <w:r w:rsidRPr="007C1581">
        <w:t>Po i.m.</w:t>
      </w:r>
      <w:r w:rsidR="00021F6F" w:rsidRPr="007C1581">
        <w:t xml:space="preserve"> a </w:t>
      </w:r>
      <w:r w:rsidRPr="007C1581">
        <w:t>i.v. podaní sa hodnoty AUC</w:t>
      </w:r>
      <w:r w:rsidR="00021F6F" w:rsidRPr="007C1581">
        <w:t xml:space="preserve"> a </w:t>
      </w:r>
      <w:r w:rsidRPr="007C1581">
        <w:t>C</w:t>
      </w:r>
      <w:r w:rsidRPr="007C1581">
        <w:rPr>
          <w:vertAlign w:val="subscript"/>
        </w:rPr>
        <w:t>max</w:t>
      </w:r>
      <w:r w:rsidRPr="007C1581">
        <w:t xml:space="preserve"> zrejme zvyšujú lineárne so zvýšením dávky</w:t>
      </w:r>
      <w:r w:rsidR="00021F6F" w:rsidRPr="007C1581">
        <w:t xml:space="preserve"> v </w:t>
      </w:r>
      <w:r w:rsidRPr="007C1581">
        <w:t>rozsahu jednorazovej dávky od 25</w:t>
      </w:r>
      <w:r w:rsidR="00994936" w:rsidRPr="007C1581">
        <w:t>0 </w:t>
      </w:r>
      <w:r w:rsidRPr="007C1581">
        <w:t xml:space="preserve">do </w:t>
      </w:r>
      <w:r w:rsidR="00994936" w:rsidRPr="007C1581">
        <w:t>1 </w:t>
      </w:r>
      <w:r w:rsidRPr="007C1581">
        <w:t>00</w:t>
      </w:r>
      <w:r w:rsidR="00994936" w:rsidRPr="007C1581">
        <w:t>0 </w:t>
      </w:r>
      <w:r w:rsidRPr="007C1581">
        <w:t>mg.</w:t>
      </w:r>
      <w:r w:rsidR="00021F6F" w:rsidRPr="007C1581">
        <w:t xml:space="preserve"> </w:t>
      </w:r>
      <w:r w:rsidR="005B2701" w:rsidRPr="007C1581">
        <w:t>U</w:t>
      </w:r>
      <w:r w:rsidR="00021F6F" w:rsidRPr="007C1581">
        <w:t> </w:t>
      </w:r>
      <w:r w:rsidRPr="007C1581">
        <w:t xml:space="preserve">zdravých dobrovoľníkov sa po opakovanom intravenóznom podaní </w:t>
      </w:r>
      <w:r w:rsidR="00994936" w:rsidRPr="007C1581">
        <w:t>1 </w:t>
      </w:r>
      <w:r w:rsidRPr="007C1581">
        <w:t>50</w:t>
      </w:r>
      <w:r w:rsidR="00994936" w:rsidRPr="007C1581">
        <w:t>0 </w:t>
      </w:r>
      <w:r w:rsidRPr="007C1581">
        <w:t xml:space="preserve">mg dávky každých </w:t>
      </w:r>
      <w:r w:rsidR="00994936" w:rsidRPr="007C1581">
        <w:t>8 </w:t>
      </w:r>
      <w:r w:rsidRPr="007C1581">
        <w:t>hodín nepreukázala kumulácia cefuroxímu</w:t>
      </w:r>
      <w:r w:rsidR="00021F6F" w:rsidRPr="007C1581">
        <w:t xml:space="preserve"> v </w:t>
      </w:r>
      <w:r w:rsidRPr="007C1581">
        <w:t>sére.</w:t>
      </w:r>
    </w:p>
    <w:p w14:paraId="5BAEF020" w14:textId="77777777" w:rsidR="005B2701" w:rsidRPr="007C1581" w:rsidRDefault="005B2701" w:rsidP="0071569C">
      <w:pPr>
        <w:pStyle w:val="Styl3"/>
      </w:pPr>
    </w:p>
    <w:p w14:paraId="613EE426" w14:textId="77777777" w:rsidR="007C5DFC" w:rsidRPr="007C1581" w:rsidRDefault="007C5DFC" w:rsidP="0071569C">
      <w:pPr>
        <w:pStyle w:val="Styl3"/>
      </w:pPr>
      <w:r w:rsidRPr="007C1581">
        <w:t>Distribúcia</w:t>
      </w:r>
    </w:p>
    <w:p w14:paraId="44C36E8E" w14:textId="77777777" w:rsidR="007C5DFC" w:rsidRPr="007C1581" w:rsidRDefault="007C5DFC" w:rsidP="0071569C">
      <w:pPr>
        <w:pStyle w:val="Normlndobloku"/>
      </w:pPr>
      <w:r w:rsidRPr="007C1581">
        <w:t>Väzba na bielkoviny sa udáva</w:t>
      </w:r>
      <w:r w:rsidR="00021F6F" w:rsidRPr="007C1581">
        <w:t xml:space="preserve"> v </w:t>
      </w:r>
      <w:r w:rsidRPr="007C1581">
        <w:t>rozmedzí 3</w:t>
      </w:r>
      <w:r w:rsidR="00994936" w:rsidRPr="007C1581">
        <w:t>3 </w:t>
      </w:r>
      <w:r w:rsidRPr="007C1581">
        <w:t>až 5</w:t>
      </w:r>
      <w:r w:rsidR="00994936" w:rsidRPr="007C1581">
        <w:t>0 </w:t>
      </w:r>
      <w:r w:rsidRPr="007C1581">
        <w:t>%</w:t>
      </w:r>
      <w:r w:rsidR="00021F6F" w:rsidRPr="007C1581">
        <w:t xml:space="preserve"> v </w:t>
      </w:r>
      <w:r w:rsidRPr="007C1581">
        <w:t>závislosti od metodiky stanovenia. Po i.m. alebo i.v. podaní dávky</w:t>
      </w:r>
      <w:r w:rsidR="00021F6F" w:rsidRPr="007C1581">
        <w:t xml:space="preserve"> v </w:t>
      </w:r>
      <w:r w:rsidRPr="007C1581">
        <w:t>rozsahu od 25</w:t>
      </w:r>
      <w:r w:rsidR="00994936" w:rsidRPr="007C1581">
        <w:t>0 </w:t>
      </w:r>
      <w:r w:rsidRPr="007C1581">
        <w:t xml:space="preserve">do </w:t>
      </w:r>
      <w:r w:rsidR="00994936" w:rsidRPr="007C1581">
        <w:t>1 </w:t>
      </w:r>
      <w:r w:rsidRPr="007C1581">
        <w:t>00</w:t>
      </w:r>
      <w:r w:rsidR="00994936" w:rsidRPr="007C1581">
        <w:t>0 </w:t>
      </w:r>
      <w:r w:rsidRPr="007C1581">
        <w:t>mg sa priemerný distribučný objem pohyboval</w:t>
      </w:r>
      <w:r w:rsidR="00021F6F" w:rsidRPr="007C1581">
        <w:t xml:space="preserve"> v </w:t>
      </w:r>
      <w:r w:rsidRPr="007C1581">
        <w:t>rozmedzí od 9,</w:t>
      </w:r>
      <w:r w:rsidR="00994936" w:rsidRPr="007C1581">
        <w:t>3 </w:t>
      </w:r>
      <w:r w:rsidRPr="007C1581">
        <w:t>do 15,</w:t>
      </w:r>
      <w:r w:rsidR="00994936" w:rsidRPr="007C1581">
        <w:t>8 </w:t>
      </w:r>
      <w:r w:rsidRPr="007C1581">
        <w:t>l/1,7</w:t>
      </w:r>
      <w:r w:rsidR="00994936" w:rsidRPr="007C1581">
        <w:t>3 </w:t>
      </w:r>
      <w:r w:rsidRPr="007C1581">
        <w:t>m2. Koncentrácie cefuroxímu prevyšujúce minimálne inhibičné hladiny pre bežné patogény možno dosiahnuť</w:t>
      </w:r>
      <w:r w:rsidR="00021F6F" w:rsidRPr="007C1581">
        <w:t xml:space="preserve"> v </w:t>
      </w:r>
      <w:r w:rsidRPr="007C1581">
        <w:t>mandliach,</w:t>
      </w:r>
      <w:r w:rsidR="00021F6F" w:rsidRPr="007C1581">
        <w:t xml:space="preserve"> v </w:t>
      </w:r>
      <w:r w:rsidRPr="007C1581">
        <w:t>tkanivách prinosových dutín,</w:t>
      </w:r>
      <w:r w:rsidR="00021F6F" w:rsidRPr="007C1581">
        <w:t xml:space="preserve"> v </w:t>
      </w:r>
      <w:r w:rsidRPr="007C1581">
        <w:t>sliznici priedušiek,</w:t>
      </w:r>
      <w:r w:rsidR="00021F6F" w:rsidRPr="007C1581">
        <w:t xml:space="preserve"> v </w:t>
      </w:r>
      <w:r w:rsidRPr="007C1581">
        <w:t>kostiach,</w:t>
      </w:r>
      <w:r w:rsidR="00021F6F" w:rsidRPr="007C1581">
        <w:t xml:space="preserve"> v </w:t>
      </w:r>
      <w:r w:rsidRPr="007C1581">
        <w:t>pleurálnej tekutine, kĺbovej tekutine, synoviálnej tekutine, intersticiálnej tekutine,</w:t>
      </w:r>
      <w:r w:rsidR="00021F6F" w:rsidRPr="007C1581">
        <w:t xml:space="preserve"> v </w:t>
      </w:r>
      <w:r w:rsidRPr="007C1581">
        <w:t>žlči, spúte</w:t>
      </w:r>
      <w:r w:rsidR="00021F6F" w:rsidRPr="007C1581">
        <w:t xml:space="preserve"> a v </w:t>
      </w:r>
      <w:r w:rsidRPr="007C1581">
        <w:t>komorovom moku. Cefuroxím prechádza hematoencefalickou bariérou, keď sú zapálené meningy.</w:t>
      </w:r>
    </w:p>
    <w:p w14:paraId="187514E1" w14:textId="77777777" w:rsidR="005B2701" w:rsidRPr="007C1581" w:rsidRDefault="005B2701" w:rsidP="0071569C">
      <w:pPr>
        <w:pStyle w:val="Styl3"/>
      </w:pPr>
    </w:p>
    <w:p w14:paraId="5EAEC6AA" w14:textId="77777777" w:rsidR="007C5DFC" w:rsidRPr="007C1581" w:rsidRDefault="007C5DFC" w:rsidP="0071569C">
      <w:pPr>
        <w:pStyle w:val="Styl3"/>
      </w:pPr>
      <w:r w:rsidRPr="007C1581">
        <w:t>Biotransformácia</w:t>
      </w:r>
    </w:p>
    <w:p w14:paraId="72085A2C" w14:textId="77777777" w:rsidR="007C5DFC" w:rsidRPr="007C1581" w:rsidRDefault="007C5DFC" w:rsidP="0071569C">
      <w:pPr>
        <w:pStyle w:val="Normlndobloku"/>
      </w:pPr>
      <w:r w:rsidRPr="007C1581">
        <w:t>Cefuroxím sa nemetabolizuje.</w:t>
      </w:r>
    </w:p>
    <w:p w14:paraId="457831D6" w14:textId="77777777" w:rsidR="005B2701" w:rsidRPr="007C1581" w:rsidRDefault="005B2701" w:rsidP="0071569C">
      <w:pPr>
        <w:pStyle w:val="Styl3"/>
      </w:pPr>
    </w:p>
    <w:p w14:paraId="2F1CAF4B" w14:textId="77777777" w:rsidR="007C5DFC" w:rsidRPr="007C1581" w:rsidRDefault="007C5DFC" w:rsidP="0071569C">
      <w:pPr>
        <w:pStyle w:val="Styl3"/>
      </w:pPr>
      <w:r w:rsidRPr="007C1581">
        <w:t>Eliminácia</w:t>
      </w:r>
    </w:p>
    <w:p w14:paraId="7A7D8DD5" w14:textId="77777777" w:rsidR="007C5DFC" w:rsidRPr="007C1581" w:rsidRDefault="007C5DFC" w:rsidP="0071569C">
      <w:pPr>
        <w:pStyle w:val="Normlndobloku"/>
      </w:pPr>
      <w:r w:rsidRPr="007C1581">
        <w:t>Cefuroxím sa vylučuje glomerulárnou filtráciou</w:t>
      </w:r>
      <w:r w:rsidR="00021F6F" w:rsidRPr="007C1581">
        <w:t xml:space="preserve"> a </w:t>
      </w:r>
      <w:r w:rsidRPr="007C1581">
        <w:t>tubulárnou sekréciou. Po intramuskulárnej alebo intravenóznej injekcii je polčas</w:t>
      </w:r>
      <w:r w:rsidR="00021F6F" w:rsidRPr="007C1581">
        <w:t xml:space="preserve"> v </w:t>
      </w:r>
      <w:r w:rsidRPr="007C1581">
        <w:t>sére približne 7</w:t>
      </w:r>
      <w:r w:rsidR="00994936" w:rsidRPr="007C1581">
        <w:t>0 </w:t>
      </w:r>
      <w:r w:rsidRPr="007C1581">
        <w:t>minút. Cefuroxím sa takmer úplne (z 8</w:t>
      </w:r>
      <w:r w:rsidR="00994936" w:rsidRPr="007C1581">
        <w:t>5 </w:t>
      </w:r>
      <w:r w:rsidRPr="007C1581">
        <w:t>až 9</w:t>
      </w:r>
      <w:r w:rsidR="00994936" w:rsidRPr="007C1581">
        <w:t>0 </w:t>
      </w:r>
      <w:r w:rsidRPr="007C1581">
        <w:t>%) vylúči močom</w:t>
      </w:r>
      <w:r w:rsidR="00021F6F" w:rsidRPr="007C1581">
        <w:t xml:space="preserve"> v </w:t>
      </w:r>
      <w:r w:rsidRPr="007C1581">
        <w:t>nezmenenej forme</w:t>
      </w:r>
      <w:r w:rsidR="00021F6F" w:rsidRPr="007C1581">
        <w:t xml:space="preserve"> v </w:t>
      </w:r>
      <w:r w:rsidRPr="007C1581">
        <w:t>priebehu 2</w:t>
      </w:r>
      <w:r w:rsidR="00994936" w:rsidRPr="007C1581">
        <w:t>4 </w:t>
      </w:r>
      <w:r w:rsidRPr="007C1581">
        <w:t xml:space="preserve">hodín od podania. Najväčšie množstvo cefuroxímu </w:t>
      </w:r>
      <w:r w:rsidRPr="007C1581">
        <w:lastRenderedPageBreak/>
        <w:t>sa vylúči</w:t>
      </w:r>
      <w:r w:rsidR="00021F6F" w:rsidRPr="007C1581">
        <w:t xml:space="preserve"> v </w:t>
      </w:r>
      <w:r w:rsidRPr="007C1581">
        <w:t xml:space="preserve">priebehu prvých </w:t>
      </w:r>
      <w:r w:rsidR="00994936" w:rsidRPr="007C1581">
        <w:t>6 </w:t>
      </w:r>
      <w:r w:rsidRPr="007C1581">
        <w:t>hodín. Po i.m. alebo i.v. podaní dávky</w:t>
      </w:r>
      <w:r w:rsidR="00021F6F" w:rsidRPr="007C1581">
        <w:t xml:space="preserve"> v </w:t>
      </w:r>
      <w:r w:rsidRPr="007C1581">
        <w:t>rozsahu od 25</w:t>
      </w:r>
      <w:r w:rsidR="00994936" w:rsidRPr="007C1581">
        <w:t>0 </w:t>
      </w:r>
      <w:r w:rsidRPr="007C1581">
        <w:t xml:space="preserve">do </w:t>
      </w:r>
      <w:r w:rsidR="00994936" w:rsidRPr="007C1581">
        <w:t>1 </w:t>
      </w:r>
      <w:r w:rsidRPr="007C1581">
        <w:t>00</w:t>
      </w:r>
      <w:r w:rsidR="00994936" w:rsidRPr="007C1581">
        <w:t>0 </w:t>
      </w:r>
      <w:r w:rsidRPr="007C1581">
        <w:t>mg sa priemerný renálny klírens pohybuje</w:t>
      </w:r>
      <w:r w:rsidR="00021F6F" w:rsidRPr="007C1581">
        <w:t xml:space="preserve"> v </w:t>
      </w:r>
      <w:r w:rsidRPr="007C1581">
        <w:t>rozmedzí od 11</w:t>
      </w:r>
      <w:r w:rsidR="00994936" w:rsidRPr="007C1581">
        <w:t>4 </w:t>
      </w:r>
      <w:r w:rsidRPr="007C1581">
        <w:t>do 17</w:t>
      </w:r>
      <w:r w:rsidR="00994936" w:rsidRPr="007C1581">
        <w:t>0 </w:t>
      </w:r>
      <w:r w:rsidRPr="007C1581">
        <w:t>ml/min/1,7</w:t>
      </w:r>
      <w:r w:rsidR="00994936" w:rsidRPr="007C1581">
        <w:t>3 </w:t>
      </w:r>
      <w:r w:rsidRPr="007C1581">
        <w:t>m</w:t>
      </w:r>
      <w:r w:rsidRPr="007C1581">
        <w:rPr>
          <w:vertAlign w:val="superscript"/>
        </w:rPr>
        <w:t>2</w:t>
      </w:r>
      <w:r w:rsidRPr="007C1581">
        <w:t>.</w:t>
      </w:r>
    </w:p>
    <w:p w14:paraId="3DB7306C" w14:textId="77777777" w:rsidR="005B2701" w:rsidRPr="002E0B42" w:rsidRDefault="005B2701" w:rsidP="0071569C">
      <w:pPr>
        <w:pStyle w:val="Normlndobloku"/>
      </w:pPr>
    </w:p>
    <w:p w14:paraId="37C96571" w14:textId="77777777" w:rsidR="007C5DFC" w:rsidRPr="007C1581" w:rsidRDefault="007C5DFC" w:rsidP="005D142A">
      <w:pPr>
        <w:pStyle w:val="Nadpisuvnittabulky"/>
      </w:pPr>
      <w:r w:rsidRPr="007C1581">
        <w:t>Osobitné skupiny pacientov</w:t>
      </w:r>
    </w:p>
    <w:p w14:paraId="44458175" w14:textId="77777777" w:rsidR="005B2701" w:rsidRPr="007C1581" w:rsidRDefault="005B2701" w:rsidP="0071569C">
      <w:pPr>
        <w:pStyle w:val="Styl3"/>
      </w:pPr>
    </w:p>
    <w:p w14:paraId="39844470" w14:textId="77777777" w:rsidR="007C5DFC" w:rsidRPr="007C1581" w:rsidRDefault="007C5DFC" w:rsidP="0071569C">
      <w:pPr>
        <w:pStyle w:val="Styl3"/>
      </w:pPr>
      <w:r w:rsidRPr="007C1581">
        <w:t>Pohlavie</w:t>
      </w:r>
    </w:p>
    <w:p w14:paraId="22425BD9" w14:textId="77777777" w:rsidR="007C5DFC" w:rsidRPr="007C1581" w:rsidRDefault="007C5DFC" w:rsidP="0071569C">
      <w:pPr>
        <w:pStyle w:val="Normlndobloku"/>
      </w:pPr>
      <w:r w:rsidRPr="007C1581">
        <w:t xml:space="preserve">Po jednorazovej i.v. bolusovej injekcii </w:t>
      </w:r>
      <w:r w:rsidR="00994936" w:rsidRPr="007C1581">
        <w:t>1 </w:t>
      </w:r>
      <w:r w:rsidRPr="007C1581">
        <w:t>00</w:t>
      </w:r>
      <w:r w:rsidR="00994936" w:rsidRPr="007C1581">
        <w:t>0 </w:t>
      </w:r>
      <w:r w:rsidRPr="007C1581">
        <w:t>mg cefuroxímu vo forme sodnej soli sa medzi mužmi</w:t>
      </w:r>
      <w:r w:rsidR="00021F6F" w:rsidRPr="007C1581">
        <w:t xml:space="preserve"> a </w:t>
      </w:r>
      <w:r w:rsidRPr="007C1581">
        <w:t>ženami nepozorovali rozdiely vo farmakokinetike cefuroxímu.</w:t>
      </w:r>
    </w:p>
    <w:p w14:paraId="66CA6188" w14:textId="77777777" w:rsidR="0079744D" w:rsidRPr="007C1581" w:rsidRDefault="0079744D" w:rsidP="0071569C">
      <w:pPr>
        <w:pStyle w:val="Styl3"/>
      </w:pPr>
    </w:p>
    <w:p w14:paraId="7D0C861B" w14:textId="77777777" w:rsidR="007C5DFC" w:rsidRPr="007C1581" w:rsidRDefault="007C5DFC" w:rsidP="0071569C">
      <w:pPr>
        <w:pStyle w:val="Styl3"/>
      </w:pPr>
      <w:r w:rsidRPr="007C1581">
        <w:t>Starší pacienti</w:t>
      </w:r>
    </w:p>
    <w:p w14:paraId="6481A2A2" w14:textId="77777777" w:rsidR="007C5DFC" w:rsidRPr="007C1581" w:rsidRDefault="007C5DFC" w:rsidP="0071569C">
      <w:pPr>
        <w:pStyle w:val="Normlndobloku"/>
      </w:pPr>
      <w:r w:rsidRPr="007C1581">
        <w:t>Po i.m. alebo i.v. podaní sú absorpcia, distribúcia</w:t>
      </w:r>
      <w:r w:rsidR="00021F6F" w:rsidRPr="007C1581">
        <w:t xml:space="preserve"> a </w:t>
      </w:r>
      <w:r w:rsidRPr="007C1581">
        <w:t>vylučovanie cefuroxímu</w:t>
      </w:r>
      <w:r w:rsidR="00021F6F" w:rsidRPr="007C1581">
        <w:t xml:space="preserve"> u </w:t>
      </w:r>
      <w:r w:rsidRPr="007C1581">
        <w:t>starších pacientov podobné ako</w:t>
      </w:r>
      <w:r w:rsidR="00021F6F" w:rsidRPr="007C1581">
        <w:t xml:space="preserve"> u </w:t>
      </w:r>
      <w:r w:rsidRPr="007C1581">
        <w:t>mladších pacientov</w:t>
      </w:r>
      <w:r w:rsidR="00021F6F" w:rsidRPr="007C1581">
        <w:t xml:space="preserve"> s </w:t>
      </w:r>
      <w:r w:rsidRPr="007C1581">
        <w:t>rovnakou funkciou obličiek. Keďže</w:t>
      </w:r>
      <w:r w:rsidR="00021F6F" w:rsidRPr="007C1581">
        <w:t xml:space="preserve"> u </w:t>
      </w:r>
      <w:r w:rsidRPr="007C1581">
        <w:t>starších pacientov existuje vyššia pravdepodobnosť zníženej funkcie obličiek, pri voľbe dávky cefuroxímu je potrebná obozretnosť</w:t>
      </w:r>
      <w:r w:rsidR="00021F6F" w:rsidRPr="007C1581">
        <w:t xml:space="preserve"> a </w:t>
      </w:r>
      <w:r w:rsidRPr="007C1581">
        <w:t>môže byť užitočné sledovať funkciu obličiek (pozri časť 4.2).</w:t>
      </w:r>
    </w:p>
    <w:p w14:paraId="5C48FF2F" w14:textId="77777777" w:rsidR="0079744D" w:rsidRPr="007C1581" w:rsidRDefault="0079744D" w:rsidP="0071569C">
      <w:pPr>
        <w:pStyle w:val="Styl3"/>
      </w:pPr>
    </w:p>
    <w:p w14:paraId="7772A236" w14:textId="77777777" w:rsidR="007C5DFC" w:rsidRPr="007C1581" w:rsidRDefault="00994936" w:rsidP="0071569C">
      <w:pPr>
        <w:pStyle w:val="Styl3"/>
      </w:pPr>
      <w:r w:rsidRPr="007C1581">
        <w:t>Pediatrická populácia</w:t>
      </w:r>
    </w:p>
    <w:p w14:paraId="03C5E04A" w14:textId="77777777" w:rsidR="007C5DFC" w:rsidRPr="007C1581" w:rsidRDefault="007C5DFC" w:rsidP="0071569C">
      <w:pPr>
        <w:pStyle w:val="Normlndobloku"/>
      </w:pPr>
      <w:r w:rsidRPr="007C1581">
        <w:t>Preukázalo sa, že</w:t>
      </w:r>
      <w:r w:rsidR="00021F6F" w:rsidRPr="007C1581">
        <w:t xml:space="preserve"> u </w:t>
      </w:r>
      <w:r w:rsidRPr="007C1581">
        <w:t>novorodencov je</w:t>
      </w:r>
      <w:r w:rsidR="00021F6F" w:rsidRPr="007C1581">
        <w:t xml:space="preserve"> v </w:t>
      </w:r>
      <w:r w:rsidRPr="007C1581">
        <w:t>závislosti od gestačného veku polčas cefuroxímu</w:t>
      </w:r>
      <w:r w:rsidR="00021F6F" w:rsidRPr="007C1581">
        <w:t xml:space="preserve"> v </w:t>
      </w:r>
      <w:r w:rsidRPr="007C1581">
        <w:t>sére značne predĺžený.</w:t>
      </w:r>
      <w:r w:rsidR="00021F6F" w:rsidRPr="007C1581">
        <w:t xml:space="preserve"> </w:t>
      </w:r>
      <w:r w:rsidR="0079744D" w:rsidRPr="007C1581">
        <w:t>U</w:t>
      </w:r>
      <w:r w:rsidR="00021F6F" w:rsidRPr="007C1581">
        <w:t> </w:t>
      </w:r>
      <w:r w:rsidRPr="007C1581">
        <w:t xml:space="preserve">starších dojčiat (vo veku </w:t>
      </w:r>
      <w:r w:rsidR="00174B77" w:rsidRPr="007C1581">
        <w:t>&gt;</w:t>
      </w:r>
      <w:r w:rsidRPr="007C1581">
        <w:t xml:space="preserve"> </w:t>
      </w:r>
      <w:r w:rsidR="00994936" w:rsidRPr="007C1581">
        <w:t>3 </w:t>
      </w:r>
      <w:r w:rsidRPr="007C1581">
        <w:t>týždne)</w:t>
      </w:r>
      <w:r w:rsidR="00021F6F" w:rsidRPr="007C1581">
        <w:t xml:space="preserve"> a u </w:t>
      </w:r>
      <w:r w:rsidRPr="007C1581">
        <w:t>detí sa však zistil polčas</w:t>
      </w:r>
      <w:r w:rsidR="00021F6F" w:rsidRPr="007C1581">
        <w:t xml:space="preserve"> v </w:t>
      </w:r>
      <w:r w:rsidRPr="007C1581">
        <w:t>sére 6</w:t>
      </w:r>
      <w:r w:rsidR="00994936" w:rsidRPr="007C1581">
        <w:t>0 </w:t>
      </w:r>
      <w:r w:rsidRPr="007C1581">
        <w:t>až 9</w:t>
      </w:r>
      <w:r w:rsidR="00994936" w:rsidRPr="007C1581">
        <w:t>0 </w:t>
      </w:r>
      <w:r w:rsidRPr="007C1581">
        <w:t>minút, ktorý je podobný ako polčas</w:t>
      </w:r>
      <w:r w:rsidR="00021F6F" w:rsidRPr="007C1581">
        <w:t xml:space="preserve"> v </w:t>
      </w:r>
      <w:r w:rsidRPr="007C1581">
        <w:t>sére zistený</w:t>
      </w:r>
      <w:r w:rsidR="00021F6F" w:rsidRPr="007C1581">
        <w:t xml:space="preserve"> u </w:t>
      </w:r>
      <w:r w:rsidRPr="007C1581">
        <w:t>dospelých.</w:t>
      </w:r>
    </w:p>
    <w:p w14:paraId="593A354C" w14:textId="77777777" w:rsidR="0079744D" w:rsidRPr="007C1581" w:rsidRDefault="0079744D" w:rsidP="0071569C">
      <w:pPr>
        <w:pStyle w:val="Styl3"/>
      </w:pPr>
    </w:p>
    <w:p w14:paraId="291B8A37" w14:textId="77777777" w:rsidR="007C5DFC" w:rsidRPr="007C1581" w:rsidRDefault="007C5DFC" w:rsidP="0071569C">
      <w:pPr>
        <w:pStyle w:val="Styl3"/>
      </w:pPr>
      <w:r w:rsidRPr="007C1581">
        <w:t>Porucha funkcie obličiek</w:t>
      </w:r>
    </w:p>
    <w:p w14:paraId="20921F26" w14:textId="77777777" w:rsidR="007C5DFC" w:rsidRPr="007C1581" w:rsidRDefault="007C5DFC" w:rsidP="0071569C">
      <w:pPr>
        <w:pStyle w:val="Normlndobloku"/>
      </w:pPr>
      <w:r w:rsidRPr="007C1581">
        <w:t>Cefuroxím sa vylučuje prevažne obličkami. Tak ako pri všetkých takýchto antibiotikách sa</w:t>
      </w:r>
      <w:r w:rsidR="00021F6F" w:rsidRPr="007C1581">
        <w:t xml:space="preserve"> u </w:t>
      </w:r>
      <w:r w:rsidRPr="007C1581">
        <w:t>pacientov</w:t>
      </w:r>
      <w:r w:rsidR="00021F6F" w:rsidRPr="007C1581">
        <w:t xml:space="preserve"> s </w:t>
      </w:r>
      <w:r w:rsidRPr="007C1581">
        <w:t>výraznou poruchou funkcie obličiek (t.j. C1</w:t>
      </w:r>
      <w:r w:rsidRPr="007C1581">
        <w:rPr>
          <w:vertAlign w:val="subscript"/>
        </w:rPr>
        <w:t>cr</w:t>
      </w:r>
      <w:r w:rsidRPr="007C1581">
        <w:t xml:space="preserve"> &lt; 2</w:t>
      </w:r>
      <w:r w:rsidR="00994936" w:rsidRPr="007C1581">
        <w:t>0 </w:t>
      </w:r>
      <w:r w:rsidRPr="007C1581">
        <w:t>ml/minútu) odporúča znížiť dávku cefuroxímu tak, aby sa vykompenzovalo jeho pomalšie vylučovanie (pozri časť 4.2). Cefuroxím sa</w:t>
      </w:r>
      <w:r w:rsidR="00021F6F" w:rsidRPr="007C1581">
        <w:t xml:space="preserve"> z </w:t>
      </w:r>
      <w:r w:rsidRPr="007C1581">
        <w:t>organizmu efektívne odstraňuje hemodialýzou</w:t>
      </w:r>
      <w:r w:rsidR="00021F6F" w:rsidRPr="007C1581">
        <w:t xml:space="preserve"> a </w:t>
      </w:r>
      <w:r w:rsidRPr="007C1581">
        <w:t>peritoneálnou dialýzou.</w:t>
      </w:r>
    </w:p>
    <w:p w14:paraId="20C1AD01" w14:textId="77777777" w:rsidR="0079744D" w:rsidRPr="007C1581" w:rsidRDefault="0079744D" w:rsidP="0071569C">
      <w:pPr>
        <w:pStyle w:val="Styl3"/>
      </w:pPr>
    </w:p>
    <w:p w14:paraId="4116BBAE" w14:textId="77777777" w:rsidR="007C5DFC" w:rsidRPr="007C1581" w:rsidRDefault="007C5DFC" w:rsidP="0071569C">
      <w:pPr>
        <w:pStyle w:val="Styl3"/>
      </w:pPr>
      <w:r w:rsidRPr="007C1581">
        <w:t>Porucha funkcie pečene</w:t>
      </w:r>
    </w:p>
    <w:p w14:paraId="202AE485" w14:textId="77777777" w:rsidR="007C5DFC" w:rsidRPr="007C1581" w:rsidRDefault="007C5DFC" w:rsidP="0071569C">
      <w:pPr>
        <w:pStyle w:val="Normlndobloku"/>
      </w:pPr>
      <w:r w:rsidRPr="007C1581">
        <w:t>Keďže cefuroxím sa vylučuje prevažne obličkami, neočakáva sa, že by porucha funkcie pečene mala vplyv na farmakokinetiku cefuroxímu.</w:t>
      </w:r>
    </w:p>
    <w:p w14:paraId="288D81C8" w14:textId="77777777" w:rsidR="0079744D" w:rsidRPr="007C1581" w:rsidRDefault="0079744D" w:rsidP="0071569C">
      <w:pPr>
        <w:pStyle w:val="Styl3"/>
      </w:pPr>
    </w:p>
    <w:p w14:paraId="57B8A9BA" w14:textId="77777777" w:rsidR="007C5DFC" w:rsidRPr="007C1581" w:rsidRDefault="007C5DFC" w:rsidP="0071569C">
      <w:pPr>
        <w:pStyle w:val="Styl3"/>
      </w:pPr>
      <w:r w:rsidRPr="007C1581">
        <w:t>Farmakokinetický/farmakodynamický vzťah</w:t>
      </w:r>
    </w:p>
    <w:p w14:paraId="625416C4" w14:textId="77777777" w:rsidR="007C5DFC" w:rsidRPr="007C1581" w:rsidRDefault="007C5DFC" w:rsidP="0071569C">
      <w:pPr>
        <w:pStyle w:val="Normlndobloku"/>
      </w:pPr>
      <w:r w:rsidRPr="007C1581">
        <w:t>Preukázalo sa, že pri cefalosporínoch je najdôležitejším farmakokineticko-farmakodynamickým indexom korelujúcim</w:t>
      </w:r>
      <w:r w:rsidR="00021F6F" w:rsidRPr="007C1581">
        <w:t xml:space="preserve"> s </w:t>
      </w:r>
      <w:r w:rsidRPr="007C1581">
        <w:t xml:space="preserve">účinnosťou </w:t>
      </w:r>
      <w:r w:rsidRPr="007C1581">
        <w:rPr>
          <w:rStyle w:val="Bacil"/>
        </w:rPr>
        <w:t>in vivo</w:t>
      </w:r>
      <w:r w:rsidRPr="007C1581">
        <w:t xml:space="preserve"> percentuálny podiel dávkovacieho intervalu (%T), počas ktorého koncentrácia neviazaného cefuroxímu zostáva nad minimálnou inhibičnou koncentráciou (minimum inhibitory concentration - MIC) cefuroxímu pre jednotlivé cieľové druhy mikroorganizmov (t.j. %T&gt;MIC).</w:t>
      </w:r>
    </w:p>
    <w:p w14:paraId="4EFA4102" w14:textId="77777777" w:rsidR="0079744D" w:rsidRPr="007C1581" w:rsidRDefault="0079744D" w:rsidP="0071569C">
      <w:pPr>
        <w:pStyle w:val="Normlndobloku"/>
      </w:pPr>
    </w:p>
    <w:p w14:paraId="719CC177" w14:textId="77777777" w:rsidR="007C5DFC" w:rsidRPr="007C1581" w:rsidRDefault="007C5DFC" w:rsidP="00D16EA1">
      <w:pPr>
        <w:pStyle w:val="Styl2"/>
      </w:pPr>
      <w:r w:rsidRPr="007C1581">
        <w:t>Predklinické údaje</w:t>
      </w:r>
      <w:r w:rsidR="00021F6F" w:rsidRPr="007C1581">
        <w:t xml:space="preserve"> o </w:t>
      </w:r>
      <w:r w:rsidRPr="007C1581">
        <w:t>bezpečnosti</w:t>
      </w:r>
    </w:p>
    <w:p w14:paraId="25B6E6F8" w14:textId="77777777" w:rsidR="007C5DFC" w:rsidRPr="007C1581" w:rsidRDefault="007C5DFC" w:rsidP="0071569C">
      <w:pPr>
        <w:pStyle w:val="Normlndobloku"/>
      </w:pPr>
      <w:r w:rsidRPr="007C1581">
        <w:t>Predklinické údaje získané na základe obvyklých farmakologických štúdií bezpečnosti, toxicity po opakovanom pod</w:t>
      </w:r>
      <w:r w:rsidR="007479CA">
        <w:t>áv</w:t>
      </w:r>
      <w:r w:rsidRPr="007C1581">
        <w:t>aní, genotoxicity, reprodukčnej toxicity</w:t>
      </w:r>
      <w:r w:rsidR="00021F6F" w:rsidRPr="007C1581">
        <w:t xml:space="preserve"> a </w:t>
      </w:r>
      <w:r w:rsidRPr="007C1581">
        <w:t>vývinu neodhalili žiadne osobitné riziko pre ľudí. Štúdie karcinogenity sa neuskutočnili; nie sú však dôkazy, ktoré by svedčili</w:t>
      </w:r>
      <w:r w:rsidR="00021F6F" w:rsidRPr="007C1581">
        <w:t xml:space="preserve"> o </w:t>
      </w:r>
      <w:r w:rsidRPr="007C1581">
        <w:t>karcinogénnom potenciáli.</w:t>
      </w:r>
    </w:p>
    <w:p w14:paraId="74C791EE" w14:textId="77777777" w:rsidR="0079744D" w:rsidRPr="007C1581" w:rsidRDefault="0079744D" w:rsidP="0071569C">
      <w:pPr>
        <w:pStyle w:val="Normlndobloku"/>
      </w:pPr>
    </w:p>
    <w:p w14:paraId="27364F7F" w14:textId="77777777" w:rsidR="005D0D77" w:rsidRPr="007C1581" w:rsidRDefault="007C5DFC" w:rsidP="0071569C">
      <w:pPr>
        <w:pStyle w:val="Normlndobloku"/>
      </w:pPr>
      <w:r w:rsidRPr="007C1581">
        <w:t>Účinok gamaglutamyltranspeptidázy</w:t>
      </w:r>
      <w:r w:rsidR="00021F6F" w:rsidRPr="007C1581">
        <w:t xml:space="preserve"> v </w:t>
      </w:r>
      <w:r w:rsidRPr="007C1581">
        <w:t>moči potkanov je inhibovaný rôznymi cefalosporínmi, pri cefuroxíme je však stupeň inhibície nižší. Toto môže mať význam pri interferencii</w:t>
      </w:r>
      <w:r w:rsidR="00021F6F" w:rsidRPr="007C1581">
        <w:t xml:space="preserve"> v </w:t>
      </w:r>
      <w:r w:rsidRPr="007C1581">
        <w:t>klinických laboratórnych vyšetreniach</w:t>
      </w:r>
      <w:r w:rsidR="00021F6F" w:rsidRPr="007C1581">
        <w:t xml:space="preserve"> u </w:t>
      </w:r>
      <w:r w:rsidRPr="007C1581">
        <w:t>ľudí.</w:t>
      </w:r>
    </w:p>
    <w:p w14:paraId="699494AC" w14:textId="77777777" w:rsidR="00D16EA1" w:rsidRDefault="00D16EA1" w:rsidP="0071569C">
      <w:pPr>
        <w:pStyle w:val="Normlndobloku"/>
      </w:pPr>
    </w:p>
    <w:p w14:paraId="04188D03" w14:textId="77777777" w:rsidR="00EC6CC1" w:rsidRPr="007C1581" w:rsidRDefault="00EC6CC1" w:rsidP="0071569C">
      <w:pPr>
        <w:pStyle w:val="Normlndobloku"/>
      </w:pPr>
    </w:p>
    <w:p w14:paraId="3CE66F9A" w14:textId="77777777" w:rsidR="005D0D77" w:rsidRPr="000145FD" w:rsidRDefault="005D0D77" w:rsidP="000145FD">
      <w:pPr>
        <w:pStyle w:val="Styl1"/>
      </w:pPr>
      <w:r w:rsidRPr="000145FD">
        <w:t>FARMACEUTICKÉ INFORMÁCIE</w:t>
      </w:r>
    </w:p>
    <w:p w14:paraId="6F5433AB" w14:textId="77777777" w:rsidR="00D16EA1" w:rsidRPr="002E0B42" w:rsidRDefault="00D16EA1" w:rsidP="0071569C">
      <w:pPr>
        <w:pStyle w:val="Normlndobloku"/>
      </w:pPr>
    </w:p>
    <w:p w14:paraId="0C4F2754" w14:textId="77777777" w:rsidR="005D0D77" w:rsidRPr="007C1581" w:rsidRDefault="00F87B62" w:rsidP="00D16EA1">
      <w:pPr>
        <w:pStyle w:val="Styl2"/>
      </w:pPr>
      <w:r w:rsidRPr="007C1581">
        <w:t>Zoznam pomoc</w:t>
      </w:r>
      <w:r w:rsidR="005D0D77" w:rsidRPr="007C1581">
        <w:t>ných látok</w:t>
      </w:r>
    </w:p>
    <w:p w14:paraId="53A46CE6" w14:textId="77777777" w:rsidR="00D16EA1" w:rsidRPr="007C1581" w:rsidRDefault="00D16EA1" w:rsidP="00D16EA1">
      <w:pPr>
        <w:pStyle w:val="Styl2"/>
        <w:numPr>
          <w:ilvl w:val="0"/>
          <w:numId w:val="0"/>
        </w:numPr>
      </w:pPr>
    </w:p>
    <w:p w14:paraId="65F293E9" w14:textId="77777777" w:rsidR="005D0D77" w:rsidRPr="007C1581" w:rsidRDefault="0079744D" w:rsidP="0071569C">
      <w:pPr>
        <w:pStyle w:val="Normlndobloku"/>
      </w:pPr>
      <w:r w:rsidRPr="007C1581">
        <w:t>Žiadne</w:t>
      </w:r>
      <w:r w:rsidR="005D0D77" w:rsidRPr="007C1581">
        <w:t>.</w:t>
      </w:r>
    </w:p>
    <w:p w14:paraId="2621421D" w14:textId="77777777" w:rsidR="00D16EA1" w:rsidRPr="007C1581" w:rsidRDefault="00D16EA1" w:rsidP="0071569C">
      <w:pPr>
        <w:pStyle w:val="Normlndobloku"/>
      </w:pPr>
    </w:p>
    <w:p w14:paraId="64F21EA9" w14:textId="77777777" w:rsidR="005D0D77" w:rsidRPr="007C1581" w:rsidRDefault="005D0D77" w:rsidP="00D16EA1">
      <w:pPr>
        <w:pStyle w:val="Styl2"/>
      </w:pPr>
      <w:r w:rsidRPr="007C1581">
        <w:lastRenderedPageBreak/>
        <w:t>Inkompatibility</w:t>
      </w:r>
    </w:p>
    <w:p w14:paraId="378F2837" w14:textId="77777777" w:rsidR="00D16EA1" w:rsidRPr="007C1581" w:rsidRDefault="00D16EA1" w:rsidP="00D16EA1">
      <w:pPr>
        <w:pStyle w:val="Styl2"/>
        <w:numPr>
          <w:ilvl w:val="0"/>
          <w:numId w:val="0"/>
        </w:numPr>
      </w:pPr>
    </w:p>
    <w:p w14:paraId="0A069243" w14:textId="77777777" w:rsidR="00047E06" w:rsidRPr="007C1581" w:rsidRDefault="00226020" w:rsidP="0071569C">
      <w:pPr>
        <w:pStyle w:val="Normlndobloku"/>
      </w:pPr>
      <w:r w:rsidRPr="007C1581">
        <w:rPr>
          <w:noProof/>
        </w:rPr>
        <w:t xml:space="preserve">Tento liek sa </w:t>
      </w:r>
      <w:r w:rsidR="008E0413">
        <w:rPr>
          <w:noProof/>
        </w:rPr>
        <w:t>ne</w:t>
      </w:r>
      <w:r w:rsidRPr="007C1581">
        <w:rPr>
          <w:noProof/>
        </w:rPr>
        <w:t>smie miešať</w:t>
      </w:r>
      <w:r w:rsidR="00E21902" w:rsidRPr="007C1581">
        <w:rPr>
          <w:noProof/>
        </w:rPr>
        <w:t xml:space="preserve"> </w:t>
      </w:r>
      <w:r w:rsidR="008E0413">
        <w:rPr>
          <w:noProof/>
        </w:rPr>
        <w:t>s inými </w:t>
      </w:r>
      <w:r w:rsidR="00E21902" w:rsidRPr="007C1581">
        <w:rPr>
          <w:noProof/>
        </w:rPr>
        <w:t>roztokmi</w:t>
      </w:r>
      <w:r w:rsidR="008E0413">
        <w:rPr>
          <w:noProof/>
        </w:rPr>
        <w:t xml:space="preserve"> okrem tých</w:t>
      </w:r>
      <w:r w:rsidRPr="007C1581">
        <w:rPr>
          <w:noProof/>
        </w:rPr>
        <w:t>, ktoré sú uvedené v časti 6.6.</w:t>
      </w:r>
    </w:p>
    <w:p w14:paraId="3925C45F" w14:textId="77777777" w:rsidR="005D0D77" w:rsidRPr="007C1581" w:rsidRDefault="00E21902" w:rsidP="0071569C">
      <w:pPr>
        <w:pStyle w:val="Normlndobloku"/>
      </w:pPr>
      <w:r w:rsidRPr="007C1581">
        <w:t>Ne</w:t>
      </w:r>
      <w:r w:rsidR="005D0D77" w:rsidRPr="007C1581">
        <w:t>miešať aminogl</w:t>
      </w:r>
      <w:r w:rsidR="003C3470" w:rsidRPr="007C1581">
        <w:t>ykozidové antibiotiká</w:t>
      </w:r>
      <w:r w:rsidR="00021F6F" w:rsidRPr="007C1581">
        <w:t xml:space="preserve"> a </w:t>
      </w:r>
      <w:r w:rsidR="003C3470" w:rsidRPr="007C1581">
        <w:t>cefuroxí</w:t>
      </w:r>
      <w:r w:rsidR="005D0D77" w:rsidRPr="007C1581">
        <w:t>m.</w:t>
      </w:r>
    </w:p>
    <w:p w14:paraId="78EB348B" w14:textId="77777777" w:rsidR="00D16EA1" w:rsidRPr="007C1581" w:rsidRDefault="00D16EA1" w:rsidP="0071569C">
      <w:pPr>
        <w:pStyle w:val="Normlndobloku"/>
      </w:pPr>
    </w:p>
    <w:p w14:paraId="724BB600" w14:textId="77777777" w:rsidR="005D0D77" w:rsidRPr="007C1581" w:rsidRDefault="005D0D77" w:rsidP="00D16EA1">
      <w:pPr>
        <w:pStyle w:val="Styl2"/>
      </w:pPr>
      <w:r w:rsidRPr="007C1581">
        <w:t>Čas použiteľnosti</w:t>
      </w:r>
    </w:p>
    <w:p w14:paraId="5D92016E" w14:textId="77777777" w:rsidR="00D16EA1" w:rsidRPr="007C1581" w:rsidRDefault="00D16EA1" w:rsidP="00D16EA1">
      <w:pPr>
        <w:pStyle w:val="Styl2"/>
        <w:numPr>
          <w:ilvl w:val="0"/>
          <w:numId w:val="0"/>
        </w:numPr>
      </w:pPr>
    </w:p>
    <w:p w14:paraId="454DB44C" w14:textId="77777777" w:rsidR="00B668B7" w:rsidRPr="000145FD" w:rsidRDefault="00B668B7" w:rsidP="0071569C">
      <w:pPr>
        <w:pStyle w:val="Styl3"/>
      </w:pPr>
      <w:r w:rsidRPr="002E0B42">
        <w:t>Neotvorené</w:t>
      </w:r>
    </w:p>
    <w:p w14:paraId="510AB18F" w14:textId="77777777" w:rsidR="005D0D77" w:rsidRPr="007C1581" w:rsidRDefault="00994936" w:rsidP="0071569C">
      <w:pPr>
        <w:pStyle w:val="Normlndobloku"/>
      </w:pPr>
      <w:r w:rsidRPr="007C1581">
        <w:t>2 </w:t>
      </w:r>
      <w:r w:rsidR="00F04CA8" w:rsidRPr="007C1581">
        <w:t>roky</w:t>
      </w:r>
    </w:p>
    <w:p w14:paraId="224A8EA5" w14:textId="77777777" w:rsidR="00D16EA1" w:rsidRPr="007C1581" w:rsidRDefault="00D16EA1" w:rsidP="0071569C">
      <w:pPr>
        <w:pStyle w:val="Styl3"/>
      </w:pPr>
    </w:p>
    <w:p w14:paraId="214F25A9" w14:textId="77777777" w:rsidR="006C3C47" w:rsidRPr="004025C3" w:rsidRDefault="006C3C47" w:rsidP="0071569C">
      <w:pPr>
        <w:pStyle w:val="Styl3"/>
      </w:pPr>
      <w:r w:rsidRPr="004025C3">
        <w:t>Rekonštituovaný roztok</w:t>
      </w:r>
    </w:p>
    <w:p w14:paraId="74649670" w14:textId="77777777" w:rsidR="006C3C47" w:rsidRPr="002E0B42" w:rsidRDefault="006C3C47" w:rsidP="0071569C">
      <w:pPr>
        <w:pStyle w:val="Normlndobloku"/>
      </w:pPr>
      <w:r w:rsidRPr="002E0B42">
        <w:t>Rekonštituovaný roztok sa odporúča použiť okamžite.</w:t>
      </w:r>
    </w:p>
    <w:p w14:paraId="51EC42EB" w14:textId="77777777" w:rsidR="006C3C47" w:rsidRDefault="006C3C47" w:rsidP="0071569C">
      <w:pPr>
        <w:pStyle w:val="Normlndobloku"/>
      </w:pPr>
      <w:r w:rsidRPr="002E0B42">
        <w:t>Chemická a fyzik</w:t>
      </w:r>
      <w:r w:rsidR="004953DB">
        <w:t>álna stabilita bola preukázaná:</w:t>
      </w:r>
    </w:p>
    <w:p w14:paraId="6FD01180" w14:textId="77777777" w:rsidR="000145FD" w:rsidRPr="002E0B42" w:rsidRDefault="000145FD" w:rsidP="0071569C">
      <w:pPr>
        <w:pStyle w:val="Normlndobloku"/>
      </w:pPr>
    </w:p>
    <w:p w14:paraId="1C3C5D6E" w14:textId="77777777" w:rsidR="006C3C47" w:rsidRPr="002E0B42" w:rsidRDefault="008E0413" w:rsidP="0071569C">
      <w:pPr>
        <w:pStyle w:val="Normlndoblokusodrkami"/>
      </w:pPr>
      <w:r>
        <w:t>počas</w:t>
      </w:r>
      <w:r w:rsidR="006C3C47" w:rsidRPr="002E0B42">
        <w:t xml:space="preserve"> 5 hodín pri 25</w:t>
      </w:r>
      <w:r>
        <w:t> </w:t>
      </w:r>
      <w:r w:rsidR="006C3C47" w:rsidRPr="002E0B42">
        <w:t>°C a 48 hodín pri 2</w:t>
      </w:r>
      <w:r>
        <w:t> </w:t>
      </w:r>
      <w:r w:rsidR="006C3C47" w:rsidRPr="002E0B42">
        <w:t>°C</w:t>
      </w:r>
      <w:r w:rsidR="00F642CC" w:rsidRPr="007C1581">
        <w:t xml:space="preserve"> – </w:t>
      </w:r>
      <w:r w:rsidR="006C3C47" w:rsidRPr="002E0B42">
        <w:t>8</w:t>
      </w:r>
      <w:r>
        <w:t> </w:t>
      </w:r>
      <w:r w:rsidR="006C3C47" w:rsidRPr="002E0B42">
        <w:t xml:space="preserve">°C (v chladničke) pre rekonštituované roztoky </w:t>
      </w:r>
      <w:r>
        <w:t>na</w:t>
      </w:r>
      <w:r w:rsidRPr="002E0B42">
        <w:t xml:space="preserve"> </w:t>
      </w:r>
      <w:r w:rsidR="006C3C47" w:rsidRPr="002E0B42">
        <w:t>intramuskulárnu a intravenóznu injekciu</w:t>
      </w:r>
    </w:p>
    <w:p w14:paraId="52D8F73D" w14:textId="77777777" w:rsidR="006C3C47" w:rsidRDefault="008E0413" w:rsidP="0071569C">
      <w:pPr>
        <w:pStyle w:val="Normlndoblokusodrkami"/>
      </w:pPr>
      <w:r>
        <w:t>počas</w:t>
      </w:r>
      <w:r w:rsidR="006C3C47" w:rsidRPr="002E0B42">
        <w:t xml:space="preserve"> 6 hodín pri 25</w:t>
      </w:r>
      <w:r>
        <w:t> </w:t>
      </w:r>
      <w:r w:rsidR="006C3C47" w:rsidRPr="002E0B42">
        <w:t>°C a 24 hodín pri 2</w:t>
      </w:r>
      <w:r>
        <w:t> </w:t>
      </w:r>
      <w:r w:rsidR="006C3C47" w:rsidRPr="002E0B42">
        <w:t>°C</w:t>
      </w:r>
      <w:r w:rsidR="00F642CC" w:rsidRPr="007C1581">
        <w:t xml:space="preserve"> – </w:t>
      </w:r>
      <w:r w:rsidR="006C3C47" w:rsidRPr="002E0B42">
        <w:t>8</w:t>
      </w:r>
      <w:r>
        <w:t> </w:t>
      </w:r>
      <w:r w:rsidR="006C3C47" w:rsidRPr="002E0B42">
        <w:t xml:space="preserve">°C (v chladničke) pre rekonštituované roztoky </w:t>
      </w:r>
      <w:r>
        <w:t>na</w:t>
      </w:r>
      <w:r w:rsidRPr="002E0B42">
        <w:t xml:space="preserve"> </w:t>
      </w:r>
      <w:r w:rsidR="006C3C47" w:rsidRPr="002E0B42">
        <w:t>intravenóznu infúziu</w:t>
      </w:r>
    </w:p>
    <w:p w14:paraId="6891B46D" w14:textId="77777777" w:rsidR="000145FD" w:rsidRPr="000145FD" w:rsidRDefault="000145FD" w:rsidP="0071569C">
      <w:pPr>
        <w:pStyle w:val="Normlndobloku"/>
      </w:pPr>
    </w:p>
    <w:p w14:paraId="38C3AE90" w14:textId="77777777" w:rsidR="007D5992" w:rsidRPr="002E0B42" w:rsidRDefault="007D5992" w:rsidP="0071569C">
      <w:pPr>
        <w:pStyle w:val="Normlndobloku"/>
      </w:pPr>
      <w:r w:rsidRPr="002E0B42">
        <w:t xml:space="preserve">Z mikrobiologického hľadiska </w:t>
      </w:r>
      <w:r w:rsidR="0079744D" w:rsidRPr="002E0B42">
        <w:t xml:space="preserve">sa </w:t>
      </w:r>
      <w:r w:rsidRPr="002E0B42">
        <w:t>má liek použi</w:t>
      </w:r>
      <w:r w:rsidR="0079744D" w:rsidRPr="002E0B42">
        <w:t>ť</w:t>
      </w:r>
      <w:r w:rsidRPr="002E0B42">
        <w:t xml:space="preserve"> okamžite. Ak </w:t>
      </w:r>
      <w:r w:rsidR="0079744D" w:rsidRPr="002E0B42">
        <w:t>sa ne</w:t>
      </w:r>
      <w:r w:rsidRPr="002E0B42">
        <w:t>použi</w:t>
      </w:r>
      <w:r w:rsidR="0079744D" w:rsidRPr="002E0B42">
        <w:t>je</w:t>
      </w:r>
      <w:r w:rsidRPr="002E0B42">
        <w:t xml:space="preserve"> okamžite, </w:t>
      </w:r>
      <w:r w:rsidR="0079744D" w:rsidRPr="002E0B42">
        <w:t>za dĺžku</w:t>
      </w:r>
      <w:r w:rsidR="00021F6F" w:rsidRPr="002E0B42">
        <w:t xml:space="preserve"> a </w:t>
      </w:r>
      <w:r w:rsidRPr="002E0B42">
        <w:t xml:space="preserve">podmienky </w:t>
      </w:r>
      <w:r w:rsidR="005545A1" w:rsidRPr="002E0B42">
        <w:t>u</w:t>
      </w:r>
      <w:r w:rsidRPr="002E0B42">
        <w:t>chováv</w:t>
      </w:r>
      <w:r w:rsidR="005545A1" w:rsidRPr="002E0B42">
        <w:t xml:space="preserve">ania rekonštituovaného lieku </w:t>
      </w:r>
      <w:r w:rsidR="0079744D" w:rsidRPr="002E0B42">
        <w:t>pred jeho použitím zodpovedá používateľ.</w:t>
      </w:r>
      <w:r w:rsidR="00021F6F" w:rsidRPr="002E0B42">
        <w:t xml:space="preserve"> </w:t>
      </w:r>
      <w:r w:rsidR="0079744D" w:rsidRPr="002E0B42">
        <w:t xml:space="preserve">Roztok sa však nemá uchovávať dlhšie ako 24 hodín pri teplote </w:t>
      </w:r>
      <w:r w:rsidR="00B668B7" w:rsidRPr="002E0B42">
        <w:t>2</w:t>
      </w:r>
      <w:r w:rsidR="008E0413">
        <w:t> </w:t>
      </w:r>
      <w:r w:rsidR="00B668B7" w:rsidRPr="002E0B42">
        <w:sym w:font="Symbol" w:char="F0B0"/>
      </w:r>
      <w:r w:rsidR="00B668B7" w:rsidRPr="002E0B42">
        <w:t>C – 8</w:t>
      </w:r>
      <w:r w:rsidR="008E0413">
        <w:t> </w:t>
      </w:r>
      <w:r w:rsidR="00B668B7" w:rsidRPr="002E0B42">
        <w:sym w:font="Symbol" w:char="F0B0"/>
      </w:r>
      <w:r w:rsidR="00B668B7" w:rsidRPr="002E0B42">
        <w:t>C</w:t>
      </w:r>
      <w:r w:rsidR="00552BCA" w:rsidRPr="002E0B42">
        <w:t>, v prípade injekčného roztoku dlhšie ako 48 hodín pri teplote 2</w:t>
      </w:r>
      <w:r w:rsidR="008E0413">
        <w:t xml:space="preserve"> </w:t>
      </w:r>
      <w:r w:rsidR="00552BCA" w:rsidRPr="002E0B42">
        <w:sym w:font="Symbol" w:char="F0B0"/>
      </w:r>
      <w:r w:rsidR="00552BCA" w:rsidRPr="002E0B42">
        <w:t>C – 8</w:t>
      </w:r>
      <w:r w:rsidR="008E0413">
        <w:t> </w:t>
      </w:r>
      <w:r w:rsidR="00552BCA" w:rsidRPr="002E0B42">
        <w:sym w:font="Symbol" w:char="F0B0"/>
      </w:r>
      <w:r w:rsidR="00552BCA" w:rsidRPr="002E0B42">
        <w:t>C.</w:t>
      </w:r>
    </w:p>
    <w:p w14:paraId="460C928B" w14:textId="77777777" w:rsidR="00D16EA1" w:rsidRPr="007C1581" w:rsidRDefault="00D16EA1" w:rsidP="0071569C">
      <w:pPr>
        <w:pStyle w:val="Normlndobloku"/>
      </w:pPr>
    </w:p>
    <w:p w14:paraId="6B5EBC3B" w14:textId="77777777" w:rsidR="00FA3FE6" w:rsidRPr="007C1581" w:rsidRDefault="00FA3FE6" w:rsidP="00D16EA1">
      <w:pPr>
        <w:pStyle w:val="Styl2"/>
      </w:pPr>
      <w:r w:rsidRPr="007C1581">
        <w:t>Špeciálne upozornenia na uchovávanie</w:t>
      </w:r>
    </w:p>
    <w:p w14:paraId="2C680631" w14:textId="77777777" w:rsidR="00D16EA1" w:rsidRPr="007C1581" w:rsidRDefault="00D16EA1" w:rsidP="00D16EA1">
      <w:pPr>
        <w:pStyle w:val="Styl2"/>
        <w:numPr>
          <w:ilvl w:val="0"/>
          <w:numId w:val="0"/>
        </w:numPr>
      </w:pPr>
    </w:p>
    <w:p w14:paraId="2DC248DD" w14:textId="77777777" w:rsidR="00231DA3" w:rsidRDefault="00231DA3" w:rsidP="0071569C">
      <w:pPr>
        <w:pStyle w:val="Normlndobloku"/>
      </w:pPr>
      <w:r w:rsidRPr="007C1581">
        <w:t xml:space="preserve">Uchovávajte pri teplote do </w:t>
      </w:r>
      <w:r w:rsidR="00BE6088" w:rsidRPr="007C1581">
        <w:t>30</w:t>
      </w:r>
      <w:r w:rsidR="008E0413">
        <w:t> </w:t>
      </w:r>
      <w:r w:rsidRPr="007C1581">
        <w:t>°C.</w:t>
      </w:r>
    </w:p>
    <w:p w14:paraId="11720F91" w14:textId="77777777" w:rsidR="00B95CF2" w:rsidRPr="002E0B42" w:rsidRDefault="008E0413" w:rsidP="0071569C">
      <w:pPr>
        <w:pStyle w:val="Normlndobloku"/>
      </w:pPr>
      <w:r>
        <w:rPr>
          <w:noProof/>
        </w:rPr>
        <w:t>Podmienky na uchovávanie po rekonštitúcii lieku,</w:t>
      </w:r>
      <w:r w:rsidR="00B95CF2" w:rsidRPr="002E0B42">
        <w:t xml:space="preserve"> </w:t>
      </w:r>
      <w:r w:rsidR="0035550F" w:rsidRPr="009431F7">
        <w:t>pozri časť 6.</w:t>
      </w:r>
      <w:r w:rsidR="0035550F">
        <w:t>3</w:t>
      </w:r>
      <w:r w:rsidR="00B95CF2" w:rsidRPr="002E0B42">
        <w:t>.</w:t>
      </w:r>
    </w:p>
    <w:p w14:paraId="5FCBF9E0" w14:textId="77777777" w:rsidR="00D16EA1" w:rsidRPr="007C1581" w:rsidRDefault="00D16EA1" w:rsidP="0071569C">
      <w:pPr>
        <w:pStyle w:val="Normlndobloku"/>
      </w:pPr>
    </w:p>
    <w:p w14:paraId="2F3DFC2A" w14:textId="77777777" w:rsidR="00842739" w:rsidRPr="007C1581" w:rsidRDefault="00FA3FE6" w:rsidP="00D16EA1">
      <w:pPr>
        <w:pStyle w:val="Styl2"/>
      </w:pPr>
      <w:r w:rsidRPr="007C1581">
        <w:t>Druh obalu</w:t>
      </w:r>
      <w:r w:rsidR="00021F6F" w:rsidRPr="007C1581">
        <w:t xml:space="preserve"> a </w:t>
      </w:r>
      <w:r w:rsidRPr="007C1581">
        <w:t>obsah balenia</w:t>
      </w:r>
    </w:p>
    <w:p w14:paraId="77FF9F69" w14:textId="77777777" w:rsidR="00D16EA1" w:rsidRPr="007C1581" w:rsidRDefault="00D16EA1" w:rsidP="00D16EA1">
      <w:pPr>
        <w:pStyle w:val="Styl2"/>
        <w:numPr>
          <w:ilvl w:val="0"/>
          <w:numId w:val="0"/>
        </w:numPr>
      </w:pPr>
    </w:p>
    <w:p w14:paraId="24937C47" w14:textId="77777777" w:rsidR="0079744D" w:rsidRPr="007C1581" w:rsidRDefault="00420D55" w:rsidP="0071569C">
      <w:pPr>
        <w:pStyle w:val="Normlndobloku"/>
      </w:pPr>
      <w:r w:rsidRPr="007C1581">
        <w:t>Tento liek sa dodáva v sklenenej injekčnej liekovke s gumovou zátkou a hliníkovým uzáverom.</w:t>
      </w:r>
    </w:p>
    <w:p w14:paraId="49137075" w14:textId="77777777" w:rsidR="0079744D" w:rsidRPr="007C1581" w:rsidRDefault="001613B5" w:rsidP="0071569C">
      <w:pPr>
        <w:pStyle w:val="Normlndobloku"/>
      </w:pPr>
      <w:r w:rsidRPr="007C1581">
        <w:t>Veľkosť balenia: 1, 10, 50 alebo 100 injekčných liekoviek</w:t>
      </w:r>
    </w:p>
    <w:p w14:paraId="09CE08FB" w14:textId="77777777" w:rsidR="005D0D77" w:rsidRPr="007C1581" w:rsidRDefault="0079744D" w:rsidP="0071569C">
      <w:pPr>
        <w:pStyle w:val="Normlndobloku"/>
      </w:pPr>
      <w:r w:rsidRPr="007C1581">
        <w:t>Na trh nemusia byť uvedené všetky veľkosti balenia.</w:t>
      </w:r>
    </w:p>
    <w:p w14:paraId="403B3BCE" w14:textId="77777777" w:rsidR="00D16EA1" w:rsidRPr="007C1581" w:rsidRDefault="00D16EA1" w:rsidP="0071569C">
      <w:pPr>
        <w:pStyle w:val="Normlndobloku"/>
      </w:pPr>
    </w:p>
    <w:p w14:paraId="3B7237A3" w14:textId="77777777" w:rsidR="00FA3FE6" w:rsidRPr="007C1581" w:rsidRDefault="00FA3FE6" w:rsidP="00D16EA1">
      <w:pPr>
        <w:pStyle w:val="Styl2"/>
      </w:pPr>
      <w:r w:rsidRPr="007C1581">
        <w:t>Špeciálne opatrenia na likvidáciu</w:t>
      </w:r>
      <w:r w:rsidR="00021F6F" w:rsidRPr="007C1581">
        <w:t xml:space="preserve"> a </w:t>
      </w:r>
      <w:r w:rsidRPr="007C1581">
        <w:t>iné zaobchádzanie</w:t>
      </w:r>
      <w:r w:rsidR="00021F6F" w:rsidRPr="007C1581">
        <w:t xml:space="preserve"> s </w:t>
      </w:r>
      <w:r w:rsidRPr="007C1581">
        <w:t>liekom</w:t>
      </w:r>
    </w:p>
    <w:p w14:paraId="27CD2DFA" w14:textId="77777777" w:rsidR="00D16EA1" w:rsidRPr="007C1581" w:rsidRDefault="00D16EA1" w:rsidP="0071569C">
      <w:pPr>
        <w:pStyle w:val="Styl3"/>
      </w:pPr>
    </w:p>
    <w:p w14:paraId="0569876C" w14:textId="77777777" w:rsidR="00A102F7" w:rsidRPr="007C1581" w:rsidRDefault="00A102F7" w:rsidP="0071569C">
      <w:pPr>
        <w:pStyle w:val="Styl3"/>
      </w:pPr>
      <w:r w:rsidRPr="007C1581">
        <w:t>Pokyny na rekonštitúciu</w:t>
      </w:r>
    </w:p>
    <w:p w14:paraId="3C7CE52B" w14:textId="77777777" w:rsidR="00420D55" w:rsidRPr="007C1581" w:rsidRDefault="00420D55" w:rsidP="0071569C">
      <w:pPr>
        <w:pStyle w:val="Styl3"/>
        <w:rPr>
          <w:rStyle w:val="Bacil"/>
        </w:rPr>
      </w:pPr>
    </w:p>
    <w:p w14:paraId="1E707F89" w14:textId="77777777" w:rsidR="00A102F7" w:rsidRPr="007C1581" w:rsidRDefault="00A102F7" w:rsidP="0071569C">
      <w:pPr>
        <w:pStyle w:val="Normlndobloku"/>
        <w:rPr>
          <w:rStyle w:val="Bacil"/>
        </w:rPr>
      </w:pPr>
      <w:r w:rsidRPr="007C1581">
        <w:rPr>
          <w:rStyle w:val="Bacil"/>
        </w:rPr>
        <w:t>Tabuľka 4. Objemy pridanej vody</w:t>
      </w:r>
      <w:r w:rsidR="00021F6F" w:rsidRPr="007C1581">
        <w:rPr>
          <w:rStyle w:val="Bacil"/>
        </w:rPr>
        <w:t xml:space="preserve"> a </w:t>
      </w:r>
      <w:r w:rsidRPr="007C1581">
        <w:rPr>
          <w:rStyle w:val="Bacil"/>
        </w:rPr>
        <w:t>koncentrácie roztoku, ktoré môžu byť užitočné, keď je potrebné delenie dávok.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2619"/>
        <w:gridCol w:w="2260"/>
        <w:gridCol w:w="2270"/>
      </w:tblGrid>
      <w:tr w:rsidR="00CB4763" w:rsidRPr="002E0B42" w14:paraId="1B5A590B" w14:textId="77777777" w:rsidTr="00B82B89">
        <w:trPr>
          <w:tblHeader/>
        </w:trPr>
        <w:tc>
          <w:tcPr>
            <w:tcW w:w="9213" w:type="dxa"/>
            <w:gridSpan w:val="4"/>
            <w:shd w:val="clear" w:color="auto" w:fill="auto"/>
          </w:tcPr>
          <w:p w14:paraId="5CD9673C" w14:textId="77777777" w:rsidR="00CB4763" w:rsidRPr="007C1581" w:rsidRDefault="00CB4763" w:rsidP="00F8196D">
            <w:pPr>
              <w:pStyle w:val="Nadpisuvnittabulky"/>
            </w:pPr>
            <w:r w:rsidRPr="007C1581">
              <w:t>Objemy pridanej vody</w:t>
            </w:r>
            <w:r w:rsidR="00021F6F" w:rsidRPr="007C1581">
              <w:t xml:space="preserve"> a </w:t>
            </w:r>
            <w:r w:rsidRPr="007C1581">
              <w:t>koncentrácie roztoku, ktoré môžu byť užitočné, keď je potrebné delenie dávok</w:t>
            </w:r>
          </w:p>
        </w:tc>
      </w:tr>
      <w:tr w:rsidR="00CB4763" w:rsidRPr="002E0B42" w14:paraId="718FD619" w14:textId="77777777" w:rsidTr="00B82B89">
        <w:tc>
          <w:tcPr>
            <w:tcW w:w="4606" w:type="dxa"/>
            <w:gridSpan w:val="2"/>
            <w:shd w:val="clear" w:color="auto" w:fill="auto"/>
          </w:tcPr>
          <w:p w14:paraId="7416B237" w14:textId="77777777" w:rsidR="00CB4763" w:rsidRPr="007C1581" w:rsidRDefault="00CB4763" w:rsidP="0071569C">
            <w:pPr>
              <w:pStyle w:val="Tabulkynormlndoblokuzarovnndoleva"/>
            </w:pPr>
            <w:r w:rsidRPr="007C1581">
              <w:t>Veľkosť injekčnej liekovky</w:t>
            </w:r>
          </w:p>
        </w:tc>
        <w:tc>
          <w:tcPr>
            <w:tcW w:w="2303" w:type="dxa"/>
            <w:shd w:val="clear" w:color="auto" w:fill="auto"/>
          </w:tcPr>
          <w:p w14:paraId="25BFE32A" w14:textId="77777777" w:rsidR="00CB4763" w:rsidRPr="007C1581" w:rsidRDefault="00CB4763" w:rsidP="0071569C">
            <w:pPr>
              <w:pStyle w:val="Tabulkynormlndoblokuzarovnndoleva"/>
            </w:pPr>
            <w:r w:rsidRPr="007C1581">
              <w:t>Množstvo vody, ktoré treba pridať (ml)</w:t>
            </w:r>
          </w:p>
        </w:tc>
        <w:tc>
          <w:tcPr>
            <w:tcW w:w="2304" w:type="dxa"/>
            <w:shd w:val="clear" w:color="auto" w:fill="auto"/>
          </w:tcPr>
          <w:p w14:paraId="4D7A8D69" w14:textId="77777777" w:rsidR="00CB4763" w:rsidRPr="007C1581" w:rsidRDefault="00CB4763" w:rsidP="0071569C">
            <w:pPr>
              <w:pStyle w:val="Tabulkynormlndoblokuzarovnndoleva"/>
            </w:pPr>
            <w:r w:rsidRPr="007C1581">
              <w:t>Približná koncentrácia cefuroxímu (mg/ml)**</w:t>
            </w:r>
          </w:p>
        </w:tc>
      </w:tr>
      <w:tr w:rsidR="00CB4763" w:rsidRPr="002E0B42" w14:paraId="71B3686B" w14:textId="77777777" w:rsidTr="00B82B89">
        <w:tc>
          <w:tcPr>
            <w:tcW w:w="9213" w:type="dxa"/>
            <w:gridSpan w:val="4"/>
            <w:shd w:val="clear" w:color="auto" w:fill="auto"/>
          </w:tcPr>
          <w:p w14:paraId="36157EEF" w14:textId="26DA5605" w:rsidR="00CB4763" w:rsidRPr="007C1581" w:rsidRDefault="00CB4763" w:rsidP="0071569C">
            <w:pPr>
              <w:pStyle w:val="Tabulkynormlndoblokuzarovnndoleva"/>
            </w:pPr>
            <w:r w:rsidRPr="007C1581">
              <w:t>75</w:t>
            </w:r>
            <w:r w:rsidR="00994936" w:rsidRPr="007C1581">
              <w:t>0 </w:t>
            </w:r>
            <w:r w:rsidRPr="007C1581">
              <w:t xml:space="preserve">mg prášok na </w:t>
            </w:r>
            <w:proofErr w:type="spellStart"/>
            <w:r w:rsidRPr="007C1581">
              <w:t>injekčný</w:t>
            </w:r>
            <w:proofErr w:type="spellEnd"/>
            <w:r w:rsidR="0071569C">
              <w:t xml:space="preserve"> </w:t>
            </w:r>
            <w:proofErr w:type="spellStart"/>
            <w:r w:rsidR="0071569C">
              <w:t>alebo</w:t>
            </w:r>
            <w:proofErr w:type="spellEnd"/>
            <w:r w:rsidR="0071569C">
              <w:t xml:space="preserve"> </w:t>
            </w:r>
            <w:proofErr w:type="spellStart"/>
            <w:r w:rsidRPr="007C1581">
              <w:t>infúzny</w:t>
            </w:r>
            <w:proofErr w:type="spellEnd"/>
            <w:r w:rsidRPr="007C1581">
              <w:t xml:space="preserve"> roztok</w:t>
            </w:r>
          </w:p>
        </w:tc>
      </w:tr>
      <w:tr w:rsidR="00CB4763" w:rsidRPr="007C1581" w14:paraId="33BBA906" w14:textId="77777777" w:rsidTr="00CB4763">
        <w:tc>
          <w:tcPr>
            <w:tcW w:w="1951" w:type="dxa"/>
            <w:shd w:val="clear" w:color="auto" w:fill="auto"/>
          </w:tcPr>
          <w:p w14:paraId="0AB9C9A9" w14:textId="77777777" w:rsidR="00CB4763" w:rsidRPr="007C1581" w:rsidRDefault="00CB4763" w:rsidP="0071569C">
            <w:pPr>
              <w:pStyle w:val="Tabulkynormlndoblokuzarovnndoleva"/>
            </w:pPr>
            <w:r w:rsidRPr="007C1581">
              <w:t>75</w:t>
            </w:r>
            <w:r w:rsidR="00994936" w:rsidRPr="007C1581">
              <w:t>0 </w:t>
            </w:r>
            <w:r w:rsidRPr="007C1581">
              <w:t>mg</w:t>
            </w:r>
          </w:p>
        </w:tc>
        <w:tc>
          <w:tcPr>
            <w:tcW w:w="2655" w:type="dxa"/>
            <w:shd w:val="clear" w:color="auto" w:fill="auto"/>
          </w:tcPr>
          <w:p w14:paraId="147A0461" w14:textId="77777777" w:rsidR="00CB4763" w:rsidRPr="007C1581" w:rsidRDefault="00CB4763" w:rsidP="0071569C">
            <w:pPr>
              <w:pStyle w:val="Tabulkynormlndoblokuzarovnndoleva"/>
            </w:pPr>
            <w:r w:rsidRPr="007C1581">
              <w:t>intramuskulárne podanie</w:t>
            </w:r>
          </w:p>
          <w:p w14:paraId="2806C89E" w14:textId="77777777" w:rsidR="00CB4763" w:rsidRPr="007C1581" w:rsidRDefault="00CB4763" w:rsidP="0071569C">
            <w:pPr>
              <w:pStyle w:val="Tabulkynormlndoblokuzarovnndoleva"/>
            </w:pPr>
            <w:r w:rsidRPr="007C1581">
              <w:t>intravenózny bolus</w:t>
            </w:r>
          </w:p>
          <w:p w14:paraId="274B24E6" w14:textId="77777777" w:rsidR="00CB4763" w:rsidRPr="007C1581" w:rsidRDefault="00CB4763" w:rsidP="0071569C">
            <w:pPr>
              <w:pStyle w:val="Tabulkynormlndoblokuzarovnndoleva"/>
            </w:pPr>
            <w:r w:rsidRPr="007C1581">
              <w:t>intravenózna infúzia</w:t>
            </w:r>
          </w:p>
        </w:tc>
        <w:tc>
          <w:tcPr>
            <w:tcW w:w="2303" w:type="dxa"/>
            <w:shd w:val="clear" w:color="auto" w:fill="auto"/>
          </w:tcPr>
          <w:p w14:paraId="08D35AAF" w14:textId="77777777" w:rsidR="00CB4763" w:rsidRPr="007C1581" w:rsidRDefault="00994936" w:rsidP="0071569C">
            <w:pPr>
              <w:pStyle w:val="Tabulkynormlndoblokuzarovnndoleva"/>
            </w:pPr>
            <w:r w:rsidRPr="007C1581">
              <w:t>3 </w:t>
            </w:r>
            <w:r w:rsidR="00CB4763" w:rsidRPr="007C1581">
              <w:t>ml</w:t>
            </w:r>
          </w:p>
          <w:p w14:paraId="2F4A97DC" w14:textId="77777777" w:rsidR="00CB4763" w:rsidRPr="007C1581" w:rsidRDefault="00CB4763" w:rsidP="0071569C">
            <w:pPr>
              <w:pStyle w:val="Tabulkynormlndoblokuzarovnndoleva"/>
            </w:pPr>
            <w:r w:rsidRPr="007C1581">
              <w:t xml:space="preserve">aspoň </w:t>
            </w:r>
            <w:r w:rsidR="00994936" w:rsidRPr="007C1581">
              <w:t>6 </w:t>
            </w:r>
            <w:r w:rsidRPr="007C1581">
              <w:t>ml</w:t>
            </w:r>
          </w:p>
          <w:p w14:paraId="5BB093CF" w14:textId="77777777" w:rsidR="00CB4763" w:rsidRPr="007C1581" w:rsidRDefault="00CB4763" w:rsidP="0071569C">
            <w:pPr>
              <w:pStyle w:val="Tabulkynormlndoblokuzarovnndoleva"/>
            </w:pPr>
            <w:r w:rsidRPr="007C1581">
              <w:t xml:space="preserve">aspoň </w:t>
            </w:r>
            <w:r w:rsidR="00994936" w:rsidRPr="007C1581">
              <w:t>6 </w:t>
            </w:r>
            <w:r w:rsidRPr="007C1581">
              <w:t>ml</w:t>
            </w:r>
          </w:p>
        </w:tc>
        <w:tc>
          <w:tcPr>
            <w:tcW w:w="2304" w:type="dxa"/>
            <w:shd w:val="clear" w:color="auto" w:fill="auto"/>
          </w:tcPr>
          <w:p w14:paraId="20235194" w14:textId="77777777" w:rsidR="00CB4763" w:rsidRPr="007C1581" w:rsidRDefault="00CB4763" w:rsidP="0071569C">
            <w:pPr>
              <w:pStyle w:val="Tabulkynormlndoblokuzarovnndoleva"/>
            </w:pPr>
            <w:r w:rsidRPr="007C1581">
              <w:t>216</w:t>
            </w:r>
          </w:p>
          <w:p w14:paraId="05FD6B64" w14:textId="77777777" w:rsidR="00CB4763" w:rsidRPr="007C1581" w:rsidRDefault="00CB4763" w:rsidP="0071569C">
            <w:pPr>
              <w:pStyle w:val="Tabulkynormlndoblokuzarovnndoleva"/>
            </w:pPr>
            <w:r w:rsidRPr="007C1581">
              <w:t>116</w:t>
            </w:r>
          </w:p>
          <w:p w14:paraId="660D9FE3" w14:textId="77777777" w:rsidR="00CB4763" w:rsidRPr="007C1581" w:rsidRDefault="00CB4763" w:rsidP="0071569C">
            <w:pPr>
              <w:pStyle w:val="Tabulkynormlndoblokuzarovnndoleva"/>
            </w:pPr>
            <w:r w:rsidRPr="007C1581">
              <w:t>116</w:t>
            </w:r>
          </w:p>
        </w:tc>
      </w:tr>
      <w:tr w:rsidR="00CB4763" w:rsidRPr="007C1581" w14:paraId="37C363DB" w14:textId="77777777" w:rsidTr="00B82B89">
        <w:tc>
          <w:tcPr>
            <w:tcW w:w="9213" w:type="dxa"/>
            <w:gridSpan w:val="4"/>
            <w:shd w:val="clear" w:color="auto" w:fill="auto"/>
          </w:tcPr>
          <w:p w14:paraId="415011B0" w14:textId="2122D316" w:rsidR="00CB4763" w:rsidRPr="007C1581" w:rsidRDefault="00CB4763" w:rsidP="0071569C">
            <w:pPr>
              <w:pStyle w:val="Tabulkynormlndoblokuzarovnndoleva"/>
            </w:pPr>
            <w:r w:rsidRPr="007C1581">
              <w:t>1,</w:t>
            </w:r>
            <w:r w:rsidR="00994936" w:rsidRPr="007C1581">
              <w:t>5 </w:t>
            </w:r>
            <w:r w:rsidRPr="007C1581">
              <w:t xml:space="preserve">g prášok na </w:t>
            </w:r>
            <w:proofErr w:type="spellStart"/>
            <w:r w:rsidRPr="007C1581">
              <w:t>injekčný</w:t>
            </w:r>
            <w:proofErr w:type="spellEnd"/>
            <w:r w:rsidR="0071569C">
              <w:t xml:space="preserve"> </w:t>
            </w:r>
            <w:proofErr w:type="spellStart"/>
            <w:r w:rsidR="0071569C">
              <w:t>alebo</w:t>
            </w:r>
            <w:proofErr w:type="spellEnd"/>
            <w:r w:rsidR="0071569C">
              <w:t xml:space="preserve"> </w:t>
            </w:r>
            <w:proofErr w:type="spellStart"/>
            <w:r w:rsidRPr="007C1581">
              <w:t>infúzny</w:t>
            </w:r>
            <w:proofErr w:type="spellEnd"/>
            <w:r w:rsidRPr="007C1581">
              <w:t xml:space="preserve"> roztok</w:t>
            </w:r>
          </w:p>
        </w:tc>
      </w:tr>
      <w:tr w:rsidR="00CB4763" w:rsidRPr="007C1581" w14:paraId="738CBF9B" w14:textId="77777777" w:rsidTr="00CB4763">
        <w:tc>
          <w:tcPr>
            <w:tcW w:w="1951" w:type="dxa"/>
            <w:shd w:val="clear" w:color="auto" w:fill="auto"/>
          </w:tcPr>
          <w:p w14:paraId="5DDA9702" w14:textId="77777777" w:rsidR="00CB4763" w:rsidRPr="007C1581" w:rsidRDefault="00CB4763" w:rsidP="0071569C">
            <w:pPr>
              <w:pStyle w:val="Tabulkynormlndoblokuzarovnndoleva"/>
            </w:pPr>
            <w:r w:rsidRPr="007C1581">
              <w:t>1,</w:t>
            </w:r>
            <w:r w:rsidR="00994936" w:rsidRPr="007C1581">
              <w:t>5 </w:t>
            </w:r>
            <w:r w:rsidRPr="007C1581">
              <w:t>g</w:t>
            </w:r>
          </w:p>
        </w:tc>
        <w:tc>
          <w:tcPr>
            <w:tcW w:w="2655" w:type="dxa"/>
            <w:shd w:val="clear" w:color="auto" w:fill="auto"/>
          </w:tcPr>
          <w:p w14:paraId="25E00863" w14:textId="77777777" w:rsidR="00CB4763" w:rsidRPr="007C1581" w:rsidRDefault="00CB4763" w:rsidP="0071569C">
            <w:pPr>
              <w:pStyle w:val="Tabulkynormlndoblokuzarovnndoleva"/>
            </w:pPr>
            <w:r w:rsidRPr="007C1581">
              <w:t>intramuskulárne podanie</w:t>
            </w:r>
          </w:p>
          <w:p w14:paraId="1EAE7D95" w14:textId="77777777" w:rsidR="00CB4763" w:rsidRPr="007C1581" w:rsidRDefault="00CB4763" w:rsidP="0071569C">
            <w:pPr>
              <w:pStyle w:val="Tabulkynormlndoblokuzarovnndoleva"/>
            </w:pPr>
            <w:r w:rsidRPr="007C1581">
              <w:t>intravenózny bolus</w:t>
            </w:r>
          </w:p>
          <w:p w14:paraId="271478C6" w14:textId="77777777" w:rsidR="00CB4763" w:rsidRPr="007C1581" w:rsidRDefault="00CB4763" w:rsidP="0071569C">
            <w:pPr>
              <w:pStyle w:val="Tabulkynormlndoblokuzarovnndoleva"/>
            </w:pPr>
            <w:r w:rsidRPr="007C1581">
              <w:t>intravenózna infúzia</w:t>
            </w:r>
          </w:p>
        </w:tc>
        <w:tc>
          <w:tcPr>
            <w:tcW w:w="2303" w:type="dxa"/>
            <w:shd w:val="clear" w:color="auto" w:fill="auto"/>
          </w:tcPr>
          <w:p w14:paraId="576A0DE2" w14:textId="77777777" w:rsidR="00CB4763" w:rsidRPr="007C1581" w:rsidRDefault="00994936" w:rsidP="0071569C">
            <w:pPr>
              <w:pStyle w:val="Tabulkynormlndoblokuzarovnndoleva"/>
            </w:pPr>
            <w:r w:rsidRPr="007C1581">
              <w:t>6 </w:t>
            </w:r>
            <w:r w:rsidR="00CB4763" w:rsidRPr="007C1581">
              <w:t>ml</w:t>
            </w:r>
          </w:p>
          <w:p w14:paraId="1AA37BA8" w14:textId="77777777" w:rsidR="00CB4763" w:rsidRPr="007C1581" w:rsidRDefault="00CB4763" w:rsidP="0071569C">
            <w:pPr>
              <w:pStyle w:val="Tabulkynormlndoblokuzarovnndoleva"/>
            </w:pPr>
            <w:r w:rsidRPr="007C1581">
              <w:t>aspoň 1</w:t>
            </w:r>
            <w:r w:rsidR="00994936" w:rsidRPr="007C1581">
              <w:t>5 </w:t>
            </w:r>
            <w:r w:rsidRPr="007C1581">
              <w:t>ml</w:t>
            </w:r>
          </w:p>
          <w:p w14:paraId="0CCBACBC" w14:textId="77777777" w:rsidR="00CB4763" w:rsidRPr="007C1581" w:rsidRDefault="00CB4763" w:rsidP="0071569C">
            <w:pPr>
              <w:pStyle w:val="Tabulkynormlndoblokuzarovnndoleva"/>
            </w:pPr>
            <w:r w:rsidRPr="007C1581">
              <w:t>1</w:t>
            </w:r>
            <w:r w:rsidR="00994936" w:rsidRPr="007C1581">
              <w:t>5 </w:t>
            </w:r>
            <w:r w:rsidRPr="007C1581">
              <w:t>ml*</w:t>
            </w:r>
          </w:p>
        </w:tc>
        <w:tc>
          <w:tcPr>
            <w:tcW w:w="2304" w:type="dxa"/>
            <w:shd w:val="clear" w:color="auto" w:fill="auto"/>
          </w:tcPr>
          <w:p w14:paraId="7CAE4D75" w14:textId="77777777" w:rsidR="00CB4763" w:rsidRPr="007C1581" w:rsidRDefault="00CB4763" w:rsidP="0071569C">
            <w:pPr>
              <w:pStyle w:val="Tabulkynormlndoblokuzarovnndoleva"/>
            </w:pPr>
            <w:r w:rsidRPr="007C1581">
              <w:t>216</w:t>
            </w:r>
          </w:p>
          <w:p w14:paraId="45DE854E" w14:textId="77777777" w:rsidR="00CB4763" w:rsidRPr="007C1581" w:rsidRDefault="00CB4763" w:rsidP="0071569C">
            <w:pPr>
              <w:pStyle w:val="Tabulkynormlndoblokuzarovnndoleva"/>
            </w:pPr>
            <w:r w:rsidRPr="007C1581">
              <w:t>94</w:t>
            </w:r>
          </w:p>
          <w:p w14:paraId="04ACC84C" w14:textId="77777777" w:rsidR="00CB4763" w:rsidRPr="007C1581" w:rsidRDefault="00CB4763" w:rsidP="0071569C">
            <w:pPr>
              <w:pStyle w:val="Tabulkynormlndoblokuzarovnndoleva"/>
            </w:pPr>
            <w:r w:rsidRPr="007C1581">
              <w:t>94</w:t>
            </w:r>
          </w:p>
        </w:tc>
      </w:tr>
    </w:tbl>
    <w:p w14:paraId="799F9FC1" w14:textId="77777777" w:rsidR="00A102F7" w:rsidRPr="007C1581" w:rsidRDefault="00A102F7" w:rsidP="0071569C">
      <w:pPr>
        <w:pStyle w:val="Normlndobloku"/>
      </w:pPr>
      <w:r w:rsidRPr="007C1581">
        <w:lastRenderedPageBreak/>
        <w:t>* Rekonštituovaný roztok treba pridať do 5</w:t>
      </w:r>
      <w:r w:rsidR="00994936" w:rsidRPr="007C1581">
        <w:t>0 </w:t>
      </w:r>
      <w:r w:rsidRPr="007C1581">
        <w:t>alebo 10</w:t>
      </w:r>
      <w:r w:rsidR="00994936" w:rsidRPr="007C1581">
        <w:t>0 </w:t>
      </w:r>
      <w:r w:rsidRPr="007C1581">
        <w:t>ml kompatibilného infúzneho roztoku (pozri ďalej uvedené informácie</w:t>
      </w:r>
      <w:r w:rsidR="00021F6F" w:rsidRPr="007C1581">
        <w:t xml:space="preserve"> o </w:t>
      </w:r>
      <w:r w:rsidRPr="007C1581">
        <w:t>kompatibilite)</w:t>
      </w:r>
    </w:p>
    <w:p w14:paraId="7BC0B874" w14:textId="77777777" w:rsidR="00A102F7" w:rsidRPr="007C1581" w:rsidRDefault="00A102F7" w:rsidP="0071569C">
      <w:pPr>
        <w:pStyle w:val="Normlndobloku"/>
      </w:pPr>
      <w:r w:rsidRPr="007C1581">
        <w:t>** Výsledný objem roztoku cefuroxímu</w:t>
      </w:r>
      <w:r w:rsidR="00021F6F" w:rsidRPr="007C1581">
        <w:t xml:space="preserve"> v </w:t>
      </w:r>
      <w:r w:rsidRPr="007C1581">
        <w:t>rekonštituovanom roztoku je zvýšený</w:t>
      </w:r>
      <w:r w:rsidR="00021F6F" w:rsidRPr="007C1581">
        <w:t xml:space="preserve"> v </w:t>
      </w:r>
      <w:r w:rsidRPr="007C1581">
        <w:t>dôsledku vytesňovacieho koeficientu liečiva, čo má za následok uvedené koncentrácie</w:t>
      </w:r>
      <w:r w:rsidR="00021F6F" w:rsidRPr="007C1581">
        <w:t xml:space="preserve"> v </w:t>
      </w:r>
      <w:r w:rsidRPr="007C1581">
        <w:t>mg/ml.</w:t>
      </w:r>
    </w:p>
    <w:p w14:paraId="2B713865" w14:textId="77777777" w:rsidR="00420D55" w:rsidRDefault="00420D55" w:rsidP="0071569C">
      <w:pPr>
        <w:pStyle w:val="Styl3"/>
      </w:pPr>
    </w:p>
    <w:p w14:paraId="318D5714" w14:textId="77777777" w:rsidR="000145FD" w:rsidRPr="007C1581" w:rsidRDefault="000145FD" w:rsidP="0071569C">
      <w:pPr>
        <w:pStyle w:val="Styl3"/>
      </w:pPr>
    </w:p>
    <w:p w14:paraId="165272AF" w14:textId="77777777" w:rsidR="00A102F7" w:rsidRPr="003375DF" w:rsidRDefault="00A102F7" w:rsidP="0071569C">
      <w:pPr>
        <w:pStyle w:val="Styl3"/>
      </w:pPr>
      <w:r w:rsidRPr="003375DF">
        <w:t>Kompatibilita</w:t>
      </w:r>
    </w:p>
    <w:p w14:paraId="740663EF" w14:textId="77777777" w:rsidR="003375DF" w:rsidRPr="009B79F7" w:rsidRDefault="003375DF" w:rsidP="007B0036">
      <w:pPr>
        <w:pStyle w:val="Normlndoblokusodrkami"/>
      </w:pPr>
      <w:r w:rsidRPr="009B79F7">
        <w:t>0,9% injekčný roztok chloridu sodného</w:t>
      </w:r>
    </w:p>
    <w:p w14:paraId="3434C927" w14:textId="77777777" w:rsidR="003375DF" w:rsidRPr="009B79F7" w:rsidRDefault="003375DF" w:rsidP="007B0036">
      <w:pPr>
        <w:pStyle w:val="Normlndoblokusodrkami"/>
      </w:pPr>
      <w:r w:rsidRPr="009B79F7">
        <w:t>5% injekčný roztok glukózy</w:t>
      </w:r>
    </w:p>
    <w:p w14:paraId="6815A46C" w14:textId="77777777" w:rsidR="003375DF" w:rsidRPr="009B79F7" w:rsidRDefault="003375DF" w:rsidP="007B0036">
      <w:pPr>
        <w:pStyle w:val="Normlndoblokusodrkami"/>
      </w:pPr>
      <w:r w:rsidRPr="009B79F7">
        <w:t>10% injekčný roztok glukózy</w:t>
      </w:r>
    </w:p>
    <w:p w14:paraId="2151B979" w14:textId="77777777" w:rsidR="003375DF" w:rsidRPr="009B79F7" w:rsidRDefault="003375DF" w:rsidP="007B0036">
      <w:pPr>
        <w:pStyle w:val="Normlndoblokusodrkami"/>
      </w:pPr>
      <w:r w:rsidRPr="009B79F7">
        <w:t>Ringerov injekčný roztok</w:t>
      </w:r>
    </w:p>
    <w:p w14:paraId="5745228F" w14:textId="77777777" w:rsidR="003375DF" w:rsidRPr="009B79F7" w:rsidRDefault="003375DF" w:rsidP="007B0036">
      <w:pPr>
        <w:pStyle w:val="Normlndoblokusodrkami"/>
      </w:pPr>
      <w:r w:rsidRPr="009B79F7">
        <w:t>Injekčný roztok Ringer-laktát</w:t>
      </w:r>
    </w:p>
    <w:p w14:paraId="124BAC5B" w14:textId="77777777" w:rsidR="003375DF" w:rsidRPr="009B79F7" w:rsidRDefault="003375DF" w:rsidP="0071569C">
      <w:pPr>
        <w:pStyle w:val="Normlndobloku"/>
      </w:pPr>
    </w:p>
    <w:p w14:paraId="7C1FE1D1" w14:textId="77777777" w:rsidR="005D0D77" w:rsidRPr="007C1581" w:rsidRDefault="00F8196D" w:rsidP="0071569C">
      <w:pPr>
        <w:pStyle w:val="Normlndobloku"/>
      </w:pPr>
      <w:r w:rsidRPr="003375DF">
        <w:t>Nepoužitý liek alebo odpad vzniknutý z lieku má byť zlikvidovaný v súlade s národnými požiadavkami.</w:t>
      </w:r>
    </w:p>
    <w:p w14:paraId="6E27090E" w14:textId="77777777" w:rsidR="00D16EA1" w:rsidRPr="007C1581" w:rsidRDefault="00D16EA1" w:rsidP="0071569C">
      <w:pPr>
        <w:pStyle w:val="Normlndobloku"/>
      </w:pPr>
    </w:p>
    <w:p w14:paraId="6A936148" w14:textId="77777777" w:rsidR="00226020" w:rsidRPr="007C1581" w:rsidRDefault="00226020" w:rsidP="0071569C">
      <w:pPr>
        <w:pStyle w:val="Normlndobloku"/>
      </w:pPr>
    </w:p>
    <w:p w14:paraId="33080975" w14:textId="77777777" w:rsidR="005D0D77" w:rsidRPr="000145FD" w:rsidRDefault="005D0D77" w:rsidP="000145FD">
      <w:pPr>
        <w:pStyle w:val="Styl1"/>
      </w:pPr>
      <w:r w:rsidRPr="000145FD">
        <w:t>DRŽITEĽ ROZHODNUTIA</w:t>
      </w:r>
      <w:r w:rsidR="00021F6F" w:rsidRPr="000145FD">
        <w:t xml:space="preserve"> o </w:t>
      </w:r>
      <w:r w:rsidRPr="000145FD">
        <w:t>REGISTRÁCII</w:t>
      </w:r>
    </w:p>
    <w:p w14:paraId="565FA279" w14:textId="77777777" w:rsidR="00D16EA1" w:rsidRPr="007C1581" w:rsidRDefault="00D16EA1" w:rsidP="0071569C">
      <w:pPr>
        <w:pStyle w:val="Normlndobloku"/>
      </w:pPr>
    </w:p>
    <w:p w14:paraId="2DE8D50C" w14:textId="77777777" w:rsidR="00CB4763" w:rsidRPr="007C1581" w:rsidRDefault="00CB4763" w:rsidP="0071569C">
      <w:pPr>
        <w:pStyle w:val="Normlndobloku"/>
      </w:pPr>
      <w:r w:rsidRPr="007C1581">
        <w:t>MEDOCHEMIE Ltd., Constantinoupoleos Str. 1-10, 301</w:t>
      </w:r>
      <w:r w:rsidR="00994936" w:rsidRPr="007C1581">
        <w:t>1 </w:t>
      </w:r>
      <w:r w:rsidRPr="007C1581">
        <w:t>Limassol, Cyprus</w:t>
      </w:r>
    </w:p>
    <w:p w14:paraId="58420613" w14:textId="77777777" w:rsidR="00D16EA1" w:rsidRPr="007C1581" w:rsidRDefault="00D16EA1" w:rsidP="0071569C">
      <w:pPr>
        <w:pStyle w:val="Normlndobloku"/>
      </w:pPr>
    </w:p>
    <w:p w14:paraId="77EFE323" w14:textId="77777777" w:rsidR="00D16EA1" w:rsidRPr="007C1581" w:rsidRDefault="00D16EA1" w:rsidP="0071569C">
      <w:pPr>
        <w:pStyle w:val="Normlndobloku"/>
      </w:pPr>
    </w:p>
    <w:p w14:paraId="48E9A68F" w14:textId="77777777" w:rsidR="005D0D77" w:rsidRPr="000145FD" w:rsidRDefault="005D0D77" w:rsidP="000145FD">
      <w:pPr>
        <w:pStyle w:val="Styl1"/>
      </w:pPr>
      <w:r w:rsidRPr="000145FD">
        <w:t>REGISTRAČNÉ ČÍSL</w:t>
      </w:r>
      <w:r w:rsidR="00E01910" w:rsidRPr="000145FD">
        <w:t>A</w:t>
      </w:r>
    </w:p>
    <w:p w14:paraId="46A784B4" w14:textId="77777777" w:rsidR="00D16EA1" w:rsidRPr="007C1581" w:rsidRDefault="00D16EA1" w:rsidP="0071569C">
      <w:pPr>
        <w:pStyle w:val="Normlndobloku"/>
      </w:pPr>
    </w:p>
    <w:p w14:paraId="239AD58B" w14:textId="77777777" w:rsidR="00A11B67" w:rsidRPr="007C1581" w:rsidRDefault="00A26230" w:rsidP="0071569C">
      <w:pPr>
        <w:pStyle w:val="Normlndobloku"/>
      </w:pPr>
      <w:r w:rsidRPr="007C1581">
        <w:t>AXETINE</w:t>
      </w:r>
      <w:r w:rsidR="00A11B67" w:rsidRPr="007C1581">
        <w:t xml:space="preserve"> 75</w:t>
      </w:r>
      <w:r w:rsidR="00994936" w:rsidRPr="007C1581">
        <w:t>0 </w:t>
      </w:r>
      <w:r w:rsidR="00A11B67" w:rsidRPr="007C1581">
        <w:t>mg: 15/0645/94-S</w:t>
      </w:r>
    </w:p>
    <w:p w14:paraId="05FEFB68" w14:textId="77777777" w:rsidR="005D0D77" w:rsidRPr="007C1581" w:rsidRDefault="00A26230" w:rsidP="0071569C">
      <w:pPr>
        <w:pStyle w:val="Normlndobloku"/>
      </w:pPr>
      <w:r w:rsidRPr="007C1581">
        <w:t>AXETINE</w:t>
      </w:r>
      <w:r w:rsidR="00A11B67" w:rsidRPr="007C1581">
        <w:t xml:space="preserve"> 1,</w:t>
      </w:r>
      <w:r w:rsidR="00994936" w:rsidRPr="007C1581">
        <w:t>5 </w:t>
      </w:r>
      <w:r w:rsidR="00A11B67" w:rsidRPr="007C1581">
        <w:t xml:space="preserve">g: </w:t>
      </w:r>
      <w:r w:rsidR="005D0D77" w:rsidRPr="007C1581">
        <w:t>15/0226/01-S</w:t>
      </w:r>
    </w:p>
    <w:p w14:paraId="21FF8A51" w14:textId="77777777" w:rsidR="00D16EA1" w:rsidRPr="007C1581" w:rsidRDefault="00D16EA1" w:rsidP="0071569C">
      <w:pPr>
        <w:pStyle w:val="Normlndobloku"/>
      </w:pPr>
    </w:p>
    <w:p w14:paraId="636A0E7B" w14:textId="77777777" w:rsidR="00D16EA1" w:rsidRPr="007C1581" w:rsidRDefault="00D16EA1" w:rsidP="0071569C">
      <w:pPr>
        <w:pStyle w:val="Normlndobloku"/>
      </w:pPr>
    </w:p>
    <w:p w14:paraId="76BA6257" w14:textId="77777777" w:rsidR="005D0D77" w:rsidRPr="000145FD" w:rsidRDefault="005D0D77" w:rsidP="000145FD">
      <w:pPr>
        <w:pStyle w:val="Styl1"/>
      </w:pPr>
      <w:r w:rsidRPr="000145FD">
        <w:t xml:space="preserve">DÁTUM </w:t>
      </w:r>
      <w:r w:rsidR="00FA3FE6" w:rsidRPr="000145FD">
        <w:t xml:space="preserve">PRVEJ </w:t>
      </w:r>
      <w:r w:rsidRPr="000145FD">
        <w:t>REGI</w:t>
      </w:r>
      <w:r w:rsidR="00CC5F44" w:rsidRPr="000145FD">
        <w:t>S</w:t>
      </w:r>
      <w:r w:rsidRPr="000145FD">
        <w:t>TRÁCIE/PREDĹŽENIA REGISTRÁCIE</w:t>
      </w:r>
    </w:p>
    <w:p w14:paraId="675BA5C1" w14:textId="77777777" w:rsidR="00D16EA1" w:rsidRPr="007C1581" w:rsidRDefault="00D16EA1" w:rsidP="0071569C">
      <w:pPr>
        <w:pStyle w:val="Normlndobloku"/>
      </w:pPr>
    </w:p>
    <w:p w14:paraId="41F2CA95" w14:textId="77777777" w:rsidR="002E0B42" w:rsidRDefault="00994936" w:rsidP="0071569C">
      <w:pPr>
        <w:pStyle w:val="Normlndobloku"/>
      </w:pPr>
      <w:r w:rsidRPr="007C1581">
        <w:t>Dátum prvej registrácie:</w:t>
      </w:r>
    </w:p>
    <w:p w14:paraId="1A529E6F" w14:textId="77777777" w:rsidR="002E0B42" w:rsidRDefault="00A26230" w:rsidP="0071569C">
      <w:pPr>
        <w:pStyle w:val="Normlndobloku"/>
      </w:pPr>
      <w:r w:rsidRPr="007C1581">
        <w:t>AXETINE</w:t>
      </w:r>
      <w:r w:rsidR="00A11B67" w:rsidRPr="007C1581">
        <w:t xml:space="preserve"> 75</w:t>
      </w:r>
      <w:r w:rsidR="00994936" w:rsidRPr="007C1581">
        <w:t>0 </w:t>
      </w:r>
      <w:r w:rsidR="00A11B67" w:rsidRPr="007C1581">
        <w:t xml:space="preserve">mg: </w:t>
      </w:r>
      <w:r w:rsidR="004D560B" w:rsidRPr="007C1581">
        <w:t>2</w:t>
      </w:r>
      <w:r w:rsidR="00A11B67" w:rsidRPr="007C1581">
        <w:t>6.</w:t>
      </w:r>
      <w:r w:rsidR="004D560B" w:rsidRPr="007C1581">
        <w:t xml:space="preserve"> október </w:t>
      </w:r>
      <w:r w:rsidR="00A11B67" w:rsidRPr="007C1581">
        <w:t>199</w:t>
      </w:r>
      <w:r w:rsidR="00994936" w:rsidRPr="007C1581">
        <w:t>4</w:t>
      </w:r>
    </w:p>
    <w:p w14:paraId="6E94B5CE" w14:textId="77777777" w:rsidR="002E0B42" w:rsidRDefault="00A26230" w:rsidP="0071569C">
      <w:pPr>
        <w:pStyle w:val="Normlndobloku"/>
      </w:pPr>
      <w:r w:rsidRPr="007C1581">
        <w:t>AXETINE</w:t>
      </w:r>
      <w:r w:rsidR="00A11B67" w:rsidRPr="007C1581">
        <w:t xml:space="preserve"> 1,</w:t>
      </w:r>
      <w:r w:rsidR="00994936" w:rsidRPr="007C1581">
        <w:t>5 </w:t>
      </w:r>
      <w:r w:rsidR="00A11B67" w:rsidRPr="007C1581">
        <w:t xml:space="preserve">g: </w:t>
      </w:r>
      <w:r w:rsidR="005D0D77" w:rsidRPr="007C1581">
        <w:t>16.</w:t>
      </w:r>
      <w:r w:rsidR="004D560B" w:rsidRPr="007C1581">
        <w:t xml:space="preserve"> júl </w:t>
      </w:r>
      <w:r w:rsidR="005D0D77" w:rsidRPr="007C1581">
        <w:t>200</w:t>
      </w:r>
      <w:r w:rsidR="00994936" w:rsidRPr="007C1581">
        <w:t>1</w:t>
      </w:r>
    </w:p>
    <w:p w14:paraId="5A0F837D" w14:textId="77777777" w:rsidR="00420D55" w:rsidRPr="007C1581" w:rsidRDefault="00420D55" w:rsidP="0071569C">
      <w:pPr>
        <w:pStyle w:val="Normlndobloku"/>
      </w:pPr>
    </w:p>
    <w:p w14:paraId="203442BB" w14:textId="77777777" w:rsidR="002E0B42" w:rsidRDefault="00994936" w:rsidP="0071569C">
      <w:pPr>
        <w:pStyle w:val="Normlndobloku"/>
      </w:pPr>
      <w:r w:rsidRPr="007C1581">
        <w:t>Dátum posledného predĺženia registrácie:</w:t>
      </w:r>
    </w:p>
    <w:p w14:paraId="0FF0BE21" w14:textId="77777777" w:rsidR="00994936" w:rsidRPr="007C1581" w:rsidRDefault="00994936" w:rsidP="0071569C">
      <w:pPr>
        <w:pStyle w:val="Normlndobloku"/>
      </w:pPr>
      <w:r w:rsidRPr="007C1581">
        <w:t>AXETINE 750 mg: 2</w:t>
      </w:r>
      <w:r w:rsidR="004D560B" w:rsidRPr="007C1581">
        <w:t>9</w:t>
      </w:r>
      <w:r w:rsidRPr="007C1581">
        <w:t>.</w:t>
      </w:r>
      <w:r w:rsidR="004D560B" w:rsidRPr="007C1581">
        <w:t xml:space="preserve"> marec </w:t>
      </w:r>
      <w:r w:rsidRPr="007C1581">
        <w:t>200</w:t>
      </w:r>
      <w:r w:rsidR="004D560B" w:rsidRPr="007C1581">
        <w:t>7</w:t>
      </w:r>
    </w:p>
    <w:p w14:paraId="21BAA253" w14:textId="77777777" w:rsidR="00994936" w:rsidRPr="007C1581" w:rsidRDefault="00994936" w:rsidP="0071569C">
      <w:pPr>
        <w:pStyle w:val="Normlndobloku"/>
      </w:pPr>
      <w:r w:rsidRPr="007C1581">
        <w:t>AXETINE 1,5 g: 28.</w:t>
      </w:r>
      <w:r w:rsidR="004D560B" w:rsidRPr="007C1581">
        <w:t xml:space="preserve"> júl </w:t>
      </w:r>
      <w:r w:rsidRPr="007C1581">
        <w:t>2008</w:t>
      </w:r>
    </w:p>
    <w:p w14:paraId="0FF215AF" w14:textId="77777777" w:rsidR="00994936" w:rsidRPr="007C1581" w:rsidRDefault="00994936" w:rsidP="0071569C">
      <w:pPr>
        <w:pStyle w:val="Normlndobloku"/>
      </w:pPr>
    </w:p>
    <w:p w14:paraId="553691A5" w14:textId="77777777" w:rsidR="00CC5F44" w:rsidRPr="007C1581" w:rsidRDefault="00CC5F44" w:rsidP="0071569C">
      <w:pPr>
        <w:pStyle w:val="Normlndobloku"/>
      </w:pPr>
    </w:p>
    <w:p w14:paraId="297E5430" w14:textId="77777777" w:rsidR="005D0D77" w:rsidRPr="000145FD" w:rsidRDefault="005D0D77" w:rsidP="000145FD">
      <w:pPr>
        <w:pStyle w:val="Styl1"/>
      </w:pPr>
      <w:r w:rsidRPr="000145FD">
        <w:t>DÁTUM REVÍZIE TEXTU</w:t>
      </w:r>
    </w:p>
    <w:p w14:paraId="6E7088D5" w14:textId="77777777" w:rsidR="005D0D77" w:rsidRPr="007C1581" w:rsidRDefault="005D0D77" w:rsidP="0071569C">
      <w:pPr>
        <w:pStyle w:val="Normlndobloku"/>
      </w:pPr>
    </w:p>
    <w:p w14:paraId="6E3E3396" w14:textId="0A9F9584" w:rsidR="00D16EA1" w:rsidRPr="007C1581" w:rsidRDefault="00E8490E" w:rsidP="0071569C">
      <w:pPr>
        <w:pStyle w:val="Normlndobloku"/>
      </w:pPr>
      <w:r>
        <w:t>02/2019</w:t>
      </w:r>
    </w:p>
    <w:sectPr w:rsidR="00D16EA1" w:rsidRPr="007C1581" w:rsidSect="007B0036">
      <w:headerReference w:type="default" r:id="rId9"/>
      <w:footerReference w:type="default" r:id="rId10"/>
      <w:headerReference w:type="first" r:id="rId11"/>
      <w:footerReference w:type="first" r:id="rId12"/>
      <w:pgSz w:w="11907" w:h="16840" w:code="9"/>
      <w:pgMar w:top="1417" w:right="1417" w:bottom="1417" w:left="1417" w:header="709" w:footer="709" w:gutter="0"/>
      <w:cols w:space="708"/>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318EA0" w16cid:durableId="200FB7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2F4B2" w14:textId="77777777" w:rsidR="006E70F2" w:rsidRDefault="006E70F2">
      <w:r>
        <w:separator/>
      </w:r>
    </w:p>
  </w:endnote>
  <w:endnote w:type="continuationSeparator" w:id="0">
    <w:p w14:paraId="03E3308F" w14:textId="77777777" w:rsidR="006E70F2" w:rsidRDefault="006E70F2">
      <w:r>
        <w:continuationSeparator/>
      </w:r>
    </w:p>
  </w:endnote>
  <w:endnote w:type="continuationNotice" w:id="1">
    <w:p w14:paraId="1D346B8D" w14:textId="77777777" w:rsidR="006E70F2" w:rsidRDefault="006E7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024289"/>
      <w:docPartObj>
        <w:docPartGallery w:val="Page Numbers (Bottom of Page)"/>
        <w:docPartUnique/>
      </w:docPartObj>
    </w:sdtPr>
    <w:sdtEndPr/>
    <w:sdtContent>
      <w:p w14:paraId="549DE05B" w14:textId="77777777" w:rsidR="004E12A9" w:rsidRDefault="004E12A9">
        <w:pPr>
          <w:pStyle w:val="Pta"/>
          <w:jc w:val="center"/>
        </w:pPr>
        <w:r>
          <w:fldChar w:fldCharType="begin"/>
        </w:r>
        <w:r>
          <w:instrText>PAGE   \* MERGEFORMAT</w:instrText>
        </w:r>
        <w:r>
          <w:fldChar w:fldCharType="separate"/>
        </w:r>
        <w:r w:rsidR="007B0036" w:rsidRPr="007B0036">
          <w:rPr>
            <w:noProof/>
            <w:lang w:val="sk-SK"/>
          </w:rPr>
          <w:t>4</w:t>
        </w:r>
        <w:r>
          <w:fldChar w:fldCharType="end"/>
        </w:r>
      </w:p>
    </w:sdtContent>
  </w:sdt>
  <w:p w14:paraId="47B4DBB3" w14:textId="77777777" w:rsidR="002E0B42" w:rsidRPr="00D94934" w:rsidRDefault="002E0B42">
    <w:pPr>
      <w:pStyle w:val="Pta"/>
      <w:jc w:val="center"/>
      <w:rPr>
        <w:sz w:val="22"/>
        <w:szCs w:val="22"/>
        <w:lang w:val="sk-SK"/>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C5EA8" w14:textId="77777777" w:rsidR="002E0B42" w:rsidRPr="008D12E7" w:rsidRDefault="002E0B42" w:rsidP="00E72B25">
    <w:pPr>
      <w:pStyle w:val="Pta"/>
      <w:jc w:val="center"/>
      <w:rPr>
        <w:sz w:val="22"/>
        <w:szCs w:val="22"/>
      </w:rPr>
    </w:pPr>
    <w:r w:rsidRPr="007C1581">
      <w:rPr>
        <w:rStyle w:val="slostrany"/>
        <w:sz w:val="18"/>
        <w:szCs w:val="22"/>
      </w:rPr>
      <w:fldChar w:fldCharType="begin"/>
    </w:r>
    <w:r w:rsidRPr="007C1581">
      <w:rPr>
        <w:rStyle w:val="slostrany"/>
        <w:sz w:val="18"/>
        <w:szCs w:val="22"/>
      </w:rPr>
      <w:instrText xml:space="preserve"> PAGE </w:instrText>
    </w:r>
    <w:r w:rsidRPr="007C1581">
      <w:rPr>
        <w:rStyle w:val="slostrany"/>
        <w:sz w:val="18"/>
        <w:szCs w:val="22"/>
      </w:rPr>
      <w:fldChar w:fldCharType="separate"/>
    </w:r>
    <w:r w:rsidR="00485A65">
      <w:rPr>
        <w:rStyle w:val="slostrany"/>
        <w:noProof/>
        <w:sz w:val="18"/>
        <w:szCs w:val="22"/>
      </w:rPr>
      <w:t>1</w:t>
    </w:r>
    <w:r w:rsidRPr="007C1581">
      <w:rPr>
        <w:rStyle w:val="slostrany"/>
        <w:sz w:val="18"/>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506E2" w14:textId="77777777" w:rsidR="006E70F2" w:rsidRDefault="006E70F2">
      <w:r>
        <w:separator/>
      </w:r>
    </w:p>
  </w:footnote>
  <w:footnote w:type="continuationSeparator" w:id="0">
    <w:p w14:paraId="5D6EC0D0" w14:textId="77777777" w:rsidR="006E70F2" w:rsidRDefault="006E70F2">
      <w:r>
        <w:continuationSeparator/>
      </w:r>
    </w:p>
  </w:footnote>
  <w:footnote w:type="continuationNotice" w:id="1">
    <w:p w14:paraId="62E30E35" w14:textId="77777777" w:rsidR="006E70F2" w:rsidRDefault="006E70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B8745" w14:textId="77777777" w:rsidR="004E12A9" w:rsidRPr="00F8070A" w:rsidRDefault="004E12A9" w:rsidP="004E12A9">
    <w:pPr>
      <w:pStyle w:val="Hlavika"/>
      <w:rPr>
        <w:lang w:val="pt-PT"/>
      </w:rPr>
    </w:pPr>
    <w:r>
      <w:rPr>
        <w:sz w:val="18"/>
        <w:szCs w:val="16"/>
        <w:lang w:val="pt-PT"/>
      </w:rPr>
      <w:t>Príloha č. 1 k notifikácii o zmene, ev. č.: 2018/01930-Z1A</w:t>
    </w:r>
  </w:p>
  <w:p w14:paraId="43461ADF" w14:textId="77777777" w:rsidR="003041E2" w:rsidRPr="00D94934" w:rsidRDefault="003041E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638DA" w14:textId="48BD191D" w:rsidR="002E0B42" w:rsidRPr="00F8070A" w:rsidRDefault="002E0B42">
    <w:pPr>
      <w:pStyle w:val="Hlavika"/>
      <w:rPr>
        <w:lang w:val="pt-PT"/>
      </w:rPr>
    </w:pPr>
    <w:r>
      <w:rPr>
        <w:sz w:val="18"/>
        <w:szCs w:val="16"/>
        <w:lang w:val="pt-PT"/>
      </w:rPr>
      <w:t xml:space="preserve">Príloha č. 1 k notifikácii o zmene, ev. č.: </w:t>
    </w:r>
    <w:r w:rsidR="004E12A9">
      <w:rPr>
        <w:sz w:val="18"/>
        <w:szCs w:val="16"/>
        <w:lang w:val="pt-PT"/>
      </w:rPr>
      <w:t>2018/01930-Z1A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DE40B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E69D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C40E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0E97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A6F5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74F4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9C38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D868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E49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D8DB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B44DD"/>
    <w:multiLevelType w:val="multilevel"/>
    <w:tmpl w:val="1E5CFBC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57D006A"/>
    <w:multiLevelType w:val="singleLevel"/>
    <w:tmpl w:val="0E540EAE"/>
    <w:lvl w:ilvl="0">
      <w:start w:val="1"/>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777022"/>
    <w:multiLevelType w:val="hybridMultilevel"/>
    <w:tmpl w:val="7FDA545E"/>
    <w:lvl w:ilvl="0" w:tplc="0680B9FC">
      <w:start w:val="8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4D5684"/>
    <w:multiLevelType w:val="hybridMultilevel"/>
    <w:tmpl w:val="CE4A8E08"/>
    <w:lvl w:ilvl="0" w:tplc="EAA08536">
      <w:start w:val="8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96B1817"/>
    <w:multiLevelType w:val="singleLevel"/>
    <w:tmpl w:val="B3764E70"/>
    <w:lvl w:ilvl="0">
      <w:start w:val="1"/>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33BC7113"/>
    <w:multiLevelType w:val="singleLevel"/>
    <w:tmpl w:val="79A67A52"/>
    <w:lvl w:ilvl="0">
      <w:start w:val="1"/>
      <w:numFmt w:val="decimal"/>
      <w:lvlText w:val="6.%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33FE447E"/>
    <w:multiLevelType w:val="hybridMultilevel"/>
    <w:tmpl w:val="A5C890F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8DA1B39"/>
    <w:multiLevelType w:val="singleLevel"/>
    <w:tmpl w:val="102A8B88"/>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15:restartNumberingAfterBreak="0">
    <w:nsid w:val="5224082E"/>
    <w:multiLevelType w:val="singleLevel"/>
    <w:tmpl w:val="E64CA2A0"/>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15:restartNumberingAfterBreak="0">
    <w:nsid w:val="5AF10EE3"/>
    <w:multiLevelType w:val="multilevel"/>
    <w:tmpl w:val="862CE42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 w15:restartNumberingAfterBreak="0">
    <w:nsid w:val="6AAD4AA7"/>
    <w:multiLevelType w:val="multilevel"/>
    <w:tmpl w:val="0A688B52"/>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2491BC7"/>
    <w:multiLevelType w:val="singleLevel"/>
    <w:tmpl w:val="CBBCAA50"/>
    <w:lvl w:ilvl="0">
      <w:start w:val="750"/>
      <w:numFmt w:val="decimal"/>
      <w:lvlText w:val="%1"/>
      <w:lvlJc w:val="left"/>
      <w:pPr>
        <w:tabs>
          <w:tab w:val="num" w:pos="4080"/>
        </w:tabs>
        <w:ind w:left="4080" w:hanging="480"/>
      </w:pPr>
      <w:rPr>
        <w:rFonts w:hint="default"/>
      </w:rPr>
    </w:lvl>
  </w:abstractNum>
  <w:abstractNum w:abstractNumId="23" w15:restartNumberingAfterBreak="0">
    <w:nsid w:val="75CF5128"/>
    <w:multiLevelType w:val="hybridMultilevel"/>
    <w:tmpl w:val="29FC1BA4"/>
    <w:lvl w:ilvl="0" w:tplc="D592BD00">
      <w:start w:val="1"/>
      <w:numFmt w:val="decimal"/>
      <w:lvlText w:val="%1."/>
      <w:lvlJc w:val="left"/>
      <w:pPr>
        <w:tabs>
          <w:tab w:val="num" w:pos="720"/>
        </w:tabs>
        <w:ind w:left="720" w:hanging="360"/>
      </w:pPr>
      <w:rPr>
        <w:rFonts w:hint="default"/>
      </w:rPr>
    </w:lvl>
    <w:lvl w:ilvl="1" w:tplc="1B0AB226">
      <w:numFmt w:val="none"/>
      <w:lvlText w:val=""/>
      <w:lvlJc w:val="left"/>
      <w:pPr>
        <w:tabs>
          <w:tab w:val="num" w:pos="360"/>
        </w:tabs>
      </w:pPr>
    </w:lvl>
    <w:lvl w:ilvl="2" w:tplc="056077C0">
      <w:numFmt w:val="none"/>
      <w:lvlText w:val=""/>
      <w:lvlJc w:val="left"/>
      <w:pPr>
        <w:tabs>
          <w:tab w:val="num" w:pos="360"/>
        </w:tabs>
      </w:pPr>
    </w:lvl>
    <w:lvl w:ilvl="3" w:tplc="64489090">
      <w:numFmt w:val="none"/>
      <w:lvlText w:val=""/>
      <w:lvlJc w:val="left"/>
      <w:pPr>
        <w:tabs>
          <w:tab w:val="num" w:pos="360"/>
        </w:tabs>
      </w:pPr>
    </w:lvl>
    <w:lvl w:ilvl="4" w:tplc="6204934E">
      <w:numFmt w:val="none"/>
      <w:lvlText w:val=""/>
      <w:lvlJc w:val="left"/>
      <w:pPr>
        <w:tabs>
          <w:tab w:val="num" w:pos="360"/>
        </w:tabs>
      </w:pPr>
    </w:lvl>
    <w:lvl w:ilvl="5" w:tplc="9E1AE784">
      <w:numFmt w:val="none"/>
      <w:lvlText w:val=""/>
      <w:lvlJc w:val="left"/>
      <w:pPr>
        <w:tabs>
          <w:tab w:val="num" w:pos="360"/>
        </w:tabs>
      </w:pPr>
    </w:lvl>
    <w:lvl w:ilvl="6" w:tplc="4C328554">
      <w:numFmt w:val="none"/>
      <w:lvlText w:val=""/>
      <w:lvlJc w:val="left"/>
      <w:pPr>
        <w:tabs>
          <w:tab w:val="num" w:pos="360"/>
        </w:tabs>
      </w:pPr>
    </w:lvl>
    <w:lvl w:ilvl="7" w:tplc="76ECC992">
      <w:numFmt w:val="none"/>
      <w:lvlText w:val=""/>
      <w:lvlJc w:val="left"/>
      <w:pPr>
        <w:tabs>
          <w:tab w:val="num" w:pos="360"/>
        </w:tabs>
      </w:pPr>
    </w:lvl>
    <w:lvl w:ilvl="8" w:tplc="621437DC">
      <w:numFmt w:val="none"/>
      <w:lvlText w:val=""/>
      <w:lvlJc w:val="left"/>
      <w:pPr>
        <w:tabs>
          <w:tab w:val="num" w:pos="360"/>
        </w:tabs>
      </w:pPr>
    </w:lvl>
  </w:abstractNum>
  <w:abstractNum w:abstractNumId="24" w15:restartNumberingAfterBreak="0">
    <w:nsid w:val="7D923103"/>
    <w:multiLevelType w:val="singleLevel"/>
    <w:tmpl w:val="F4EE0B7E"/>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E55478D"/>
    <w:multiLevelType w:val="singleLevel"/>
    <w:tmpl w:val="70061E0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20"/>
  </w:num>
  <w:num w:numId="2">
    <w:abstractNumId w:val="25"/>
  </w:num>
  <w:num w:numId="3">
    <w:abstractNumId w:val="11"/>
  </w:num>
  <w:num w:numId="4">
    <w:abstractNumId w:val="19"/>
  </w:num>
  <w:num w:numId="5">
    <w:abstractNumId w:val="15"/>
  </w:num>
  <w:num w:numId="6">
    <w:abstractNumId w:val="18"/>
  </w:num>
  <w:num w:numId="7">
    <w:abstractNumId w:val="16"/>
  </w:num>
  <w:num w:numId="8">
    <w:abstractNumId w:val="24"/>
  </w:num>
  <w:num w:numId="9">
    <w:abstractNumId w:val="24"/>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0">
    <w:abstractNumId w:val="22"/>
  </w:num>
  <w:num w:numId="11">
    <w:abstractNumId w:val="10"/>
  </w:num>
  <w:num w:numId="12">
    <w:abstractNumId w:val="23"/>
  </w:num>
  <w:num w:numId="13">
    <w:abstractNumId w:val="21"/>
  </w:num>
  <w:num w:numId="14">
    <w:abstractNumId w:val="21"/>
  </w:num>
  <w:num w:numId="15">
    <w:abstractNumId w:val="21"/>
  </w:num>
  <w:num w:numId="16">
    <w:abstractNumId w:val="21"/>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2"/>
  </w:num>
  <w:num w:numId="28">
    <w:abstractNumId w:val="14"/>
  </w:num>
  <w:num w:numId="29">
    <w:abstractNumId w:val="13"/>
  </w:num>
  <w:num w:numId="30">
    <w:abstractNumId w:val="17"/>
  </w:num>
  <w:num w:numId="31">
    <w:abstractNumId w:val="12"/>
  </w:num>
  <w:num w:numId="32">
    <w:abstractNumId w:val="1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BD"/>
    <w:rsid w:val="00003AC2"/>
    <w:rsid w:val="00010DD9"/>
    <w:rsid w:val="000145FD"/>
    <w:rsid w:val="00021F6F"/>
    <w:rsid w:val="000314D6"/>
    <w:rsid w:val="00031EB6"/>
    <w:rsid w:val="00037381"/>
    <w:rsid w:val="00047E06"/>
    <w:rsid w:val="00051605"/>
    <w:rsid w:val="00062293"/>
    <w:rsid w:val="000663B0"/>
    <w:rsid w:val="00066F20"/>
    <w:rsid w:val="000A166A"/>
    <w:rsid w:val="000C6488"/>
    <w:rsid w:val="000D0674"/>
    <w:rsid w:val="000D0DA7"/>
    <w:rsid w:val="000D4508"/>
    <w:rsid w:val="000D7A09"/>
    <w:rsid w:val="000E282E"/>
    <w:rsid w:val="000E3957"/>
    <w:rsid w:val="000E3C2C"/>
    <w:rsid w:val="00102027"/>
    <w:rsid w:val="001269B7"/>
    <w:rsid w:val="00146CAA"/>
    <w:rsid w:val="001559B2"/>
    <w:rsid w:val="001613B5"/>
    <w:rsid w:val="00174B77"/>
    <w:rsid w:val="001766F2"/>
    <w:rsid w:val="0018392F"/>
    <w:rsid w:val="00191B25"/>
    <w:rsid w:val="0019289A"/>
    <w:rsid w:val="001A0447"/>
    <w:rsid w:val="001A2180"/>
    <w:rsid w:val="001D2AA9"/>
    <w:rsid w:val="001D540B"/>
    <w:rsid w:val="001F5C6A"/>
    <w:rsid w:val="0020083A"/>
    <w:rsid w:val="00202DF8"/>
    <w:rsid w:val="0022230F"/>
    <w:rsid w:val="00226020"/>
    <w:rsid w:val="00231DA3"/>
    <w:rsid w:val="00280EA6"/>
    <w:rsid w:val="002955F8"/>
    <w:rsid w:val="0029716A"/>
    <w:rsid w:val="002B1E1E"/>
    <w:rsid w:val="002B53FC"/>
    <w:rsid w:val="002C6A3E"/>
    <w:rsid w:val="002C6B74"/>
    <w:rsid w:val="002D3DED"/>
    <w:rsid w:val="002D75E1"/>
    <w:rsid w:val="002E0B42"/>
    <w:rsid w:val="002E4375"/>
    <w:rsid w:val="003041E2"/>
    <w:rsid w:val="00306865"/>
    <w:rsid w:val="00310ACD"/>
    <w:rsid w:val="00320618"/>
    <w:rsid w:val="00325FD3"/>
    <w:rsid w:val="0032714E"/>
    <w:rsid w:val="00331301"/>
    <w:rsid w:val="00333D9E"/>
    <w:rsid w:val="003375DF"/>
    <w:rsid w:val="00345ABC"/>
    <w:rsid w:val="0035164E"/>
    <w:rsid w:val="0035550F"/>
    <w:rsid w:val="00364EE1"/>
    <w:rsid w:val="00367BEC"/>
    <w:rsid w:val="0037367B"/>
    <w:rsid w:val="0038574E"/>
    <w:rsid w:val="003A2A6F"/>
    <w:rsid w:val="003A6248"/>
    <w:rsid w:val="003C2A1D"/>
    <w:rsid w:val="003C3470"/>
    <w:rsid w:val="003F030B"/>
    <w:rsid w:val="00403E7B"/>
    <w:rsid w:val="00405263"/>
    <w:rsid w:val="00420D55"/>
    <w:rsid w:val="0042574B"/>
    <w:rsid w:val="00430DA7"/>
    <w:rsid w:val="004335E2"/>
    <w:rsid w:val="00445774"/>
    <w:rsid w:val="00467F76"/>
    <w:rsid w:val="00473E01"/>
    <w:rsid w:val="00485A65"/>
    <w:rsid w:val="004938B2"/>
    <w:rsid w:val="004953DB"/>
    <w:rsid w:val="00495506"/>
    <w:rsid w:val="004A4936"/>
    <w:rsid w:val="004B71EE"/>
    <w:rsid w:val="004D22A1"/>
    <w:rsid w:val="004D299B"/>
    <w:rsid w:val="004D3A60"/>
    <w:rsid w:val="004D4509"/>
    <w:rsid w:val="004D560B"/>
    <w:rsid w:val="004E12A9"/>
    <w:rsid w:val="004E2362"/>
    <w:rsid w:val="004E3867"/>
    <w:rsid w:val="004E3F45"/>
    <w:rsid w:val="004E4BE6"/>
    <w:rsid w:val="004E4F6A"/>
    <w:rsid w:val="0051666D"/>
    <w:rsid w:val="005327D0"/>
    <w:rsid w:val="00552BCA"/>
    <w:rsid w:val="005545A1"/>
    <w:rsid w:val="005647F1"/>
    <w:rsid w:val="0058344D"/>
    <w:rsid w:val="00587216"/>
    <w:rsid w:val="005872D7"/>
    <w:rsid w:val="005B2701"/>
    <w:rsid w:val="005D0D77"/>
    <w:rsid w:val="005D13EB"/>
    <w:rsid w:val="005D142A"/>
    <w:rsid w:val="005E6B89"/>
    <w:rsid w:val="006016B8"/>
    <w:rsid w:val="00610DF2"/>
    <w:rsid w:val="00615A93"/>
    <w:rsid w:val="00616923"/>
    <w:rsid w:val="00627D44"/>
    <w:rsid w:val="00630418"/>
    <w:rsid w:val="00643C46"/>
    <w:rsid w:val="006656E4"/>
    <w:rsid w:val="006671CF"/>
    <w:rsid w:val="00671BC2"/>
    <w:rsid w:val="0067331C"/>
    <w:rsid w:val="0067569F"/>
    <w:rsid w:val="00683101"/>
    <w:rsid w:val="006B1E90"/>
    <w:rsid w:val="006B7327"/>
    <w:rsid w:val="006C086F"/>
    <w:rsid w:val="006C3C47"/>
    <w:rsid w:val="006D0478"/>
    <w:rsid w:val="006D13FA"/>
    <w:rsid w:val="006D2B94"/>
    <w:rsid w:val="006D4F14"/>
    <w:rsid w:val="006E1C24"/>
    <w:rsid w:val="006E39CC"/>
    <w:rsid w:val="006E70F2"/>
    <w:rsid w:val="006F071D"/>
    <w:rsid w:val="006F3473"/>
    <w:rsid w:val="006F5ADE"/>
    <w:rsid w:val="0071569C"/>
    <w:rsid w:val="00717B44"/>
    <w:rsid w:val="0072110B"/>
    <w:rsid w:val="0072337F"/>
    <w:rsid w:val="00747180"/>
    <w:rsid w:val="007479CA"/>
    <w:rsid w:val="0075347C"/>
    <w:rsid w:val="007911F5"/>
    <w:rsid w:val="0079744D"/>
    <w:rsid w:val="007B0036"/>
    <w:rsid w:val="007C1581"/>
    <w:rsid w:val="007C5DFC"/>
    <w:rsid w:val="007C6EC4"/>
    <w:rsid w:val="007D5992"/>
    <w:rsid w:val="007F3215"/>
    <w:rsid w:val="008016B7"/>
    <w:rsid w:val="00810AD8"/>
    <w:rsid w:val="00820288"/>
    <w:rsid w:val="00821857"/>
    <w:rsid w:val="00842739"/>
    <w:rsid w:val="0085075C"/>
    <w:rsid w:val="00864B81"/>
    <w:rsid w:val="008656AB"/>
    <w:rsid w:val="00880E16"/>
    <w:rsid w:val="00885EF8"/>
    <w:rsid w:val="00893A83"/>
    <w:rsid w:val="008A5B10"/>
    <w:rsid w:val="008D12E7"/>
    <w:rsid w:val="008D461B"/>
    <w:rsid w:val="008E0413"/>
    <w:rsid w:val="008E0BBE"/>
    <w:rsid w:val="008E41E3"/>
    <w:rsid w:val="008E72DD"/>
    <w:rsid w:val="00924C17"/>
    <w:rsid w:val="009272CD"/>
    <w:rsid w:val="00943182"/>
    <w:rsid w:val="00943AB6"/>
    <w:rsid w:val="00990730"/>
    <w:rsid w:val="00994936"/>
    <w:rsid w:val="009E1835"/>
    <w:rsid w:val="009E42B1"/>
    <w:rsid w:val="009F0BE1"/>
    <w:rsid w:val="009F2FCD"/>
    <w:rsid w:val="009F42D4"/>
    <w:rsid w:val="00A07F9A"/>
    <w:rsid w:val="00A102F7"/>
    <w:rsid w:val="00A11B67"/>
    <w:rsid w:val="00A20CE4"/>
    <w:rsid w:val="00A26230"/>
    <w:rsid w:val="00A55396"/>
    <w:rsid w:val="00A72624"/>
    <w:rsid w:val="00AB30AB"/>
    <w:rsid w:val="00AC34AC"/>
    <w:rsid w:val="00AD1B28"/>
    <w:rsid w:val="00B04C3E"/>
    <w:rsid w:val="00B04FDF"/>
    <w:rsid w:val="00B1284D"/>
    <w:rsid w:val="00B12B10"/>
    <w:rsid w:val="00B272D0"/>
    <w:rsid w:val="00B308D2"/>
    <w:rsid w:val="00B462D7"/>
    <w:rsid w:val="00B5385A"/>
    <w:rsid w:val="00B668B7"/>
    <w:rsid w:val="00B735EE"/>
    <w:rsid w:val="00B7403F"/>
    <w:rsid w:val="00B7573D"/>
    <w:rsid w:val="00B75994"/>
    <w:rsid w:val="00B82B89"/>
    <w:rsid w:val="00B85172"/>
    <w:rsid w:val="00B86AA9"/>
    <w:rsid w:val="00B95CF2"/>
    <w:rsid w:val="00B96938"/>
    <w:rsid w:val="00BA3961"/>
    <w:rsid w:val="00BE3BAD"/>
    <w:rsid w:val="00BE6088"/>
    <w:rsid w:val="00BE77C8"/>
    <w:rsid w:val="00BF4354"/>
    <w:rsid w:val="00C06744"/>
    <w:rsid w:val="00C27623"/>
    <w:rsid w:val="00C603FD"/>
    <w:rsid w:val="00C813FE"/>
    <w:rsid w:val="00C91556"/>
    <w:rsid w:val="00CA6460"/>
    <w:rsid w:val="00CB4763"/>
    <w:rsid w:val="00CC0977"/>
    <w:rsid w:val="00CC5F44"/>
    <w:rsid w:val="00CD6726"/>
    <w:rsid w:val="00CD698D"/>
    <w:rsid w:val="00CE3ECD"/>
    <w:rsid w:val="00CF2FB0"/>
    <w:rsid w:val="00D012CC"/>
    <w:rsid w:val="00D029DE"/>
    <w:rsid w:val="00D10211"/>
    <w:rsid w:val="00D16EA1"/>
    <w:rsid w:val="00D45DFA"/>
    <w:rsid w:val="00D51B2F"/>
    <w:rsid w:val="00D73237"/>
    <w:rsid w:val="00D849B2"/>
    <w:rsid w:val="00D86CDB"/>
    <w:rsid w:val="00D94934"/>
    <w:rsid w:val="00DB2399"/>
    <w:rsid w:val="00DC25A2"/>
    <w:rsid w:val="00DC56E4"/>
    <w:rsid w:val="00DE4E94"/>
    <w:rsid w:val="00DF1756"/>
    <w:rsid w:val="00E00C41"/>
    <w:rsid w:val="00E01910"/>
    <w:rsid w:val="00E01982"/>
    <w:rsid w:val="00E04771"/>
    <w:rsid w:val="00E0494B"/>
    <w:rsid w:val="00E05EC8"/>
    <w:rsid w:val="00E15A3C"/>
    <w:rsid w:val="00E21902"/>
    <w:rsid w:val="00E32C65"/>
    <w:rsid w:val="00E35DFF"/>
    <w:rsid w:val="00E46E4D"/>
    <w:rsid w:val="00E5098C"/>
    <w:rsid w:val="00E50ADC"/>
    <w:rsid w:val="00E72B25"/>
    <w:rsid w:val="00E76947"/>
    <w:rsid w:val="00E83747"/>
    <w:rsid w:val="00E8490E"/>
    <w:rsid w:val="00E90464"/>
    <w:rsid w:val="00E90DBD"/>
    <w:rsid w:val="00E96113"/>
    <w:rsid w:val="00E97F8B"/>
    <w:rsid w:val="00EA5FB2"/>
    <w:rsid w:val="00EC2F73"/>
    <w:rsid w:val="00EC6CC1"/>
    <w:rsid w:val="00EE2E8C"/>
    <w:rsid w:val="00EE6CF7"/>
    <w:rsid w:val="00EE77A0"/>
    <w:rsid w:val="00F04CA8"/>
    <w:rsid w:val="00F05A75"/>
    <w:rsid w:val="00F3238E"/>
    <w:rsid w:val="00F44CA2"/>
    <w:rsid w:val="00F56643"/>
    <w:rsid w:val="00F61AEE"/>
    <w:rsid w:val="00F642CC"/>
    <w:rsid w:val="00F70189"/>
    <w:rsid w:val="00F8070A"/>
    <w:rsid w:val="00F8196D"/>
    <w:rsid w:val="00F850BA"/>
    <w:rsid w:val="00F87B62"/>
    <w:rsid w:val="00FA3FE6"/>
    <w:rsid w:val="00FA728E"/>
    <w:rsid w:val="00FD2E78"/>
    <w:rsid w:val="00FD4C84"/>
    <w:rsid w:val="00FF77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CCC86"/>
  <w15:chartTrackingRefBased/>
  <w15:docId w15:val="{356A1988-D28D-49AA-8DEC-A043B47C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E0B42"/>
    <w:rPr>
      <w:lang w:val="en-US"/>
    </w:rPr>
  </w:style>
  <w:style w:type="paragraph" w:styleId="Nadpis1">
    <w:name w:val="heading 1"/>
    <w:basedOn w:val="Normlny"/>
    <w:next w:val="Normlny"/>
    <w:qFormat/>
    <w:pPr>
      <w:keepNext/>
      <w:outlineLvl w:val="0"/>
    </w:pPr>
    <w:rPr>
      <w:b/>
      <w:sz w:val="24"/>
    </w:rPr>
  </w:style>
  <w:style w:type="paragraph" w:styleId="Nadpis2">
    <w:name w:val="heading 2"/>
    <w:basedOn w:val="Normlny"/>
    <w:next w:val="Normlny"/>
    <w:qFormat/>
    <w:pPr>
      <w:keepNext/>
      <w:outlineLvl w:val="1"/>
    </w:pPr>
    <w:rPr>
      <w:i/>
      <w:sz w:val="24"/>
    </w:rPr>
  </w:style>
  <w:style w:type="paragraph" w:styleId="Nadpis3">
    <w:name w:val="heading 3"/>
    <w:basedOn w:val="Normlny"/>
    <w:next w:val="Normlny"/>
    <w:qFormat/>
    <w:pPr>
      <w:keepNext/>
      <w:jc w:val="right"/>
      <w:outlineLvl w:val="2"/>
    </w:pPr>
    <w:rPr>
      <w:i/>
      <w:sz w:val="24"/>
    </w:rPr>
  </w:style>
  <w:style w:type="paragraph" w:styleId="Nadpis4">
    <w:name w:val="heading 4"/>
    <w:basedOn w:val="Normlny"/>
    <w:next w:val="Normlny"/>
    <w:qFormat/>
    <w:pPr>
      <w:keepNext/>
      <w:jc w:val="right"/>
      <w:outlineLvl w:val="3"/>
    </w:pPr>
    <w:rPr>
      <w:sz w:val="24"/>
    </w:rPr>
  </w:style>
  <w:style w:type="paragraph" w:styleId="Nadpis5">
    <w:name w:val="heading 5"/>
    <w:basedOn w:val="Normlny"/>
    <w:next w:val="Normlny"/>
    <w:qFormat/>
    <w:pPr>
      <w:keepNext/>
      <w:outlineLvl w:val="4"/>
    </w:pPr>
    <w:rPr>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Pr>
      <w:sz w:val="24"/>
    </w:rPr>
  </w:style>
  <w:style w:type="paragraph" w:styleId="Zkladntext2">
    <w:name w:val="Body Text 2"/>
    <w:basedOn w:val="Normlny"/>
    <w:rPr>
      <w:i/>
      <w:sz w:val="24"/>
    </w:rPr>
  </w:style>
  <w:style w:type="paragraph" w:styleId="Zkladntext3">
    <w:name w:val="Body Text 3"/>
    <w:basedOn w:val="Normlny"/>
    <w:pPr>
      <w:jc w:val="both"/>
    </w:pPr>
    <w:rPr>
      <w:sz w:val="24"/>
    </w:rPr>
  </w:style>
  <w:style w:type="paragraph" w:styleId="Hlavika">
    <w:name w:val="header"/>
    <w:basedOn w:val="Normlny"/>
    <w:link w:val="HlavikaChar"/>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Textbubliny">
    <w:name w:val="Balloon Text"/>
    <w:basedOn w:val="Normlny"/>
    <w:semiHidden/>
    <w:rsid w:val="00E90DBD"/>
    <w:rPr>
      <w:rFonts w:ascii="Tahoma" w:hAnsi="Tahoma" w:cs="Tahoma"/>
      <w:sz w:val="16"/>
      <w:szCs w:val="16"/>
    </w:rPr>
  </w:style>
  <w:style w:type="paragraph" w:customStyle="1" w:styleId="Styl1">
    <w:name w:val="Styl1"/>
    <w:basedOn w:val="Normlny"/>
    <w:autoRedefine/>
    <w:rsid w:val="000145FD"/>
    <w:pPr>
      <w:keepNext/>
      <w:numPr>
        <w:numId w:val="16"/>
      </w:numPr>
      <w:ind w:left="357" w:hanging="357"/>
    </w:pPr>
    <w:rPr>
      <w:b/>
      <w:bCs/>
      <w:caps/>
      <w:sz w:val="22"/>
      <w:szCs w:val="24"/>
      <w:lang w:val="sk-SK" w:eastAsia="en-US"/>
    </w:rPr>
  </w:style>
  <w:style w:type="paragraph" w:customStyle="1" w:styleId="Styl2">
    <w:name w:val="Styl2"/>
    <w:basedOn w:val="Normlny"/>
    <w:autoRedefine/>
    <w:rsid w:val="00D16EA1"/>
    <w:pPr>
      <w:keepNext/>
      <w:numPr>
        <w:ilvl w:val="1"/>
        <w:numId w:val="16"/>
      </w:numPr>
      <w:tabs>
        <w:tab w:val="clear" w:pos="720"/>
        <w:tab w:val="num" w:pos="567"/>
      </w:tabs>
      <w:ind w:left="0" w:firstLine="0"/>
    </w:pPr>
    <w:rPr>
      <w:b/>
      <w:bCs/>
      <w:sz w:val="22"/>
      <w:szCs w:val="22"/>
      <w:lang w:val="sk-SK" w:eastAsia="en-US"/>
    </w:rPr>
  </w:style>
  <w:style w:type="paragraph" w:customStyle="1" w:styleId="Styl3">
    <w:name w:val="Styl3"/>
    <w:basedOn w:val="Normlndobloku"/>
    <w:link w:val="Styl3Char"/>
    <w:autoRedefine/>
    <w:rsid w:val="00DB2399"/>
    <w:pPr>
      <w:tabs>
        <w:tab w:val="left" w:pos="6946"/>
      </w:tabs>
      <w:jc w:val="left"/>
    </w:pPr>
    <w:rPr>
      <w:szCs w:val="24"/>
      <w:u w:val="single"/>
      <w:lang w:eastAsia="cs-CZ"/>
    </w:rPr>
  </w:style>
  <w:style w:type="paragraph" w:customStyle="1" w:styleId="Normlndobloku">
    <w:name w:val="Normální do bloku"/>
    <w:basedOn w:val="Normlny"/>
    <w:link w:val="NormlndoblokuChar"/>
    <w:autoRedefine/>
    <w:rsid w:val="0071569C"/>
    <w:pPr>
      <w:jc w:val="both"/>
    </w:pPr>
    <w:rPr>
      <w:sz w:val="22"/>
      <w:szCs w:val="22"/>
      <w:lang w:val="sk-SK" w:eastAsia="en-US"/>
    </w:rPr>
  </w:style>
  <w:style w:type="paragraph" w:customStyle="1" w:styleId="SPCaPILhlavika">
    <w:name w:val="SPC a PIL hlavička"/>
    <w:basedOn w:val="Normlny"/>
    <w:autoRedefine/>
    <w:qFormat/>
    <w:rsid w:val="008A5B10"/>
    <w:pPr>
      <w:spacing w:before="240" w:after="120"/>
      <w:jc w:val="center"/>
    </w:pPr>
    <w:rPr>
      <w:b/>
      <w:sz w:val="22"/>
      <w:lang w:val="cs-CZ" w:eastAsia="en-US"/>
    </w:rPr>
  </w:style>
  <w:style w:type="character" w:customStyle="1" w:styleId="ZkladntextChar">
    <w:name w:val="Základný text Char"/>
    <w:link w:val="Zkladntext"/>
    <w:rsid w:val="006F5ADE"/>
    <w:rPr>
      <w:sz w:val="24"/>
      <w:lang w:val="en-US" w:eastAsia="sk-SK"/>
    </w:rPr>
  </w:style>
  <w:style w:type="character" w:customStyle="1" w:styleId="Bacil">
    <w:name w:val="Bacil"/>
    <w:qFormat/>
    <w:rsid w:val="00FD2E78"/>
    <w:rPr>
      <w:i/>
    </w:rPr>
  </w:style>
  <w:style w:type="paragraph" w:customStyle="1" w:styleId="Normlndoblokusodrkami">
    <w:name w:val="Normální do bloku s odrážkami"/>
    <w:basedOn w:val="Normlndobloku"/>
    <w:next w:val="Normlndobloku"/>
    <w:autoRedefine/>
    <w:qFormat/>
    <w:rsid w:val="00A55396"/>
    <w:pPr>
      <w:numPr>
        <w:numId w:val="27"/>
      </w:numPr>
      <w:suppressAutoHyphens/>
    </w:pPr>
    <w:rPr>
      <w:rFonts w:ascii="TimesNewRoman" w:eastAsia="Calibri" w:hAnsi="TimesNewRoman" w:cs="TimesNewRoman"/>
      <w:noProof/>
      <w:szCs w:val="24"/>
      <w:lang w:val="cs-CZ"/>
    </w:rPr>
  </w:style>
  <w:style w:type="character" w:customStyle="1" w:styleId="NormlndoblokuChar">
    <w:name w:val="Normální do bloku Char"/>
    <w:link w:val="Normlndobloku"/>
    <w:rsid w:val="0071569C"/>
    <w:rPr>
      <w:sz w:val="22"/>
      <w:szCs w:val="22"/>
      <w:lang w:eastAsia="en-US"/>
    </w:rPr>
  </w:style>
  <w:style w:type="character" w:customStyle="1" w:styleId="Styl3Char">
    <w:name w:val="Styl3 Char"/>
    <w:link w:val="Styl3"/>
    <w:rsid w:val="00DB2399"/>
    <w:rPr>
      <w:sz w:val="22"/>
      <w:szCs w:val="24"/>
      <w:u w:val="single"/>
      <w:lang w:val="sk-SK"/>
    </w:rPr>
  </w:style>
  <w:style w:type="character" w:customStyle="1" w:styleId="HlavikaChar">
    <w:name w:val="Hlavička Char"/>
    <w:link w:val="Hlavika"/>
    <w:rsid w:val="00B272D0"/>
    <w:rPr>
      <w:lang w:val="en-US" w:eastAsia="sk-SK"/>
    </w:rPr>
  </w:style>
  <w:style w:type="paragraph" w:customStyle="1" w:styleId="Nadpisuvnittabulky">
    <w:name w:val="Nadpis uvnitř tabulky"/>
    <w:basedOn w:val="Normlny"/>
    <w:autoRedefine/>
    <w:qFormat/>
    <w:rsid w:val="005B2701"/>
    <w:pPr>
      <w:suppressAutoHyphens/>
    </w:pPr>
    <w:rPr>
      <w:rFonts w:ascii="TimesNewRoman" w:eastAsia="Calibri" w:hAnsi="TimesNewRoman" w:cs="TimesNewRoman"/>
      <w:b/>
      <w:sz w:val="22"/>
      <w:lang w:val="sk-SK" w:eastAsia="en-US"/>
    </w:rPr>
  </w:style>
  <w:style w:type="paragraph" w:customStyle="1" w:styleId="Tabulkynormlndoblokuzarovnndoleva">
    <w:name w:val="Tabulky = normální do bloku + zarovnání doleva"/>
    <w:basedOn w:val="Normlndobloku"/>
    <w:autoRedefine/>
    <w:rsid w:val="00A55396"/>
    <w:pPr>
      <w:suppressAutoHyphens/>
      <w:jc w:val="left"/>
    </w:pPr>
    <w:rPr>
      <w:rFonts w:ascii="TimesNewRoman" w:eastAsia="Calibri" w:hAnsi="TimesNewRoman" w:cs="TimesNewRoman"/>
      <w:szCs w:val="20"/>
      <w:lang w:val="cs-CZ"/>
    </w:rPr>
  </w:style>
  <w:style w:type="character" w:styleId="Hypertextovprepojenie">
    <w:name w:val="Hyperlink"/>
    <w:unhideWhenUsed/>
    <w:rsid w:val="00994936"/>
    <w:rPr>
      <w:color w:val="0000FF"/>
      <w:u w:val="single"/>
    </w:rPr>
  </w:style>
  <w:style w:type="character" w:styleId="Odkaznakomentr">
    <w:name w:val="annotation reference"/>
    <w:rsid w:val="00D16EA1"/>
    <w:rPr>
      <w:sz w:val="16"/>
      <w:szCs w:val="16"/>
    </w:rPr>
  </w:style>
  <w:style w:type="paragraph" w:styleId="Textkomentra">
    <w:name w:val="annotation text"/>
    <w:basedOn w:val="Normlny"/>
    <w:link w:val="TextkomentraChar"/>
    <w:rsid w:val="00D16EA1"/>
  </w:style>
  <w:style w:type="character" w:customStyle="1" w:styleId="TextkomentraChar">
    <w:name w:val="Text komentára Char"/>
    <w:link w:val="Textkomentra"/>
    <w:rsid w:val="00D16EA1"/>
    <w:rPr>
      <w:lang w:val="en-US"/>
    </w:rPr>
  </w:style>
  <w:style w:type="paragraph" w:styleId="Predmetkomentra">
    <w:name w:val="annotation subject"/>
    <w:basedOn w:val="Textkomentra"/>
    <w:next w:val="Textkomentra"/>
    <w:link w:val="PredmetkomentraChar"/>
    <w:rsid w:val="00D16EA1"/>
    <w:rPr>
      <w:b/>
      <w:bCs/>
    </w:rPr>
  </w:style>
  <w:style w:type="character" w:customStyle="1" w:styleId="PredmetkomentraChar">
    <w:name w:val="Predmet komentára Char"/>
    <w:link w:val="Predmetkomentra"/>
    <w:rsid w:val="00D16EA1"/>
    <w:rPr>
      <w:b/>
      <w:bCs/>
      <w:lang w:val="en-US"/>
    </w:rPr>
  </w:style>
  <w:style w:type="paragraph" w:styleId="Revzia">
    <w:name w:val="Revision"/>
    <w:hidden/>
    <w:uiPriority w:val="99"/>
    <w:semiHidden/>
    <w:rsid w:val="00D16EA1"/>
    <w:rPr>
      <w:lang w:val="en-US"/>
    </w:rPr>
  </w:style>
  <w:style w:type="paragraph" w:customStyle="1" w:styleId="EMEAEnBodyText">
    <w:name w:val="EMEA En Body Text"/>
    <w:basedOn w:val="Normlny"/>
    <w:rsid w:val="009F0BE1"/>
    <w:pPr>
      <w:spacing w:before="120" w:after="120"/>
      <w:jc w:val="both"/>
    </w:pPr>
    <w:rPr>
      <w:snapToGrid w:val="0"/>
      <w:sz w:val="22"/>
      <w:lang w:eastAsia="en-US"/>
    </w:rPr>
  </w:style>
  <w:style w:type="character" w:customStyle="1" w:styleId="tw4winTerm">
    <w:name w:val="tw4winTerm"/>
    <w:uiPriority w:val="99"/>
    <w:rsid w:val="009F0BE1"/>
    <w:rPr>
      <w:color w:val="0000FF"/>
    </w:rPr>
  </w:style>
  <w:style w:type="paragraph" w:customStyle="1" w:styleId="StylNormlndoblokuDoleva">
    <w:name w:val="Styl Normální do bloku + Doleva"/>
    <w:basedOn w:val="Normlndobloku"/>
    <w:rsid w:val="003375DF"/>
    <w:pPr>
      <w:suppressAutoHyphens/>
    </w:pPr>
    <w:rPr>
      <w:rFonts w:ascii="TimesNewRoman" w:hAnsi="TimesNewRoman"/>
      <w:szCs w:val="20"/>
    </w:rPr>
  </w:style>
  <w:style w:type="character" w:customStyle="1" w:styleId="PtaChar">
    <w:name w:val="Päta Char"/>
    <w:basedOn w:val="Predvolenpsmoodseku"/>
    <w:link w:val="Pta"/>
    <w:uiPriority w:val="99"/>
    <w:rsid w:val="004E12A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60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D3737-12E8-4EF7-8C03-36A17E54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3625</Words>
  <Characters>23322</Characters>
  <Application>Microsoft Office Word</Application>
  <DocSecurity>0</DocSecurity>
  <Lines>194</Lines>
  <Paragraphs>53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SPC</vt:lpstr>
      <vt:lpstr>SPC</vt:lpstr>
    </vt:vector>
  </TitlesOfParts>
  <Company>Medochemie</Company>
  <LinksUpToDate>false</LinksUpToDate>
  <CharactersWithSpaces>26894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
  <dc:creator>Litera</dc:creator>
  <cp:keywords/>
  <cp:lastModifiedBy>Repiščáková, Janka</cp:lastModifiedBy>
  <cp:revision>10</cp:revision>
  <cp:lastPrinted>2014-07-31T07:12:00Z</cp:lastPrinted>
  <dcterms:created xsi:type="dcterms:W3CDTF">2018-03-23T14:22:00Z</dcterms:created>
  <dcterms:modified xsi:type="dcterms:W3CDTF">2019-02-18T16:01:00Z</dcterms:modified>
</cp:coreProperties>
</file>