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F8B11" w14:textId="33AF3D26" w:rsidR="00C45C2C" w:rsidRPr="00071B69" w:rsidRDefault="00C45C2C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437ABD53" w14:textId="4B011E48" w:rsidR="0016502E" w:rsidRDefault="0016502E" w:rsidP="007C4AD3">
      <w:pPr>
        <w:keepNext/>
        <w:keepLines/>
        <w:tabs>
          <w:tab w:val="clear" w:pos="567"/>
        </w:tabs>
        <w:spacing w:line="240" w:lineRule="auto"/>
        <w:ind w:left="567" w:hanging="567"/>
        <w:jc w:val="center"/>
        <w:outlineLvl w:val="0"/>
        <w:rPr>
          <w:b/>
          <w:szCs w:val="22"/>
        </w:rPr>
      </w:pPr>
      <w:r w:rsidRPr="0016502E">
        <w:rPr>
          <w:b/>
          <w:szCs w:val="22"/>
        </w:rPr>
        <w:t>SÚHRN CHARAKTERISTICKÝCH VLASTNOSTÍ LIEKU</w:t>
      </w:r>
    </w:p>
    <w:p w14:paraId="56BDE162" w14:textId="77777777" w:rsidR="0016502E" w:rsidRDefault="0016502E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</w:p>
    <w:p w14:paraId="756F554E" w14:textId="77777777" w:rsidR="0016502E" w:rsidRDefault="0016502E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</w:p>
    <w:p w14:paraId="7206B26F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1.</w:t>
      </w:r>
      <w:r w:rsidRPr="00071B69">
        <w:rPr>
          <w:b/>
          <w:szCs w:val="22"/>
        </w:rPr>
        <w:tab/>
        <w:t>NÁZOV LIEKU</w:t>
      </w:r>
    </w:p>
    <w:p w14:paraId="05F8536D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iCs/>
          <w:szCs w:val="22"/>
        </w:rPr>
      </w:pPr>
    </w:p>
    <w:p w14:paraId="6A812251" w14:textId="2829DADE" w:rsidR="007C4AD3" w:rsidRDefault="00071B69" w:rsidP="00137842">
      <w:pPr>
        <w:keepLines/>
        <w:tabs>
          <w:tab w:val="clear" w:pos="567"/>
        </w:tabs>
        <w:spacing w:line="240" w:lineRule="auto"/>
      </w:pPr>
      <w:r>
        <w:t xml:space="preserve">VESOXX </w:t>
      </w:r>
      <w:r w:rsidR="00C71FE9" w:rsidRPr="00071B69">
        <w:t xml:space="preserve">1 mg/ml </w:t>
      </w:r>
    </w:p>
    <w:p w14:paraId="36C1D41C" w14:textId="770E6799" w:rsidR="000A6589" w:rsidRPr="00071B69" w:rsidRDefault="00C71FE9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intravezikálny roztok</w:t>
      </w:r>
    </w:p>
    <w:p w14:paraId="50C7C2EF" w14:textId="77777777" w:rsidR="00DF7210" w:rsidRPr="00071B69" w:rsidRDefault="00DF7210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44F30153" w14:textId="77777777" w:rsidR="001D29E6" w:rsidRPr="009E5C59" w:rsidRDefault="001D29E6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3986AE1C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2.</w:t>
      </w:r>
      <w:r w:rsidRPr="00071B69">
        <w:rPr>
          <w:b/>
          <w:szCs w:val="22"/>
        </w:rPr>
        <w:tab/>
        <w:t>KVALITATÍVNE A KVANTITATÍVNE ZLOŽENIE</w:t>
      </w:r>
    </w:p>
    <w:p w14:paraId="7ED243A8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5DC3DBD6" w14:textId="43D18749" w:rsidR="0055359A" w:rsidRPr="00071B69" w:rsidRDefault="0055359A" w:rsidP="00137842">
      <w:pPr>
        <w:pStyle w:val="EMEAEnBodyText"/>
        <w:keepLines/>
        <w:autoSpaceDE w:val="0"/>
        <w:autoSpaceDN w:val="0"/>
        <w:adjustRightInd w:val="0"/>
        <w:spacing w:before="0" w:after="0"/>
        <w:jc w:val="left"/>
        <w:rPr>
          <w:szCs w:val="22"/>
        </w:rPr>
      </w:pPr>
      <w:r w:rsidRPr="00071B69">
        <w:t xml:space="preserve">1 ml roztoku obsahuje 1 </w:t>
      </w:r>
      <w:r w:rsidRPr="008B4D47">
        <w:t>mg oxybutyníniumchloridu</w:t>
      </w:r>
      <w:r w:rsidRPr="00071B69">
        <w:t>.</w:t>
      </w:r>
    </w:p>
    <w:p w14:paraId="61A82E80" w14:textId="77777777" w:rsidR="0055359A" w:rsidRPr="00071B69" w:rsidRDefault="0055359A" w:rsidP="00137842">
      <w:pPr>
        <w:pStyle w:val="EMEAEnBodyText"/>
        <w:keepLines/>
        <w:autoSpaceDE w:val="0"/>
        <w:autoSpaceDN w:val="0"/>
        <w:adjustRightInd w:val="0"/>
        <w:spacing w:before="0" w:after="0"/>
        <w:jc w:val="left"/>
        <w:rPr>
          <w:szCs w:val="22"/>
        </w:rPr>
      </w:pPr>
    </w:p>
    <w:p w14:paraId="637A7BEA" w14:textId="68BE36EF" w:rsidR="00BC548A" w:rsidRPr="00071B69" w:rsidRDefault="00CA0573" w:rsidP="00137842">
      <w:pPr>
        <w:pStyle w:val="EMEAEnBodyText"/>
        <w:keepLines/>
        <w:autoSpaceDE w:val="0"/>
        <w:autoSpaceDN w:val="0"/>
        <w:adjustRightInd w:val="0"/>
        <w:spacing w:before="0" w:after="0"/>
        <w:jc w:val="left"/>
        <w:rPr>
          <w:szCs w:val="22"/>
          <w:u w:val="single"/>
        </w:rPr>
      </w:pPr>
      <w:r w:rsidRPr="00071B69">
        <w:t xml:space="preserve">Jedna </w:t>
      </w:r>
      <w:r w:rsidR="00EA4D2B">
        <w:t>kalibrovaná</w:t>
      </w:r>
      <w:r w:rsidRPr="00071B69">
        <w:t xml:space="preserve"> naplnená injekčná striekačka pripravená na použitie s 10 ml oxybutyníniumchloridu.</w:t>
      </w:r>
    </w:p>
    <w:p w14:paraId="68E2C21E" w14:textId="77777777" w:rsidR="00BC548A" w:rsidRPr="00071B69" w:rsidRDefault="00BC548A" w:rsidP="00137842">
      <w:pPr>
        <w:pStyle w:val="EMEAEnBodyText"/>
        <w:keepLines/>
        <w:autoSpaceDE w:val="0"/>
        <w:autoSpaceDN w:val="0"/>
        <w:adjustRightInd w:val="0"/>
        <w:spacing w:before="0" w:after="0"/>
        <w:jc w:val="left"/>
        <w:rPr>
          <w:szCs w:val="22"/>
          <w:u w:val="single"/>
        </w:rPr>
      </w:pPr>
    </w:p>
    <w:p w14:paraId="5E3DEA6A" w14:textId="5F3AC44C" w:rsidR="001D29E6" w:rsidRPr="00071B69" w:rsidRDefault="00813029" w:rsidP="00137842">
      <w:pPr>
        <w:pStyle w:val="EMEAEnBodyText"/>
        <w:keepLines/>
        <w:autoSpaceDE w:val="0"/>
        <w:autoSpaceDN w:val="0"/>
        <w:adjustRightInd w:val="0"/>
        <w:spacing w:before="0" w:after="0"/>
        <w:jc w:val="left"/>
        <w:outlineLvl w:val="0"/>
        <w:rPr>
          <w:iCs/>
          <w:szCs w:val="22"/>
        </w:rPr>
      </w:pPr>
      <w:r w:rsidRPr="00071B69">
        <w:rPr>
          <w:u w:val="single"/>
        </w:rPr>
        <w:t>Pomocná látka so známym účinkom:</w:t>
      </w:r>
      <w:r w:rsidRPr="00071B69">
        <w:t xml:space="preserve"> 3,53 mg/ml sodíka</w:t>
      </w:r>
    </w:p>
    <w:p w14:paraId="0856C578" w14:textId="77777777" w:rsidR="000A6589" w:rsidRPr="00071B69" w:rsidRDefault="000A6589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03E241B9" w14:textId="77777777" w:rsidR="001D29E6" w:rsidRPr="00071B69" w:rsidRDefault="001D29E6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Úplný zoznam pomocných látok, pozri časť 6.1.</w:t>
      </w:r>
    </w:p>
    <w:p w14:paraId="7C93E6E5" w14:textId="045812C2" w:rsidR="00746E50" w:rsidRPr="00071B69" w:rsidRDefault="00746E50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EF86800" w14:textId="77777777" w:rsidR="00B65EB1" w:rsidRPr="00071B69" w:rsidRDefault="00B65EB1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B0B706A" w14:textId="51D46D1D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3.</w:t>
      </w:r>
      <w:r w:rsidRPr="00071B69">
        <w:rPr>
          <w:b/>
          <w:szCs w:val="22"/>
        </w:rPr>
        <w:tab/>
        <w:t>LIEKOVÁ FORMA</w:t>
      </w:r>
    </w:p>
    <w:p w14:paraId="20E45D83" w14:textId="77777777" w:rsidR="000A6589" w:rsidRPr="00071B69" w:rsidRDefault="000A6589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73E43D9C" w14:textId="77777777" w:rsidR="001D29E6" w:rsidRPr="00071B69" w:rsidRDefault="000A6589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Intravezikálny roztok.</w:t>
      </w:r>
    </w:p>
    <w:p w14:paraId="161C6D68" w14:textId="77777777" w:rsidR="000A6589" w:rsidRPr="00071B69" w:rsidRDefault="000A6589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5B9DD944" w14:textId="70C66F74" w:rsidR="001D29E6" w:rsidRPr="00071B69" w:rsidRDefault="000A6589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 xml:space="preserve">Číry, bezfarebný roztok s pH 3,8 až 4,5. </w:t>
      </w:r>
    </w:p>
    <w:p w14:paraId="33742A9C" w14:textId="77777777" w:rsidR="008B21A8" w:rsidRPr="00071B69" w:rsidRDefault="008B21A8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7B7198F" w14:textId="77777777" w:rsidR="00EA327B" w:rsidRPr="00071B69" w:rsidRDefault="00EA327B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3D1249D1" w14:textId="457EA67D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4.</w:t>
      </w:r>
      <w:r w:rsidRPr="00071B69">
        <w:rPr>
          <w:b/>
          <w:szCs w:val="22"/>
        </w:rPr>
        <w:tab/>
        <w:t>KLINICKÉ ÚDAJE</w:t>
      </w:r>
    </w:p>
    <w:p w14:paraId="01A69E90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701DA04C" w14:textId="25679D16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4.1</w:t>
      </w:r>
      <w:r w:rsidRPr="00071B69">
        <w:rPr>
          <w:b/>
          <w:szCs w:val="22"/>
        </w:rPr>
        <w:tab/>
        <w:t>Terapeutické indikácie</w:t>
      </w:r>
    </w:p>
    <w:p w14:paraId="3B9B8756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00363A53" w14:textId="360EE790" w:rsidR="00337B87" w:rsidRPr="00071B69" w:rsidRDefault="00071B69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>
        <w:t>VESOXX 1 mg/ml</w:t>
      </w:r>
      <w:r w:rsidR="00F91ADE" w:rsidRPr="00071B69">
        <w:t xml:space="preserve"> je indikovaný na potlačenie nadmernej aktiv</w:t>
      </w:r>
      <w:r w:rsidR="00C34391" w:rsidRPr="00071B69">
        <w:t>ity</w:t>
      </w:r>
      <w:r w:rsidR="00F91ADE" w:rsidRPr="00071B69">
        <w:t xml:space="preserve"> detruzora v dôsledku poškodenia miechy alebo myelomeningokély (spina bifida) u detí vo veku od 6 rokov a dospelých, ktorí majú kontrolované vyprázdňovanie močového mechúra čistou </w:t>
      </w:r>
      <w:r w:rsidR="00FD2412" w:rsidRPr="00071B69">
        <w:t>intermitent</w:t>
      </w:r>
      <w:r w:rsidR="00F91ADE" w:rsidRPr="00071B69">
        <w:t xml:space="preserve">ou </w:t>
      </w:r>
      <w:r w:rsidR="00F91ADE" w:rsidRPr="003B3920">
        <w:t>katetrizáciou</w:t>
      </w:r>
      <w:r w:rsidR="00F91ADE" w:rsidRPr="00071B69">
        <w:t xml:space="preserve">, </w:t>
      </w:r>
      <w:r w:rsidR="00F91ADE" w:rsidRPr="00F433A7">
        <w:t xml:space="preserve">ktorá nie je </w:t>
      </w:r>
      <w:r w:rsidR="00961456" w:rsidRPr="007C4AD3">
        <w:t xml:space="preserve">dostatočne </w:t>
      </w:r>
      <w:r w:rsidR="00F91ADE" w:rsidRPr="007C4AD3">
        <w:t>riadená</w:t>
      </w:r>
      <w:r w:rsidR="00F91ADE" w:rsidRPr="00F433A7">
        <w:t xml:space="preserve"> perorálnymi anticholinergikami.</w:t>
      </w:r>
      <w:r w:rsidR="00F91ADE" w:rsidRPr="00071B69">
        <w:t xml:space="preserve"> </w:t>
      </w:r>
    </w:p>
    <w:p w14:paraId="1E5DE3D4" w14:textId="77777777" w:rsidR="00EA327B" w:rsidRPr="00071B69" w:rsidRDefault="00EA327B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700993FE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4.2</w:t>
      </w:r>
      <w:r w:rsidRPr="00071B69">
        <w:rPr>
          <w:b/>
          <w:szCs w:val="22"/>
        </w:rPr>
        <w:tab/>
        <w:t>Dávkovanie a spôsob podávania</w:t>
      </w:r>
    </w:p>
    <w:p w14:paraId="3A7F6E7C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45BE6496" w14:textId="77777777" w:rsidR="00C53ACC" w:rsidRPr="00071B69" w:rsidRDefault="00C53ACC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Dávkovanie</w:t>
      </w:r>
    </w:p>
    <w:p w14:paraId="06B9C05A" w14:textId="1317FC4B" w:rsidR="00875CA0" w:rsidRPr="00071B69" w:rsidRDefault="00875CA0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Prvú úpravu dávky vykoná neuro-urológ pod dôslednou urodynamickou kontrolou.</w:t>
      </w:r>
    </w:p>
    <w:p w14:paraId="5D2A87CD" w14:textId="77777777" w:rsidR="0019745E" w:rsidRPr="00071B69" w:rsidRDefault="0019745E" w:rsidP="00137842">
      <w:pPr>
        <w:pStyle w:val="Normlnywebov"/>
        <w:keepLines/>
        <w:spacing w:before="0" w:beforeAutospacing="0" w:after="0" w:afterAutospacing="0"/>
        <w:rPr>
          <w:sz w:val="22"/>
          <w:szCs w:val="22"/>
        </w:rPr>
      </w:pPr>
    </w:p>
    <w:p w14:paraId="32FF4E04" w14:textId="29453369" w:rsidR="00215EC4" w:rsidRPr="00071B69" w:rsidRDefault="00215EC4" w:rsidP="00137842">
      <w:pPr>
        <w:pStyle w:val="Normlnywebov"/>
        <w:keepLines/>
        <w:spacing w:before="0" w:beforeAutospacing="0" w:after="0" w:afterAutospacing="0"/>
        <w:rPr>
          <w:sz w:val="22"/>
          <w:szCs w:val="22"/>
        </w:rPr>
      </w:pPr>
      <w:r w:rsidRPr="00071B69">
        <w:rPr>
          <w:sz w:val="22"/>
          <w:szCs w:val="22"/>
        </w:rPr>
        <w:t xml:space="preserve">Neexistujú žiadne pevné pravidlá pre režim dávkovania, pretože sa vyskytujú vysoké interindividuálne rozdiely v tlaku močového mechúra </w:t>
      </w:r>
      <w:r w:rsidRPr="00F433A7">
        <w:rPr>
          <w:sz w:val="22"/>
          <w:szCs w:val="22"/>
        </w:rPr>
        <w:t>a k dispozícii sú</w:t>
      </w:r>
      <w:r w:rsidRPr="00071B69">
        <w:rPr>
          <w:sz w:val="22"/>
          <w:szCs w:val="22"/>
        </w:rPr>
        <w:t xml:space="preserve"> dávky potrebné na zlepšenie neurogénnej nadmernej aktivity</w:t>
      </w:r>
      <w:r w:rsidR="00C34391" w:rsidRPr="00071B69">
        <w:rPr>
          <w:sz w:val="22"/>
          <w:szCs w:val="22"/>
        </w:rPr>
        <w:t xml:space="preserve"> detruzora</w:t>
      </w:r>
      <w:r w:rsidRPr="00071B69">
        <w:rPr>
          <w:sz w:val="22"/>
          <w:szCs w:val="22"/>
        </w:rPr>
        <w:t>. Dávkový režim (dávky a časovanie) sa preto musí stanoviť individuálne podľa potreby pacienta.</w:t>
      </w:r>
    </w:p>
    <w:p w14:paraId="67A6AE07" w14:textId="77777777" w:rsidR="0019745E" w:rsidRPr="00071B69" w:rsidRDefault="0019745E" w:rsidP="00137842">
      <w:pPr>
        <w:pStyle w:val="Normlnywebov"/>
        <w:keepLines/>
        <w:spacing w:before="0" w:beforeAutospacing="0" w:after="0" w:afterAutospacing="0"/>
        <w:rPr>
          <w:sz w:val="22"/>
          <w:szCs w:val="22"/>
        </w:rPr>
      </w:pPr>
    </w:p>
    <w:p w14:paraId="55963545" w14:textId="5F26A0E6" w:rsidR="00215EC4" w:rsidRPr="00071B69" w:rsidRDefault="00215EC4" w:rsidP="00137842">
      <w:pPr>
        <w:pStyle w:val="Normlnywebov"/>
        <w:keepLines/>
        <w:spacing w:before="0" w:beforeAutospacing="0" w:after="0" w:afterAutospacing="0"/>
        <w:rPr>
          <w:sz w:val="22"/>
          <w:szCs w:val="22"/>
        </w:rPr>
      </w:pPr>
      <w:r w:rsidRPr="00071B69">
        <w:rPr>
          <w:sz w:val="22"/>
          <w:szCs w:val="22"/>
        </w:rPr>
        <w:t>Jednotliv</w:t>
      </w:r>
      <w:r w:rsidR="00C34391" w:rsidRPr="00071B69">
        <w:rPr>
          <w:sz w:val="22"/>
          <w:szCs w:val="22"/>
        </w:rPr>
        <w:t>é</w:t>
      </w:r>
      <w:r w:rsidRPr="00071B69">
        <w:rPr>
          <w:sz w:val="22"/>
          <w:szCs w:val="22"/>
        </w:rPr>
        <w:t xml:space="preserve"> dávk</w:t>
      </w:r>
      <w:r w:rsidR="00C34391" w:rsidRPr="00071B69">
        <w:rPr>
          <w:sz w:val="22"/>
          <w:szCs w:val="22"/>
        </w:rPr>
        <w:t>y</w:t>
      </w:r>
      <w:r w:rsidRPr="00071B69">
        <w:rPr>
          <w:sz w:val="22"/>
          <w:szCs w:val="22"/>
        </w:rPr>
        <w:t xml:space="preserve"> sa aplikuj</w:t>
      </w:r>
      <w:r w:rsidR="00C34391" w:rsidRPr="00071B69">
        <w:rPr>
          <w:sz w:val="22"/>
          <w:szCs w:val="22"/>
        </w:rPr>
        <w:t>ú</w:t>
      </w:r>
      <w:r w:rsidRPr="00071B69">
        <w:rPr>
          <w:sz w:val="22"/>
          <w:szCs w:val="22"/>
        </w:rPr>
        <w:t xml:space="preserve"> na dostatočn</w:t>
      </w:r>
      <w:r w:rsidR="00C34391" w:rsidRPr="00071B69">
        <w:rPr>
          <w:sz w:val="22"/>
          <w:szCs w:val="22"/>
        </w:rPr>
        <w:t xml:space="preserve">ú kontrolu </w:t>
      </w:r>
      <w:r w:rsidRPr="00071B69">
        <w:rPr>
          <w:sz w:val="22"/>
          <w:szCs w:val="22"/>
        </w:rPr>
        <w:t>uro-dynamických parametrov (maximálny tlak detruzora &lt;40 cm H</w:t>
      </w:r>
      <w:r w:rsidRPr="00071B69">
        <w:rPr>
          <w:sz w:val="22"/>
          <w:szCs w:val="22"/>
          <w:vertAlign w:val="subscript"/>
        </w:rPr>
        <w:t>2</w:t>
      </w:r>
      <w:r w:rsidRPr="00071B69">
        <w:rPr>
          <w:sz w:val="22"/>
          <w:szCs w:val="22"/>
        </w:rPr>
        <w:t xml:space="preserve">O) s cieľom úplne inhibovať </w:t>
      </w:r>
      <w:r w:rsidR="00354AB3">
        <w:rPr>
          <w:sz w:val="22"/>
          <w:szCs w:val="22"/>
        </w:rPr>
        <w:t xml:space="preserve">neurogénnu </w:t>
      </w:r>
      <w:r w:rsidR="00C34391" w:rsidRPr="00354AB3">
        <w:rPr>
          <w:sz w:val="22"/>
          <w:szCs w:val="22"/>
        </w:rPr>
        <w:t xml:space="preserve">nadmernú aktivitu </w:t>
      </w:r>
      <w:r w:rsidRPr="00354AB3">
        <w:rPr>
          <w:sz w:val="22"/>
          <w:szCs w:val="22"/>
        </w:rPr>
        <w:t>detruzor</w:t>
      </w:r>
      <w:r w:rsidR="00C34391" w:rsidRPr="00354AB3">
        <w:rPr>
          <w:sz w:val="22"/>
          <w:szCs w:val="22"/>
        </w:rPr>
        <w:t>a</w:t>
      </w:r>
      <w:r w:rsidRPr="00071B69">
        <w:rPr>
          <w:sz w:val="22"/>
          <w:szCs w:val="22"/>
        </w:rPr>
        <w:t>.</w:t>
      </w:r>
    </w:p>
    <w:p w14:paraId="4F8A08A3" w14:textId="77777777" w:rsidR="00122366" w:rsidRPr="00071B69" w:rsidRDefault="00122366" w:rsidP="00137842">
      <w:pPr>
        <w:pStyle w:val="Normlnywebov"/>
        <w:keepLines/>
        <w:spacing w:before="0" w:beforeAutospacing="0" w:after="0" w:afterAutospacing="0"/>
        <w:rPr>
          <w:sz w:val="22"/>
          <w:szCs w:val="22"/>
        </w:rPr>
      </w:pPr>
    </w:p>
    <w:p w14:paraId="212EFC32" w14:textId="003D6CF8" w:rsidR="00122366" w:rsidRPr="00071B69" w:rsidRDefault="00122366" w:rsidP="00137842">
      <w:pPr>
        <w:pStyle w:val="Normlnywebov"/>
        <w:keepLines/>
        <w:spacing w:before="0" w:beforeAutospacing="0" w:after="0" w:afterAutospacing="0"/>
        <w:rPr>
          <w:sz w:val="22"/>
          <w:szCs w:val="22"/>
        </w:rPr>
      </w:pPr>
      <w:r w:rsidRPr="00071B69">
        <w:rPr>
          <w:sz w:val="22"/>
          <w:szCs w:val="22"/>
        </w:rPr>
        <w:t>Počas intravezikálnej liečby oxybutynínom sa urodynamické parametre kontrolujú v pravidelných intervaloch, ako ich definuje ošetrujúci urológ.</w:t>
      </w:r>
    </w:p>
    <w:p w14:paraId="73C4AC51" w14:textId="77777777" w:rsidR="00122366" w:rsidRPr="00071B69" w:rsidRDefault="00122366" w:rsidP="00137842">
      <w:pPr>
        <w:keepLines/>
        <w:tabs>
          <w:tab w:val="clear" w:pos="567"/>
        </w:tabs>
        <w:spacing w:line="240" w:lineRule="auto"/>
        <w:rPr>
          <w:i/>
          <w:szCs w:val="22"/>
        </w:rPr>
      </w:pPr>
    </w:p>
    <w:p w14:paraId="6CB5FE18" w14:textId="4F0E544B" w:rsidR="00122366" w:rsidRPr="00071B69" w:rsidRDefault="00122366" w:rsidP="00137842">
      <w:pPr>
        <w:keepNext/>
        <w:keepLines/>
        <w:tabs>
          <w:tab w:val="clear" w:pos="567"/>
        </w:tabs>
        <w:spacing w:line="240" w:lineRule="auto"/>
        <w:outlineLvl w:val="0"/>
        <w:rPr>
          <w:i/>
          <w:szCs w:val="22"/>
        </w:rPr>
      </w:pPr>
      <w:r w:rsidRPr="00071B69">
        <w:rPr>
          <w:i/>
          <w:szCs w:val="22"/>
        </w:rPr>
        <w:lastRenderedPageBreak/>
        <w:t>Odporúčania na dávkovanie vo všetkých vekových skupinách</w:t>
      </w:r>
    </w:p>
    <w:p w14:paraId="35DEC70E" w14:textId="6817A4FD" w:rsidR="00122366" w:rsidRPr="00071B69" w:rsidRDefault="00122366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Odporúčania na dávkovanie boli vypočítané podľa percentilov telesnej hmotnosti rôznych vekových skupín (tabuľka č. 1).</w:t>
      </w:r>
    </w:p>
    <w:p w14:paraId="79658F4E" w14:textId="20927DE1" w:rsidR="000C193B" w:rsidRPr="00071B69" w:rsidRDefault="000C193B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2EF3F748" w14:textId="1D022C86" w:rsidR="00E0510C" w:rsidRPr="00071B69" w:rsidRDefault="00E0510C" w:rsidP="00137842">
      <w:pPr>
        <w:keepNext/>
        <w:keepLines/>
        <w:tabs>
          <w:tab w:val="clear" w:pos="567"/>
        </w:tabs>
        <w:spacing w:after="120" w:line="240" w:lineRule="auto"/>
        <w:ind w:left="1134" w:hanging="1134"/>
        <w:outlineLvl w:val="0"/>
        <w:rPr>
          <w:i/>
          <w:szCs w:val="22"/>
        </w:rPr>
      </w:pPr>
      <w:r w:rsidRPr="00071B69">
        <w:rPr>
          <w:i/>
          <w:szCs w:val="22"/>
        </w:rPr>
        <w:t>Tabuľka 1:</w:t>
      </w:r>
      <w:r w:rsidRPr="00071B69">
        <w:rPr>
          <w:i/>
          <w:szCs w:val="22"/>
        </w:rPr>
        <w:tab/>
        <w:t>Odporúčania na dávkovanie vo všetkých vekových skupinách</w:t>
      </w:r>
    </w:p>
    <w:tbl>
      <w:tblPr>
        <w:tblStyle w:val="TableGrid1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05541" w:rsidRPr="00071B69" w14:paraId="0F6C614D" w14:textId="77777777" w:rsidTr="00122366">
        <w:trPr>
          <w:cantSplit/>
          <w:tblHeader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3B8F4B56" w14:textId="77777777" w:rsidR="00105541" w:rsidRPr="00071B69" w:rsidRDefault="00105541" w:rsidP="00137842">
            <w:pPr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B69">
              <w:rPr>
                <w:rFonts w:ascii="Times New Roman" w:hAnsi="Times New Roman"/>
                <w:b/>
              </w:rPr>
              <w:t>Veková skupina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0349EE26" w14:textId="77777777" w:rsidR="00105541" w:rsidRPr="00071B69" w:rsidRDefault="00105541" w:rsidP="00137842">
            <w:pPr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B69">
              <w:rPr>
                <w:rFonts w:ascii="Times New Roman" w:hAnsi="Times New Roman"/>
                <w:b/>
              </w:rPr>
              <w:t>Vek [roky]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4641DB5B" w14:textId="11588095" w:rsidR="00105541" w:rsidRPr="00071B69" w:rsidRDefault="00105541" w:rsidP="00137842">
            <w:pPr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B69">
              <w:rPr>
                <w:rFonts w:ascii="Times New Roman" w:hAnsi="Times New Roman"/>
                <w:b/>
              </w:rPr>
              <w:t>Odporúčaná denná počiatočná dávka [mg]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67890AB3" w14:textId="2521E964" w:rsidR="00105541" w:rsidRPr="00071B69" w:rsidRDefault="00105541" w:rsidP="00137842">
            <w:pPr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B69">
              <w:rPr>
                <w:rFonts w:ascii="Times New Roman" w:hAnsi="Times New Roman"/>
                <w:b/>
              </w:rPr>
              <w:t>Odporúčaná celková denná dávka [mg]</w:t>
            </w:r>
          </w:p>
        </w:tc>
      </w:tr>
      <w:tr w:rsidR="00105541" w:rsidRPr="00071B69" w14:paraId="1D224DC4" w14:textId="77777777" w:rsidTr="00137842">
        <w:trPr>
          <w:cantSplit/>
        </w:trPr>
        <w:tc>
          <w:tcPr>
            <w:tcW w:w="2265" w:type="dxa"/>
          </w:tcPr>
          <w:p w14:paraId="38FE15FB" w14:textId="3DEB36E7" w:rsidR="00105541" w:rsidRPr="00071B69" w:rsidRDefault="00677075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71B69">
              <w:rPr>
                <w:rFonts w:ascii="Times New Roman" w:hAnsi="Times New Roman"/>
                <w:b/>
              </w:rPr>
              <w:t>Deti</w:t>
            </w:r>
          </w:p>
        </w:tc>
        <w:tc>
          <w:tcPr>
            <w:tcW w:w="2265" w:type="dxa"/>
            <w:vAlign w:val="center"/>
          </w:tcPr>
          <w:p w14:paraId="069DFE2D" w14:textId="2D442EFC" w:rsidR="00105541" w:rsidRPr="00071B69" w:rsidRDefault="00105541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6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–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12</w:t>
            </w:r>
          </w:p>
        </w:tc>
        <w:tc>
          <w:tcPr>
            <w:tcW w:w="2265" w:type="dxa"/>
            <w:vAlign w:val="center"/>
          </w:tcPr>
          <w:p w14:paraId="762CBC77" w14:textId="35FE5469" w:rsidR="00105541" w:rsidRPr="00071B69" w:rsidRDefault="00E4343D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2</w:t>
            </w:r>
          </w:p>
        </w:tc>
        <w:tc>
          <w:tcPr>
            <w:tcW w:w="2265" w:type="dxa"/>
            <w:vAlign w:val="center"/>
          </w:tcPr>
          <w:p w14:paraId="2D47234F" w14:textId="3FE24BF0" w:rsidR="00105541" w:rsidRPr="00071B69" w:rsidRDefault="00105541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2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–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30</w:t>
            </w:r>
          </w:p>
        </w:tc>
      </w:tr>
      <w:tr w:rsidR="00677075" w:rsidRPr="00071B69" w14:paraId="4E2B4F5C" w14:textId="77777777" w:rsidTr="00137842">
        <w:trPr>
          <w:cantSplit/>
        </w:trPr>
        <w:tc>
          <w:tcPr>
            <w:tcW w:w="2265" w:type="dxa"/>
          </w:tcPr>
          <w:p w14:paraId="6D86CC52" w14:textId="2C8766C4" w:rsidR="00677075" w:rsidRPr="00071B69" w:rsidRDefault="00677075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71B69">
              <w:rPr>
                <w:rFonts w:ascii="Times New Roman" w:hAnsi="Times New Roman"/>
                <w:b/>
              </w:rPr>
              <w:t>Dospievajúci</w:t>
            </w:r>
          </w:p>
        </w:tc>
        <w:tc>
          <w:tcPr>
            <w:tcW w:w="2265" w:type="dxa"/>
            <w:vAlign w:val="center"/>
          </w:tcPr>
          <w:p w14:paraId="675958A7" w14:textId="2E3D1D53" w:rsidR="00677075" w:rsidRPr="00071B69" w:rsidRDefault="00677075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12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–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18</w:t>
            </w:r>
          </w:p>
        </w:tc>
        <w:tc>
          <w:tcPr>
            <w:tcW w:w="2265" w:type="dxa"/>
            <w:vAlign w:val="center"/>
          </w:tcPr>
          <w:p w14:paraId="69AAEA0A" w14:textId="492BD8A9" w:rsidR="00677075" w:rsidRPr="00071B69" w:rsidRDefault="00677075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10</w:t>
            </w:r>
          </w:p>
        </w:tc>
        <w:tc>
          <w:tcPr>
            <w:tcW w:w="2265" w:type="dxa"/>
            <w:vAlign w:val="center"/>
          </w:tcPr>
          <w:p w14:paraId="5CE166A2" w14:textId="68745E61" w:rsidR="00677075" w:rsidRPr="00071B69" w:rsidRDefault="00677075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10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–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40</w:t>
            </w:r>
          </w:p>
        </w:tc>
      </w:tr>
      <w:tr w:rsidR="00677075" w:rsidRPr="00071B69" w14:paraId="668BE35E" w14:textId="77777777" w:rsidTr="00137842">
        <w:trPr>
          <w:cantSplit/>
        </w:trPr>
        <w:tc>
          <w:tcPr>
            <w:tcW w:w="2265" w:type="dxa"/>
          </w:tcPr>
          <w:p w14:paraId="07A0A888" w14:textId="4CD986C7" w:rsidR="00677075" w:rsidRPr="00071B69" w:rsidRDefault="00677075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71B69">
              <w:rPr>
                <w:rFonts w:ascii="Times New Roman" w:hAnsi="Times New Roman"/>
                <w:b/>
              </w:rPr>
              <w:t>Dospelí</w:t>
            </w:r>
          </w:p>
        </w:tc>
        <w:tc>
          <w:tcPr>
            <w:tcW w:w="2265" w:type="dxa"/>
            <w:vAlign w:val="center"/>
          </w:tcPr>
          <w:p w14:paraId="396E3157" w14:textId="42471B56" w:rsidR="00677075" w:rsidRPr="00071B69" w:rsidRDefault="00677075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19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–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65</w:t>
            </w:r>
          </w:p>
        </w:tc>
        <w:tc>
          <w:tcPr>
            <w:tcW w:w="2265" w:type="dxa"/>
            <w:vAlign w:val="center"/>
          </w:tcPr>
          <w:p w14:paraId="53679877" w14:textId="1D09E7D9" w:rsidR="00677075" w:rsidRPr="00071B69" w:rsidRDefault="00677075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10</w:t>
            </w:r>
          </w:p>
        </w:tc>
        <w:tc>
          <w:tcPr>
            <w:tcW w:w="2265" w:type="dxa"/>
            <w:vAlign w:val="center"/>
          </w:tcPr>
          <w:p w14:paraId="48510078" w14:textId="15DCDA65" w:rsidR="00677075" w:rsidRPr="00071B69" w:rsidRDefault="00677075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10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–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40</w:t>
            </w:r>
          </w:p>
        </w:tc>
      </w:tr>
      <w:tr w:rsidR="00677075" w:rsidRPr="00071B69" w14:paraId="33BCD0DA" w14:textId="77777777" w:rsidTr="00137842">
        <w:trPr>
          <w:cantSplit/>
        </w:trPr>
        <w:tc>
          <w:tcPr>
            <w:tcW w:w="2265" w:type="dxa"/>
          </w:tcPr>
          <w:p w14:paraId="6AA13683" w14:textId="1DF85D77" w:rsidR="00677075" w:rsidRPr="00071B69" w:rsidRDefault="00677075" w:rsidP="00137842">
            <w:pPr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71B69">
              <w:rPr>
                <w:rFonts w:ascii="Times New Roman" w:hAnsi="Times New Roman"/>
                <w:b/>
              </w:rPr>
              <w:t>Staršie osoby</w:t>
            </w:r>
          </w:p>
        </w:tc>
        <w:tc>
          <w:tcPr>
            <w:tcW w:w="2265" w:type="dxa"/>
            <w:vAlign w:val="center"/>
          </w:tcPr>
          <w:p w14:paraId="45B52199" w14:textId="069A1880" w:rsidR="00677075" w:rsidRPr="00071B69" w:rsidRDefault="00677075" w:rsidP="00137842">
            <w:pPr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od 65</w:t>
            </w:r>
          </w:p>
        </w:tc>
        <w:tc>
          <w:tcPr>
            <w:tcW w:w="2265" w:type="dxa"/>
            <w:vAlign w:val="center"/>
          </w:tcPr>
          <w:p w14:paraId="50D6B489" w14:textId="4329B2B9" w:rsidR="00677075" w:rsidRPr="00071B69" w:rsidRDefault="00677075" w:rsidP="00137842">
            <w:pPr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10</w:t>
            </w:r>
          </w:p>
        </w:tc>
        <w:tc>
          <w:tcPr>
            <w:tcW w:w="2265" w:type="dxa"/>
            <w:vAlign w:val="center"/>
          </w:tcPr>
          <w:p w14:paraId="57D8D052" w14:textId="73EB442D" w:rsidR="00677075" w:rsidRPr="00071B69" w:rsidRDefault="00677075" w:rsidP="00137842">
            <w:pPr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10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–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30</w:t>
            </w:r>
          </w:p>
        </w:tc>
      </w:tr>
    </w:tbl>
    <w:p w14:paraId="71D09A10" w14:textId="77777777" w:rsidR="00122366" w:rsidRPr="00071B69" w:rsidRDefault="00122366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2768258B" w14:textId="67F76EEB" w:rsidR="007E49ED" w:rsidRPr="00071B69" w:rsidRDefault="00E52CD6" w:rsidP="00137842">
      <w:pPr>
        <w:keepLines/>
        <w:tabs>
          <w:tab w:val="clear" w:pos="567"/>
        </w:tabs>
        <w:spacing w:line="240" w:lineRule="auto"/>
        <w:rPr>
          <w:bCs/>
          <w:szCs w:val="22"/>
        </w:rPr>
      </w:pPr>
      <w:r w:rsidRPr="00071B69">
        <w:t xml:space="preserve">Ak sa považujú za potrebné vyššie dávky ako počiatočná dávka, dávka sa má zvýšiť pomocou postupného prístupu, kým </w:t>
      </w:r>
      <w:r w:rsidR="003B00F4" w:rsidRPr="00071B69">
        <w:t>sa nedosiahne</w:t>
      </w:r>
      <w:r w:rsidRPr="00071B69">
        <w:t xml:space="preserve"> dostatočná kontrola </w:t>
      </w:r>
      <w:r w:rsidR="00F433A7">
        <w:t xml:space="preserve">neurogénnej </w:t>
      </w:r>
      <w:r w:rsidRPr="00F433A7">
        <w:t>nadmernej činnosti detruzora,</w:t>
      </w:r>
      <w:r w:rsidRPr="00071B69">
        <w:t xml:space="preserve"> aby sa umožnilo dôsledné monitorovanie účinnosti a bezpečnosti. Požadované denné udržiavacie dávky sa môžu rozdeliť do niekoľkých aplikácií (tabuľka č. 2 a 3). Vzhľadom na počet </w:t>
      </w:r>
      <w:r w:rsidR="003B00F4" w:rsidRPr="00071B69">
        <w:t xml:space="preserve">šiestich </w:t>
      </w:r>
      <w:r w:rsidRPr="00071B69">
        <w:t>čistých intermitentnych katetrizácií (CIC) sa</w:t>
      </w:r>
      <w:r w:rsidR="003B00F4" w:rsidRPr="00071B69">
        <w:t xml:space="preserve"> denne </w:t>
      </w:r>
      <w:r w:rsidRPr="00071B69">
        <w:t>odporúča nasledujúca schéma dávkovania:</w:t>
      </w:r>
    </w:p>
    <w:p w14:paraId="125DAFA7" w14:textId="77777777" w:rsidR="007E49ED" w:rsidRPr="00071B69" w:rsidRDefault="007E49ED" w:rsidP="00137842">
      <w:pPr>
        <w:keepLines/>
        <w:tabs>
          <w:tab w:val="clear" w:pos="567"/>
        </w:tabs>
        <w:spacing w:line="240" w:lineRule="auto"/>
        <w:rPr>
          <w:bCs/>
          <w:szCs w:val="22"/>
          <w:lang w:eastAsia="de-DE"/>
        </w:rPr>
      </w:pPr>
    </w:p>
    <w:p w14:paraId="7D87C871" w14:textId="428CB788" w:rsidR="00E0510C" w:rsidRPr="00071B69" w:rsidRDefault="00E0510C" w:rsidP="00137842">
      <w:pPr>
        <w:keepNext/>
        <w:keepLines/>
        <w:tabs>
          <w:tab w:val="clear" w:pos="567"/>
        </w:tabs>
        <w:spacing w:after="120" w:line="240" w:lineRule="auto"/>
        <w:ind w:left="1134" w:hanging="1134"/>
        <w:rPr>
          <w:i/>
          <w:szCs w:val="22"/>
        </w:rPr>
      </w:pPr>
      <w:r w:rsidRPr="00071B69">
        <w:rPr>
          <w:i/>
          <w:szCs w:val="22"/>
        </w:rPr>
        <w:t>Tabuľka 2:</w:t>
      </w:r>
      <w:r w:rsidRPr="00071B69">
        <w:rPr>
          <w:i/>
          <w:szCs w:val="22"/>
        </w:rPr>
        <w:tab/>
      </w:r>
      <w:r w:rsidRPr="00137842">
        <w:rPr>
          <w:i/>
          <w:szCs w:val="22"/>
        </w:rPr>
        <w:t>Odporúčaná</w:t>
      </w:r>
      <w:r w:rsidRPr="00071B69">
        <w:rPr>
          <w:i/>
          <w:szCs w:val="22"/>
        </w:rPr>
        <w:t xml:space="preserve"> schéma dávkovania pre počiatočn</w:t>
      </w:r>
      <w:r w:rsidR="003B00F4" w:rsidRPr="00071B69">
        <w:rPr>
          <w:i/>
          <w:szCs w:val="22"/>
        </w:rPr>
        <w:t>ú</w:t>
      </w:r>
      <w:r w:rsidRPr="00071B69">
        <w:rPr>
          <w:i/>
          <w:szCs w:val="22"/>
        </w:rPr>
        <w:t xml:space="preserve"> dávk</w:t>
      </w:r>
      <w:r w:rsidR="003B00F4" w:rsidRPr="00071B69">
        <w:rPr>
          <w:i/>
          <w:szCs w:val="22"/>
        </w:rPr>
        <w:t>u 2 mg</w:t>
      </w:r>
      <w:r w:rsidRPr="00071B69">
        <w:rPr>
          <w:i/>
          <w:szCs w:val="22"/>
        </w:rPr>
        <w:t xml:space="preserve"> (deti 6 – 12 rokov)</w:t>
      </w:r>
    </w:p>
    <w:tbl>
      <w:tblPr>
        <w:tblStyle w:val="Mriekatabuky"/>
        <w:tblW w:w="907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46"/>
        <w:gridCol w:w="1236"/>
        <w:gridCol w:w="1238"/>
        <w:gridCol w:w="1238"/>
        <w:gridCol w:w="1238"/>
        <w:gridCol w:w="1238"/>
        <w:gridCol w:w="1238"/>
      </w:tblGrid>
      <w:tr w:rsidR="003362A2" w:rsidRPr="00071B69" w14:paraId="4D506271" w14:textId="77777777" w:rsidTr="006F6A7C">
        <w:trPr>
          <w:cantSplit/>
          <w:tblHeader/>
        </w:trPr>
        <w:tc>
          <w:tcPr>
            <w:tcW w:w="1646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39D8A" w14:textId="2BD275B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Denná dávka [mg]</w:t>
            </w:r>
          </w:p>
        </w:tc>
        <w:tc>
          <w:tcPr>
            <w:tcW w:w="742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F6272" w14:textId="22E40951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Podaná dávka na aplikáciu [mg]</w:t>
            </w:r>
          </w:p>
        </w:tc>
      </w:tr>
      <w:tr w:rsidR="003362A2" w:rsidRPr="00071B69" w14:paraId="00BB3328" w14:textId="77777777" w:rsidTr="006F6A7C">
        <w:trPr>
          <w:cantSplit/>
          <w:tblHeader/>
        </w:trPr>
        <w:tc>
          <w:tcPr>
            <w:tcW w:w="164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A0A8D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368D6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1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9BAA0" w14:textId="30EA2C42" w:rsidR="003362A2" w:rsidRPr="00071B69" w:rsidRDefault="00575AF1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2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960A4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3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D6F96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4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E9892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5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FF307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6</w:t>
            </w:r>
          </w:p>
        </w:tc>
      </w:tr>
      <w:tr w:rsidR="003362A2" w:rsidRPr="00071B69" w14:paraId="113AD5C8" w14:textId="77777777" w:rsidTr="006F6A7C">
        <w:trPr>
          <w:cantSplit/>
        </w:trPr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0A986268" w14:textId="22B0AC7B" w:rsidR="003362A2" w:rsidRPr="00071B69" w:rsidRDefault="00E4343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14:paraId="1303D9A2" w14:textId="6ED5AF9D" w:rsidR="003362A2" w:rsidRPr="00071B69" w:rsidRDefault="00E4343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2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15C0CD45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208F8EBF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3E63F9D6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1C744AAB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34613BAB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</w:tr>
      <w:tr w:rsidR="006F6A7C" w:rsidRPr="00071B69" w14:paraId="04FA9A4F" w14:textId="77777777" w:rsidTr="006F6A7C">
        <w:trPr>
          <w:cantSplit/>
        </w:trPr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30974EE5" w14:textId="73E84FD1" w:rsidR="006F6A7C" w:rsidRPr="00071B69" w:rsidDel="00E4343D" w:rsidRDefault="006F6A7C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14:paraId="37BA7D49" w14:textId="4D4AB084" w:rsidR="006F6A7C" w:rsidRPr="00071B69" w:rsidDel="00E4343D" w:rsidRDefault="006F6A7C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5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0865280C" w14:textId="19E4C7C5" w:rsidR="006F6A7C" w:rsidRPr="00071B69" w:rsidRDefault="006F6A7C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2BBE15A0" w14:textId="62E94824" w:rsidR="006F6A7C" w:rsidRPr="00071B69" w:rsidRDefault="006F6A7C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3650569E" w14:textId="4175DA90" w:rsidR="006F6A7C" w:rsidRPr="00071B69" w:rsidRDefault="006F6A7C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4317CDC8" w14:textId="52BFBF4A" w:rsidR="006F6A7C" w:rsidRPr="00071B69" w:rsidRDefault="006F6A7C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033E3818" w14:textId="3B6F5DC5" w:rsidR="006F6A7C" w:rsidRPr="00071B69" w:rsidRDefault="006F6A7C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</w:tr>
      <w:tr w:rsidR="003362A2" w:rsidRPr="00071B69" w14:paraId="2FAD3C8D" w14:textId="77777777" w:rsidTr="006F6A7C">
        <w:trPr>
          <w:cantSplit/>
        </w:trPr>
        <w:tc>
          <w:tcPr>
            <w:tcW w:w="1646" w:type="dxa"/>
            <w:vAlign w:val="center"/>
          </w:tcPr>
          <w:p w14:paraId="32333003" w14:textId="70FDDA72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10</w:t>
            </w:r>
          </w:p>
        </w:tc>
        <w:tc>
          <w:tcPr>
            <w:tcW w:w="1236" w:type="dxa"/>
            <w:vAlign w:val="center"/>
          </w:tcPr>
          <w:p w14:paraId="70C5C47E" w14:textId="2309DF07" w:rsidR="003362A2" w:rsidRPr="00071B69" w:rsidRDefault="007E49E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5</w:t>
            </w:r>
          </w:p>
        </w:tc>
        <w:tc>
          <w:tcPr>
            <w:tcW w:w="1238" w:type="dxa"/>
            <w:vAlign w:val="center"/>
          </w:tcPr>
          <w:p w14:paraId="6E101B12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vAlign w:val="center"/>
          </w:tcPr>
          <w:p w14:paraId="7AEB60C5" w14:textId="2DE889AC" w:rsidR="003362A2" w:rsidRPr="00071B69" w:rsidRDefault="007E49E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5</w:t>
            </w:r>
          </w:p>
        </w:tc>
        <w:tc>
          <w:tcPr>
            <w:tcW w:w="1238" w:type="dxa"/>
            <w:vAlign w:val="center"/>
          </w:tcPr>
          <w:p w14:paraId="32EC60AD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vAlign w:val="center"/>
          </w:tcPr>
          <w:p w14:paraId="3145911C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vAlign w:val="center"/>
          </w:tcPr>
          <w:p w14:paraId="54DCA4DB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</w:tr>
      <w:tr w:rsidR="003362A2" w:rsidRPr="00071B69" w14:paraId="6AE2E94E" w14:textId="77777777" w:rsidTr="006F6A7C">
        <w:trPr>
          <w:cantSplit/>
        </w:trPr>
        <w:tc>
          <w:tcPr>
            <w:tcW w:w="1646" w:type="dxa"/>
            <w:vAlign w:val="center"/>
          </w:tcPr>
          <w:p w14:paraId="194FEA1E" w14:textId="2F339D91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15</w:t>
            </w:r>
          </w:p>
        </w:tc>
        <w:tc>
          <w:tcPr>
            <w:tcW w:w="1236" w:type="dxa"/>
            <w:vAlign w:val="center"/>
          </w:tcPr>
          <w:p w14:paraId="29D540E4" w14:textId="19810CF3" w:rsidR="003362A2" w:rsidRPr="00071B69" w:rsidRDefault="007E49E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5</w:t>
            </w:r>
          </w:p>
        </w:tc>
        <w:tc>
          <w:tcPr>
            <w:tcW w:w="1238" w:type="dxa"/>
            <w:vAlign w:val="center"/>
          </w:tcPr>
          <w:p w14:paraId="752722F2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vAlign w:val="center"/>
          </w:tcPr>
          <w:p w14:paraId="79749FFD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5</w:t>
            </w:r>
          </w:p>
        </w:tc>
        <w:tc>
          <w:tcPr>
            <w:tcW w:w="1238" w:type="dxa"/>
            <w:vAlign w:val="center"/>
          </w:tcPr>
          <w:p w14:paraId="0A2A9357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vAlign w:val="center"/>
          </w:tcPr>
          <w:p w14:paraId="1E632FC6" w14:textId="092C42A8" w:rsidR="003362A2" w:rsidRPr="00071B69" w:rsidRDefault="007E49E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5</w:t>
            </w:r>
          </w:p>
        </w:tc>
        <w:tc>
          <w:tcPr>
            <w:tcW w:w="1238" w:type="dxa"/>
            <w:vAlign w:val="center"/>
          </w:tcPr>
          <w:p w14:paraId="5E2C7720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</w:tr>
      <w:tr w:rsidR="003362A2" w:rsidRPr="00071B69" w14:paraId="18D9D6E2" w14:textId="77777777" w:rsidTr="006F6A7C">
        <w:trPr>
          <w:cantSplit/>
        </w:trPr>
        <w:tc>
          <w:tcPr>
            <w:tcW w:w="1646" w:type="dxa"/>
            <w:vAlign w:val="center"/>
          </w:tcPr>
          <w:p w14:paraId="61EC7467" w14:textId="65DD3B16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20</w:t>
            </w:r>
          </w:p>
        </w:tc>
        <w:tc>
          <w:tcPr>
            <w:tcW w:w="1236" w:type="dxa"/>
            <w:vAlign w:val="center"/>
          </w:tcPr>
          <w:p w14:paraId="473A8DDA" w14:textId="583DE7AD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238" w:type="dxa"/>
            <w:vAlign w:val="center"/>
          </w:tcPr>
          <w:p w14:paraId="2C60B665" w14:textId="74B344A2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vAlign w:val="center"/>
          </w:tcPr>
          <w:p w14:paraId="1541FE23" w14:textId="6FDB6D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238" w:type="dxa"/>
            <w:vAlign w:val="center"/>
          </w:tcPr>
          <w:p w14:paraId="1FBF3618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vAlign w:val="center"/>
          </w:tcPr>
          <w:p w14:paraId="058B0519" w14:textId="77C7EA0F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vAlign w:val="center"/>
          </w:tcPr>
          <w:p w14:paraId="414F4368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</w:tr>
      <w:tr w:rsidR="003362A2" w:rsidRPr="00071B69" w14:paraId="60F18BC9" w14:textId="77777777" w:rsidTr="006F6A7C">
        <w:trPr>
          <w:cantSplit/>
        </w:trPr>
        <w:tc>
          <w:tcPr>
            <w:tcW w:w="1646" w:type="dxa"/>
            <w:vAlign w:val="center"/>
          </w:tcPr>
          <w:p w14:paraId="65C5A4FC" w14:textId="285351E5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30</w:t>
            </w:r>
          </w:p>
        </w:tc>
        <w:tc>
          <w:tcPr>
            <w:tcW w:w="1236" w:type="dxa"/>
            <w:vAlign w:val="center"/>
          </w:tcPr>
          <w:p w14:paraId="6A5750DB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238" w:type="dxa"/>
            <w:vAlign w:val="center"/>
          </w:tcPr>
          <w:p w14:paraId="32C5BE52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vAlign w:val="center"/>
          </w:tcPr>
          <w:p w14:paraId="672324AE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238" w:type="dxa"/>
            <w:vAlign w:val="center"/>
          </w:tcPr>
          <w:p w14:paraId="4A431FB2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vAlign w:val="center"/>
          </w:tcPr>
          <w:p w14:paraId="0C23CC81" w14:textId="70F20EAA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238" w:type="dxa"/>
            <w:vAlign w:val="center"/>
          </w:tcPr>
          <w:p w14:paraId="5469265C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</w:tr>
    </w:tbl>
    <w:p w14:paraId="7A317815" w14:textId="77777777" w:rsidR="00563AEB" w:rsidRDefault="00563AEB" w:rsidP="00137842">
      <w:pPr>
        <w:widowControl w:val="0"/>
        <w:tabs>
          <w:tab w:val="clear" w:pos="567"/>
        </w:tabs>
        <w:spacing w:line="240" w:lineRule="auto"/>
        <w:ind w:left="1134" w:hanging="1134"/>
        <w:outlineLvl w:val="0"/>
        <w:rPr>
          <w:szCs w:val="22"/>
        </w:rPr>
      </w:pPr>
    </w:p>
    <w:p w14:paraId="264C2FE8" w14:textId="11CB78BC" w:rsidR="00563AEB" w:rsidRPr="00137842" w:rsidRDefault="00563AEB" w:rsidP="00137842">
      <w:pPr>
        <w:widowControl w:val="0"/>
        <w:tabs>
          <w:tab w:val="clear" w:pos="567"/>
        </w:tabs>
        <w:spacing w:line="240" w:lineRule="auto"/>
        <w:ind w:left="1418" w:hanging="1418"/>
        <w:rPr>
          <w:i/>
          <w:iCs/>
          <w:szCs w:val="22"/>
        </w:rPr>
      </w:pPr>
      <w:r w:rsidRPr="00137842">
        <w:rPr>
          <w:i/>
          <w:iCs/>
          <w:szCs w:val="22"/>
        </w:rPr>
        <w:t>Tabuľka č. 3:</w:t>
      </w:r>
      <w:r w:rsidRPr="00137842">
        <w:rPr>
          <w:i/>
          <w:iCs/>
          <w:szCs w:val="22"/>
        </w:rPr>
        <w:tab/>
        <w:t>Odporúčaná schéma dá</w:t>
      </w:r>
      <w:r w:rsidRPr="00563AEB">
        <w:rPr>
          <w:i/>
          <w:iCs/>
          <w:szCs w:val="22"/>
        </w:rPr>
        <w:t>vkovania pre počiatočnú dávku 1</w:t>
      </w:r>
      <w:r>
        <w:rPr>
          <w:i/>
          <w:iCs/>
          <w:szCs w:val="22"/>
        </w:rPr>
        <w:t>0 </w:t>
      </w:r>
      <w:r w:rsidRPr="00137842">
        <w:rPr>
          <w:i/>
          <w:iCs/>
          <w:szCs w:val="22"/>
        </w:rPr>
        <w:t>mg (dospievajúci od 12</w:t>
      </w:r>
      <w:r>
        <w:rPr>
          <w:i/>
          <w:iCs/>
          <w:szCs w:val="22"/>
        </w:rPr>
        <w:t> </w:t>
      </w:r>
      <w:r w:rsidRPr="00137842">
        <w:rPr>
          <w:i/>
          <w:iCs/>
          <w:szCs w:val="22"/>
        </w:rPr>
        <w:t xml:space="preserve">rokov a starší, dospelí a starší </w:t>
      </w:r>
      <w:r w:rsidRPr="007817DC">
        <w:rPr>
          <w:i/>
          <w:iCs/>
          <w:szCs w:val="22"/>
        </w:rPr>
        <w:t>ľudia</w:t>
      </w:r>
      <w:r w:rsidRPr="00137842">
        <w:rPr>
          <w:i/>
          <w:iCs/>
          <w:szCs w:val="22"/>
        </w:rPr>
        <w:t>)</w:t>
      </w:r>
    </w:p>
    <w:tbl>
      <w:tblPr>
        <w:tblStyle w:val="Mriekatabuky"/>
        <w:tblW w:w="907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46"/>
        <w:gridCol w:w="1236"/>
        <w:gridCol w:w="1238"/>
        <w:gridCol w:w="1238"/>
        <w:gridCol w:w="1238"/>
        <w:gridCol w:w="1238"/>
        <w:gridCol w:w="1238"/>
      </w:tblGrid>
      <w:tr w:rsidR="003362A2" w:rsidRPr="00071B69" w14:paraId="6D8480A6" w14:textId="77777777" w:rsidTr="001B1A75">
        <w:trPr>
          <w:cantSplit/>
          <w:tblHeader/>
        </w:trPr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FECE5" w14:textId="6000969B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Denná dávka [mg]</w:t>
            </w:r>
          </w:p>
        </w:tc>
        <w:tc>
          <w:tcPr>
            <w:tcW w:w="650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FBEB9" w14:textId="561CAAEB" w:rsidR="003362A2" w:rsidRPr="00071B69" w:rsidRDefault="00402FDF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Podaná dávka na aplikáciu [mg]</w:t>
            </w:r>
          </w:p>
        </w:tc>
      </w:tr>
      <w:tr w:rsidR="003362A2" w:rsidRPr="00071B69" w14:paraId="63F486F8" w14:textId="77777777" w:rsidTr="001B1A75">
        <w:trPr>
          <w:cantSplit/>
          <w:tblHeader/>
        </w:trPr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6B746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1F868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1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390EA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B2079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3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99607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4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D5CBE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BA276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6</w:t>
            </w:r>
          </w:p>
        </w:tc>
      </w:tr>
      <w:tr w:rsidR="003362A2" w:rsidRPr="00071B69" w14:paraId="60202F90" w14:textId="77777777" w:rsidTr="001B1A75">
        <w:trPr>
          <w:cantSplit/>
        </w:trPr>
        <w:tc>
          <w:tcPr>
            <w:tcW w:w="1440" w:type="dxa"/>
            <w:vAlign w:val="center"/>
          </w:tcPr>
          <w:p w14:paraId="383634D1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10</w:t>
            </w:r>
          </w:p>
        </w:tc>
        <w:tc>
          <w:tcPr>
            <w:tcW w:w="1082" w:type="dxa"/>
            <w:vAlign w:val="center"/>
          </w:tcPr>
          <w:p w14:paraId="12951610" w14:textId="16BF1E70" w:rsidR="003362A2" w:rsidRPr="00071B69" w:rsidRDefault="00E4343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5</w:t>
            </w:r>
          </w:p>
        </w:tc>
        <w:tc>
          <w:tcPr>
            <w:tcW w:w="1084" w:type="dxa"/>
            <w:vAlign w:val="center"/>
          </w:tcPr>
          <w:p w14:paraId="7C7C1902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084" w:type="dxa"/>
            <w:vAlign w:val="center"/>
          </w:tcPr>
          <w:p w14:paraId="3FD86095" w14:textId="3CFF60AA" w:rsidR="003362A2" w:rsidRPr="00071B69" w:rsidRDefault="00E4343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5</w:t>
            </w:r>
          </w:p>
        </w:tc>
        <w:tc>
          <w:tcPr>
            <w:tcW w:w="1084" w:type="dxa"/>
            <w:vAlign w:val="center"/>
          </w:tcPr>
          <w:p w14:paraId="6AFDFB89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084" w:type="dxa"/>
            <w:vAlign w:val="center"/>
          </w:tcPr>
          <w:p w14:paraId="2CA79495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084" w:type="dxa"/>
            <w:vAlign w:val="center"/>
          </w:tcPr>
          <w:p w14:paraId="33FBDB7E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</w:tr>
      <w:tr w:rsidR="003362A2" w:rsidRPr="00071B69" w14:paraId="58BBA3B6" w14:textId="77777777" w:rsidTr="001B1A75">
        <w:trPr>
          <w:cantSplit/>
        </w:trPr>
        <w:tc>
          <w:tcPr>
            <w:tcW w:w="1440" w:type="dxa"/>
            <w:vAlign w:val="center"/>
          </w:tcPr>
          <w:p w14:paraId="611CB89D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20</w:t>
            </w:r>
          </w:p>
        </w:tc>
        <w:tc>
          <w:tcPr>
            <w:tcW w:w="1082" w:type="dxa"/>
            <w:vAlign w:val="center"/>
          </w:tcPr>
          <w:p w14:paraId="25E33F78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084" w:type="dxa"/>
            <w:vAlign w:val="center"/>
          </w:tcPr>
          <w:p w14:paraId="1A06AFAB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084" w:type="dxa"/>
            <w:vAlign w:val="center"/>
          </w:tcPr>
          <w:p w14:paraId="0D8DFB21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084" w:type="dxa"/>
            <w:vAlign w:val="center"/>
          </w:tcPr>
          <w:p w14:paraId="1AE7E9D2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084" w:type="dxa"/>
            <w:vAlign w:val="center"/>
          </w:tcPr>
          <w:p w14:paraId="4E01E60B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084" w:type="dxa"/>
            <w:vAlign w:val="center"/>
          </w:tcPr>
          <w:p w14:paraId="39E31C26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</w:tr>
      <w:tr w:rsidR="003362A2" w:rsidRPr="00071B69" w14:paraId="114581C9" w14:textId="77777777" w:rsidTr="001B1A75">
        <w:trPr>
          <w:cantSplit/>
        </w:trPr>
        <w:tc>
          <w:tcPr>
            <w:tcW w:w="1440" w:type="dxa"/>
            <w:vAlign w:val="center"/>
          </w:tcPr>
          <w:p w14:paraId="3FBD8782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30</w:t>
            </w:r>
          </w:p>
        </w:tc>
        <w:tc>
          <w:tcPr>
            <w:tcW w:w="1082" w:type="dxa"/>
            <w:vAlign w:val="center"/>
          </w:tcPr>
          <w:p w14:paraId="650463E3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084" w:type="dxa"/>
            <w:vAlign w:val="center"/>
          </w:tcPr>
          <w:p w14:paraId="7478D740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084" w:type="dxa"/>
            <w:vAlign w:val="center"/>
          </w:tcPr>
          <w:p w14:paraId="5AE69FA5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084" w:type="dxa"/>
            <w:vAlign w:val="center"/>
          </w:tcPr>
          <w:p w14:paraId="5C875E46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084" w:type="dxa"/>
            <w:vAlign w:val="center"/>
          </w:tcPr>
          <w:p w14:paraId="50387B65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084" w:type="dxa"/>
            <w:vAlign w:val="center"/>
          </w:tcPr>
          <w:p w14:paraId="21E2B4F9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</w:tr>
      <w:tr w:rsidR="003362A2" w:rsidRPr="00071B69" w14:paraId="0FD9DACE" w14:textId="77777777" w:rsidTr="001B1A75">
        <w:trPr>
          <w:cantSplit/>
        </w:trPr>
        <w:tc>
          <w:tcPr>
            <w:tcW w:w="1440" w:type="dxa"/>
            <w:vAlign w:val="center"/>
          </w:tcPr>
          <w:p w14:paraId="76444ECD" w14:textId="2C2C3985" w:rsidR="003362A2" w:rsidRPr="00071B69" w:rsidRDefault="00E4343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40</w:t>
            </w:r>
          </w:p>
        </w:tc>
        <w:tc>
          <w:tcPr>
            <w:tcW w:w="1082" w:type="dxa"/>
            <w:vAlign w:val="center"/>
          </w:tcPr>
          <w:p w14:paraId="35901139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084" w:type="dxa"/>
            <w:vAlign w:val="center"/>
          </w:tcPr>
          <w:p w14:paraId="72F19032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084" w:type="dxa"/>
            <w:vAlign w:val="center"/>
          </w:tcPr>
          <w:p w14:paraId="3835BBDC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084" w:type="dxa"/>
            <w:vAlign w:val="center"/>
          </w:tcPr>
          <w:p w14:paraId="0074BDC5" w14:textId="37A75C0A" w:rsidR="003362A2" w:rsidRPr="00071B69" w:rsidRDefault="00E4343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084" w:type="dxa"/>
            <w:vAlign w:val="center"/>
          </w:tcPr>
          <w:p w14:paraId="19A0CFB0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084" w:type="dxa"/>
            <w:vAlign w:val="center"/>
          </w:tcPr>
          <w:p w14:paraId="494C515B" w14:textId="2A82B25E" w:rsidR="003362A2" w:rsidRPr="00071B69" w:rsidRDefault="00E4343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</w:tr>
    </w:tbl>
    <w:p w14:paraId="074D3A27" w14:textId="77777777" w:rsidR="00E0510C" w:rsidRPr="00071B69" w:rsidRDefault="00E0510C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7AC9DE7C" w14:textId="4CB5CA8B" w:rsidR="006C6B3A" w:rsidRPr="00071B69" w:rsidRDefault="00EA452C" w:rsidP="0013784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/>
          <w:szCs w:val="22"/>
        </w:rPr>
      </w:pPr>
      <w:r w:rsidRPr="00071B69">
        <w:rPr>
          <w:bCs/>
          <w:i/>
          <w:szCs w:val="22"/>
        </w:rPr>
        <w:t>Starší (od 65 rokov)</w:t>
      </w:r>
    </w:p>
    <w:p w14:paraId="72468570" w14:textId="1B82CFA9" w:rsidR="00EA452C" w:rsidRPr="00071B69" w:rsidRDefault="006C6B3A" w:rsidP="00137842">
      <w:pPr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071B69">
        <w:t>Tak ako pri iných anticholinergických liekoch je potrebné byť opatrní u oslabených a starších pacientov, najmä ak sa vyžadujú dávky vyššie ako 30 mg denne.</w:t>
      </w:r>
    </w:p>
    <w:p w14:paraId="43184125" w14:textId="212B4A6F" w:rsidR="00A1075A" w:rsidRPr="00071B69" w:rsidRDefault="00A1075A" w:rsidP="00137842">
      <w:pPr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i/>
          <w:szCs w:val="22"/>
        </w:rPr>
      </w:pPr>
    </w:p>
    <w:p w14:paraId="73C51AFD" w14:textId="77777777" w:rsidR="00E033C8" w:rsidRPr="00071B69" w:rsidRDefault="00E033C8" w:rsidP="0013784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bCs/>
          <w:i/>
          <w:szCs w:val="22"/>
        </w:rPr>
      </w:pPr>
      <w:r w:rsidRPr="00071B69">
        <w:rPr>
          <w:bCs/>
          <w:i/>
          <w:szCs w:val="22"/>
        </w:rPr>
        <w:t>Porucha funkcie pečene alebo obličiek</w:t>
      </w:r>
    </w:p>
    <w:p w14:paraId="6BA95EBC" w14:textId="1A6725A2" w:rsidR="00E033C8" w:rsidRPr="00071B69" w:rsidRDefault="00071B69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>
        <w:t>VESOXX 1 mg/ml</w:t>
      </w:r>
      <w:r w:rsidR="00E033C8" w:rsidRPr="00071B69">
        <w:t xml:space="preserve"> sa má používať s opatrnosťou u pacientov s po</w:t>
      </w:r>
      <w:r w:rsidR="00B9348E">
        <w:t>ruchou</w:t>
      </w:r>
      <w:r w:rsidR="00E033C8" w:rsidRPr="00071B69">
        <w:t xml:space="preserve"> funkcie pečene alebo obličiek. Použitie </w:t>
      </w:r>
      <w:r>
        <w:t>VESOXX 1 mg/ml</w:t>
      </w:r>
      <w:r w:rsidR="00E033C8" w:rsidRPr="00071B69">
        <w:t xml:space="preserve"> u týchto pacientov sa má starostlivo sledovať a môže byť potrebné zníženie dávky.</w:t>
      </w:r>
    </w:p>
    <w:p w14:paraId="5BA431D4" w14:textId="77777777" w:rsidR="00E033C8" w:rsidRPr="00071B69" w:rsidRDefault="00E033C8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5A1DE57F" w14:textId="675F0149" w:rsidR="00C53ACC" w:rsidRPr="00071B69" w:rsidRDefault="00C53ACC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Spôsob podávania</w:t>
      </w:r>
    </w:p>
    <w:p w14:paraId="62D30EAB" w14:textId="1122C7DC" w:rsidR="00493765" w:rsidRPr="00071B69" w:rsidRDefault="006C6B3A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Intravezikálne použitie.</w:t>
      </w:r>
    </w:p>
    <w:p w14:paraId="55E698E0" w14:textId="77777777" w:rsidR="00493765" w:rsidRPr="00071B69" w:rsidRDefault="00493765" w:rsidP="00137842">
      <w:pPr>
        <w:keepLines/>
        <w:tabs>
          <w:tab w:val="clear" w:pos="567"/>
        </w:tabs>
        <w:spacing w:line="240" w:lineRule="auto"/>
        <w:rPr>
          <w:b/>
          <w:szCs w:val="22"/>
        </w:rPr>
      </w:pPr>
    </w:p>
    <w:p w14:paraId="178B2758" w14:textId="42C143D5" w:rsidR="00D53D0C" w:rsidRPr="00071B69" w:rsidRDefault="00D53D0C" w:rsidP="00137842">
      <w:pPr>
        <w:keepLines/>
        <w:tabs>
          <w:tab w:val="clear" w:pos="567"/>
        </w:tabs>
        <w:spacing w:line="240" w:lineRule="auto"/>
        <w:rPr>
          <w:b/>
          <w:szCs w:val="22"/>
        </w:rPr>
      </w:pPr>
      <w:r w:rsidRPr="00071B69">
        <w:t xml:space="preserve">Na zaistenie bezpečnej a účinnej liečby musia byť pacienti oboznámení s postupom čistej </w:t>
      </w:r>
      <w:r w:rsidR="00FD2412" w:rsidRPr="00071B69">
        <w:t>intermitent</w:t>
      </w:r>
      <w:r w:rsidRPr="00071B69">
        <w:t>ej katetrizácie (CIC). Pacienti a/alebo príbuzní, opatrovatelia musia byť vyškolení o CIC a postupe podávania odbornými zdravotníckymi pracovníkmi.</w:t>
      </w:r>
    </w:p>
    <w:p w14:paraId="57631D97" w14:textId="77777777" w:rsidR="00277414" w:rsidRPr="00071B69" w:rsidRDefault="00277414" w:rsidP="00137842">
      <w:pPr>
        <w:keepLines/>
        <w:tabs>
          <w:tab w:val="clear" w:pos="567"/>
        </w:tabs>
        <w:spacing w:line="240" w:lineRule="auto"/>
        <w:rPr>
          <w:bCs/>
          <w:szCs w:val="22"/>
          <w:lang w:eastAsia="x-none"/>
        </w:rPr>
      </w:pPr>
    </w:p>
    <w:p w14:paraId="79696C02" w14:textId="55B758A9" w:rsidR="00BE5D74" w:rsidRPr="00071B69" w:rsidRDefault="00932D78" w:rsidP="00137842">
      <w:pPr>
        <w:keepLines/>
        <w:tabs>
          <w:tab w:val="clear" w:pos="567"/>
        </w:tabs>
        <w:spacing w:line="240" w:lineRule="auto"/>
        <w:rPr>
          <w:bCs/>
          <w:szCs w:val="22"/>
        </w:rPr>
      </w:pPr>
      <w:r w:rsidRPr="00071B69">
        <w:t>Keď sú podmienky prostredia aseptické, do močového mechúra sa vloží sterilný jednorazový uretrálny katéter. Močový mechúr musí byť pred instiláciou úplne vyprázdnený.</w:t>
      </w:r>
    </w:p>
    <w:p w14:paraId="29BB8539" w14:textId="77777777" w:rsidR="008E0FFC" w:rsidRPr="00071B69" w:rsidRDefault="008E0FFC" w:rsidP="00137842">
      <w:pPr>
        <w:keepLines/>
        <w:tabs>
          <w:tab w:val="clear" w:pos="567"/>
        </w:tabs>
        <w:spacing w:line="240" w:lineRule="auto"/>
        <w:rPr>
          <w:bCs/>
          <w:szCs w:val="22"/>
          <w:lang w:eastAsia="x-none"/>
        </w:rPr>
      </w:pPr>
    </w:p>
    <w:p w14:paraId="43F26FE4" w14:textId="021B7FC9" w:rsidR="00E7388D" w:rsidRPr="00071B69" w:rsidRDefault="00EA4D2B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7C4AD3">
        <w:t>Kalibrovaná</w:t>
      </w:r>
      <w:r w:rsidR="00E7388D" w:rsidRPr="007C4AD3">
        <w:t xml:space="preserve"> n</w:t>
      </w:r>
      <w:r w:rsidR="00E7388D" w:rsidRPr="00071B69">
        <w:t xml:space="preserve">aplnená injekčná striekačka sa vyberie z </w:t>
      </w:r>
      <w:r w:rsidR="00E7388D" w:rsidRPr="00F433A7">
        <w:t>vrecka a</w:t>
      </w:r>
      <w:r w:rsidR="00E7388D" w:rsidRPr="00071B69">
        <w:t xml:space="preserve"> zo striekačky sa odstráni </w:t>
      </w:r>
      <w:r w:rsidR="00E7388D" w:rsidRPr="00F433A7">
        <w:t>viečko</w:t>
      </w:r>
      <w:r w:rsidR="00E7388D" w:rsidRPr="00071B69">
        <w:t xml:space="preserve">. </w:t>
      </w:r>
    </w:p>
    <w:p w14:paraId="430EA1C9" w14:textId="77777777" w:rsidR="00D53D0C" w:rsidRPr="00071B69" w:rsidRDefault="00D53D0C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6409A8B8" w14:textId="46BB5DF6" w:rsidR="00EC31D6" w:rsidRPr="00071B69" w:rsidRDefault="00BA3553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Na špičke injekčnej striekačky je naskrutkovaný stupňovitý kužeľový adaptér typu luer-lock. Pomocou stupňovitého kužeľového adaptéra luer-lock sa injekčná striekačka pripojí ku katétru. Požadované množstvo roztoku oxybutynínu sa zavedie do močového mechúra konštantným stláčaním piesta injekčnej striekačky.</w:t>
      </w:r>
    </w:p>
    <w:p w14:paraId="7626F5BB" w14:textId="77777777" w:rsidR="006C349D" w:rsidRPr="00071B69" w:rsidRDefault="006C349D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03DB7BC" w14:textId="740203E1" w:rsidR="006C349D" w:rsidRPr="00071B69" w:rsidRDefault="006C349D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Ak sa vyžaduje aplikácia menšia ako 10 ml (</w:t>
      </w:r>
      <w:r w:rsidRPr="00EA4D2B">
        <w:t>obsah</w:t>
      </w:r>
      <w:r w:rsidR="00EA4D2B">
        <w:t xml:space="preserve"> jednej</w:t>
      </w:r>
      <w:r w:rsidRPr="00071B69">
        <w:t xml:space="preserve"> injekčnej striekačky), roztok, ktorý sa nepoužije, zostane v injekčnej striekačke, ktorú je potrebné odniesť do lekárne na neskoršiu likvidáciu.</w:t>
      </w:r>
    </w:p>
    <w:p w14:paraId="2DA3AB2F" w14:textId="138D6DDE" w:rsidR="001A0992" w:rsidRPr="00071B69" w:rsidRDefault="001A0992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4A0A7EF2" w14:textId="3D6CB0C5" w:rsidR="00D232CF" w:rsidRPr="00071B69" w:rsidRDefault="00493765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Po instilácii sa katéter odstráni.</w:t>
      </w:r>
    </w:p>
    <w:p w14:paraId="66D0FF45" w14:textId="62FAC954" w:rsidR="00CD152E" w:rsidRPr="00071B69" w:rsidRDefault="00CD152E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19E6FD5" w14:textId="535441A1" w:rsidR="00660845" w:rsidRPr="00071B69" w:rsidRDefault="00560DFB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Instilovaný roztok zostáva v močovom mechúri až do ďalšej katetrizácie.</w:t>
      </w:r>
    </w:p>
    <w:p w14:paraId="69252D89" w14:textId="77777777" w:rsidR="00660845" w:rsidRPr="00071B69" w:rsidRDefault="00660845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7ADDF89E" w14:textId="1B695F6F" w:rsidR="001C5ACC" w:rsidRPr="00071B69" w:rsidRDefault="00C873E8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Nepoužitý liek, uretrálny katéter a stupňovitý kužeľový adaptér luer-lock sa musia zlikvidovať.</w:t>
      </w:r>
    </w:p>
    <w:p w14:paraId="7F2923BB" w14:textId="77777777" w:rsidR="00702303" w:rsidRPr="00071B69" w:rsidRDefault="00702303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5EAA4B07" w14:textId="3B22EEFB" w:rsidR="00567427" w:rsidRPr="00071B69" w:rsidRDefault="001B20F0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Trvanie liečby závisí od symptómov, základnej choroby a/lebo cieľa liečby a stanoví ho ošetrujúci lekár.</w:t>
      </w:r>
    </w:p>
    <w:p w14:paraId="4850E474" w14:textId="77777777" w:rsidR="00557571" w:rsidRPr="00071B69" w:rsidRDefault="00557571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6259227C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4.3</w:t>
      </w:r>
      <w:r w:rsidRPr="00071B69">
        <w:rPr>
          <w:b/>
          <w:szCs w:val="22"/>
        </w:rPr>
        <w:tab/>
        <w:t>Kontraindikácie</w:t>
      </w:r>
    </w:p>
    <w:p w14:paraId="108CE1EA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07C392F2" w14:textId="70683E65" w:rsidR="001D29E6" w:rsidRPr="00071B69" w:rsidRDefault="001D29E6" w:rsidP="00137842">
      <w:pPr>
        <w:pStyle w:val="Odsekzoznamu"/>
        <w:keepLines/>
        <w:numPr>
          <w:ilvl w:val="0"/>
          <w:numId w:val="50"/>
        </w:numPr>
        <w:tabs>
          <w:tab w:val="clear" w:pos="567"/>
        </w:tabs>
        <w:spacing w:line="240" w:lineRule="auto"/>
        <w:ind w:left="0" w:firstLine="0"/>
        <w:rPr>
          <w:color w:val="000000"/>
          <w:szCs w:val="22"/>
        </w:rPr>
      </w:pPr>
      <w:r w:rsidRPr="00071B69">
        <w:rPr>
          <w:color w:val="000000"/>
          <w:szCs w:val="22"/>
        </w:rPr>
        <w:t>Precitlivenosť na liečivo alebo na ktorúkoľvek z pomocných látok uvedených v časti 6.1.</w:t>
      </w:r>
    </w:p>
    <w:p w14:paraId="2A8823C2" w14:textId="0B5414F4" w:rsidR="00F94131" w:rsidRPr="00071B69" w:rsidRDefault="00EE178E" w:rsidP="00137842">
      <w:pPr>
        <w:pStyle w:val="Odsekzoznamu"/>
        <w:keepLines/>
        <w:numPr>
          <w:ilvl w:val="0"/>
          <w:numId w:val="50"/>
        </w:numPr>
        <w:tabs>
          <w:tab w:val="clear" w:pos="567"/>
        </w:tabs>
        <w:spacing w:line="240" w:lineRule="auto"/>
        <w:ind w:left="0" w:firstLine="0"/>
        <w:rPr>
          <w:color w:val="000000"/>
          <w:szCs w:val="22"/>
        </w:rPr>
      </w:pPr>
      <w:r w:rsidRPr="00071B69">
        <w:rPr>
          <w:color w:val="000000"/>
          <w:szCs w:val="22"/>
        </w:rPr>
        <w:t>Závažné gastrointestinálne stavy (napríklad závažná ulcerózna kolitída a toxický megakolón)</w:t>
      </w:r>
    </w:p>
    <w:p w14:paraId="347EE8B0" w14:textId="77777777" w:rsidR="00447059" w:rsidRPr="00EA4D2B" w:rsidRDefault="00EE178E" w:rsidP="00137842">
      <w:pPr>
        <w:pStyle w:val="Odsekzoznamu"/>
        <w:keepLines/>
        <w:numPr>
          <w:ilvl w:val="0"/>
          <w:numId w:val="50"/>
        </w:numPr>
        <w:tabs>
          <w:tab w:val="clear" w:pos="567"/>
        </w:tabs>
        <w:spacing w:line="240" w:lineRule="auto"/>
        <w:ind w:left="0" w:firstLine="0"/>
        <w:rPr>
          <w:color w:val="000000"/>
          <w:szCs w:val="22"/>
        </w:rPr>
      </w:pPr>
      <w:r w:rsidRPr="00EA4D2B">
        <w:rPr>
          <w:color w:val="000000"/>
          <w:szCs w:val="22"/>
        </w:rPr>
        <w:t>Ťažká myasténia</w:t>
      </w:r>
    </w:p>
    <w:p w14:paraId="35F3ADA7" w14:textId="3A70234A" w:rsidR="00EE178E" w:rsidRPr="00071B69" w:rsidRDefault="00447059" w:rsidP="00137842">
      <w:pPr>
        <w:pStyle w:val="Odsekzoznamu"/>
        <w:keepLines/>
        <w:numPr>
          <w:ilvl w:val="0"/>
          <w:numId w:val="50"/>
        </w:numPr>
        <w:tabs>
          <w:tab w:val="clear" w:pos="567"/>
        </w:tabs>
        <w:spacing w:line="240" w:lineRule="auto"/>
        <w:ind w:left="0" w:firstLine="0"/>
        <w:rPr>
          <w:color w:val="000000"/>
          <w:szCs w:val="22"/>
        </w:rPr>
      </w:pPr>
      <w:r w:rsidRPr="00071B69">
        <w:rPr>
          <w:color w:val="000000"/>
          <w:szCs w:val="22"/>
        </w:rPr>
        <w:t xml:space="preserve">Glaukóm </w:t>
      </w:r>
      <w:r w:rsidRPr="006331B9">
        <w:rPr>
          <w:color w:val="000000"/>
          <w:szCs w:val="22"/>
        </w:rPr>
        <w:t>s úzkym</w:t>
      </w:r>
      <w:r w:rsidRPr="00071B69">
        <w:rPr>
          <w:color w:val="000000"/>
          <w:szCs w:val="22"/>
        </w:rPr>
        <w:t xml:space="preserve"> uhlom a u pacientov, </w:t>
      </w:r>
      <w:r w:rsidRPr="007817DC">
        <w:rPr>
          <w:color w:val="000000"/>
          <w:szCs w:val="22"/>
        </w:rPr>
        <w:t>ktorí sú ohrození týmito ochoreniami</w:t>
      </w:r>
      <w:r w:rsidRPr="00071B69">
        <w:rPr>
          <w:color w:val="000000"/>
          <w:szCs w:val="22"/>
        </w:rPr>
        <w:t>.</w:t>
      </w:r>
    </w:p>
    <w:p w14:paraId="0E15E53C" w14:textId="7907FA79" w:rsidR="003D7F1E" w:rsidRPr="00071B69" w:rsidRDefault="003D7F1E" w:rsidP="00137842">
      <w:pPr>
        <w:pStyle w:val="Odsekzoznamu"/>
        <w:keepLines/>
        <w:numPr>
          <w:ilvl w:val="0"/>
          <w:numId w:val="50"/>
        </w:numPr>
        <w:tabs>
          <w:tab w:val="clear" w:pos="567"/>
        </w:tabs>
        <w:spacing w:line="240" w:lineRule="auto"/>
        <w:ind w:left="0" w:firstLine="0"/>
        <w:rPr>
          <w:color w:val="000000"/>
          <w:szCs w:val="22"/>
        </w:rPr>
      </w:pPr>
      <w:r w:rsidRPr="00071B69">
        <w:rPr>
          <w:color w:val="000000"/>
          <w:szCs w:val="22"/>
        </w:rPr>
        <w:t>Súbežná terapia kyslíkom</w:t>
      </w:r>
    </w:p>
    <w:p w14:paraId="1400C55D" w14:textId="77777777" w:rsidR="00567427" w:rsidRPr="00071B69" w:rsidRDefault="00567427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6906F1BF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4.4</w:t>
      </w:r>
      <w:r w:rsidRPr="00071B69">
        <w:rPr>
          <w:b/>
          <w:szCs w:val="22"/>
        </w:rPr>
        <w:tab/>
        <w:t>Osobitné upozornenia a opatrenia pri používaní</w:t>
      </w:r>
    </w:p>
    <w:p w14:paraId="4A752266" w14:textId="77777777" w:rsidR="00C53ACC" w:rsidRPr="00071B69" w:rsidRDefault="00C53ACC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7000C94D" w14:textId="77777777" w:rsidR="00332EC1" w:rsidRPr="00071B69" w:rsidRDefault="00332EC1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Pri infekcii močových ciest sa má začať vhodná antibakteriálna liečba.</w:t>
      </w:r>
    </w:p>
    <w:p w14:paraId="693776F9" w14:textId="77777777" w:rsidR="00332EC1" w:rsidRPr="00071B69" w:rsidRDefault="00332EC1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387B9140" w14:textId="30CDED73" w:rsidR="00332EC1" w:rsidRPr="00071B69" w:rsidRDefault="00071B69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>
        <w:t>VESOXX 1 mg/ml</w:t>
      </w:r>
      <w:r w:rsidR="00F91ADE" w:rsidRPr="00071B69">
        <w:t xml:space="preserve"> sa má používať s opatrnosťou u starších pacientov, ktorí môžu byť citlivejší na účinky centrálne pôsobiacich anticholinergík.</w:t>
      </w:r>
    </w:p>
    <w:p w14:paraId="778022E2" w14:textId="77777777" w:rsidR="00F94131" w:rsidRPr="00071B69" w:rsidRDefault="00F94131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3E19BE49" w14:textId="4022A141" w:rsidR="00597B46" w:rsidRPr="00071B69" w:rsidRDefault="00597B46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S používaním oxybutynínu sú spojené psychiatrické účinky a udalosti súvisiace s vplyvom anticholinergík na CNS, ako sú poruchy spánku (napr. nespavosť) a kognitívne poruchy, najmä u starších pacientov. Pri podávaní oxybutynínu súbežne s inými anticholinergickými liekmi sa vyžaduje obozretnosť (pozri tiež časť 4.5). Ak sa u pacienta vyskytnú takéto udalosti, treba zvážiť vysadenie lieku.</w:t>
      </w:r>
    </w:p>
    <w:p w14:paraId="413D7D31" w14:textId="77777777" w:rsidR="00597B46" w:rsidRPr="00071B69" w:rsidRDefault="00597B46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52BF9EF4" w14:textId="77777777" w:rsidR="00DE6C78" w:rsidRPr="00071B69" w:rsidRDefault="00DE6C78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384DDE">
        <w:t>Sublingválne dusičnany</w:t>
      </w:r>
      <w:r w:rsidRPr="00071B69">
        <w:t xml:space="preserve"> sa v dôsledku sucha v ústach nedokážu rozpustiť pod jazykom, čo vedie k zníženiu liečebného účinku.</w:t>
      </w:r>
    </w:p>
    <w:p w14:paraId="1C41CF22" w14:textId="77777777" w:rsidR="00DE6C78" w:rsidRPr="00071B69" w:rsidRDefault="00DE6C78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09C721C1" w14:textId="4559DCAF" w:rsidR="00332EC1" w:rsidRPr="00071B69" w:rsidRDefault="003A4850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Užívanie/podávanie liekov na báze oxybutynínu môže vyžadovať nasledujúce upozornenia:</w:t>
      </w:r>
    </w:p>
    <w:p w14:paraId="773E96C4" w14:textId="77777777" w:rsidR="00557571" w:rsidRPr="00071B69" w:rsidRDefault="00557571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372ACBE0" w14:textId="6FA47B6F" w:rsidR="00332EC1" w:rsidRPr="00071B69" w:rsidRDefault="00332EC1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rPr>
          <w:i/>
          <w:szCs w:val="22"/>
        </w:rPr>
        <w:lastRenderedPageBreak/>
        <w:t>Poruchy gastrointestinálneho traktu</w:t>
      </w:r>
      <w:r w:rsidRPr="00071B69">
        <w:t xml:space="preserve"> </w:t>
      </w:r>
    </w:p>
    <w:p w14:paraId="2E39E913" w14:textId="291F070E" w:rsidR="00332EC1" w:rsidRPr="00071B69" w:rsidRDefault="00332EC1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Anticholinergické lieky môžu znižovať gastrointestinálnu motilitu a s ohľadom na riziko gastrickej retencie je pri ich používaní u pacientov s gastrointestinálnymi obštrukčnými ochoreniami potrebná zvýšená opatrnosť. Mali by sa používať opatrne aj u pacientov, ktorí majú </w:t>
      </w:r>
      <w:r w:rsidRPr="007C4AD3">
        <w:t>h</w:t>
      </w:r>
      <w:r w:rsidR="00354AB3" w:rsidRPr="007C4AD3">
        <w:t>i</w:t>
      </w:r>
      <w:r w:rsidRPr="007C4AD3">
        <w:t>átovú</w:t>
      </w:r>
      <w:r w:rsidRPr="00071B69">
        <w:t xml:space="preserve"> herniu/gastroezofageálny reflux.</w:t>
      </w:r>
    </w:p>
    <w:p w14:paraId="5E45C3E4" w14:textId="77777777" w:rsidR="0034525B" w:rsidRPr="00071B69" w:rsidRDefault="0034525B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287AFD8D" w14:textId="6888F41C" w:rsidR="000356F2" w:rsidRPr="00071B69" w:rsidRDefault="00332EC1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Anticholinergické lieky sa majú používať opatrne u pacientov, ktorí majú autonómnu neuropatiu alebo kognitívne poruchy.</w:t>
      </w:r>
    </w:p>
    <w:p w14:paraId="115DC63E" w14:textId="77777777" w:rsidR="000356F2" w:rsidRPr="00071B69" w:rsidRDefault="000356F2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558AFEF4" w14:textId="77777777" w:rsidR="00332EC1" w:rsidRPr="00071B69" w:rsidRDefault="00332EC1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Pacientov treba informovať, že pri používaní anticholinergík, ako je oxybutynín, v horúcom prostredí sa môže prejaviť vyčerpanosť z tepla (horúčka a </w:t>
      </w:r>
      <w:r w:rsidRPr="007817DC">
        <w:t>úpal</w:t>
      </w:r>
      <w:r w:rsidRPr="00071B69">
        <w:t xml:space="preserve"> v dôsledku zníženého potenia). </w:t>
      </w:r>
    </w:p>
    <w:p w14:paraId="5063CCF4" w14:textId="77777777" w:rsidR="0002180D" w:rsidRPr="00071B69" w:rsidRDefault="0002180D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1FBA7F37" w14:textId="77777777" w:rsidR="000356F2" w:rsidRPr="00071B69" w:rsidRDefault="00332EC1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Oxybutynín môže zhoršovať príznaky hypertyreoidizmu, koronárneho srdcového ochorenia, kongestívneho zlyhania srdca, srdcových arytmií, tachykardie, hypertenzie a hypertrofie prostaty.</w:t>
      </w:r>
    </w:p>
    <w:p w14:paraId="50AF1AE6" w14:textId="77777777" w:rsidR="000356F2" w:rsidRPr="00071B69" w:rsidRDefault="000356F2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68A7D30D" w14:textId="4F797204" w:rsidR="00332EC1" w:rsidRPr="00071B69" w:rsidRDefault="00332EC1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Oxybutynín môže potláčať sekréciu slín, čo môže viesť k vzniku zubného kazu, paradentóze alebo orálnej kandidóze.</w:t>
      </w:r>
    </w:p>
    <w:p w14:paraId="25A5FB53" w14:textId="77777777" w:rsidR="00F94131" w:rsidRPr="00071B69" w:rsidRDefault="00F94131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6BA76EF3" w14:textId="77777777" w:rsidR="00C53ACC" w:rsidRPr="00071B69" w:rsidRDefault="000356F2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Pediatrická populácia</w:t>
      </w:r>
    </w:p>
    <w:p w14:paraId="034CA4F5" w14:textId="671B2506" w:rsidR="004A15ED" w:rsidRPr="00071B69" w:rsidRDefault="004A15ED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U detí sa má </w:t>
      </w:r>
      <w:r w:rsidR="00071B69">
        <w:t>VESOXX 1 mg/ml</w:t>
      </w:r>
      <w:r w:rsidRPr="00071B69">
        <w:t xml:space="preserve"> používať opatrne, pretože môžu byť citlivejšie na účinky lieku, najmä môže vyvolať</w:t>
      </w:r>
      <w:r w:rsidR="00AA052D" w:rsidRPr="00071B69">
        <w:t>na</w:t>
      </w:r>
      <w:r w:rsidRPr="00071B69">
        <w:t xml:space="preserve"> nežiaducie reakcie na CNS a psychiatrické nežiaduce reakcie.</w:t>
      </w:r>
    </w:p>
    <w:p w14:paraId="595E91B1" w14:textId="77777777" w:rsidR="004A15ED" w:rsidRPr="00071B69" w:rsidRDefault="004A15ED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C081CA7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4.5</w:t>
      </w:r>
      <w:r w:rsidRPr="00071B69">
        <w:rPr>
          <w:b/>
          <w:szCs w:val="22"/>
        </w:rPr>
        <w:tab/>
        <w:t>Liekové a iné interakcie</w:t>
      </w:r>
    </w:p>
    <w:p w14:paraId="01EB1926" w14:textId="77777777" w:rsidR="0034525B" w:rsidRPr="00071B69" w:rsidRDefault="0034525B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6F763479" w14:textId="77777777" w:rsidR="003A1927" w:rsidRPr="00071B69" w:rsidRDefault="0094235A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EA4D2B">
        <w:t>Anticholinergické látky</w:t>
      </w:r>
      <w:r w:rsidRPr="00071B69">
        <w:t xml:space="preserve"> môžu v dôsledku anticholinergických účinkov na gastrointestinálnu motilitu potenciálne meniť vstrebávanie niektorých súbežne podávaných liekov. </w:t>
      </w:r>
    </w:p>
    <w:p w14:paraId="0D8CD2B4" w14:textId="77777777" w:rsidR="00393C57" w:rsidRPr="00071B69" w:rsidRDefault="00393C57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6E7C0639" w14:textId="77777777" w:rsidR="00393C57" w:rsidRPr="00071B69" w:rsidRDefault="00393C57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EA4D2B">
        <w:t>Anticholinergné lieky</w:t>
      </w:r>
      <w:r w:rsidRPr="00071B69">
        <w:t xml:space="preserve"> sa majú používať opatrne u pacientov, ktorí súbežne užívajú lieky (ako sú bisfosfonáty), ktoré môžu vyvolať alebo zhoršiť ezofagitídu.</w:t>
      </w:r>
    </w:p>
    <w:p w14:paraId="2DA080A5" w14:textId="77777777" w:rsidR="0094235A" w:rsidRPr="00071B69" w:rsidRDefault="0094235A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70E5E119" w14:textId="0C5BC1FC" w:rsidR="003A1927" w:rsidRPr="00071B69" w:rsidRDefault="003A1927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Oxybutynín sa metabolizuje izoenzýmom CYP 3A4 cytochrómu P 450. Aplikáciou oxybutynínu intravezikálne sa tento metabolizmus prvého prechodu zväčša obchádza. Interakcie s liekmi, ktoré inhibujú izoenzým CYP 3A4 cytochrómu P 450, však nemožno vylúčiť. Toto sa musí zohľadniť pri používaní azolových </w:t>
      </w:r>
      <w:r w:rsidR="00354AB3" w:rsidRPr="007C4AD3">
        <w:t>antimykotík</w:t>
      </w:r>
      <w:r w:rsidRPr="00071B69">
        <w:t xml:space="preserve"> (napr. ketokonazolu) alebo makrolidových antibiotík (napr. erytromycínu) súbežne s oxybutynínom. </w:t>
      </w:r>
    </w:p>
    <w:p w14:paraId="445DD173" w14:textId="77777777" w:rsidR="003A1927" w:rsidRPr="00071B69" w:rsidRDefault="003A1927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12E8EE58" w14:textId="3D04DCF7" w:rsidR="00B65EB1" w:rsidRPr="00071B69" w:rsidRDefault="0094235A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Anticholin</w:t>
      </w:r>
      <w:r w:rsidRPr="00EA4D2B">
        <w:t>ergická</w:t>
      </w:r>
      <w:r w:rsidRPr="00071B69">
        <w:t xml:space="preserve"> aktivita oxybutynínu sa zvyšuje pri súbežnom používaní s inými anticholinergikami alebo liekmi s anticholinergickou aktivitou, ako je amantadín a iné anticholinergické antiparkinsoniká (napr. biperidén, levodopa), antihistaminiká, antipsychotiká (napr. fenotiazíny, butyrofenóny, klozapín), chinidín, tricyklické antidepresíva, atropín a príbuzné zlúčeniny, ako sú atropínové spazmolytiká a dipyridamol.</w:t>
      </w:r>
    </w:p>
    <w:p w14:paraId="020C5E9F" w14:textId="77777777" w:rsidR="0094235A" w:rsidRPr="00071B69" w:rsidRDefault="0094235A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2F969C88" w14:textId="15065F49" w:rsidR="0094235A" w:rsidRPr="00071B69" w:rsidRDefault="0094235A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 xml:space="preserve">Oxybutynín môže </w:t>
      </w:r>
      <w:r w:rsidRPr="0099002A">
        <w:t>antagonizovať</w:t>
      </w:r>
      <w:r w:rsidRPr="00071B69">
        <w:t xml:space="preserve"> prokinetickú liečbu.</w:t>
      </w:r>
    </w:p>
    <w:p w14:paraId="53357427" w14:textId="77777777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44B5E0DF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4.6</w:t>
      </w:r>
      <w:r w:rsidRPr="00071B69">
        <w:rPr>
          <w:b/>
          <w:szCs w:val="22"/>
        </w:rPr>
        <w:tab/>
        <w:t>Fertilita, gravidita a laktácia</w:t>
      </w:r>
    </w:p>
    <w:p w14:paraId="70C64B91" w14:textId="77777777" w:rsidR="00F65BA2" w:rsidRPr="00071B69" w:rsidRDefault="00F65BA2" w:rsidP="00137842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14:paraId="5671AC66" w14:textId="176845A0" w:rsidR="00D17998" w:rsidRPr="00071B69" w:rsidRDefault="00553891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Gravidita</w:t>
      </w:r>
    </w:p>
    <w:p w14:paraId="78FFAFF6" w14:textId="44327ABB" w:rsidR="00771B9D" w:rsidRPr="00071B69" w:rsidRDefault="00D17998" w:rsidP="00137842">
      <w:pPr>
        <w:pStyle w:val="Default"/>
        <w:keepLines/>
        <w:rPr>
          <w:i/>
          <w:iCs/>
          <w:sz w:val="22"/>
          <w:szCs w:val="22"/>
        </w:rPr>
      </w:pPr>
      <w:r w:rsidRPr="00071B69">
        <w:rPr>
          <w:sz w:val="22"/>
          <w:szCs w:val="22"/>
        </w:rPr>
        <w:t xml:space="preserve">Nie sú k dispozícii žiadne údaje o intravezikálnom používaní oxybutynínu u tehotných žien. Štúdie na zvieratách preukázali miernu reprodukčnú toxicitu (pozri časť 5.3). </w:t>
      </w:r>
      <w:r w:rsidR="00071B69">
        <w:rPr>
          <w:sz w:val="22"/>
          <w:szCs w:val="22"/>
        </w:rPr>
        <w:t>VESOXX 1 mg/ml</w:t>
      </w:r>
      <w:r w:rsidRPr="00071B69">
        <w:rPr>
          <w:sz w:val="22"/>
          <w:szCs w:val="22"/>
        </w:rPr>
        <w:t xml:space="preserve"> sa nesmie používať počas tehotenstva, pokiaľ klinický stav ž</w:t>
      </w:r>
      <w:r w:rsidR="00A75947" w:rsidRPr="00071B69">
        <w:rPr>
          <w:sz w:val="22"/>
          <w:szCs w:val="22"/>
        </w:rPr>
        <w:t>eny</w:t>
      </w:r>
      <w:r w:rsidRPr="00071B69">
        <w:rPr>
          <w:sz w:val="22"/>
          <w:szCs w:val="22"/>
        </w:rPr>
        <w:t xml:space="preserve"> nevyžaduje liečbu.</w:t>
      </w:r>
    </w:p>
    <w:p w14:paraId="04186079" w14:textId="77777777" w:rsidR="003017C4" w:rsidRPr="00071B69" w:rsidRDefault="003017C4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42613B3E" w14:textId="3BC68880" w:rsidR="00D17998" w:rsidRPr="00071B69" w:rsidRDefault="00D17998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Dojčenie</w:t>
      </w:r>
    </w:p>
    <w:p w14:paraId="2909C005" w14:textId="65A1CB47" w:rsidR="00D17998" w:rsidRPr="00071B69" w:rsidRDefault="00D17998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Dostupné informácie preukazujú, že oxybutynín sa vylučuje do mlieka potkanov, nie je však známe, či sa vylučuje aj do ľudského materského mlieka. Používanie oxybutynínu sa neodporúča počas dojčenia. </w:t>
      </w:r>
    </w:p>
    <w:p w14:paraId="0B005D3B" w14:textId="77777777" w:rsidR="00771B9D" w:rsidRPr="00071B69" w:rsidRDefault="00771B9D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7618390F" w14:textId="5F9B4075" w:rsidR="00D17998" w:rsidRPr="00071B69" w:rsidRDefault="00553891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lastRenderedPageBreak/>
        <w:t>Fertilita</w:t>
      </w:r>
    </w:p>
    <w:p w14:paraId="1A51EBF6" w14:textId="77777777" w:rsidR="00D17998" w:rsidRPr="00071B69" w:rsidRDefault="00D17998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 xml:space="preserve">Údaje o možných účinkoch užívania oxybutynínu u ľudí na plodnosť mužov a žien nie sú k dispozícii. </w:t>
      </w:r>
    </w:p>
    <w:p w14:paraId="5ED3E0D3" w14:textId="77777777" w:rsidR="00D17998" w:rsidRPr="00071B69" w:rsidRDefault="00D17998" w:rsidP="00137842">
      <w:pPr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14:paraId="64AB35A7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4.7</w:t>
      </w:r>
      <w:r w:rsidRPr="00071B69">
        <w:rPr>
          <w:b/>
          <w:szCs w:val="22"/>
        </w:rPr>
        <w:tab/>
        <w:t>Ovplyvnenie schopnosti viesť vozidlá a obsluhovať stroje</w:t>
      </w:r>
    </w:p>
    <w:p w14:paraId="17362661" w14:textId="77777777" w:rsidR="00F65BA2" w:rsidRPr="00071B69" w:rsidRDefault="00F65BA2" w:rsidP="00137842">
      <w:pPr>
        <w:keepNext/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0FF0B8D7" w14:textId="6204B140" w:rsidR="00F65BA2" w:rsidRPr="00071B69" w:rsidRDefault="00F65BA2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Vzhľadom na to, že </w:t>
      </w:r>
      <w:r w:rsidR="00071B69">
        <w:t>VESOXX 1 mg/ml</w:t>
      </w:r>
      <w:r w:rsidRPr="00071B69">
        <w:t xml:space="preserve"> môže spôsobiť ospalosť alebo poruchy akomodácie, pacienti majú byť upozornení, aby boli opatrní pri vedení vozidla alebo obsluhe strojov.</w:t>
      </w:r>
    </w:p>
    <w:p w14:paraId="20EFD052" w14:textId="18B8CE21" w:rsidR="00F65BA2" w:rsidRPr="00071B69" w:rsidRDefault="00F65BA2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594F49B2" w14:textId="38C3991D" w:rsidR="00DE6C78" w:rsidRPr="00071B69" w:rsidRDefault="00DE6C78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Pacientov treba informovať, že alkohol môže zvyšovať ospalosť spôsobenú anticholinergickými </w:t>
      </w:r>
      <w:r w:rsidRPr="005D68BE">
        <w:t>látkami,</w:t>
      </w:r>
      <w:r w:rsidRPr="00071B69">
        <w:t xml:space="preserve"> ako je oxybutynín.</w:t>
      </w:r>
    </w:p>
    <w:p w14:paraId="2B17A6D1" w14:textId="77777777" w:rsidR="00F65BA2" w:rsidRPr="00071B69" w:rsidRDefault="00F65BA2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45676F46" w14:textId="4EFC7C88" w:rsidR="001D29E6" w:rsidRPr="00071B69" w:rsidRDefault="00B65EB1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4.8</w:t>
      </w:r>
      <w:r w:rsidRPr="00071B69">
        <w:rPr>
          <w:b/>
          <w:szCs w:val="22"/>
        </w:rPr>
        <w:tab/>
        <w:t>Nežiaduce účinky</w:t>
      </w:r>
    </w:p>
    <w:p w14:paraId="680675D0" w14:textId="77777777" w:rsidR="00600E28" w:rsidRPr="00071B69" w:rsidRDefault="00600E28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C24B7FB" w14:textId="6F764BB4" w:rsidR="001D29E6" w:rsidRPr="00071B69" w:rsidRDefault="0043602E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Nežiaduce účinky pozorované s oxybutyníniumchloridom, ako je sucho v ústach, somnolencia a zápcha, odrážajú hlavne typické anticholinergné vlastnosti aktívnej zložky.</w:t>
      </w:r>
    </w:p>
    <w:p w14:paraId="187A386C" w14:textId="77777777" w:rsidR="00525811" w:rsidRPr="00071B69" w:rsidRDefault="00525811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08519291" w14:textId="7F90858A" w:rsidR="00936DA2" w:rsidRPr="00071B69" w:rsidRDefault="00C8604C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V tabuľke č. 4 sú uvedené nežiaduce reakcie z klinických štúdií s intravesikálnou aplikáciou oxybutyníniumchloridu. Nežiaduce účinky sú usporiadané podľa triedy orgánových systémov a frekvencie s použitím nasledujúcej konvencie: veľmi časté (</w:t>
      </w:r>
      <w:r w:rsidRPr="00071B69">
        <w:sym w:font="Symbol" w:char="F0B3"/>
      </w:r>
      <w:r w:rsidRPr="00071B69">
        <w:t xml:space="preserve"> 1/10); časté (</w:t>
      </w:r>
      <w:r w:rsidRPr="00071B69">
        <w:sym w:font="Symbol" w:char="F0B3"/>
      </w:r>
      <w:r w:rsidRPr="00071B69">
        <w:t xml:space="preserve"> 1/100 až &lt; 1/10); menej časté (</w:t>
      </w:r>
      <w:r w:rsidRPr="00071B69">
        <w:sym w:font="Symbol" w:char="F0B3"/>
      </w:r>
      <w:r w:rsidRPr="00071B69">
        <w:t xml:space="preserve"> 1/1000 až &lt; 1/100); zriedkavé (</w:t>
      </w:r>
      <w:r w:rsidRPr="00071B69">
        <w:sym w:font="Symbol" w:char="F0B3"/>
      </w:r>
      <w:r w:rsidRPr="00071B69">
        <w:t xml:space="preserve"> 1/10 000 až &lt; 1/1000); veľmi zriedkavé (&lt; 1/10 000); neznáme (z dostupných údajov).</w:t>
      </w:r>
    </w:p>
    <w:p w14:paraId="736EAE93" w14:textId="77777777" w:rsidR="00C8604C" w:rsidRPr="00071B69" w:rsidRDefault="00C8604C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71005ADD" w14:textId="4824AB43" w:rsidR="00C8604C" w:rsidRPr="00071B69" w:rsidRDefault="00C8604C" w:rsidP="00137842">
      <w:pPr>
        <w:keepNext/>
        <w:keepLines/>
        <w:tabs>
          <w:tab w:val="clear" w:pos="567"/>
        </w:tabs>
        <w:spacing w:after="120" w:line="240" w:lineRule="auto"/>
        <w:ind w:left="851" w:hanging="851"/>
        <w:rPr>
          <w:i/>
          <w:szCs w:val="22"/>
        </w:rPr>
      </w:pPr>
      <w:r w:rsidRPr="00071B69">
        <w:rPr>
          <w:i/>
          <w:szCs w:val="22"/>
        </w:rPr>
        <w:t>Tabuľka 4:</w:t>
      </w:r>
      <w:r w:rsidRPr="00071B69">
        <w:rPr>
          <w:i/>
          <w:szCs w:val="22"/>
        </w:rPr>
        <w:tab/>
      </w:r>
      <w:r w:rsidRPr="00071B69">
        <w:rPr>
          <w:i/>
          <w:szCs w:val="22"/>
          <w:u w:val="single"/>
        </w:rPr>
        <w:t>Nežiaduce</w:t>
      </w:r>
      <w:r w:rsidRPr="00071B69">
        <w:rPr>
          <w:i/>
          <w:szCs w:val="22"/>
        </w:rPr>
        <w:t xml:space="preserve"> reakcie z klinických štúdií s intravesikálnou aplikáciou oxybutyníniumchloridu </w:t>
      </w:r>
    </w:p>
    <w:tbl>
      <w:tblPr>
        <w:tblW w:w="91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57" w:type="dxa"/>
          <w:left w:w="30" w:type="dxa"/>
          <w:bottom w:w="57" w:type="dxa"/>
          <w:right w:w="30" w:type="dxa"/>
        </w:tblCellMar>
        <w:tblLook w:val="04A0" w:firstRow="1" w:lastRow="0" w:firstColumn="1" w:lastColumn="0" w:noHBand="0" w:noVBand="1"/>
      </w:tblPr>
      <w:tblGrid>
        <w:gridCol w:w="2401"/>
        <w:gridCol w:w="5245"/>
        <w:gridCol w:w="1485"/>
      </w:tblGrid>
      <w:tr w:rsidR="00E733E1" w:rsidRPr="00071B69" w14:paraId="16ABAA83" w14:textId="2210B8A0" w:rsidTr="001B1A75">
        <w:trPr>
          <w:cantSplit/>
          <w:tblHeader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F3266" w14:textId="64291889" w:rsidR="00E733E1" w:rsidRPr="00071B69" w:rsidRDefault="00E733E1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Trieda orgánových systémov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0E630" w14:textId="7607F5DA" w:rsidR="00E733E1" w:rsidRPr="00071B69" w:rsidRDefault="00E733E1" w:rsidP="00137842">
            <w:pPr>
              <w:keepLines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</w:rPr>
            </w:pPr>
            <w:r w:rsidRPr="00071B69">
              <w:rPr>
                <w:b/>
                <w:bCs/>
                <w:color w:val="000000"/>
                <w:szCs w:val="22"/>
              </w:rPr>
              <w:t>Nežiaduca reakcia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7A6F1" w14:textId="7CF6709B" w:rsidR="00E733E1" w:rsidRPr="00071B69" w:rsidRDefault="00E733E1" w:rsidP="00137842">
            <w:pPr>
              <w:keepLines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 xml:space="preserve">Frekvencia </w:t>
            </w:r>
          </w:p>
        </w:tc>
      </w:tr>
      <w:tr w:rsidR="00137842" w:rsidRPr="00071B69" w14:paraId="17FAC5B3" w14:textId="4D1C5D11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92CCB" w14:textId="7777777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Infekcie a nákazy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C969C" w14:textId="74A834A3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color w:val="000000"/>
                <w:szCs w:val="22"/>
              </w:rPr>
              <w:t xml:space="preserve">Infekcia močových ciest, asymptomatická bakteriúria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B3635" w14:textId="505F7E44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72943ECF" w14:textId="77777777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F6866" w14:textId="680804E6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Poruchy endokrinného systému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4FEAC" w14:textId="4383DD7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071B69">
              <w:rPr>
                <w:color w:val="000000"/>
                <w:szCs w:val="22"/>
              </w:rPr>
              <w:t>Hyperprolaktinémia, zvýšenie prolaktínu (len raz)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B02B9" w14:textId="571FCF6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41645F5E" w14:textId="18CB71B6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8262E" w14:textId="7777777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Psychické poruchy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F9C60" w14:textId="372D92AD" w:rsidR="00137842" w:rsidRPr="00071B69" w:rsidRDefault="001D007E" w:rsidP="00137842">
            <w:pPr>
              <w:keepLines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>
              <w:t>Apatia,</w:t>
            </w:r>
            <w:r w:rsidR="00137842" w:rsidRPr="00071B69">
              <w:t xml:space="preserve"> halucinácie, kognitívne poruchy, hyperaktivita, nespavosť, agorafóbia, dezorientácia</w:t>
            </w:r>
          </w:p>
          <w:p w14:paraId="48E98371" w14:textId="7BEC2D9C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62084" w14:textId="2AE6AC8A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1955ACA6" w14:textId="64AA5A24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B6068" w14:textId="7777777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Poruchy nervového systému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C646E" w14:textId="4144B3C5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t>Porucha pozornosti, závrat, bolesť hlavy, somnolencia, únava, dysgeúzia, znížená úroveň vedomia, strata vedomia, anticholinergný syndróm, záchvat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11062" w14:textId="3953473C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44CA1801" w14:textId="77777777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9EA12" w14:textId="1807B0DD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Poruchy ucha a labyrintu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5ADED" w14:textId="1ABE5F1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71B69">
              <w:t>Vertigo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E1A78" w14:textId="45B6275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3D310960" w14:textId="1EEE82BA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D2A3C" w14:textId="7777777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Očné poruchy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CB323" w14:textId="2CD5FC54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t>Suché oko, abnormálne pocity v oku, porucha akomodácie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9EE9D" w14:textId="6F8C080D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53A3E384" w14:textId="77777777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097B4" w14:textId="436016A2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Poruchy srdca a srdcovej činnosti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8B6EB" w14:textId="6910E1E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bCs/>
                <w:color w:val="000000"/>
                <w:szCs w:val="22"/>
              </w:rPr>
              <w:t>Supraventrikulárna tachykardia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E501B" w14:textId="03E8D856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53FE6BDB" w14:textId="60E3DD17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3B892" w14:textId="7777777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Poruchy ciev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76D71" w14:textId="47B74C36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071B69">
              <w:t>Hypotenzia, návaly tepla na tvári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5B651" w14:textId="08C3B90D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534AD33D" w14:textId="104FF7AD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C884C" w14:textId="7777777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Poruchy gastrointestinálneho traktu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ABB93" w14:textId="6175AAF8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t>Zápcha, sucho v ústach, abdominálne ťažkosti, bolesti dolnej časti brucha, bolesť hornej časti brucha, nevoľnosť, dyspepsia, hnačka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D6ECD" w14:textId="225F471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136A40F0" w14:textId="57F0AF33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6A705" w14:textId="1A4837B8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Poruchy kože a podkožného tkaniva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414AE" w14:textId="5B1AF9C3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color w:val="000000"/>
                <w:szCs w:val="22"/>
              </w:rPr>
              <w:t xml:space="preserve">Hypohidróza, vyrážka, nočné potenie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E139D" w14:textId="6A1AB892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039AD911" w14:textId="4AC350F1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9F60D" w14:textId="7777777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Poruchy obličiek a močových ciest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B6692" w14:textId="03175A4E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071B69">
              <w:t>Nutkanie na močenie, proteinúria, hematúria, poruchy močenia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4FE66" w14:textId="4E54E02E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084990BC" w14:textId="54A06885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D99A3" w14:textId="7777777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lastRenderedPageBreak/>
              <w:t>Celkové ochorenia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  <w:p w14:paraId="3A8B832F" w14:textId="53248244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a reakcie v mieste podania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7EB44" w14:textId="31F02626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071B69">
              <w:t>Bolesť v mieste instilácie, smäd, nepríjemné pocity v hrudníku, pocit chladu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68B83" w14:textId="360A7DB3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</w:tbl>
    <w:p w14:paraId="65C888B6" w14:textId="0F3DA6FD" w:rsidR="004B19B8" w:rsidRPr="00071B69" w:rsidRDefault="004B19B8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5042A80" w14:textId="67219D26" w:rsidR="00676189" w:rsidRPr="00071B69" w:rsidRDefault="007D24CA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t>Jeden pacient zaznamenal zníženú nasýtenosť kyslíkom pri domácej oxygenoterapii (pozri časť 4.3).</w:t>
      </w:r>
    </w:p>
    <w:p w14:paraId="31223B57" w14:textId="77777777" w:rsidR="00872AC4" w:rsidRPr="00071B69" w:rsidRDefault="00872AC4" w:rsidP="00137842">
      <w:pPr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14:paraId="78536F1B" w14:textId="7B92F280" w:rsidR="00872AC4" w:rsidRPr="00071B69" w:rsidRDefault="00872AC4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Pediatrická populácia</w:t>
      </w:r>
    </w:p>
    <w:p w14:paraId="4F6E1495" w14:textId="77777777" w:rsidR="00872AC4" w:rsidRPr="00071B69" w:rsidRDefault="00872AC4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Deti môžu byť na účinky lieku citlivejšie a </w:t>
      </w:r>
      <w:r w:rsidRPr="000F32B2">
        <w:t>môžu mať najmä</w:t>
      </w:r>
      <w:r w:rsidRPr="00071B69">
        <w:t xml:space="preserve"> psychické nežiaduce reakcie a nežiaduce reakcie spojené s CNS.</w:t>
      </w:r>
    </w:p>
    <w:p w14:paraId="01DA8657" w14:textId="77777777" w:rsidR="00901B4F" w:rsidRPr="00071B69" w:rsidRDefault="00901B4F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7E06587A" w14:textId="1C6CC18E" w:rsidR="00163D73" w:rsidRPr="00071B69" w:rsidRDefault="001E69ED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Nežiaduce reakcie, o ktorých je známe, že súvisia s anticholinergnou liečbou, ale nie sú pozorované pri intravezikálnom podávaní oxybutynínu počas klinických štúdií, sú vracanie, anorexia, znížená chuť do jedla, dysfágia</w:t>
      </w:r>
      <w:r w:rsidRPr="007C4AD3">
        <w:t>, gastroezofageáln</w:t>
      </w:r>
      <w:r w:rsidR="005D68BE" w:rsidRPr="007C4AD3">
        <w:t>y</w:t>
      </w:r>
      <w:r w:rsidRPr="007C4AD3">
        <w:t xml:space="preserve"> reflux</w:t>
      </w:r>
      <w:r w:rsidRPr="00071B69">
        <w:t>, pseudo-obštrukcia u rizikových pacientov (starší pacienti alebo pacienti so zápchou a liečení inými liekmi, ktoré znižujú črevnú motilitu), stav zmätenosti, agitácia, úzkosť, nočné mory, parano</w:t>
      </w:r>
      <w:r w:rsidRPr="005D68BE">
        <w:t>ia</w:t>
      </w:r>
      <w:r w:rsidRPr="00071B69">
        <w:t>, symptómy depresie, závislosť na oxybutyníne (u pacientov s anamnézou užívania drog alebo návykových látok), arytmia, horúčka, glaukóm</w:t>
      </w:r>
      <w:r w:rsidR="00CE2F03" w:rsidRPr="00071B69">
        <w:t xml:space="preserve"> so zatvoreným uhlom</w:t>
      </w:r>
      <w:r w:rsidRPr="00071B69">
        <w:t>, zvýšený očný tlak, suchá koža, angioedém, urtikária, fotosenzitivita, precitlivenosť.</w:t>
      </w:r>
    </w:p>
    <w:p w14:paraId="6E37A79F" w14:textId="77777777" w:rsidR="00AA286B" w:rsidRPr="00071B69" w:rsidRDefault="00AA286B" w:rsidP="00137842">
      <w:pPr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14:paraId="138AB0C0" w14:textId="3B914575" w:rsidR="00F00876" w:rsidRPr="00071B69" w:rsidRDefault="00F00876" w:rsidP="0013784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Hlásenie podozrení na nežiaduce reakcie</w:t>
      </w:r>
    </w:p>
    <w:p w14:paraId="2C1071D5" w14:textId="5105E9E0" w:rsidR="00F00876" w:rsidRDefault="003A0BFB" w:rsidP="00137842">
      <w:pPr>
        <w:keepLines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3A0BFB"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="001C0544" w:rsidRPr="001C0544">
        <w:rPr>
          <w:noProof/>
          <w:szCs w:val="22"/>
          <w:highlight w:val="lightGray"/>
        </w:rPr>
        <w:t xml:space="preserve"> </w:t>
      </w:r>
      <w:r w:rsidR="001C0544" w:rsidRPr="001E40BA">
        <w:rPr>
          <w:noProof/>
          <w:szCs w:val="22"/>
          <w:highlight w:val="lightGray"/>
        </w:rPr>
        <w:t>národné centrum hlásenia uvedené v </w:t>
      </w:r>
      <w:hyperlink r:id="rId8" w:history="1">
        <w:r w:rsidR="001C0544" w:rsidRPr="001E40BA">
          <w:rPr>
            <w:rStyle w:val="Hypertextovprepojenie"/>
            <w:noProof/>
            <w:szCs w:val="22"/>
            <w:highlight w:val="lightGray"/>
          </w:rPr>
          <w:t>Prílohe V</w:t>
        </w:r>
      </w:hyperlink>
      <w:bookmarkStart w:id="0" w:name="_GoBack"/>
      <w:bookmarkEnd w:id="0"/>
      <w:r w:rsidR="001C0544" w:rsidRPr="00B4107D">
        <w:rPr>
          <w:b/>
          <w:noProof/>
          <w:szCs w:val="22"/>
        </w:rPr>
        <w:t>.</w:t>
      </w:r>
    </w:p>
    <w:p w14:paraId="3BD3C906" w14:textId="77777777" w:rsidR="003A0BFB" w:rsidRPr="00071B69" w:rsidRDefault="003A0BFB" w:rsidP="00137842">
      <w:pPr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74929EB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4.9</w:t>
      </w:r>
      <w:r w:rsidRPr="00071B69">
        <w:rPr>
          <w:b/>
          <w:szCs w:val="22"/>
        </w:rPr>
        <w:tab/>
        <w:t>Predávkovanie</w:t>
      </w:r>
    </w:p>
    <w:p w14:paraId="6C8A4522" w14:textId="77777777" w:rsidR="00901B4F" w:rsidRPr="00071B69" w:rsidRDefault="00901B4F" w:rsidP="00137842">
      <w:pPr>
        <w:keepNext/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20F4628F" w14:textId="77777777" w:rsidR="00D04857" w:rsidRPr="00071B69" w:rsidRDefault="00D04857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Neboli hlásené žiadne prípady predávkovania pri intravezikálnom podávaní oxybutynínu.</w:t>
      </w:r>
    </w:p>
    <w:p w14:paraId="25434680" w14:textId="77777777" w:rsidR="00D04857" w:rsidRPr="00071B69" w:rsidRDefault="00D04857" w:rsidP="00137842">
      <w:pPr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14:paraId="3CD9EE45" w14:textId="4EEEE035" w:rsidR="001D29E6" w:rsidRPr="00071B69" w:rsidRDefault="00D04857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Symptómy</w:t>
      </w:r>
    </w:p>
    <w:p w14:paraId="2E69CDC5" w14:textId="6AEA1A54" w:rsidR="00D04857" w:rsidRPr="00071B69" w:rsidRDefault="00E712C9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Symptómy predávkovania </w:t>
      </w:r>
      <w:r w:rsidRPr="007C4AD3">
        <w:t xml:space="preserve">oxybutynínom </w:t>
      </w:r>
      <w:r w:rsidR="00961456" w:rsidRPr="007C4AD3">
        <w:t>progredujú</w:t>
      </w:r>
      <w:r w:rsidR="007C4AD3">
        <w:t xml:space="preserve"> </w:t>
      </w:r>
      <w:r w:rsidRPr="007C4AD3">
        <w:t>od</w:t>
      </w:r>
      <w:r w:rsidRPr="00F433A7">
        <w:t xml:space="preserve"> zintenzívnenia</w:t>
      </w:r>
      <w:r w:rsidRPr="00B001B6">
        <w:t xml:space="preserve"> bežných vedľajších účinkov na</w:t>
      </w:r>
      <w:r w:rsidRPr="00071B69">
        <w:t xml:space="preserve"> poruchy CNS (od nepokoja a vzrušenia až po psychotické správanie), zmeny v obehovej sústave (návaly horúčavy, pokles krvného tlaku, zlyhanie obehovej sústavy atď.), respiračné zlyhanie, paralýza a kóma.</w:t>
      </w:r>
    </w:p>
    <w:p w14:paraId="48F18792" w14:textId="77777777" w:rsidR="001E6EF7" w:rsidRPr="00071B69" w:rsidRDefault="001E6EF7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65A61DF7" w14:textId="77777777" w:rsidR="00D04857" w:rsidRPr="00071B69" w:rsidRDefault="00D04857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Liečba</w:t>
      </w:r>
    </w:p>
    <w:p w14:paraId="57359354" w14:textId="666BEC36" w:rsidR="00D04857" w:rsidRPr="00071B69" w:rsidRDefault="00E4317B" w:rsidP="00137842">
      <w:pPr>
        <w:keepLines/>
        <w:tabs>
          <w:tab w:val="clear" w:pos="567"/>
        </w:tabs>
        <w:spacing w:line="240" w:lineRule="auto"/>
        <w:outlineLvl w:val="0"/>
        <w:rPr>
          <w:bCs/>
          <w:szCs w:val="22"/>
        </w:rPr>
      </w:pPr>
      <w:r w:rsidRPr="00071B69">
        <w:t>Močový mechúr sa má ihneď vyprázdniť cez katéter.</w:t>
      </w:r>
    </w:p>
    <w:p w14:paraId="74EACF2B" w14:textId="77777777" w:rsidR="001E6EF7" w:rsidRPr="00071B69" w:rsidRDefault="001E6EF7" w:rsidP="00137842">
      <w:pPr>
        <w:pStyle w:val="Normlnywebov"/>
        <w:keepLines/>
        <w:spacing w:before="0" w:beforeAutospacing="0" w:after="0" w:afterAutospacing="0"/>
        <w:rPr>
          <w:sz w:val="22"/>
          <w:szCs w:val="22"/>
        </w:rPr>
      </w:pPr>
    </w:p>
    <w:p w14:paraId="419C2DCC" w14:textId="42D3B5B6" w:rsidR="003A62FB" w:rsidRPr="00071B69" w:rsidRDefault="00D04857" w:rsidP="00137842">
      <w:pPr>
        <w:pStyle w:val="Normlnywebov"/>
        <w:keepLines/>
        <w:spacing w:before="0" w:beforeAutospacing="0" w:after="0" w:afterAutospacing="0"/>
        <w:outlineLvl w:val="0"/>
        <w:rPr>
          <w:sz w:val="22"/>
          <w:szCs w:val="22"/>
        </w:rPr>
      </w:pPr>
      <w:r w:rsidRPr="00071B69">
        <w:rPr>
          <w:sz w:val="22"/>
          <w:szCs w:val="22"/>
        </w:rPr>
        <w:t>V prípade predávkovania sa majú pacienti starostlivo sledovať a symptomaticky liečiť.</w:t>
      </w:r>
    </w:p>
    <w:p w14:paraId="271E42E8" w14:textId="77777777" w:rsidR="00312AD2" w:rsidRPr="00071B69" w:rsidRDefault="00312AD2" w:rsidP="00137842">
      <w:pPr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14:paraId="18CCC944" w14:textId="77777777" w:rsidR="00440F59" w:rsidRPr="00071B69" w:rsidRDefault="00440F59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5.</w:t>
      </w:r>
      <w:r w:rsidRPr="00071B69">
        <w:rPr>
          <w:b/>
          <w:szCs w:val="22"/>
        </w:rPr>
        <w:tab/>
        <w:t>FARMAKOLOGICKÉ VLASTNOSTI</w:t>
      </w:r>
    </w:p>
    <w:p w14:paraId="0351EE21" w14:textId="77777777" w:rsidR="00440F59" w:rsidRPr="00071B69" w:rsidRDefault="00440F59" w:rsidP="00137842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</w:p>
    <w:p w14:paraId="792912D8" w14:textId="77777777" w:rsidR="00440F59" w:rsidRPr="00071B69" w:rsidRDefault="00440F59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 xml:space="preserve">5.1 </w:t>
      </w:r>
      <w:r w:rsidRPr="00071B69">
        <w:rPr>
          <w:b/>
          <w:szCs w:val="22"/>
        </w:rPr>
        <w:tab/>
        <w:t>Farmakodynamické vlastnosti</w:t>
      </w:r>
    </w:p>
    <w:p w14:paraId="37C4E4C7" w14:textId="77777777" w:rsidR="00440F59" w:rsidRPr="00071B69" w:rsidRDefault="00440F59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79C09184" w14:textId="68BEBA5F" w:rsidR="00790AE8" w:rsidRDefault="00440F59" w:rsidP="00137842">
      <w:pPr>
        <w:keepLines/>
        <w:tabs>
          <w:tab w:val="clear" w:pos="567"/>
        </w:tabs>
        <w:spacing w:line="240" w:lineRule="auto"/>
      </w:pPr>
      <w:r w:rsidRPr="00071B69">
        <w:t xml:space="preserve">Farmakoterapeutická skupina: </w:t>
      </w:r>
      <w:r w:rsidRPr="00790AE8">
        <w:t>Urologiká</w:t>
      </w:r>
      <w:r w:rsidR="00790AE8" w:rsidRPr="00790AE8">
        <w:t>,</w:t>
      </w:r>
      <w:r w:rsidRPr="00790AE8">
        <w:t xml:space="preserve"> lieky na časté </w:t>
      </w:r>
      <w:r w:rsidR="00F46634" w:rsidRPr="00790AE8">
        <w:t>močenie</w:t>
      </w:r>
      <w:r w:rsidRPr="00790AE8">
        <w:t xml:space="preserve"> a inkontinenciu moču</w:t>
      </w:r>
      <w:r w:rsidRPr="00071B69">
        <w:t xml:space="preserve"> </w:t>
      </w:r>
    </w:p>
    <w:p w14:paraId="17897DE3" w14:textId="7800AFEA" w:rsidR="00440F59" w:rsidRPr="00071B69" w:rsidRDefault="00440F59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ATC kód: G04B D04</w:t>
      </w:r>
    </w:p>
    <w:p w14:paraId="0A7093CA" w14:textId="77777777" w:rsidR="001A0992" w:rsidRPr="00071B69" w:rsidRDefault="001A0992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3B33F44E" w14:textId="77777777" w:rsidR="005D07C6" w:rsidRPr="00071B69" w:rsidRDefault="005D07C6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Mechanizmus účinku</w:t>
      </w:r>
    </w:p>
    <w:p w14:paraId="090BE62F" w14:textId="7571AFC5" w:rsidR="00440F59" w:rsidRPr="00071B69" w:rsidRDefault="005D07C6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Oxybutynín pôsobí ako kompetitívny antagonista acetylcholínu na postgangliové muskarínové receptory, čo vedie k relaxácii hladkého svalu močového mechúra.</w:t>
      </w:r>
    </w:p>
    <w:p w14:paraId="5CE13037" w14:textId="77777777" w:rsidR="00BE622D" w:rsidRPr="00071B69" w:rsidRDefault="00BE622D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4603A198" w14:textId="6990F491" w:rsidR="00BE622D" w:rsidRPr="00071B69" w:rsidRDefault="00BE622D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lastRenderedPageBreak/>
        <w:t>Oxybutyníniumchlorid je anticholínergn</w:t>
      </w:r>
      <w:r w:rsidR="00973F93">
        <w:t>á</w:t>
      </w:r>
      <w:r w:rsidRPr="00071B69">
        <w:t xml:space="preserve"> </w:t>
      </w:r>
      <w:r w:rsidR="00973F93" w:rsidRPr="007C4AD3">
        <w:t>látka</w:t>
      </w:r>
      <w:r w:rsidRPr="007C4AD3">
        <w:t>,</w:t>
      </w:r>
      <w:r w:rsidRPr="00071B69">
        <w:t xml:space="preserve"> ktoré tiež </w:t>
      </w:r>
      <w:r w:rsidR="00F46634" w:rsidRPr="00071B69">
        <w:t xml:space="preserve">priamo </w:t>
      </w:r>
      <w:r w:rsidRPr="00071B69">
        <w:t xml:space="preserve">pôsobí </w:t>
      </w:r>
      <w:r w:rsidR="00F46634" w:rsidRPr="00071B69">
        <w:t xml:space="preserve">antispazmoliticky </w:t>
      </w:r>
      <w:r w:rsidRPr="00071B69">
        <w:t xml:space="preserve">na hladký sval. Zabraňuje kontrakcii močového mechúra a zmierňuje kŕče vyvolané rôznymi stimulmi; zvyšuje objem močového mechúra, znižuje frekvenciu kontrakcií a odďaľuje túžbu vyprázdniť sa pri </w:t>
      </w:r>
      <w:r w:rsidRPr="00384DDE">
        <w:t>poruche neurogénneho močového mechúra</w:t>
      </w:r>
      <w:r w:rsidRPr="00071B69">
        <w:t>. Uvoľnenie hladkého svalstva je výsledkom účinku</w:t>
      </w:r>
      <w:r w:rsidR="00F46634" w:rsidRPr="00071B69">
        <w:t xml:space="preserve">, antagonizmu procesov distálnych k </w:t>
      </w:r>
      <w:r w:rsidRPr="00071B69">
        <w:t>neuromuskulárnemu spojeniu</w:t>
      </w:r>
      <w:r w:rsidR="00F46634" w:rsidRPr="00071B69">
        <w:t>, ktorý je podobný účiku papaverínu,</w:t>
      </w:r>
      <w:r w:rsidRPr="00071B69">
        <w:t xml:space="preserve"> okrem anticholinergného účinku blokujúceho receptory muskarínového typu. </w:t>
      </w:r>
      <w:r w:rsidR="00F46634" w:rsidRPr="00071B69">
        <w:t>Navyše</w:t>
      </w:r>
      <w:r w:rsidRPr="00071B69">
        <w:t xml:space="preserve"> má oxybutyníniumchlorid miestne anestetické vlastnosti.</w:t>
      </w:r>
    </w:p>
    <w:p w14:paraId="325B93EA" w14:textId="696AAA80" w:rsidR="0034525B" w:rsidRPr="00071B69" w:rsidRDefault="0034525B" w:rsidP="00137842">
      <w:pPr>
        <w:keepLines/>
        <w:tabs>
          <w:tab w:val="clear" w:pos="567"/>
        </w:tabs>
        <w:spacing w:line="240" w:lineRule="auto"/>
        <w:rPr>
          <w:i/>
          <w:szCs w:val="22"/>
        </w:rPr>
      </w:pPr>
    </w:p>
    <w:p w14:paraId="1305221A" w14:textId="094734AD" w:rsidR="00440F59" w:rsidRPr="00071B69" w:rsidRDefault="00BD1105" w:rsidP="0013784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Farmakodynamické účinky</w:t>
      </w:r>
    </w:p>
    <w:p w14:paraId="6B853246" w14:textId="2B2C28EE" w:rsidR="005D07C6" w:rsidRPr="00071B69" w:rsidRDefault="005D07C6" w:rsidP="00137842">
      <w:pPr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071B69">
        <w:t>Farmakodynamické vlastnosti oxybutynínu boli študované po intravezikálnej aplikácii u detí s</w:t>
      </w:r>
      <w:r w:rsidR="00F433A7">
        <w:t xml:space="preserve"> neurogénnou </w:t>
      </w:r>
      <w:r w:rsidRPr="00F433A7">
        <w:t>nadmernou aktivitou detruzora</w:t>
      </w:r>
      <w:r w:rsidRPr="00071B69">
        <w:t xml:space="preserve">. Účinky na inkontinenciu a urodynamické </w:t>
      </w:r>
      <w:r w:rsidRPr="00363C10">
        <w:t>premenné</w:t>
      </w:r>
      <w:r w:rsidRPr="00071B69">
        <w:t xml:space="preserve"> boli </w:t>
      </w:r>
      <w:r w:rsidR="00961456" w:rsidRPr="007C4AD3">
        <w:t>zjavné</w:t>
      </w:r>
      <w:r w:rsidRPr="007C4AD3">
        <w:t xml:space="preserve"> v</w:t>
      </w:r>
      <w:r w:rsidRPr="00363C10">
        <w:t xml:space="preserve">o väčšine prípadov </w:t>
      </w:r>
      <w:r w:rsidR="00961456" w:rsidRPr="00363C10">
        <w:t>došlo k </w:t>
      </w:r>
      <w:r w:rsidRPr="00363C10">
        <w:t>zlepš</w:t>
      </w:r>
      <w:r w:rsidR="00961456" w:rsidRPr="00363C10">
        <w:t>eniu oboch</w:t>
      </w:r>
      <w:r w:rsidR="00961456">
        <w:t xml:space="preserve"> parametrov</w:t>
      </w:r>
      <w:r w:rsidRPr="00071B69">
        <w:t>. Počet hyperaktívnych kontrakcií sa výrazne znížil. Zvýšil</w:t>
      </w:r>
      <w:r w:rsidR="001524E8" w:rsidRPr="00071B69">
        <w:t>a</w:t>
      </w:r>
      <w:r w:rsidRPr="00071B69">
        <w:t xml:space="preserve"> sa </w:t>
      </w:r>
      <w:r w:rsidR="006E422E">
        <w:t>priemerná</w:t>
      </w:r>
      <w:r w:rsidRPr="00071B69">
        <w:t xml:space="preserve"> </w:t>
      </w:r>
      <w:r w:rsidR="006E422E">
        <w:t xml:space="preserve">cystometrická </w:t>
      </w:r>
      <w:r w:rsidRPr="00071B69">
        <w:t xml:space="preserve">kapacita mechúra a </w:t>
      </w:r>
      <w:r w:rsidRPr="00F433A7">
        <w:t>priemerná cystometrická až očakávaná kapacita močového mechúra, zatiaľ čo koncový tlak močového mechúra sa znížil.</w:t>
      </w:r>
      <w:r w:rsidRPr="00071B69">
        <w:t xml:space="preserve"> </w:t>
      </w:r>
    </w:p>
    <w:p w14:paraId="7C09D8E5" w14:textId="77777777" w:rsidR="005D07C6" w:rsidRPr="00071B69" w:rsidRDefault="005D07C6" w:rsidP="00137842">
      <w:pPr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46FA098D" w14:textId="6C35C4B1" w:rsidR="00440F59" w:rsidRPr="00071B69" w:rsidRDefault="00BD1105" w:rsidP="0013784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Klinická účinnosť a bezpečnosť</w:t>
      </w:r>
    </w:p>
    <w:p w14:paraId="741F25A8" w14:textId="7AACDEB2" w:rsidR="00071C30" w:rsidRPr="00071B69" w:rsidRDefault="00071C30" w:rsidP="00137842">
      <w:pPr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071B69">
        <w:t>Účinnosť intravezikálnej liečby oxybutynínom pri neurogénnej dysfunkcii močového mechúra sa skúmala v klinických štúdiách v krátkodobom i dlhodobom užívaní.</w:t>
      </w:r>
    </w:p>
    <w:p w14:paraId="69F495C4" w14:textId="77777777" w:rsidR="00071C30" w:rsidRPr="00071B69" w:rsidRDefault="00071C30" w:rsidP="00137842">
      <w:pPr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2F848FA7" w14:textId="582B0C26" w:rsidR="00BD1105" w:rsidRPr="00071B69" w:rsidRDefault="00BD1105" w:rsidP="00137842">
      <w:pPr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071B69">
        <w:t xml:space="preserve">Takmer vo všetkých štúdiách bola intravezikálna liečba oxybutyníniumchloridom účinná u pacientov trpiacich </w:t>
      </w:r>
      <w:r w:rsidR="006E422E">
        <w:t xml:space="preserve">neurogénnou </w:t>
      </w:r>
      <w:r w:rsidRPr="00071B69">
        <w:t xml:space="preserve">nadmernou aktivitou detruzora a ukázalo sa, že je dobre tolerovaná. V prospektívnej klinickej štúdii u 15 detí sa priemerná </w:t>
      </w:r>
      <w:r w:rsidR="001524E8" w:rsidRPr="00071B69">
        <w:t xml:space="preserve">cystometrická </w:t>
      </w:r>
      <w:r w:rsidRPr="00071B69">
        <w:t xml:space="preserve">kapacita mechúra zvýšila z východiskovej hodnoty 114,2 ml na 127,4 ml (p &gt; 0,05) a 161,1 ml (p = 0,0091) </w:t>
      </w:r>
      <w:r w:rsidRPr="00FF34DF">
        <w:t>po 1,5 hodine a 4 mesiacoch intravezikálnej liečby</w:t>
      </w:r>
      <w:r w:rsidR="00FF34DF">
        <w:t xml:space="preserve"> </w:t>
      </w:r>
      <w:r w:rsidR="00FF34DF" w:rsidRPr="007C4AD3">
        <w:t>v uvedenom poradí</w:t>
      </w:r>
      <w:r w:rsidRPr="00071B69">
        <w:t xml:space="preserve"> (Buyse a kol. 1995). Priemern</w:t>
      </w:r>
      <w:r w:rsidR="004E5ED5" w:rsidRPr="00071B69">
        <w:t xml:space="preserve">é plnenie </w:t>
      </w:r>
      <w:r w:rsidRPr="00071B69">
        <w:t>močového mechúra bol</w:t>
      </w:r>
      <w:r w:rsidR="004E5ED5" w:rsidRPr="00071B69">
        <w:t xml:space="preserve">o </w:t>
      </w:r>
      <w:r w:rsidRPr="00071B69">
        <w:t>významne zvýšen</w:t>
      </w:r>
      <w:r w:rsidR="004E5ED5" w:rsidRPr="00071B69">
        <w:t>é</w:t>
      </w:r>
      <w:r w:rsidRPr="00071B69">
        <w:t xml:space="preserve"> z 2,5 ml/cm H</w:t>
      </w:r>
      <w:r w:rsidRPr="00071B69">
        <w:rPr>
          <w:vertAlign w:val="subscript"/>
        </w:rPr>
        <w:t>2</w:t>
      </w:r>
      <w:r w:rsidRPr="00071B69">
        <w:t>O na začiatku štúdie na 11,495 ml/cm H</w:t>
      </w:r>
      <w:r w:rsidRPr="00071B69">
        <w:rPr>
          <w:vertAlign w:val="subscript"/>
        </w:rPr>
        <w:t>2</w:t>
      </w:r>
      <w:r w:rsidRPr="00071B69">
        <w:t>O (p = 0,0114) po 4 mesiacoch liečby. V ďalšej prospektívnej štúdii na 13 deťoch ukázalo</w:t>
      </w:r>
      <w:r w:rsidR="004E5ED5" w:rsidRPr="00071B69">
        <w:t xml:space="preserve"> po intravezikálnej liečbe 12 z nich </w:t>
      </w:r>
      <w:r w:rsidRPr="00071B69">
        <w:t>výrazne zlepšenú kontinenciu (Åmark et al., 1998). V retrospektívn</w:t>
      </w:r>
      <w:r w:rsidR="004E5ED5" w:rsidRPr="00071B69">
        <w:t>om</w:t>
      </w:r>
      <w:r w:rsidRPr="00071B69">
        <w:t xml:space="preserve"> dlhodob</w:t>
      </w:r>
      <w:r w:rsidR="004E5ED5" w:rsidRPr="00071B69">
        <w:t xml:space="preserve">om vyhodnotení u </w:t>
      </w:r>
      <w:r w:rsidRPr="00071B69">
        <w:t>13 detí</w:t>
      </w:r>
      <w:r w:rsidR="004E5ED5" w:rsidRPr="00071B69">
        <w:t xml:space="preserve"> sa priemerný</w:t>
      </w:r>
      <w:r w:rsidRPr="00071B69">
        <w:t xml:space="preserve"> </w:t>
      </w:r>
      <w:r w:rsidR="004E5ED5" w:rsidRPr="00071B69">
        <w:t xml:space="preserve">konečný </w:t>
      </w:r>
      <w:r w:rsidRPr="00071B69">
        <w:t xml:space="preserve">plniaci tlak močového mechúra znížil z 52,5 ± 24 na 24,5 ± 14,4 cm </w:t>
      </w:r>
      <w:r w:rsidR="004E5ED5" w:rsidRPr="00071B69">
        <w:t>H</w:t>
      </w:r>
      <w:r w:rsidR="004E5ED5" w:rsidRPr="00071B69">
        <w:rPr>
          <w:vertAlign w:val="subscript"/>
        </w:rPr>
        <w:t>2</w:t>
      </w:r>
      <w:r w:rsidR="004E5ED5" w:rsidRPr="00071B69">
        <w:t>O</w:t>
      </w:r>
      <w:r w:rsidRPr="00071B69">
        <w:t xml:space="preserve"> (Humblet et al., 2014). </w:t>
      </w:r>
    </w:p>
    <w:p w14:paraId="09916F28" w14:textId="77777777" w:rsidR="00440F59" w:rsidRPr="00071B69" w:rsidRDefault="00440F59" w:rsidP="00137842">
      <w:pPr>
        <w:keepLines/>
        <w:tabs>
          <w:tab w:val="clear" w:pos="567"/>
        </w:tabs>
        <w:spacing w:line="240" w:lineRule="auto"/>
        <w:rPr>
          <w:bCs/>
          <w:iCs/>
          <w:szCs w:val="22"/>
        </w:rPr>
      </w:pPr>
    </w:p>
    <w:p w14:paraId="685EB24E" w14:textId="77777777" w:rsidR="00440F59" w:rsidRPr="00071B69" w:rsidRDefault="00440F59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5.2</w:t>
      </w:r>
      <w:r w:rsidRPr="00071B69">
        <w:rPr>
          <w:b/>
          <w:szCs w:val="22"/>
        </w:rPr>
        <w:tab/>
        <w:t>Farmakokinetické vlastnosti</w:t>
      </w:r>
    </w:p>
    <w:p w14:paraId="13EB5363" w14:textId="77777777" w:rsidR="00440F59" w:rsidRPr="00071B69" w:rsidRDefault="00440F59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45EAAE1E" w14:textId="77777777" w:rsidR="00440F59" w:rsidRPr="00071B69" w:rsidRDefault="00440F59" w:rsidP="00137842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Cs/>
          <w:szCs w:val="22"/>
          <w:u w:val="single"/>
        </w:rPr>
      </w:pPr>
      <w:r w:rsidRPr="00071B69">
        <w:rPr>
          <w:iCs/>
          <w:szCs w:val="22"/>
          <w:u w:val="single"/>
        </w:rPr>
        <w:t>Absorpcia</w:t>
      </w:r>
    </w:p>
    <w:p w14:paraId="572694BB" w14:textId="77777777" w:rsidR="00440F59" w:rsidRPr="00071B69" w:rsidRDefault="00440F59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071B69">
        <w:t>Intravezikálne podávaný oxybutynín je dobre absorbovaný cez stenu močového mechúra do systémového obehu.</w:t>
      </w:r>
    </w:p>
    <w:p w14:paraId="7E24AFFC" w14:textId="5E8DF7B8" w:rsidR="00440F59" w:rsidRPr="00071B69" w:rsidRDefault="00440F59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071B69">
        <w:t>Merania plazmatických koncentrácií oxybutynínu po intravezikálnom podaní odhalili rozsiahlu interindividuálnu variabilitu, ale došlo aj k výraznej absorpcii lieku aj po intravezikálnej aplikácii s maximálnymi koncentráciami v plazme dosiahnutými po približne jednej hodine.</w:t>
      </w:r>
    </w:p>
    <w:p w14:paraId="4774CD41" w14:textId="77777777" w:rsidR="005568B5" w:rsidRPr="00071B69" w:rsidRDefault="005568B5" w:rsidP="00137842">
      <w:pPr>
        <w:keepLines/>
        <w:tabs>
          <w:tab w:val="clear" w:pos="567"/>
        </w:tabs>
        <w:spacing w:line="240" w:lineRule="auto"/>
        <w:rPr>
          <w:i/>
          <w:szCs w:val="22"/>
        </w:rPr>
      </w:pPr>
    </w:p>
    <w:p w14:paraId="66F309B5" w14:textId="1BAA9138" w:rsidR="005568B5" w:rsidRPr="00071B69" w:rsidRDefault="005568B5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Farmakokinetika intravezikálneho oxybutyníniumchloridu sa skúmala u zdravých dobrovoľníkov. Systémová expozícia (AUC) racemického oxybutynínu bola významne vyššia po instilácii (294 %) v porovnaní s perorálnym podaním. Naproti tomu systémová expozícia metabolitu N-desetyl-oxybutynínu bola po instilácii významne nižšia (21 % </w:t>
      </w:r>
      <w:r w:rsidRPr="00384DDE">
        <w:t>expozície</w:t>
      </w:r>
      <w:r w:rsidRPr="00071B69">
        <w:t xml:space="preserve"> po perorálnom podaní). V dôsledku toho bol pomer metabolit</w:t>
      </w:r>
      <w:r w:rsidR="009708E4" w:rsidRPr="00071B69">
        <w:t>-</w:t>
      </w:r>
      <w:r w:rsidRPr="00071B69">
        <w:t xml:space="preserve">rodič 14-krát nižší v prípade intravezikálnej aplikácie. </w:t>
      </w:r>
    </w:p>
    <w:p w14:paraId="1CFA7CCF" w14:textId="77777777" w:rsidR="004F3BDA" w:rsidRPr="00071B69" w:rsidRDefault="004F3BDA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18E4DCBC" w14:textId="067DF7E8" w:rsidR="004F3BDA" w:rsidRPr="00071B69" w:rsidRDefault="004F3BDA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Tieto pozorovania jasne ukazujú, že spôsob podávania silne ovplyvňuje absorpciu a najmä metabolizmus oxybutynínu pri prvom prechode. Je zrejmé, že </w:t>
      </w:r>
      <w:r w:rsidRPr="007C4AD3">
        <w:t xml:space="preserve">účinok </w:t>
      </w:r>
      <w:r w:rsidR="00384DDE" w:rsidRPr="007C4AD3">
        <w:t>prvého prechodu</w:t>
      </w:r>
      <w:r w:rsidRPr="00071B69">
        <w:t xml:space="preserve"> je výrazne znížený v prípade intravezikálnej aplikácie. </w:t>
      </w:r>
    </w:p>
    <w:p w14:paraId="4D24A7E3" w14:textId="77777777" w:rsidR="006C1788" w:rsidRPr="00071B69" w:rsidRDefault="006C1788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5EF89A2A" w14:textId="299C3A8D" w:rsidR="006C1788" w:rsidRPr="00071B69" w:rsidRDefault="006C1788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Vzhľadom na uvádzanú biologickú dostupnosť oxybutynínu približne 6 % po perorálnom podaní môže byť po intravezikálnej instilácii odhadnutá absolútna biologická dostupnosť približne 20 % pre </w:t>
      </w:r>
      <w:r w:rsidR="00384DDE" w:rsidRPr="007C4AD3">
        <w:t>pôvodnú</w:t>
      </w:r>
      <w:r w:rsidRPr="007C4AD3">
        <w:t xml:space="preserve"> zlúčeninu.</w:t>
      </w:r>
    </w:p>
    <w:p w14:paraId="60803F85" w14:textId="77777777" w:rsidR="00440F59" w:rsidRPr="00071B69" w:rsidRDefault="00440F59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u w:val="single"/>
        </w:rPr>
      </w:pPr>
    </w:p>
    <w:p w14:paraId="3311BD97" w14:textId="77777777" w:rsidR="00440F59" w:rsidRPr="00071B69" w:rsidRDefault="00440F59" w:rsidP="00137842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Cs/>
          <w:szCs w:val="22"/>
          <w:u w:val="single"/>
        </w:rPr>
      </w:pPr>
      <w:r w:rsidRPr="00071B69">
        <w:rPr>
          <w:iCs/>
          <w:szCs w:val="22"/>
          <w:u w:val="single"/>
        </w:rPr>
        <w:t>Distribúcia</w:t>
      </w:r>
    </w:p>
    <w:p w14:paraId="4AA30F63" w14:textId="7F58152D" w:rsidR="00440F59" w:rsidRPr="00071B69" w:rsidRDefault="00440F59" w:rsidP="00137842">
      <w:pPr>
        <w:keepLines/>
        <w:tabs>
          <w:tab w:val="clear" w:pos="567"/>
        </w:tabs>
        <w:spacing w:line="240" w:lineRule="auto"/>
        <w:rPr>
          <w:iCs/>
          <w:szCs w:val="22"/>
        </w:rPr>
      </w:pPr>
      <w:r w:rsidRPr="00071B69">
        <w:t>Po systémovej absorpcii sa oxybutynín rozsiahle distribuuje do telových tkanív. Odhadovaný distribučný objem po intravenóznom podaní 5 mg oxybutyníniumchloridu dosahuje 193 l.</w:t>
      </w:r>
    </w:p>
    <w:p w14:paraId="6C923861" w14:textId="77777777" w:rsidR="00440F59" w:rsidRPr="00071B69" w:rsidRDefault="00440F59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u w:val="single"/>
        </w:rPr>
      </w:pPr>
    </w:p>
    <w:p w14:paraId="4089E543" w14:textId="7E727D5F" w:rsidR="00440F59" w:rsidRPr="00071B69" w:rsidRDefault="00440F59" w:rsidP="00137842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Cs/>
          <w:szCs w:val="22"/>
          <w:u w:val="single"/>
        </w:rPr>
      </w:pPr>
      <w:r w:rsidRPr="00071B69">
        <w:rPr>
          <w:iCs/>
          <w:szCs w:val="22"/>
          <w:u w:val="single"/>
        </w:rPr>
        <w:t>Biotransformácia</w:t>
      </w:r>
    </w:p>
    <w:p w14:paraId="1E7CB442" w14:textId="032EBE1B" w:rsidR="00980403" w:rsidRPr="00071B69" w:rsidRDefault="00440F59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</w:rPr>
      </w:pPr>
      <w:r w:rsidRPr="00071B69">
        <w:t xml:space="preserve">Perorálne podaný oxybutynín sa metabolizuje predovšetkým prostredníctvom </w:t>
      </w:r>
      <w:r w:rsidR="00847D90" w:rsidRPr="00071B69">
        <w:t xml:space="preserve">enzýmových </w:t>
      </w:r>
      <w:r w:rsidRPr="00071B69">
        <w:t>systém</w:t>
      </w:r>
      <w:r w:rsidR="00847D90" w:rsidRPr="00071B69">
        <w:t>ov</w:t>
      </w:r>
      <w:r w:rsidRPr="00071B69">
        <w:t xml:space="preserve"> cytochrómu P450, hlavne CYP3A4, nachádzajúci sa hlavne v pečeni a v črevnej stene.</w:t>
      </w:r>
      <w:r w:rsidR="00847D90" w:rsidRPr="00071B69">
        <w:t xml:space="preserve"> </w:t>
      </w:r>
      <w:r w:rsidRPr="00071B69">
        <w:t xml:space="preserve">Medzi metabolity patrí kyselina fenylcyklohexylglykolová, ktorá je farmakologicky neúčinná a N-desetyloxybutynín (DEOB), ktorý je farmakologicky účinný. </w:t>
      </w:r>
    </w:p>
    <w:p w14:paraId="1CF71B5F" w14:textId="77777777" w:rsidR="00980403" w:rsidRPr="00071B69" w:rsidRDefault="00980403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</w:rPr>
      </w:pPr>
    </w:p>
    <w:p w14:paraId="052D1748" w14:textId="697F00B2" w:rsidR="00440F59" w:rsidRPr="00071B69" w:rsidRDefault="00440F59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</w:rPr>
      </w:pPr>
      <w:r w:rsidRPr="00071B69">
        <w:t xml:space="preserve">Intravezikálna aplikácia oxybutynínu </w:t>
      </w:r>
      <w:r w:rsidR="00847D90" w:rsidRPr="00071B69">
        <w:t xml:space="preserve">zväčša </w:t>
      </w:r>
      <w:r w:rsidRPr="007C4AD3">
        <w:t>obchádza prvý prechod</w:t>
      </w:r>
      <w:r w:rsidRPr="00071B69">
        <w:t xml:space="preserve"> gastrointestinálnym a pečeňovým metabolizmom, čím sa znižuje tvorba N-desetyl metabolitu. </w:t>
      </w:r>
    </w:p>
    <w:p w14:paraId="43A2092B" w14:textId="77777777" w:rsidR="00403E60" w:rsidRPr="00071B69" w:rsidRDefault="00403E60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</w:rPr>
      </w:pPr>
    </w:p>
    <w:p w14:paraId="71E2B8ED" w14:textId="333FD35F" w:rsidR="00440F59" w:rsidRPr="00071B69" w:rsidRDefault="00274B35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071B69">
        <w:t xml:space="preserve">Zdá sa, že </w:t>
      </w:r>
      <w:r w:rsidR="00847D90" w:rsidRPr="00071B69">
        <w:t xml:space="preserve">metabolit </w:t>
      </w:r>
      <w:r w:rsidRPr="00071B69">
        <w:t>N-desetyl</w:t>
      </w:r>
      <w:r w:rsidR="00847D90" w:rsidRPr="00071B69">
        <w:t xml:space="preserve">u </w:t>
      </w:r>
      <w:r w:rsidRPr="00071B69">
        <w:t xml:space="preserve">vyvoláva silnejšie anticholinergické vedľajšie účinky, najmä na slinných žľazách, ako </w:t>
      </w:r>
      <w:r w:rsidRPr="00F433A7">
        <w:t>pôvodná zlúčenina</w:t>
      </w:r>
      <w:r w:rsidRPr="00071B69">
        <w:t>.</w:t>
      </w:r>
    </w:p>
    <w:p w14:paraId="21DD5B2E" w14:textId="77777777" w:rsidR="00440F59" w:rsidRPr="00071B69" w:rsidRDefault="00440F59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u w:val="single"/>
        </w:rPr>
      </w:pPr>
    </w:p>
    <w:p w14:paraId="43FFA996" w14:textId="77777777" w:rsidR="00440F59" w:rsidRPr="00071B69" w:rsidRDefault="00440F59" w:rsidP="00137842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Cs/>
          <w:szCs w:val="22"/>
          <w:u w:val="single"/>
        </w:rPr>
      </w:pPr>
      <w:r w:rsidRPr="00071B69">
        <w:rPr>
          <w:iCs/>
          <w:szCs w:val="22"/>
          <w:u w:val="single"/>
        </w:rPr>
        <w:t>Eliminácia</w:t>
      </w:r>
    </w:p>
    <w:p w14:paraId="4219A9F9" w14:textId="1F357C72" w:rsidR="00440F59" w:rsidRPr="00071B69" w:rsidRDefault="00440F59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</w:rPr>
      </w:pPr>
      <w:r w:rsidRPr="00071B69">
        <w:t>Oxybutynín sa rýchlo vylučuje z tela po perorálnom a intravezikálnom podaní. Z</w:t>
      </w:r>
      <w:r w:rsidR="00847D90" w:rsidRPr="00071B69">
        <w:t xml:space="preserve"> farmakokinetických</w:t>
      </w:r>
      <w:r w:rsidRPr="00071B69">
        <w:t xml:space="preserve"> štúdií sa usúdilo, že intravezikálny oxybutynín vykazuje predĺženú elimináciu v porovnaní s perorálnou aplikáciou</w:t>
      </w:r>
      <w:r w:rsidR="00847D90" w:rsidRPr="00071B69">
        <w:t>,</w:t>
      </w:r>
      <w:r w:rsidRPr="00071B69">
        <w:t xml:space="preserve"> s hlásenými eliminačnými polčasmi 2,56 a 1,48 hodiny. Koncentrácie oxibutynínu, aj jeho hlavného metabolitu N-desetyloxybutynín</w:t>
      </w:r>
      <w:r w:rsidR="00847D90" w:rsidRPr="00071B69">
        <w:t>u</w:t>
      </w:r>
      <w:r w:rsidRPr="00071B69">
        <w:t xml:space="preserve"> boli po intravezikálnom podaní</w:t>
      </w:r>
      <w:r w:rsidR="00847D90" w:rsidRPr="00071B69">
        <w:t xml:space="preserve"> </w:t>
      </w:r>
      <w:r w:rsidRPr="00071B69">
        <w:t>zistiteľné v</w:t>
      </w:r>
      <w:r w:rsidR="00847D90" w:rsidRPr="00071B69">
        <w:t> </w:t>
      </w:r>
      <w:r w:rsidRPr="00071B69">
        <w:t>sére</w:t>
      </w:r>
      <w:r w:rsidR="00847D90" w:rsidRPr="00071B69">
        <w:t xml:space="preserve"> po dobu 24 hodín</w:t>
      </w:r>
      <w:r w:rsidRPr="00071B69">
        <w:t xml:space="preserve">. </w:t>
      </w:r>
    </w:p>
    <w:p w14:paraId="6FC96C5D" w14:textId="77777777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b/>
          <w:szCs w:val="22"/>
        </w:rPr>
      </w:pPr>
    </w:p>
    <w:p w14:paraId="3CB1C286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5.3</w:t>
      </w:r>
      <w:r w:rsidRPr="00071B69">
        <w:rPr>
          <w:b/>
          <w:szCs w:val="22"/>
        </w:rPr>
        <w:tab/>
        <w:t>Predklinické údaje o bezpečnosti</w:t>
      </w:r>
    </w:p>
    <w:p w14:paraId="0A8074BC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E98A669" w14:textId="29A0D35B" w:rsidR="002C252D" w:rsidRPr="00071B69" w:rsidRDefault="002C252D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Predklinické údaje získané na základe štúdií akútnej toxicity, toxicity po opakovanom podávaní, genotoxicity, karcinogénneho potenciálu a lokálnej toxicity neodhalili žiadne </w:t>
      </w:r>
      <w:r w:rsidRPr="005C6E8C">
        <w:t>osobitné</w:t>
      </w:r>
      <w:r w:rsidRPr="00071B69">
        <w:t xml:space="preserve"> riziko pre ľudí.</w:t>
      </w:r>
    </w:p>
    <w:p w14:paraId="3134E5C8" w14:textId="77777777" w:rsidR="002C252D" w:rsidRPr="00071B69" w:rsidRDefault="002C252D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0FFF30EE" w14:textId="585D9E44" w:rsidR="00B93563" w:rsidRPr="00071B69" w:rsidRDefault="005568B5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V dávkach toxických pre matku môže oxybutynín podávaný perorálne spôsobiť u potkanov malformácie plodu.</w:t>
      </w:r>
    </w:p>
    <w:p w14:paraId="30D529D5" w14:textId="77777777" w:rsidR="0025380D" w:rsidRPr="00071B69" w:rsidRDefault="0025380D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533AA2EB" w14:textId="77777777" w:rsidR="00E64CE5" w:rsidRPr="00071B69" w:rsidRDefault="00E64CE5" w:rsidP="00137842">
      <w:pPr>
        <w:keepLines/>
        <w:tabs>
          <w:tab w:val="clear" w:pos="567"/>
        </w:tabs>
        <w:spacing w:line="240" w:lineRule="auto"/>
        <w:rPr>
          <w:b/>
          <w:szCs w:val="22"/>
        </w:rPr>
      </w:pPr>
    </w:p>
    <w:p w14:paraId="7C03A77B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6.</w:t>
      </w:r>
      <w:r w:rsidRPr="00071B69">
        <w:rPr>
          <w:b/>
          <w:szCs w:val="22"/>
        </w:rPr>
        <w:tab/>
        <w:t>FARMACEUTICKÉ ÚDAJE</w:t>
      </w:r>
    </w:p>
    <w:p w14:paraId="333D08E1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</w:p>
    <w:p w14:paraId="478A687E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6.1</w:t>
      </w:r>
      <w:r w:rsidRPr="00071B69">
        <w:rPr>
          <w:b/>
          <w:szCs w:val="22"/>
        </w:rPr>
        <w:tab/>
        <w:t>Zoznam pomocných látok</w:t>
      </w:r>
    </w:p>
    <w:p w14:paraId="23D791ED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005F702" w14:textId="54996A47" w:rsidR="001D29E6" w:rsidRPr="00071B69" w:rsidRDefault="00386DBD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Kyselina chlorovodíková</w:t>
      </w:r>
    </w:p>
    <w:p w14:paraId="1FE1CD43" w14:textId="1C8F01A8" w:rsidR="00DB09C7" w:rsidRPr="00071B69" w:rsidRDefault="00DB09C7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Chlorid sodný</w:t>
      </w:r>
    </w:p>
    <w:p w14:paraId="6380B853" w14:textId="1641B539" w:rsidR="00C3534D" w:rsidRPr="00071B69" w:rsidRDefault="00C3534D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Voda na injekciu</w:t>
      </w:r>
    </w:p>
    <w:p w14:paraId="348C4C65" w14:textId="77777777" w:rsidR="00DB09C7" w:rsidRPr="00071B69" w:rsidRDefault="00DB09C7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055B9C5B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6.2</w:t>
      </w:r>
      <w:r w:rsidRPr="00071B69">
        <w:rPr>
          <w:b/>
          <w:szCs w:val="22"/>
        </w:rPr>
        <w:tab/>
        <w:t>Inkompatibility</w:t>
      </w:r>
    </w:p>
    <w:p w14:paraId="268A047C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17DAD015" w14:textId="77777777" w:rsidR="001D29E6" w:rsidRPr="00071B69" w:rsidRDefault="00D8234B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Neznáme.</w:t>
      </w:r>
    </w:p>
    <w:p w14:paraId="406D7099" w14:textId="77777777" w:rsidR="00D8234B" w:rsidRPr="00071B69" w:rsidRDefault="00D8234B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37FB5F24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6.3</w:t>
      </w:r>
      <w:r w:rsidRPr="00071B69">
        <w:rPr>
          <w:b/>
          <w:szCs w:val="22"/>
        </w:rPr>
        <w:tab/>
        <w:t>Čas použiteľnosti</w:t>
      </w:r>
    </w:p>
    <w:p w14:paraId="417DB568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0EA51BA5" w14:textId="51AB7DDE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2 roky</w:t>
      </w:r>
    </w:p>
    <w:p w14:paraId="714C3C08" w14:textId="77777777" w:rsidR="004B015B" w:rsidRPr="00071B69" w:rsidRDefault="004B015B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0F0A4B55" w14:textId="484AA5D3" w:rsidR="00D8234B" w:rsidRPr="00071B69" w:rsidRDefault="00D8234B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 xml:space="preserve">Naplnené injekčné striekačky sú jednodávkové </w:t>
      </w:r>
      <w:r w:rsidR="005C6E8C">
        <w:t>obaly</w:t>
      </w:r>
      <w:r w:rsidRPr="00071B69">
        <w:t>. – Nepoužitý liek sa musí ihneď zlikvidovať.</w:t>
      </w:r>
    </w:p>
    <w:p w14:paraId="657DF84A" w14:textId="77777777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b/>
          <w:szCs w:val="22"/>
        </w:rPr>
      </w:pPr>
    </w:p>
    <w:p w14:paraId="2CAB1CBB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6.4</w:t>
      </w:r>
      <w:r w:rsidRPr="00071B69">
        <w:rPr>
          <w:b/>
          <w:szCs w:val="22"/>
        </w:rPr>
        <w:tab/>
        <w:t>Špeciálne upozornenia na uchovávanie</w:t>
      </w:r>
    </w:p>
    <w:p w14:paraId="3B79F059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4BC0BFF7" w14:textId="72C85E79" w:rsidR="008E74B1" w:rsidRPr="00071B69" w:rsidRDefault="008E74B1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 xml:space="preserve">Tento liek nevyžaduje žiadne </w:t>
      </w:r>
      <w:r w:rsidR="005C6E8C">
        <w:t>zvláštne</w:t>
      </w:r>
      <w:r w:rsidRPr="00071B69">
        <w:t xml:space="preserve"> podmienky na uchovávanie.</w:t>
      </w:r>
    </w:p>
    <w:p w14:paraId="3C915639" w14:textId="77777777" w:rsidR="008E74B1" w:rsidRPr="00071B69" w:rsidRDefault="008E74B1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2167955B" w14:textId="7E64FFB1" w:rsidR="00D8234B" w:rsidRPr="00071B69" w:rsidRDefault="005B5C8C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Injekčnú striekačku uchovávajte vo vonkajšej škatuli, aby bola chránená pred svetlom.</w:t>
      </w:r>
    </w:p>
    <w:p w14:paraId="1D74710E" w14:textId="77777777" w:rsidR="005B5C8C" w:rsidRPr="00071B69" w:rsidRDefault="005B5C8C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DD97C42" w14:textId="40D07465" w:rsidR="001D29E6" w:rsidRPr="00071B69" w:rsidRDefault="00257B77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lastRenderedPageBreak/>
        <w:t>6.5</w:t>
      </w:r>
      <w:r w:rsidRPr="00071B69">
        <w:rPr>
          <w:b/>
          <w:szCs w:val="22"/>
        </w:rPr>
        <w:tab/>
        <w:t>Druh obalu a obsah balenia</w:t>
      </w:r>
    </w:p>
    <w:p w14:paraId="07AFE97B" w14:textId="77777777" w:rsidR="00D53DC1" w:rsidRPr="00071B69" w:rsidRDefault="00D53DC1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1A7A3ACA" w14:textId="207FB9E7" w:rsidR="00D53DC1" w:rsidRPr="00071B69" w:rsidRDefault="00B4030E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10 ml roztoku v naplnenej injekčnej striekačke (cykloolefínový kopolymér) s piestovou zátkou (syntetická brómbutylová guma) a </w:t>
      </w:r>
      <w:r w:rsidRPr="00F433A7">
        <w:t>viečkom</w:t>
      </w:r>
      <w:r w:rsidRPr="00071B69">
        <w:t xml:space="preserve"> (syntetická brómbutylová guma).</w:t>
      </w:r>
    </w:p>
    <w:p w14:paraId="2D2C04CB" w14:textId="77777777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0CC0B1F2" w14:textId="04563947" w:rsidR="00D8234B" w:rsidRPr="00071B69" w:rsidRDefault="00D8234B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Škatuľa so 100 naplnenými injekčnými striekačkami.</w:t>
      </w:r>
    </w:p>
    <w:p w14:paraId="552816D9" w14:textId="77777777" w:rsidR="00D8234B" w:rsidRPr="00071B69" w:rsidRDefault="00D8234B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7E015C85" w14:textId="3341BE3A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6.6</w:t>
      </w:r>
      <w:r w:rsidRPr="00071B69">
        <w:rPr>
          <w:b/>
          <w:szCs w:val="22"/>
        </w:rPr>
        <w:tab/>
        <w:t xml:space="preserve">Špeciálne opatrenia na likvidáciu </w:t>
      </w:r>
    </w:p>
    <w:p w14:paraId="1CC88A6E" w14:textId="77777777" w:rsidR="00F408D6" w:rsidRPr="00071B69" w:rsidRDefault="00F408D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547354BC" w14:textId="40198650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Všetok nepoužitý liek alebo odpad vzniknutý z lieku sa má zlikvidovať v súlade s národnými požiadavkami.</w:t>
      </w:r>
    </w:p>
    <w:p w14:paraId="4F9770FF" w14:textId="77777777" w:rsidR="00563C1C" w:rsidRPr="00071B69" w:rsidRDefault="00563C1C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2E296100" w14:textId="77777777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047B1BB7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7.</w:t>
      </w:r>
      <w:r w:rsidRPr="00071B69">
        <w:rPr>
          <w:b/>
          <w:szCs w:val="22"/>
        </w:rPr>
        <w:tab/>
        <w:t>DRŽITEĽ ROZHODNUTIA O REGISTRÁCII</w:t>
      </w:r>
    </w:p>
    <w:p w14:paraId="01E2DF60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77A01993" w14:textId="77777777" w:rsidR="00B93563" w:rsidRPr="00071B69" w:rsidRDefault="00B93563" w:rsidP="00137842">
      <w:pPr>
        <w:pStyle w:val="Obyajntext"/>
        <w:keepNext/>
        <w:keepLines/>
        <w:outlineLvl w:val="0"/>
        <w:rPr>
          <w:rFonts w:ascii="Times New Roman" w:hAnsi="Times New Roman" w:cs="Times New Roman"/>
          <w:sz w:val="22"/>
          <w:szCs w:val="22"/>
        </w:rPr>
      </w:pPr>
      <w:r w:rsidRPr="00071B69">
        <w:rPr>
          <w:rFonts w:ascii="Times New Roman" w:hAnsi="Times New Roman"/>
          <w:sz w:val="22"/>
          <w:szCs w:val="22"/>
        </w:rPr>
        <w:t>Oxyton Pharma GmbH</w:t>
      </w:r>
    </w:p>
    <w:p w14:paraId="540202FB" w14:textId="77777777" w:rsidR="00B93563" w:rsidRPr="00071B69" w:rsidRDefault="00B93563" w:rsidP="00137842">
      <w:pPr>
        <w:pStyle w:val="Obyajntext"/>
        <w:keepNext/>
        <w:keepLines/>
        <w:rPr>
          <w:rFonts w:ascii="Times New Roman" w:hAnsi="Times New Roman" w:cs="Times New Roman"/>
          <w:sz w:val="22"/>
          <w:szCs w:val="22"/>
        </w:rPr>
      </w:pPr>
      <w:r w:rsidRPr="00071B69">
        <w:rPr>
          <w:rFonts w:ascii="Times New Roman" w:hAnsi="Times New Roman"/>
          <w:sz w:val="22"/>
          <w:szCs w:val="22"/>
        </w:rPr>
        <w:t>Edith-Stein-Platz 7</w:t>
      </w:r>
    </w:p>
    <w:p w14:paraId="6C393B36" w14:textId="77777777" w:rsidR="00B93563" w:rsidRPr="00071B69" w:rsidRDefault="00B93563" w:rsidP="00137842">
      <w:pPr>
        <w:pStyle w:val="Obyajntext"/>
        <w:keepNext/>
        <w:keepLines/>
        <w:rPr>
          <w:rFonts w:ascii="Times New Roman" w:hAnsi="Times New Roman" w:cs="Times New Roman"/>
          <w:sz w:val="22"/>
          <w:szCs w:val="22"/>
        </w:rPr>
      </w:pPr>
      <w:r w:rsidRPr="00071B69">
        <w:rPr>
          <w:rFonts w:ascii="Times New Roman" w:hAnsi="Times New Roman"/>
          <w:sz w:val="22"/>
          <w:szCs w:val="22"/>
        </w:rPr>
        <w:t>21035 Hamburg</w:t>
      </w:r>
    </w:p>
    <w:p w14:paraId="6AA17343" w14:textId="4594B5DE" w:rsidR="001D29E6" w:rsidRPr="00071B69" w:rsidRDefault="00E13FB6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Nemecko</w:t>
      </w:r>
    </w:p>
    <w:p w14:paraId="4ECFB9DD" w14:textId="77777777" w:rsidR="00B93563" w:rsidRPr="00071B69" w:rsidRDefault="00B93563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21A3C0A" w14:textId="77777777" w:rsidR="00B93563" w:rsidRPr="00071B69" w:rsidRDefault="00B93563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37DFC90" w14:textId="5AD6F91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8.</w:t>
      </w:r>
      <w:r w:rsidRPr="00071B69">
        <w:rPr>
          <w:b/>
          <w:szCs w:val="22"/>
        </w:rPr>
        <w:tab/>
        <w:t>REGISTRAČNÉ ČÍSLO</w:t>
      </w:r>
    </w:p>
    <w:p w14:paraId="634EEB3D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i/>
          <w:szCs w:val="22"/>
        </w:rPr>
      </w:pPr>
    </w:p>
    <w:p w14:paraId="65A37593" w14:textId="0BDD4B76" w:rsidR="001D29E6" w:rsidRPr="00071B69" w:rsidRDefault="007C4AD3" w:rsidP="00137842">
      <w:pPr>
        <w:keepLines/>
        <w:tabs>
          <w:tab w:val="clear" w:pos="567"/>
        </w:tabs>
        <w:spacing w:line="240" w:lineRule="auto"/>
        <w:rPr>
          <w:i/>
          <w:iCs/>
          <w:szCs w:val="22"/>
        </w:rPr>
      </w:pPr>
      <w:r>
        <w:t>53/0046/19-S</w:t>
      </w:r>
    </w:p>
    <w:p w14:paraId="4AE27041" w14:textId="77777777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6BF93E02" w14:textId="77777777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53CCCF1B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9.</w:t>
      </w:r>
      <w:r w:rsidRPr="00071B69">
        <w:rPr>
          <w:b/>
          <w:szCs w:val="22"/>
        </w:rPr>
        <w:tab/>
        <w:t>DÁTUM PRVEJ REGISTRÁCIE/PREDĹŽENIA REGISTRÁCIE</w:t>
      </w:r>
    </w:p>
    <w:p w14:paraId="46251CED" w14:textId="77777777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8D382E5" w14:textId="77777777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05515A05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10.</w:t>
      </w:r>
      <w:r w:rsidRPr="00071B69">
        <w:rPr>
          <w:b/>
          <w:szCs w:val="22"/>
        </w:rPr>
        <w:tab/>
        <w:t>DÁTUM REVÍZIE TEXTU</w:t>
      </w:r>
    </w:p>
    <w:p w14:paraId="02CE458E" w14:textId="38DE3D9B" w:rsidR="001D29E6" w:rsidRPr="00071B69" w:rsidRDefault="001D29E6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A5695EA" w14:textId="1C8C8D21" w:rsidR="0025380D" w:rsidRPr="00071B69" w:rsidRDefault="00EB5D8B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02/2019</w:t>
      </w:r>
    </w:p>
    <w:sectPr w:rsidR="0025380D" w:rsidRPr="00071B69" w:rsidSect="007C4AD3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418" w:right="1418" w:bottom="1134" w:left="1418" w:header="709" w:footer="709" w:gutter="0"/>
      <w:pgNumType w:start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C3655E" w16cid:durableId="1F0820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D7F48" w14:textId="77777777" w:rsidR="006E422E" w:rsidRDefault="006E422E">
      <w:r>
        <w:separator/>
      </w:r>
    </w:p>
  </w:endnote>
  <w:endnote w:type="continuationSeparator" w:id="0">
    <w:p w14:paraId="68C28031" w14:textId="77777777" w:rsidR="006E422E" w:rsidRDefault="006E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8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133A0" w14:textId="40D31FE7" w:rsidR="006E422E" w:rsidRPr="00EC4CE7" w:rsidRDefault="006E422E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EC4CE7">
      <w:rPr>
        <w:rFonts w:ascii="Times New Roman" w:hAnsi="Times New Roman"/>
        <w:sz w:val="18"/>
        <w:szCs w:val="18"/>
      </w:rPr>
      <w:fldChar w:fldCharType="begin"/>
    </w:r>
    <w:r w:rsidRPr="00EC4CE7">
      <w:rPr>
        <w:rFonts w:ascii="Times New Roman" w:hAnsi="Times New Roman"/>
        <w:sz w:val="18"/>
        <w:szCs w:val="18"/>
      </w:rPr>
      <w:instrText xml:space="preserve"> EQ </w:instrText>
    </w:r>
    <w:r w:rsidRPr="00EC4CE7">
      <w:rPr>
        <w:rFonts w:ascii="Times New Roman" w:hAnsi="Times New Roman"/>
        <w:sz w:val="18"/>
        <w:szCs w:val="18"/>
      </w:rPr>
      <w:fldChar w:fldCharType="end"/>
    </w:r>
    <w:r w:rsidRPr="00EC4CE7">
      <w:rPr>
        <w:rStyle w:val="slostrany"/>
        <w:rFonts w:ascii="Times New Roman" w:hAnsi="Times New Roman"/>
        <w:sz w:val="18"/>
        <w:szCs w:val="18"/>
      </w:rPr>
      <w:fldChar w:fldCharType="begin"/>
    </w:r>
    <w:r w:rsidRPr="00EC4CE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C4CE7">
      <w:rPr>
        <w:rStyle w:val="slostrany"/>
        <w:rFonts w:ascii="Times New Roman" w:hAnsi="Times New Roman"/>
        <w:sz w:val="18"/>
        <w:szCs w:val="18"/>
      </w:rPr>
      <w:fldChar w:fldCharType="separate"/>
    </w:r>
    <w:r w:rsidR="007C4AD3">
      <w:rPr>
        <w:rStyle w:val="slostrany"/>
        <w:rFonts w:ascii="Times New Roman" w:hAnsi="Times New Roman"/>
        <w:noProof/>
        <w:sz w:val="18"/>
        <w:szCs w:val="18"/>
      </w:rPr>
      <w:t>0</w:t>
    </w:r>
    <w:r w:rsidRPr="00EC4CE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CC102" w14:textId="4EF4188D" w:rsidR="006E422E" w:rsidRPr="000C1913" w:rsidRDefault="006E422E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ACF09" w14:textId="77777777" w:rsidR="006E422E" w:rsidRDefault="006E422E">
      <w:r>
        <w:separator/>
      </w:r>
    </w:p>
  </w:footnote>
  <w:footnote w:type="continuationSeparator" w:id="0">
    <w:p w14:paraId="113897BA" w14:textId="77777777" w:rsidR="006E422E" w:rsidRDefault="006E4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36EB5" w14:textId="5A79ECEB" w:rsidR="006E422E" w:rsidRDefault="006E422E" w:rsidP="0016502E">
    <w:r>
      <w:rPr>
        <w:sz w:val="18"/>
        <w:szCs w:val="18"/>
      </w:rPr>
      <w:t>Schválený text k rozhodnutiu o registrácii</w:t>
    </w:r>
    <w:r w:rsidRPr="001F2A76">
      <w:rPr>
        <w:sz w:val="18"/>
        <w:szCs w:val="18"/>
      </w:rPr>
      <w:t xml:space="preserve">, ev. č. </w:t>
    </w:r>
    <w:r>
      <w:rPr>
        <w:sz w:val="18"/>
        <w:szCs w:val="18"/>
      </w:rPr>
      <w:t>2017/02006</w:t>
    </w:r>
    <w:r w:rsidRPr="009222D8">
      <w:rPr>
        <w:sz w:val="18"/>
        <w:szCs w:val="18"/>
      </w:rPr>
      <w:t>-REG</w:t>
    </w:r>
  </w:p>
  <w:p w14:paraId="675698CA" w14:textId="77777777" w:rsidR="006E422E" w:rsidRDefault="006E422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63FCD" w14:textId="77777777" w:rsidR="006E422E" w:rsidRPr="00EC4CE7" w:rsidRDefault="006E422E" w:rsidP="00EC4CE7">
    <w:pPr>
      <w:pStyle w:val="Hlavika"/>
      <w:tabs>
        <w:tab w:val="clear" w:pos="567"/>
        <w:tab w:val="clear" w:pos="4153"/>
        <w:tab w:val="clear" w:pos="8306"/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E0D337E"/>
    <w:multiLevelType w:val="hybridMultilevel"/>
    <w:tmpl w:val="0F3E1ACC"/>
    <w:lvl w:ilvl="0" w:tplc="0407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91CA6"/>
    <w:multiLevelType w:val="hybridMultilevel"/>
    <w:tmpl w:val="97122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15105"/>
    <w:multiLevelType w:val="multilevel"/>
    <w:tmpl w:val="CC440B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73B5E18"/>
    <w:multiLevelType w:val="hybridMultilevel"/>
    <w:tmpl w:val="F8B840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541609"/>
    <w:multiLevelType w:val="hybridMultilevel"/>
    <w:tmpl w:val="A12CB95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8AE2F48"/>
    <w:multiLevelType w:val="multilevel"/>
    <w:tmpl w:val="1220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C6098E"/>
    <w:multiLevelType w:val="hybridMultilevel"/>
    <w:tmpl w:val="7494AF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4AD17D88"/>
    <w:multiLevelType w:val="hybridMultilevel"/>
    <w:tmpl w:val="F9806984"/>
    <w:lvl w:ilvl="0" w:tplc="FFFFFFFF">
      <w:start w:val="1"/>
      <w:numFmt w:val="bullet"/>
      <w:lvlText w:val="-"/>
      <w:lvlJc w:val="left"/>
      <w:pPr>
        <w:ind w:left="862" w:hanging="360"/>
      </w:p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EBA6E5B"/>
    <w:multiLevelType w:val="hybridMultilevel"/>
    <w:tmpl w:val="F09641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610CA"/>
    <w:multiLevelType w:val="hybridMultilevel"/>
    <w:tmpl w:val="2354AA9A"/>
    <w:lvl w:ilvl="0" w:tplc="B442CE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72B36"/>
    <w:multiLevelType w:val="multilevel"/>
    <w:tmpl w:val="BDECAF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4" w15:restartNumberingAfterBreak="0">
    <w:nsid w:val="5F0F1928"/>
    <w:multiLevelType w:val="hybridMultilevel"/>
    <w:tmpl w:val="D71616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8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3" w15:restartNumberingAfterBreak="0">
    <w:nsid w:val="6C24653C"/>
    <w:multiLevelType w:val="multilevel"/>
    <w:tmpl w:val="E24A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5" w15:restartNumberingAfterBreak="0">
    <w:nsid w:val="6DA06825"/>
    <w:multiLevelType w:val="hybridMultilevel"/>
    <w:tmpl w:val="309ACA46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23769C"/>
    <w:multiLevelType w:val="hybridMultilevel"/>
    <w:tmpl w:val="0B946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9" w15:restartNumberingAfterBreak="0">
    <w:nsid w:val="7D3A00B1"/>
    <w:multiLevelType w:val="hybridMultilevel"/>
    <w:tmpl w:val="7882B240"/>
    <w:lvl w:ilvl="0" w:tplc="85904DF8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 w15:restartNumberingAfterBreak="0">
    <w:nsid w:val="7DA73D06"/>
    <w:multiLevelType w:val="hybridMultilevel"/>
    <w:tmpl w:val="BE9272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4"/>
  </w:num>
  <w:num w:numId="4">
    <w:abstractNumId w:val="42"/>
  </w:num>
  <w:num w:numId="5">
    <w:abstractNumId w:val="14"/>
  </w:num>
  <w:num w:numId="6">
    <w:abstractNumId w:val="30"/>
  </w:num>
  <w:num w:numId="7">
    <w:abstractNumId w:val="25"/>
  </w:num>
  <w:num w:numId="8">
    <w:abstractNumId w:val="10"/>
  </w:num>
  <w:num w:numId="9">
    <w:abstractNumId w:val="40"/>
  </w:num>
  <w:num w:numId="10">
    <w:abstractNumId w:val="41"/>
  </w:num>
  <w:num w:numId="11">
    <w:abstractNumId w:val="19"/>
  </w:num>
  <w:num w:numId="12">
    <w:abstractNumId w:val="16"/>
  </w:num>
  <w:num w:numId="13">
    <w:abstractNumId w:val="2"/>
  </w:num>
  <w:num w:numId="14">
    <w:abstractNumId w:val="39"/>
  </w:num>
  <w:num w:numId="15">
    <w:abstractNumId w:val="23"/>
  </w:num>
  <w:num w:numId="16">
    <w:abstractNumId w:val="46"/>
  </w:num>
  <w:num w:numId="17">
    <w:abstractNumId w:val="11"/>
  </w:num>
  <w:num w:numId="18">
    <w:abstractNumId w:val="1"/>
  </w:num>
  <w:num w:numId="19">
    <w:abstractNumId w:val="20"/>
  </w:num>
  <w:num w:numId="20">
    <w:abstractNumId w:val="3"/>
  </w:num>
  <w:num w:numId="21">
    <w:abstractNumId w:val="8"/>
  </w:num>
  <w:num w:numId="22">
    <w:abstractNumId w:val="33"/>
  </w:num>
  <w:num w:numId="23">
    <w:abstractNumId w:val="38"/>
  </w:num>
  <w:num w:numId="24">
    <w:abstractNumId w:val="32"/>
  </w:num>
  <w:num w:numId="25">
    <w:abstractNumId w:val="15"/>
  </w:num>
  <w:num w:numId="26">
    <w:abstractNumId w:val="13"/>
  </w:num>
  <w:num w:numId="27">
    <w:abstractNumId w:val="24"/>
  </w:num>
  <w:num w:numId="28">
    <w:abstractNumId w:val="31"/>
  </w:num>
  <w:num w:numId="29">
    <w:abstractNumId w:val="17"/>
  </w:num>
  <w:num w:numId="30">
    <w:abstractNumId w:val="12"/>
  </w:num>
  <w:num w:numId="31">
    <w:abstractNumId w:val="36"/>
  </w:num>
  <w:num w:numId="32">
    <w:abstractNumId w:val="37"/>
  </w:num>
  <w:num w:numId="33">
    <w:abstractNumId w:val="35"/>
  </w:num>
  <w:num w:numId="34">
    <w:abstractNumId w:val="18"/>
  </w:num>
  <w:num w:numId="35">
    <w:abstractNumId w:val="4"/>
  </w:num>
  <w:num w:numId="36">
    <w:abstractNumId w:val="48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49"/>
  </w:num>
  <w:num w:numId="39">
    <w:abstractNumId w:val="9"/>
  </w:num>
  <w:num w:numId="40">
    <w:abstractNumId w:val="45"/>
  </w:num>
  <w:num w:numId="41">
    <w:abstractNumId w:val="26"/>
  </w:num>
  <w:num w:numId="42">
    <w:abstractNumId w:val="21"/>
  </w:num>
  <w:num w:numId="43">
    <w:abstractNumId w:val="22"/>
  </w:num>
  <w:num w:numId="44">
    <w:abstractNumId w:val="27"/>
  </w:num>
  <w:num w:numId="45">
    <w:abstractNumId w:val="50"/>
  </w:num>
  <w:num w:numId="46">
    <w:abstractNumId w:val="6"/>
  </w:num>
  <w:num w:numId="47">
    <w:abstractNumId w:val="43"/>
  </w:num>
  <w:num w:numId="48">
    <w:abstractNumId w:val="34"/>
  </w:num>
  <w:num w:numId="49">
    <w:abstractNumId w:val="47"/>
  </w:num>
  <w:num w:numId="50">
    <w:abstractNumId w:val="28"/>
  </w:num>
  <w:num w:numId="51">
    <w:abstractNumId w:val="7"/>
  </w:num>
  <w:num w:numId="52">
    <w:abstractNumId w:val="5"/>
  </w:num>
  <w:num w:numId="53">
    <w:abstractNumId w:val="2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03E77"/>
    <w:rsid w:val="00005FA0"/>
    <w:rsid w:val="000064E6"/>
    <w:rsid w:val="00010731"/>
    <w:rsid w:val="000131C2"/>
    <w:rsid w:val="000201D0"/>
    <w:rsid w:val="00020400"/>
    <w:rsid w:val="000217A7"/>
    <w:rsid w:val="0002180D"/>
    <w:rsid w:val="00022E95"/>
    <w:rsid w:val="00023287"/>
    <w:rsid w:val="00023F15"/>
    <w:rsid w:val="00024F78"/>
    <w:rsid w:val="000347B4"/>
    <w:rsid w:val="000356F2"/>
    <w:rsid w:val="0003596C"/>
    <w:rsid w:val="000409A9"/>
    <w:rsid w:val="00041217"/>
    <w:rsid w:val="000425D4"/>
    <w:rsid w:val="00043B8F"/>
    <w:rsid w:val="00045D8E"/>
    <w:rsid w:val="0004694D"/>
    <w:rsid w:val="0005114A"/>
    <w:rsid w:val="00052A0F"/>
    <w:rsid w:val="00055424"/>
    <w:rsid w:val="000555F2"/>
    <w:rsid w:val="00056ED8"/>
    <w:rsid w:val="00057ED2"/>
    <w:rsid w:val="00057FE6"/>
    <w:rsid w:val="00060DF3"/>
    <w:rsid w:val="00061E2F"/>
    <w:rsid w:val="00067D17"/>
    <w:rsid w:val="00071B69"/>
    <w:rsid w:val="00071C30"/>
    <w:rsid w:val="0007204A"/>
    <w:rsid w:val="00074005"/>
    <w:rsid w:val="00075EEC"/>
    <w:rsid w:val="00076BCE"/>
    <w:rsid w:val="00080EF1"/>
    <w:rsid w:val="00083518"/>
    <w:rsid w:val="00083B82"/>
    <w:rsid w:val="00086750"/>
    <w:rsid w:val="00086803"/>
    <w:rsid w:val="0009253C"/>
    <w:rsid w:val="00093F4D"/>
    <w:rsid w:val="000A4C97"/>
    <w:rsid w:val="000A4C9F"/>
    <w:rsid w:val="000A573C"/>
    <w:rsid w:val="000A64DA"/>
    <w:rsid w:val="000A6589"/>
    <w:rsid w:val="000B0025"/>
    <w:rsid w:val="000B070F"/>
    <w:rsid w:val="000B3543"/>
    <w:rsid w:val="000B41C5"/>
    <w:rsid w:val="000B52D5"/>
    <w:rsid w:val="000B7FEC"/>
    <w:rsid w:val="000C0D51"/>
    <w:rsid w:val="000C126A"/>
    <w:rsid w:val="000C1913"/>
    <w:rsid w:val="000C193B"/>
    <w:rsid w:val="000C42FC"/>
    <w:rsid w:val="000D2320"/>
    <w:rsid w:val="000D2C59"/>
    <w:rsid w:val="000D44E9"/>
    <w:rsid w:val="000D775C"/>
    <w:rsid w:val="000D7AA6"/>
    <w:rsid w:val="000E1B92"/>
    <w:rsid w:val="000E1E32"/>
    <w:rsid w:val="000E3DA5"/>
    <w:rsid w:val="000E52B1"/>
    <w:rsid w:val="000E54AF"/>
    <w:rsid w:val="000F20AC"/>
    <w:rsid w:val="000F2E9D"/>
    <w:rsid w:val="000F32B2"/>
    <w:rsid w:val="001008CE"/>
    <w:rsid w:val="00103447"/>
    <w:rsid w:val="00105541"/>
    <w:rsid w:val="0010640D"/>
    <w:rsid w:val="001076E7"/>
    <w:rsid w:val="0011159B"/>
    <w:rsid w:val="001136EB"/>
    <w:rsid w:val="00113D43"/>
    <w:rsid w:val="00114560"/>
    <w:rsid w:val="00115E23"/>
    <w:rsid w:val="0012010A"/>
    <w:rsid w:val="0012061D"/>
    <w:rsid w:val="00122366"/>
    <w:rsid w:val="00123270"/>
    <w:rsid w:val="00124C6E"/>
    <w:rsid w:val="00132B92"/>
    <w:rsid w:val="00137842"/>
    <w:rsid w:val="00137A72"/>
    <w:rsid w:val="00137EC9"/>
    <w:rsid w:val="00142966"/>
    <w:rsid w:val="001430A9"/>
    <w:rsid w:val="001430E2"/>
    <w:rsid w:val="001524E8"/>
    <w:rsid w:val="001526CF"/>
    <w:rsid w:val="00152CC5"/>
    <w:rsid w:val="00152E50"/>
    <w:rsid w:val="00155249"/>
    <w:rsid w:val="00155C0B"/>
    <w:rsid w:val="00157992"/>
    <w:rsid w:val="00161B5B"/>
    <w:rsid w:val="00162395"/>
    <w:rsid w:val="00163D73"/>
    <w:rsid w:val="0016502E"/>
    <w:rsid w:val="00165362"/>
    <w:rsid w:val="001659FC"/>
    <w:rsid w:val="00167629"/>
    <w:rsid w:val="001739E3"/>
    <w:rsid w:val="001759E1"/>
    <w:rsid w:val="00175B3B"/>
    <w:rsid w:val="00181831"/>
    <w:rsid w:val="00181F07"/>
    <w:rsid w:val="001837C9"/>
    <w:rsid w:val="00185256"/>
    <w:rsid w:val="001920C4"/>
    <w:rsid w:val="0019343E"/>
    <w:rsid w:val="00194928"/>
    <w:rsid w:val="0019745E"/>
    <w:rsid w:val="0019794D"/>
    <w:rsid w:val="00197D0B"/>
    <w:rsid w:val="001A0992"/>
    <w:rsid w:val="001A1320"/>
    <w:rsid w:val="001A17C0"/>
    <w:rsid w:val="001B1A75"/>
    <w:rsid w:val="001B20F0"/>
    <w:rsid w:val="001B2BEC"/>
    <w:rsid w:val="001B2E47"/>
    <w:rsid w:val="001B3902"/>
    <w:rsid w:val="001B7372"/>
    <w:rsid w:val="001C0544"/>
    <w:rsid w:val="001C3BDB"/>
    <w:rsid w:val="001C5ACC"/>
    <w:rsid w:val="001C7A30"/>
    <w:rsid w:val="001C7B6D"/>
    <w:rsid w:val="001D007E"/>
    <w:rsid w:val="001D29E6"/>
    <w:rsid w:val="001E1739"/>
    <w:rsid w:val="001E258B"/>
    <w:rsid w:val="001E3123"/>
    <w:rsid w:val="001E69ED"/>
    <w:rsid w:val="001E6EF7"/>
    <w:rsid w:val="001F21EE"/>
    <w:rsid w:val="001F2FB4"/>
    <w:rsid w:val="001F3539"/>
    <w:rsid w:val="001F64A9"/>
    <w:rsid w:val="00200EE4"/>
    <w:rsid w:val="002011EF"/>
    <w:rsid w:val="00201629"/>
    <w:rsid w:val="002074BB"/>
    <w:rsid w:val="002075E9"/>
    <w:rsid w:val="00210E5E"/>
    <w:rsid w:val="0021190E"/>
    <w:rsid w:val="00211F4D"/>
    <w:rsid w:val="00214906"/>
    <w:rsid w:val="00215EC4"/>
    <w:rsid w:val="002175C2"/>
    <w:rsid w:val="00217F99"/>
    <w:rsid w:val="0022386B"/>
    <w:rsid w:val="00225A70"/>
    <w:rsid w:val="002260B0"/>
    <w:rsid w:val="0022688B"/>
    <w:rsid w:val="00227EB8"/>
    <w:rsid w:val="00232029"/>
    <w:rsid w:val="00233313"/>
    <w:rsid w:val="00236D92"/>
    <w:rsid w:val="00240F0A"/>
    <w:rsid w:val="00242FBE"/>
    <w:rsid w:val="00243FDC"/>
    <w:rsid w:val="00246C7F"/>
    <w:rsid w:val="00250EA2"/>
    <w:rsid w:val="00251790"/>
    <w:rsid w:val="00251D95"/>
    <w:rsid w:val="0025380D"/>
    <w:rsid w:val="00253D01"/>
    <w:rsid w:val="002541E4"/>
    <w:rsid w:val="0025477D"/>
    <w:rsid w:val="002569B7"/>
    <w:rsid w:val="00257B77"/>
    <w:rsid w:val="002717B5"/>
    <w:rsid w:val="00274B35"/>
    <w:rsid w:val="00275C55"/>
    <w:rsid w:val="00276569"/>
    <w:rsid w:val="00276F9D"/>
    <w:rsid w:val="00277414"/>
    <w:rsid w:val="00281130"/>
    <w:rsid w:val="00281A58"/>
    <w:rsid w:val="002826DD"/>
    <w:rsid w:val="00283881"/>
    <w:rsid w:val="002839CF"/>
    <w:rsid w:val="00287684"/>
    <w:rsid w:val="00295473"/>
    <w:rsid w:val="0029721A"/>
    <w:rsid w:val="002A412E"/>
    <w:rsid w:val="002A49F3"/>
    <w:rsid w:val="002B1C3F"/>
    <w:rsid w:val="002B2995"/>
    <w:rsid w:val="002B5233"/>
    <w:rsid w:val="002B5571"/>
    <w:rsid w:val="002B57B9"/>
    <w:rsid w:val="002C08B0"/>
    <w:rsid w:val="002C252D"/>
    <w:rsid w:val="002C55F3"/>
    <w:rsid w:val="002C5A8C"/>
    <w:rsid w:val="002C5E11"/>
    <w:rsid w:val="002C7B54"/>
    <w:rsid w:val="002D2F10"/>
    <w:rsid w:val="002D3AE9"/>
    <w:rsid w:val="002D5244"/>
    <w:rsid w:val="002D661F"/>
    <w:rsid w:val="002D7B3B"/>
    <w:rsid w:val="002E17F3"/>
    <w:rsid w:val="002E3ECC"/>
    <w:rsid w:val="002E435C"/>
    <w:rsid w:val="002E79E7"/>
    <w:rsid w:val="002F1D82"/>
    <w:rsid w:val="002F20FB"/>
    <w:rsid w:val="002F7CFE"/>
    <w:rsid w:val="003017C4"/>
    <w:rsid w:val="0030265D"/>
    <w:rsid w:val="00302A21"/>
    <w:rsid w:val="00303190"/>
    <w:rsid w:val="00305871"/>
    <w:rsid w:val="003066BD"/>
    <w:rsid w:val="003113A9"/>
    <w:rsid w:val="003118EB"/>
    <w:rsid w:val="0031220F"/>
    <w:rsid w:val="00312AD2"/>
    <w:rsid w:val="003158A2"/>
    <w:rsid w:val="003169CD"/>
    <w:rsid w:val="00323C01"/>
    <w:rsid w:val="00324A74"/>
    <w:rsid w:val="00324A9F"/>
    <w:rsid w:val="0032574B"/>
    <w:rsid w:val="0032623A"/>
    <w:rsid w:val="00327BBA"/>
    <w:rsid w:val="00327EFC"/>
    <w:rsid w:val="00330386"/>
    <w:rsid w:val="00330FFB"/>
    <w:rsid w:val="003326F2"/>
    <w:rsid w:val="00332965"/>
    <w:rsid w:val="00332A23"/>
    <w:rsid w:val="00332EC1"/>
    <w:rsid w:val="00333AD1"/>
    <w:rsid w:val="00335135"/>
    <w:rsid w:val="00335AE0"/>
    <w:rsid w:val="003362A2"/>
    <w:rsid w:val="003367A3"/>
    <w:rsid w:val="00337B87"/>
    <w:rsid w:val="0034005B"/>
    <w:rsid w:val="003413C5"/>
    <w:rsid w:val="00341558"/>
    <w:rsid w:val="0034470E"/>
    <w:rsid w:val="0034525B"/>
    <w:rsid w:val="003453E3"/>
    <w:rsid w:val="003500F1"/>
    <w:rsid w:val="003521B2"/>
    <w:rsid w:val="003534D9"/>
    <w:rsid w:val="00354AB3"/>
    <w:rsid w:val="00355FB6"/>
    <w:rsid w:val="003575BA"/>
    <w:rsid w:val="00363C10"/>
    <w:rsid w:val="00371FD5"/>
    <w:rsid w:val="00380E60"/>
    <w:rsid w:val="00382D95"/>
    <w:rsid w:val="00384DDE"/>
    <w:rsid w:val="00386DBD"/>
    <w:rsid w:val="003903B5"/>
    <w:rsid w:val="003929DC"/>
    <w:rsid w:val="00393C57"/>
    <w:rsid w:val="0039460A"/>
    <w:rsid w:val="0039471A"/>
    <w:rsid w:val="00397DFF"/>
    <w:rsid w:val="003A00A7"/>
    <w:rsid w:val="003A0BFB"/>
    <w:rsid w:val="003A17B3"/>
    <w:rsid w:val="003A1927"/>
    <w:rsid w:val="003A3F87"/>
    <w:rsid w:val="003A4850"/>
    <w:rsid w:val="003A4D1B"/>
    <w:rsid w:val="003A62FB"/>
    <w:rsid w:val="003A67C5"/>
    <w:rsid w:val="003A700C"/>
    <w:rsid w:val="003A7583"/>
    <w:rsid w:val="003B00F4"/>
    <w:rsid w:val="003B0D64"/>
    <w:rsid w:val="003B3920"/>
    <w:rsid w:val="003B3D77"/>
    <w:rsid w:val="003C1A4F"/>
    <w:rsid w:val="003C2DD0"/>
    <w:rsid w:val="003D212C"/>
    <w:rsid w:val="003D7F1E"/>
    <w:rsid w:val="003E355A"/>
    <w:rsid w:val="003E65C0"/>
    <w:rsid w:val="003F058F"/>
    <w:rsid w:val="003F2563"/>
    <w:rsid w:val="003F7090"/>
    <w:rsid w:val="003F7675"/>
    <w:rsid w:val="0040174A"/>
    <w:rsid w:val="00402FDF"/>
    <w:rsid w:val="00403285"/>
    <w:rsid w:val="00403E60"/>
    <w:rsid w:val="00403FA1"/>
    <w:rsid w:val="004101B7"/>
    <w:rsid w:val="00413A95"/>
    <w:rsid w:val="00415992"/>
    <w:rsid w:val="00416FDC"/>
    <w:rsid w:val="004200B3"/>
    <w:rsid w:val="00421001"/>
    <w:rsid w:val="00424F9A"/>
    <w:rsid w:val="00425B31"/>
    <w:rsid w:val="0042602A"/>
    <w:rsid w:val="004310AC"/>
    <w:rsid w:val="00432019"/>
    <w:rsid w:val="004323C4"/>
    <w:rsid w:val="00434C72"/>
    <w:rsid w:val="0043602E"/>
    <w:rsid w:val="00440F59"/>
    <w:rsid w:val="00443F00"/>
    <w:rsid w:val="00445622"/>
    <w:rsid w:val="00447059"/>
    <w:rsid w:val="00447378"/>
    <w:rsid w:val="00451359"/>
    <w:rsid w:val="0045761B"/>
    <w:rsid w:val="00462140"/>
    <w:rsid w:val="004625D9"/>
    <w:rsid w:val="00462631"/>
    <w:rsid w:val="00463AF2"/>
    <w:rsid w:val="00464AC1"/>
    <w:rsid w:val="004709B8"/>
    <w:rsid w:val="004712E1"/>
    <w:rsid w:val="004777D3"/>
    <w:rsid w:val="00477D24"/>
    <w:rsid w:val="00486CAC"/>
    <w:rsid w:val="00493765"/>
    <w:rsid w:val="00495206"/>
    <w:rsid w:val="004A0A38"/>
    <w:rsid w:val="004A0BC8"/>
    <w:rsid w:val="004A15ED"/>
    <w:rsid w:val="004A5069"/>
    <w:rsid w:val="004A6E7B"/>
    <w:rsid w:val="004B015B"/>
    <w:rsid w:val="004B028C"/>
    <w:rsid w:val="004B19B8"/>
    <w:rsid w:val="004B474E"/>
    <w:rsid w:val="004B4AC3"/>
    <w:rsid w:val="004B56B2"/>
    <w:rsid w:val="004B790F"/>
    <w:rsid w:val="004C12EF"/>
    <w:rsid w:val="004C192D"/>
    <w:rsid w:val="004C33C5"/>
    <w:rsid w:val="004C582F"/>
    <w:rsid w:val="004C603D"/>
    <w:rsid w:val="004D3FAD"/>
    <w:rsid w:val="004D40C2"/>
    <w:rsid w:val="004D76D8"/>
    <w:rsid w:val="004E15A2"/>
    <w:rsid w:val="004E5172"/>
    <w:rsid w:val="004E5ED5"/>
    <w:rsid w:val="004E675C"/>
    <w:rsid w:val="004F3BDA"/>
    <w:rsid w:val="004F5D1D"/>
    <w:rsid w:val="004F6B6B"/>
    <w:rsid w:val="005022DB"/>
    <w:rsid w:val="0050571E"/>
    <w:rsid w:val="00511D74"/>
    <w:rsid w:val="005154CA"/>
    <w:rsid w:val="00515EA3"/>
    <w:rsid w:val="00521F11"/>
    <w:rsid w:val="005220B9"/>
    <w:rsid w:val="00525811"/>
    <w:rsid w:val="00527AF7"/>
    <w:rsid w:val="00530697"/>
    <w:rsid w:val="00531564"/>
    <w:rsid w:val="005365EA"/>
    <w:rsid w:val="005377E1"/>
    <w:rsid w:val="00537A09"/>
    <w:rsid w:val="00541404"/>
    <w:rsid w:val="00543C90"/>
    <w:rsid w:val="00544962"/>
    <w:rsid w:val="00546E2D"/>
    <w:rsid w:val="00547410"/>
    <w:rsid w:val="0055359A"/>
    <w:rsid w:val="00553891"/>
    <w:rsid w:val="0055475C"/>
    <w:rsid w:val="005568B5"/>
    <w:rsid w:val="00557571"/>
    <w:rsid w:val="00557A7B"/>
    <w:rsid w:val="00560DFB"/>
    <w:rsid w:val="00561B83"/>
    <w:rsid w:val="00563AEB"/>
    <w:rsid w:val="00563C1C"/>
    <w:rsid w:val="00567427"/>
    <w:rsid w:val="0056769B"/>
    <w:rsid w:val="00575AF1"/>
    <w:rsid w:val="005802DC"/>
    <w:rsid w:val="00580616"/>
    <w:rsid w:val="0058316B"/>
    <w:rsid w:val="00584EEC"/>
    <w:rsid w:val="00590164"/>
    <w:rsid w:val="00593544"/>
    <w:rsid w:val="005949AC"/>
    <w:rsid w:val="0059608B"/>
    <w:rsid w:val="00597B46"/>
    <w:rsid w:val="005A023E"/>
    <w:rsid w:val="005A099B"/>
    <w:rsid w:val="005A1A8A"/>
    <w:rsid w:val="005A32FE"/>
    <w:rsid w:val="005A46D5"/>
    <w:rsid w:val="005A5319"/>
    <w:rsid w:val="005A5EF4"/>
    <w:rsid w:val="005A6D4A"/>
    <w:rsid w:val="005A70A4"/>
    <w:rsid w:val="005B07CE"/>
    <w:rsid w:val="005B2355"/>
    <w:rsid w:val="005B48E4"/>
    <w:rsid w:val="005B5C8C"/>
    <w:rsid w:val="005C071D"/>
    <w:rsid w:val="005C0A3C"/>
    <w:rsid w:val="005C19C1"/>
    <w:rsid w:val="005C1F56"/>
    <w:rsid w:val="005C298D"/>
    <w:rsid w:val="005C4ED7"/>
    <w:rsid w:val="005C6E8C"/>
    <w:rsid w:val="005D07C6"/>
    <w:rsid w:val="005D1799"/>
    <w:rsid w:val="005D337B"/>
    <w:rsid w:val="005D5343"/>
    <w:rsid w:val="005D68BE"/>
    <w:rsid w:val="005D6A08"/>
    <w:rsid w:val="005E2E73"/>
    <w:rsid w:val="005F351D"/>
    <w:rsid w:val="005F4482"/>
    <w:rsid w:val="005F51E1"/>
    <w:rsid w:val="005F6950"/>
    <w:rsid w:val="005F7B5B"/>
    <w:rsid w:val="00600D05"/>
    <w:rsid w:val="00600E28"/>
    <w:rsid w:val="00602F76"/>
    <w:rsid w:val="006034DB"/>
    <w:rsid w:val="00604394"/>
    <w:rsid w:val="00606382"/>
    <w:rsid w:val="00606569"/>
    <w:rsid w:val="00607091"/>
    <w:rsid w:val="00610932"/>
    <w:rsid w:val="00610B88"/>
    <w:rsid w:val="00613DC3"/>
    <w:rsid w:val="00616BCA"/>
    <w:rsid w:val="006213F3"/>
    <w:rsid w:val="00622745"/>
    <w:rsid w:val="00623B91"/>
    <w:rsid w:val="00623F47"/>
    <w:rsid w:val="006325EC"/>
    <w:rsid w:val="006331B9"/>
    <w:rsid w:val="00633EB4"/>
    <w:rsid w:val="006348AB"/>
    <w:rsid w:val="00642E0C"/>
    <w:rsid w:val="00646456"/>
    <w:rsid w:val="00654227"/>
    <w:rsid w:val="00654DCC"/>
    <w:rsid w:val="00654F41"/>
    <w:rsid w:val="0065549D"/>
    <w:rsid w:val="00660845"/>
    <w:rsid w:val="00661D29"/>
    <w:rsid w:val="00664D13"/>
    <w:rsid w:val="0066551A"/>
    <w:rsid w:val="0067098B"/>
    <w:rsid w:val="00671723"/>
    <w:rsid w:val="00676189"/>
    <w:rsid w:val="006768EB"/>
    <w:rsid w:val="00677075"/>
    <w:rsid w:val="00677758"/>
    <w:rsid w:val="00680121"/>
    <w:rsid w:val="00683A43"/>
    <w:rsid w:val="00684E1F"/>
    <w:rsid w:val="006854C2"/>
    <w:rsid w:val="0068712D"/>
    <w:rsid w:val="00691C39"/>
    <w:rsid w:val="00693A7A"/>
    <w:rsid w:val="006941B8"/>
    <w:rsid w:val="00694870"/>
    <w:rsid w:val="006A2DCB"/>
    <w:rsid w:val="006A3B17"/>
    <w:rsid w:val="006A5078"/>
    <w:rsid w:val="006A6D5E"/>
    <w:rsid w:val="006A773A"/>
    <w:rsid w:val="006C1788"/>
    <w:rsid w:val="006C349D"/>
    <w:rsid w:val="006C5957"/>
    <w:rsid w:val="006C5D2D"/>
    <w:rsid w:val="006C6B3A"/>
    <w:rsid w:val="006C76F0"/>
    <w:rsid w:val="006D0C2C"/>
    <w:rsid w:val="006D35D5"/>
    <w:rsid w:val="006D4575"/>
    <w:rsid w:val="006D4D1E"/>
    <w:rsid w:val="006D71EA"/>
    <w:rsid w:val="006E1C7C"/>
    <w:rsid w:val="006E348D"/>
    <w:rsid w:val="006E422E"/>
    <w:rsid w:val="006F0B07"/>
    <w:rsid w:val="006F10E2"/>
    <w:rsid w:val="006F1FF4"/>
    <w:rsid w:val="006F2C53"/>
    <w:rsid w:val="006F2CBC"/>
    <w:rsid w:val="006F3455"/>
    <w:rsid w:val="006F6A7C"/>
    <w:rsid w:val="006F7088"/>
    <w:rsid w:val="00702303"/>
    <w:rsid w:val="007054D5"/>
    <w:rsid w:val="0070617A"/>
    <w:rsid w:val="00706392"/>
    <w:rsid w:val="00706415"/>
    <w:rsid w:val="0070687C"/>
    <w:rsid w:val="007129A7"/>
    <w:rsid w:val="00713025"/>
    <w:rsid w:val="00713B52"/>
    <w:rsid w:val="00713F31"/>
    <w:rsid w:val="00715869"/>
    <w:rsid w:val="0071731F"/>
    <w:rsid w:val="00717EC6"/>
    <w:rsid w:val="00725ACD"/>
    <w:rsid w:val="00726F37"/>
    <w:rsid w:val="0073003D"/>
    <w:rsid w:val="007336DC"/>
    <w:rsid w:val="007351FB"/>
    <w:rsid w:val="00737A69"/>
    <w:rsid w:val="00741BFE"/>
    <w:rsid w:val="007422B5"/>
    <w:rsid w:val="00746AC8"/>
    <w:rsid w:val="00746E50"/>
    <w:rsid w:val="007539FA"/>
    <w:rsid w:val="007540D2"/>
    <w:rsid w:val="0075644F"/>
    <w:rsid w:val="00757D6C"/>
    <w:rsid w:val="00760459"/>
    <w:rsid w:val="00762033"/>
    <w:rsid w:val="00763C10"/>
    <w:rsid w:val="0076433F"/>
    <w:rsid w:val="00767B8D"/>
    <w:rsid w:val="007710EC"/>
    <w:rsid w:val="00771B9D"/>
    <w:rsid w:val="007724E2"/>
    <w:rsid w:val="00772F51"/>
    <w:rsid w:val="007737B2"/>
    <w:rsid w:val="00777769"/>
    <w:rsid w:val="007817DC"/>
    <w:rsid w:val="007866C3"/>
    <w:rsid w:val="00786A94"/>
    <w:rsid w:val="007876C6"/>
    <w:rsid w:val="00787BC0"/>
    <w:rsid w:val="007909D5"/>
    <w:rsid w:val="00790AE8"/>
    <w:rsid w:val="00791A4D"/>
    <w:rsid w:val="00792CCB"/>
    <w:rsid w:val="00795F21"/>
    <w:rsid w:val="00796567"/>
    <w:rsid w:val="00796D03"/>
    <w:rsid w:val="007B4879"/>
    <w:rsid w:val="007B66E4"/>
    <w:rsid w:val="007B71B1"/>
    <w:rsid w:val="007C4AD3"/>
    <w:rsid w:val="007C6F29"/>
    <w:rsid w:val="007D011B"/>
    <w:rsid w:val="007D0BE6"/>
    <w:rsid w:val="007D2104"/>
    <w:rsid w:val="007D24CA"/>
    <w:rsid w:val="007D3315"/>
    <w:rsid w:val="007D34E2"/>
    <w:rsid w:val="007D3EC0"/>
    <w:rsid w:val="007D61A8"/>
    <w:rsid w:val="007D693A"/>
    <w:rsid w:val="007D6B69"/>
    <w:rsid w:val="007E49ED"/>
    <w:rsid w:val="007E62CC"/>
    <w:rsid w:val="007F0F79"/>
    <w:rsid w:val="007F20B2"/>
    <w:rsid w:val="007F218D"/>
    <w:rsid w:val="007F7E38"/>
    <w:rsid w:val="00801B34"/>
    <w:rsid w:val="00805FC0"/>
    <w:rsid w:val="00806E93"/>
    <w:rsid w:val="00813029"/>
    <w:rsid w:val="00815309"/>
    <w:rsid w:val="008170BE"/>
    <w:rsid w:val="008171C6"/>
    <w:rsid w:val="008201CA"/>
    <w:rsid w:val="00820572"/>
    <w:rsid w:val="00820C0D"/>
    <w:rsid w:val="00821128"/>
    <w:rsid w:val="00825CF6"/>
    <w:rsid w:val="00825F37"/>
    <w:rsid w:val="00827AA0"/>
    <w:rsid w:val="008350D1"/>
    <w:rsid w:val="0083706D"/>
    <w:rsid w:val="0084172C"/>
    <w:rsid w:val="0084213D"/>
    <w:rsid w:val="00847D90"/>
    <w:rsid w:val="00850546"/>
    <w:rsid w:val="008507D9"/>
    <w:rsid w:val="00853C88"/>
    <w:rsid w:val="00853FFE"/>
    <w:rsid w:val="00854562"/>
    <w:rsid w:val="00854B9B"/>
    <w:rsid w:val="008562B8"/>
    <w:rsid w:val="00857A8D"/>
    <w:rsid w:val="00864350"/>
    <w:rsid w:val="008643F8"/>
    <w:rsid w:val="00871FDC"/>
    <w:rsid w:val="00872AC4"/>
    <w:rsid w:val="00873121"/>
    <w:rsid w:val="00874726"/>
    <w:rsid w:val="0087542F"/>
    <w:rsid w:val="00875CA0"/>
    <w:rsid w:val="008807F8"/>
    <w:rsid w:val="00882905"/>
    <w:rsid w:val="00887C7A"/>
    <w:rsid w:val="00887CC8"/>
    <w:rsid w:val="00893EC5"/>
    <w:rsid w:val="008947E0"/>
    <w:rsid w:val="00895EB7"/>
    <w:rsid w:val="008A22D5"/>
    <w:rsid w:val="008A3321"/>
    <w:rsid w:val="008A3D6B"/>
    <w:rsid w:val="008A4623"/>
    <w:rsid w:val="008A57E8"/>
    <w:rsid w:val="008A7082"/>
    <w:rsid w:val="008B1604"/>
    <w:rsid w:val="008B18C8"/>
    <w:rsid w:val="008B21A8"/>
    <w:rsid w:val="008B4D47"/>
    <w:rsid w:val="008C1C7C"/>
    <w:rsid w:val="008C24B6"/>
    <w:rsid w:val="008C2F89"/>
    <w:rsid w:val="008C3DC6"/>
    <w:rsid w:val="008C433A"/>
    <w:rsid w:val="008E0FFC"/>
    <w:rsid w:val="008E3C89"/>
    <w:rsid w:val="008E72F1"/>
    <w:rsid w:val="008E74B1"/>
    <w:rsid w:val="008F0D2B"/>
    <w:rsid w:val="008F21A1"/>
    <w:rsid w:val="008F301F"/>
    <w:rsid w:val="008F5D2F"/>
    <w:rsid w:val="008F65C0"/>
    <w:rsid w:val="008F765C"/>
    <w:rsid w:val="008F7A05"/>
    <w:rsid w:val="008F7F9A"/>
    <w:rsid w:val="009004CC"/>
    <w:rsid w:val="00901B4F"/>
    <w:rsid w:val="00903E96"/>
    <w:rsid w:val="00912AE3"/>
    <w:rsid w:val="0092080E"/>
    <w:rsid w:val="00932A5B"/>
    <w:rsid w:val="00932D78"/>
    <w:rsid w:val="0093309D"/>
    <w:rsid w:val="00936DA2"/>
    <w:rsid w:val="00941B9A"/>
    <w:rsid w:val="0094235A"/>
    <w:rsid w:val="00944087"/>
    <w:rsid w:val="00944948"/>
    <w:rsid w:val="00944F72"/>
    <w:rsid w:val="00945FE2"/>
    <w:rsid w:val="00946C36"/>
    <w:rsid w:val="009519E3"/>
    <w:rsid w:val="00961456"/>
    <w:rsid w:val="00962267"/>
    <w:rsid w:val="009623D3"/>
    <w:rsid w:val="00962918"/>
    <w:rsid w:val="00963CBB"/>
    <w:rsid w:val="00963EDD"/>
    <w:rsid w:val="0096425D"/>
    <w:rsid w:val="00965DC4"/>
    <w:rsid w:val="00965F82"/>
    <w:rsid w:val="00967385"/>
    <w:rsid w:val="009708E4"/>
    <w:rsid w:val="00973F93"/>
    <w:rsid w:val="00975ADB"/>
    <w:rsid w:val="00980403"/>
    <w:rsid w:val="00983042"/>
    <w:rsid w:val="00984DE0"/>
    <w:rsid w:val="0098684C"/>
    <w:rsid w:val="0099002A"/>
    <w:rsid w:val="00991CD3"/>
    <w:rsid w:val="00992C95"/>
    <w:rsid w:val="0099472E"/>
    <w:rsid w:val="00994DA8"/>
    <w:rsid w:val="009A3190"/>
    <w:rsid w:val="009A518F"/>
    <w:rsid w:val="009A590B"/>
    <w:rsid w:val="009B14D7"/>
    <w:rsid w:val="009B2ED1"/>
    <w:rsid w:val="009B3079"/>
    <w:rsid w:val="009B43D3"/>
    <w:rsid w:val="009B480D"/>
    <w:rsid w:val="009C231B"/>
    <w:rsid w:val="009C40E4"/>
    <w:rsid w:val="009C4FEA"/>
    <w:rsid w:val="009C7EFD"/>
    <w:rsid w:val="009D5703"/>
    <w:rsid w:val="009D759B"/>
    <w:rsid w:val="009E269B"/>
    <w:rsid w:val="009E3462"/>
    <w:rsid w:val="009E36C6"/>
    <w:rsid w:val="009E523F"/>
    <w:rsid w:val="009E5C55"/>
    <w:rsid w:val="009E5C59"/>
    <w:rsid w:val="009E5E6C"/>
    <w:rsid w:val="009E7BB1"/>
    <w:rsid w:val="009F0B1D"/>
    <w:rsid w:val="009F2BD8"/>
    <w:rsid w:val="009F3184"/>
    <w:rsid w:val="009F4BA4"/>
    <w:rsid w:val="00A0248D"/>
    <w:rsid w:val="00A100B6"/>
    <w:rsid w:val="00A1075A"/>
    <w:rsid w:val="00A13714"/>
    <w:rsid w:val="00A15299"/>
    <w:rsid w:val="00A15DE1"/>
    <w:rsid w:val="00A208F6"/>
    <w:rsid w:val="00A20993"/>
    <w:rsid w:val="00A244A6"/>
    <w:rsid w:val="00A26DAF"/>
    <w:rsid w:val="00A359C3"/>
    <w:rsid w:val="00A3615F"/>
    <w:rsid w:val="00A404E6"/>
    <w:rsid w:val="00A40A1E"/>
    <w:rsid w:val="00A41BA4"/>
    <w:rsid w:val="00A43A44"/>
    <w:rsid w:val="00A44990"/>
    <w:rsid w:val="00A44CAE"/>
    <w:rsid w:val="00A45359"/>
    <w:rsid w:val="00A46018"/>
    <w:rsid w:val="00A50657"/>
    <w:rsid w:val="00A50BCB"/>
    <w:rsid w:val="00A54618"/>
    <w:rsid w:val="00A56EB7"/>
    <w:rsid w:val="00A57054"/>
    <w:rsid w:val="00A57519"/>
    <w:rsid w:val="00A61D57"/>
    <w:rsid w:val="00A62132"/>
    <w:rsid w:val="00A656DF"/>
    <w:rsid w:val="00A6705C"/>
    <w:rsid w:val="00A700AC"/>
    <w:rsid w:val="00A70A18"/>
    <w:rsid w:val="00A7291E"/>
    <w:rsid w:val="00A730D1"/>
    <w:rsid w:val="00A75947"/>
    <w:rsid w:val="00A75DC7"/>
    <w:rsid w:val="00A77C81"/>
    <w:rsid w:val="00A80CC0"/>
    <w:rsid w:val="00A83A54"/>
    <w:rsid w:val="00A90794"/>
    <w:rsid w:val="00A9138B"/>
    <w:rsid w:val="00A93FBD"/>
    <w:rsid w:val="00A944B5"/>
    <w:rsid w:val="00A9504B"/>
    <w:rsid w:val="00A9721C"/>
    <w:rsid w:val="00AA01D9"/>
    <w:rsid w:val="00AA052D"/>
    <w:rsid w:val="00AA286B"/>
    <w:rsid w:val="00AA6282"/>
    <w:rsid w:val="00AB3056"/>
    <w:rsid w:val="00AB32C6"/>
    <w:rsid w:val="00AB4EB8"/>
    <w:rsid w:val="00AC2464"/>
    <w:rsid w:val="00AC3E02"/>
    <w:rsid w:val="00AC5649"/>
    <w:rsid w:val="00AC6052"/>
    <w:rsid w:val="00AC6749"/>
    <w:rsid w:val="00AD0338"/>
    <w:rsid w:val="00AD3F11"/>
    <w:rsid w:val="00AD6DCD"/>
    <w:rsid w:val="00AE3C62"/>
    <w:rsid w:val="00AF0A54"/>
    <w:rsid w:val="00AF102B"/>
    <w:rsid w:val="00AF1A60"/>
    <w:rsid w:val="00AF48FD"/>
    <w:rsid w:val="00B001B6"/>
    <w:rsid w:val="00B02B79"/>
    <w:rsid w:val="00B05EE2"/>
    <w:rsid w:val="00B07DE6"/>
    <w:rsid w:val="00B10790"/>
    <w:rsid w:val="00B11283"/>
    <w:rsid w:val="00B117BE"/>
    <w:rsid w:val="00B12C06"/>
    <w:rsid w:val="00B146A1"/>
    <w:rsid w:val="00B20014"/>
    <w:rsid w:val="00B21206"/>
    <w:rsid w:val="00B21E55"/>
    <w:rsid w:val="00B25BF6"/>
    <w:rsid w:val="00B278D7"/>
    <w:rsid w:val="00B3388A"/>
    <w:rsid w:val="00B4030E"/>
    <w:rsid w:val="00B41BA2"/>
    <w:rsid w:val="00B42164"/>
    <w:rsid w:val="00B50559"/>
    <w:rsid w:val="00B509B0"/>
    <w:rsid w:val="00B50AC7"/>
    <w:rsid w:val="00B50E72"/>
    <w:rsid w:val="00B52F48"/>
    <w:rsid w:val="00B53DF9"/>
    <w:rsid w:val="00B54AFE"/>
    <w:rsid w:val="00B60A8A"/>
    <w:rsid w:val="00B61BBC"/>
    <w:rsid w:val="00B65EB1"/>
    <w:rsid w:val="00B70175"/>
    <w:rsid w:val="00B70F3A"/>
    <w:rsid w:val="00B71ABE"/>
    <w:rsid w:val="00B73631"/>
    <w:rsid w:val="00B742EF"/>
    <w:rsid w:val="00B767A3"/>
    <w:rsid w:val="00B779E0"/>
    <w:rsid w:val="00B77CCF"/>
    <w:rsid w:val="00B807B8"/>
    <w:rsid w:val="00B809F5"/>
    <w:rsid w:val="00B847CC"/>
    <w:rsid w:val="00B926EC"/>
    <w:rsid w:val="00B93404"/>
    <w:rsid w:val="00B9348E"/>
    <w:rsid w:val="00B93563"/>
    <w:rsid w:val="00B96C6F"/>
    <w:rsid w:val="00BA3553"/>
    <w:rsid w:val="00BA7E5C"/>
    <w:rsid w:val="00BB2D9B"/>
    <w:rsid w:val="00BB4C55"/>
    <w:rsid w:val="00BB6C3A"/>
    <w:rsid w:val="00BC0DE9"/>
    <w:rsid w:val="00BC548A"/>
    <w:rsid w:val="00BC5AE7"/>
    <w:rsid w:val="00BC5ED9"/>
    <w:rsid w:val="00BC7F98"/>
    <w:rsid w:val="00BD0545"/>
    <w:rsid w:val="00BD1081"/>
    <w:rsid w:val="00BD1105"/>
    <w:rsid w:val="00BD1EDB"/>
    <w:rsid w:val="00BD2D69"/>
    <w:rsid w:val="00BD63F3"/>
    <w:rsid w:val="00BD7F49"/>
    <w:rsid w:val="00BE0678"/>
    <w:rsid w:val="00BE1C0B"/>
    <w:rsid w:val="00BE5D74"/>
    <w:rsid w:val="00BE622D"/>
    <w:rsid w:val="00BF2FFE"/>
    <w:rsid w:val="00BF57AC"/>
    <w:rsid w:val="00C00295"/>
    <w:rsid w:val="00C004B6"/>
    <w:rsid w:val="00C028A9"/>
    <w:rsid w:val="00C05D4F"/>
    <w:rsid w:val="00C0601D"/>
    <w:rsid w:val="00C06449"/>
    <w:rsid w:val="00C07602"/>
    <w:rsid w:val="00C12383"/>
    <w:rsid w:val="00C12E3B"/>
    <w:rsid w:val="00C16FC4"/>
    <w:rsid w:val="00C21575"/>
    <w:rsid w:val="00C237E5"/>
    <w:rsid w:val="00C2582B"/>
    <w:rsid w:val="00C270E1"/>
    <w:rsid w:val="00C300DD"/>
    <w:rsid w:val="00C30A5C"/>
    <w:rsid w:val="00C32D97"/>
    <w:rsid w:val="00C33D5F"/>
    <w:rsid w:val="00C34391"/>
    <w:rsid w:val="00C3534D"/>
    <w:rsid w:val="00C35882"/>
    <w:rsid w:val="00C40BAA"/>
    <w:rsid w:val="00C41BE5"/>
    <w:rsid w:val="00C42AB3"/>
    <w:rsid w:val="00C42C1D"/>
    <w:rsid w:val="00C45C2C"/>
    <w:rsid w:val="00C51106"/>
    <w:rsid w:val="00C514E3"/>
    <w:rsid w:val="00C5253B"/>
    <w:rsid w:val="00C53ACC"/>
    <w:rsid w:val="00C5660D"/>
    <w:rsid w:val="00C56AB5"/>
    <w:rsid w:val="00C57DF4"/>
    <w:rsid w:val="00C60385"/>
    <w:rsid w:val="00C61CB5"/>
    <w:rsid w:val="00C64B1E"/>
    <w:rsid w:val="00C66D55"/>
    <w:rsid w:val="00C66D57"/>
    <w:rsid w:val="00C704D3"/>
    <w:rsid w:val="00C7169A"/>
    <w:rsid w:val="00C71FE9"/>
    <w:rsid w:val="00C73CC6"/>
    <w:rsid w:val="00C756CD"/>
    <w:rsid w:val="00C75D95"/>
    <w:rsid w:val="00C76B7D"/>
    <w:rsid w:val="00C80292"/>
    <w:rsid w:val="00C8117E"/>
    <w:rsid w:val="00C815C0"/>
    <w:rsid w:val="00C8175D"/>
    <w:rsid w:val="00C81AC9"/>
    <w:rsid w:val="00C84327"/>
    <w:rsid w:val="00C8604C"/>
    <w:rsid w:val="00C873E8"/>
    <w:rsid w:val="00C911DC"/>
    <w:rsid w:val="00C9230B"/>
    <w:rsid w:val="00C9428A"/>
    <w:rsid w:val="00C9572A"/>
    <w:rsid w:val="00C9579D"/>
    <w:rsid w:val="00C96032"/>
    <w:rsid w:val="00CA0573"/>
    <w:rsid w:val="00CA6002"/>
    <w:rsid w:val="00CA6063"/>
    <w:rsid w:val="00CB2F8F"/>
    <w:rsid w:val="00CB327B"/>
    <w:rsid w:val="00CB47F6"/>
    <w:rsid w:val="00CC138A"/>
    <w:rsid w:val="00CC306C"/>
    <w:rsid w:val="00CC474E"/>
    <w:rsid w:val="00CC4EEC"/>
    <w:rsid w:val="00CC5685"/>
    <w:rsid w:val="00CC7459"/>
    <w:rsid w:val="00CD0AB3"/>
    <w:rsid w:val="00CD152E"/>
    <w:rsid w:val="00CD2A25"/>
    <w:rsid w:val="00CD494C"/>
    <w:rsid w:val="00CD4C38"/>
    <w:rsid w:val="00CD5129"/>
    <w:rsid w:val="00CD5807"/>
    <w:rsid w:val="00CD665A"/>
    <w:rsid w:val="00CD6CB9"/>
    <w:rsid w:val="00CD758F"/>
    <w:rsid w:val="00CE0169"/>
    <w:rsid w:val="00CE0C1F"/>
    <w:rsid w:val="00CE2F03"/>
    <w:rsid w:val="00CE43BB"/>
    <w:rsid w:val="00CE504A"/>
    <w:rsid w:val="00CE52C9"/>
    <w:rsid w:val="00CE55FA"/>
    <w:rsid w:val="00CE5BAB"/>
    <w:rsid w:val="00CE6D0D"/>
    <w:rsid w:val="00CF043E"/>
    <w:rsid w:val="00CF1AD4"/>
    <w:rsid w:val="00CF7544"/>
    <w:rsid w:val="00D01998"/>
    <w:rsid w:val="00D02BD3"/>
    <w:rsid w:val="00D04857"/>
    <w:rsid w:val="00D10249"/>
    <w:rsid w:val="00D11858"/>
    <w:rsid w:val="00D11955"/>
    <w:rsid w:val="00D14291"/>
    <w:rsid w:val="00D16A85"/>
    <w:rsid w:val="00D17998"/>
    <w:rsid w:val="00D211A0"/>
    <w:rsid w:val="00D22569"/>
    <w:rsid w:val="00D232CF"/>
    <w:rsid w:val="00D23357"/>
    <w:rsid w:val="00D26133"/>
    <w:rsid w:val="00D2720E"/>
    <w:rsid w:val="00D27AA8"/>
    <w:rsid w:val="00D326F1"/>
    <w:rsid w:val="00D33792"/>
    <w:rsid w:val="00D338D6"/>
    <w:rsid w:val="00D36A2B"/>
    <w:rsid w:val="00D37592"/>
    <w:rsid w:val="00D37B85"/>
    <w:rsid w:val="00D4077C"/>
    <w:rsid w:val="00D414BA"/>
    <w:rsid w:val="00D41F2F"/>
    <w:rsid w:val="00D42B3F"/>
    <w:rsid w:val="00D42BB4"/>
    <w:rsid w:val="00D4345C"/>
    <w:rsid w:val="00D43772"/>
    <w:rsid w:val="00D452CE"/>
    <w:rsid w:val="00D45A28"/>
    <w:rsid w:val="00D52919"/>
    <w:rsid w:val="00D53D0C"/>
    <w:rsid w:val="00D53DC1"/>
    <w:rsid w:val="00D54734"/>
    <w:rsid w:val="00D5566A"/>
    <w:rsid w:val="00D55C19"/>
    <w:rsid w:val="00D570BC"/>
    <w:rsid w:val="00D60688"/>
    <w:rsid w:val="00D720AA"/>
    <w:rsid w:val="00D734EC"/>
    <w:rsid w:val="00D74541"/>
    <w:rsid w:val="00D806EC"/>
    <w:rsid w:val="00D8234B"/>
    <w:rsid w:val="00D856E6"/>
    <w:rsid w:val="00D90BB7"/>
    <w:rsid w:val="00D921EE"/>
    <w:rsid w:val="00D92957"/>
    <w:rsid w:val="00D9443C"/>
    <w:rsid w:val="00D953C4"/>
    <w:rsid w:val="00D957A9"/>
    <w:rsid w:val="00D9705B"/>
    <w:rsid w:val="00DA0C7E"/>
    <w:rsid w:val="00DA1084"/>
    <w:rsid w:val="00DA529D"/>
    <w:rsid w:val="00DA5AD1"/>
    <w:rsid w:val="00DA5C89"/>
    <w:rsid w:val="00DB09C7"/>
    <w:rsid w:val="00DB3DA7"/>
    <w:rsid w:val="00DB4667"/>
    <w:rsid w:val="00DB4B60"/>
    <w:rsid w:val="00DB4CDD"/>
    <w:rsid w:val="00DB6A21"/>
    <w:rsid w:val="00DC073E"/>
    <w:rsid w:val="00DC0E84"/>
    <w:rsid w:val="00DC1818"/>
    <w:rsid w:val="00DC2D03"/>
    <w:rsid w:val="00DC30E3"/>
    <w:rsid w:val="00DC4F0D"/>
    <w:rsid w:val="00DD180E"/>
    <w:rsid w:val="00DD49C5"/>
    <w:rsid w:val="00DE4074"/>
    <w:rsid w:val="00DE4C42"/>
    <w:rsid w:val="00DE6C78"/>
    <w:rsid w:val="00DF608F"/>
    <w:rsid w:val="00DF6286"/>
    <w:rsid w:val="00DF63FC"/>
    <w:rsid w:val="00DF6F90"/>
    <w:rsid w:val="00DF7210"/>
    <w:rsid w:val="00E00378"/>
    <w:rsid w:val="00E00A70"/>
    <w:rsid w:val="00E012F6"/>
    <w:rsid w:val="00E033C8"/>
    <w:rsid w:val="00E03FED"/>
    <w:rsid w:val="00E044A8"/>
    <w:rsid w:val="00E0510C"/>
    <w:rsid w:val="00E05AA2"/>
    <w:rsid w:val="00E07DFC"/>
    <w:rsid w:val="00E1335F"/>
    <w:rsid w:val="00E13FB6"/>
    <w:rsid w:val="00E2059E"/>
    <w:rsid w:val="00E21C38"/>
    <w:rsid w:val="00E23226"/>
    <w:rsid w:val="00E23D93"/>
    <w:rsid w:val="00E264DF"/>
    <w:rsid w:val="00E26E06"/>
    <w:rsid w:val="00E31A27"/>
    <w:rsid w:val="00E32E14"/>
    <w:rsid w:val="00E333E5"/>
    <w:rsid w:val="00E34391"/>
    <w:rsid w:val="00E351F9"/>
    <w:rsid w:val="00E36049"/>
    <w:rsid w:val="00E36740"/>
    <w:rsid w:val="00E4317B"/>
    <w:rsid w:val="00E4343D"/>
    <w:rsid w:val="00E43E06"/>
    <w:rsid w:val="00E43E1D"/>
    <w:rsid w:val="00E46FC5"/>
    <w:rsid w:val="00E52CD6"/>
    <w:rsid w:val="00E52D3D"/>
    <w:rsid w:val="00E53ED4"/>
    <w:rsid w:val="00E54D6F"/>
    <w:rsid w:val="00E553EE"/>
    <w:rsid w:val="00E57160"/>
    <w:rsid w:val="00E635E5"/>
    <w:rsid w:val="00E64C4C"/>
    <w:rsid w:val="00E64CE5"/>
    <w:rsid w:val="00E64E3C"/>
    <w:rsid w:val="00E70364"/>
    <w:rsid w:val="00E70E83"/>
    <w:rsid w:val="00E712C9"/>
    <w:rsid w:val="00E733E1"/>
    <w:rsid w:val="00E7363B"/>
    <w:rsid w:val="00E7388D"/>
    <w:rsid w:val="00E73980"/>
    <w:rsid w:val="00E74308"/>
    <w:rsid w:val="00E74538"/>
    <w:rsid w:val="00E74980"/>
    <w:rsid w:val="00E75095"/>
    <w:rsid w:val="00E8084E"/>
    <w:rsid w:val="00E83881"/>
    <w:rsid w:val="00E85456"/>
    <w:rsid w:val="00E85A26"/>
    <w:rsid w:val="00E912C2"/>
    <w:rsid w:val="00E9296D"/>
    <w:rsid w:val="00E92B40"/>
    <w:rsid w:val="00E948B4"/>
    <w:rsid w:val="00EA1C01"/>
    <w:rsid w:val="00EA2B1A"/>
    <w:rsid w:val="00EA327B"/>
    <w:rsid w:val="00EA452C"/>
    <w:rsid w:val="00EA46E5"/>
    <w:rsid w:val="00EA4D2B"/>
    <w:rsid w:val="00EA5455"/>
    <w:rsid w:val="00EA553E"/>
    <w:rsid w:val="00EB089D"/>
    <w:rsid w:val="00EB1211"/>
    <w:rsid w:val="00EB382B"/>
    <w:rsid w:val="00EB4DAF"/>
    <w:rsid w:val="00EB5D8B"/>
    <w:rsid w:val="00EC31D6"/>
    <w:rsid w:val="00EC4CB0"/>
    <w:rsid w:val="00EC4CE7"/>
    <w:rsid w:val="00ED00F5"/>
    <w:rsid w:val="00ED4F25"/>
    <w:rsid w:val="00EE1233"/>
    <w:rsid w:val="00EE178E"/>
    <w:rsid w:val="00EE33C0"/>
    <w:rsid w:val="00EE4A63"/>
    <w:rsid w:val="00EE5260"/>
    <w:rsid w:val="00EE6DB2"/>
    <w:rsid w:val="00EE7231"/>
    <w:rsid w:val="00EF0094"/>
    <w:rsid w:val="00EF00DB"/>
    <w:rsid w:val="00EF1CEF"/>
    <w:rsid w:val="00EF3005"/>
    <w:rsid w:val="00EF72BD"/>
    <w:rsid w:val="00F00876"/>
    <w:rsid w:val="00F02608"/>
    <w:rsid w:val="00F029B6"/>
    <w:rsid w:val="00F04092"/>
    <w:rsid w:val="00F074BE"/>
    <w:rsid w:val="00F133DF"/>
    <w:rsid w:val="00F1421C"/>
    <w:rsid w:val="00F14226"/>
    <w:rsid w:val="00F150BE"/>
    <w:rsid w:val="00F16038"/>
    <w:rsid w:val="00F16390"/>
    <w:rsid w:val="00F21B4C"/>
    <w:rsid w:val="00F24BFE"/>
    <w:rsid w:val="00F264A0"/>
    <w:rsid w:val="00F27B2F"/>
    <w:rsid w:val="00F30E9F"/>
    <w:rsid w:val="00F314DB"/>
    <w:rsid w:val="00F31EE7"/>
    <w:rsid w:val="00F36DFF"/>
    <w:rsid w:val="00F36EC1"/>
    <w:rsid w:val="00F408D6"/>
    <w:rsid w:val="00F41B4D"/>
    <w:rsid w:val="00F42CEA"/>
    <w:rsid w:val="00F433A7"/>
    <w:rsid w:val="00F44A19"/>
    <w:rsid w:val="00F46634"/>
    <w:rsid w:val="00F46823"/>
    <w:rsid w:val="00F47A07"/>
    <w:rsid w:val="00F53B49"/>
    <w:rsid w:val="00F57677"/>
    <w:rsid w:val="00F625CA"/>
    <w:rsid w:val="00F639F7"/>
    <w:rsid w:val="00F63D30"/>
    <w:rsid w:val="00F657BF"/>
    <w:rsid w:val="00F65B2B"/>
    <w:rsid w:val="00F65BA2"/>
    <w:rsid w:val="00F677DF"/>
    <w:rsid w:val="00F7752F"/>
    <w:rsid w:val="00F803D0"/>
    <w:rsid w:val="00F80C70"/>
    <w:rsid w:val="00F83F3A"/>
    <w:rsid w:val="00F87E05"/>
    <w:rsid w:val="00F91ADE"/>
    <w:rsid w:val="00F935B4"/>
    <w:rsid w:val="00F935C9"/>
    <w:rsid w:val="00F94131"/>
    <w:rsid w:val="00F963CC"/>
    <w:rsid w:val="00F96B2D"/>
    <w:rsid w:val="00FA28CF"/>
    <w:rsid w:val="00FA2CB6"/>
    <w:rsid w:val="00FA4132"/>
    <w:rsid w:val="00FA4BC3"/>
    <w:rsid w:val="00FA5584"/>
    <w:rsid w:val="00FA7EF2"/>
    <w:rsid w:val="00FB62AA"/>
    <w:rsid w:val="00FB7397"/>
    <w:rsid w:val="00FC003A"/>
    <w:rsid w:val="00FC7D35"/>
    <w:rsid w:val="00FC7D8A"/>
    <w:rsid w:val="00FD2412"/>
    <w:rsid w:val="00FD3610"/>
    <w:rsid w:val="00FD4510"/>
    <w:rsid w:val="00FD463D"/>
    <w:rsid w:val="00FD53F8"/>
    <w:rsid w:val="00FD69F2"/>
    <w:rsid w:val="00FD6EF9"/>
    <w:rsid w:val="00FE038C"/>
    <w:rsid w:val="00FE1E99"/>
    <w:rsid w:val="00FE21C3"/>
    <w:rsid w:val="00FE29CC"/>
    <w:rsid w:val="00FE3EC0"/>
    <w:rsid w:val="00FF1CA9"/>
    <w:rsid w:val="00FF1FC9"/>
    <w:rsid w:val="00FF27EA"/>
    <w:rsid w:val="00FF34DF"/>
    <w:rsid w:val="00FF4C9E"/>
    <w:rsid w:val="00FF53A7"/>
    <w:rsid w:val="00FF5C10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DCD4AD5"/>
  <w15:docId w15:val="{7A51075A-C7F3-4904-AFF2-F79C562F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customStyle="1" w:styleId="CTDStandard">
    <w:name w:val="CTD Standard"/>
    <w:basedOn w:val="Normlny"/>
    <w:link w:val="CTDStandardZchn"/>
    <w:rsid w:val="00413A95"/>
    <w:pPr>
      <w:tabs>
        <w:tab w:val="clear" w:pos="567"/>
      </w:tabs>
      <w:spacing w:after="240" w:line="240" w:lineRule="auto"/>
    </w:pPr>
    <w:rPr>
      <w:sz w:val="24"/>
      <w:szCs w:val="24"/>
      <w:lang w:eastAsia="de-DE"/>
    </w:rPr>
  </w:style>
  <w:style w:type="character" w:customStyle="1" w:styleId="TextkomentraChar">
    <w:name w:val="Text komentára Char"/>
    <w:link w:val="Textkomentra"/>
    <w:uiPriority w:val="99"/>
    <w:rsid w:val="00413A95"/>
    <w:rPr>
      <w:lang w:val="sk-SK" w:eastAsia="en-US"/>
    </w:rPr>
  </w:style>
  <w:style w:type="paragraph" w:styleId="Normlnywebov">
    <w:name w:val="Normal (Web)"/>
    <w:basedOn w:val="Normlny"/>
    <w:uiPriority w:val="99"/>
    <w:unhideWhenUsed/>
    <w:rsid w:val="00EA452C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de-DE"/>
    </w:rPr>
  </w:style>
  <w:style w:type="paragraph" w:styleId="Obyajntext">
    <w:name w:val="Plain Text"/>
    <w:basedOn w:val="Normlny"/>
    <w:link w:val="ObyajntextChar"/>
    <w:rsid w:val="00B93563"/>
    <w:pPr>
      <w:tabs>
        <w:tab w:val="clear" w:pos="567"/>
      </w:tabs>
      <w:spacing w:line="240" w:lineRule="auto"/>
    </w:pPr>
    <w:rPr>
      <w:rFonts w:ascii="Courier New" w:hAnsi="Courier New" w:cs="Courier New"/>
      <w:sz w:val="20"/>
      <w:lang w:eastAsia="de-DE"/>
    </w:rPr>
  </w:style>
  <w:style w:type="character" w:customStyle="1" w:styleId="ObyajntextChar">
    <w:name w:val="Obyčajný text Char"/>
    <w:link w:val="Obyajntext"/>
    <w:rsid w:val="00B93563"/>
    <w:rPr>
      <w:rFonts w:ascii="Courier New" w:hAnsi="Courier New" w:cs="Courier New"/>
    </w:rPr>
  </w:style>
  <w:style w:type="paragraph" w:styleId="Odsekzoznamu">
    <w:name w:val="List Paragraph"/>
    <w:basedOn w:val="Normlny"/>
    <w:uiPriority w:val="34"/>
    <w:qFormat/>
    <w:rsid w:val="00EE178E"/>
    <w:pPr>
      <w:ind w:left="708"/>
    </w:pPr>
  </w:style>
  <w:style w:type="table" w:customStyle="1" w:styleId="Tabellenraster1">
    <w:name w:val="Tabellenraster1"/>
    <w:basedOn w:val="Normlnatabuka"/>
    <w:next w:val="Mriekatabuky"/>
    <w:uiPriority w:val="99"/>
    <w:rsid w:val="004B19B8"/>
    <w:rPr>
      <w:rFonts w:eastAsia="Calibri"/>
      <w:caps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rsid w:val="004B1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DB6A21"/>
  </w:style>
  <w:style w:type="paragraph" w:styleId="Revzia">
    <w:name w:val="Revision"/>
    <w:hidden/>
    <w:uiPriority w:val="99"/>
    <w:semiHidden/>
    <w:rsid w:val="00EF3005"/>
    <w:rPr>
      <w:sz w:val="22"/>
      <w:lang w:eastAsia="en-US"/>
    </w:rPr>
  </w:style>
  <w:style w:type="paragraph" w:customStyle="1" w:styleId="xpilsectionheader2ndlevel">
    <w:name w:val="xpilsectionheader2ndlevel"/>
    <w:basedOn w:val="Normlny"/>
    <w:rsid w:val="00C9428A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de-DE"/>
    </w:rPr>
  </w:style>
  <w:style w:type="paragraph" w:styleId="Textvysvetlivky">
    <w:name w:val="endnote text"/>
    <w:basedOn w:val="Normlny"/>
    <w:link w:val="TextvysvetlivkyChar"/>
    <w:unhideWhenUsed/>
    <w:rsid w:val="00FE1E99"/>
    <w:pPr>
      <w:spacing w:line="240" w:lineRule="auto"/>
    </w:pPr>
  </w:style>
  <w:style w:type="character" w:customStyle="1" w:styleId="TextvysvetlivkyChar">
    <w:name w:val="Text vysvetlivky Char"/>
    <w:link w:val="Textvysvetlivky"/>
    <w:rsid w:val="00FE1E99"/>
    <w:rPr>
      <w:sz w:val="22"/>
      <w:lang w:val="sk-SK" w:eastAsia="en-US"/>
    </w:rPr>
  </w:style>
  <w:style w:type="character" w:styleId="Siln">
    <w:name w:val="Strong"/>
    <w:basedOn w:val="Predvolenpsmoodseku"/>
    <w:uiPriority w:val="22"/>
    <w:qFormat/>
    <w:rsid w:val="00606382"/>
    <w:rPr>
      <w:b/>
      <w:bCs/>
    </w:rPr>
  </w:style>
  <w:style w:type="table" w:customStyle="1" w:styleId="TableGrid1">
    <w:name w:val="Table Grid1"/>
    <w:basedOn w:val="Normlnatabuka"/>
    <w:next w:val="Mriekatabuky"/>
    <w:uiPriority w:val="39"/>
    <w:rsid w:val="001055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lnatabuka"/>
    <w:next w:val="Mriekatabuky"/>
    <w:uiPriority w:val="39"/>
    <w:rsid w:val="00FC7D35"/>
    <w:rPr>
      <w:rFonts w:eastAsia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caption"/>
    <w:basedOn w:val="Normlny"/>
    <w:next w:val="Normlny"/>
    <w:link w:val="PopisChar"/>
    <w:uiPriority w:val="35"/>
    <w:unhideWhenUsed/>
    <w:qFormat/>
    <w:rsid w:val="00E52CD6"/>
    <w:pPr>
      <w:tabs>
        <w:tab w:val="clear" w:pos="567"/>
      </w:tabs>
      <w:spacing w:after="200" w:line="240" w:lineRule="auto"/>
    </w:pPr>
    <w:rPr>
      <w:rFonts w:eastAsiaTheme="minorHAnsi"/>
      <w:b/>
      <w:iCs/>
      <w:sz w:val="20"/>
      <w:szCs w:val="18"/>
    </w:rPr>
  </w:style>
  <w:style w:type="character" w:customStyle="1" w:styleId="CTDStandardZchn">
    <w:name w:val="CTD Standard Zchn"/>
    <w:basedOn w:val="Predvolenpsmoodseku"/>
    <w:link w:val="CTDStandard"/>
    <w:rsid w:val="00E52CD6"/>
    <w:rPr>
      <w:sz w:val="24"/>
      <w:szCs w:val="24"/>
      <w:lang w:val="sk-SK"/>
    </w:rPr>
  </w:style>
  <w:style w:type="character" w:customStyle="1" w:styleId="PopisChar">
    <w:name w:val="Popis Char"/>
    <w:basedOn w:val="Predvolenpsmoodseku"/>
    <w:link w:val="Popis"/>
    <w:uiPriority w:val="35"/>
    <w:locked/>
    <w:rsid w:val="00E52CD6"/>
    <w:rPr>
      <w:rFonts w:eastAsiaTheme="minorHAnsi"/>
      <w:b/>
      <w:iCs/>
      <w:szCs w:val="18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EC4CE7"/>
    <w:rPr>
      <w:rFonts w:ascii="Helvetica" w:hAnsi="Helvetica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B9B00-DC87-48A6-A7B0-D571CAD0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2595</Words>
  <Characters>17362</Characters>
  <Application>Microsoft Office Word</Application>
  <DocSecurity>0</DocSecurity>
  <Lines>144</Lines>
  <Paragraphs>39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EMEA</Company>
  <LinksUpToDate>false</LinksUpToDate>
  <CharactersWithSpaces>19918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European Medicines Agency</dc:creator>
  <dc:description>EMEA-xxxx-1998</dc:description>
  <cp:lastModifiedBy>Drgoňová, Hana</cp:lastModifiedBy>
  <cp:revision>3</cp:revision>
  <cp:lastPrinted>2005-07-25T08:34:00Z</cp:lastPrinted>
  <dcterms:created xsi:type="dcterms:W3CDTF">2019-02-18T15:35:00Z</dcterms:created>
  <dcterms:modified xsi:type="dcterms:W3CDTF">2019-02-18T15:39:00Z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General-EMA/53548/2010</vt:lpwstr>
  </property>
  <property fmtid="{D5CDD505-2E9C-101B-9397-08002B2CF9AE}" pid="30" name="DM_Version">
    <vt:lpwstr>CURRENT,1.3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05/02/2016 17:09:34</vt:lpwstr>
  </property>
  <property fmtid="{D5CDD505-2E9C-101B-9397-08002B2CF9AE}" pid="33" name="DM_Modify_Date">
    <vt:lpwstr>05/02/2016 17:10:00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EMA/64179/2016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</vt:lpwstr>
  </property>
  <property fmtid="{D5CDD505-2E9C-101B-9397-08002B2CF9AE}" pid="40" name="DM_emea_doc_ref_id">
    <vt:lpwstr>EMA/64179/2016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17:10:00</vt:lpwstr>
  </property>
  <property fmtid="{D5CDD505-2E9C-101B-9397-08002B2CF9AE}" pid="43" name="_NewReviewCycle">
    <vt:lpwstr/>
  </property>
</Properties>
</file>