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3086B" w14:textId="6E8EF7D2" w:rsidR="00E50232" w:rsidRDefault="00E50232" w:rsidP="00097C3B">
      <w:pPr>
        <w:spacing w:line="240" w:lineRule="auto"/>
        <w:jc w:val="center"/>
        <w:rPr>
          <w:rFonts w:ascii="Times New Roman" w:eastAsia="TimesNewRoman,Bold" w:hAnsi="Times New Roman"/>
          <w:b/>
          <w:bCs/>
          <w:lang w:val="sk-SK"/>
        </w:rPr>
      </w:pPr>
      <w:r>
        <w:rPr>
          <w:rFonts w:ascii="Times New Roman" w:eastAsia="TimesNewRoman,Bold" w:hAnsi="Times New Roman"/>
          <w:b/>
          <w:bCs/>
          <w:lang w:val="sk-SK"/>
        </w:rPr>
        <w:t>SÚHRN CHARAKTERISTICKÝCH VLASTNOSTÍ LIEKU</w:t>
      </w:r>
    </w:p>
    <w:p w14:paraId="07B6C89E" w14:textId="77777777" w:rsidR="00E50232" w:rsidRDefault="00E50232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2B4BE3E8" w14:textId="77777777" w:rsidR="00096033" w:rsidRDefault="0009603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07FC57B6" w14:textId="103F745B" w:rsidR="00B76076" w:rsidRPr="00097C3B" w:rsidRDefault="00103103" w:rsidP="00097C3B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097C3B">
        <w:rPr>
          <w:rFonts w:ascii="Times New Roman" w:eastAsia="TimesNewRoman,Bold" w:hAnsi="Times New Roman"/>
          <w:b/>
          <w:bCs/>
          <w:lang w:val="sk-SK"/>
        </w:rPr>
        <w:t>NÁZOV LIEKU</w:t>
      </w:r>
    </w:p>
    <w:p w14:paraId="76BD89F3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60622F41" w14:textId="025D1F55" w:rsidR="00B76076" w:rsidRPr="001E0058" w:rsidRDefault="00564AF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1E0058">
        <w:rPr>
          <w:rFonts w:ascii="Times New Roman" w:eastAsia="TimesNewRoman" w:hAnsi="Times New Roman"/>
          <w:lang w:val="sk-SK" w:bidi="sk-SK"/>
        </w:rPr>
        <w:t>Azurvig</w:t>
      </w:r>
      <w:proofErr w:type="spellEnd"/>
      <w:r w:rsidRPr="001E0058">
        <w:rPr>
          <w:rFonts w:ascii="Times New Roman" w:eastAsia="TimesNewRoman" w:hAnsi="Times New Roman"/>
          <w:lang w:val="sk-SK" w:bidi="sk-SK"/>
        </w:rPr>
        <w:t xml:space="preserve"> 25 mg/ml perorálna suspenzia</w:t>
      </w:r>
    </w:p>
    <w:p w14:paraId="31BBB3BF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08EB65C8" w14:textId="77777777" w:rsidR="00B6780E" w:rsidRPr="001E0058" w:rsidRDefault="00B6780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49AC5065" w14:textId="6D5F780F" w:rsidR="00B76076" w:rsidRPr="00097C3B" w:rsidRDefault="00103103" w:rsidP="00097C3B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097C3B">
        <w:rPr>
          <w:rFonts w:ascii="Times New Roman" w:eastAsia="TimesNewRoman,Bold" w:hAnsi="Times New Roman"/>
          <w:b/>
          <w:bCs/>
          <w:lang w:val="sk-SK"/>
        </w:rPr>
        <w:t>KVALITATÍVNE A KVANTITATÍVNE ZLOŽENIE</w:t>
      </w:r>
    </w:p>
    <w:p w14:paraId="72950902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216735DE" w14:textId="02CEBC60" w:rsidR="00564AFD" w:rsidRPr="00564AFD" w:rsidRDefault="00564AF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  <w:bookmarkStart w:id="0" w:name="_Hlk494709845"/>
      <w:r w:rsidRPr="00564AFD">
        <w:rPr>
          <w:rFonts w:ascii="Times New Roman" w:eastAsia="TimesNewRoman" w:hAnsi="Times New Roman"/>
          <w:lang w:val="sk-SK" w:bidi="sk-SK"/>
        </w:rPr>
        <w:t xml:space="preserve">Každý ml suspenzie obsahuje </w:t>
      </w:r>
      <w:proofErr w:type="spellStart"/>
      <w:r w:rsidRPr="00564AFD">
        <w:rPr>
          <w:rFonts w:ascii="Times New Roman" w:eastAsia="TimesNewRoman" w:hAnsi="Times New Roman"/>
          <w:lang w:val="sk-SK" w:bidi="sk-SK"/>
        </w:rPr>
        <w:t>sildenafil</w:t>
      </w:r>
      <w:r w:rsidR="00E50232">
        <w:rPr>
          <w:rFonts w:ascii="Times New Roman" w:eastAsia="TimesNewRoman" w:hAnsi="Times New Roman"/>
          <w:lang w:val="sk-SK" w:bidi="sk-SK"/>
        </w:rPr>
        <w:t>ium</w:t>
      </w:r>
      <w:r w:rsidRPr="00564AFD">
        <w:rPr>
          <w:rFonts w:ascii="Times New Roman" w:eastAsia="TimesNewRoman" w:hAnsi="Times New Roman"/>
          <w:lang w:val="sk-SK" w:bidi="sk-SK"/>
        </w:rPr>
        <w:t>citrát</w:t>
      </w:r>
      <w:proofErr w:type="spellEnd"/>
      <w:r w:rsidR="00E50232">
        <w:rPr>
          <w:rFonts w:ascii="Times New Roman" w:eastAsia="TimesNewRoman" w:hAnsi="Times New Roman"/>
          <w:lang w:val="sk-SK" w:bidi="sk-SK"/>
        </w:rPr>
        <w:t xml:space="preserve">, čo </w:t>
      </w:r>
      <w:r w:rsidRPr="00564AFD">
        <w:rPr>
          <w:rFonts w:ascii="Times New Roman" w:eastAsia="TimesNewRoman" w:hAnsi="Times New Roman"/>
          <w:lang w:val="sk-SK" w:bidi="sk-SK"/>
        </w:rPr>
        <w:t>zodpoved</w:t>
      </w:r>
      <w:r w:rsidR="00E50232">
        <w:rPr>
          <w:rFonts w:ascii="Times New Roman" w:eastAsia="TimesNewRoman" w:hAnsi="Times New Roman"/>
          <w:lang w:val="sk-SK" w:bidi="sk-SK"/>
        </w:rPr>
        <w:t>á</w:t>
      </w:r>
      <w:r w:rsidR="00097C3B">
        <w:rPr>
          <w:rFonts w:ascii="Times New Roman" w:eastAsia="TimesNewRoman" w:hAnsi="Times New Roman"/>
          <w:lang w:val="sk-SK" w:bidi="sk-SK"/>
        </w:rPr>
        <w:t xml:space="preserve"> 25 mg </w:t>
      </w:r>
      <w:proofErr w:type="spellStart"/>
      <w:r w:rsidR="00097C3B">
        <w:rPr>
          <w:rFonts w:ascii="Times New Roman" w:eastAsia="TimesNewRoman" w:hAnsi="Times New Roman"/>
          <w:lang w:val="sk-SK" w:bidi="sk-SK"/>
        </w:rPr>
        <w:t>sildenafilu</w:t>
      </w:r>
      <w:proofErr w:type="spellEnd"/>
      <w:r w:rsidR="00097C3B">
        <w:rPr>
          <w:rFonts w:ascii="Times New Roman" w:eastAsia="TimesNewRoman" w:hAnsi="Times New Roman"/>
          <w:lang w:val="sk-SK" w:bidi="sk-SK"/>
        </w:rPr>
        <w:t xml:space="preserve"> (35,1 mg </w:t>
      </w:r>
      <w:r w:rsidR="00097C3B" w:rsidRPr="00C83A70">
        <w:rPr>
          <w:rFonts w:ascii="Times New Roman" w:eastAsia="TimesNewRoman" w:hAnsi="Times New Roman"/>
          <w:lang w:val="sk-SK" w:bidi="sk-SK"/>
        </w:rPr>
        <w:t xml:space="preserve">vo forme </w:t>
      </w:r>
      <w:proofErr w:type="spellStart"/>
      <w:r w:rsidR="00097C3B" w:rsidRPr="00C83A70">
        <w:rPr>
          <w:rFonts w:ascii="Times New Roman" w:eastAsia="TimesNewRoman" w:hAnsi="Times New Roman"/>
          <w:lang w:val="sk-SK" w:bidi="sk-SK"/>
        </w:rPr>
        <w:t>citrátovej</w:t>
      </w:r>
      <w:proofErr w:type="spellEnd"/>
      <w:r w:rsidR="00097C3B" w:rsidRPr="00C83A70">
        <w:rPr>
          <w:rFonts w:ascii="Times New Roman" w:eastAsia="TimesNewRoman" w:hAnsi="Times New Roman"/>
          <w:lang w:val="sk-SK" w:bidi="sk-SK"/>
        </w:rPr>
        <w:t xml:space="preserve"> soli</w:t>
      </w:r>
      <w:r w:rsidRPr="00C83A70">
        <w:rPr>
          <w:rFonts w:ascii="Times New Roman" w:eastAsia="TimesNewRoman" w:hAnsi="Times New Roman"/>
          <w:lang w:val="sk-SK" w:bidi="sk-SK"/>
        </w:rPr>
        <w:t>).</w:t>
      </w:r>
    </w:p>
    <w:p w14:paraId="0F8A492A" w14:textId="0EFAA858" w:rsidR="00564AFD" w:rsidRPr="00564AFD" w:rsidRDefault="00564AF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  <w:bookmarkStart w:id="1" w:name="_Hlk494709858"/>
      <w:bookmarkEnd w:id="0"/>
      <w:r w:rsidRPr="00564AFD">
        <w:rPr>
          <w:rFonts w:ascii="Times New Roman" w:eastAsia="TimesNewRoman" w:hAnsi="Times New Roman"/>
          <w:lang w:val="sk-SK" w:bidi="sk-SK"/>
        </w:rPr>
        <w:t>Každ</w:t>
      </w:r>
      <w:r w:rsidR="00E50232">
        <w:rPr>
          <w:rFonts w:ascii="Times New Roman" w:eastAsia="TimesNewRoman" w:hAnsi="Times New Roman"/>
          <w:lang w:val="sk-SK" w:bidi="sk-SK"/>
        </w:rPr>
        <w:t>ých</w:t>
      </w:r>
      <w:r w:rsidRPr="00564AFD">
        <w:rPr>
          <w:rFonts w:ascii="Times New Roman" w:eastAsia="TimesNewRoman" w:hAnsi="Times New Roman"/>
          <w:lang w:val="sk-SK" w:bidi="sk-SK"/>
        </w:rPr>
        <w:t xml:space="preserve"> 0,5 ml suspenzie obsahuje 12,5 mg </w:t>
      </w:r>
      <w:proofErr w:type="spellStart"/>
      <w:r w:rsidRPr="00564AFD">
        <w:rPr>
          <w:rFonts w:ascii="Times New Roman" w:eastAsia="TimesNewRoman" w:hAnsi="Times New Roman"/>
          <w:lang w:val="sk-SK" w:bidi="sk-SK"/>
        </w:rPr>
        <w:t>sildenafilu</w:t>
      </w:r>
      <w:proofErr w:type="spellEnd"/>
      <w:r w:rsidRPr="00564AFD">
        <w:rPr>
          <w:rFonts w:ascii="Times New Roman" w:eastAsia="TimesNewRoman" w:hAnsi="Times New Roman"/>
          <w:lang w:val="sk-SK" w:bidi="sk-SK"/>
        </w:rPr>
        <w:t xml:space="preserve"> </w:t>
      </w:r>
      <w:r w:rsidRPr="00564AFD">
        <w:rPr>
          <w:rFonts w:ascii="Times New Roman" w:eastAsia="TimesNewRoman" w:hAnsi="Times New Roman"/>
          <w:u w:val="single"/>
          <w:lang w:val="sk-SK" w:bidi="sk-SK"/>
        </w:rPr>
        <w:t>(</w:t>
      </w:r>
      <w:r w:rsidR="00E50232">
        <w:rPr>
          <w:rFonts w:ascii="Times New Roman" w:eastAsia="TimesNewRoman" w:hAnsi="Times New Roman"/>
          <w:u w:val="single"/>
          <w:lang w:val="sk-SK" w:bidi="sk-SK"/>
        </w:rPr>
        <w:t>ako</w:t>
      </w:r>
      <w:r w:rsidRPr="00564AFD">
        <w:rPr>
          <w:rFonts w:ascii="Times New Roman" w:eastAsia="TimesNewRoman" w:hAnsi="Times New Roman"/>
          <w:u w:val="single"/>
          <w:lang w:val="sk-SK" w:bidi="sk-SK"/>
        </w:rPr>
        <w:t xml:space="preserve"> </w:t>
      </w:r>
      <w:proofErr w:type="spellStart"/>
      <w:r w:rsidRPr="00564AFD">
        <w:rPr>
          <w:rFonts w:ascii="Times New Roman" w:eastAsia="TimesNewRoman" w:hAnsi="Times New Roman"/>
          <w:u w:val="single"/>
          <w:lang w:val="sk-SK" w:bidi="sk-SK"/>
        </w:rPr>
        <w:t>citrát</w:t>
      </w:r>
      <w:proofErr w:type="spellEnd"/>
      <w:r w:rsidRPr="00564AFD">
        <w:rPr>
          <w:rFonts w:ascii="Times New Roman" w:eastAsia="TimesNewRoman" w:hAnsi="Times New Roman"/>
          <w:u w:val="single"/>
          <w:lang w:val="sk-SK" w:bidi="sk-SK"/>
        </w:rPr>
        <w:t>)</w:t>
      </w:r>
      <w:r w:rsidRPr="00564AFD">
        <w:rPr>
          <w:rFonts w:ascii="Times New Roman" w:eastAsia="TimesNewRoman" w:hAnsi="Times New Roman"/>
          <w:lang w:val="sk-SK" w:bidi="sk-SK"/>
        </w:rPr>
        <w:t>.</w:t>
      </w:r>
    </w:p>
    <w:bookmarkEnd w:id="1"/>
    <w:p w14:paraId="4725769F" w14:textId="77777777" w:rsidR="00564AFD" w:rsidRPr="00564AFD" w:rsidRDefault="00564AF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</w:p>
    <w:p w14:paraId="03448B9B" w14:textId="48B4E639" w:rsidR="00564AFD" w:rsidRPr="00564AFD" w:rsidRDefault="00564AF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 w:bidi="sk-SK"/>
        </w:rPr>
      </w:pPr>
      <w:r w:rsidRPr="00564AFD">
        <w:rPr>
          <w:rFonts w:ascii="Times New Roman" w:eastAsia="TimesNewRoman" w:hAnsi="Times New Roman"/>
          <w:u w:val="single"/>
          <w:lang w:val="sk-SK" w:bidi="sk-SK"/>
        </w:rPr>
        <w:t>Pomocn</w:t>
      </w:r>
      <w:r w:rsidR="00E50232">
        <w:rPr>
          <w:rFonts w:ascii="Times New Roman" w:eastAsia="TimesNewRoman" w:hAnsi="Times New Roman"/>
          <w:u w:val="single"/>
          <w:lang w:val="sk-SK" w:bidi="sk-SK"/>
        </w:rPr>
        <w:t>á</w:t>
      </w:r>
      <w:r w:rsidRPr="00564AFD">
        <w:rPr>
          <w:rFonts w:ascii="Times New Roman" w:eastAsia="TimesNewRoman" w:hAnsi="Times New Roman"/>
          <w:u w:val="single"/>
          <w:lang w:val="sk-SK" w:bidi="sk-SK"/>
        </w:rPr>
        <w:t xml:space="preserve"> látk</w:t>
      </w:r>
      <w:r w:rsidR="00E50232">
        <w:rPr>
          <w:rFonts w:ascii="Times New Roman" w:eastAsia="TimesNewRoman" w:hAnsi="Times New Roman"/>
          <w:u w:val="single"/>
          <w:lang w:val="sk-SK" w:bidi="sk-SK"/>
        </w:rPr>
        <w:t>a</w:t>
      </w:r>
      <w:r w:rsidRPr="00564AFD">
        <w:rPr>
          <w:rFonts w:ascii="Times New Roman" w:eastAsia="TimesNewRoman" w:hAnsi="Times New Roman"/>
          <w:u w:val="single"/>
          <w:lang w:val="sk-SK" w:bidi="sk-SK"/>
        </w:rPr>
        <w:t xml:space="preserve"> so známym účinkom</w:t>
      </w:r>
    </w:p>
    <w:p w14:paraId="77AC649D" w14:textId="5EF0F937" w:rsidR="00564AFD" w:rsidRPr="00564AFD" w:rsidRDefault="00564AF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  <w:r w:rsidRPr="00564AFD">
        <w:rPr>
          <w:rFonts w:ascii="Times New Roman" w:eastAsia="TimesNewRoman" w:hAnsi="Times New Roman"/>
          <w:lang w:val="sk-SK" w:bidi="sk-SK"/>
        </w:rPr>
        <w:t xml:space="preserve">Každý ml obsahuje 1 mg </w:t>
      </w:r>
      <w:proofErr w:type="spellStart"/>
      <w:r w:rsidRPr="00564AFD">
        <w:rPr>
          <w:rFonts w:ascii="Times New Roman" w:eastAsia="TimesNewRoman" w:hAnsi="Times New Roman"/>
          <w:lang w:val="sk-SK" w:bidi="sk-SK"/>
        </w:rPr>
        <w:t>benzo</w:t>
      </w:r>
      <w:r w:rsidR="00E50232">
        <w:rPr>
          <w:rFonts w:ascii="Times New Roman" w:eastAsia="TimesNewRoman" w:hAnsi="Times New Roman"/>
          <w:lang w:val="sk-SK" w:bidi="sk-SK"/>
        </w:rPr>
        <w:t>anu</w:t>
      </w:r>
      <w:proofErr w:type="spellEnd"/>
      <w:r w:rsidRPr="00564AFD">
        <w:rPr>
          <w:rFonts w:ascii="Times New Roman" w:eastAsia="TimesNewRoman" w:hAnsi="Times New Roman"/>
          <w:lang w:val="sk-SK" w:bidi="sk-SK"/>
        </w:rPr>
        <w:t xml:space="preserve"> sodného.</w:t>
      </w:r>
    </w:p>
    <w:p w14:paraId="2B9CDACB" w14:textId="77777777" w:rsidR="00564AFD" w:rsidRPr="00564AFD" w:rsidRDefault="00564AF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</w:p>
    <w:p w14:paraId="2B827683" w14:textId="3B825C9D" w:rsidR="00B76076" w:rsidRPr="001E0058" w:rsidRDefault="00564AF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 w:bidi="sk-SK"/>
        </w:rPr>
        <w:t>Úplný zoznam pomocných látok, pozri časť 6.1.</w:t>
      </w:r>
    </w:p>
    <w:p w14:paraId="470951A3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4B8DB015" w14:textId="77777777" w:rsidR="00B6780E" w:rsidRPr="001E0058" w:rsidRDefault="00B6780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15A8F59D" w14:textId="5D958B05" w:rsidR="00B76076" w:rsidRPr="00097C3B" w:rsidRDefault="00103103" w:rsidP="00097C3B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097C3B">
        <w:rPr>
          <w:rFonts w:ascii="Times New Roman" w:eastAsia="TimesNewRoman,Bold" w:hAnsi="Times New Roman"/>
          <w:b/>
          <w:bCs/>
          <w:lang w:val="sk-SK"/>
        </w:rPr>
        <w:t>LIEKOVÁ FORMA</w:t>
      </w:r>
    </w:p>
    <w:p w14:paraId="0DE355AA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4554992" w14:textId="135F45AB" w:rsidR="00D80385" w:rsidRPr="00D80385" w:rsidRDefault="00E50232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  <w:proofErr w:type="spellStart"/>
      <w:r>
        <w:rPr>
          <w:rFonts w:ascii="Times New Roman" w:eastAsia="TimesNewRoman" w:hAnsi="Times New Roman"/>
          <w:lang w:val="sk-SK" w:bidi="sk-SK"/>
        </w:rPr>
        <w:t>Azurvig</w:t>
      </w:r>
      <w:proofErr w:type="spellEnd"/>
      <w:r>
        <w:rPr>
          <w:rFonts w:ascii="Times New Roman" w:eastAsia="TimesNewRoman" w:hAnsi="Times New Roman"/>
          <w:lang w:val="sk-SK" w:bidi="sk-SK"/>
        </w:rPr>
        <w:t xml:space="preserve"> p</w:t>
      </w:r>
      <w:r w:rsidR="00D80385" w:rsidRPr="00D80385">
        <w:rPr>
          <w:rFonts w:ascii="Times New Roman" w:eastAsia="TimesNewRoman" w:hAnsi="Times New Roman"/>
          <w:lang w:val="sk-SK" w:bidi="sk-SK"/>
        </w:rPr>
        <w:t xml:space="preserve">erorálna suspenzia je biela až </w:t>
      </w:r>
      <w:r>
        <w:rPr>
          <w:rFonts w:ascii="Times New Roman" w:eastAsia="TimesNewRoman" w:hAnsi="Times New Roman"/>
          <w:lang w:val="sk-SK" w:bidi="sk-SK"/>
        </w:rPr>
        <w:t>takmer biela</w:t>
      </w:r>
      <w:r w:rsidRPr="00D80385">
        <w:rPr>
          <w:rFonts w:ascii="Times New Roman" w:eastAsia="TimesNewRoman" w:hAnsi="Times New Roman"/>
          <w:lang w:val="sk-SK" w:bidi="sk-SK"/>
        </w:rPr>
        <w:t xml:space="preserve"> </w:t>
      </w:r>
      <w:r w:rsidR="00D80385" w:rsidRPr="00D80385">
        <w:rPr>
          <w:rFonts w:ascii="Times New Roman" w:eastAsia="TimesNewRoman" w:hAnsi="Times New Roman"/>
          <w:lang w:val="sk-SK" w:bidi="sk-SK"/>
        </w:rPr>
        <w:t>suspenzia bez cudz</w:t>
      </w:r>
      <w:r>
        <w:rPr>
          <w:rFonts w:ascii="Times New Roman" w:eastAsia="TimesNewRoman" w:hAnsi="Times New Roman"/>
          <w:lang w:val="sk-SK" w:bidi="sk-SK"/>
        </w:rPr>
        <w:t>orodých</w:t>
      </w:r>
      <w:r w:rsidR="00D80385" w:rsidRPr="00D80385">
        <w:rPr>
          <w:rFonts w:ascii="Times New Roman" w:eastAsia="TimesNewRoman" w:hAnsi="Times New Roman"/>
          <w:lang w:val="sk-SK" w:bidi="sk-SK"/>
        </w:rPr>
        <w:t xml:space="preserve"> látok s charakteristickou vôňou mäty.</w:t>
      </w:r>
    </w:p>
    <w:p w14:paraId="4BE95992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521E13EC" w14:textId="77777777" w:rsidR="00B6780E" w:rsidRPr="001E0058" w:rsidRDefault="00B6780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66EF356D" w14:textId="4900650C" w:rsidR="00B76076" w:rsidRPr="00097C3B" w:rsidRDefault="00103103" w:rsidP="00097C3B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097C3B">
        <w:rPr>
          <w:rFonts w:ascii="Times New Roman" w:eastAsia="TimesNewRoman,Bold" w:hAnsi="Times New Roman"/>
          <w:b/>
          <w:bCs/>
          <w:lang w:val="sk-SK"/>
        </w:rPr>
        <w:t>KLINICKÉ ÚDAJE</w:t>
      </w:r>
    </w:p>
    <w:p w14:paraId="41B73DF2" w14:textId="77777777" w:rsidR="00A32057" w:rsidRPr="001E0058" w:rsidRDefault="00A32057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2DD03A52" w14:textId="2F31527B" w:rsidR="00B76076" w:rsidRPr="001E0058" w:rsidRDefault="00B76076" w:rsidP="00097C3B">
      <w:p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1E0058">
        <w:rPr>
          <w:rFonts w:ascii="Times New Roman" w:eastAsia="TimesNewRoman,Bold" w:hAnsi="Times New Roman"/>
          <w:b/>
          <w:bCs/>
          <w:lang w:val="sk-SK"/>
        </w:rPr>
        <w:t>4.1</w:t>
      </w:r>
      <w:r w:rsidR="00AB1DD8">
        <w:rPr>
          <w:rFonts w:ascii="Times New Roman" w:eastAsia="TimesNewRoman,Bold" w:hAnsi="Times New Roman"/>
          <w:b/>
          <w:bCs/>
          <w:lang w:val="sk-SK"/>
        </w:rPr>
        <w:tab/>
      </w:r>
      <w:r w:rsidR="00103103" w:rsidRPr="001E0058">
        <w:rPr>
          <w:rFonts w:ascii="Times New Roman" w:eastAsia="TimesNewRoman,Bold" w:hAnsi="Times New Roman"/>
          <w:b/>
          <w:bCs/>
          <w:lang w:val="sk-SK"/>
        </w:rPr>
        <w:t>Terapeutické indikácie</w:t>
      </w:r>
    </w:p>
    <w:p w14:paraId="285A1842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B227A43" w14:textId="27FD0417" w:rsidR="00103103" w:rsidRPr="001E0058" w:rsidRDefault="000D280F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1E0058">
        <w:rPr>
          <w:rFonts w:ascii="Times New Roman" w:eastAsia="TimesNewRoman" w:hAnsi="Times New Roman"/>
          <w:lang w:val="sk-SK"/>
        </w:rPr>
        <w:t>Azurvig</w:t>
      </w:r>
      <w:proofErr w:type="spellEnd"/>
      <w:r w:rsidR="00F0146C" w:rsidRPr="001E0058">
        <w:rPr>
          <w:rFonts w:ascii="Times New Roman" w:eastAsia="TimesNewRoman" w:hAnsi="Times New Roman"/>
          <w:lang w:val="sk-SK"/>
        </w:rPr>
        <w:t xml:space="preserve"> </w:t>
      </w:r>
      <w:r w:rsidR="00103103" w:rsidRPr="001E0058">
        <w:rPr>
          <w:rFonts w:ascii="Times New Roman" w:eastAsia="TimesNewRoman" w:hAnsi="Times New Roman"/>
          <w:lang w:val="sk-SK"/>
        </w:rPr>
        <w:t>je indikovan</w:t>
      </w:r>
      <w:r w:rsidR="00E038BC" w:rsidRPr="001E0058">
        <w:rPr>
          <w:rFonts w:ascii="Times New Roman" w:eastAsia="TimesNewRoman" w:hAnsi="Times New Roman"/>
          <w:lang w:val="sk-SK"/>
        </w:rPr>
        <w:t>ý</w:t>
      </w:r>
      <w:r w:rsidR="00103103" w:rsidRPr="001E0058">
        <w:rPr>
          <w:rFonts w:ascii="Times New Roman" w:eastAsia="TimesNewRoman" w:hAnsi="Times New Roman"/>
          <w:lang w:val="sk-SK"/>
        </w:rPr>
        <w:t xml:space="preserve"> dospelý</w:t>
      </w:r>
      <w:r w:rsidR="00E50232">
        <w:rPr>
          <w:rFonts w:ascii="Times New Roman" w:eastAsia="TimesNewRoman" w:hAnsi="Times New Roman"/>
          <w:lang w:val="sk-SK"/>
        </w:rPr>
        <w:t>m</w:t>
      </w:r>
      <w:r w:rsidR="00103103" w:rsidRPr="001E0058">
        <w:rPr>
          <w:rFonts w:ascii="Times New Roman" w:eastAsia="TimesNewRoman" w:hAnsi="Times New Roman"/>
          <w:lang w:val="sk-SK"/>
        </w:rPr>
        <w:t xml:space="preserve"> mužo</w:t>
      </w:r>
      <w:r w:rsidR="00E50232">
        <w:rPr>
          <w:rFonts w:ascii="Times New Roman" w:eastAsia="TimesNewRoman" w:hAnsi="Times New Roman"/>
          <w:lang w:val="sk-SK"/>
        </w:rPr>
        <w:t>m</w:t>
      </w:r>
      <w:r w:rsidR="00103103" w:rsidRPr="001E0058">
        <w:rPr>
          <w:rFonts w:ascii="Times New Roman" w:eastAsia="TimesNewRoman" w:hAnsi="Times New Roman"/>
          <w:lang w:val="sk-SK"/>
        </w:rPr>
        <w:t xml:space="preserve"> s </w:t>
      </w:r>
      <w:proofErr w:type="spellStart"/>
      <w:r w:rsidR="00103103" w:rsidRPr="001E0058">
        <w:rPr>
          <w:rFonts w:ascii="Times New Roman" w:eastAsia="TimesNewRoman" w:hAnsi="Times New Roman"/>
          <w:lang w:val="sk-SK"/>
        </w:rPr>
        <w:t>erektilnou</w:t>
      </w:r>
      <w:proofErr w:type="spellEnd"/>
      <w:r w:rsidR="00103103" w:rsidRPr="001E0058">
        <w:rPr>
          <w:rFonts w:ascii="Times New Roman" w:eastAsia="TimesNewRoman" w:hAnsi="Times New Roman"/>
          <w:lang w:val="sk-SK"/>
        </w:rPr>
        <w:t xml:space="preserve"> dysfunkciou, čo je neschopnosť dosiahnuť alebo udržať dostatočnú erekciu penisu na vykonanie </w:t>
      </w:r>
      <w:r w:rsidR="00103103" w:rsidRPr="006B4028">
        <w:rPr>
          <w:rFonts w:ascii="Times New Roman" w:eastAsia="TimesNewRoman" w:hAnsi="Times New Roman"/>
          <w:lang w:val="sk-SK"/>
        </w:rPr>
        <w:t>uspokojivého</w:t>
      </w:r>
      <w:r w:rsidR="00103103" w:rsidRPr="001E0058">
        <w:rPr>
          <w:rFonts w:ascii="Times New Roman" w:eastAsia="TimesNewRoman" w:hAnsi="Times New Roman"/>
          <w:lang w:val="sk-SK"/>
        </w:rPr>
        <w:t xml:space="preserve"> pohlavného styku.</w:t>
      </w:r>
    </w:p>
    <w:p w14:paraId="14B91D4E" w14:textId="77777777" w:rsidR="00103103" w:rsidRPr="001E0058" w:rsidRDefault="0010310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4CAE4043" w14:textId="7A942684" w:rsidR="00B76076" w:rsidRPr="001E0058" w:rsidRDefault="0010310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Aby bol </w:t>
      </w:r>
      <w:proofErr w:type="spellStart"/>
      <w:r w:rsidR="007D4F04" w:rsidRPr="001E0058">
        <w:rPr>
          <w:rFonts w:ascii="Times New Roman" w:eastAsia="TimesNewRoman" w:hAnsi="Times New Roman"/>
          <w:lang w:val="sk-SK"/>
        </w:rPr>
        <w:t>Azurvig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účinn</w:t>
      </w:r>
      <w:r w:rsidR="007D4F04" w:rsidRPr="001E0058">
        <w:rPr>
          <w:rFonts w:ascii="Times New Roman" w:eastAsia="TimesNewRoman" w:hAnsi="Times New Roman"/>
          <w:lang w:val="sk-SK"/>
        </w:rPr>
        <w:t>ý</w:t>
      </w:r>
      <w:r w:rsidRPr="001E0058">
        <w:rPr>
          <w:rFonts w:ascii="Times New Roman" w:eastAsia="TimesNewRoman" w:hAnsi="Times New Roman"/>
          <w:lang w:val="sk-SK"/>
        </w:rPr>
        <w:t>, je potrebná sexuálna stimulácia.</w:t>
      </w:r>
    </w:p>
    <w:p w14:paraId="53E4157E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701963BA" w14:textId="77777777" w:rsidR="00A32057" w:rsidRPr="001E0058" w:rsidRDefault="00A32057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1913D86C" w14:textId="3092AC1D" w:rsidR="00B76076" w:rsidRPr="001E0058" w:rsidRDefault="00B76076" w:rsidP="00097C3B">
      <w:p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1E0058">
        <w:rPr>
          <w:rFonts w:ascii="Times New Roman" w:eastAsia="TimesNewRoman,Bold" w:hAnsi="Times New Roman"/>
          <w:b/>
          <w:bCs/>
          <w:lang w:val="sk-SK"/>
        </w:rPr>
        <w:t>4.2</w:t>
      </w:r>
      <w:r w:rsidR="00346CB1">
        <w:rPr>
          <w:rFonts w:ascii="Times New Roman" w:eastAsia="TimesNewRoman,Bold" w:hAnsi="Times New Roman"/>
          <w:b/>
          <w:bCs/>
          <w:lang w:val="sk-SK"/>
        </w:rPr>
        <w:tab/>
      </w:r>
      <w:r w:rsidR="007D4F04" w:rsidRPr="001E0058">
        <w:rPr>
          <w:rFonts w:ascii="Times New Roman" w:eastAsia="TimesNewRoman,Bold" w:hAnsi="Times New Roman"/>
          <w:b/>
          <w:bCs/>
          <w:lang w:val="sk-SK"/>
        </w:rPr>
        <w:t>Dávkovanie a spôsob podávania</w:t>
      </w:r>
    </w:p>
    <w:p w14:paraId="296278D5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</w:p>
    <w:p w14:paraId="41C255CD" w14:textId="392F980B" w:rsidR="00B76076" w:rsidRPr="001E0058" w:rsidRDefault="007D4F04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r w:rsidRPr="001E0058">
        <w:rPr>
          <w:rFonts w:ascii="Times New Roman" w:eastAsia="TimesNewRoman" w:hAnsi="Times New Roman"/>
          <w:u w:val="single"/>
          <w:lang w:val="sk-SK"/>
        </w:rPr>
        <w:t>Dávkovanie</w:t>
      </w:r>
    </w:p>
    <w:p w14:paraId="57626BD1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lang w:val="sk-SK"/>
        </w:rPr>
      </w:pPr>
    </w:p>
    <w:p w14:paraId="75CF22AA" w14:textId="59B28CC6" w:rsidR="00B76076" w:rsidRPr="001E0058" w:rsidRDefault="007D4F04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lang w:val="sk-SK"/>
        </w:rPr>
      </w:pPr>
      <w:r w:rsidRPr="001E0058">
        <w:rPr>
          <w:rFonts w:ascii="Times New Roman" w:eastAsia="TimesNewRoman,Bold" w:hAnsi="Times New Roman"/>
          <w:i/>
          <w:iCs/>
          <w:lang w:val="sk-SK"/>
        </w:rPr>
        <w:t>Použitie u dospelých</w:t>
      </w:r>
    </w:p>
    <w:p w14:paraId="67A2C47D" w14:textId="77777777" w:rsidR="002B0729" w:rsidRPr="001E0058" w:rsidRDefault="002B0729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highlight w:val="yellow"/>
          <w:lang w:val="sk-SK"/>
        </w:rPr>
      </w:pPr>
    </w:p>
    <w:p w14:paraId="35C1E1EB" w14:textId="13C10F8D" w:rsidR="007D3862" w:rsidRPr="001E0058" w:rsidRDefault="007D3862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1E0058">
        <w:rPr>
          <w:rFonts w:ascii="Times New Roman" w:hAnsi="Times New Roman"/>
          <w:lang w:val="sk-SK"/>
        </w:rPr>
        <w:t>Azurvig</w:t>
      </w:r>
      <w:proofErr w:type="spellEnd"/>
      <w:r w:rsidRPr="001E0058">
        <w:rPr>
          <w:rFonts w:ascii="Times New Roman" w:hAnsi="Times New Roman"/>
          <w:lang w:val="sk-SK"/>
        </w:rPr>
        <w:t xml:space="preserve"> je liek na lekársky predpis, a preto lekár môže predpísať najvhodnejšiu dávku pre každého pacienta pri zohľadnení osobitných charakteristík každého pacienta. </w:t>
      </w:r>
      <w:proofErr w:type="spellStart"/>
      <w:r w:rsidRPr="001E0058">
        <w:rPr>
          <w:rFonts w:ascii="Times New Roman" w:hAnsi="Times New Roman"/>
          <w:lang w:val="sk-SK"/>
        </w:rPr>
        <w:t>Azurvig</w:t>
      </w:r>
      <w:proofErr w:type="spellEnd"/>
      <w:r w:rsidRPr="001E0058">
        <w:rPr>
          <w:rFonts w:ascii="Times New Roman" w:hAnsi="Times New Roman"/>
          <w:lang w:val="sk-SK"/>
        </w:rPr>
        <w:t xml:space="preserve"> umožňuje lekárovi prispôsobiť dávkovanie na najnižšiu možnú účinnú dávku použitím rovnakého lieku a uľahčuje titráciu</w:t>
      </w:r>
      <w:r w:rsidR="00E50232">
        <w:rPr>
          <w:rFonts w:ascii="Times New Roman" w:hAnsi="Times New Roman"/>
          <w:lang w:val="sk-SK"/>
        </w:rPr>
        <w:t>/flexibilitu dávky</w:t>
      </w:r>
      <w:r w:rsidRPr="001E0058">
        <w:rPr>
          <w:rFonts w:ascii="Times New Roman" w:hAnsi="Times New Roman"/>
          <w:lang w:val="sk-SK"/>
        </w:rPr>
        <w:t xml:space="preserve"> v prípade, </w:t>
      </w:r>
      <w:r w:rsidR="00E50232">
        <w:rPr>
          <w:rFonts w:ascii="Times New Roman" w:hAnsi="Times New Roman"/>
          <w:lang w:val="sk-SK"/>
        </w:rPr>
        <w:t>ak</w:t>
      </w:r>
      <w:r w:rsidRPr="001E0058">
        <w:rPr>
          <w:rFonts w:ascii="Times New Roman" w:hAnsi="Times New Roman"/>
          <w:lang w:val="sk-SK"/>
        </w:rPr>
        <w:t xml:space="preserve"> to pacient vyžaduje a podľa </w:t>
      </w:r>
      <w:r w:rsidRPr="00BF6732">
        <w:rPr>
          <w:rFonts w:ascii="Times New Roman" w:hAnsi="Times New Roman"/>
          <w:lang w:val="sk-SK"/>
        </w:rPr>
        <w:t>zdravotn</w:t>
      </w:r>
      <w:r w:rsidR="00985A17" w:rsidRPr="00097C3B">
        <w:rPr>
          <w:rFonts w:ascii="Times New Roman" w:hAnsi="Times New Roman"/>
          <w:lang w:val="sk-SK"/>
        </w:rPr>
        <w:t>ého</w:t>
      </w:r>
      <w:r w:rsidRPr="00BF6732">
        <w:rPr>
          <w:rFonts w:ascii="Times New Roman" w:hAnsi="Times New Roman"/>
          <w:lang w:val="sk-SK"/>
        </w:rPr>
        <w:t xml:space="preserve"> </w:t>
      </w:r>
      <w:r w:rsidR="00985A17" w:rsidRPr="00097C3B">
        <w:rPr>
          <w:rFonts w:ascii="Times New Roman" w:hAnsi="Times New Roman"/>
          <w:lang w:val="sk-SK"/>
        </w:rPr>
        <w:t>stavu</w:t>
      </w:r>
      <w:r w:rsidRPr="00BF6732">
        <w:rPr>
          <w:rFonts w:ascii="Times New Roman" w:hAnsi="Times New Roman"/>
          <w:lang w:val="sk-SK"/>
        </w:rPr>
        <w:t xml:space="preserve">. </w:t>
      </w:r>
      <w:r w:rsidR="00E50232" w:rsidRPr="00BF6732">
        <w:rPr>
          <w:rFonts w:ascii="Times New Roman" w:hAnsi="Times New Roman"/>
          <w:lang w:val="sk-SK"/>
        </w:rPr>
        <w:t>Týmto</w:t>
      </w:r>
      <w:r w:rsidR="000F5A75">
        <w:rPr>
          <w:rFonts w:ascii="Times New Roman" w:hAnsi="Times New Roman"/>
          <w:lang w:val="sk-SK"/>
        </w:rPr>
        <w:t xml:space="preserve"> </w:t>
      </w:r>
      <w:r w:rsidRPr="001E0058">
        <w:rPr>
          <w:rFonts w:ascii="Times New Roman" w:hAnsi="Times New Roman"/>
          <w:lang w:val="sk-SK"/>
        </w:rPr>
        <w:t xml:space="preserve">umožňuje minimalizovať </w:t>
      </w:r>
      <w:r w:rsidR="001A7B01">
        <w:rPr>
          <w:rFonts w:ascii="Times New Roman" w:hAnsi="Times New Roman"/>
          <w:lang w:val="sk-SK"/>
        </w:rPr>
        <w:t xml:space="preserve">výskyt </w:t>
      </w:r>
      <w:r w:rsidRPr="001E0058">
        <w:rPr>
          <w:rFonts w:ascii="Times New Roman" w:hAnsi="Times New Roman"/>
          <w:lang w:val="sk-SK"/>
        </w:rPr>
        <w:t>nežiaduc</w:t>
      </w:r>
      <w:r w:rsidR="001A7B01">
        <w:rPr>
          <w:rFonts w:ascii="Times New Roman" w:hAnsi="Times New Roman"/>
          <w:lang w:val="sk-SK"/>
        </w:rPr>
        <w:t>ich</w:t>
      </w:r>
      <w:r w:rsidRPr="001E0058">
        <w:rPr>
          <w:rFonts w:ascii="Times New Roman" w:hAnsi="Times New Roman"/>
          <w:lang w:val="sk-SK"/>
        </w:rPr>
        <w:t xml:space="preserve"> </w:t>
      </w:r>
      <w:r w:rsidR="005F118D">
        <w:rPr>
          <w:rFonts w:ascii="Times New Roman" w:hAnsi="Times New Roman"/>
          <w:lang w:val="sk-SK"/>
        </w:rPr>
        <w:t>účinkov</w:t>
      </w:r>
      <w:r w:rsidRPr="001E0058">
        <w:rPr>
          <w:rFonts w:ascii="Times New Roman" w:hAnsi="Times New Roman"/>
          <w:lang w:val="sk-SK"/>
        </w:rPr>
        <w:t xml:space="preserve"> (pozri časť 5.1).</w:t>
      </w:r>
    </w:p>
    <w:p w14:paraId="6A04BE83" w14:textId="77777777" w:rsidR="007D3862" w:rsidRPr="001E0058" w:rsidRDefault="007D3862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30D8A58" w14:textId="74020C2F" w:rsidR="007D3862" w:rsidRPr="001E0058" w:rsidRDefault="007D3862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hAnsi="Times New Roman"/>
          <w:lang w:val="sk-SK"/>
        </w:rPr>
        <w:t xml:space="preserve">Odporúčaná dávka je 2 ml, čo zodpovedá 50 mg </w:t>
      </w:r>
      <w:proofErr w:type="spellStart"/>
      <w:r w:rsidRPr="001E0058">
        <w:rPr>
          <w:rFonts w:ascii="Times New Roman" w:hAnsi="Times New Roman"/>
          <w:lang w:val="sk-SK"/>
        </w:rPr>
        <w:t>sildenafilu</w:t>
      </w:r>
      <w:proofErr w:type="spellEnd"/>
      <w:r w:rsidRPr="001E0058">
        <w:rPr>
          <w:rFonts w:ascii="Times New Roman" w:hAnsi="Times New Roman"/>
          <w:lang w:val="sk-SK"/>
        </w:rPr>
        <w:t xml:space="preserve"> a užíva sa podľa potreby približne hodinu pred sexuálnou aktivitou. Na základe účinnosti a znášanlivosti </w:t>
      </w:r>
      <w:r w:rsidR="00093F3B">
        <w:rPr>
          <w:rFonts w:ascii="Times New Roman" w:hAnsi="Times New Roman"/>
          <w:lang w:val="sk-SK"/>
        </w:rPr>
        <w:t xml:space="preserve">sa </w:t>
      </w:r>
      <w:r w:rsidRPr="001E0058">
        <w:rPr>
          <w:rFonts w:ascii="Times New Roman" w:hAnsi="Times New Roman"/>
          <w:lang w:val="sk-SK"/>
        </w:rPr>
        <w:t>môže dávka zníž</w:t>
      </w:r>
      <w:r w:rsidR="00093F3B">
        <w:rPr>
          <w:rFonts w:ascii="Times New Roman" w:hAnsi="Times New Roman"/>
          <w:lang w:val="sk-SK"/>
        </w:rPr>
        <w:t>iť</w:t>
      </w:r>
      <w:r w:rsidRPr="001E0058">
        <w:rPr>
          <w:rFonts w:ascii="Times New Roman" w:hAnsi="Times New Roman"/>
          <w:lang w:val="sk-SK"/>
        </w:rPr>
        <w:t xml:space="preserve"> na 1 ml (25 mg </w:t>
      </w:r>
      <w:proofErr w:type="spellStart"/>
      <w:r w:rsidRPr="001E0058">
        <w:rPr>
          <w:rFonts w:ascii="Times New Roman" w:hAnsi="Times New Roman"/>
          <w:lang w:val="sk-SK"/>
        </w:rPr>
        <w:t>sildenafilu</w:t>
      </w:r>
      <w:proofErr w:type="spellEnd"/>
      <w:r w:rsidRPr="001E0058">
        <w:rPr>
          <w:rFonts w:ascii="Times New Roman" w:hAnsi="Times New Roman"/>
          <w:lang w:val="sk-SK"/>
        </w:rPr>
        <w:t xml:space="preserve">). </w:t>
      </w:r>
      <w:r w:rsidR="00E50232">
        <w:rPr>
          <w:rFonts w:ascii="Times New Roman" w:hAnsi="Times New Roman"/>
          <w:lang w:val="sk-SK"/>
        </w:rPr>
        <w:t>Takýmto spôsobom</w:t>
      </w:r>
      <w:r w:rsidR="00E50232" w:rsidRPr="001E0058">
        <w:rPr>
          <w:rFonts w:ascii="Times New Roman" w:hAnsi="Times New Roman"/>
          <w:lang w:val="sk-SK"/>
        </w:rPr>
        <w:t xml:space="preserve"> </w:t>
      </w:r>
      <w:r w:rsidRPr="001E0058">
        <w:rPr>
          <w:rFonts w:ascii="Times New Roman" w:hAnsi="Times New Roman"/>
          <w:lang w:val="sk-SK"/>
        </w:rPr>
        <w:t xml:space="preserve">lekár odporučí dávku každému pacientovi. Maximálna denná dávka </w:t>
      </w:r>
      <w:proofErr w:type="spellStart"/>
      <w:r w:rsidRPr="001E0058">
        <w:rPr>
          <w:rFonts w:ascii="Times New Roman" w:hAnsi="Times New Roman"/>
          <w:lang w:val="sk-SK"/>
        </w:rPr>
        <w:t>Azurvig</w:t>
      </w:r>
      <w:r w:rsidR="00E50232">
        <w:rPr>
          <w:rFonts w:ascii="Times New Roman" w:hAnsi="Times New Roman"/>
          <w:lang w:val="sk-SK"/>
        </w:rPr>
        <w:t>u</w:t>
      </w:r>
      <w:proofErr w:type="spellEnd"/>
      <w:r w:rsidRPr="001E0058">
        <w:rPr>
          <w:rFonts w:ascii="Times New Roman" w:hAnsi="Times New Roman"/>
          <w:lang w:val="sk-SK"/>
        </w:rPr>
        <w:t xml:space="preserve"> je 2 ml, čo zodpovedá 50 mg </w:t>
      </w:r>
      <w:proofErr w:type="spellStart"/>
      <w:r w:rsidRPr="001E0058">
        <w:rPr>
          <w:rFonts w:ascii="Times New Roman" w:hAnsi="Times New Roman"/>
          <w:lang w:val="sk-SK"/>
        </w:rPr>
        <w:t>sildenafilu</w:t>
      </w:r>
      <w:proofErr w:type="spellEnd"/>
      <w:r w:rsidRPr="001E0058">
        <w:rPr>
          <w:rFonts w:ascii="Times New Roman" w:hAnsi="Times New Roman"/>
          <w:lang w:val="sk-SK"/>
        </w:rPr>
        <w:t xml:space="preserve">. Maximálna odporúčaná frekvencia dávkovania je jedenkrát denne. Ak sa </w:t>
      </w:r>
      <w:proofErr w:type="spellStart"/>
      <w:r w:rsidRPr="001E0058">
        <w:rPr>
          <w:rFonts w:ascii="Times New Roman" w:hAnsi="Times New Roman"/>
          <w:lang w:val="sk-SK"/>
        </w:rPr>
        <w:t>Azurvig</w:t>
      </w:r>
      <w:proofErr w:type="spellEnd"/>
      <w:r w:rsidRPr="001E0058">
        <w:rPr>
          <w:rFonts w:ascii="Times New Roman" w:hAnsi="Times New Roman"/>
          <w:lang w:val="sk-SK"/>
        </w:rPr>
        <w:t xml:space="preserve"> užíva s jedlom, nástup </w:t>
      </w:r>
      <w:r w:rsidR="00E50232">
        <w:rPr>
          <w:rFonts w:ascii="Times New Roman" w:hAnsi="Times New Roman"/>
          <w:lang w:val="sk-SK"/>
        </w:rPr>
        <w:t>účinku</w:t>
      </w:r>
      <w:r w:rsidR="00E50232" w:rsidRPr="001E0058">
        <w:rPr>
          <w:rFonts w:ascii="Times New Roman" w:hAnsi="Times New Roman"/>
          <w:lang w:val="sk-SK"/>
        </w:rPr>
        <w:t xml:space="preserve"> </w:t>
      </w:r>
      <w:r w:rsidRPr="001E0058">
        <w:rPr>
          <w:rFonts w:ascii="Times New Roman" w:hAnsi="Times New Roman"/>
          <w:lang w:val="sk-SK"/>
        </w:rPr>
        <w:t>môže byť oneskorený v porovnaní so stavom nalačno (pozri časť 5.2).</w:t>
      </w:r>
    </w:p>
    <w:p w14:paraId="49813B3E" w14:textId="77777777" w:rsidR="007D3862" w:rsidRPr="001E0058" w:rsidRDefault="007D3862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7DCA9B3A" w14:textId="0D9A58E5" w:rsidR="007D3862" w:rsidRPr="001E0058" w:rsidRDefault="007D3862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bookmarkStart w:id="2" w:name="_Hlk494709913"/>
      <w:r w:rsidRPr="001E0058">
        <w:rPr>
          <w:rFonts w:ascii="Times New Roman" w:hAnsi="Times New Roman"/>
          <w:lang w:val="sk-SK"/>
        </w:rPr>
        <w:lastRenderedPageBreak/>
        <w:t>Každ</w:t>
      </w:r>
      <w:r w:rsidR="00DB1521">
        <w:rPr>
          <w:rFonts w:ascii="Times New Roman" w:hAnsi="Times New Roman"/>
          <w:lang w:val="sk-SK"/>
        </w:rPr>
        <w:t>ých</w:t>
      </w:r>
      <w:r w:rsidRPr="001E0058">
        <w:rPr>
          <w:rFonts w:ascii="Times New Roman" w:hAnsi="Times New Roman"/>
          <w:lang w:val="sk-SK"/>
        </w:rPr>
        <w:t xml:space="preserve"> 0,5 ml suspenzie obsahuje 12,5 mg </w:t>
      </w:r>
      <w:proofErr w:type="spellStart"/>
      <w:r w:rsidRPr="001E0058">
        <w:rPr>
          <w:rFonts w:ascii="Times New Roman" w:hAnsi="Times New Roman"/>
          <w:lang w:val="sk-SK"/>
        </w:rPr>
        <w:t>sildenafilu</w:t>
      </w:r>
      <w:proofErr w:type="spellEnd"/>
      <w:r w:rsidRPr="001E0058">
        <w:rPr>
          <w:rFonts w:ascii="Times New Roman" w:hAnsi="Times New Roman"/>
          <w:lang w:val="sk-SK"/>
        </w:rPr>
        <w:t>.</w:t>
      </w:r>
    </w:p>
    <w:bookmarkEnd w:id="2"/>
    <w:p w14:paraId="746AF891" w14:textId="77777777" w:rsidR="00DB1521" w:rsidRDefault="00DB1521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u w:val="single"/>
          <w:lang w:val="sk-SK"/>
        </w:rPr>
      </w:pPr>
    </w:p>
    <w:p w14:paraId="60B1FAE0" w14:textId="28E332DA" w:rsidR="007D3862" w:rsidRPr="001E0058" w:rsidRDefault="00DB1521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r>
        <w:rPr>
          <w:rFonts w:ascii="Times New Roman" w:hAnsi="Times New Roman"/>
          <w:u w:val="single"/>
          <w:lang w:val="sk-SK"/>
        </w:rPr>
        <w:t>Osobitné skupiny pacientov</w:t>
      </w:r>
    </w:p>
    <w:p w14:paraId="26F2587D" w14:textId="77777777" w:rsidR="007D3862" w:rsidRPr="001E0058" w:rsidRDefault="007D3862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lang w:val="sk-SK"/>
        </w:rPr>
      </w:pPr>
    </w:p>
    <w:p w14:paraId="3A398994" w14:textId="77777777" w:rsidR="007D3862" w:rsidRPr="001E0058" w:rsidRDefault="007D3862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u w:val="single"/>
          <w:lang w:val="sk-SK"/>
        </w:rPr>
      </w:pPr>
      <w:r w:rsidRPr="001E0058">
        <w:rPr>
          <w:rFonts w:ascii="Times New Roman" w:hAnsi="Times New Roman"/>
          <w:i/>
          <w:u w:val="single"/>
          <w:lang w:val="sk-SK"/>
        </w:rPr>
        <w:t>Starší pacienti</w:t>
      </w:r>
    </w:p>
    <w:p w14:paraId="131A9E08" w14:textId="4C5FC842" w:rsidR="00B76076" w:rsidRPr="001E0058" w:rsidRDefault="007D3862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highlight w:val="yellow"/>
          <w:lang w:val="sk-SK"/>
        </w:rPr>
      </w:pPr>
      <w:r w:rsidRPr="001E0058">
        <w:rPr>
          <w:rFonts w:ascii="Times New Roman" w:hAnsi="Times New Roman"/>
          <w:lang w:val="sk-SK"/>
        </w:rPr>
        <w:t>U starších pacientov (≥ 65 rokov) sa nevyžaduje úprava dávkovania.</w:t>
      </w:r>
    </w:p>
    <w:p w14:paraId="7F2D48DB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highlight w:val="yellow"/>
          <w:lang w:val="sk-SK"/>
        </w:rPr>
      </w:pPr>
    </w:p>
    <w:p w14:paraId="1CDA6EEF" w14:textId="2F2293D6" w:rsidR="00977FB3" w:rsidRPr="001E0058" w:rsidRDefault="00977F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u w:val="single"/>
          <w:lang w:val="sk-SK"/>
        </w:rPr>
      </w:pPr>
      <w:r w:rsidRPr="001E0058">
        <w:rPr>
          <w:rFonts w:ascii="Times New Roman" w:hAnsi="Times New Roman"/>
          <w:i/>
          <w:u w:val="single"/>
          <w:lang w:val="sk-SK"/>
        </w:rPr>
        <w:t xml:space="preserve">Pacienti s </w:t>
      </w:r>
      <w:r w:rsidR="00DB1521" w:rsidRPr="001E0058">
        <w:rPr>
          <w:rFonts w:ascii="Times New Roman" w:hAnsi="Times New Roman"/>
          <w:i/>
          <w:u w:val="single"/>
          <w:lang w:val="sk-SK"/>
        </w:rPr>
        <w:t>po</w:t>
      </w:r>
      <w:r w:rsidR="006B4028">
        <w:rPr>
          <w:rFonts w:ascii="Times New Roman" w:hAnsi="Times New Roman"/>
          <w:i/>
          <w:u w:val="single"/>
          <w:lang w:val="sk-SK"/>
        </w:rPr>
        <w:t>ruchou</w:t>
      </w:r>
      <w:r w:rsidR="00DB1521" w:rsidRPr="001E0058">
        <w:rPr>
          <w:rFonts w:ascii="Times New Roman" w:hAnsi="Times New Roman"/>
          <w:i/>
          <w:u w:val="single"/>
          <w:lang w:val="sk-SK"/>
        </w:rPr>
        <w:t xml:space="preserve"> </w:t>
      </w:r>
      <w:r w:rsidRPr="001E0058">
        <w:rPr>
          <w:rFonts w:ascii="Times New Roman" w:hAnsi="Times New Roman"/>
          <w:i/>
          <w:u w:val="single"/>
          <w:lang w:val="sk-SK"/>
        </w:rPr>
        <w:t>funkcie obličiek</w:t>
      </w:r>
    </w:p>
    <w:p w14:paraId="02DE8133" w14:textId="67A07119" w:rsidR="00977FB3" w:rsidRPr="001E0058" w:rsidRDefault="00977F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hAnsi="Times New Roman"/>
          <w:lang w:val="sk-SK"/>
        </w:rPr>
        <w:t xml:space="preserve">Odporúčania týkajúce sa dávkovania uvedené v časti „Použitie u dospelých“ </w:t>
      </w:r>
      <w:r w:rsidR="001D25F7">
        <w:rPr>
          <w:rFonts w:ascii="Times New Roman" w:hAnsi="Times New Roman"/>
          <w:lang w:val="sk-SK"/>
        </w:rPr>
        <w:t>platia pre</w:t>
      </w:r>
      <w:r w:rsidRPr="001E0058">
        <w:rPr>
          <w:rFonts w:ascii="Times New Roman" w:hAnsi="Times New Roman"/>
          <w:lang w:val="sk-SK"/>
        </w:rPr>
        <w:t xml:space="preserve"> pacientov s miern</w:t>
      </w:r>
      <w:r w:rsidR="00DB1521">
        <w:rPr>
          <w:rFonts w:ascii="Times New Roman" w:hAnsi="Times New Roman"/>
          <w:lang w:val="sk-SK"/>
        </w:rPr>
        <w:t>ou</w:t>
      </w:r>
      <w:r w:rsidRPr="001E0058">
        <w:rPr>
          <w:rFonts w:ascii="Times New Roman" w:hAnsi="Times New Roman"/>
          <w:lang w:val="sk-SK"/>
        </w:rPr>
        <w:t xml:space="preserve"> až stredne ťažk</w:t>
      </w:r>
      <w:r w:rsidR="00DB1521">
        <w:rPr>
          <w:rFonts w:ascii="Times New Roman" w:hAnsi="Times New Roman"/>
          <w:lang w:val="sk-SK"/>
        </w:rPr>
        <w:t>ou</w:t>
      </w:r>
      <w:r w:rsidRPr="001E0058">
        <w:rPr>
          <w:rFonts w:ascii="Times New Roman" w:hAnsi="Times New Roman"/>
          <w:lang w:val="sk-SK"/>
        </w:rPr>
        <w:t xml:space="preserve"> po</w:t>
      </w:r>
      <w:r w:rsidR="00DB1521">
        <w:rPr>
          <w:rFonts w:ascii="Times New Roman" w:hAnsi="Times New Roman"/>
          <w:lang w:val="sk-SK"/>
        </w:rPr>
        <w:t>ruchou</w:t>
      </w:r>
      <w:r w:rsidRPr="001E0058">
        <w:rPr>
          <w:rFonts w:ascii="Times New Roman" w:hAnsi="Times New Roman"/>
          <w:lang w:val="sk-SK"/>
        </w:rPr>
        <w:t xml:space="preserve"> funkcie obličiek (klírens kreatinínu = 30 – 80 ml/min).</w:t>
      </w:r>
    </w:p>
    <w:p w14:paraId="2D0F21BF" w14:textId="77777777" w:rsidR="00977FB3" w:rsidRPr="001E0058" w:rsidRDefault="00977F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388E7A46" w14:textId="53A02C7B" w:rsidR="00977FB3" w:rsidRPr="001E0058" w:rsidRDefault="00977F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hAnsi="Times New Roman"/>
          <w:lang w:val="sk-SK"/>
        </w:rPr>
        <w:t xml:space="preserve">Keďže je klírens </w:t>
      </w:r>
      <w:proofErr w:type="spellStart"/>
      <w:r w:rsidRPr="001E0058">
        <w:rPr>
          <w:rFonts w:ascii="Times New Roman" w:hAnsi="Times New Roman"/>
          <w:lang w:val="sk-SK"/>
        </w:rPr>
        <w:t>sildenafilu</w:t>
      </w:r>
      <w:proofErr w:type="spellEnd"/>
      <w:r w:rsidRPr="001E0058">
        <w:rPr>
          <w:rFonts w:ascii="Times New Roman" w:hAnsi="Times New Roman"/>
          <w:lang w:val="sk-SK"/>
        </w:rPr>
        <w:t xml:space="preserve"> u pacientov s ťažk</w:t>
      </w:r>
      <w:r w:rsidR="00DB1521">
        <w:rPr>
          <w:rFonts w:ascii="Times New Roman" w:hAnsi="Times New Roman"/>
          <w:lang w:val="sk-SK"/>
        </w:rPr>
        <w:t>ou</w:t>
      </w:r>
      <w:r w:rsidRPr="001E0058">
        <w:rPr>
          <w:rFonts w:ascii="Times New Roman" w:hAnsi="Times New Roman"/>
          <w:lang w:val="sk-SK"/>
        </w:rPr>
        <w:t xml:space="preserve"> po</w:t>
      </w:r>
      <w:r w:rsidR="00DB1521">
        <w:rPr>
          <w:rFonts w:ascii="Times New Roman" w:hAnsi="Times New Roman"/>
          <w:lang w:val="sk-SK"/>
        </w:rPr>
        <w:t>ruchou</w:t>
      </w:r>
      <w:r w:rsidRPr="001E0058">
        <w:rPr>
          <w:rFonts w:ascii="Times New Roman" w:hAnsi="Times New Roman"/>
          <w:lang w:val="sk-SK"/>
        </w:rPr>
        <w:t xml:space="preserve"> funkcie obličiek (klírens kreatinínu &lt;</w:t>
      </w:r>
      <w:r w:rsidR="002B66DC">
        <w:rPr>
          <w:rFonts w:ascii="Times New Roman" w:hAnsi="Times New Roman"/>
          <w:lang w:val="sk-SK"/>
        </w:rPr>
        <w:t> </w:t>
      </w:r>
      <w:r w:rsidRPr="001E0058">
        <w:rPr>
          <w:rFonts w:ascii="Times New Roman" w:hAnsi="Times New Roman"/>
          <w:lang w:val="sk-SK"/>
        </w:rPr>
        <w:t>30</w:t>
      </w:r>
      <w:r w:rsidR="00370E5A">
        <w:rPr>
          <w:rFonts w:ascii="Times New Roman" w:hAnsi="Times New Roman"/>
          <w:lang w:val="sk-SK"/>
        </w:rPr>
        <w:t> </w:t>
      </w:r>
      <w:r w:rsidRPr="001E0058">
        <w:rPr>
          <w:rFonts w:ascii="Times New Roman" w:hAnsi="Times New Roman"/>
          <w:lang w:val="sk-SK"/>
        </w:rPr>
        <w:t xml:space="preserve">ml/min) znížený, je potrebné zvážiť dávku 1 ml (25 mg </w:t>
      </w:r>
      <w:proofErr w:type="spellStart"/>
      <w:r w:rsidRPr="001E0058">
        <w:rPr>
          <w:rFonts w:ascii="Times New Roman" w:hAnsi="Times New Roman"/>
          <w:lang w:val="sk-SK"/>
        </w:rPr>
        <w:t>sildenafilu</w:t>
      </w:r>
      <w:proofErr w:type="spellEnd"/>
      <w:r w:rsidRPr="001E0058">
        <w:rPr>
          <w:rFonts w:ascii="Times New Roman" w:hAnsi="Times New Roman"/>
          <w:lang w:val="sk-SK"/>
        </w:rPr>
        <w:t xml:space="preserve">). Na základe účinnosti a znášanlivosti </w:t>
      </w:r>
      <w:r w:rsidR="00FE7D5D">
        <w:rPr>
          <w:rFonts w:ascii="Times New Roman" w:hAnsi="Times New Roman"/>
          <w:lang w:val="sk-SK"/>
        </w:rPr>
        <w:t xml:space="preserve">sa </w:t>
      </w:r>
      <w:r w:rsidRPr="001E0058">
        <w:rPr>
          <w:rFonts w:ascii="Times New Roman" w:hAnsi="Times New Roman"/>
          <w:lang w:val="sk-SK"/>
        </w:rPr>
        <w:t xml:space="preserve">môže dávka v prípade potreby </w:t>
      </w:r>
      <w:r w:rsidR="00F10967" w:rsidRPr="001E0058">
        <w:rPr>
          <w:rFonts w:ascii="Times New Roman" w:hAnsi="Times New Roman"/>
          <w:lang w:val="sk-SK"/>
        </w:rPr>
        <w:t xml:space="preserve">postupne </w:t>
      </w:r>
      <w:r w:rsidRPr="001E0058">
        <w:rPr>
          <w:rFonts w:ascii="Times New Roman" w:hAnsi="Times New Roman"/>
          <w:lang w:val="sk-SK"/>
        </w:rPr>
        <w:t>zvýš</w:t>
      </w:r>
      <w:r w:rsidR="00FE7D5D">
        <w:rPr>
          <w:rFonts w:ascii="Times New Roman" w:hAnsi="Times New Roman"/>
          <w:lang w:val="sk-SK"/>
        </w:rPr>
        <w:t>iť</w:t>
      </w:r>
      <w:r w:rsidRPr="001E0058">
        <w:rPr>
          <w:rFonts w:ascii="Times New Roman" w:hAnsi="Times New Roman"/>
          <w:lang w:val="sk-SK"/>
        </w:rPr>
        <w:t xml:space="preserve"> na 2 ml (50 mg </w:t>
      </w:r>
      <w:proofErr w:type="spellStart"/>
      <w:r w:rsidRPr="001E0058">
        <w:rPr>
          <w:rFonts w:ascii="Times New Roman" w:hAnsi="Times New Roman"/>
          <w:lang w:val="sk-SK"/>
        </w:rPr>
        <w:t>sildenafilu</w:t>
      </w:r>
      <w:proofErr w:type="spellEnd"/>
      <w:r w:rsidRPr="001E0058">
        <w:rPr>
          <w:rFonts w:ascii="Times New Roman" w:hAnsi="Times New Roman"/>
          <w:lang w:val="sk-SK"/>
        </w:rPr>
        <w:t>).</w:t>
      </w:r>
    </w:p>
    <w:p w14:paraId="4CF5B0C3" w14:textId="77777777" w:rsidR="00977FB3" w:rsidRPr="001E0058" w:rsidRDefault="00977F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u w:val="single"/>
          <w:lang w:val="sk-SK"/>
        </w:rPr>
      </w:pPr>
    </w:p>
    <w:p w14:paraId="088B00CF" w14:textId="42D75DC6" w:rsidR="00977FB3" w:rsidRPr="001E0058" w:rsidRDefault="00977F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u w:val="single"/>
          <w:lang w:val="sk-SK"/>
        </w:rPr>
      </w:pPr>
      <w:r w:rsidRPr="001E0058">
        <w:rPr>
          <w:rFonts w:ascii="Times New Roman" w:hAnsi="Times New Roman"/>
          <w:i/>
          <w:u w:val="single"/>
          <w:lang w:val="sk-SK"/>
        </w:rPr>
        <w:t xml:space="preserve">Pacienti s </w:t>
      </w:r>
      <w:r w:rsidR="00DB1521" w:rsidRPr="001E0058">
        <w:rPr>
          <w:rFonts w:ascii="Times New Roman" w:hAnsi="Times New Roman"/>
          <w:i/>
          <w:u w:val="single"/>
          <w:lang w:val="sk-SK"/>
        </w:rPr>
        <w:t>po</w:t>
      </w:r>
      <w:r w:rsidR="00DB1521">
        <w:rPr>
          <w:rFonts w:ascii="Times New Roman" w:hAnsi="Times New Roman"/>
          <w:i/>
          <w:u w:val="single"/>
          <w:lang w:val="sk-SK"/>
        </w:rPr>
        <w:t xml:space="preserve">ruchou </w:t>
      </w:r>
      <w:r w:rsidRPr="001E0058">
        <w:rPr>
          <w:rFonts w:ascii="Times New Roman" w:hAnsi="Times New Roman"/>
          <w:i/>
          <w:u w:val="single"/>
          <w:lang w:val="sk-SK"/>
        </w:rPr>
        <w:t>funkcie pečene</w:t>
      </w:r>
    </w:p>
    <w:p w14:paraId="57AAC21D" w14:textId="4C63A95B" w:rsidR="00977FB3" w:rsidRPr="001E0058" w:rsidRDefault="00977F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hAnsi="Times New Roman"/>
          <w:lang w:val="sk-SK"/>
        </w:rPr>
        <w:t xml:space="preserve">Keďže je klírens </w:t>
      </w:r>
      <w:proofErr w:type="spellStart"/>
      <w:r w:rsidRPr="001E0058">
        <w:rPr>
          <w:rFonts w:ascii="Times New Roman" w:hAnsi="Times New Roman"/>
          <w:lang w:val="sk-SK"/>
        </w:rPr>
        <w:t>sildenafilu</w:t>
      </w:r>
      <w:proofErr w:type="spellEnd"/>
      <w:r w:rsidRPr="001E0058">
        <w:rPr>
          <w:rFonts w:ascii="Times New Roman" w:hAnsi="Times New Roman"/>
          <w:lang w:val="sk-SK"/>
        </w:rPr>
        <w:t xml:space="preserve"> u pacientov s p</w:t>
      </w:r>
      <w:r w:rsidR="00DB1521">
        <w:rPr>
          <w:rFonts w:ascii="Times New Roman" w:hAnsi="Times New Roman"/>
          <w:lang w:val="sk-SK"/>
        </w:rPr>
        <w:t>oruchou</w:t>
      </w:r>
      <w:r w:rsidRPr="001E0058">
        <w:rPr>
          <w:rFonts w:ascii="Times New Roman" w:hAnsi="Times New Roman"/>
          <w:lang w:val="sk-SK"/>
        </w:rPr>
        <w:t xml:space="preserve"> funkcie pečene (napríklad cirhózou) znížený, </w:t>
      </w:r>
      <w:r w:rsidR="00DB1521">
        <w:rPr>
          <w:rFonts w:ascii="Times New Roman" w:hAnsi="Times New Roman"/>
          <w:lang w:val="sk-SK"/>
        </w:rPr>
        <w:t>je po</w:t>
      </w:r>
      <w:r w:rsidRPr="001E0058">
        <w:rPr>
          <w:rFonts w:ascii="Times New Roman" w:hAnsi="Times New Roman"/>
          <w:lang w:val="sk-SK"/>
        </w:rPr>
        <w:t>treb</w:t>
      </w:r>
      <w:r w:rsidR="00DB1521">
        <w:rPr>
          <w:rFonts w:ascii="Times New Roman" w:hAnsi="Times New Roman"/>
          <w:lang w:val="sk-SK"/>
        </w:rPr>
        <w:t>né</w:t>
      </w:r>
      <w:r w:rsidRPr="001E0058">
        <w:rPr>
          <w:rFonts w:ascii="Times New Roman" w:hAnsi="Times New Roman"/>
          <w:lang w:val="sk-SK"/>
        </w:rPr>
        <w:t xml:space="preserve"> zvážiť dávku 1 ml</w:t>
      </w:r>
      <w:r w:rsidR="00DB1521">
        <w:rPr>
          <w:rFonts w:ascii="Times New Roman" w:hAnsi="Times New Roman"/>
          <w:lang w:val="sk-SK"/>
        </w:rPr>
        <w:t>, čo zodpovedá</w:t>
      </w:r>
      <w:r w:rsidRPr="001E0058">
        <w:rPr>
          <w:rFonts w:ascii="Times New Roman" w:hAnsi="Times New Roman"/>
          <w:lang w:val="sk-SK"/>
        </w:rPr>
        <w:t xml:space="preserve"> 25 mg </w:t>
      </w:r>
      <w:proofErr w:type="spellStart"/>
      <w:r w:rsidRPr="001E0058">
        <w:rPr>
          <w:rFonts w:ascii="Times New Roman" w:hAnsi="Times New Roman"/>
          <w:lang w:val="sk-SK"/>
        </w:rPr>
        <w:t>sildenafilu</w:t>
      </w:r>
      <w:proofErr w:type="spellEnd"/>
      <w:r w:rsidRPr="001E0058">
        <w:rPr>
          <w:rFonts w:ascii="Times New Roman" w:hAnsi="Times New Roman"/>
          <w:lang w:val="sk-SK"/>
        </w:rPr>
        <w:t xml:space="preserve">. Na základe účinnosti a znášanlivosti </w:t>
      </w:r>
      <w:r w:rsidR="00FE7D5D">
        <w:rPr>
          <w:rFonts w:ascii="Times New Roman" w:hAnsi="Times New Roman"/>
          <w:lang w:val="sk-SK"/>
        </w:rPr>
        <w:t xml:space="preserve">sa </w:t>
      </w:r>
      <w:r w:rsidRPr="001E0058">
        <w:rPr>
          <w:rFonts w:ascii="Times New Roman" w:hAnsi="Times New Roman"/>
          <w:lang w:val="sk-SK"/>
        </w:rPr>
        <w:t xml:space="preserve">môže dávka v prípade potreby </w:t>
      </w:r>
      <w:r w:rsidR="00A572AF" w:rsidRPr="001E0058">
        <w:rPr>
          <w:rFonts w:ascii="Times New Roman" w:hAnsi="Times New Roman"/>
          <w:lang w:val="sk-SK"/>
        </w:rPr>
        <w:t xml:space="preserve">postupne </w:t>
      </w:r>
      <w:r w:rsidRPr="001E0058">
        <w:rPr>
          <w:rFonts w:ascii="Times New Roman" w:hAnsi="Times New Roman"/>
          <w:lang w:val="sk-SK"/>
        </w:rPr>
        <w:t>zvýš</w:t>
      </w:r>
      <w:r w:rsidR="00FE7D5D">
        <w:rPr>
          <w:rFonts w:ascii="Times New Roman" w:hAnsi="Times New Roman"/>
          <w:lang w:val="sk-SK"/>
        </w:rPr>
        <w:t>iť</w:t>
      </w:r>
      <w:r w:rsidRPr="001E0058">
        <w:rPr>
          <w:rFonts w:ascii="Times New Roman" w:hAnsi="Times New Roman"/>
          <w:lang w:val="sk-SK"/>
        </w:rPr>
        <w:t xml:space="preserve"> na 2 ml (50 mg </w:t>
      </w:r>
      <w:proofErr w:type="spellStart"/>
      <w:r w:rsidRPr="001E0058">
        <w:rPr>
          <w:rFonts w:ascii="Times New Roman" w:hAnsi="Times New Roman"/>
          <w:lang w:val="sk-SK"/>
        </w:rPr>
        <w:t>sildenafilu</w:t>
      </w:r>
      <w:proofErr w:type="spellEnd"/>
      <w:r w:rsidRPr="001E0058">
        <w:rPr>
          <w:rFonts w:ascii="Times New Roman" w:hAnsi="Times New Roman"/>
          <w:lang w:val="sk-SK"/>
        </w:rPr>
        <w:t>).</w:t>
      </w:r>
    </w:p>
    <w:p w14:paraId="4CE5C639" w14:textId="77777777" w:rsidR="00977FB3" w:rsidRPr="001E0058" w:rsidRDefault="00977F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u w:val="single"/>
          <w:lang w:val="sk-SK"/>
        </w:rPr>
      </w:pPr>
    </w:p>
    <w:p w14:paraId="25F263EE" w14:textId="77777777" w:rsidR="00977FB3" w:rsidRPr="001E0058" w:rsidRDefault="00977F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u w:val="single"/>
          <w:lang w:val="sk-SK"/>
        </w:rPr>
      </w:pPr>
      <w:r w:rsidRPr="001E0058">
        <w:rPr>
          <w:rFonts w:ascii="Times New Roman" w:hAnsi="Times New Roman"/>
          <w:i/>
          <w:u w:val="single"/>
          <w:lang w:val="sk-SK"/>
        </w:rPr>
        <w:t>Pediatrická populácia</w:t>
      </w:r>
    </w:p>
    <w:p w14:paraId="53D8338A" w14:textId="5EF07887" w:rsidR="00B76076" w:rsidRPr="001E0058" w:rsidRDefault="00977F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highlight w:val="yellow"/>
          <w:lang w:val="sk-SK"/>
        </w:rPr>
      </w:pPr>
      <w:proofErr w:type="spellStart"/>
      <w:r w:rsidRPr="001E0058">
        <w:rPr>
          <w:rFonts w:ascii="Times New Roman" w:hAnsi="Times New Roman"/>
          <w:lang w:val="sk-SK"/>
        </w:rPr>
        <w:t>Azurvig</w:t>
      </w:r>
      <w:proofErr w:type="spellEnd"/>
      <w:r w:rsidRPr="001E0058">
        <w:rPr>
          <w:rFonts w:ascii="Times New Roman" w:hAnsi="Times New Roman"/>
          <w:lang w:val="sk-SK"/>
        </w:rPr>
        <w:t xml:space="preserve"> nie je indikovaný osobám mladším ako 18 rokov.</w:t>
      </w:r>
    </w:p>
    <w:p w14:paraId="283E2215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highlight w:val="yellow"/>
          <w:lang w:val="sk-SK"/>
        </w:rPr>
      </w:pPr>
    </w:p>
    <w:p w14:paraId="6EE780E3" w14:textId="2664D876" w:rsidR="00977FB3" w:rsidRPr="001E0058" w:rsidRDefault="00977F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u w:val="single"/>
          <w:lang w:val="sk-SK"/>
        </w:rPr>
      </w:pPr>
      <w:bookmarkStart w:id="3" w:name="_Hlk494710186"/>
      <w:r w:rsidRPr="001E0058">
        <w:rPr>
          <w:rFonts w:ascii="Times New Roman" w:hAnsi="Times New Roman"/>
          <w:i/>
          <w:u w:val="single"/>
          <w:lang w:val="sk-SK"/>
        </w:rPr>
        <w:t>Použitie u pacientov užívajúcich iné lie</w:t>
      </w:r>
      <w:r w:rsidR="00B73B01">
        <w:rPr>
          <w:rFonts w:ascii="Times New Roman" w:hAnsi="Times New Roman"/>
          <w:i/>
          <w:u w:val="single"/>
          <w:lang w:val="sk-SK"/>
        </w:rPr>
        <w:t>čivá</w:t>
      </w:r>
    </w:p>
    <w:p w14:paraId="42487AC7" w14:textId="3B351289" w:rsidR="00977FB3" w:rsidRPr="00097C3B" w:rsidRDefault="00977F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/>
        </w:rPr>
      </w:pPr>
      <w:r w:rsidRPr="001E0058">
        <w:rPr>
          <w:rFonts w:ascii="Times New Roman" w:hAnsi="Times New Roman"/>
          <w:lang w:val="sk-SK"/>
        </w:rPr>
        <w:t xml:space="preserve">S výnimkou </w:t>
      </w:r>
      <w:proofErr w:type="spellStart"/>
      <w:r w:rsidRPr="001E0058">
        <w:rPr>
          <w:rFonts w:ascii="Times New Roman" w:hAnsi="Times New Roman"/>
          <w:lang w:val="sk-SK"/>
        </w:rPr>
        <w:t>ritonaviru</w:t>
      </w:r>
      <w:proofErr w:type="spellEnd"/>
      <w:r w:rsidRPr="001E0058">
        <w:rPr>
          <w:rFonts w:ascii="Times New Roman" w:hAnsi="Times New Roman"/>
          <w:lang w:val="sk-SK"/>
        </w:rPr>
        <w:t xml:space="preserve">, pri ktorom sa neodporúča súbežné podávanie so </w:t>
      </w:r>
      <w:proofErr w:type="spellStart"/>
      <w:r w:rsidRPr="001E0058">
        <w:rPr>
          <w:rFonts w:ascii="Times New Roman" w:hAnsi="Times New Roman"/>
          <w:lang w:val="sk-SK"/>
        </w:rPr>
        <w:t>sildenafilom</w:t>
      </w:r>
      <w:proofErr w:type="spellEnd"/>
      <w:r w:rsidRPr="001E0058">
        <w:rPr>
          <w:rFonts w:ascii="Times New Roman" w:hAnsi="Times New Roman"/>
          <w:lang w:val="sk-SK"/>
        </w:rPr>
        <w:t xml:space="preserve"> (pozri časť 4.4), sa má zvážiť </w:t>
      </w:r>
      <w:r w:rsidR="00DB1521">
        <w:rPr>
          <w:rFonts w:ascii="Times New Roman" w:hAnsi="Times New Roman"/>
          <w:lang w:val="sk-SK"/>
        </w:rPr>
        <w:t>za</w:t>
      </w:r>
      <w:r w:rsidRPr="001E0058">
        <w:rPr>
          <w:rFonts w:ascii="Times New Roman" w:hAnsi="Times New Roman"/>
          <w:lang w:val="sk-SK"/>
        </w:rPr>
        <w:t>čiatočná dávka 1 ml</w:t>
      </w:r>
      <w:r w:rsidR="00DB1521">
        <w:rPr>
          <w:rFonts w:ascii="Times New Roman" w:hAnsi="Times New Roman"/>
          <w:lang w:val="sk-SK"/>
        </w:rPr>
        <w:t>, čo</w:t>
      </w:r>
      <w:r w:rsidRPr="001E0058">
        <w:rPr>
          <w:rFonts w:ascii="Times New Roman" w:hAnsi="Times New Roman"/>
          <w:lang w:val="sk-SK"/>
        </w:rPr>
        <w:t xml:space="preserve"> </w:t>
      </w:r>
      <w:r w:rsidR="00DB1521">
        <w:rPr>
          <w:rFonts w:ascii="Times New Roman" w:hAnsi="Times New Roman"/>
          <w:lang w:val="sk-SK"/>
        </w:rPr>
        <w:t>zodpovedá</w:t>
      </w:r>
      <w:r w:rsidRPr="001E0058">
        <w:rPr>
          <w:rFonts w:ascii="Times New Roman" w:hAnsi="Times New Roman"/>
          <w:lang w:val="sk-SK"/>
        </w:rPr>
        <w:t xml:space="preserve"> 25 mg </w:t>
      </w:r>
      <w:proofErr w:type="spellStart"/>
      <w:r w:rsidRPr="001E0058">
        <w:rPr>
          <w:rFonts w:ascii="Times New Roman" w:hAnsi="Times New Roman"/>
          <w:lang w:val="sk-SK"/>
        </w:rPr>
        <w:t>sildenafilu</w:t>
      </w:r>
      <w:proofErr w:type="spellEnd"/>
      <w:r w:rsidRPr="001E0058">
        <w:rPr>
          <w:rFonts w:ascii="Times New Roman" w:hAnsi="Times New Roman"/>
          <w:lang w:val="sk-SK"/>
        </w:rPr>
        <w:t xml:space="preserve"> u pacientov, ktorí sú súbežne liečení inhibítormi CYP3A4 (pozri časť 4.5).</w:t>
      </w:r>
    </w:p>
    <w:p w14:paraId="719AF6F0" w14:textId="77777777" w:rsidR="00977FB3" w:rsidRPr="001E0058" w:rsidRDefault="00977F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61003C70" w14:textId="16ED9A60" w:rsidR="00977FB3" w:rsidRPr="001E0058" w:rsidRDefault="00977F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hAnsi="Times New Roman"/>
          <w:lang w:val="sk-SK"/>
        </w:rPr>
        <w:t>Na minimalizovanie potenciál</w:t>
      </w:r>
      <w:r w:rsidR="00DB1521">
        <w:rPr>
          <w:rFonts w:ascii="Times New Roman" w:hAnsi="Times New Roman"/>
          <w:lang w:val="sk-SK"/>
        </w:rPr>
        <w:t>neho</w:t>
      </w:r>
      <w:r w:rsidRPr="001E0058">
        <w:rPr>
          <w:rFonts w:ascii="Times New Roman" w:hAnsi="Times New Roman"/>
          <w:lang w:val="sk-SK"/>
        </w:rPr>
        <w:t xml:space="preserve"> </w:t>
      </w:r>
      <w:r w:rsidR="00DB1521">
        <w:rPr>
          <w:rFonts w:ascii="Times New Roman" w:hAnsi="Times New Roman"/>
          <w:lang w:val="sk-SK"/>
        </w:rPr>
        <w:t>vzniku</w:t>
      </w:r>
      <w:r w:rsidR="00DB1521" w:rsidRPr="001E0058">
        <w:rPr>
          <w:rFonts w:ascii="Times New Roman" w:hAnsi="Times New Roman"/>
          <w:lang w:val="sk-SK"/>
        </w:rPr>
        <w:t xml:space="preserve"> </w:t>
      </w:r>
      <w:proofErr w:type="spellStart"/>
      <w:r w:rsidRPr="001E0058">
        <w:rPr>
          <w:rFonts w:ascii="Times New Roman" w:hAnsi="Times New Roman"/>
          <w:lang w:val="sk-SK"/>
        </w:rPr>
        <w:t>posturálnej</w:t>
      </w:r>
      <w:proofErr w:type="spellEnd"/>
      <w:r w:rsidRPr="001E0058">
        <w:rPr>
          <w:rFonts w:ascii="Times New Roman" w:hAnsi="Times New Roman"/>
          <w:lang w:val="sk-SK"/>
        </w:rPr>
        <w:t xml:space="preserve"> hypotenzie u pacientov liečených </w:t>
      </w:r>
      <w:proofErr w:type="spellStart"/>
      <w:r w:rsidRPr="001E0058">
        <w:rPr>
          <w:rFonts w:ascii="Times New Roman" w:hAnsi="Times New Roman"/>
          <w:lang w:val="sk-SK"/>
        </w:rPr>
        <w:t>alfablokátorom</w:t>
      </w:r>
      <w:proofErr w:type="spellEnd"/>
      <w:r w:rsidRPr="001E0058">
        <w:rPr>
          <w:rFonts w:ascii="Times New Roman" w:hAnsi="Times New Roman"/>
          <w:lang w:val="sk-SK"/>
        </w:rPr>
        <w:t>,</w:t>
      </w:r>
      <w:r w:rsidR="00DB1521">
        <w:rPr>
          <w:rFonts w:ascii="Times New Roman" w:hAnsi="Times New Roman"/>
          <w:lang w:val="sk-SK"/>
        </w:rPr>
        <w:t xml:space="preserve"> by</w:t>
      </w:r>
      <w:r w:rsidRPr="001E0058">
        <w:rPr>
          <w:rFonts w:ascii="Times New Roman" w:hAnsi="Times New Roman"/>
          <w:lang w:val="sk-SK"/>
        </w:rPr>
        <w:t xml:space="preserve"> mali </w:t>
      </w:r>
      <w:r w:rsidR="00DB1521">
        <w:rPr>
          <w:rFonts w:ascii="Times New Roman" w:hAnsi="Times New Roman"/>
          <w:lang w:val="sk-SK"/>
        </w:rPr>
        <w:t>byť</w:t>
      </w:r>
      <w:r w:rsidRPr="001E0058">
        <w:rPr>
          <w:rFonts w:ascii="Times New Roman" w:hAnsi="Times New Roman"/>
          <w:lang w:val="sk-SK"/>
        </w:rPr>
        <w:t xml:space="preserve"> pacienti pred začatím liečby </w:t>
      </w:r>
      <w:proofErr w:type="spellStart"/>
      <w:r w:rsidRPr="001E0058">
        <w:rPr>
          <w:rFonts w:ascii="Times New Roman" w:hAnsi="Times New Roman"/>
          <w:lang w:val="sk-SK"/>
        </w:rPr>
        <w:t>sildenafilom</w:t>
      </w:r>
      <w:proofErr w:type="spellEnd"/>
      <w:r w:rsidRPr="001E0058">
        <w:rPr>
          <w:rFonts w:ascii="Times New Roman" w:hAnsi="Times New Roman"/>
          <w:lang w:val="sk-SK"/>
        </w:rPr>
        <w:t xml:space="preserve"> stabilizovan</w:t>
      </w:r>
      <w:r w:rsidR="00DB1521">
        <w:rPr>
          <w:rFonts w:ascii="Times New Roman" w:hAnsi="Times New Roman"/>
          <w:lang w:val="sk-SK"/>
        </w:rPr>
        <w:t>í</w:t>
      </w:r>
      <w:r w:rsidRPr="001E0058">
        <w:rPr>
          <w:rFonts w:ascii="Times New Roman" w:hAnsi="Times New Roman"/>
          <w:lang w:val="sk-SK"/>
        </w:rPr>
        <w:t xml:space="preserve"> liečb</w:t>
      </w:r>
      <w:r w:rsidR="00DB1521">
        <w:rPr>
          <w:rFonts w:ascii="Times New Roman" w:hAnsi="Times New Roman"/>
          <w:lang w:val="sk-SK"/>
        </w:rPr>
        <w:t>o</w:t>
      </w:r>
      <w:r w:rsidRPr="001E0058">
        <w:rPr>
          <w:rFonts w:ascii="Times New Roman" w:hAnsi="Times New Roman"/>
          <w:lang w:val="sk-SK"/>
        </w:rPr>
        <w:t xml:space="preserve">u </w:t>
      </w:r>
      <w:proofErr w:type="spellStart"/>
      <w:r w:rsidRPr="001E0058">
        <w:rPr>
          <w:rFonts w:ascii="Times New Roman" w:hAnsi="Times New Roman"/>
          <w:lang w:val="sk-SK"/>
        </w:rPr>
        <w:t>alfablokátorom</w:t>
      </w:r>
      <w:proofErr w:type="spellEnd"/>
      <w:r w:rsidRPr="001E0058">
        <w:rPr>
          <w:rFonts w:ascii="Times New Roman" w:hAnsi="Times New Roman"/>
          <w:lang w:val="sk-SK"/>
        </w:rPr>
        <w:t xml:space="preserve">. Okrem toho sa má zvážiť začatie podávania </w:t>
      </w:r>
      <w:proofErr w:type="spellStart"/>
      <w:r w:rsidRPr="001E0058">
        <w:rPr>
          <w:rFonts w:ascii="Times New Roman" w:hAnsi="Times New Roman"/>
          <w:lang w:val="sk-SK"/>
        </w:rPr>
        <w:t>sildenafilu</w:t>
      </w:r>
      <w:proofErr w:type="spellEnd"/>
      <w:r w:rsidRPr="001E0058">
        <w:rPr>
          <w:rFonts w:ascii="Times New Roman" w:hAnsi="Times New Roman"/>
          <w:lang w:val="sk-SK"/>
        </w:rPr>
        <w:t xml:space="preserve"> v dávke 1 ml</w:t>
      </w:r>
      <w:r w:rsidR="00DB1521">
        <w:rPr>
          <w:rFonts w:ascii="Times New Roman" w:hAnsi="Times New Roman"/>
          <w:lang w:val="sk-SK"/>
        </w:rPr>
        <w:t>, čo zodpovedá</w:t>
      </w:r>
      <w:r w:rsidRPr="001E0058">
        <w:rPr>
          <w:rFonts w:ascii="Times New Roman" w:hAnsi="Times New Roman"/>
          <w:lang w:val="sk-SK"/>
        </w:rPr>
        <w:t xml:space="preserve"> 25 mg </w:t>
      </w:r>
      <w:proofErr w:type="spellStart"/>
      <w:r w:rsidRPr="001E0058">
        <w:rPr>
          <w:rFonts w:ascii="Times New Roman" w:hAnsi="Times New Roman"/>
          <w:lang w:val="sk-SK"/>
        </w:rPr>
        <w:t>sildenafilu</w:t>
      </w:r>
      <w:proofErr w:type="spellEnd"/>
      <w:r w:rsidRPr="001E0058">
        <w:rPr>
          <w:rFonts w:ascii="Times New Roman" w:hAnsi="Times New Roman"/>
          <w:lang w:val="sk-SK"/>
        </w:rPr>
        <w:t xml:space="preserve"> (pozri časti 4.4 a 4.5).</w:t>
      </w:r>
    </w:p>
    <w:p w14:paraId="611B7A37" w14:textId="77777777" w:rsidR="00977FB3" w:rsidRPr="001E0058" w:rsidRDefault="00977F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762C6E89" w14:textId="77777777" w:rsidR="00977FB3" w:rsidRPr="001E0058" w:rsidRDefault="00977F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r w:rsidRPr="001E0058">
        <w:rPr>
          <w:rFonts w:ascii="Times New Roman" w:hAnsi="Times New Roman"/>
          <w:u w:val="single"/>
          <w:lang w:val="sk-SK"/>
        </w:rPr>
        <w:t>Spôsob podávania</w:t>
      </w:r>
    </w:p>
    <w:p w14:paraId="219986D1" w14:textId="77777777" w:rsidR="00977FB3" w:rsidRPr="001E0058" w:rsidRDefault="00977F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</w:p>
    <w:p w14:paraId="19D5BBF2" w14:textId="77777777" w:rsidR="00977FB3" w:rsidRPr="001E0058" w:rsidRDefault="00977F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/>
        </w:rPr>
      </w:pPr>
      <w:r w:rsidRPr="001E0058">
        <w:rPr>
          <w:rFonts w:ascii="Times New Roman" w:hAnsi="Times New Roman"/>
          <w:lang w:val="sk-SK"/>
        </w:rPr>
        <w:t xml:space="preserve">Na perorálne použitie. </w:t>
      </w:r>
    </w:p>
    <w:p w14:paraId="3797F959" w14:textId="77777777" w:rsidR="00977FB3" w:rsidRPr="001E0058" w:rsidRDefault="00977F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/>
        </w:rPr>
      </w:pPr>
    </w:p>
    <w:p w14:paraId="5C459B47" w14:textId="086509E4" w:rsidR="00977FB3" w:rsidRPr="001E0058" w:rsidRDefault="00DB1521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Liek </w:t>
      </w:r>
      <w:r w:rsidR="00977FB3" w:rsidRPr="001E0058">
        <w:rPr>
          <w:rFonts w:ascii="Times New Roman" w:hAnsi="Times New Roman"/>
          <w:lang w:val="sk-SK"/>
        </w:rPr>
        <w:t xml:space="preserve">sa má podať ihneď po nabratí do </w:t>
      </w:r>
      <w:r>
        <w:rPr>
          <w:rFonts w:ascii="Times New Roman" w:hAnsi="Times New Roman"/>
          <w:lang w:val="sk-SK"/>
        </w:rPr>
        <w:t>perorálnej</w:t>
      </w:r>
      <w:r w:rsidRPr="001E0058">
        <w:rPr>
          <w:rFonts w:ascii="Times New Roman" w:hAnsi="Times New Roman"/>
          <w:lang w:val="sk-SK"/>
        </w:rPr>
        <w:t xml:space="preserve"> </w:t>
      </w:r>
      <w:r w:rsidR="00977FB3" w:rsidRPr="001E0058">
        <w:rPr>
          <w:rFonts w:ascii="Times New Roman" w:hAnsi="Times New Roman"/>
          <w:lang w:val="sk-SK"/>
        </w:rPr>
        <w:t>striekačky</w:t>
      </w:r>
      <w:r>
        <w:rPr>
          <w:rFonts w:ascii="Times New Roman" w:hAnsi="Times New Roman"/>
          <w:lang w:val="sk-SK"/>
        </w:rPr>
        <w:t>,</w:t>
      </w:r>
      <w:r w:rsidR="00FE436F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a</w:t>
      </w:r>
      <w:r w:rsidR="00977FB3" w:rsidRPr="001E0058">
        <w:rPr>
          <w:rFonts w:ascii="Times New Roman" w:hAnsi="Times New Roman"/>
          <w:lang w:val="sk-SK"/>
        </w:rPr>
        <w:t xml:space="preserve">k sa nepoužije, </w:t>
      </w:r>
      <w:r>
        <w:rPr>
          <w:rFonts w:ascii="Times New Roman" w:hAnsi="Times New Roman"/>
          <w:lang w:val="sk-SK"/>
        </w:rPr>
        <w:t xml:space="preserve">liek </w:t>
      </w:r>
      <w:r w:rsidR="004F329C">
        <w:rPr>
          <w:rFonts w:ascii="Times New Roman" w:hAnsi="Times New Roman"/>
          <w:lang w:val="sk-SK"/>
        </w:rPr>
        <w:t xml:space="preserve">sa </w:t>
      </w:r>
      <w:r w:rsidR="00977FB3" w:rsidRPr="001E0058">
        <w:rPr>
          <w:rFonts w:ascii="Times New Roman" w:hAnsi="Times New Roman"/>
          <w:lang w:val="sk-SK"/>
        </w:rPr>
        <w:t xml:space="preserve">má zlikvidovať. </w:t>
      </w:r>
    </w:p>
    <w:p w14:paraId="7562EBB9" w14:textId="58735D55" w:rsidR="00977FB3" w:rsidRPr="001E0058" w:rsidRDefault="00977F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/>
        </w:rPr>
      </w:pPr>
      <w:r w:rsidRPr="001E0058">
        <w:rPr>
          <w:rFonts w:ascii="Times New Roman" w:hAnsi="Times New Roman"/>
          <w:lang w:val="sk-SK"/>
        </w:rPr>
        <w:t xml:space="preserve">Nie je určený na nazálne alebo </w:t>
      </w:r>
      <w:proofErr w:type="spellStart"/>
      <w:r w:rsidR="00DB1521">
        <w:rPr>
          <w:rFonts w:ascii="Times New Roman" w:hAnsi="Times New Roman"/>
          <w:lang w:val="sk-SK"/>
        </w:rPr>
        <w:t>dermálne</w:t>
      </w:r>
      <w:proofErr w:type="spellEnd"/>
      <w:r w:rsidR="00DB1521" w:rsidRPr="001E0058">
        <w:rPr>
          <w:rFonts w:ascii="Times New Roman" w:hAnsi="Times New Roman"/>
          <w:lang w:val="sk-SK"/>
        </w:rPr>
        <w:t xml:space="preserve"> </w:t>
      </w:r>
      <w:r w:rsidRPr="001E0058">
        <w:rPr>
          <w:rFonts w:ascii="Times New Roman" w:hAnsi="Times New Roman"/>
          <w:lang w:val="sk-SK"/>
        </w:rPr>
        <w:t xml:space="preserve">podanie (lokálne </w:t>
      </w:r>
      <w:r w:rsidR="00DB1521">
        <w:rPr>
          <w:rFonts w:ascii="Times New Roman" w:hAnsi="Times New Roman"/>
          <w:lang w:val="sk-SK"/>
        </w:rPr>
        <w:t>použitie</w:t>
      </w:r>
      <w:r w:rsidRPr="001E0058">
        <w:rPr>
          <w:rFonts w:ascii="Times New Roman" w:hAnsi="Times New Roman"/>
          <w:lang w:val="sk-SK"/>
        </w:rPr>
        <w:t xml:space="preserve">). </w:t>
      </w:r>
    </w:p>
    <w:p w14:paraId="6EFA1EDA" w14:textId="77777777" w:rsidR="00977FB3" w:rsidRPr="001E0058" w:rsidRDefault="00977F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/>
        </w:rPr>
      </w:pPr>
    </w:p>
    <w:p w14:paraId="0918A5C0" w14:textId="04C9C19F" w:rsidR="00977FB3" w:rsidRPr="00336FB0" w:rsidRDefault="00977F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highlight w:val="yellow"/>
          <w:lang w:val="sk-SK"/>
        </w:rPr>
      </w:pPr>
      <w:r w:rsidRPr="001E0058">
        <w:rPr>
          <w:rFonts w:ascii="Times New Roman" w:hAnsi="Times New Roman"/>
          <w:u w:val="single"/>
          <w:lang w:val="sk-SK"/>
        </w:rPr>
        <w:t>Návod na použitie</w:t>
      </w:r>
      <w:r w:rsidRPr="001E0058">
        <w:rPr>
          <w:rFonts w:ascii="Times New Roman" w:hAnsi="Times New Roman"/>
          <w:lang w:val="sk-SK"/>
        </w:rPr>
        <w:t>:</w:t>
      </w:r>
      <w:r w:rsidR="00C225A4" w:rsidRPr="001E0058">
        <w:rPr>
          <w:rFonts w:ascii="Times New Roman" w:eastAsia="TimesNewRoman" w:hAnsi="Times New Roman"/>
          <w:highlight w:val="yellow"/>
          <w:lang w:val="sk-SK"/>
        </w:rPr>
        <w:t xml:space="preserve"> </w:t>
      </w:r>
    </w:p>
    <w:p w14:paraId="119B7C83" w14:textId="301E8759" w:rsidR="00977FB3" w:rsidRPr="001E0058" w:rsidRDefault="00DB1521" w:rsidP="00097C3B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lang w:val="sk-SK"/>
        </w:rPr>
        <w:t>Pred každým použitím fľašu i</w:t>
      </w:r>
      <w:r w:rsidR="00977FB3" w:rsidRPr="001E0058">
        <w:rPr>
          <w:rFonts w:ascii="Times New Roman" w:hAnsi="Times New Roman"/>
          <w:lang w:val="sk-SK"/>
        </w:rPr>
        <w:t>ntenzívne pretrepávajte približne 20 sekúnd, aby sa zabezpečilo, že v</w:t>
      </w:r>
      <w:r w:rsidR="000B17FF">
        <w:rPr>
          <w:rFonts w:ascii="Times New Roman" w:hAnsi="Times New Roman"/>
          <w:lang w:val="sk-SK"/>
        </w:rPr>
        <w:t xml:space="preserve">o </w:t>
      </w:r>
      <w:r w:rsidR="00977FB3" w:rsidRPr="001E0058">
        <w:rPr>
          <w:rFonts w:ascii="Times New Roman" w:hAnsi="Times New Roman"/>
          <w:lang w:val="sk-SK"/>
        </w:rPr>
        <w:t xml:space="preserve">fľaši </w:t>
      </w:r>
      <w:r w:rsidR="00C40094">
        <w:rPr>
          <w:rFonts w:ascii="Times New Roman" w:hAnsi="Times New Roman"/>
          <w:bCs/>
          <w:lang w:val="sk-SK" w:bidi="sk-SK"/>
        </w:rPr>
        <w:t>nie sú pozorovateľné žiadne</w:t>
      </w:r>
      <w:r w:rsidR="00977FB3" w:rsidRPr="001E0058">
        <w:rPr>
          <w:rFonts w:ascii="Times New Roman" w:hAnsi="Times New Roman"/>
          <w:lang w:val="sk-SK"/>
        </w:rPr>
        <w:t xml:space="preserve"> zrazeniny. Obrázok 1.</w:t>
      </w:r>
    </w:p>
    <w:p w14:paraId="15046531" w14:textId="77777777" w:rsidR="00977FB3" w:rsidRPr="001E0058" w:rsidRDefault="00977FB3" w:rsidP="00097C3B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</w:p>
    <w:p w14:paraId="64AAB3BC" w14:textId="77777777" w:rsidR="00977FB3" w:rsidRPr="001E0058" w:rsidRDefault="00977FB3" w:rsidP="00097C3B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 w:rsidRPr="001E0058">
        <w:rPr>
          <w:noProof/>
          <w:lang w:val="sk-SK" w:eastAsia="sk-SK"/>
        </w:rPr>
        <w:lastRenderedPageBreak/>
        <w:drawing>
          <wp:inline distT="0" distB="0" distL="0" distR="0" wp14:anchorId="5DE6E249" wp14:editId="7D83F6B6">
            <wp:extent cx="1714500" cy="1704975"/>
            <wp:effectExtent l="0" t="0" r="0" b="9525"/>
            <wp:docPr id="1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E1036" w14:textId="77777777" w:rsidR="00977FB3" w:rsidRPr="001E0058" w:rsidRDefault="00977FB3" w:rsidP="00097C3B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</w:p>
    <w:p w14:paraId="2D80A416" w14:textId="33238A85" w:rsidR="00977FB3" w:rsidRPr="001E0058" w:rsidRDefault="00DB1521" w:rsidP="00097C3B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lang w:val="sk-SK"/>
        </w:rPr>
        <w:t xml:space="preserve">Detský bezpečnostný </w:t>
      </w:r>
      <w:proofErr w:type="spellStart"/>
      <w:r>
        <w:rPr>
          <w:rFonts w:ascii="Times New Roman" w:hAnsi="Times New Roman"/>
          <w:lang w:val="sk-SK"/>
        </w:rPr>
        <w:t>skrutkovací</w:t>
      </w:r>
      <w:proofErr w:type="spellEnd"/>
      <w:r>
        <w:rPr>
          <w:rFonts w:ascii="Times New Roman" w:hAnsi="Times New Roman"/>
          <w:lang w:val="sk-SK"/>
        </w:rPr>
        <w:t xml:space="preserve"> uzáver</w:t>
      </w:r>
      <w:r w:rsidR="00977FB3" w:rsidRPr="001E0058">
        <w:rPr>
          <w:rFonts w:ascii="Times New Roman" w:hAnsi="Times New Roman"/>
          <w:lang w:val="sk-SK"/>
        </w:rPr>
        <w:t xml:space="preserve"> sa m</w:t>
      </w:r>
      <w:r w:rsidR="003271B4">
        <w:rPr>
          <w:rFonts w:ascii="Times New Roman" w:hAnsi="Times New Roman"/>
          <w:lang w:val="sk-SK"/>
        </w:rPr>
        <w:t>á</w:t>
      </w:r>
      <w:r w:rsidR="00977FB3" w:rsidRPr="001E0058">
        <w:rPr>
          <w:rFonts w:ascii="Times New Roman" w:hAnsi="Times New Roman"/>
          <w:lang w:val="sk-SK"/>
        </w:rPr>
        <w:t xml:space="preserve"> odstrániť pevným zatlačením a otáčaním proti smeru hodinových ručičiek. Stlačte striekačku pevne </w:t>
      </w:r>
      <w:r w:rsidR="00977FB3" w:rsidRPr="00336FB0">
        <w:rPr>
          <w:rFonts w:ascii="Times New Roman" w:hAnsi="Times New Roman"/>
          <w:lang w:val="sk-SK"/>
        </w:rPr>
        <w:t xml:space="preserve">do otvoru </w:t>
      </w:r>
      <w:r w:rsidR="00470CB5" w:rsidRPr="00336FB0">
        <w:rPr>
          <w:rFonts w:ascii="Times New Roman" w:hAnsi="Times New Roman"/>
          <w:lang w:val="sk-SK"/>
        </w:rPr>
        <w:t>uzáveru</w:t>
      </w:r>
      <w:r w:rsidR="00A5118B" w:rsidRPr="00336FB0">
        <w:rPr>
          <w:rFonts w:ascii="Times New Roman" w:hAnsi="Times New Roman"/>
          <w:lang w:val="sk-SK"/>
        </w:rPr>
        <w:t xml:space="preserve"> </w:t>
      </w:r>
      <w:r w:rsidR="00977FB3" w:rsidRPr="00336FB0">
        <w:rPr>
          <w:rFonts w:ascii="Times New Roman" w:hAnsi="Times New Roman"/>
          <w:lang w:val="sk-SK"/>
        </w:rPr>
        <w:t>v</w:t>
      </w:r>
      <w:r w:rsidR="00977FB3" w:rsidRPr="001E0058">
        <w:rPr>
          <w:rFonts w:ascii="Times New Roman" w:hAnsi="Times New Roman"/>
          <w:lang w:val="sk-SK"/>
        </w:rPr>
        <w:t xml:space="preserve"> hrdle fľaše. Obrázok 2.</w:t>
      </w:r>
    </w:p>
    <w:p w14:paraId="3B23A9DF" w14:textId="77777777" w:rsidR="00977FB3" w:rsidRPr="001E0058" w:rsidRDefault="00977FB3" w:rsidP="00097C3B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</w:p>
    <w:p w14:paraId="6238AD98" w14:textId="77777777" w:rsidR="00977FB3" w:rsidRPr="001E0058" w:rsidRDefault="00977FB3" w:rsidP="00097C3B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 w:rsidRPr="001E0058">
        <w:rPr>
          <w:noProof/>
          <w:lang w:val="sk-SK" w:eastAsia="sk-SK"/>
        </w:rPr>
        <w:drawing>
          <wp:inline distT="0" distB="0" distL="0" distR="0" wp14:anchorId="4A9CAF69" wp14:editId="78021C64">
            <wp:extent cx="1714500" cy="17430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89B67" w14:textId="77777777" w:rsidR="00977FB3" w:rsidRPr="001E0058" w:rsidRDefault="00977FB3" w:rsidP="00097C3B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</w:p>
    <w:p w14:paraId="4F1E8992" w14:textId="1B5050C9" w:rsidR="00977FB3" w:rsidRPr="001E0058" w:rsidRDefault="00977FB3" w:rsidP="00097C3B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 w:rsidRPr="001E0058">
        <w:rPr>
          <w:rFonts w:ascii="Times New Roman" w:hAnsi="Times New Roman"/>
          <w:lang w:val="sk-SK"/>
        </w:rPr>
        <w:t>Na naplnenie striekačky otočte fľašu hore dnom</w:t>
      </w:r>
      <w:r w:rsidR="002B66DC">
        <w:rPr>
          <w:rFonts w:ascii="Times New Roman" w:hAnsi="Times New Roman"/>
          <w:lang w:val="sk-SK"/>
        </w:rPr>
        <w:t>.</w:t>
      </w:r>
      <w:r w:rsidRPr="001E0058">
        <w:rPr>
          <w:rFonts w:ascii="Times New Roman" w:hAnsi="Times New Roman"/>
          <w:lang w:val="sk-SK"/>
        </w:rPr>
        <w:t xml:space="preserve"> </w:t>
      </w:r>
      <w:r w:rsidR="00F37B33">
        <w:rPr>
          <w:rFonts w:ascii="Times New Roman" w:hAnsi="Times New Roman"/>
          <w:lang w:val="sk-SK"/>
        </w:rPr>
        <w:t>Držiac s</w:t>
      </w:r>
      <w:r w:rsidR="005B2B91">
        <w:rPr>
          <w:rFonts w:ascii="Times New Roman" w:hAnsi="Times New Roman"/>
          <w:lang w:val="sk-SK"/>
        </w:rPr>
        <w:t xml:space="preserve">triekačku </w:t>
      </w:r>
      <w:r w:rsidR="00B95FD4">
        <w:rPr>
          <w:rFonts w:ascii="Times New Roman" w:hAnsi="Times New Roman"/>
          <w:lang w:val="sk-SK"/>
        </w:rPr>
        <w:t xml:space="preserve">nasadenú na </w:t>
      </w:r>
      <w:r w:rsidR="00F37B33">
        <w:rPr>
          <w:rFonts w:ascii="Times New Roman" w:hAnsi="Times New Roman"/>
          <w:lang w:val="sk-SK"/>
        </w:rPr>
        <w:t>fľaši</w:t>
      </w:r>
      <w:r w:rsidR="001F4E52">
        <w:rPr>
          <w:rFonts w:ascii="Times New Roman" w:hAnsi="Times New Roman"/>
          <w:lang w:val="sk-SK"/>
        </w:rPr>
        <w:t>,</w:t>
      </w:r>
      <w:r w:rsidR="00F37B33">
        <w:rPr>
          <w:rFonts w:ascii="Times New Roman" w:hAnsi="Times New Roman"/>
          <w:lang w:val="sk-SK"/>
        </w:rPr>
        <w:t xml:space="preserve"> </w:t>
      </w:r>
      <w:r w:rsidRPr="001E0058">
        <w:rPr>
          <w:rFonts w:ascii="Times New Roman" w:hAnsi="Times New Roman"/>
          <w:lang w:val="sk-SK"/>
        </w:rPr>
        <w:t>opatrne potiahnite piest smerom nadol a natiahnite liek po správnu značku (1 ml alebo 2 ml) na striekačke.</w:t>
      </w:r>
      <w:r w:rsidRPr="001E0058">
        <w:rPr>
          <w:lang w:val="sk-SK"/>
        </w:rPr>
        <w:t xml:space="preserve"> </w:t>
      </w:r>
      <w:r w:rsidRPr="001E0058">
        <w:rPr>
          <w:rFonts w:ascii="Times New Roman" w:hAnsi="Times New Roman"/>
          <w:lang w:val="sk-SK"/>
        </w:rPr>
        <w:t>Maximálna denná dávka 50</w:t>
      </w:r>
      <w:r w:rsidR="005B2B91">
        <w:rPr>
          <w:rFonts w:ascii="Times New Roman" w:hAnsi="Times New Roman"/>
          <w:lang w:val="sk-SK"/>
        </w:rPr>
        <w:t> </w:t>
      </w:r>
      <w:r w:rsidRPr="001E0058">
        <w:rPr>
          <w:rFonts w:ascii="Times New Roman" w:hAnsi="Times New Roman"/>
          <w:lang w:val="sk-SK"/>
        </w:rPr>
        <w:t>mg (2 ml)</w:t>
      </w:r>
      <w:r w:rsidR="00447403">
        <w:rPr>
          <w:rFonts w:ascii="Times New Roman" w:hAnsi="Times New Roman"/>
          <w:lang w:val="sk-SK"/>
        </w:rPr>
        <w:t>, ktorá je</w:t>
      </w:r>
      <w:r w:rsidRPr="001E0058">
        <w:rPr>
          <w:rFonts w:ascii="Times New Roman" w:hAnsi="Times New Roman"/>
          <w:lang w:val="sk-SK"/>
        </w:rPr>
        <w:t xml:space="preserve"> vyznačená na striekačke červenou čiarou, sa nesmie prekročiť</w:t>
      </w:r>
      <w:r w:rsidR="00254F65">
        <w:rPr>
          <w:rFonts w:ascii="Times New Roman" w:hAnsi="Times New Roman"/>
          <w:lang w:val="sk-SK"/>
        </w:rPr>
        <w:t>, ak vám lekár neodporučil inak</w:t>
      </w:r>
      <w:r w:rsidRPr="001E0058">
        <w:rPr>
          <w:rFonts w:ascii="Times New Roman" w:hAnsi="Times New Roman"/>
          <w:lang w:val="sk-SK"/>
        </w:rPr>
        <w:t>. Obrázok 3.</w:t>
      </w:r>
    </w:p>
    <w:p w14:paraId="619086FF" w14:textId="77777777" w:rsidR="00977FB3" w:rsidRPr="001E0058" w:rsidRDefault="00977FB3" w:rsidP="00097C3B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</w:p>
    <w:p w14:paraId="0097C021" w14:textId="77777777" w:rsidR="00977FB3" w:rsidRPr="001E0058" w:rsidRDefault="00977FB3" w:rsidP="00097C3B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 w:rsidRPr="001E0058">
        <w:rPr>
          <w:noProof/>
          <w:lang w:val="sk-SK" w:eastAsia="sk-SK"/>
        </w:rPr>
        <w:drawing>
          <wp:inline distT="0" distB="0" distL="0" distR="0" wp14:anchorId="040832F3" wp14:editId="49974940">
            <wp:extent cx="1724025" cy="17335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25D25" w14:textId="77777777" w:rsidR="00977FB3" w:rsidRPr="001E0058" w:rsidRDefault="00977FB3" w:rsidP="00097C3B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</w:p>
    <w:p w14:paraId="4DAC4642" w14:textId="43EFFD2D" w:rsidR="00977FB3" w:rsidRPr="00A5118B" w:rsidRDefault="00977FB3" w:rsidP="00097C3B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 w:rsidRPr="001E0058">
        <w:rPr>
          <w:rFonts w:ascii="Times New Roman" w:hAnsi="Times New Roman"/>
          <w:lang w:val="sk-SK"/>
        </w:rPr>
        <w:t xml:space="preserve">Otočte fľašu správnym smerom nahor a jemne otočte striekačkou, aby ste ju vytiahli </w:t>
      </w:r>
      <w:r w:rsidRPr="00A5118B">
        <w:rPr>
          <w:rFonts w:ascii="Times New Roman" w:hAnsi="Times New Roman"/>
          <w:lang w:val="sk-SK"/>
        </w:rPr>
        <w:t>z uzáveru fľaše. Obrázok 4.</w:t>
      </w:r>
    </w:p>
    <w:p w14:paraId="651033E8" w14:textId="77777777" w:rsidR="00977FB3" w:rsidRPr="001E0058" w:rsidRDefault="00977FB3" w:rsidP="00097C3B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lang w:val="sk-SK"/>
        </w:rPr>
      </w:pPr>
    </w:p>
    <w:p w14:paraId="39A434A2" w14:textId="77777777" w:rsidR="00977FB3" w:rsidRPr="001E0058" w:rsidRDefault="00977FB3" w:rsidP="00097C3B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 w:rsidRPr="001E0058">
        <w:rPr>
          <w:noProof/>
          <w:lang w:val="sk-SK" w:eastAsia="sk-SK"/>
        </w:rPr>
        <w:lastRenderedPageBreak/>
        <w:drawing>
          <wp:inline distT="0" distB="0" distL="0" distR="0" wp14:anchorId="4BE20633" wp14:editId="3914A639">
            <wp:extent cx="1714500" cy="17335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3ED29" w14:textId="77777777" w:rsidR="00977FB3" w:rsidRPr="001E0058" w:rsidRDefault="00977FB3" w:rsidP="00097C3B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</w:p>
    <w:p w14:paraId="3F2E3495" w14:textId="68D08887" w:rsidR="00977FB3" w:rsidRPr="001E0058" w:rsidRDefault="00977FB3" w:rsidP="00097C3B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 w:rsidRPr="001E0058">
        <w:rPr>
          <w:rFonts w:ascii="Times New Roman" w:hAnsi="Times New Roman"/>
          <w:lang w:val="sk-SK"/>
        </w:rPr>
        <w:t>Vložte koniec striekačky do úst</w:t>
      </w:r>
      <w:r w:rsidR="00254F65">
        <w:rPr>
          <w:rFonts w:ascii="Times New Roman" w:hAnsi="Times New Roman"/>
          <w:lang w:val="sk-SK"/>
        </w:rPr>
        <w:t>.</w:t>
      </w:r>
      <w:r w:rsidRPr="001E0058">
        <w:rPr>
          <w:rFonts w:ascii="Times New Roman" w:hAnsi="Times New Roman"/>
          <w:lang w:val="sk-SK"/>
        </w:rPr>
        <w:t xml:space="preserve"> Obrázok 5.</w:t>
      </w:r>
    </w:p>
    <w:p w14:paraId="6AA4072D" w14:textId="77777777" w:rsidR="00977FB3" w:rsidRPr="001E0058" w:rsidRDefault="00977FB3" w:rsidP="00097C3B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</w:p>
    <w:p w14:paraId="31B43B64" w14:textId="77777777" w:rsidR="00977FB3" w:rsidRPr="001E0058" w:rsidRDefault="00977FB3" w:rsidP="00097C3B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 w:rsidRPr="001E0058">
        <w:rPr>
          <w:noProof/>
          <w:lang w:val="sk-SK" w:eastAsia="sk-SK"/>
        </w:rPr>
        <w:drawing>
          <wp:inline distT="0" distB="0" distL="0" distR="0" wp14:anchorId="6839AE6C" wp14:editId="07E55DA6">
            <wp:extent cx="1714500" cy="17145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3056" w14:textId="77777777" w:rsidR="00977FB3" w:rsidRPr="001E0058" w:rsidRDefault="00977FB3" w:rsidP="00097C3B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</w:p>
    <w:p w14:paraId="2DE6383F" w14:textId="23129370" w:rsidR="00977FB3" w:rsidRPr="001E0058" w:rsidRDefault="00254F65" w:rsidP="00097C3B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 w:bidi="sk-SK"/>
        </w:rPr>
        <w:t>Z</w:t>
      </w:r>
      <w:r w:rsidRPr="00617635">
        <w:rPr>
          <w:rFonts w:ascii="Times New Roman" w:hAnsi="Times New Roman"/>
          <w:bCs/>
          <w:lang w:val="sk-SK" w:bidi="sk-SK"/>
        </w:rPr>
        <w:t>atlačte piest striekačky nadol,</w:t>
      </w:r>
      <w:r>
        <w:rPr>
          <w:rFonts w:ascii="Times New Roman" w:hAnsi="Times New Roman"/>
          <w:bCs/>
          <w:lang w:val="sk-SK" w:bidi="sk-SK"/>
        </w:rPr>
        <w:t xml:space="preserve"> aby liek pomaly </w:t>
      </w:r>
      <w:r w:rsidRPr="00E918D5">
        <w:rPr>
          <w:rFonts w:ascii="Times New Roman" w:hAnsi="Times New Roman"/>
          <w:bCs/>
          <w:lang w:val="sk-SK" w:bidi="sk-SK"/>
        </w:rPr>
        <w:t>a opatrne</w:t>
      </w:r>
      <w:r w:rsidRPr="009239EA">
        <w:rPr>
          <w:rFonts w:ascii="Times New Roman" w:hAnsi="Times New Roman"/>
          <w:bCs/>
          <w:lang w:val="sk-SK" w:bidi="sk-SK"/>
        </w:rPr>
        <w:t xml:space="preserve"> vytekal</w:t>
      </w:r>
      <w:r>
        <w:rPr>
          <w:rFonts w:ascii="Times New Roman" w:hAnsi="Times New Roman"/>
          <w:bCs/>
          <w:lang w:val="sk-SK" w:bidi="sk-SK"/>
        </w:rPr>
        <w:t>,</w:t>
      </w:r>
      <w:r w:rsidRPr="00E918D5">
        <w:rPr>
          <w:rFonts w:ascii="Times New Roman" w:hAnsi="Times New Roman"/>
          <w:bCs/>
          <w:lang w:val="sk-SK" w:bidi="sk-SK"/>
        </w:rPr>
        <w:t xml:space="preserve"> </w:t>
      </w:r>
      <w:r>
        <w:rPr>
          <w:rFonts w:ascii="Times New Roman" w:hAnsi="Times New Roman"/>
          <w:bCs/>
          <w:lang w:val="sk-SK" w:bidi="sk-SK"/>
        </w:rPr>
        <w:t>suspenziu podajte</w:t>
      </w:r>
      <w:r w:rsidRPr="00617635">
        <w:rPr>
          <w:rFonts w:ascii="Times New Roman" w:hAnsi="Times New Roman"/>
          <w:bCs/>
          <w:lang w:val="sk-SK" w:bidi="sk-SK"/>
        </w:rPr>
        <w:t xml:space="preserve"> na jazyk a ihneď prehltnite so slinami.</w:t>
      </w:r>
    </w:p>
    <w:p w14:paraId="74089D07" w14:textId="77777777" w:rsidR="00977FB3" w:rsidRPr="001E0058" w:rsidRDefault="00977FB3" w:rsidP="00097C3B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</w:p>
    <w:p w14:paraId="6A694D6C" w14:textId="64CC1CAC" w:rsidR="00254F65" w:rsidRDefault="00254F65" w:rsidP="00254F65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 w:rsidRPr="00617635">
        <w:rPr>
          <w:rFonts w:ascii="Times New Roman" w:hAnsi="Times New Roman"/>
          <w:bCs/>
          <w:lang w:val="sk-SK" w:bidi="sk-SK"/>
        </w:rPr>
        <w:t xml:space="preserve">Po každom použití oddeľte piest od tela striekačky a umyte obidve časti v teplej vode, nechajte ich dôkladne vysušiť a pred ďalším použitím utrite vonkajšiu časť striekačky čistou </w:t>
      </w:r>
      <w:r>
        <w:rPr>
          <w:rFonts w:ascii="Times New Roman" w:hAnsi="Times New Roman"/>
          <w:bCs/>
          <w:lang w:val="sk-SK" w:bidi="sk-SK"/>
        </w:rPr>
        <w:t>vreckovkou</w:t>
      </w:r>
      <w:r w:rsidRPr="00617635">
        <w:rPr>
          <w:rFonts w:ascii="Times New Roman" w:hAnsi="Times New Roman"/>
          <w:bCs/>
          <w:lang w:val="sk-SK" w:bidi="sk-SK"/>
        </w:rPr>
        <w:t xml:space="preserve">. Obrázky 6 a 7. </w:t>
      </w:r>
      <w:r>
        <w:rPr>
          <w:rFonts w:ascii="Times New Roman" w:hAnsi="Times New Roman"/>
          <w:bCs/>
          <w:lang w:val="sk-SK" w:bidi="sk-SK"/>
        </w:rPr>
        <w:t xml:space="preserve">Detský bezpečnostný </w:t>
      </w:r>
      <w:proofErr w:type="spellStart"/>
      <w:r>
        <w:rPr>
          <w:rFonts w:ascii="Times New Roman" w:hAnsi="Times New Roman"/>
          <w:bCs/>
          <w:lang w:val="sk-SK" w:bidi="sk-SK"/>
        </w:rPr>
        <w:t>skrutkovací</w:t>
      </w:r>
      <w:proofErr w:type="spellEnd"/>
      <w:r>
        <w:rPr>
          <w:rFonts w:ascii="Times New Roman" w:hAnsi="Times New Roman"/>
          <w:bCs/>
          <w:lang w:val="sk-SK" w:bidi="sk-SK"/>
        </w:rPr>
        <w:t xml:space="preserve"> uzáver</w:t>
      </w:r>
      <w:r w:rsidRPr="00617635">
        <w:rPr>
          <w:rFonts w:ascii="Times New Roman" w:hAnsi="Times New Roman"/>
          <w:bCs/>
          <w:lang w:val="sk-SK" w:bidi="sk-SK"/>
        </w:rPr>
        <w:t xml:space="preserve"> je potrebné </w:t>
      </w:r>
      <w:r>
        <w:rPr>
          <w:rFonts w:ascii="Times New Roman" w:hAnsi="Times New Roman"/>
          <w:bCs/>
          <w:lang w:val="sk-SK" w:bidi="sk-SK"/>
        </w:rPr>
        <w:t>nasadiť</w:t>
      </w:r>
      <w:r w:rsidRPr="00617635">
        <w:rPr>
          <w:rFonts w:ascii="Times New Roman" w:hAnsi="Times New Roman"/>
          <w:bCs/>
          <w:lang w:val="sk-SK" w:bidi="sk-SK"/>
        </w:rPr>
        <w:t xml:space="preserve"> na fľašu a po použití ju uzavrieť.</w:t>
      </w:r>
    </w:p>
    <w:p w14:paraId="1E9E3360" w14:textId="77777777" w:rsidR="00977FB3" w:rsidRPr="001E0058" w:rsidRDefault="00977FB3" w:rsidP="00097C3B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</w:p>
    <w:p w14:paraId="3625A991" w14:textId="77777777" w:rsidR="00977FB3" w:rsidRPr="001E0058" w:rsidRDefault="00977FB3" w:rsidP="00097C3B">
      <w:pPr>
        <w:pStyle w:val="Odsekzoznamu"/>
        <w:tabs>
          <w:tab w:val="left" w:pos="5103"/>
        </w:tabs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 w:rsidRPr="001E0058">
        <w:rPr>
          <w:noProof/>
          <w:lang w:val="sk-SK" w:eastAsia="sk-SK"/>
        </w:rPr>
        <w:drawing>
          <wp:inline distT="0" distB="0" distL="0" distR="0" wp14:anchorId="054658D0" wp14:editId="76C9DD2E">
            <wp:extent cx="1714500" cy="17145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0058">
        <w:rPr>
          <w:rFonts w:ascii="Times New Roman" w:hAnsi="Times New Roman"/>
          <w:bCs/>
          <w:lang w:val="sk-SK"/>
        </w:rPr>
        <w:tab/>
      </w:r>
      <w:r w:rsidRPr="001E0058">
        <w:rPr>
          <w:noProof/>
          <w:lang w:val="sk-SK" w:eastAsia="sk-SK"/>
        </w:rPr>
        <w:drawing>
          <wp:inline distT="0" distB="0" distL="0" distR="0" wp14:anchorId="393721B3" wp14:editId="1314B0C3">
            <wp:extent cx="1714500" cy="17145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9E5A7" w14:textId="6CC9F3E9" w:rsidR="00505F97" w:rsidRPr="001E0058" w:rsidRDefault="00DF35D0" w:rsidP="00097C3B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 w:rsidRPr="001E0058">
        <w:rPr>
          <w:rFonts w:ascii="Times New Roman" w:hAnsi="Times New Roman"/>
          <w:bCs/>
          <w:lang w:val="sk-SK"/>
        </w:rPr>
        <w:tab/>
      </w:r>
      <w:r w:rsidRPr="001E0058">
        <w:rPr>
          <w:rFonts w:ascii="Times New Roman" w:hAnsi="Times New Roman"/>
          <w:bCs/>
          <w:lang w:val="sk-SK"/>
        </w:rPr>
        <w:tab/>
      </w:r>
      <w:r w:rsidR="007B120D" w:rsidRPr="001E0058">
        <w:rPr>
          <w:rFonts w:ascii="Times New Roman" w:hAnsi="Times New Roman"/>
          <w:bCs/>
          <w:lang w:val="sk-SK"/>
        </w:rPr>
        <w:t xml:space="preserve">                                         </w:t>
      </w:r>
    </w:p>
    <w:p w14:paraId="29716FF4" w14:textId="154645E2" w:rsidR="00354CF4" w:rsidRPr="001E0058" w:rsidRDefault="00354CF4" w:rsidP="00097C3B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</w:p>
    <w:p w14:paraId="47B00249" w14:textId="434AFFF6" w:rsidR="007B120D" w:rsidRPr="001E0058" w:rsidRDefault="002F333D" w:rsidP="00097C3B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 w:rsidRPr="001E0058">
        <w:rPr>
          <w:rFonts w:ascii="Times New Roman" w:hAnsi="Times New Roman"/>
          <w:bCs/>
          <w:lang w:val="sk-SK" w:bidi="sk-SK"/>
        </w:rPr>
        <w:t>Tento liek uchovávajte mimo dohľadu a dosahu detí.</w:t>
      </w:r>
    </w:p>
    <w:bookmarkEnd w:id="3"/>
    <w:p w14:paraId="07027C07" w14:textId="5FF1089C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u w:val="single"/>
          <w:lang w:val="sk-SK"/>
        </w:rPr>
      </w:pPr>
    </w:p>
    <w:p w14:paraId="055CCECC" w14:textId="4EE8C8CF" w:rsidR="00B76076" w:rsidRDefault="00B76076" w:rsidP="00097C3B">
      <w:p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1E0058">
        <w:rPr>
          <w:rFonts w:ascii="Times New Roman" w:eastAsia="TimesNewRoman,Bold" w:hAnsi="Times New Roman"/>
          <w:b/>
          <w:bCs/>
          <w:lang w:val="sk-SK"/>
        </w:rPr>
        <w:t>4.3</w:t>
      </w:r>
      <w:r w:rsidR="00D96FEE">
        <w:rPr>
          <w:rFonts w:ascii="Times New Roman" w:eastAsia="TimesNewRoman,Bold" w:hAnsi="Times New Roman"/>
          <w:b/>
          <w:bCs/>
          <w:lang w:val="sk-SK"/>
        </w:rPr>
        <w:tab/>
      </w:r>
      <w:r w:rsidR="007D4F04" w:rsidRPr="001E0058">
        <w:rPr>
          <w:rFonts w:ascii="Times New Roman" w:eastAsia="TimesNewRoman,Bold" w:hAnsi="Times New Roman"/>
          <w:b/>
          <w:bCs/>
          <w:lang w:val="sk-SK"/>
        </w:rPr>
        <w:t>Kontraindikácie</w:t>
      </w:r>
    </w:p>
    <w:p w14:paraId="1D9C27EB" w14:textId="77777777" w:rsidR="001000AC" w:rsidRPr="001E0058" w:rsidRDefault="001000AC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4F38BBC1" w14:textId="18DD3038" w:rsidR="00B76076" w:rsidRPr="001E0058" w:rsidRDefault="00D44035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Precitlivenosť na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alebo na ktorúkoľvek z pomocných látok uvedených v časti 6.1.</w:t>
      </w:r>
    </w:p>
    <w:p w14:paraId="4E87B733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61462D2C" w14:textId="536C7BCC" w:rsidR="00B76076" w:rsidRPr="001E0058" w:rsidRDefault="00D44035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V súlade so známym účinkom na metabolickú cestu oxidu </w:t>
      </w:r>
      <w:proofErr w:type="spellStart"/>
      <w:r w:rsidRPr="001E0058">
        <w:rPr>
          <w:rFonts w:ascii="Times New Roman" w:eastAsia="TimesNewRoman" w:hAnsi="Times New Roman"/>
          <w:lang w:val="sk-SK"/>
        </w:rPr>
        <w:t>dusnatého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/cyklického </w:t>
      </w:r>
      <w:proofErr w:type="spellStart"/>
      <w:r w:rsidRPr="001E0058">
        <w:rPr>
          <w:rFonts w:ascii="Times New Roman" w:eastAsia="TimesNewRoman" w:hAnsi="Times New Roman"/>
          <w:lang w:val="sk-SK"/>
        </w:rPr>
        <w:t>guanozínmonofosfátu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</w:t>
      </w:r>
      <w:proofErr w:type="spellStart"/>
      <w:r w:rsidRPr="001E0058">
        <w:rPr>
          <w:rFonts w:ascii="Times New Roman" w:eastAsia="TimesNewRoman" w:hAnsi="Times New Roman"/>
          <w:lang w:val="sk-SK"/>
        </w:rPr>
        <w:t>cGMP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) (pozri časť 5.1) sa preukázalo, že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FB5BF6">
        <w:rPr>
          <w:rFonts w:ascii="Times New Roman" w:eastAsia="TimesNewRoman" w:hAnsi="Times New Roman"/>
          <w:lang w:val="sk-SK"/>
        </w:rPr>
        <w:t>zosilňuje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hypotenzívny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lastRenderedPageBreak/>
        <w:t xml:space="preserve">účinok nitrátov, a preto jeho podanie spolu s </w:t>
      </w:r>
      <w:proofErr w:type="spellStart"/>
      <w:r w:rsidRPr="001E0058">
        <w:rPr>
          <w:rFonts w:ascii="Times New Roman" w:eastAsia="TimesNewRoman" w:hAnsi="Times New Roman"/>
          <w:lang w:val="sk-SK"/>
        </w:rPr>
        <w:t>donormi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oxidu </w:t>
      </w:r>
      <w:proofErr w:type="spellStart"/>
      <w:r w:rsidRPr="001E0058">
        <w:rPr>
          <w:rFonts w:ascii="Times New Roman" w:eastAsia="TimesNewRoman" w:hAnsi="Times New Roman"/>
          <w:lang w:val="sk-SK"/>
        </w:rPr>
        <w:t>dusnatého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(ako je </w:t>
      </w:r>
      <w:proofErr w:type="spellStart"/>
      <w:r w:rsidRPr="001E0058">
        <w:rPr>
          <w:rFonts w:ascii="Times New Roman" w:eastAsia="TimesNewRoman" w:hAnsi="Times New Roman"/>
          <w:lang w:val="sk-SK"/>
        </w:rPr>
        <w:t>amylnitrit</w:t>
      </w:r>
      <w:proofErr w:type="spellEnd"/>
      <w:r w:rsidRPr="001E0058">
        <w:rPr>
          <w:rFonts w:ascii="Times New Roman" w:eastAsia="TimesNewRoman" w:hAnsi="Times New Roman"/>
          <w:lang w:val="sk-SK"/>
        </w:rPr>
        <w:t>) alebo nitrátmi v akejkoľvek forme je kontraindikované.</w:t>
      </w:r>
    </w:p>
    <w:p w14:paraId="07CB33B6" w14:textId="77777777" w:rsidR="00D44035" w:rsidRPr="001E0058" w:rsidRDefault="00D44035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4F24D6EB" w14:textId="660505B8" w:rsidR="000C45A3" w:rsidRPr="001E0058" w:rsidRDefault="00254F65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>L</w:t>
      </w:r>
      <w:r>
        <w:rPr>
          <w:rFonts w:ascii="Times New Roman" w:eastAsia="TimesNewRoman" w:hAnsi="Times New Roman"/>
          <w:lang w:val="sk-SK"/>
        </w:rPr>
        <w:t>iečivá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0C45A3" w:rsidRPr="001E0058">
        <w:rPr>
          <w:rFonts w:ascii="Times New Roman" w:eastAsia="TimesNewRoman" w:hAnsi="Times New Roman"/>
          <w:lang w:val="sk-SK"/>
        </w:rPr>
        <w:t xml:space="preserve">určené na liečbu </w:t>
      </w:r>
      <w:proofErr w:type="spellStart"/>
      <w:r w:rsidR="000C45A3" w:rsidRPr="001E0058">
        <w:rPr>
          <w:rFonts w:ascii="Times New Roman" w:eastAsia="TimesNewRoman" w:hAnsi="Times New Roman"/>
          <w:lang w:val="sk-SK"/>
        </w:rPr>
        <w:t>erektilnej</w:t>
      </w:r>
      <w:proofErr w:type="spellEnd"/>
      <w:r w:rsidR="000C45A3" w:rsidRPr="001E0058">
        <w:rPr>
          <w:rFonts w:ascii="Times New Roman" w:eastAsia="TimesNewRoman" w:hAnsi="Times New Roman"/>
          <w:lang w:val="sk-SK"/>
        </w:rPr>
        <w:t xml:space="preserve"> dysfunkcie</w:t>
      </w:r>
      <w:r w:rsidR="00BF1F92">
        <w:rPr>
          <w:rFonts w:ascii="Times New Roman" w:eastAsia="TimesNewRoman" w:hAnsi="Times New Roman"/>
          <w:lang w:val="sk-SK"/>
        </w:rPr>
        <w:t>,</w:t>
      </w:r>
      <w:r w:rsidR="000C45A3" w:rsidRPr="001E0058">
        <w:rPr>
          <w:rFonts w:ascii="Times New Roman" w:eastAsia="TimesNewRoman" w:hAnsi="Times New Roman"/>
          <w:lang w:val="sk-SK"/>
        </w:rPr>
        <w:t xml:space="preserve"> vrátane </w:t>
      </w:r>
      <w:proofErr w:type="spellStart"/>
      <w:r w:rsidR="000C45A3"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="00BF1F92">
        <w:rPr>
          <w:rFonts w:ascii="Times New Roman" w:eastAsia="TimesNewRoman" w:hAnsi="Times New Roman"/>
          <w:lang w:val="sk-SK"/>
        </w:rPr>
        <w:t>,</w:t>
      </w:r>
      <w:r w:rsidR="000C45A3" w:rsidRPr="001E0058">
        <w:rPr>
          <w:rFonts w:ascii="Times New Roman" w:eastAsia="TimesNewRoman" w:hAnsi="Times New Roman"/>
          <w:lang w:val="sk-SK"/>
        </w:rPr>
        <w:t xml:space="preserve"> nemajú používať muži, u ktorých sa sexuálna aktivita neodporúča (napr. pacienti s ťažkými kardiovaskulárnymi poruchami, ako </w:t>
      </w:r>
      <w:r w:rsidR="00745107">
        <w:rPr>
          <w:rFonts w:ascii="Times New Roman" w:eastAsia="TimesNewRoman" w:hAnsi="Times New Roman"/>
          <w:lang w:val="sk-SK"/>
        </w:rPr>
        <w:t xml:space="preserve">je </w:t>
      </w:r>
      <w:r w:rsidR="000C45A3" w:rsidRPr="001E0058">
        <w:rPr>
          <w:rFonts w:ascii="Times New Roman" w:eastAsia="TimesNewRoman" w:hAnsi="Times New Roman"/>
          <w:lang w:val="sk-SK"/>
        </w:rPr>
        <w:t xml:space="preserve">nestabilná </w:t>
      </w:r>
      <w:proofErr w:type="spellStart"/>
      <w:r w:rsidR="000C45A3" w:rsidRPr="00097C3B">
        <w:rPr>
          <w:rFonts w:ascii="Times New Roman" w:eastAsia="TimesNewRoman" w:hAnsi="Times New Roman"/>
          <w:i/>
          <w:lang w:val="sk-SK"/>
        </w:rPr>
        <w:t>angina</w:t>
      </w:r>
      <w:proofErr w:type="spellEnd"/>
      <w:r w:rsidR="000C45A3" w:rsidRPr="00097C3B">
        <w:rPr>
          <w:rFonts w:ascii="Times New Roman" w:eastAsia="TimesNewRoman" w:hAnsi="Times New Roman"/>
          <w:i/>
          <w:lang w:val="sk-SK"/>
        </w:rPr>
        <w:t xml:space="preserve"> </w:t>
      </w:r>
      <w:proofErr w:type="spellStart"/>
      <w:r w:rsidR="000C45A3" w:rsidRPr="00097C3B">
        <w:rPr>
          <w:rFonts w:ascii="Times New Roman" w:eastAsia="TimesNewRoman" w:hAnsi="Times New Roman"/>
          <w:i/>
          <w:lang w:val="sk-SK"/>
        </w:rPr>
        <w:t>pectoris</w:t>
      </w:r>
      <w:proofErr w:type="spellEnd"/>
      <w:r w:rsidR="000C45A3" w:rsidRPr="001E0058">
        <w:rPr>
          <w:rFonts w:ascii="Times New Roman" w:eastAsia="TimesNewRoman" w:hAnsi="Times New Roman"/>
          <w:lang w:val="sk-SK"/>
        </w:rPr>
        <w:t xml:space="preserve"> alebo </w:t>
      </w:r>
      <w:r w:rsidRPr="00C83A70">
        <w:rPr>
          <w:rFonts w:ascii="Times New Roman" w:eastAsia="TimesNewRoman" w:hAnsi="Times New Roman"/>
          <w:lang w:val="sk-SK"/>
        </w:rPr>
        <w:t xml:space="preserve">závažné </w:t>
      </w:r>
      <w:r w:rsidR="000C45A3" w:rsidRPr="00C83A70">
        <w:rPr>
          <w:rFonts w:ascii="Times New Roman" w:eastAsia="TimesNewRoman" w:hAnsi="Times New Roman"/>
          <w:lang w:val="sk-SK"/>
        </w:rPr>
        <w:t>zlyh</w:t>
      </w:r>
      <w:r w:rsidR="00336FB0" w:rsidRPr="00C83A70">
        <w:rPr>
          <w:rFonts w:ascii="Times New Roman" w:eastAsia="TimesNewRoman" w:hAnsi="Times New Roman"/>
          <w:lang w:val="sk-SK"/>
        </w:rPr>
        <w:t>ávanie</w:t>
      </w:r>
      <w:r w:rsidRPr="00C83A70">
        <w:rPr>
          <w:rFonts w:ascii="Times New Roman" w:eastAsia="TimesNewRoman" w:hAnsi="Times New Roman"/>
          <w:lang w:val="sk-SK"/>
        </w:rPr>
        <w:t xml:space="preserve"> srdca</w:t>
      </w:r>
      <w:r w:rsidR="000C45A3" w:rsidRPr="001E0058">
        <w:rPr>
          <w:rFonts w:ascii="Times New Roman" w:eastAsia="TimesNewRoman" w:hAnsi="Times New Roman"/>
          <w:lang w:val="sk-SK"/>
        </w:rPr>
        <w:t>).</w:t>
      </w:r>
    </w:p>
    <w:p w14:paraId="5355D2E1" w14:textId="77777777" w:rsidR="000C45A3" w:rsidRPr="001E0058" w:rsidRDefault="000C45A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E87F5F4" w14:textId="59477C0A" w:rsidR="000C45A3" w:rsidRPr="001E0058" w:rsidRDefault="000C45A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1E0058">
        <w:rPr>
          <w:rFonts w:ascii="Times New Roman" w:eastAsia="TimesNewRoman" w:hAnsi="Times New Roman"/>
          <w:lang w:val="sk-SK"/>
        </w:rPr>
        <w:t>Azurvig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je kontraindikovan</w:t>
      </w:r>
      <w:r w:rsidR="00E038BC" w:rsidRPr="001E0058">
        <w:rPr>
          <w:rFonts w:ascii="Times New Roman" w:eastAsia="TimesNewRoman" w:hAnsi="Times New Roman"/>
          <w:lang w:val="sk-SK"/>
        </w:rPr>
        <w:t>ý</w:t>
      </w:r>
      <w:r w:rsidRPr="001E0058">
        <w:rPr>
          <w:rFonts w:ascii="Times New Roman" w:eastAsia="TimesNewRoman" w:hAnsi="Times New Roman"/>
          <w:lang w:val="sk-SK"/>
        </w:rPr>
        <w:t xml:space="preserve"> paciento</w:t>
      </w:r>
      <w:r w:rsidR="00254F65">
        <w:rPr>
          <w:rFonts w:ascii="Times New Roman" w:eastAsia="TimesNewRoman" w:hAnsi="Times New Roman"/>
          <w:lang w:val="sk-SK"/>
        </w:rPr>
        <w:t>m</w:t>
      </w:r>
      <w:r w:rsidRPr="001E0058">
        <w:rPr>
          <w:rFonts w:ascii="Times New Roman" w:eastAsia="TimesNewRoman" w:hAnsi="Times New Roman"/>
          <w:lang w:val="sk-SK"/>
        </w:rPr>
        <w:t xml:space="preserve">, ktorí majú stratu videnia v jednom oku v dôsledku </w:t>
      </w:r>
      <w:proofErr w:type="spellStart"/>
      <w:r w:rsidRPr="001E0058">
        <w:rPr>
          <w:rFonts w:ascii="Times New Roman" w:eastAsia="TimesNewRoman" w:hAnsi="Times New Roman"/>
          <w:lang w:val="sk-SK"/>
        </w:rPr>
        <w:t>nearteritickej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prednej ischemickej </w:t>
      </w:r>
      <w:proofErr w:type="spellStart"/>
      <w:r w:rsidRPr="001E0058">
        <w:rPr>
          <w:rFonts w:ascii="Times New Roman" w:eastAsia="TimesNewRoman" w:hAnsi="Times New Roman"/>
          <w:lang w:val="sk-SK"/>
        </w:rPr>
        <w:t>neuropatie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zrakového nervu (</w:t>
      </w:r>
      <w:proofErr w:type="spellStart"/>
      <w:r w:rsidRPr="001E0058">
        <w:rPr>
          <w:rFonts w:ascii="Times New Roman" w:eastAsia="TimesNewRoman" w:hAnsi="Times New Roman"/>
          <w:lang w:val="sk-SK"/>
        </w:rPr>
        <w:t>non-arteritic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anterior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ischaemic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optic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neuropathy</w:t>
      </w:r>
      <w:proofErr w:type="spellEnd"/>
      <w:r w:rsidRPr="001E0058">
        <w:rPr>
          <w:rFonts w:ascii="Times New Roman" w:eastAsia="TimesNewRoman" w:hAnsi="Times New Roman"/>
          <w:lang w:val="sk-SK"/>
        </w:rPr>
        <w:t>, NAION) bez ohľadu na to, či táto príhoda súvisela alebo nesúvisela s predchádzajúcou expozíciou inhibítoru PDE5 (pozri časť 4.4).</w:t>
      </w:r>
    </w:p>
    <w:p w14:paraId="60F360EA" w14:textId="77777777" w:rsidR="000C45A3" w:rsidRPr="001E0058" w:rsidRDefault="000C45A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05BF951E" w14:textId="513F36E1" w:rsidR="00B76076" w:rsidRPr="001E0058" w:rsidRDefault="000C45A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Bezpečnosť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sa ne</w:t>
      </w:r>
      <w:r w:rsidR="004E4E8D">
        <w:rPr>
          <w:rFonts w:ascii="Times New Roman" w:eastAsia="TimesNewRoman" w:hAnsi="Times New Roman"/>
          <w:lang w:val="sk-SK"/>
        </w:rPr>
        <w:t>skúmala v</w:t>
      </w:r>
      <w:r w:rsidRPr="001E0058">
        <w:rPr>
          <w:rFonts w:ascii="Times New Roman" w:eastAsia="TimesNewRoman" w:hAnsi="Times New Roman"/>
          <w:lang w:val="sk-SK"/>
        </w:rPr>
        <w:t xml:space="preserve"> nasledujúcich podskup</w:t>
      </w:r>
      <w:r w:rsidR="004E4E8D">
        <w:rPr>
          <w:rFonts w:ascii="Times New Roman" w:eastAsia="TimesNewRoman" w:hAnsi="Times New Roman"/>
          <w:lang w:val="sk-SK"/>
        </w:rPr>
        <w:t xml:space="preserve">inách </w:t>
      </w:r>
      <w:r w:rsidRPr="001E0058">
        <w:rPr>
          <w:rFonts w:ascii="Times New Roman" w:eastAsia="TimesNewRoman" w:hAnsi="Times New Roman"/>
          <w:lang w:val="sk-SK"/>
        </w:rPr>
        <w:t>pacientov, a preto je</w:t>
      </w:r>
      <w:r w:rsidR="00254F65">
        <w:rPr>
          <w:rFonts w:ascii="Times New Roman" w:eastAsia="TimesNewRoman" w:hAnsi="Times New Roman"/>
          <w:lang w:val="sk-SK"/>
        </w:rPr>
        <w:t xml:space="preserve"> jeho</w:t>
      </w:r>
      <w:r w:rsidRPr="001E0058">
        <w:rPr>
          <w:rFonts w:ascii="Times New Roman" w:eastAsia="TimesNewRoman" w:hAnsi="Times New Roman"/>
          <w:lang w:val="sk-SK"/>
        </w:rPr>
        <w:t xml:space="preserve"> použitie tý</w:t>
      </w:r>
      <w:r w:rsidR="00254F65">
        <w:rPr>
          <w:rFonts w:ascii="Times New Roman" w:eastAsia="TimesNewRoman" w:hAnsi="Times New Roman"/>
          <w:lang w:val="sk-SK"/>
        </w:rPr>
        <w:t>mto</w:t>
      </w:r>
      <w:r w:rsidRPr="001E0058">
        <w:rPr>
          <w:rFonts w:ascii="Times New Roman" w:eastAsia="TimesNewRoman" w:hAnsi="Times New Roman"/>
          <w:lang w:val="sk-SK"/>
        </w:rPr>
        <w:t xml:space="preserve"> paciento</w:t>
      </w:r>
      <w:r w:rsidR="00254F65">
        <w:rPr>
          <w:rFonts w:ascii="Times New Roman" w:eastAsia="TimesNewRoman" w:hAnsi="Times New Roman"/>
          <w:lang w:val="sk-SK"/>
        </w:rPr>
        <w:t>m</w:t>
      </w:r>
      <w:r w:rsidRPr="001E0058">
        <w:rPr>
          <w:rFonts w:ascii="Times New Roman" w:eastAsia="TimesNewRoman" w:hAnsi="Times New Roman"/>
          <w:lang w:val="sk-SK"/>
        </w:rPr>
        <w:t xml:space="preserve"> kontraindikované: ťažk</w:t>
      </w:r>
      <w:r w:rsidR="00254F65">
        <w:rPr>
          <w:rFonts w:ascii="Times New Roman" w:eastAsia="TimesNewRoman" w:hAnsi="Times New Roman"/>
          <w:lang w:val="sk-SK"/>
        </w:rPr>
        <w:t>á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254F65">
        <w:rPr>
          <w:rFonts w:ascii="Times New Roman" w:eastAsia="TimesNewRoman" w:hAnsi="Times New Roman"/>
          <w:lang w:val="sk-SK"/>
        </w:rPr>
        <w:t>porucha</w:t>
      </w:r>
      <w:r w:rsidR="00254F65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funkcie pečene, hypotenzia (krvný</w:t>
      </w:r>
      <w:r w:rsidR="00AC20A6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tlak &lt;</w:t>
      </w:r>
      <w:r w:rsidR="006475EA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90/50</w:t>
      </w:r>
      <w:r w:rsidR="00BF1F92">
        <w:rPr>
          <w:rFonts w:ascii="Times New Roman" w:eastAsia="TimesNewRoman" w:hAnsi="Times New Roman"/>
          <w:lang w:val="sk-SK"/>
        </w:rPr>
        <w:t> </w:t>
      </w:r>
      <w:proofErr w:type="spellStart"/>
      <w:r w:rsidRPr="001E0058">
        <w:rPr>
          <w:rFonts w:ascii="Times New Roman" w:eastAsia="TimesNewRoman" w:hAnsi="Times New Roman"/>
          <w:lang w:val="sk-SK"/>
        </w:rPr>
        <w:t>mmHg</w:t>
      </w:r>
      <w:proofErr w:type="spellEnd"/>
      <w:r w:rsidRPr="001E0058">
        <w:rPr>
          <w:rFonts w:ascii="Times New Roman" w:eastAsia="TimesNewRoman" w:hAnsi="Times New Roman"/>
          <w:lang w:val="sk-SK"/>
        </w:rPr>
        <w:t>), nedávno prekonan</w:t>
      </w:r>
      <w:r w:rsidR="006475EA">
        <w:rPr>
          <w:rFonts w:ascii="Times New Roman" w:eastAsia="TimesNewRoman" w:hAnsi="Times New Roman"/>
          <w:lang w:val="sk-SK"/>
        </w:rPr>
        <w:t>á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6475EA" w:rsidRPr="001E0058">
        <w:rPr>
          <w:rFonts w:ascii="Times New Roman" w:eastAsia="TimesNewRoman" w:hAnsi="Times New Roman"/>
          <w:lang w:val="sk-SK"/>
        </w:rPr>
        <w:t xml:space="preserve">náhla cievna mozgová príhoda alebo </w:t>
      </w:r>
      <w:r w:rsidRPr="001E0058">
        <w:rPr>
          <w:rFonts w:ascii="Times New Roman" w:eastAsia="TimesNewRoman" w:hAnsi="Times New Roman"/>
          <w:lang w:val="sk-SK"/>
        </w:rPr>
        <w:t>infarkt myokardu</w:t>
      </w:r>
      <w:r w:rsidR="006475EA">
        <w:rPr>
          <w:rFonts w:ascii="Times New Roman" w:eastAsia="TimesNewRoman" w:hAnsi="Times New Roman"/>
          <w:lang w:val="sk-SK"/>
        </w:rPr>
        <w:t xml:space="preserve"> a známe </w:t>
      </w:r>
      <w:r w:rsidR="00862EAC">
        <w:rPr>
          <w:rFonts w:ascii="Times New Roman" w:eastAsia="TimesNewRoman" w:hAnsi="Times New Roman"/>
          <w:lang w:val="sk-SK"/>
        </w:rPr>
        <w:t>dedičné</w:t>
      </w:r>
      <w:r w:rsidRPr="001E0058">
        <w:rPr>
          <w:rFonts w:ascii="Times New Roman" w:eastAsia="TimesNewRoman" w:hAnsi="Times New Roman"/>
          <w:lang w:val="sk-SK"/>
        </w:rPr>
        <w:t xml:space="preserve"> degeneratívne ochorenia </w:t>
      </w:r>
      <w:proofErr w:type="spellStart"/>
      <w:r w:rsidRPr="001E0058">
        <w:rPr>
          <w:rFonts w:ascii="Times New Roman" w:eastAsia="TimesNewRoman" w:hAnsi="Times New Roman"/>
          <w:lang w:val="sk-SK"/>
        </w:rPr>
        <w:t>retiny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ako </w:t>
      </w:r>
      <w:r w:rsidR="006475EA">
        <w:rPr>
          <w:rFonts w:ascii="Times New Roman" w:eastAsia="TimesNewRoman" w:hAnsi="Times New Roman"/>
          <w:lang w:val="sk-SK"/>
        </w:rPr>
        <w:t>je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097C3B">
        <w:rPr>
          <w:rFonts w:ascii="Times New Roman" w:eastAsia="TimesNewRoman" w:hAnsi="Times New Roman"/>
          <w:i/>
          <w:lang w:val="sk-SK"/>
        </w:rPr>
        <w:t>retinitis</w:t>
      </w:r>
      <w:proofErr w:type="spellEnd"/>
      <w:r w:rsidRPr="00097C3B">
        <w:rPr>
          <w:rFonts w:ascii="Times New Roman" w:eastAsia="TimesNewRoman" w:hAnsi="Times New Roman"/>
          <w:i/>
          <w:lang w:val="sk-SK"/>
        </w:rPr>
        <w:t xml:space="preserve"> </w:t>
      </w:r>
      <w:proofErr w:type="spellStart"/>
      <w:r w:rsidRPr="00097C3B">
        <w:rPr>
          <w:rFonts w:ascii="Times New Roman" w:eastAsia="TimesNewRoman" w:hAnsi="Times New Roman"/>
          <w:i/>
          <w:lang w:val="sk-SK"/>
        </w:rPr>
        <w:t>pigmentosa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(menši</w:t>
      </w:r>
      <w:r w:rsidR="006475EA">
        <w:rPr>
          <w:rFonts w:ascii="Times New Roman" w:eastAsia="TimesNewRoman" w:hAnsi="Times New Roman"/>
          <w:lang w:val="sk-SK"/>
        </w:rPr>
        <w:t xml:space="preserve">a časť </w:t>
      </w:r>
      <w:r w:rsidRPr="001E0058">
        <w:rPr>
          <w:rFonts w:ascii="Times New Roman" w:eastAsia="TimesNewRoman" w:hAnsi="Times New Roman"/>
          <w:lang w:val="sk-SK"/>
        </w:rPr>
        <w:t>týchto pacientov</w:t>
      </w:r>
      <w:r w:rsidR="00AC20A6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má genetickú poruchu </w:t>
      </w:r>
      <w:proofErr w:type="spellStart"/>
      <w:r w:rsidRPr="001E0058">
        <w:rPr>
          <w:rFonts w:ascii="Times New Roman" w:eastAsia="TimesNewRoman" w:hAnsi="Times New Roman"/>
          <w:lang w:val="sk-SK"/>
        </w:rPr>
        <w:t>retinálnej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fosfodiesterázy</w:t>
      </w:r>
      <w:proofErr w:type="spellEnd"/>
      <w:r w:rsidRPr="001E0058">
        <w:rPr>
          <w:rFonts w:ascii="Times New Roman" w:eastAsia="TimesNewRoman" w:hAnsi="Times New Roman"/>
          <w:lang w:val="sk-SK"/>
        </w:rPr>
        <w:t>).</w:t>
      </w:r>
    </w:p>
    <w:p w14:paraId="75206D68" w14:textId="77777777" w:rsidR="007C27B0" w:rsidRPr="001E0058" w:rsidRDefault="007C27B0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lang w:val="sk-SK"/>
        </w:rPr>
      </w:pPr>
    </w:p>
    <w:p w14:paraId="7812156E" w14:textId="2B4F6097" w:rsidR="007C27B0" w:rsidRPr="001E0058" w:rsidRDefault="000C45A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Cs/>
          <w:lang w:val="sk-SK"/>
        </w:rPr>
      </w:pPr>
      <w:r w:rsidRPr="001E0058">
        <w:rPr>
          <w:rFonts w:ascii="Times New Roman" w:eastAsia="TimesNewRoman,Bold" w:hAnsi="Times New Roman"/>
          <w:iCs/>
          <w:lang w:val="sk-SK"/>
        </w:rPr>
        <w:t xml:space="preserve">Súbežné podanie PDE5 inhibítorov, vrátane </w:t>
      </w:r>
      <w:proofErr w:type="spellStart"/>
      <w:r w:rsidRPr="001E0058">
        <w:rPr>
          <w:rFonts w:ascii="Times New Roman" w:eastAsia="TimesNewRoman,Bold" w:hAnsi="Times New Roman"/>
          <w:iCs/>
          <w:lang w:val="sk-SK"/>
        </w:rPr>
        <w:t>sildenafilu</w:t>
      </w:r>
      <w:proofErr w:type="spellEnd"/>
      <w:r w:rsidRPr="001E0058">
        <w:rPr>
          <w:rFonts w:ascii="Times New Roman" w:eastAsia="TimesNewRoman,Bold" w:hAnsi="Times New Roman"/>
          <w:iCs/>
          <w:lang w:val="sk-SK"/>
        </w:rPr>
        <w:t xml:space="preserve">, s </w:t>
      </w:r>
      <w:proofErr w:type="spellStart"/>
      <w:r w:rsidR="00254F65" w:rsidRPr="00097C3B">
        <w:rPr>
          <w:rFonts w:ascii="Times New Roman" w:eastAsia="TimesNewRoman,Bold" w:hAnsi="Times New Roman"/>
          <w:iCs/>
          <w:lang w:val="sk-SK"/>
        </w:rPr>
        <w:t>a</w:t>
      </w:r>
      <w:r w:rsidR="00254F65" w:rsidRPr="00835ADD">
        <w:rPr>
          <w:rFonts w:ascii="Times New Roman" w:eastAsia="TimesNewRoman,Bold" w:hAnsi="Times New Roman"/>
          <w:iCs/>
          <w:lang w:val="sk-SK"/>
        </w:rPr>
        <w:t>ktivátormi</w:t>
      </w:r>
      <w:proofErr w:type="spellEnd"/>
      <w:r w:rsidR="00254F65">
        <w:rPr>
          <w:rFonts w:ascii="Times New Roman" w:eastAsia="TimesNewRoman,Bold" w:hAnsi="Times New Roman"/>
          <w:iCs/>
          <w:lang w:val="sk-SK"/>
        </w:rPr>
        <w:t xml:space="preserve"> </w:t>
      </w:r>
      <w:proofErr w:type="spellStart"/>
      <w:r w:rsidRPr="001E0058">
        <w:rPr>
          <w:rFonts w:ascii="Times New Roman" w:eastAsia="TimesNewRoman,Bold" w:hAnsi="Times New Roman"/>
          <w:iCs/>
          <w:lang w:val="sk-SK"/>
        </w:rPr>
        <w:t>guanylátcyklázy</w:t>
      </w:r>
      <w:proofErr w:type="spellEnd"/>
      <w:r w:rsidRPr="001E0058">
        <w:rPr>
          <w:rFonts w:ascii="Times New Roman" w:eastAsia="TimesNewRoman,Bold" w:hAnsi="Times New Roman"/>
          <w:iCs/>
          <w:lang w:val="sk-SK"/>
        </w:rPr>
        <w:t>, ak</w:t>
      </w:r>
      <w:r w:rsidR="007917EC">
        <w:rPr>
          <w:rFonts w:ascii="Times New Roman" w:eastAsia="TimesNewRoman,Bold" w:hAnsi="Times New Roman"/>
          <w:iCs/>
          <w:lang w:val="sk-SK"/>
        </w:rPr>
        <w:t xml:space="preserve">o </w:t>
      </w:r>
      <w:r w:rsidRPr="001E0058">
        <w:rPr>
          <w:rFonts w:ascii="Times New Roman" w:eastAsia="TimesNewRoman,Bold" w:hAnsi="Times New Roman"/>
          <w:iCs/>
          <w:lang w:val="sk-SK"/>
        </w:rPr>
        <w:t xml:space="preserve">je </w:t>
      </w:r>
      <w:proofErr w:type="spellStart"/>
      <w:r w:rsidRPr="001E0058">
        <w:rPr>
          <w:rFonts w:ascii="Times New Roman" w:eastAsia="TimesNewRoman,Bold" w:hAnsi="Times New Roman"/>
          <w:iCs/>
          <w:lang w:val="sk-SK"/>
        </w:rPr>
        <w:t>riociguát</w:t>
      </w:r>
      <w:proofErr w:type="spellEnd"/>
      <w:r w:rsidRPr="001E0058">
        <w:rPr>
          <w:rFonts w:ascii="Times New Roman" w:eastAsia="TimesNewRoman,Bold" w:hAnsi="Times New Roman"/>
          <w:iCs/>
          <w:lang w:val="sk-SK"/>
        </w:rPr>
        <w:t>, je kontraindikované, pretože môže viesť k symptomatickej hypotenzii (pozri časť 4.5).</w:t>
      </w:r>
    </w:p>
    <w:p w14:paraId="1F1645D3" w14:textId="77777777" w:rsidR="00A32057" w:rsidRPr="001E0058" w:rsidRDefault="00A32057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lang w:val="sk-SK"/>
        </w:rPr>
      </w:pPr>
    </w:p>
    <w:p w14:paraId="348160E2" w14:textId="1F3954F7" w:rsidR="00B76076" w:rsidRPr="001E0058" w:rsidRDefault="00B76076" w:rsidP="00097C3B">
      <w:p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1E0058">
        <w:rPr>
          <w:rFonts w:ascii="Times New Roman" w:eastAsia="TimesNewRoman,Bold" w:hAnsi="Times New Roman"/>
          <w:b/>
          <w:bCs/>
          <w:lang w:val="sk-SK"/>
        </w:rPr>
        <w:t>4.4</w:t>
      </w:r>
      <w:r w:rsidR="00B13532">
        <w:rPr>
          <w:rFonts w:ascii="Times New Roman" w:eastAsia="TimesNewRoman,Bold" w:hAnsi="Times New Roman"/>
          <w:b/>
          <w:bCs/>
          <w:lang w:val="sk-SK"/>
        </w:rPr>
        <w:tab/>
      </w:r>
      <w:r w:rsidR="00642E23" w:rsidRPr="001E0058">
        <w:rPr>
          <w:rFonts w:ascii="Times New Roman" w:eastAsia="TimesNewRoman,Bold" w:hAnsi="Times New Roman"/>
          <w:b/>
          <w:bCs/>
          <w:lang w:val="sk-SK"/>
        </w:rPr>
        <w:t>Osobitné upozornenia a opatrenia pri používaní</w:t>
      </w:r>
    </w:p>
    <w:p w14:paraId="626E7E8A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43F95610" w14:textId="15D8EC19" w:rsidR="00B76076" w:rsidRPr="001E0058" w:rsidRDefault="00642E2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Na stanovenie diagnózy </w:t>
      </w:r>
      <w:proofErr w:type="spellStart"/>
      <w:r w:rsidRPr="001E0058">
        <w:rPr>
          <w:rFonts w:ascii="Times New Roman" w:eastAsia="TimesNewRoman" w:hAnsi="Times New Roman"/>
          <w:lang w:val="sk-SK"/>
        </w:rPr>
        <w:t>erektilnej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dysfunkcie a určenie jej možných príčin </w:t>
      </w:r>
      <w:r w:rsidR="00B56187" w:rsidRPr="001E0058">
        <w:rPr>
          <w:rFonts w:ascii="Times New Roman" w:eastAsia="TimesNewRoman" w:hAnsi="Times New Roman"/>
          <w:lang w:val="sk-SK"/>
        </w:rPr>
        <w:t xml:space="preserve">sa </w:t>
      </w:r>
      <w:r w:rsidRPr="001E0058">
        <w:rPr>
          <w:rFonts w:ascii="Times New Roman" w:eastAsia="TimesNewRoman" w:hAnsi="Times New Roman"/>
          <w:lang w:val="sk-SK"/>
        </w:rPr>
        <w:t xml:space="preserve">má pred rozhodnutím o farmakologickej liečbe </w:t>
      </w:r>
      <w:r w:rsidR="00254F65">
        <w:rPr>
          <w:rFonts w:ascii="Times New Roman" w:eastAsia="TimesNewRoman" w:hAnsi="Times New Roman"/>
          <w:lang w:val="sk-SK"/>
        </w:rPr>
        <w:t>odobrať</w:t>
      </w:r>
      <w:r w:rsidR="00254F65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anamnéza a </w:t>
      </w:r>
      <w:r w:rsidR="00254F65">
        <w:rPr>
          <w:rFonts w:ascii="Times New Roman" w:eastAsia="TimesNewRoman" w:hAnsi="Times New Roman"/>
          <w:lang w:val="sk-SK"/>
        </w:rPr>
        <w:t xml:space="preserve">pacient sa má </w:t>
      </w:r>
      <w:r w:rsidRPr="001E0058">
        <w:rPr>
          <w:rFonts w:ascii="Times New Roman" w:eastAsia="TimesNewRoman" w:hAnsi="Times New Roman"/>
          <w:lang w:val="sk-SK"/>
        </w:rPr>
        <w:t>vyšetr</w:t>
      </w:r>
      <w:r w:rsidR="00254F65">
        <w:rPr>
          <w:rFonts w:ascii="Times New Roman" w:eastAsia="TimesNewRoman" w:hAnsi="Times New Roman"/>
          <w:lang w:val="sk-SK"/>
        </w:rPr>
        <w:t>iť</w:t>
      </w:r>
      <w:r w:rsidRPr="001E0058">
        <w:rPr>
          <w:rFonts w:ascii="Times New Roman" w:eastAsia="TimesNewRoman" w:hAnsi="Times New Roman"/>
          <w:lang w:val="sk-SK"/>
        </w:rPr>
        <w:t>.</w:t>
      </w:r>
    </w:p>
    <w:p w14:paraId="644583EA" w14:textId="77777777" w:rsidR="006B138E" w:rsidRPr="001E0058" w:rsidRDefault="006B138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9E28332" w14:textId="584B43A5" w:rsidR="006B138E" w:rsidRPr="001E0058" w:rsidRDefault="00386B65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hAnsi="Times New Roman"/>
          <w:lang w:val="sk-SK"/>
        </w:rPr>
        <w:t>Len na perorálne použitie. Nepoužívať iným spôsobom pod</w:t>
      </w:r>
      <w:r w:rsidR="00FD3509">
        <w:rPr>
          <w:rFonts w:ascii="Times New Roman" w:hAnsi="Times New Roman"/>
          <w:lang w:val="sk-SK"/>
        </w:rPr>
        <w:t>áv</w:t>
      </w:r>
      <w:r w:rsidRPr="001E0058">
        <w:rPr>
          <w:rFonts w:ascii="Times New Roman" w:hAnsi="Times New Roman"/>
          <w:lang w:val="sk-SK"/>
        </w:rPr>
        <w:t>ania.</w:t>
      </w:r>
      <w:r w:rsidR="006B138E" w:rsidRPr="001E0058">
        <w:rPr>
          <w:rFonts w:ascii="Times New Roman" w:hAnsi="Times New Roman"/>
          <w:lang w:val="sk-SK"/>
        </w:rPr>
        <w:t xml:space="preserve"> </w:t>
      </w:r>
    </w:p>
    <w:p w14:paraId="4F678D29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29F4692" w14:textId="2719085F" w:rsidR="00B76076" w:rsidRPr="001E0058" w:rsidRDefault="00642E2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r w:rsidRPr="001E0058">
        <w:rPr>
          <w:rFonts w:ascii="Times New Roman" w:eastAsia="TimesNewRoman" w:hAnsi="Times New Roman"/>
          <w:u w:val="single"/>
          <w:lang w:val="sk-SK"/>
        </w:rPr>
        <w:t>Kardiovaskulárne rizikové faktory</w:t>
      </w:r>
    </w:p>
    <w:p w14:paraId="43631F5D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4CB701D6" w14:textId="214194C5" w:rsidR="00B76076" w:rsidRPr="001E0058" w:rsidRDefault="00FD4BC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Pred začatím akejkoľvek liečby </w:t>
      </w:r>
      <w:proofErr w:type="spellStart"/>
      <w:r w:rsidRPr="001E0058">
        <w:rPr>
          <w:rFonts w:ascii="Times New Roman" w:eastAsia="TimesNewRoman" w:hAnsi="Times New Roman"/>
          <w:lang w:val="sk-SK"/>
        </w:rPr>
        <w:t>erektilnej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dysfunkcie má lekár zohľadniť kardiovaskulárny sta</w:t>
      </w:r>
      <w:r w:rsidR="003B13AB">
        <w:rPr>
          <w:rFonts w:ascii="Times New Roman" w:eastAsia="TimesNewRoman" w:hAnsi="Times New Roman"/>
          <w:lang w:val="sk-SK"/>
        </w:rPr>
        <w:t>v</w:t>
      </w:r>
      <w:r w:rsidRPr="001E0058">
        <w:rPr>
          <w:rFonts w:ascii="Times New Roman" w:eastAsia="TimesNewRoman" w:hAnsi="Times New Roman"/>
          <w:lang w:val="sk-SK"/>
        </w:rPr>
        <w:t xml:space="preserve"> pacienta, lebo sexuálna aktivita je spojená s istým stupňom kardiálneho rizika.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má </w:t>
      </w:r>
      <w:proofErr w:type="spellStart"/>
      <w:r w:rsidRPr="001E0058">
        <w:rPr>
          <w:rFonts w:ascii="Times New Roman" w:eastAsia="TimesNewRoman" w:hAnsi="Times New Roman"/>
          <w:lang w:val="sk-SK"/>
        </w:rPr>
        <w:t>vazodilatačné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EC7624">
        <w:rPr>
          <w:rFonts w:ascii="Times New Roman" w:eastAsia="TimesNewRoman" w:hAnsi="Times New Roman"/>
          <w:lang w:val="sk-SK"/>
        </w:rPr>
        <w:t>účinky</w:t>
      </w:r>
      <w:r w:rsidRPr="001E0058">
        <w:rPr>
          <w:rFonts w:ascii="Times New Roman" w:eastAsia="TimesNewRoman" w:hAnsi="Times New Roman"/>
          <w:lang w:val="sk-SK"/>
        </w:rPr>
        <w:t>, ktoré vedú k miernemu a prechodnému zníženiu krv</w:t>
      </w:r>
      <w:r w:rsidR="00D7572B">
        <w:rPr>
          <w:rFonts w:ascii="Times New Roman" w:eastAsia="TimesNewRoman" w:hAnsi="Times New Roman"/>
          <w:lang w:val="sk-SK"/>
        </w:rPr>
        <w:t>ného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D7572B" w:rsidRPr="001E0058">
        <w:rPr>
          <w:rFonts w:ascii="Times New Roman" w:eastAsia="TimesNewRoman" w:hAnsi="Times New Roman"/>
          <w:lang w:val="sk-SK"/>
        </w:rPr>
        <w:t xml:space="preserve">tlaku </w:t>
      </w:r>
      <w:r w:rsidRPr="001E0058">
        <w:rPr>
          <w:rFonts w:ascii="Times New Roman" w:eastAsia="TimesNewRoman" w:hAnsi="Times New Roman"/>
          <w:lang w:val="sk-SK"/>
        </w:rPr>
        <w:t xml:space="preserve">(pozri časť 5.1). Pred predpísaním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má lekár dôkladne zvážiť, či pacient </w:t>
      </w:r>
      <w:r w:rsidR="000C69FC">
        <w:rPr>
          <w:rFonts w:ascii="Times New Roman" w:eastAsia="TimesNewRoman" w:hAnsi="Times New Roman"/>
          <w:lang w:val="sk-SK"/>
        </w:rPr>
        <w:t>nemá</w:t>
      </w:r>
      <w:r w:rsidRPr="001E0058">
        <w:rPr>
          <w:rFonts w:ascii="Times New Roman" w:eastAsia="TimesNewRoman" w:hAnsi="Times New Roman"/>
          <w:lang w:val="sk-SK"/>
        </w:rPr>
        <w:t xml:space="preserve"> ochoren</w:t>
      </w:r>
      <w:r w:rsidR="000C69FC">
        <w:rPr>
          <w:rFonts w:ascii="Times New Roman" w:eastAsia="TimesNewRoman" w:hAnsi="Times New Roman"/>
          <w:lang w:val="sk-SK"/>
        </w:rPr>
        <w:t>ie</w:t>
      </w:r>
      <w:r w:rsidRPr="001E0058">
        <w:rPr>
          <w:rFonts w:ascii="Times New Roman" w:eastAsia="TimesNewRoman" w:hAnsi="Times New Roman"/>
          <w:lang w:val="sk-SK"/>
        </w:rPr>
        <w:t xml:space="preserve">, ktorého priebeh by mohli uvedené </w:t>
      </w:r>
      <w:proofErr w:type="spellStart"/>
      <w:r w:rsidRPr="001E0058">
        <w:rPr>
          <w:rFonts w:ascii="Times New Roman" w:eastAsia="TimesNewRoman" w:hAnsi="Times New Roman"/>
          <w:lang w:val="sk-SK"/>
        </w:rPr>
        <w:t>vazodilatačné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účinky</w:t>
      </w:r>
      <w:r w:rsidR="000F3FCB">
        <w:rPr>
          <w:rFonts w:ascii="Times New Roman" w:eastAsia="TimesNewRoman" w:hAnsi="Times New Roman"/>
          <w:lang w:val="sk-SK"/>
        </w:rPr>
        <w:t>,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0F3FCB" w:rsidRPr="001E0058">
        <w:rPr>
          <w:rFonts w:ascii="Times New Roman" w:eastAsia="TimesNewRoman" w:hAnsi="Times New Roman"/>
          <w:lang w:val="sk-SK"/>
        </w:rPr>
        <w:t>najmä v kombinácii so sexuálnou aktivitou</w:t>
      </w:r>
      <w:r w:rsidR="000F3FCB">
        <w:rPr>
          <w:rFonts w:ascii="Times New Roman" w:eastAsia="TimesNewRoman" w:hAnsi="Times New Roman"/>
          <w:lang w:val="sk-SK"/>
        </w:rPr>
        <w:t>,</w:t>
      </w:r>
      <w:r w:rsidR="000F3FCB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nepriaznivo ovplyvniť. Medzi pacientov so zvýšenou citlivosťou </w:t>
      </w:r>
      <w:r w:rsidR="00244CB2">
        <w:rPr>
          <w:rFonts w:ascii="Times New Roman" w:eastAsia="TimesNewRoman" w:hAnsi="Times New Roman"/>
          <w:lang w:val="sk-SK"/>
        </w:rPr>
        <w:t xml:space="preserve">na účinok </w:t>
      </w:r>
      <w:proofErr w:type="spellStart"/>
      <w:r w:rsidRPr="001E0058">
        <w:rPr>
          <w:rFonts w:ascii="Times New Roman" w:eastAsia="TimesNewRoman" w:hAnsi="Times New Roman"/>
          <w:lang w:val="sk-SK"/>
        </w:rPr>
        <w:t>vazodilatátorov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patria najmä pacienti s obštrukciou výtoku ľavej komory (napr. aortálna </w:t>
      </w:r>
      <w:proofErr w:type="spellStart"/>
      <w:r w:rsidRPr="001E0058">
        <w:rPr>
          <w:rFonts w:ascii="Times New Roman" w:eastAsia="TimesNewRoman" w:hAnsi="Times New Roman"/>
          <w:lang w:val="sk-SK"/>
        </w:rPr>
        <w:t>stenóza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hypertrofická obštrukčná </w:t>
      </w:r>
      <w:proofErr w:type="spellStart"/>
      <w:r w:rsidRPr="001E0058">
        <w:rPr>
          <w:rFonts w:ascii="Times New Roman" w:eastAsia="TimesNewRoman" w:hAnsi="Times New Roman"/>
          <w:lang w:val="sk-SK"/>
        </w:rPr>
        <w:t>kardiomyopatia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) alebo pacienti so zriedkavým syndrómom </w:t>
      </w:r>
      <w:proofErr w:type="spellStart"/>
      <w:r w:rsidRPr="001E0058">
        <w:rPr>
          <w:rFonts w:ascii="Times New Roman" w:eastAsia="TimesNewRoman" w:hAnsi="Times New Roman"/>
          <w:lang w:val="sk-SK"/>
        </w:rPr>
        <w:t>multisystémovej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atrofie, ktorý sa </w:t>
      </w:r>
      <w:r w:rsidR="004B632E">
        <w:rPr>
          <w:rFonts w:ascii="Times New Roman" w:eastAsia="TimesNewRoman" w:hAnsi="Times New Roman"/>
          <w:lang w:val="sk-SK"/>
        </w:rPr>
        <w:t xml:space="preserve">prejavuje </w:t>
      </w:r>
      <w:r w:rsidRPr="001E0058">
        <w:rPr>
          <w:rFonts w:ascii="Times New Roman" w:eastAsia="TimesNewRoman" w:hAnsi="Times New Roman"/>
          <w:lang w:val="sk-SK"/>
        </w:rPr>
        <w:t>ako ťažk</w:t>
      </w:r>
      <w:r w:rsidR="000C69FC">
        <w:rPr>
          <w:rFonts w:ascii="Times New Roman" w:eastAsia="TimesNewRoman" w:hAnsi="Times New Roman"/>
          <w:lang w:val="sk-SK"/>
        </w:rPr>
        <w:t>á</w:t>
      </w:r>
      <w:r w:rsidRPr="001E0058">
        <w:rPr>
          <w:rFonts w:ascii="Times New Roman" w:eastAsia="TimesNewRoman" w:hAnsi="Times New Roman"/>
          <w:lang w:val="sk-SK"/>
        </w:rPr>
        <w:t xml:space="preserve"> po</w:t>
      </w:r>
      <w:r w:rsidR="000C69FC">
        <w:rPr>
          <w:rFonts w:ascii="Times New Roman" w:eastAsia="TimesNewRoman" w:hAnsi="Times New Roman"/>
          <w:lang w:val="sk-SK"/>
        </w:rPr>
        <w:t>rucha</w:t>
      </w:r>
      <w:r w:rsidRPr="001E0058">
        <w:rPr>
          <w:rFonts w:ascii="Times New Roman" w:eastAsia="TimesNewRoman" w:hAnsi="Times New Roman"/>
          <w:lang w:val="sk-SK"/>
        </w:rPr>
        <w:t xml:space="preserve"> autonómnej kontroly krvného tlaku.</w:t>
      </w:r>
    </w:p>
    <w:p w14:paraId="23CE3A6C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39A4063E" w14:textId="6BF5129E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F05A61">
        <w:rPr>
          <w:rFonts w:ascii="Times New Roman" w:eastAsia="TimesNewRoman" w:hAnsi="Times New Roman"/>
          <w:lang w:val="sk-SK"/>
        </w:rPr>
        <w:t xml:space="preserve">zosilňuje </w:t>
      </w:r>
      <w:proofErr w:type="spellStart"/>
      <w:r w:rsidR="00FD4BCE" w:rsidRPr="001E0058">
        <w:rPr>
          <w:rFonts w:ascii="Times New Roman" w:eastAsia="TimesNewRoman" w:hAnsi="Times New Roman"/>
          <w:lang w:val="sk-SK"/>
        </w:rPr>
        <w:t>hypotenzívny</w:t>
      </w:r>
      <w:proofErr w:type="spellEnd"/>
      <w:r w:rsidR="00FD4BCE" w:rsidRPr="001E0058">
        <w:rPr>
          <w:rFonts w:ascii="Times New Roman" w:eastAsia="TimesNewRoman" w:hAnsi="Times New Roman"/>
          <w:lang w:val="sk-SK"/>
        </w:rPr>
        <w:t xml:space="preserve"> účinok nitrátov (pozri časť 4.3).</w:t>
      </w:r>
    </w:p>
    <w:p w14:paraId="64905D86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160D831" w14:textId="55856FBB" w:rsidR="00B76076" w:rsidRPr="001E0058" w:rsidRDefault="00FD4BC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Po uvedení lieku na trh </w:t>
      </w:r>
      <w:r w:rsidR="008B6F0B">
        <w:rPr>
          <w:rFonts w:ascii="Times New Roman" w:eastAsia="TimesNewRoman" w:hAnsi="Times New Roman"/>
          <w:lang w:val="sk-SK"/>
        </w:rPr>
        <w:t xml:space="preserve">sa </w:t>
      </w:r>
      <w:r w:rsidRPr="001E0058">
        <w:rPr>
          <w:rFonts w:ascii="Times New Roman" w:eastAsia="TimesNewRoman" w:hAnsi="Times New Roman"/>
          <w:lang w:val="sk-SK"/>
        </w:rPr>
        <w:t xml:space="preserve">v časovej súvislosti s </w:t>
      </w:r>
      <w:r w:rsidR="00AA52FD">
        <w:rPr>
          <w:rFonts w:ascii="Times New Roman" w:eastAsia="TimesNewRoman" w:hAnsi="Times New Roman"/>
          <w:lang w:val="sk-SK"/>
        </w:rPr>
        <w:t>po</w:t>
      </w:r>
      <w:r w:rsidRPr="001E0058">
        <w:rPr>
          <w:rFonts w:ascii="Times New Roman" w:eastAsia="TimesNewRoman" w:hAnsi="Times New Roman"/>
          <w:lang w:val="sk-SK"/>
        </w:rPr>
        <w:t xml:space="preserve">užitím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hlás</w:t>
      </w:r>
      <w:r w:rsidR="008B6F0B">
        <w:rPr>
          <w:rFonts w:ascii="Times New Roman" w:eastAsia="TimesNewRoman" w:hAnsi="Times New Roman"/>
          <w:lang w:val="sk-SK"/>
        </w:rPr>
        <w:t xml:space="preserve">ili </w:t>
      </w:r>
      <w:r w:rsidRPr="001E0058">
        <w:rPr>
          <w:rFonts w:ascii="Times New Roman" w:eastAsia="TimesNewRoman" w:hAnsi="Times New Roman"/>
          <w:lang w:val="sk-SK"/>
        </w:rPr>
        <w:t xml:space="preserve">závažné kardiovaskulárne príhody vrátane infarktu myokardu, nestabilnej </w:t>
      </w:r>
      <w:proofErr w:type="spellStart"/>
      <w:r w:rsidRPr="00097C3B">
        <w:rPr>
          <w:rFonts w:ascii="Times New Roman" w:eastAsia="TimesNewRoman" w:hAnsi="Times New Roman"/>
          <w:i/>
          <w:lang w:val="sk-SK"/>
        </w:rPr>
        <w:t>angin</w:t>
      </w:r>
      <w:r w:rsidR="000C69FC">
        <w:rPr>
          <w:rFonts w:ascii="Times New Roman" w:eastAsia="TimesNewRoman" w:hAnsi="Times New Roman"/>
          <w:i/>
          <w:lang w:val="sk-SK"/>
        </w:rPr>
        <w:t>y</w:t>
      </w:r>
      <w:proofErr w:type="spellEnd"/>
      <w:r w:rsidRPr="00097C3B">
        <w:rPr>
          <w:rFonts w:ascii="Times New Roman" w:eastAsia="TimesNewRoman" w:hAnsi="Times New Roman"/>
          <w:i/>
          <w:lang w:val="sk-SK"/>
        </w:rPr>
        <w:t xml:space="preserve"> </w:t>
      </w:r>
      <w:proofErr w:type="spellStart"/>
      <w:r w:rsidRPr="00097C3B">
        <w:rPr>
          <w:rFonts w:ascii="Times New Roman" w:eastAsia="TimesNewRoman" w:hAnsi="Times New Roman"/>
          <w:i/>
          <w:lang w:val="sk-SK"/>
        </w:rPr>
        <w:t>pectoris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náhlej srdcovej smrti, </w:t>
      </w:r>
      <w:proofErr w:type="spellStart"/>
      <w:r w:rsidR="00AA52FD">
        <w:rPr>
          <w:rFonts w:ascii="Times New Roman" w:eastAsia="TimesNewRoman" w:hAnsi="Times New Roman"/>
          <w:lang w:val="sk-SK"/>
        </w:rPr>
        <w:t>ventrikulárnej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arytmie, </w:t>
      </w:r>
      <w:proofErr w:type="spellStart"/>
      <w:r w:rsidRPr="001E0058">
        <w:rPr>
          <w:rFonts w:ascii="Times New Roman" w:eastAsia="TimesNewRoman" w:hAnsi="Times New Roman"/>
          <w:lang w:val="sk-SK"/>
        </w:rPr>
        <w:t>cerebrovaskulárnej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hemorágie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</w:t>
      </w:r>
      <w:proofErr w:type="spellStart"/>
      <w:r w:rsidRPr="0021378A">
        <w:rPr>
          <w:rFonts w:ascii="Times New Roman" w:eastAsia="TimesNewRoman" w:hAnsi="Times New Roman"/>
          <w:lang w:val="sk-SK"/>
        </w:rPr>
        <w:t>tranzitórneho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ischemického ataku, hypertenzie a hypotenzie.</w:t>
      </w:r>
    </w:p>
    <w:p w14:paraId="4B52829A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37692DA1" w14:textId="141C72A3" w:rsidR="00B76076" w:rsidRPr="001E0058" w:rsidRDefault="00FD4BC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>U</w:t>
      </w:r>
      <w:r w:rsidR="0073621E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väčšiny</w:t>
      </w:r>
      <w:r w:rsidR="0073621E">
        <w:rPr>
          <w:rFonts w:ascii="Times New Roman" w:eastAsia="TimesNewRoman" w:hAnsi="Times New Roman"/>
          <w:lang w:val="sk-SK"/>
        </w:rPr>
        <w:t>,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73621E" w:rsidRPr="001E0058">
        <w:rPr>
          <w:rFonts w:ascii="Times New Roman" w:eastAsia="TimesNewRoman" w:hAnsi="Times New Roman"/>
          <w:lang w:val="sk-SK"/>
        </w:rPr>
        <w:t xml:space="preserve">ale nie u všetkých </w:t>
      </w:r>
      <w:r w:rsidRPr="001E0058">
        <w:rPr>
          <w:rFonts w:ascii="Times New Roman" w:eastAsia="TimesNewRoman" w:hAnsi="Times New Roman"/>
          <w:lang w:val="sk-SK"/>
        </w:rPr>
        <w:t xml:space="preserve">týchto pacientov, boli </w:t>
      </w:r>
      <w:r w:rsidR="000C69FC">
        <w:rPr>
          <w:rFonts w:ascii="Times New Roman" w:eastAsia="TimesNewRoman" w:hAnsi="Times New Roman"/>
          <w:lang w:val="sk-SK"/>
        </w:rPr>
        <w:t xml:space="preserve">už </w:t>
      </w:r>
      <w:r w:rsidRPr="001E0058">
        <w:rPr>
          <w:rFonts w:ascii="Times New Roman" w:eastAsia="TimesNewRoman" w:hAnsi="Times New Roman"/>
          <w:lang w:val="sk-SK"/>
        </w:rPr>
        <w:t xml:space="preserve">prítomné kardiovaskulárne rizikové faktory. Mnohé z týchto hlásených príhod </w:t>
      </w:r>
      <w:r w:rsidR="00CC06FB">
        <w:rPr>
          <w:rFonts w:ascii="Times New Roman" w:eastAsia="TimesNewRoman" w:hAnsi="Times New Roman"/>
          <w:lang w:val="sk-SK"/>
        </w:rPr>
        <w:t xml:space="preserve">sa zaznamenali </w:t>
      </w:r>
      <w:r w:rsidRPr="001E0058">
        <w:rPr>
          <w:rFonts w:ascii="Times New Roman" w:eastAsia="TimesNewRoman" w:hAnsi="Times New Roman"/>
          <w:lang w:val="sk-SK"/>
        </w:rPr>
        <w:t xml:space="preserve">počas alebo krátko po sexuálnom styku a niekoľko z nich sa </w:t>
      </w:r>
      <w:r w:rsidR="00016161">
        <w:rPr>
          <w:rFonts w:ascii="Times New Roman" w:eastAsia="TimesNewRoman" w:hAnsi="Times New Roman"/>
          <w:lang w:val="sk-SK"/>
        </w:rPr>
        <w:t xml:space="preserve">hlásilo </w:t>
      </w:r>
      <w:r w:rsidRPr="001E0058">
        <w:rPr>
          <w:rFonts w:ascii="Times New Roman" w:eastAsia="TimesNewRoman" w:hAnsi="Times New Roman"/>
          <w:lang w:val="sk-SK"/>
        </w:rPr>
        <w:t xml:space="preserve">krátko po </w:t>
      </w:r>
      <w:r w:rsidR="00016161">
        <w:rPr>
          <w:rFonts w:ascii="Times New Roman" w:eastAsia="TimesNewRoman" w:hAnsi="Times New Roman"/>
          <w:lang w:val="sk-SK"/>
        </w:rPr>
        <w:t>po</w:t>
      </w:r>
      <w:r w:rsidRPr="001E0058">
        <w:rPr>
          <w:rFonts w:ascii="Times New Roman" w:eastAsia="TimesNewRoman" w:hAnsi="Times New Roman"/>
          <w:lang w:val="sk-SK"/>
        </w:rPr>
        <w:t xml:space="preserve">užití </w:t>
      </w:r>
      <w:proofErr w:type="spellStart"/>
      <w:r w:rsidR="006B00EA"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bez sexuálnej aktivity. Nie je možné určiť, či tieto príhody priamo súvisia s uvedenými alebo inými faktormi.</w:t>
      </w:r>
    </w:p>
    <w:p w14:paraId="6B3431F3" w14:textId="77777777" w:rsidR="006B00EA" w:rsidRPr="001E0058" w:rsidRDefault="006B00EA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4A3B7A57" w14:textId="2BAE9A3A" w:rsidR="00B76076" w:rsidRPr="001E0058" w:rsidRDefault="00E10131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proofErr w:type="spellStart"/>
      <w:r w:rsidRPr="001E0058">
        <w:rPr>
          <w:rFonts w:ascii="Times New Roman" w:eastAsia="TimesNewRoman" w:hAnsi="Times New Roman"/>
          <w:u w:val="single"/>
          <w:lang w:val="sk-SK"/>
        </w:rPr>
        <w:t>Priapizmus</w:t>
      </w:r>
      <w:proofErr w:type="spellEnd"/>
    </w:p>
    <w:p w14:paraId="645F672E" w14:textId="77777777" w:rsidR="00E10131" w:rsidRPr="001E0058" w:rsidRDefault="00E10131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A5F4711" w14:textId="13396127" w:rsidR="00E10131" w:rsidRPr="001E0058" w:rsidRDefault="00E10131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>L</w:t>
      </w:r>
      <w:r w:rsidR="000C69FC">
        <w:rPr>
          <w:rFonts w:ascii="Times New Roman" w:eastAsia="TimesNewRoman" w:hAnsi="Times New Roman"/>
          <w:lang w:val="sk-SK"/>
        </w:rPr>
        <w:t>iečivá</w:t>
      </w:r>
      <w:r w:rsidRPr="001E0058">
        <w:rPr>
          <w:rFonts w:ascii="Times New Roman" w:eastAsia="TimesNewRoman" w:hAnsi="Times New Roman"/>
          <w:lang w:val="sk-SK"/>
        </w:rPr>
        <w:t xml:space="preserve"> na liečbu </w:t>
      </w:r>
      <w:proofErr w:type="spellStart"/>
      <w:r w:rsidRPr="001E0058">
        <w:rPr>
          <w:rFonts w:ascii="Times New Roman" w:eastAsia="TimesNewRoman" w:hAnsi="Times New Roman"/>
          <w:lang w:val="sk-SK"/>
        </w:rPr>
        <w:t>erektilnej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dysfunkcie, vrátane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sa majú používať s opatrnosťou u pacientov s anatomickou deformáciou penisu (ako </w:t>
      </w:r>
      <w:r w:rsidR="00993BA3">
        <w:rPr>
          <w:rFonts w:ascii="Times New Roman" w:eastAsia="TimesNewRoman" w:hAnsi="Times New Roman"/>
          <w:lang w:val="sk-SK"/>
        </w:rPr>
        <w:t xml:space="preserve">je </w:t>
      </w:r>
      <w:proofErr w:type="spellStart"/>
      <w:r w:rsidRPr="001E0058">
        <w:rPr>
          <w:rFonts w:ascii="Times New Roman" w:eastAsia="TimesNewRoman" w:hAnsi="Times New Roman"/>
          <w:lang w:val="sk-SK"/>
        </w:rPr>
        <w:t>angulácia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kavernózna </w:t>
      </w:r>
      <w:proofErr w:type="spellStart"/>
      <w:r w:rsidRPr="001E0058">
        <w:rPr>
          <w:rFonts w:ascii="Times New Roman" w:eastAsia="TimesNewRoman" w:hAnsi="Times New Roman"/>
          <w:lang w:val="sk-SK"/>
        </w:rPr>
        <w:t>fibróza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alebo </w:t>
      </w:r>
      <w:proofErr w:type="spellStart"/>
      <w:r w:rsidRPr="001E0058">
        <w:rPr>
          <w:rFonts w:ascii="Times New Roman" w:eastAsia="TimesNewRoman" w:hAnsi="Times New Roman"/>
          <w:lang w:val="sk-SK"/>
        </w:rPr>
        <w:t>Peyronieho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lastRenderedPageBreak/>
        <w:t xml:space="preserve">choroba) alebo u pacientov s ochoreniami, </w:t>
      </w:r>
      <w:r w:rsidR="00E1578C">
        <w:rPr>
          <w:rFonts w:ascii="Times New Roman" w:eastAsia="TimesNewRoman" w:hAnsi="Times New Roman"/>
          <w:lang w:val="sk-SK"/>
        </w:rPr>
        <w:t xml:space="preserve">vďaka </w:t>
      </w:r>
      <w:r w:rsidRPr="001E0058">
        <w:rPr>
          <w:rFonts w:ascii="Times New Roman" w:eastAsia="TimesNewRoman" w:hAnsi="Times New Roman"/>
          <w:lang w:val="sk-SK"/>
        </w:rPr>
        <w:t>ktor</w:t>
      </w:r>
      <w:r w:rsidR="00E1578C">
        <w:rPr>
          <w:rFonts w:ascii="Times New Roman" w:eastAsia="TimesNewRoman" w:hAnsi="Times New Roman"/>
          <w:lang w:val="sk-SK"/>
        </w:rPr>
        <w:t xml:space="preserve">ým </w:t>
      </w:r>
      <w:r w:rsidR="00993BA3">
        <w:rPr>
          <w:rFonts w:ascii="Times New Roman" w:eastAsia="TimesNewRoman" w:hAnsi="Times New Roman"/>
          <w:lang w:val="sk-SK"/>
        </w:rPr>
        <w:t xml:space="preserve">môžu </w:t>
      </w:r>
      <w:r w:rsidR="00E1578C">
        <w:rPr>
          <w:rFonts w:ascii="Times New Roman" w:eastAsia="TimesNewRoman" w:hAnsi="Times New Roman"/>
          <w:lang w:val="sk-SK"/>
        </w:rPr>
        <w:t xml:space="preserve">mať sklony </w:t>
      </w:r>
      <w:r w:rsidRPr="00E1578C">
        <w:rPr>
          <w:rFonts w:ascii="Times New Roman" w:eastAsia="TimesNewRoman" w:hAnsi="Times New Roman"/>
          <w:lang w:val="sk-SK"/>
        </w:rPr>
        <w:t xml:space="preserve">k </w:t>
      </w:r>
      <w:proofErr w:type="spellStart"/>
      <w:r w:rsidRPr="00E1578C">
        <w:rPr>
          <w:rFonts w:ascii="Times New Roman" w:eastAsia="TimesNewRoman" w:hAnsi="Times New Roman"/>
          <w:lang w:val="sk-SK"/>
        </w:rPr>
        <w:t>priapizmu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(ako </w:t>
      </w:r>
      <w:r w:rsidR="00E1578C">
        <w:rPr>
          <w:rFonts w:ascii="Times New Roman" w:eastAsia="TimesNewRoman" w:hAnsi="Times New Roman"/>
          <w:lang w:val="sk-SK"/>
        </w:rPr>
        <w:t xml:space="preserve">je </w:t>
      </w:r>
      <w:proofErr w:type="spellStart"/>
      <w:r w:rsidRPr="001E0058">
        <w:rPr>
          <w:rFonts w:ascii="Times New Roman" w:eastAsia="TimesNewRoman" w:hAnsi="Times New Roman"/>
          <w:lang w:val="sk-SK"/>
        </w:rPr>
        <w:t>kosáčiková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anémia, mnohonásobný </w:t>
      </w:r>
      <w:proofErr w:type="spellStart"/>
      <w:r w:rsidRPr="001E0058">
        <w:rPr>
          <w:rFonts w:ascii="Times New Roman" w:eastAsia="TimesNewRoman" w:hAnsi="Times New Roman"/>
          <w:lang w:val="sk-SK"/>
        </w:rPr>
        <w:t>myelóm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alebo leukémia).</w:t>
      </w:r>
    </w:p>
    <w:p w14:paraId="14363AC2" w14:textId="77777777" w:rsidR="00E10131" w:rsidRPr="001E0058" w:rsidRDefault="00E10131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D2AC6EC" w14:textId="6AEA621B" w:rsidR="00B76076" w:rsidRPr="001E0058" w:rsidRDefault="00E10131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>Z</w:t>
      </w:r>
      <w:r w:rsidR="000C69FC">
        <w:rPr>
          <w:rFonts w:ascii="Times New Roman" w:eastAsia="TimesNewRoman" w:hAnsi="Times New Roman"/>
          <w:lang w:val="sk-SK"/>
        </w:rPr>
        <w:t>o</w:t>
      </w:r>
      <w:r w:rsidRPr="001E0058">
        <w:rPr>
          <w:rFonts w:ascii="Times New Roman" w:eastAsia="TimesNewRoman" w:hAnsi="Times New Roman"/>
          <w:lang w:val="sk-SK"/>
        </w:rPr>
        <w:t xml:space="preserve"> skúseností </w:t>
      </w:r>
      <w:r w:rsidR="000C69FC">
        <w:rPr>
          <w:rFonts w:ascii="Times New Roman" w:eastAsia="TimesNewRoman" w:hAnsi="Times New Roman"/>
          <w:lang w:val="sk-SK"/>
        </w:rPr>
        <w:t xml:space="preserve">po uvedení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r w:rsidR="000C69FC">
        <w:rPr>
          <w:rFonts w:ascii="Times New Roman" w:eastAsia="TimesNewRoman" w:hAnsi="Times New Roman"/>
          <w:lang w:val="sk-SK"/>
        </w:rPr>
        <w:t>u</w:t>
      </w:r>
      <w:proofErr w:type="spellEnd"/>
      <w:r w:rsidR="000C69FC">
        <w:rPr>
          <w:rFonts w:ascii="Times New Roman" w:eastAsia="TimesNewRoman" w:hAnsi="Times New Roman"/>
          <w:lang w:val="sk-SK"/>
        </w:rPr>
        <w:t xml:space="preserve"> na trh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FE495F">
        <w:rPr>
          <w:rFonts w:ascii="Times New Roman" w:eastAsia="TimesNewRoman" w:hAnsi="Times New Roman"/>
          <w:lang w:val="sk-SK"/>
        </w:rPr>
        <w:t xml:space="preserve">sa </w:t>
      </w:r>
      <w:r w:rsidRPr="001E0058">
        <w:rPr>
          <w:rFonts w:ascii="Times New Roman" w:eastAsia="TimesNewRoman" w:hAnsi="Times New Roman"/>
          <w:lang w:val="sk-SK"/>
        </w:rPr>
        <w:t>hlás</w:t>
      </w:r>
      <w:r w:rsidR="00FE495F">
        <w:rPr>
          <w:rFonts w:ascii="Times New Roman" w:eastAsia="TimesNewRoman" w:hAnsi="Times New Roman"/>
          <w:lang w:val="sk-SK"/>
        </w:rPr>
        <w:t>ili</w:t>
      </w:r>
      <w:r w:rsidRPr="001E0058">
        <w:rPr>
          <w:rFonts w:ascii="Times New Roman" w:eastAsia="TimesNewRoman" w:hAnsi="Times New Roman"/>
          <w:lang w:val="sk-SK"/>
        </w:rPr>
        <w:t xml:space="preserve"> predĺžené erekcie a </w:t>
      </w:r>
      <w:proofErr w:type="spellStart"/>
      <w:r w:rsidRPr="001E0058">
        <w:rPr>
          <w:rFonts w:ascii="Times New Roman" w:eastAsia="TimesNewRoman" w:hAnsi="Times New Roman"/>
          <w:lang w:val="sk-SK"/>
        </w:rPr>
        <w:t>priapizmus</w:t>
      </w:r>
      <w:proofErr w:type="spellEnd"/>
      <w:r w:rsidRPr="001E0058">
        <w:rPr>
          <w:rFonts w:ascii="Times New Roman" w:eastAsia="TimesNewRoman" w:hAnsi="Times New Roman"/>
          <w:lang w:val="sk-SK"/>
        </w:rPr>
        <w:t>. V prípade erekcie, ktorá pretrváva dlhšie než 4 hodiny</w:t>
      </w:r>
      <w:r w:rsidR="00D42A4B">
        <w:rPr>
          <w:rFonts w:ascii="Times New Roman" w:eastAsia="TimesNewRoman" w:hAnsi="Times New Roman"/>
          <w:lang w:val="sk-SK"/>
        </w:rPr>
        <w:t>,</w:t>
      </w:r>
      <w:r w:rsidRPr="001E0058">
        <w:rPr>
          <w:rFonts w:ascii="Times New Roman" w:eastAsia="TimesNewRoman" w:hAnsi="Times New Roman"/>
          <w:lang w:val="sk-SK"/>
        </w:rPr>
        <w:t xml:space="preserve"> má pacient vyhľadať okamžitú zdravotnú pomoc. Ak </w:t>
      </w:r>
      <w:proofErr w:type="spellStart"/>
      <w:r w:rsidRPr="001E0058">
        <w:rPr>
          <w:rFonts w:ascii="Times New Roman" w:eastAsia="TimesNewRoman" w:hAnsi="Times New Roman"/>
          <w:lang w:val="sk-SK"/>
        </w:rPr>
        <w:t>priapizmus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nie je liečený okamžite, môže to mať za následok poškodenie tkaniva penisu a trvalú stratu potencie.</w:t>
      </w:r>
    </w:p>
    <w:p w14:paraId="4D1E27E5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8ED6611" w14:textId="447A4061" w:rsidR="00B76076" w:rsidRPr="001E0058" w:rsidRDefault="000C69FC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r>
        <w:rPr>
          <w:rFonts w:ascii="Times New Roman" w:eastAsia="TimesNewRoman" w:hAnsi="Times New Roman"/>
          <w:u w:val="single"/>
          <w:lang w:val="sk-SK"/>
        </w:rPr>
        <w:t xml:space="preserve">Súbežné použitie </w:t>
      </w:r>
      <w:proofErr w:type="spellStart"/>
      <w:r w:rsidR="00E10131" w:rsidRPr="001E0058">
        <w:rPr>
          <w:rFonts w:ascii="Times New Roman" w:eastAsia="TimesNewRoman" w:hAnsi="Times New Roman"/>
          <w:u w:val="single"/>
          <w:lang w:val="sk-SK"/>
        </w:rPr>
        <w:t>sildenafilu</w:t>
      </w:r>
      <w:proofErr w:type="spellEnd"/>
      <w:r w:rsidR="00E10131" w:rsidRPr="001E0058">
        <w:rPr>
          <w:rFonts w:ascii="Times New Roman" w:eastAsia="TimesNewRoman" w:hAnsi="Times New Roman"/>
          <w:u w:val="single"/>
          <w:lang w:val="sk-SK"/>
        </w:rPr>
        <w:t xml:space="preserve"> s</w:t>
      </w:r>
      <w:r>
        <w:rPr>
          <w:rFonts w:ascii="Times New Roman" w:eastAsia="TimesNewRoman" w:hAnsi="Times New Roman"/>
          <w:u w:val="single"/>
          <w:lang w:val="sk-SK"/>
        </w:rPr>
        <w:t> </w:t>
      </w:r>
      <w:r w:rsidR="00E10131" w:rsidRPr="001E0058">
        <w:rPr>
          <w:rFonts w:ascii="Times New Roman" w:eastAsia="TimesNewRoman" w:hAnsi="Times New Roman"/>
          <w:u w:val="single"/>
          <w:lang w:val="sk-SK"/>
        </w:rPr>
        <w:t>inými</w:t>
      </w:r>
      <w:r>
        <w:rPr>
          <w:rFonts w:ascii="Times New Roman" w:eastAsia="TimesNewRoman" w:hAnsi="Times New Roman"/>
          <w:u w:val="single"/>
          <w:lang w:val="sk-SK"/>
        </w:rPr>
        <w:t xml:space="preserve"> inhibítormi</w:t>
      </w:r>
      <w:r w:rsidR="00E10131" w:rsidRPr="001E0058">
        <w:rPr>
          <w:rFonts w:ascii="Times New Roman" w:eastAsia="TimesNewRoman" w:hAnsi="Times New Roman"/>
          <w:u w:val="single"/>
          <w:lang w:val="sk-SK"/>
        </w:rPr>
        <w:t xml:space="preserve"> PDE5 alebo inými liečebnými postupmi na liečbu </w:t>
      </w:r>
      <w:proofErr w:type="spellStart"/>
      <w:r w:rsidR="00E10131" w:rsidRPr="001E0058">
        <w:rPr>
          <w:rFonts w:ascii="Times New Roman" w:eastAsia="TimesNewRoman" w:hAnsi="Times New Roman"/>
          <w:u w:val="single"/>
          <w:lang w:val="sk-SK"/>
        </w:rPr>
        <w:t>erektilnej</w:t>
      </w:r>
      <w:proofErr w:type="spellEnd"/>
      <w:r w:rsidR="00E10131" w:rsidRPr="001E0058">
        <w:rPr>
          <w:rFonts w:ascii="Times New Roman" w:eastAsia="TimesNewRoman" w:hAnsi="Times New Roman"/>
          <w:u w:val="single"/>
          <w:lang w:val="sk-SK"/>
        </w:rPr>
        <w:t xml:space="preserve"> dysfunkcie</w:t>
      </w:r>
    </w:p>
    <w:p w14:paraId="667166E6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4BE3294A" w14:textId="5CE630DF" w:rsidR="00AC4E6B" w:rsidRPr="001E0058" w:rsidRDefault="00E10131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>Bezpečnosť a účinnosť kombináci</w:t>
      </w:r>
      <w:r w:rsidR="00983DCB">
        <w:rPr>
          <w:rFonts w:ascii="Times New Roman" w:eastAsia="TimesNewRoman" w:hAnsi="Times New Roman"/>
          <w:lang w:val="sk-SK"/>
        </w:rPr>
        <w:t>e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s inými </w:t>
      </w:r>
      <w:r w:rsidR="000C69FC">
        <w:rPr>
          <w:rFonts w:ascii="Times New Roman" w:eastAsia="TimesNewRoman" w:hAnsi="Times New Roman"/>
          <w:lang w:val="sk-SK"/>
        </w:rPr>
        <w:t xml:space="preserve">inhibítormi </w:t>
      </w:r>
      <w:r w:rsidRPr="001E0058">
        <w:rPr>
          <w:rFonts w:ascii="Times New Roman" w:eastAsia="TimesNewRoman" w:hAnsi="Times New Roman"/>
          <w:lang w:val="sk-SK"/>
        </w:rPr>
        <w:t xml:space="preserve">PDE5 alebo inými liečebnými postupmi na liečbu pľúcnej artériovej hypertenzie (PAH) obsahujúcimi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alebo inými liečebnými postupmi na liečbu </w:t>
      </w:r>
      <w:proofErr w:type="spellStart"/>
      <w:r w:rsidRPr="001E0058">
        <w:rPr>
          <w:rFonts w:ascii="Times New Roman" w:eastAsia="TimesNewRoman" w:hAnsi="Times New Roman"/>
          <w:lang w:val="sk-SK"/>
        </w:rPr>
        <w:t>erektilnej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dysfunkcie nebola </w:t>
      </w:r>
      <w:r w:rsidR="000C69FC">
        <w:rPr>
          <w:rFonts w:ascii="Times New Roman" w:eastAsia="TimesNewRoman" w:hAnsi="Times New Roman"/>
          <w:lang w:val="sk-SK"/>
        </w:rPr>
        <w:t>skúmaná</w:t>
      </w:r>
      <w:r w:rsidRPr="001E0058">
        <w:rPr>
          <w:rFonts w:ascii="Times New Roman" w:eastAsia="TimesNewRoman" w:hAnsi="Times New Roman"/>
          <w:lang w:val="sk-SK"/>
        </w:rPr>
        <w:t xml:space="preserve">. </w:t>
      </w:r>
      <w:r w:rsidR="000C69FC">
        <w:rPr>
          <w:rFonts w:ascii="Times New Roman" w:eastAsia="TimesNewRoman" w:hAnsi="Times New Roman"/>
          <w:lang w:val="sk-SK"/>
        </w:rPr>
        <w:t>P</w:t>
      </w:r>
      <w:r w:rsidRPr="001E0058">
        <w:rPr>
          <w:rFonts w:ascii="Times New Roman" w:eastAsia="TimesNewRoman" w:hAnsi="Times New Roman"/>
          <w:lang w:val="sk-SK"/>
        </w:rPr>
        <w:t xml:space="preserve">oužitie takýchto kombinácií </w:t>
      </w:r>
      <w:r w:rsidR="000C69FC">
        <w:rPr>
          <w:rFonts w:ascii="Times New Roman" w:eastAsia="TimesNewRoman" w:hAnsi="Times New Roman"/>
          <w:lang w:val="sk-SK"/>
        </w:rPr>
        <w:t xml:space="preserve">sa preto </w:t>
      </w:r>
      <w:r w:rsidRPr="001E0058">
        <w:rPr>
          <w:rFonts w:ascii="Times New Roman" w:eastAsia="TimesNewRoman" w:hAnsi="Times New Roman"/>
          <w:lang w:val="sk-SK"/>
        </w:rPr>
        <w:t>neodporúča.</w:t>
      </w:r>
    </w:p>
    <w:p w14:paraId="48693526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0728CC33" w14:textId="1E1A28E2" w:rsidR="00B76076" w:rsidRPr="001E0058" w:rsidRDefault="00E10131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r w:rsidRPr="001E0058">
        <w:rPr>
          <w:rFonts w:ascii="Times New Roman" w:eastAsia="TimesNewRoman" w:hAnsi="Times New Roman"/>
          <w:u w:val="single"/>
          <w:lang w:val="sk-SK"/>
        </w:rPr>
        <w:t>Účinky na zrak</w:t>
      </w:r>
    </w:p>
    <w:p w14:paraId="432E6864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739EC8F4" w14:textId="24986DDF" w:rsidR="00E10131" w:rsidRPr="001E0058" w:rsidRDefault="00E10131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V súvislosti s </w:t>
      </w:r>
      <w:r w:rsidR="00111A23">
        <w:rPr>
          <w:rFonts w:ascii="Times New Roman" w:eastAsia="TimesNewRoman" w:hAnsi="Times New Roman"/>
          <w:lang w:val="sk-SK"/>
        </w:rPr>
        <w:t>po</w:t>
      </w:r>
      <w:r w:rsidRPr="001E0058">
        <w:rPr>
          <w:rFonts w:ascii="Times New Roman" w:eastAsia="TimesNewRoman" w:hAnsi="Times New Roman"/>
          <w:lang w:val="sk-SK"/>
        </w:rPr>
        <w:t xml:space="preserve">užitím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 ostatných inhibítorov PDE5 boli </w:t>
      </w:r>
      <w:r w:rsidRPr="0004716C">
        <w:rPr>
          <w:rFonts w:ascii="Times New Roman" w:eastAsia="TimesNewRoman" w:hAnsi="Times New Roman"/>
          <w:lang w:val="sk-SK"/>
        </w:rPr>
        <w:t>spontánne hlásené prípady porúch zraku</w:t>
      </w:r>
      <w:r w:rsidRPr="001E0058">
        <w:rPr>
          <w:rFonts w:ascii="Times New Roman" w:eastAsia="TimesNewRoman" w:hAnsi="Times New Roman"/>
          <w:lang w:val="sk-SK"/>
        </w:rPr>
        <w:t xml:space="preserve"> (pozri časť 4.8). V súvislosti s </w:t>
      </w:r>
      <w:r w:rsidR="000A59B9">
        <w:rPr>
          <w:rFonts w:ascii="Times New Roman" w:eastAsia="TimesNewRoman" w:hAnsi="Times New Roman"/>
          <w:lang w:val="sk-SK"/>
        </w:rPr>
        <w:t>po</w:t>
      </w:r>
      <w:r w:rsidRPr="001E0058">
        <w:rPr>
          <w:rFonts w:ascii="Times New Roman" w:eastAsia="TimesNewRoman" w:hAnsi="Times New Roman"/>
          <w:lang w:val="sk-SK"/>
        </w:rPr>
        <w:t xml:space="preserve">užitím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 ostatných inhibítorov PDE5 boli spontánne a z </w:t>
      </w:r>
      <w:proofErr w:type="spellStart"/>
      <w:r w:rsidRPr="001E0058">
        <w:rPr>
          <w:rFonts w:ascii="Times New Roman" w:eastAsia="TimesNewRoman" w:hAnsi="Times New Roman"/>
          <w:lang w:val="sk-SK"/>
        </w:rPr>
        <w:t>observačných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štúdií hlásené prípady zriedkavého ochorenia, </w:t>
      </w:r>
      <w:proofErr w:type="spellStart"/>
      <w:r w:rsidRPr="001E0058">
        <w:rPr>
          <w:rFonts w:ascii="Times New Roman" w:eastAsia="TimesNewRoman" w:hAnsi="Times New Roman"/>
          <w:lang w:val="sk-SK"/>
        </w:rPr>
        <w:t>nearterickej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prednej ischemickej </w:t>
      </w:r>
      <w:proofErr w:type="spellStart"/>
      <w:r w:rsidRPr="001E0058">
        <w:rPr>
          <w:rFonts w:ascii="Times New Roman" w:eastAsia="TimesNewRoman" w:hAnsi="Times New Roman"/>
          <w:lang w:val="sk-SK"/>
        </w:rPr>
        <w:t>neuropatie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zrakového nervu (pozri časť 4.8). Pacient</w:t>
      </w:r>
      <w:r w:rsidR="000A59B9">
        <w:rPr>
          <w:rFonts w:ascii="Times New Roman" w:eastAsia="TimesNewRoman" w:hAnsi="Times New Roman"/>
          <w:lang w:val="sk-SK"/>
        </w:rPr>
        <w:t xml:space="preserve">ov je potrebné </w:t>
      </w:r>
      <w:r w:rsidRPr="001E0058">
        <w:rPr>
          <w:rFonts w:ascii="Times New Roman" w:eastAsia="TimesNewRoman" w:hAnsi="Times New Roman"/>
          <w:lang w:val="sk-SK"/>
        </w:rPr>
        <w:t>pouč</w:t>
      </w:r>
      <w:r w:rsidR="000A59B9">
        <w:rPr>
          <w:rFonts w:ascii="Times New Roman" w:eastAsia="TimesNewRoman" w:hAnsi="Times New Roman"/>
          <w:lang w:val="sk-SK"/>
        </w:rPr>
        <w:t>iť</w:t>
      </w:r>
      <w:r w:rsidRPr="001E0058">
        <w:rPr>
          <w:rFonts w:ascii="Times New Roman" w:eastAsia="TimesNewRoman" w:hAnsi="Times New Roman"/>
          <w:lang w:val="sk-SK"/>
        </w:rPr>
        <w:t xml:space="preserve">, aby v </w:t>
      </w:r>
      <w:r w:rsidR="00122B78" w:rsidRPr="001E0058">
        <w:rPr>
          <w:rFonts w:ascii="Times New Roman" w:eastAsia="TimesNewRoman" w:hAnsi="Times New Roman"/>
          <w:lang w:val="sk-SK"/>
        </w:rPr>
        <w:t xml:space="preserve">prípade </w:t>
      </w:r>
      <w:r w:rsidRPr="001E0058">
        <w:rPr>
          <w:rFonts w:ascii="Times New Roman" w:eastAsia="TimesNewRoman" w:hAnsi="Times New Roman"/>
          <w:lang w:val="sk-SK"/>
        </w:rPr>
        <w:t>ak</w:t>
      </w:r>
      <w:r w:rsidR="00122B78">
        <w:rPr>
          <w:rFonts w:ascii="Times New Roman" w:eastAsia="TimesNewRoman" w:hAnsi="Times New Roman"/>
          <w:lang w:val="sk-SK"/>
        </w:rPr>
        <w:t>ej</w:t>
      </w:r>
      <w:r w:rsidRPr="001E0058">
        <w:rPr>
          <w:rFonts w:ascii="Times New Roman" w:eastAsia="TimesNewRoman" w:hAnsi="Times New Roman"/>
          <w:lang w:val="sk-SK"/>
        </w:rPr>
        <w:t xml:space="preserve">koľvek náhlej poruchy videnia prestali užívať </w:t>
      </w:r>
      <w:proofErr w:type="spellStart"/>
      <w:r w:rsidRPr="001E0058">
        <w:rPr>
          <w:rFonts w:ascii="Times New Roman" w:eastAsia="TimesNewRoman" w:hAnsi="Times New Roman"/>
          <w:lang w:val="sk-SK"/>
        </w:rPr>
        <w:t>Azurvig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 ihneď sa poradili s lekárom (pozri časť 4.3).</w:t>
      </w:r>
    </w:p>
    <w:p w14:paraId="2E0F419C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</w:p>
    <w:p w14:paraId="3F2B0452" w14:textId="3B64D57A" w:rsidR="00B76076" w:rsidRPr="001E0058" w:rsidRDefault="00702809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r w:rsidRPr="001E0058">
        <w:rPr>
          <w:rFonts w:ascii="Times New Roman" w:eastAsia="TimesNewRoman" w:hAnsi="Times New Roman"/>
          <w:u w:val="single"/>
          <w:lang w:val="sk-SK"/>
        </w:rPr>
        <w:t>Sú</w:t>
      </w:r>
      <w:r w:rsidR="000C69FC">
        <w:rPr>
          <w:rFonts w:ascii="Times New Roman" w:eastAsia="TimesNewRoman" w:hAnsi="Times New Roman"/>
          <w:u w:val="single"/>
          <w:lang w:val="sk-SK"/>
        </w:rPr>
        <w:t>bežné</w:t>
      </w:r>
      <w:r w:rsidRPr="001E0058">
        <w:rPr>
          <w:rFonts w:ascii="Times New Roman" w:eastAsia="TimesNewRoman" w:hAnsi="Times New Roman"/>
          <w:u w:val="single"/>
          <w:lang w:val="sk-SK"/>
        </w:rPr>
        <w:t xml:space="preserve"> po</w:t>
      </w:r>
      <w:r w:rsidR="00047E47">
        <w:rPr>
          <w:rFonts w:ascii="Times New Roman" w:eastAsia="TimesNewRoman" w:hAnsi="Times New Roman"/>
          <w:u w:val="single"/>
          <w:lang w:val="sk-SK"/>
        </w:rPr>
        <w:t>užitie s</w:t>
      </w:r>
      <w:r w:rsidRPr="001E0058">
        <w:rPr>
          <w:rFonts w:ascii="Times New Roman" w:eastAsia="TimesNewRoman" w:hAnsi="Times New Roman"/>
          <w:u w:val="single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u w:val="single"/>
          <w:lang w:val="sk-SK"/>
        </w:rPr>
        <w:t>ritonavir</w:t>
      </w:r>
      <w:r w:rsidR="00047E47">
        <w:rPr>
          <w:rFonts w:ascii="Times New Roman" w:eastAsia="TimesNewRoman" w:hAnsi="Times New Roman"/>
          <w:u w:val="single"/>
          <w:lang w:val="sk-SK"/>
        </w:rPr>
        <w:t>om</w:t>
      </w:r>
      <w:proofErr w:type="spellEnd"/>
    </w:p>
    <w:p w14:paraId="6ECBB6D0" w14:textId="77777777" w:rsidR="00702809" w:rsidRPr="001E0058" w:rsidRDefault="00702809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</w:p>
    <w:p w14:paraId="7051936E" w14:textId="265E706E" w:rsidR="00B76076" w:rsidRPr="001E0058" w:rsidRDefault="00702809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>Sú</w:t>
      </w:r>
      <w:r w:rsidR="000C69FC">
        <w:rPr>
          <w:rFonts w:ascii="Times New Roman" w:eastAsia="TimesNewRoman" w:hAnsi="Times New Roman"/>
          <w:lang w:val="sk-SK"/>
        </w:rPr>
        <w:t>bežné</w:t>
      </w:r>
      <w:r w:rsidRPr="001E0058">
        <w:rPr>
          <w:rFonts w:ascii="Times New Roman" w:eastAsia="TimesNewRoman" w:hAnsi="Times New Roman"/>
          <w:lang w:val="sk-SK"/>
        </w:rPr>
        <w:t xml:space="preserve"> podávanie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 </w:t>
      </w:r>
      <w:proofErr w:type="spellStart"/>
      <w:r w:rsidRPr="001E0058">
        <w:rPr>
          <w:rFonts w:ascii="Times New Roman" w:eastAsia="TimesNewRoman" w:hAnsi="Times New Roman"/>
          <w:lang w:val="sk-SK"/>
        </w:rPr>
        <w:t>ritonaviru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sa neodporúča (pozri časť 4.5).</w:t>
      </w:r>
    </w:p>
    <w:p w14:paraId="0491D468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3422E22" w14:textId="100BEDE7" w:rsidR="00B76076" w:rsidRPr="001E0058" w:rsidRDefault="00702809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r w:rsidRPr="001E0058">
        <w:rPr>
          <w:rFonts w:ascii="Times New Roman" w:eastAsia="TimesNewRoman" w:hAnsi="Times New Roman"/>
          <w:u w:val="single"/>
          <w:lang w:val="sk-SK"/>
        </w:rPr>
        <w:t>Sú</w:t>
      </w:r>
      <w:r w:rsidR="000C69FC">
        <w:rPr>
          <w:rFonts w:ascii="Times New Roman" w:eastAsia="TimesNewRoman" w:hAnsi="Times New Roman"/>
          <w:u w:val="single"/>
          <w:lang w:val="sk-SK"/>
        </w:rPr>
        <w:t>bežné</w:t>
      </w:r>
      <w:r w:rsidRPr="001E0058">
        <w:rPr>
          <w:rFonts w:ascii="Times New Roman" w:eastAsia="TimesNewRoman" w:hAnsi="Times New Roman"/>
          <w:u w:val="single"/>
          <w:lang w:val="sk-SK"/>
        </w:rPr>
        <w:t xml:space="preserve"> podávanie s </w:t>
      </w:r>
      <w:proofErr w:type="spellStart"/>
      <w:r w:rsidRPr="001E0058">
        <w:rPr>
          <w:rFonts w:ascii="Times New Roman" w:eastAsia="TimesNewRoman" w:hAnsi="Times New Roman"/>
          <w:u w:val="single"/>
          <w:lang w:val="sk-SK"/>
        </w:rPr>
        <w:t>alfablokátormi</w:t>
      </w:r>
      <w:proofErr w:type="spellEnd"/>
    </w:p>
    <w:p w14:paraId="488BCAD7" w14:textId="77777777" w:rsidR="00702809" w:rsidRPr="001E0058" w:rsidRDefault="00702809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6CF09741" w14:textId="26786B4C" w:rsidR="00B76076" w:rsidRPr="001E0058" w:rsidRDefault="00043D59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E85E32">
        <w:rPr>
          <w:rFonts w:ascii="Times New Roman" w:eastAsia="TimesNewRoman" w:hAnsi="Times New Roman"/>
          <w:lang w:val="sk-SK"/>
        </w:rPr>
        <w:t>Opa</w:t>
      </w:r>
      <w:r w:rsidRPr="001E0058">
        <w:rPr>
          <w:rFonts w:ascii="Times New Roman" w:eastAsia="TimesNewRoman" w:hAnsi="Times New Roman"/>
          <w:lang w:val="sk-SK"/>
        </w:rPr>
        <w:t xml:space="preserve">trnosť sa odporúča, </w:t>
      </w:r>
      <w:r w:rsidR="000C69FC">
        <w:rPr>
          <w:rFonts w:ascii="Times New Roman" w:eastAsia="TimesNewRoman" w:hAnsi="Times New Roman"/>
          <w:lang w:val="sk-SK"/>
        </w:rPr>
        <w:t>ak</w:t>
      </w:r>
      <w:r w:rsidRPr="001E0058">
        <w:rPr>
          <w:rFonts w:ascii="Times New Roman" w:eastAsia="TimesNewRoman" w:hAnsi="Times New Roman"/>
          <w:lang w:val="sk-SK"/>
        </w:rPr>
        <w:t xml:space="preserve"> sa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podáva pacientom užívajúcim </w:t>
      </w:r>
      <w:proofErr w:type="spellStart"/>
      <w:r w:rsidRPr="001E0058">
        <w:rPr>
          <w:rFonts w:ascii="Times New Roman" w:eastAsia="TimesNewRoman" w:hAnsi="Times New Roman"/>
          <w:lang w:val="sk-SK"/>
        </w:rPr>
        <w:t>alfablokátory</w:t>
      </w:r>
      <w:proofErr w:type="spellEnd"/>
      <w:r w:rsidR="00E85E32">
        <w:rPr>
          <w:rFonts w:ascii="Times New Roman" w:eastAsia="TimesNewRoman" w:hAnsi="Times New Roman"/>
          <w:lang w:val="sk-SK"/>
        </w:rPr>
        <w:t xml:space="preserve">, pretože </w:t>
      </w:r>
      <w:r w:rsidRPr="001E0058">
        <w:rPr>
          <w:rFonts w:ascii="Times New Roman" w:eastAsia="TimesNewRoman" w:hAnsi="Times New Roman"/>
          <w:lang w:val="sk-SK"/>
        </w:rPr>
        <w:t>sú</w:t>
      </w:r>
      <w:r w:rsidR="000C69FC">
        <w:rPr>
          <w:rFonts w:ascii="Times New Roman" w:eastAsia="TimesNewRoman" w:hAnsi="Times New Roman"/>
          <w:lang w:val="sk-SK"/>
        </w:rPr>
        <w:t>bežné</w:t>
      </w:r>
      <w:r w:rsidRPr="001E0058">
        <w:rPr>
          <w:rFonts w:ascii="Times New Roman" w:eastAsia="TimesNewRoman" w:hAnsi="Times New Roman"/>
          <w:lang w:val="sk-SK"/>
        </w:rPr>
        <w:t xml:space="preserve"> podávanie môže viesť u niektorých citlivých jedincov k symptomatickej hypotenzii (pozri časť 4.5). </w:t>
      </w:r>
      <w:r w:rsidR="0065033B">
        <w:rPr>
          <w:rFonts w:ascii="Times New Roman" w:eastAsia="TimesNewRoman" w:hAnsi="Times New Roman"/>
          <w:lang w:val="sk-SK"/>
        </w:rPr>
        <w:t xml:space="preserve">S najväčšou pravdepodobnosťou sa </w:t>
      </w:r>
      <w:r w:rsidRPr="001E0058">
        <w:rPr>
          <w:rFonts w:ascii="Times New Roman" w:eastAsia="TimesNewRoman" w:hAnsi="Times New Roman"/>
          <w:lang w:val="sk-SK"/>
        </w:rPr>
        <w:t>v</w:t>
      </w:r>
      <w:r w:rsidR="0065033B">
        <w:rPr>
          <w:rFonts w:ascii="Times New Roman" w:eastAsia="TimesNewRoman" w:hAnsi="Times New Roman"/>
          <w:lang w:val="sk-SK"/>
        </w:rPr>
        <w:t>y</w:t>
      </w:r>
      <w:r w:rsidRPr="001E0058">
        <w:rPr>
          <w:rFonts w:ascii="Times New Roman" w:eastAsia="TimesNewRoman" w:hAnsi="Times New Roman"/>
          <w:lang w:val="sk-SK"/>
        </w:rPr>
        <w:t xml:space="preserve">skytuje </w:t>
      </w:r>
      <w:r w:rsidR="0065033B">
        <w:rPr>
          <w:rFonts w:ascii="Times New Roman" w:eastAsia="TimesNewRoman" w:hAnsi="Times New Roman"/>
          <w:lang w:val="sk-SK"/>
        </w:rPr>
        <w:t xml:space="preserve">v priebehu </w:t>
      </w:r>
      <w:r w:rsidRPr="001E0058">
        <w:rPr>
          <w:rFonts w:ascii="Times New Roman" w:eastAsia="TimesNewRoman" w:hAnsi="Times New Roman"/>
          <w:lang w:val="sk-SK"/>
        </w:rPr>
        <w:t xml:space="preserve">4 hodín po podaní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>. Pacient</w:t>
      </w:r>
      <w:r w:rsidR="00950073">
        <w:rPr>
          <w:rFonts w:ascii="Times New Roman" w:eastAsia="TimesNewRoman" w:hAnsi="Times New Roman"/>
          <w:lang w:val="sk-SK"/>
        </w:rPr>
        <w:t>ov</w:t>
      </w:r>
      <w:r w:rsidRPr="001E0058">
        <w:rPr>
          <w:rFonts w:ascii="Times New Roman" w:eastAsia="TimesNewRoman" w:hAnsi="Times New Roman"/>
          <w:lang w:val="sk-SK"/>
        </w:rPr>
        <w:t xml:space="preserve"> liečen</w:t>
      </w:r>
      <w:r w:rsidR="00950073">
        <w:rPr>
          <w:rFonts w:ascii="Times New Roman" w:eastAsia="TimesNewRoman" w:hAnsi="Times New Roman"/>
          <w:lang w:val="sk-SK"/>
        </w:rPr>
        <w:t xml:space="preserve">ých </w:t>
      </w:r>
      <w:proofErr w:type="spellStart"/>
      <w:r w:rsidRPr="001E0058">
        <w:rPr>
          <w:rFonts w:ascii="Times New Roman" w:eastAsia="TimesNewRoman" w:hAnsi="Times New Roman"/>
          <w:lang w:val="sk-SK"/>
        </w:rPr>
        <w:t>alfablokátormi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950073">
        <w:rPr>
          <w:rFonts w:ascii="Times New Roman" w:eastAsia="TimesNewRoman" w:hAnsi="Times New Roman"/>
          <w:lang w:val="sk-SK"/>
        </w:rPr>
        <w:t xml:space="preserve">je potrebné </w:t>
      </w:r>
      <w:r w:rsidRPr="001E0058">
        <w:rPr>
          <w:rFonts w:ascii="Times New Roman" w:eastAsia="TimesNewRoman" w:hAnsi="Times New Roman"/>
          <w:lang w:val="sk-SK"/>
        </w:rPr>
        <w:t xml:space="preserve">pred začatím liečby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sildenafilom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hemodynamicky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stabilizova</w:t>
      </w:r>
      <w:r w:rsidR="00950073">
        <w:rPr>
          <w:rFonts w:ascii="Times New Roman" w:eastAsia="TimesNewRoman" w:hAnsi="Times New Roman"/>
          <w:lang w:val="sk-SK"/>
        </w:rPr>
        <w:t>ť</w:t>
      </w:r>
      <w:r w:rsidRPr="001E0058">
        <w:rPr>
          <w:rFonts w:ascii="Times New Roman" w:eastAsia="TimesNewRoman" w:hAnsi="Times New Roman"/>
          <w:lang w:val="sk-SK"/>
        </w:rPr>
        <w:t xml:space="preserve">, aby sa minimalizovala možnosť vzniku </w:t>
      </w:r>
      <w:proofErr w:type="spellStart"/>
      <w:r w:rsidRPr="001E0058">
        <w:rPr>
          <w:rFonts w:ascii="Times New Roman" w:eastAsia="TimesNewRoman" w:hAnsi="Times New Roman"/>
          <w:lang w:val="sk-SK"/>
        </w:rPr>
        <w:t>posturálnej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hypotenzie.</w:t>
      </w:r>
      <w:r w:rsidR="00B76076" w:rsidRPr="001E0058">
        <w:rPr>
          <w:rFonts w:ascii="Times New Roman" w:eastAsia="TimesNewRoman" w:hAnsi="Times New Roman"/>
          <w:lang w:val="sk-SK"/>
        </w:rPr>
        <w:t xml:space="preserve"> </w:t>
      </w:r>
      <w:r w:rsidR="00E16293" w:rsidRPr="001E0058">
        <w:rPr>
          <w:rFonts w:ascii="Times New Roman" w:hAnsi="Times New Roman"/>
          <w:lang w:val="sk-SK"/>
        </w:rPr>
        <w:t xml:space="preserve">Je potrebné zvážiť začatie podávania </w:t>
      </w:r>
      <w:proofErr w:type="spellStart"/>
      <w:r w:rsidR="00E16293" w:rsidRPr="001E0058">
        <w:rPr>
          <w:rFonts w:ascii="Times New Roman" w:hAnsi="Times New Roman"/>
          <w:lang w:val="sk-SK"/>
        </w:rPr>
        <w:t>sildenafilu</w:t>
      </w:r>
      <w:proofErr w:type="spellEnd"/>
      <w:r w:rsidR="00E16293" w:rsidRPr="001E0058">
        <w:rPr>
          <w:rFonts w:ascii="Times New Roman" w:hAnsi="Times New Roman"/>
          <w:lang w:val="sk-SK"/>
        </w:rPr>
        <w:t xml:space="preserve"> v dávke 1 ml</w:t>
      </w:r>
      <w:r w:rsidR="000C69FC">
        <w:rPr>
          <w:rFonts w:ascii="Times New Roman" w:hAnsi="Times New Roman"/>
          <w:lang w:val="sk-SK"/>
        </w:rPr>
        <w:t>, čo</w:t>
      </w:r>
      <w:r w:rsidR="00E16293" w:rsidRPr="001E0058">
        <w:rPr>
          <w:rFonts w:ascii="Times New Roman" w:hAnsi="Times New Roman"/>
          <w:lang w:val="sk-SK"/>
        </w:rPr>
        <w:t xml:space="preserve"> </w:t>
      </w:r>
      <w:r w:rsidR="000C69FC">
        <w:rPr>
          <w:rFonts w:ascii="Times New Roman" w:hAnsi="Times New Roman"/>
          <w:lang w:val="sk-SK"/>
        </w:rPr>
        <w:t>zodpovedá</w:t>
      </w:r>
      <w:r w:rsidR="00E16293" w:rsidRPr="001E0058">
        <w:rPr>
          <w:rFonts w:ascii="Times New Roman" w:hAnsi="Times New Roman"/>
          <w:lang w:val="sk-SK"/>
        </w:rPr>
        <w:t xml:space="preserve"> 25 mg </w:t>
      </w:r>
      <w:proofErr w:type="spellStart"/>
      <w:r w:rsidR="00E16293" w:rsidRPr="001E0058">
        <w:rPr>
          <w:rFonts w:ascii="Times New Roman" w:hAnsi="Times New Roman"/>
          <w:lang w:val="sk-SK"/>
        </w:rPr>
        <w:t>sildenafilu</w:t>
      </w:r>
      <w:proofErr w:type="spellEnd"/>
      <w:r w:rsidR="00E16293" w:rsidRPr="001E0058">
        <w:rPr>
          <w:rFonts w:ascii="Times New Roman" w:hAnsi="Times New Roman"/>
          <w:lang w:val="sk-SK"/>
        </w:rPr>
        <w:t xml:space="preserve"> (pozri časti 4.2). </w:t>
      </w:r>
      <w:r w:rsidR="00231936" w:rsidRPr="001E0058">
        <w:rPr>
          <w:rFonts w:ascii="Times New Roman" w:eastAsia="TimesNewRoman" w:hAnsi="Times New Roman"/>
          <w:lang w:val="sk-SK"/>
        </w:rPr>
        <w:t>Lekári majú okrem toho poradiť pacientom</w:t>
      </w:r>
      <w:r w:rsidR="00EA141E">
        <w:rPr>
          <w:rFonts w:ascii="Times New Roman" w:eastAsia="TimesNewRoman" w:hAnsi="Times New Roman"/>
          <w:lang w:val="sk-SK"/>
        </w:rPr>
        <w:t>,</w:t>
      </w:r>
      <w:r w:rsidR="00231936" w:rsidRPr="001E0058">
        <w:rPr>
          <w:rFonts w:ascii="Times New Roman" w:eastAsia="TimesNewRoman" w:hAnsi="Times New Roman"/>
          <w:lang w:val="sk-SK"/>
        </w:rPr>
        <w:t xml:space="preserve"> čo robiť v prípade </w:t>
      </w:r>
      <w:r w:rsidR="00C40754">
        <w:rPr>
          <w:rFonts w:ascii="Times New Roman" w:eastAsia="TimesNewRoman" w:hAnsi="Times New Roman"/>
          <w:lang w:val="sk-SK"/>
        </w:rPr>
        <w:t xml:space="preserve">výskytu </w:t>
      </w:r>
      <w:r w:rsidR="00231936" w:rsidRPr="001E0058">
        <w:rPr>
          <w:rFonts w:ascii="Times New Roman" w:eastAsia="TimesNewRoman" w:hAnsi="Times New Roman"/>
          <w:lang w:val="sk-SK"/>
        </w:rPr>
        <w:t xml:space="preserve">príznakov </w:t>
      </w:r>
      <w:proofErr w:type="spellStart"/>
      <w:r w:rsidR="00231936" w:rsidRPr="001E0058">
        <w:rPr>
          <w:rFonts w:ascii="Times New Roman" w:eastAsia="TimesNewRoman" w:hAnsi="Times New Roman"/>
          <w:lang w:val="sk-SK"/>
        </w:rPr>
        <w:t>posturálnej</w:t>
      </w:r>
      <w:proofErr w:type="spellEnd"/>
      <w:r w:rsidR="00231936" w:rsidRPr="001E0058">
        <w:rPr>
          <w:rFonts w:ascii="Times New Roman" w:eastAsia="TimesNewRoman" w:hAnsi="Times New Roman"/>
          <w:lang w:val="sk-SK"/>
        </w:rPr>
        <w:t xml:space="preserve"> hypotenzie.</w:t>
      </w:r>
    </w:p>
    <w:p w14:paraId="64E78EB3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225A4D0F" w14:textId="70692753" w:rsidR="00B76076" w:rsidRPr="001E0058" w:rsidRDefault="0023193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r w:rsidRPr="001E0058">
        <w:rPr>
          <w:rFonts w:ascii="Times New Roman" w:eastAsia="TimesNewRoman" w:hAnsi="Times New Roman"/>
          <w:u w:val="single"/>
          <w:lang w:val="sk-SK"/>
        </w:rPr>
        <w:t>Účinky na krvácanie</w:t>
      </w:r>
    </w:p>
    <w:p w14:paraId="7D4AFEBB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4BB29596" w14:textId="4B4A03FC" w:rsidR="00B76076" w:rsidRPr="001E0058" w:rsidRDefault="0023193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Štúdie </w:t>
      </w:r>
      <w:r w:rsidRPr="001E0058">
        <w:rPr>
          <w:rFonts w:ascii="Times New Roman" w:eastAsia="TimesNewRoman" w:hAnsi="Times New Roman"/>
          <w:i/>
          <w:lang w:val="sk-SK"/>
        </w:rPr>
        <w:t xml:space="preserve">in vitro </w:t>
      </w:r>
      <w:r w:rsidRPr="001E0058">
        <w:rPr>
          <w:rFonts w:ascii="Times New Roman" w:eastAsia="TimesNewRoman" w:hAnsi="Times New Roman"/>
          <w:lang w:val="sk-SK"/>
        </w:rPr>
        <w:t xml:space="preserve">s </w:t>
      </w:r>
      <w:r w:rsidR="000C69FC">
        <w:rPr>
          <w:rFonts w:ascii="Times New Roman" w:eastAsia="TimesNewRoman" w:hAnsi="Times New Roman"/>
          <w:lang w:val="sk-SK"/>
        </w:rPr>
        <w:t>ľudskými</w:t>
      </w:r>
      <w:r w:rsidR="000C69FC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krvnými doštičkami naznačujú, že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103320">
        <w:rPr>
          <w:rFonts w:ascii="Times New Roman" w:eastAsia="TimesNewRoman" w:hAnsi="Times New Roman"/>
          <w:lang w:val="sk-SK"/>
        </w:rPr>
        <w:t xml:space="preserve">zosilňuje </w:t>
      </w:r>
      <w:proofErr w:type="spellStart"/>
      <w:r w:rsidRPr="001E0058">
        <w:rPr>
          <w:rFonts w:ascii="Times New Roman" w:eastAsia="TimesNewRoman" w:hAnsi="Times New Roman"/>
          <w:lang w:val="sk-SK"/>
        </w:rPr>
        <w:t>antiagregačný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účinok </w:t>
      </w:r>
      <w:proofErr w:type="spellStart"/>
      <w:r w:rsidRPr="001E0058">
        <w:rPr>
          <w:rFonts w:ascii="Times New Roman" w:eastAsia="TimesNewRoman" w:hAnsi="Times New Roman"/>
          <w:lang w:val="sk-SK"/>
        </w:rPr>
        <w:t>nitroprusidu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sodného. </w:t>
      </w:r>
      <w:r w:rsidR="00576F95">
        <w:rPr>
          <w:rFonts w:ascii="Times New Roman" w:eastAsia="TimesNewRoman" w:hAnsi="Times New Roman"/>
          <w:lang w:val="sk-SK"/>
        </w:rPr>
        <w:t>K dispozícii n</w:t>
      </w:r>
      <w:r w:rsidRPr="001E0058">
        <w:rPr>
          <w:rFonts w:ascii="Times New Roman" w:eastAsia="TimesNewRoman" w:hAnsi="Times New Roman"/>
          <w:lang w:val="sk-SK"/>
        </w:rPr>
        <w:t>ie sú žiadne údaje o bezpečnosti pod</w:t>
      </w:r>
      <w:r w:rsidR="000C6E7B">
        <w:rPr>
          <w:rFonts w:ascii="Times New Roman" w:eastAsia="TimesNewRoman" w:hAnsi="Times New Roman"/>
          <w:lang w:val="sk-SK"/>
        </w:rPr>
        <w:t>áv</w:t>
      </w:r>
      <w:r w:rsidRPr="001E0058">
        <w:rPr>
          <w:rFonts w:ascii="Times New Roman" w:eastAsia="TimesNewRoman" w:hAnsi="Times New Roman"/>
          <w:lang w:val="sk-SK"/>
        </w:rPr>
        <w:t xml:space="preserve">ania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pacientom s poruchami krvácania alebo aktívnym </w:t>
      </w:r>
      <w:proofErr w:type="spellStart"/>
      <w:r w:rsidRPr="001E0058">
        <w:rPr>
          <w:rFonts w:ascii="Times New Roman" w:eastAsia="TimesNewRoman" w:hAnsi="Times New Roman"/>
          <w:lang w:val="sk-SK"/>
        </w:rPr>
        <w:t>peptickým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vredom. Preto sa má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u týchto pacientov podávať iba po dôslednom zvážení </w:t>
      </w:r>
      <w:r w:rsidR="000C69FC">
        <w:rPr>
          <w:rFonts w:ascii="Times New Roman" w:eastAsia="TimesNewRoman" w:hAnsi="Times New Roman"/>
          <w:lang w:val="sk-SK"/>
        </w:rPr>
        <w:t xml:space="preserve">pomeru </w:t>
      </w:r>
      <w:r w:rsidRPr="001E0058">
        <w:rPr>
          <w:rFonts w:ascii="Times New Roman" w:eastAsia="TimesNewRoman" w:hAnsi="Times New Roman"/>
          <w:lang w:val="sk-SK"/>
        </w:rPr>
        <w:t>prínosu a rizika.</w:t>
      </w:r>
    </w:p>
    <w:p w14:paraId="48F27497" w14:textId="77777777" w:rsidR="00231936" w:rsidRPr="001E0058" w:rsidRDefault="0023193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D2181FF" w14:textId="23DF6D27" w:rsidR="00B76076" w:rsidRPr="001E0058" w:rsidRDefault="0023193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r w:rsidRPr="001E0058">
        <w:rPr>
          <w:rFonts w:ascii="Times New Roman" w:eastAsia="TimesNewRoman" w:hAnsi="Times New Roman"/>
          <w:u w:val="single"/>
          <w:lang w:val="sk-SK"/>
        </w:rPr>
        <w:t>Ženy</w:t>
      </w:r>
    </w:p>
    <w:p w14:paraId="2984D9B2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68A05522" w14:textId="7187C491" w:rsidR="00B76076" w:rsidRPr="001E0058" w:rsidRDefault="000D280F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1E0058">
        <w:rPr>
          <w:rFonts w:ascii="Times New Roman" w:eastAsia="TimesNewRoman" w:hAnsi="Times New Roman"/>
          <w:lang w:val="sk-SK"/>
        </w:rPr>
        <w:t>Azurvig</w:t>
      </w:r>
      <w:proofErr w:type="spellEnd"/>
      <w:r w:rsidR="00B76076" w:rsidRPr="001E0058">
        <w:rPr>
          <w:rFonts w:ascii="Times New Roman" w:eastAsia="TimesNewRoman" w:hAnsi="Times New Roman"/>
          <w:lang w:val="sk-SK"/>
        </w:rPr>
        <w:t xml:space="preserve"> </w:t>
      </w:r>
      <w:r w:rsidR="00231936" w:rsidRPr="001E0058">
        <w:rPr>
          <w:rFonts w:ascii="Times New Roman" w:eastAsia="TimesNewRoman" w:hAnsi="Times New Roman"/>
          <w:lang w:val="sk-SK"/>
        </w:rPr>
        <w:t xml:space="preserve">nie je indikovaný </w:t>
      </w:r>
      <w:r w:rsidR="000C69FC">
        <w:rPr>
          <w:rFonts w:ascii="Times New Roman" w:eastAsia="TimesNewRoman" w:hAnsi="Times New Roman"/>
          <w:lang w:val="sk-SK"/>
        </w:rPr>
        <w:t>ženám.</w:t>
      </w:r>
    </w:p>
    <w:p w14:paraId="11936F9D" w14:textId="77777777" w:rsidR="00A93E90" w:rsidRPr="001E0058" w:rsidRDefault="00A93E90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0C287975" w14:textId="008CEFB5" w:rsidR="00B76076" w:rsidRPr="001E0058" w:rsidRDefault="00B76076" w:rsidP="00097C3B">
      <w:p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1E0058">
        <w:rPr>
          <w:rFonts w:ascii="Times New Roman" w:eastAsia="TimesNewRoman,Bold" w:hAnsi="Times New Roman"/>
          <w:b/>
          <w:bCs/>
          <w:lang w:val="sk-SK"/>
        </w:rPr>
        <w:t>4.5</w:t>
      </w:r>
      <w:r w:rsidR="000C6E7B">
        <w:rPr>
          <w:rFonts w:ascii="Times New Roman" w:eastAsia="TimesNewRoman,Bold" w:hAnsi="Times New Roman"/>
          <w:b/>
          <w:bCs/>
          <w:lang w:val="sk-SK"/>
        </w:rPr>
        <w:tab/>
      </w:r>
      <w:r w:rsidR="007D595A" w:rsidRPr="001E0058">
        <w:rPr>
          <w:rFonts w:ascii="Times New Roman" w:eastAsia="TimesNewRoman,Bold" w:hAnsi="Times New Roman"/>
          <w:b/>
          <w:bCs/>
          <w:lang w:val="sk-SK"/>
        </w:rPr>
        <w:t>Liekové a iné interakcie</w:t>
      </w:r>
    </w:p>
    <w:p w14:paraId="07C82BE3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254867A7" w14:textId="39D49E23" w:rsidR="00B76076" w:rsidRPr="001E0058" w:rsidRDefault="007D595A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r w:rsidRPr="001E0058">
        <w:rPr>
          <w:rFonts w:ascii="Times New Roman" w:eastAsia="TimesNewRoman" w:hAnsi="Times New Roman"/>
          <w:u w:val="single"/>
          <w:lang w:val="sk-SK"/>
        </w:rPr>
        <w:t>Účinky iných lie</w:t>
      </w:r>
      <w:r w:rsidR="005B762E">
        <w:rPr>
          <w:rFonts w:ascii="Times New Roman" w:eastAsia="TimesNewRoman" w:hAnsi="Times New Roman"/>
          <w:u w:val="single"/>
          <w:lang w:val="sk-SK"/>
        </w:rPr>
        <w:t>čiv</w:t>
      </w:r>
      <w:r w:rsidRPr="001E0058">
        <w:rPr>
          <w:rFonts w:ascii="Times New Roman" w:eastAsia="TimesNewRoman" w:hAnsi="Times New Roman"/>
          <w:u w:val="single"/>
          <w:lang w:val="sk-SK"/>
        </w:rPr>
        <w:t xml:space="preserve"> na </w:t>
      </w:r>
      <w:proofErr w:type="spellStart"/>
      <w:r w:rsidRPr="001E0058">
        <w:rPr>
          <w:rFonts w:ascii="Times New Roman" w:eastAsia="TimesNewRoman" w:hAnsi="Times New Roman"/>
          <w:u w:val="single"/>
          <w:lang w:val="sk-SK"/>
        </w:rPr>
        <w:t>sildenafil</w:t>
      </w:r>
      <w:proofErr w:type="spellEnd"/>
    </w:p>
    <w:p w14:paraId="65BD3062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lang w:val="sk-SK"/>
        </w:rPr>
      </w:pPr>
    </w:p>
    <w:p w14:paraId="4B20ACFF" w14:textId="77777777" w:rsidR="007D595A" w:rsidRPr="001E0058" w:rsidRDefault="007D595A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lang w:val="sk-SK"/>
        </w:rPr>
      </w:pPr>
      <w:r w:rsidRPr="001E0058">
        <w:rPr>
          <w:rFonts w:ascii="Times New Roman" w:eastAsia="TimesNewRoman,Bold" w:hAnsi="Times New Roman"/>
          <w:i/>
          <w:iCs/>
          <w:lang w:val="sk-SK"/>
        </w:rPr>
        <w:t>Štúdie in vitro</w:t>
      </w:r>
    </w:p>
    <w:p w14:paraId="0D572802" w14:textId="62B1EE2E" w:rsidR="007D595A" w:rsidRPr="001E0058" w:rsidRDefault="007D595A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1E0058">
        <w:rPr>
          <w:rFonts w:ascii="Times New Roman" w:eastAsia="TimesNewRoman" w:hAnsi="Times New Roman"/>
          <w:lang w:val="sk-SK"/>
        </w:rPr>
        <w:lastRenderedPageBreak/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2F3F54">
        <w:rPr>
          <w:rFonts w:ascii="Times New Roman" w:eastAsia="TimesNewRoman" w:hAnsi="Times New Roman"/>
          <w:lang w:val="sk-SK"/>
        </w:rPr>
        <w:t xml:space="preserve">sa </w:t>
      </w:r>
      <w:r w:rsidRPr="001E0058">
        <w:rPr>
          <w:rFonts w:ascii="Times New Roman" w:eastAsia="TimesNewRoman" w:hAnsi="Times New Roman"/>
          <w:lang w:val="sk-SK"/>
        </w:rPr>
        <w:t>metaboliz</w:t>
      </w:r>
      <w:r w:rsidR="002F3F54">
        <w:rPr>
          <w:rFonts w:ascii="Times New Roman" w:eastAsia="TimesNewRoman" w:hAnsi="Times New Roman"/>
          <w:lang w:val="sk-SK"/>
        </w:rPr>
        <w:t xml:space="preserve">uje </w:t>
      </w:r>
      <w:r w:rsidR="000C69FC">
        <w:rPr>
          <w:rFonts w:ascii="Times New Roman" w:eastAsia="TimesNewRoman" w:hAnsi="Times New Roman"/>
          <w:lang w:val="sk-SK"/>
        </w:rPr>
        <w:t>hlavne</w:t>
      </w:r>
      <w:r w:rsidR="006F190C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="00392D3E">
        <w:rPr>
          <w:rFonts w:ascii="Times New Roman" w:eastAsia="TimesNewRoman" w:hAnsi="Times New Roman"/>
          <w:lang w:val="sk-SK"/>
        </w:rPr>
        <w:t>izoformami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="000C69FC">
        <w:rPr>
          <w:rFonts w:ascii="Times New Roman" w:eastAsia="TimesNewRoman" w:hAnsi="Times New Roman"/>
          <w:lang w:val="sk-SK"/>
        </w:rPr>
        <w:t>cytochr</w:t>
      </w:r>
      <w:r w:rsidR="00392D3E">
        <w:rPr>
          <w:rFonts w:ascii="Times New Roman" w:eastAsia="TimesNewRoman" w:hAnsi="Times New Roman"/>
          <w:lang w:val="sk-SK"/>
        </w:rPr>
        <w:t>ómu</w:t>
      </w:r>
      <w:proofErr w:type="spellEnd"/>
      <w:r w:rsidR="00392D3E">
        <w:rPr>
          <w:rFonts w:ascii="Times New Roman" w:eastAsia="TimesNewRoman" w:hAnsi="Times New Roman"/>
          <w:lang w:val="sk-SK"/>
        </w:rPr>
        <w:t xml:space="preserve"> P450 </w:t>
      </w:r>
      <w:r w:rsidR="000C69FC">
        <w:rPr>
          <w:rFonts w:ascii="Times New Roman" w:eastAsia="TimesNewRoman" w:hAnsi="Times New Roman"/>
          <w:lang w:val="sk-SK"/>
        </w:rPr>
        <w:t>(CYP)</w:t>
      </w:r>
      <w:r w:rsidR="00392D3E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3A4 (hlavná metabolická cesta) a 2C9 (vedľajšia metabolická cesta). Inhibítory týchto </w:t>
      </w:r>
      <w:proofErr w:type="spellStart"/>
      <w:r w:rsidRPr="001E0058">
        <w:rPr>
          <w:rFonts w:ascii="Times New Roman" w:eastAsia="TimesNewRoman" w:hAnsi="Times New Roman"/>
          <w:lang w:val="sk-SK"/>
        </w:rPr>
        <w:t>izoenzýmov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môžu preto znížiť klírens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 induktory týchto </w:t>
      </w:r>
      <w:proofErr w:type="spellStart"/>
      <w:r w:rsidRPr="001E0058">
        <w:rPr>
          <w:rFonts w:ascii="Times New Roman" w:eastAsia="TimesNewRoman" w:hAnsi="Times New Roman"/>
          <w:lang w:val="sk-SK"/>
        </w:rPr>
        <w:t>izoenzýmov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môžu zvýšiť klírens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>.</w:t>
      </w:r>
    </w:p>
    <w:p w14:paraId="0A111E8B" w14:textId="77777777" w:rsidR="007D595A" w:rsidRPr="001E0058" w:rsidRDefault="007D595A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lang w:val="sk-SK"/>
        </w:rPr>
      </w:pPr>
    </w:p>
    <w:p w14:paraId="5F56A03A" w14:textId="77777777" w:rsidR="007D595A" w:rsidRPr="001E0058" w:rsidRDefault="007D595A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lang w:val="sk-SK"/>
        </w:rPr>
      </w:pPr>
      <w:r w:rsidRPr="001E0058">
        <w:rPr>
          <w:rFonts w:ascii="Times New Roman" w:eastAsia="TimesNewRoman,Bold" w:hAnsi="Times New Roman"/>
          <w:i/>
          <w:iCs/>
          <w:lang w:val="sk-SK"/>
        </w:rPr>
        <w:t>Štúdie in vivo</w:t>
      </w:r>
    </w:p>
    <w:p w14:paraId="04CFB83B" w14:textId="02D23C55" w:rsidR="00B76076" w:rsidRPr="001E0058" w:rsidRDefault="0098724A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 xml:space="preserve">Populačná </w:t>
      </w:r>
      <w:proofErr w:type="spellStart"/>
      <w:r w:rsidRPr="00666DFA">
        <w:rPr>
          <w:rFonts w:ascii="Times New Roman" w:eastAsia="TimesNewRoman" w:hAnsi="Times New Roman"/>
          <w:lang w:val="sk-SK"/>
        </w:rPr>
        <w:t>farmakokinetick</w:t>
      </w:r>
      <w:r>
        <w:rPr>
          <w:rFonts w:ascii="Times New Roman" w:eastAsia="TimesNewRoman" w:hAnsi="Times New Roman"/>
          <w:lang w:val="sk-SK"/>
        </w:rPr>
        <w:t>á</w:t>
      </w:r>
      <w:proofErr w:type="spellEnd"/>
      <w:r>
        <w:rPr>
          <w:rFonts w:ascii="Times New Roman" w:eastAsia="TimesNewRoman" w:hAnsi="Times New Roman"/>
          <w:lang w:val="sk-SK"/>
        </w:rPr>
        <w:t xml:space="preserve"> a</w:t>
      </w:r>
      <w:r w:rsidR="007D595A" w:rsidRPr="00666DFA">
        <w:rPr>
          <w:rFonts w:ascii="Times New Roman" w:eastAsia="TimesNewRoman" w:hAnsi="Times New Roman"/>
          <w:lang w:val="sk-SK"/>
        </w:rPr>
        <w:t>nalýz</w:t>
      </w:r>
      <w:r>
        <w:rPr>
          <w:rFonts w:ascii="Times New Roman" w:eastAsia="TimesNewRoman" w:hAnsi="Times New Roman"/>
          <w:lang w:val="sk-SK"/>
        </w:rPr>
        <w:t>a</w:t>
      </w:r>
      <w:r w:rsidR="007D595A" w:rsidRPr="00666DFA">
        <w:rPr>
          <w:rFonts w:ascii="Times New Roman" w:eastAsia="TimesNewRoman" w:hAnsi="Times New Roman"/>
          <w:lang w:val="sk-SK"/>
        </w:rPr>
        <w:t xml:space="preserve"> údajov </w:t>
      </w:r>
      <w:r>
        <w:rPr>
          <w:rFonts w:ascii="Times New Roman" w:eastAsia="TimesNewRoman" w:hAnsi="Times New Roman"/>
          <w:lang w:val="sk-SK"/>
        </w:rPr>
        <w:t xml:space="preserve">získaných z </w:t>
      </w:r>
      <w:r w:rsidR="007D595A" w:rsidRPr="00666DFA">
        <w:rPr>
          <w:rFonts w:ascii="Times New Roman" w:eastAsia="TimesNewRoman" w:hAnsi="Times New Roman"/>
          <w:lang w:val="sk-SK"/>
        </w:rPr>
        <w:t xml:space="preserve">klinických </w:t>
      </w:r>
      <w:r w:rsidR="00392D3E" w:rsidRPr="00666DFA">
        <w:rPr>
          <w:rFonts w:ascii="Times New Roman" w:eastAsia="TimesNewRoman" w:hAnsi="Times New Roman"/>
          <w:lang w:val="sk-SK"/>
        </w:rPr>
        <w:t>skúšan</w:t>
      </w:r>
      <w:r>
        <w:rPr>
          <w:rFonts w:ascii="Times New Roman" w:eastAsia="TimesNewRoman" w:hAnsi="Times New Roman"/>
          <w:lang w:val="sk-SK"/>
        </w:rPr>
        <w:t>í</w:t>
      </w:r>
      <w:r w:rsidR="007D595A" w:rsidRPr="001E0058">
        <w:rPr>
          <w:rFonts w:ascii="Times New Roman" w:eastAsia="TimesNewRoman" w:hAnsi="Times New Roman"/>
          <w:lang w:val="sk-SK"/>
        </w:rPr>
        <w:t xml:space="preserve"> naznač</w:t>
      </w:r>
      <w:r>
        <w:rPr>
          <w:rFonts w:ascii="Times New Roman" w:eastAsia="TimesNewRoman" w:hAnsi="Times New Roman"/>
          <w:lang w:val="sk-SK"/>
        </w:rPr>
        <w:t>ila</w:t>
      </w:r>
      <w:r w:rsidR="00DA067F">
        <w:rPr>
          <w:rFonts w:ascii="Times New Roman" w:eastAsia="TimesNewRoman" w:hAnsi="Times New Roman"/>
          <w:lang w:val="sk-SK"/>
        </w:rPr>
        <w:t xml:space="preserve"> </w:t>
      </w:r>
      <w:r w:rsidR="007D595A" w:rsidRPr="001E0058">
        <w:rPr>
          <w:rFonts w:ascii="Times New Roman" w:eastAsia="TimesNewRoman" w:hAnsi="Times New Roman"/>
          <w:lang w:val="sk-SK"/>
        </w:rPr>
        <w:t>zníženi</w:t>
      </w:r>
      <w:r w:rsidR="00DA067F">
        <w:rPr>
          <w:rFonts w:ascii="Times New Roman" w:eastAsia="TimesNewRoman" w:hAnsi="Times New Roman"/>
          <w:lang w:val="sk-SK"/>
        </w:rPr>
        <w:t>e</w:t>
      </w:r>
      <w:r w:rsidR="007D595A"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="007D595A" w:rsidRPr="001E0058">
        <w:rPr>
          <w:rFonts w:ascii="Times New Roman" w:eastAsia="TimesNewRoman" w:hAnsi="Times New Roman"/>
          <w:lang w:val="sk-SK"/>
        </w:rPr>
        <w:t>klírensu</w:t>
      </w:r>
      <w:proofErr w:type="spellEnd"/>
      <w:r w:rsidR="007D595A"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="007D595A"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="007D595A" w:rsidRPr="001E0058">
        <w:rPr>
          <w:rFonts w:ascii="Times New Roman" w:eastAsia="TimesNewRoman" w:hAnsi="Times New Roman"/>
          <w:lang w:val="sk-SK"/>
        </w:rPr>
        <w:t>, ak sa podáva sú</w:t>
      </w:r>
      <w:r w:rsidR="00392D3E">
        <w:rPr>
          <w:rFonts w:ascii="Times New Roman" w:eastAsia="TimesNewRoman" w:hAnsi="Times New Roman"/>
          <w:lang w:val="sk-SK"/>
        </w:rPr>
        <w:t>bežne</w:t>
      </w:r>
      <w:r w:rsidR="007D595A" w:rsidRPr="001E0058">
        <w:rPr>
          <w:rFonts w:ascii="Times New Roman" w:eastAsia="TimesNewRoman" w:hAnsi="Times New Roman"/>
          <w:lang w:val="sk-SK"/>
        </w:rPr>
        <w:t xml:space="preserve"> s inhibítormi </w:t>
      </w:r>
      <w:proofErr w:type="spellStart"/>
      <w:r w:rsidR="007D595A" w:rsidRPr="001E0058">
        <w:rPr>
          <w:rFonts w:ascii="Times New Roman" w:eastAsia="TimesNewRoman" w:hAnsi="Times New Roman"/>
          <w:lang w:val="sk-SK"/>
        </w:rPr>
        <w:t>izoenzýmu</w:t>
      </w:r>
      <w:proofErr w:type="spellEnd"/>
      <w:r w:rsidR="007D595A" w:rsidRPr="001E0058">
        <w:rPr>
          <w:rFonts w:ascii="Times New Roman" w:eastAsia="TimesNewRoman" w:hAnsi="Times New Roman"/>
          <w:lang w:val="sk-SK"/>
        </w:rPr>
        <w:t xml:space="preserve"> CYP3A4 (ako </w:t>
      </w:r>
      <w:r w:rsidR="000C6C10">
        <w:rPr>
          <w:rFonts w:ascii="Times New Roman" w:eastAsia="TimesNewRoman" w:hAnsi="Times New Roman"/>
          <w:lang w:val="sk-SK"/>
        </w:rPr>
        <w:t>je</w:t>
      </w:r>
      <w:r w:rsidR="007D595A"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="007D595A" w:rsidRPr="001E0058">
        <w:rPr>
          <w:rFonts w:ascii="Times New Roman" w:eastAsia="TimesNewRoman" w:hAnsi="Times New Roman"/>
          <w:lang w:val="sk-SK"/>
        </w:rPr>
        <w:t>ketokonazol</w:t>
      </w:r>
      <w:proofErr w:type="spellEnd"/>
      <w:r w:rsidR="007D595A" w:rsidRPr="001E0058">
        <w:rPr>
          <w:rFonts w:ascii="Times New Roman" w:eastAsia="TimesNewRoman" w:hAnsi="Times New Roman"/>
          <w:lang w:val="sk-SK"/>
        </w:rPr>
        <w:t xml:space="preserve">, </w:t>
      </w:r>
      <w:proofErr w:type="spellStart"/>
      <w:r w:rsidR="007D595A" w:rsidRPr="001E0058">
        <w:rPr>
          <w:rFonts w:ascii="Times New Roman" w:eastAsia="TimesNewRoman" w:hAnsi="Times New Roman"/>
          <w:lang w:val="sk-SK"/>
        </w:rPr>
        <w:t>erytromycín</w:t>
      </w:r>
      <w:proofErr w:type="spellEnd"/>
      <w:r w:rsidR="007D595A" w:rsidRPr="001E0058">
        <w:rPr>
          <w:rFonts w:ascii="Times New Roman" w:eastAsia="TimesNewRoman" w:hAnsi="Times New Roman"/>
          <w:lang w:val="sk-SK"/>
        </w:rPr>
        <w:t xml:space="preserve">, </w:t>
      </w:r>
      <w:proofErr w:type="spellStart"/>
      <w:r w:rsidR="007D595A" w:rsidRPr="001E0058">
        <w:rPr>
          <w:rFonts w:ascii="Times New Roman" w:eastAsia="TimesNewRoman" w:hAnsi="Times New Roman"/>
          <w:lang w:val="sk-SK"/>
        </w:rPr>
        <w:t>cimetidín</w:t>
      </w:r>
      <w:proofErr w:type="spellEnd"/>
      <w:r w:rsidR="007D595A" w:rsidRPr="001E0058">
        <w:rPr>
          <w:rFonts w:ascii="Times New Roman" w:eastAsia="TimesNewRoman" w:hAnsi="Times New Roman"/>
          <w:lang w:val="sk-SK"/>
        </w:rPr>
        <w:t xml:space="preserve">). Hoci sa u týchto pacientov nezaznamenalo žiadne zvýšenie výskytu nežiaducich účinkov, </w:t>
      </w:r>
      <w:r w:rsidR="00954D20">
        <w:rPr>
          <w:rFonts w:ascii="Times New Roman" w:eastAsia="TimesNewRoman" w:hAnsi="Times New Roman"/>
          <w:lang w:val="sk-SK"/>
        </w:rPr>
        <w:t xml:space="preserve">pri </w:t>
      </w:r>
      <w:r w:rsidR="00954D20" w:rsidRPr="001E0058">
        <w:rPr>
          <w:rFonts w:ascii="Times New Roman" w:eastAsia="TimesNewRoman" w:hAnsi="Times New Roman"/>
          <w:lang w:val="sk-SK"/>
        </w:rPr>
        <w:t>sú</w:t>
      </w:r>
      <w:r w:rsidR="00954D20">
        <w:rPr>
          <w:rFonts w:ascii="Times New Roman" w:eastAsia="TimesNewRoman" w:hAnsi="Times New Roman"/>
          <w:lang w:val="sk-SK"/>
        </w:rPr>
        <w:t xml:space="preserve">bežnom podávaní </w:t>
      </w:r>
      <w:proofErr w:type="spellStart"/>
      <w:r w:rsidR="007D595A" w:rsidRPr="001E0058">
        <w:rPr>
          <w:rFonts w:ascii="Times New Roman" w:eastAsia="TimesNewRoman" w:hAnsi="Times New Roman"/>
          <w:lang w:val="sk-SK"/>
        </w:rPr>
        <w:t>sildenafil</w:t>
      </w:r>
      <w:r w:rsidR="00954D20">
        <w:rPr>
          <w:rFonts w:ascii="Times New Roman" w:eastAsia="TimesNewRoman" w:hAnsi="Times New Roman"/>
          <w:lang w:val="sk-SK"/>
        </w:rPr>
        <w:t>u</w:t>
      </w:r>
      <w:proofErr w:type="spellEnd"/>
      <w:r w:rsidR="007D595A" w:rsidRPr="001E0058">
        <w:rPr>
          <w:rFonts w:ascii="Times New Roman" w:eastAsia="TimesNewRoman" w:hAnsi="Times New Roman"/>
          <w:lang w:val="sk-SK"/>
        </w:rPr>
        <w:t xml:space="preserve"> s inhibítormi CYP3A4</w:t>
      </w:r>
      <w:r w:rsidR="00954D20">
        <w:rPr>
          <w:rFonts w:ascii="Times New Roman" w:eastAsia="TimesNewRoman" w:hAnsi="Times New Roman"/>
          <w:lang w:val="sk-SK"/>
        </w:rPr>
        <w:t xml:space="preserve"> </w:t>
      </w:r>
      <w:r w:rsidR="00954D20" w:rsidRPr="001E0058">
        <w:rPr>
          <w:rFonts w:ascii="Times New Roman" w:eastAsia="TimesNewRoman" w:hAnsi="Times New Roman"/>
          <w:lang w:val="sk-SK"/>
        </w:rPr>
        <w:t>sa</w:t>
      </w:r>
      <w:r w:rsidR="00954D20">
        <w:rPr>
          <w:rFonts w:ascii="Times New Roman" w:eastAsia="TimesNewRoman" w:hAnsi="Times New Roman"/>
          <w:lang w:val="sk-SK"/>
        </w:rPr>
        <w:t xml:space="preserve"> </w:t>
      </w:r>
      <w:r w:rsidR="007D595A" w:rsidRPr="001E0058">
        <w:rPr>
          <w:rFonts w:ascii="Times New Roman" w:eastAsia="TimesNewRoman" w:hAnsi="Times New Roman"/>
          <w:lang w:val="sk-SK"/>
        </w:rPr>
        <w:t xml:space="preserve">má zvážiť </w:t>
      </w:r>
      <w:r w:rsidR="002B5DFC">
        <w:rPr>
          <w:rFonts w:ascii="Times New Roman" w:eastAsia="TimesNewRoman" w:hAnsi="Times New Roman"/>
          <w:lang w:val="sk-SK"/>
        </w:rPr>
        <w:t>začiatočná</w:t>
      </w:r>
      <w:r w:rsidR="007D595A" w:rsidRPr="001E0058">
        <w:rPr>
          <w:rFonts w:ascii="Times New Roman" w:eastAsia="TimesNewRoman" w:hAnsi="Times New Roman"/>
          <w:lang w:val="sk-SK"/>
        </w:rPr>
        <w:t xml:space="preserve"> dávka 25 mg.</w:t>
      </w:r>
    </w:p>
    <w:p w14:paraId="2FDB5007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61C78FA1" w14:textId="0D1426B6" w:rsidR="00AC4E6B" w:rsidRPr="001E0058" w:rsidRDefault="007D595A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A51833">
        <w:rPr>
          <w:rFonts w:ascii="Times New Roman" w:eastAsia="TimesNewRoman" w:hAnsi="Times New Roman"/>
          <w:lang w:val="sk-SK"/>
        </w:rPr>
        <w:t>Sú</w:t>
      </w:r>
      <w:r w:rsidR="00392D3E">
        <w:rPr>
          <w:rFonts w:ascii="Times New Roman" w:eastAsia="TimesNewRoman" w:hAnsi="Times New Roman"/>
          <w:lang w:val="sk-SK"/>
        </w:rPr>
        <w:t>bežné</w:t>
      </w:r>
      <w:r w:rsidRPr="001E0058">
        <w:rPr>
          <w:rFonts w:ascii="Times New Roman" w:eastAsia="TimesNewRoman" w:hAnsi="Times New Roman"/>
          <w:lang w:val="sk-SK"/>
        </w:rPr>
        <w:t xml:space="preserve"> podávanie inhibítora HIV </w:t>
      </w:r>
      <w:proofErr w:type="spellStart"/>
      <w:r w:rsidRPr="001E0058">
        <w:rPr>
          <w:rFonts w:ascii="Times New Roman" w:eastAsia="TimesNewRoman" w:hAnsi="Times New Roman"/>
          <w:lang w:val="sk-SK"/>
        </w:rPr>
        <w:t>proteázy</w:t>
      </w:r>
      <w:proofErr w:type="spellEnd"/>
      <w:r w:rsidR="00392D3E">
        <w:rPr>
          <w:rFonts w:ascii="Times New Roman" w:eastAsia="TimesNewRoman" w:hAnsi="Times New Roman"/>
          <w:lang w:val="sk-SK"/>
        </w:rPr>
        <w:t>,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ritonaviru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ktorý je veľmi silný inhibítor </w:t>
      </w:r>
      <w:proofErr w:type="spellStart"/>
      <w:r w:rsidRPr="001E0058">
        <w:rPr>
          <w:rFonts w:ascii="Times New Roman" w:eastAsia="TimesNewRoman" w:hAnsi="Times New Roman"/>
          <w:lang w:val="sk-SK"/>
        </w:rPr>
        <w:t>cytochrómu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P450, v rovnovážnom stave (500 mg dvakrát denne) a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(100 mg jednorazová dávka) viedlo k</w:t>
      </w:r>
      <w:r w:rsidR="009E0A8A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300</w:t>
      </w:r>
      <w:r w:rsidR="009E0A8A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 (4-násobnému) </w:t>
      </w:r>
      <w:r w:rsidR="00165F92">
        <w:rPr>
          <w:rFonts w:ascii="Times New Roman" w:eastAsia="TimesNewRoman" w:hAnsi="Times New Roman"/>
          <w:lang w:val="sk-SK"/>
        </w:rPr>
        <w:t xml:space="preserve">zvýšeniu </w:t>
      </w:r>
      <w:r w:rsidR="007F7669">
        <w:rPr>
          <w:rFonts w:ascii="Times New Roman" w:eastAsia="TimesNewRoman" w:hAnsi="Times New Roman"/>
          <w:lang w:val="sk-SK"/>
        </w:rPr>
        <w:t xml:space="preserve">hodnoty </w:t>
      </w:r>
      <w:r w:rsidRPr="001E0058">
        <w:rPr>
          <w:rFonts w:ascii="Times New Roman" w:eastAsia="TimesNewRoman" w:hAnsi="Times New Roman"/>
          <w:lang w:val="sk-SK"/>
        </w:rPr>
        <w:t>C</w:t>
      </w:r>
      <w:r w:rsidRPr="00097C3B">
        <w:rPr>
          <w:rFonts w:ascii="Times New Roman" w:eastAsia="TimesNewRoman" w:hAnsi="Times New Roman"/>
          <w:vertAlign w:val="subscript"/>
          <w:lang w:val="sk-SK"/>
        </w:rPr>
        <w:t>max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 1000</w:t>
      </w:r>
      <w:r w:rsidR="00165F92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 (11-násobnému) </w:t>
      </w:r>
      <w:r w:rsidR="00165F92">
        <w:rPr>
          <w:rFonts w:ascii="Times New Roman" w:eastAsia="TimesNewRoman" w:hAnsi="Times New Roman"/>
          <w:lang w:val="sk-SK"/>
        </w:rPr>
        <w:t xml:space="preserve">zvýšeniu </w:t>
      </w:r>
      <w:r w:rsidR="00A51833">
        <w:rPr>
          <w:rFonts w:ascii="Times New Roman" w:eastAsia="TimesNewRoman" w:hAnsi="Times New Roman"/>
          <w:lang w:val="sk-SK"/>
        </w:rPr>
        <w:t>pl</w:t>
      </w:r>
      <w:r w:rsidR="00165F92">
        <w:rPr>
          <w:rFonts w:ascii="Times New Roman" w:eastAsia="TimesNewRoman" w:hAnsi="Times New Roman"/>
          <w:lang w:val="sk-SK"/>
        </w:rPr>
        <w:t>a</w:t>
      </w:r>
      <w:r w:rsidR="00A51833">
        <w:rPr>
          <w:rFonts w:ascii="Times New Roman" w:eastAsia="TimesNewRoman" w:hAnsi="Times New Roman"/>
          <w:lang w:val="sk-SK"/>
        </w:rPr>
        <w:t xml:space="preserve">zmatickej hodnoty </w:t>
      </w:r>
      <w:r w:rsidRPr="001E0058">
        <w:rPr>
          <w:rFonts w:ascii="Times New Roman" w:eastAsia="TimesNewRoman" w:hAnsi="Times New Roman"/>
          <w:lang w:val="sk-SK"/>
        </w:rPr>
        <w:t xml:space="preserve">AUC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>. Po 24 hod</w:t>
      </w:r>
      <w:r w:rsidR="007F7669">
        <w:rPr>
          <w:rFonts w:ascii="Times New Roman" w:eastAsia="TimesNewRoman" w:hAnsi="Times New Roman"/>
          <w:lang w:val="sk-SK"/>
        </w:rPr>
        <w:t>i</w:t>
      </w:r>
      <w:r w:rsidRPr="001E0058">
        <w:rPr>
          <w:rFonts w:ascii="Times New Roman" w:eastAsia="TimesNewRoman" w:hAnsi="Times New Roman"/>
          <w:lang w:val="sk-SK"/>
        </w:rPr>
        <w:t>n</w:t>
      </w:r>
      <w:r w:rsidR="007F7669">
        <w:rPr>
          <w:rFonts w:ascii="Times New Roman" w:eastAsia="TimesNewRoman" w:hAnsi="Times New Roman"/>
          <w:lang w:val="sk-SK"/>
        </w:rPr>
        <w:t>ách</w:t>
      </w:r>
      <w:r w:rsidRPr="001E0058">
        <w:rPr>
          <w:rFonts w:ascii="Times New Roman" w:eastAsia="TimesNewRoman" w:hAnsi="Times New Roman"/>
          <w:lang w:val="sk-SK"/>
        </w:rPr>
        <w:t xml:space="preserve"> boli plazmatické koncentrácie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ešte stále približne 200 </w:t>
      </w:r>
      <w:proofErr w:type="spellStart"/>
      <w:r w:rsidRPr="001E0058">
        <w:rPr>
          <w:rFonts w:ascii="Times New Roman" w:eastAsia="TimesNewRoman" w:hAnsi="Times New Roman"/>
          <w:lang w:val="sk-SK"/>
        </w:rPr>
        <w:t>ng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/ml, v porovnaní s približne 5 </w:t>
      </w:r>
      <w:proofErr w:type="spellStart"/>
      <w:r w:rsidRPr="001E0058">
        <w:rPr>
          <w:rFonts w:ascii="Times New Roman" w:eastAsia="TimesNewRoman" w:hAnsi="Times New Roman"/>
          <w:lang w:val="sk-SK"/>
        </w:rPr>
        <w:t>ng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/ml, ak </w:t>
      </w:r>
      <w:r w:rsidR="00A51833">
        <w:rPr>
          <w:rFonts w:ascii="Times New Roman" w:eastAsia="TimesNewRoman" w:hAnsi="Times New Roman"/>
          <w:lang w:val="sk-SK"/>
        </w:rPr>
        <w:t xml:space="preserve">sa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pod</w:t>
      </w:r>
      <w:r w:rsidR="00A51833">
        <w:rPr>
          <w:rFonts w:ascii="Times New Roman" w:eastAsia="TimesNewRoman" w:hAnsi="Times New Roman"/>
          <w:lang w:val="sk-SK"/>
        </w:rPr>
        <w:t xml:space="preserve">ával </w:t>
      </w:r>
      <w:r w:rsidRPr="001E0058">
        <w:rPr>
          <w:rFonts w:ascii="Times New Roman" w:eastAsia="TimesNewRoman" w:hAnsi="Times New Roman"/>
          <w:lang w:val="sk-SK"/>
        </w:rPr>
        <w:t>samostatne.</w:t>
      </w:r>
      <w:r w:rsidR="00B76076" w:rsidRPr="001E0058">
        <w:rPr>
          <w:rFonts w:ascii="Times New Roman" w:eastAsia="TimesNewRoman" w:hAnsi="Times New Roman"/>
          <w:lang w:val="sk-SK"/>
        </w:rPr>
        <w:t xml:space="preserve"> </w:t>
      </w:r>
    </w:p>
    <w:p w14:paraId="0B99F6E9" w14:textId="1CFFE3FC" w:rsidR="00B76076" w:rsidRPr="001E0058" w:rsidRDefault="007D595A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Tieto údaje sú v súlade s výraznými účinkami </w:t>
      </w:r>
      <w:proofErr w:type="spellStart"/>
      <w:r w:rsidRPr="001E0058">
        <w:rPr>
          <w:rFonts w:ascii="Times New Roman" w:eastAsia="TimesNewRoman" w:hAnsi="Times New Roman"/>
          <w:lang w:val="sk-SK"/>
        </w:rPr>
        <w:t>ritonaviru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na široké spektrum substrátov P450.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7F7669">
        <w:rPr>
          <w:rFonts w:ascii="Times New Roman" w:eastAsia="TimesNewRoman" w:hAnsi="Times New Roman"/>
          <w:lang w:val="sk-SK"/>
        </w:rPr>
        <w:t xml:space="preserve">nemal žiadny </w:t>
      </w:r>
      <w:r w:rsidRPr="001E0058">
        <w:rPr>
          <w:rFonts w:ascii="Times New Roman" w:eastAsia="TimesNewRoman" w:hAnsi="Times New Roman"/>
          <w:lang w:val="sk-SK"/>
        </w:rPr>
        <w:t>vplyv</w:t>
      </w:r>
      <w:r w:rsidR="007F7669">
        <w:rPr>
          <w:rFonts w:ascii="Times New Roman" w:eastAsia="TimesNewRoman" w:hAnsi="Times New Roman"/>
          <w:lang w:val="sk-SK"/>
        </w:rPr>
        <w:t xml:space="preserve"> na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farmakokinetiku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ritonaviru</w:t>
      </w:r>
      <w:proofErr w:type="spellEnd"/>
      <w:r w:rsidRPr="001E0058">
        <w:rPr>
          <w:rFonts w:ascii="Times New Roman" w:eastAsia="TimesNewRoman" w:hAnsi="Times New Roman"/>
          <w:lang w:val="sk-SK"/>
        </w:rPr>
        <w:t>.</w:t>
      </w:r>
      <w:r w:rsidR="00B76076" w:rsidRPr="001E0058">
        <w:rPr>
          <w:rFonts w:ascii="Times New Roman" w:eastAsia="TimesNewRoman" w:hAnsi="Times New Roman"/>
          <w:lang w:val="sk-SK"/>
        </w:rPr>
        <w:t xml:space="preserve"> </w:t>
      </w:r>
      <w:r w:rsidR="00675EF4" w:rsidRPr="001E0058">
        <w:rPr>
          <w:rFonts w:ascii="Times New Roman" w:hAnsi="Times New Roman"/>
          <w:lang w:val="sk-SK"/>
        </w:rPr>
        <w:t xml:space="preserve">Na základe týchto </w:t>
      </w:r>
      <w:proofErr w:type="spellStart"/>
      <w:r w:rsidR="00675EF4" w:rsidRPr="001E0058">
        <w:rPr>
          <w:rFonts w:ascii="Times New Roman" w:hAnsi="Times New Roman"/>
          <w:lang w:val="sk-SK"/>
        </w:rPr>
        <w:t>farmakokinetických</w:t>
      </w:r>
      <w:proofErr w:type="spellEnd"/>
      <w:r w:rsidR="00675EF4" w:rsidRPr="001E0058">
        <w:rPr>
          <w:rFonts w:ascii="Times New Roman" w:hAnsi="Times New Roman"/>
          <w:lang w:val="sk-SK"/>
        </w:rPr>
        <w:t xml:space="preserve"> výsledkov sa neodporúča súbežné podávanie </w:t>
      </w:r>
      <w:proofErr w:type="spellStart"/>
      <w:r w:rsidR="00675EF4" w:rsidRPr="001E0058">
        <w:rPr>
          <w:rFonts w:ascii="Times New Roman" w:hAnsi="Times New Roman"/>
          <w:lang w:val="sk-SK"/>
        </w:rPr>
        <w:t>sildenafilu</w:t>
      </w:r>
      <w:proofErr w:type="spellEnd"/>
      <w:r w:rsidR="00675EF4" w:rsidRPr="001E0058">
        <w:rPr>
          <w:rFonts w:ascii="Times New Roman" w:hAnsi="Times New Roman"/>
          <w:lang w:val="sk-SK"/>
        </w:rPr>
        <w:t xml:space="preserve"> s </w:t>
      </w:r>
      <w:proofErr w:type="spellStart"/>
      <w:r w:rsidR="00675EF4" w:rsidRPr="001E0058">
        <w:rPr>
          <w:rFonts w:ascii="Times New Roman" w:hAnsi="Times New Roman"/>
          <w:lang w:val="sk-SK"/>
        </w:rPr>
        <w:t>ritonavirom</w:t>
      </w:r>
      <w:proofErr w:type="spellEnd"/>
      <w:r w:rsidR="00675EF4" w:rsidRPr="001E0058">
        <w:rPr>
          <w:rFonts w:ascii="Times New Roman" w:hAnsi="Times New Roman"/>
          <w:lang w:val="sk-SK"/>
        </w:rPr>
        <w:t xml:space="preserve"> (pozri časť 4.4) a maximálna dávka </w:t>
      </w:r>
      <w:proofErr w:type="spellStart"/>
      <w:r w:rsidR="00675EF4" w:rsidRPr="001E0058">
        <w:rPr>
          <w:rFonts w:ascii="Times New Roman" w:hAnsi="Times New Roman"/>
          <w:lang w:val="sk-SK"/>
        </w:rPr>
        <w:t>sildenafilu</w:t>
      </w:r>
      <w:proofErr w:type="spellEnd"/>
      <w:r w:rsidR="00675EF4" w:rsidRPr="001E0058">
        <w:rPr>
          <w:rFonts w:ascii="Times New Roman" w:hAnsi="Times New Roman"/>
          <w:lang w:val="sk-SK"/>
        </w:rPr>
        <w:t xml:space="preserve"> v žiadnom prípade nesmie za žiadnych okolností v priebehu 48 hodín presiahnuť 1</w:t>
      </w:r>
      <w:r w:rsidR="00CE2C24">
        <w:rPr>
          <w:rFonts w:ascii="Times New Roman" w:hAnsi="Times New Roman"/>
          <w:lang w:val="sk-SK"/>
        </w:rPr>
        <w:t> </w:t>
      </w:r>
      <w:r w:rsidR="00675EF4" w:rsidRPr="001E0058">
        <w:rPr>
          <w:rFonts w:ascii="Times New Roman" w:hAnsi="Times New Roman"/>
          <w:lang w:val="sk-SK"/>
        </w:rPr>
        <w:t>ml, čo zodpovedá 25</w:t>
      </w:r>
      <w:r w:rsidR="009E0A8A">
        <w:rPr>
          <w:rFonts w:ascii="Times New Roman" w:hAnsi="Times New Roman"/>
          <w:lang w:val="sk-SK"/>
        </w:rPr>
        <w:t> </w:t>
      </w:r>
      <w:r w:rsidR="00675EF4" w:rsidRPr="001E0058">
        <w:rPr>
          <w:rFonts w:ascii="Times New Roman" w:hAnsi="Times New Roman"/>
          <w:lang w:val="sk-SK"/>
        </w:rPr>
        <w:t xml:space="preserve">mg </w:t>
      </w:r>
      <w:proofErr w:type="spellStart"/>
      <w:r w:rsidR="00675EF4" w:rsidRPr="001E0058">
        <w:rPr>
          <w:rFonts w:ascii="Times New Roman" w:hAnsi="Times New Roman"/>
          <w:lang w:val="sk-SK"/>
        </w:rPr>
        <w:t>sildenafilu</w:t>
      </w:r>
      <w:proofErr w:type="spellEnd"/>
      <w:r w:rsidR="00675EF4" w:rsidRPr="001E0058">
        <w:rPr>
          <w:rFonts w:ascii="Times New Roman" w:hAnsi="Times New Roman"/>
          <w:lang w:val="sk-SK"/>
        </w:rPr>
        <w:t>.</w:t>
      </w:r>
    </w:p>
    <w:p w14:paraId="2CA1FE5F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DA83F0D" w14:textId="027178D9" w:rsidR="00B76076" w:rsidRPr="001E0058" w:rsidRDefault="007D595A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>Sú</w:t>
      </w:r>
      <w:r w:rsidR="00392D3E">
        <w:rPr>
          <w:rFonts w:ascii="Times New Roman" w:eastAsia="TimesNewRoman" w:hAnsi="Times New Roman"/>
          <w:lang w:val="sk-SK"/>
        </w:rPr>
        <w:t>bežné</w:t>
      </w:r>
      <w:r w:rsidRPr="001E0058">
        <w:rPr>
          <w:rFonts w:ascii="Times New Roman" w:eastAsia="TimesNewRoman" w:hAnsi="Times New Roman"/>
          <w:lang w:val="sk-SK"/>
        </w:rPr>
        <w:t xml:space="preserve"> podávanie inhibítora HIV </w:t>
      </w:r>
      <w:proofErr w:type="spellStart"/>
      <w:r w:rsidRPr="001E0058">
        <w:rPr>
          <w:rFonts w:ascii="Times New Roman" w:eastAsia="TimesNewRoman" w:hAnsi="Times New Roman"/>
          <w:lang w:val="sk-SK"/>
        </w:rPr>
        <w:t>proteázy</w:t>
      </w:r>
      <w:proofErr w:type="spellEnd"/>
      <w:r w:rsidR="00392D3E">
        <w:rPr>
          <w:rFonts w:ascii="Times New Roman" w:eastAsia="TimesNewRoman" w:hAnsi="Times New Roman"/>
          <w:lang w:val="sk-SK"/>
        </w:rPr>
        <w:t>,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sa</w:t>
      </w:r>
      <w:r w:rsidR="00392D3E">
        <w:rPr>
          <w:rFonts w:ascii="Times New Roman" w:eastAsia="TimesNewRoman" w:hAnsi="Times New Roman"/>
          <w:lang w:val="sk-SK"/>
        </w:rPr>
        <w:t>ch</w:t>
      </w:r>
      <w:r w:rsidRPr="001E0058">
        <w:rPr>
          <w:rFonts w:ascii="Times New Roman" w:eastAsia="TimesNewRoman" w:hAnsi="Times New Roman"/>
          <w:lang w:val="sk-SK"/>
        </w:rPr>
        <w:t>inaviru</w:t>
      </w:r>
      <w:proofErr w:type="spellEnd"/>
      <w:r w:rsidRPr="001E0058">
        <w:rPr>
          <w:rFonts w:ascii="Times New Roman" w:eastAsia="TimesNewRoman" w:hAnsi="Times New Roman"/>
          <w:lang w:val="sk-SK"/>
        </w:rPr>
        <w:t>, inhibítora CYP3A4</w:t>
      </w:r>
      <w:r w:rsidR="00392D3E">
        <w:rPr>
          <w:rFonts w:ascii="Times New Roman" w:eastAsia="TimesNewRoman" w:hAnsi="Times New Roman"/>
          <w:lang w:val="sk-SK"/>
        </w:rPr>
        <w:t>,</w:t>
      </w:r>
      <w:r w:rsidRPr="001E0058">
        <w:rPr>
          <w:rFonts w:ascii="Times New Roman" w:eastAsia="TimesNewRoman" w:hAnsi="Times New Roman"/>
          <w:lang w:val="sk-SK"/>
        </w:rPr>
        <w:t xml:space="preserve"> v rovnovážnom stave (1200 mg trikrát denne) a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(100 mg jednorazová dávka) viedlo k</w:t>
      </w:r>
      <w:r w:rsidR="009E0A8A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140</w:t>
      </w:r>
      <w:r w:rsidR="009E0A8A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 </w:t>
      </w:r>
      <w:r w:rsidR="00F637C5">
        <w:rPr>
          <w:rFonts w:ascii="Times New Roman" w:eastAsia="TimesNewRoman" w:hAnsi="Times New Roman"/>
          <w:lang w:val="sk-SK"/>
        </w:rPr>
        <w:t xml:space="preserve">zvýšeniu </w:t>
      </w:r>
      <w:r w:rsidR="00430D29">
        <w:rPr>
          <w:rFonts w:ascii="Times New Roman" w:eastAsia="TimesNewRoman" w:hAnsi="Times New Roman"/>
          <w:lang w:val="sk-SK"/>
        </w:rPr>
        <w:t xml:space="preserve">hodnoty </w:t>
      </w:r>
      <w:r w:rsidRPr="001E0058">
        <w:rPr>
          <w:rFonts w:ascii="Times New Roman" w:eastAsia="TimesNewRoman" w:hAnsi="Times New Roman"/>
          <w:lang w:val="sk-SK"/>
        </w:rPr>
        <w:t>C</w:t>
      </w:r>
      <w:r w:rsidRPr="00097C3B">
        <w:rPr>
          <w:rFonts w:ascii="Times New Roman" w:eastAsia="TimesNewRoman" w:hAnsi="Times New Roman"/>
          <w:vertAlign w:val="subscript"/>
          <w:lang w:val="sk-SK"/>
        </w:rPr>
        <w:t>max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 k</w:t>
      </w:r>
      <w:r w:rsidR="009E0A8A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210</w:t>
      </w:r>
      <w:r w:rsidR="009E0A8A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 </w:t>
      </w:r>
      <w:r w:rsidR="00F637C5">
        <w:rPr>
          <w:rFonts w:ascii="Times New Roman" w:eastAsia="TimesNewRoman" w:hAnsi="Times New Roman"/>
          <w:lang w:val="sk-SK"/>
        </w:rPr>
        <w:t xml:space="preserve">zvýšeniu </w:t>
      </w:r>
      <w:r w:rsidR="00B37CFF">
        <w:rPr>
          <w:rFonts w:ascii="Times New Roman" w:eastAsia="TimesNewRoman" w:hAnsi="Times New Roman"/>
          <w:lang w:val="sk-SK"/>
        </w:rPr>
        <w:t xml:space="preserve">hodnoty </w:t>
      </w:r>
      <w:r w:rsidRPr="001E0058">
        <w:rPr>
          <w:rFonts w:ascii="Times New Roman" w:eastAsia="TimesNewRoman" w:hAnsi="Times New Roman"/>
          <w:lang w:val="sk-SK"/>
        </w:rPr>
        <w:t xml:space="preserve">AUC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.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ne</w:t>
      </w:r>
      <w:r w:rsidR="00430D29">
        <w:rPr>
          <w:rFonts w:ascii="Times New Roman" w:eastAsia="TimesNewRoman" w:hAnsi="Times New Roman"/>
          <w:lang w:val="sk-SK"/>
        </w:rPr>
        <w:t xml:space="preserve">mal žiadny </w:t>
      </w:r>
      <w:r w:rsidRPr="001E0058">
        <w:rPr>
          <w:rFonts w:ascii="Times New Roman" w:eastAsia="TimesNewRoman" w:hAnsi="Times New Roman"/>
          <w:lang w:val="sk-SK"/>
        </w:rPr>
        <w:t>vplyv</w:t>
      </w:r>
      <w:r w:rsidR="00430D29">
        <w:rPr>
          <w:rFonts w:ascii="Times New Roman" w:eastAsia="TimesNewRoman" w:hAnsi="Times New Roman"/>
          <w:lang w:val="sk-SK"/>
        </w:rPr>
        <w:t xml:space="preserve"> na</w:t>
      </w:r>
      <w:r w:rsidR="00B37CFF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farmakokinetiku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sa</w:t>
      </w:r>
      <w:r w:rsidR="00392D3E">
        <w:rPr>
          <w:rFonts w:ascii="Times New Roman" w:eastAsia="TimesNewRoman" w:hAnsi="Times New Roman"/>
          <w:lang w:val="sk-SK"/>
        </w:rPr>
        <w:t>ch</w:t>
      </w:r>
      <w:r w:rsidRPr="001E0058">
        <w:rPr>
          <w:rFonts w:ascii="Times New Roman" w:eastAsia="TimesNewRoman" w:hAnsi="Times New Roman"/>
          <w:lang w:val="sk-SK"/>
        </w:rPr>
        <w:t>inaviru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(pozri časť 4.2). Predpokladá sa, že silnejšie inhibítory CYP3A4, ako </w:t>
      </w:r>
      <w:r w:rsidR="00E239D0">
        <w:rPr>
          <w:rFonts w:ascii="Times New Roman" w:eastAsia="TimesNewRoman" w:hAnsi="Times New Roman"/>
          <w:lang w:val="sk-SK"/>
        </w:rPr>
        <w:t>je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ketonazol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 </w:t>
      </w:r>
      <w:proofErr w:type="spellStart"/>
      <w:r w:rsidRPr="001E0058">
        <w:rPr>
          <w:rFonts w:ascii="Times New Roman" w:eastAsia="TimesNewRoman" w:hAnsi="Times New Roman"/>
          <w:lang w:val="sk-SK"/>
        </w:rPr>
        <w:t>itrakonazol</w:t>
      </w:r>
      <w:proofErr w:type="spellEnd"/>
      <w:r w:rsidRPr="001E0058">
        <w:rPr>
          <w:rFonts w:ascii="Times New Roman" w:eastAsia="TimesNewRoman" w:hAnsi="Times New Roman"/>
          <w:lang w:val="sk-SK"/>
        </w:rPr>
        <w:t>, by mali výraznejšie účinky.</w:t>
      </w:r>
    </w:p>
    <w:p w14:paraId="1A87CCF0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66CDC649" w14:textId="518CAA80" w:rsidR="00B76076" w:rsidRPr="001E0058" w:rsidRDefault="007D595A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Ak sa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podával jednorazovo v dávke 100 mg spolu s </w:t>
      </w:r>
      <w:proofErr w:type="spellStart"/>
      <w:r w:rsidRPr="001E0058">
        <w:rPr>
          <w:rFonts w:ascii="Times New Roman" w:eastAsia="TimesNewRoman" w:hAnsi="Times New Roman"/>
          <w:lang w:val="sk-SK"/>
        </w:rPr>
        <w:t>erytromycínom</w:t>
      </w:r>
      <w:proofErr w:type="spellEnd"/>
      <w:r w:rsidRPr="001E0058">
        <w:rPr>
          <w:rFonts w:ascii="Times New Roman" w:eastAsia="TimesNewRoman" w:hAnsi="Times New Roman"/>
          <w:lang w:val="sk-SK"/>
        </w:rPr>
        <w:t>, stredne silným inhibítorom CYP3A4</w:t>
      </w:r>
      <w:r w:rsidR="00392D3E">
        <w:rPr>
          <w:rFonts w:ascii="Times New Roman" w:eastAsia="TimesNewRoman" w:hAnsi="Times New Roman"/>
          <w:lang w:val="sk-SK"/>
        </w:rPr>
        <w:t>,</w:t>
      </w:r>
      <w:r w:rsidRPr="001E0058">
        <w:rPr>
          <w:rFonts w:ascii="Times New Roman" w:eastAsia="TimesNewRoman" w:hAnsi="Times New Roman"/>
          <w:lang w:val="sk-SK"/>
        </w:rPr>
        <w:t xml:space="preserve"> v rovnovážnom stave (500 mg dvakrát denne </w:t>
      </w:r>
      <w:r w:rsidR="00C8107D">
        <w:rPr>
          <w:rFonts w:ascii="Times New Roman" w:eastAsia="TimesNewRoman" w:hAnsi="Times New Roman"/>
          <w:lang w:val="sk-SK"/>
        </w:rPr>
        <w:t xml:space="preserve">počas </w:t>
      </w:r>
      <w:r w:rsidRPr="001E0058">
        <w:rPr>
          <w:rFonts w:ascii="Times New Roman" w:eastAsia="TimesNewRoman" w:hAnsi="Times New Roman"/>
          <w:lang w:val="sk-SK"/>
        </w:rPr>
        <w:t>5 dní), zaznamenal</w:t>
      </w:r>
      <w:r w:rsidR="002F7FE0">
        <w:rPr>
          <w:rFonts w:ascii="Times New Roman" w:eastAsia="TimesNewRoman" w:hAnsi="Times New Roman"/>
          <w:lang w:val="sk-SK"/>
        </w:rPr>
        <w:t>o</w:t>
      </w:r>
      <w:r w:rsidRPr="001E0058">
        <w:rPr>
          <w:rFonts w:ascii="Times New Roman" w:eastAsia="TimesNewRoman" w:hAnsi="Times New Roman"/>
          <w:lang w:val="sk-SK"/>
        </w:rPr>
        <w:t xml:space="preserve"> sa 182</w:t>
      </w:r>
      <w:r w:rsidR="00532D9C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 </w:t>
      </w:r>
      <w:r w:rsidR="002F7FE0">
        <w:rPr>
          <w:rFonts w:ascii="Times New Roman" w:eastAsia="TimesNewRoman" w:hAnsi="Times New Roman"/>
          <w:lang w:val="sk-SK"/>
        </w:rPr>
        <w:t>zvýšenie</w:t>
      </w:r>
      <w:r w:rsidRPr="001E0058">
        <w:rPr>
          <w:rFonts w:ascii="Times New Roman" w:eastAsia="TimesNewRoman" w:hAnsi="Times New Roman"/>
          <w:lang w:val="sk-SK"/>
        </w:rPr>
        <w:t xml:space="preserve"> systémovej expozície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r w:rsidR="00392D3E">
        <w:rPr>
          <w:rFonts w:ascii="Times New Roman" w:eastAsia="TimesNewRoman" w:hAnsi="Times New Roman"/>
          <w:lang w:val="sk-SK"/>
        </w:rPr>
        <w:t>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(AUC). U zdravých dobrovoľníkov mužského pohlavia sa nedokázal vplyv </w:t>
      </w:r>
      <w:proofErr w:type="spellStart"/>
      <w:r w:rsidRPr="001E0058">
        <w:rPr>
          <w:rFonts w:ascii="Times New Roman" w:eastAsia="TimesNewRoman" w:hAnsi="Times New Roman"/>
          <w:lang w:val="sk-SK"/>
        </w:rPr>
        <w:t>azitrom</w:t>
      </w:r>
      <w:r w:rsidR="00392D3E">
        <w:rPr>
          <w:rFonts w:ascii="Times New Roman" w:eastAsia="TimesNewRoman" w:hAnsi="Times New Roman"/>
          <w:lang w:val="sk-SK"/>
        </w:rPr>
        <w:t>y</w:t>
      </w:r>
      <w:r w:rsidRPr="001E0058">
        <w:rPr>
          <w:rFonts w:ascii="Times New Roman" w:eastAsia="TimesNewRoman" w:hAnsi="Times New Roman"/>
          <w:lang w:val="sk-SK"/>
        </w:rPr>
        <w:t>cínu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(500 mg denne počas 3 dní) na </w:t>
      </w:r>
      <w:r w:rsidR="002F3F54">
        <w:rPr>
          <w:rFonts w:ascii="Times New Roman" w:eastAsia="TimesNewRoman" w:hAnsi="Times New Roman"/>
          <w:lang w:val="sk-SK"/>
        </w:rPr>
        <w:t xml:space="preserve">hodnotu </w:t>
      </w:r>
      <w:r w:rsidRPr="001E0058">
        <w:rPr>
          <w:rFonts w:ascii="Times New Roman" w:eastAsia="TimesNewRoman" w:hAnsi="Times New Roman"/>
          <w:lang w:val="sk-SK"/>
        </w:rPr>
        <w:t>AUC, C</w:t>
      </w:r>
      <w:r w:rsidRPr="00097C3B">
        <w:rPr>
          <w:rFonts w:ascii="Times New Roman" w:eastAsia="TimesNewRoman" w:hAnsi="Times New Roman"/>
          <w:vertAlign w:val="subscript"/>
          <w:lang w:val="sk-SK"/>
        </w:rPr>
        <w:t>max</w:t>
      </w:r>
      <w:r w:rsidRPr="001E0058">
        <w:rPr>
          <w:rFonts w:ascii="Times New Roman" w:eastAsia="TimesNewRoman" w:hAnsi="Times New Roman"/>
          <w:lang w:val="sk-SK"/>
        </w:rPr>
        <w:t xml:space="preserve">, </w:t>
      </w:r>
      <w:proofErr w:type="spellStart"/>
      <w:r w:rsidRPr="001E0058">
        <w:rPr>
          <w:rFonts w:ascii="Times New Roman" w:eastAsia="TimesNewRoman" w:hAnsi="Times New Roman"/>
          <w:lang w:val="sk-SK"/>
        </w:rPr>
        <w:t>t</w:t>
      </w:r>
      <w:r w:rsidRPr="00097C3B">
        <w:rPr>
          <w:rFonts w:ascii="Times New Roman" w:eastAsia="TimesNewRoman" w:hAnsi="Times New Roman"/>
          <w:vertAlign w:val="subscript"/>
          <w:lang w:val="sk-SK"/>
        </w:rPr>
        <w:t>max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eliminačnú rýchlostnú konštantu alebo </w:t>
      </w:r>
      <w:r w:rsidRPr="00C8107D">
        <w:rPr>
          <w:rFonts w:ascii="Times New Roman" w:eastAsia="TimesNewRoman" w:hAnsi="Times New Roman"/>
          <w:lang w:val="sk-SK"/>
        </w:rPr>
        <w:t xml:space="preserve">následne na </w:t>
      </w:r>
      <w:r w:rsidR="00CF5C97">
        <w:rPr>
          <w:rFonts w:ascii="Times New Roman" w:eastAsia="TimesNewRoman" w:hAnsi="Times New Roman"/>
          <w:lang w:val="sk-SK"/>
        </w:rPr>
        <w:t xml:space="preserve">biologický </w:t>
      </w:r>
      <w:r w:rsidRPr="00C8107D">
        <w:rPr>
          <w:rFonts w:ascii="Times New Roman" w:eastAsia="TimesNewRoman" w:hAnsi="Times New Roman"/>
          <w:lang w:val="sk-SK"/>
        </w:rPr>
        <w:t xml:space="preserve">polčas </w:t>
      </w:r>
      <w:proofErr w:type="spellStart"/>
      <w:r w:rsidRPr="00C8107D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alebo jeho hlavn</w:t>
      </w:r>
      <w:r w:rsidR="00CA7448">
        <w:rPr>
          <w:rFonts w:ascii="Times New Roman" w:eastAsia="TimesNewRoman" w:hAnsi="Times New Roman"/>
          <w:lang w:val="sk-SK"/>
        </w:rPr>
        <w:t>ého</w:t>
      </w:r>
      <w:r w:rsidRPr="001E0058">
        <w:rPr>
          <w:rFonts w:ascii="Times New Roman" w:eastAsia="TimesNewRoman" w:hAnsi="Times New Roman"/>
          <w:lang w:val="sk-SK"/>
        </w:rPr>
        <w:t xml:space="preserve"> cirkulujúc</w:t>
      </w:r>
      <w:r w:rsidR="00CA7448">
        <w:rPr>
          <w:rFonts w:ascii="Times New Roman" w:eastAsia="TimesNewRoman" w:hAnsi="Times New Roman"/>
          <w:lang w:val="sk-SK"/>
        </w:rPr>
        <w:t>eho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metabolit</w:t>
      </w:r>
      <w:r w:rsidR="00CA7448">
        <w:rPr>
          <w:rFonts w:ascii="Times New Roman" w:eastAsia="TimesNewRoman" w:hAnsi="Times New Roman"/>
          <w:lang w:val="sk-SK"/>
        </w:rPr>
        <w:t>u</w:t>
      </w:r>
      <w:proofErr w:type="spellEnd"/>
      <w:r w:rsidRPr="001E0058">
        <w:rPr>
          <w:rFonts w:ascii="Times New Roman" w:eastAsia="TimesNewRoman" w:hAnsi="Times New Roman"/>
          <w:lang w:val="sk-SK"/>
        </w:rPr>
        <w:t>. Pri sú</w:t>
      </w:r>
      <w:r w:rsidR="00392D3E">
        <w:rPr>
          <w:rFonts w:ascii="Times New Roman" w:eastAsia="TimesNewRoman" w:hAnsi="Times New Roman"/>
          <w:lang w:val="sk-SK"/>
        </w:rPr>
        <w:t>bežnom</w:t>
      </w:r>
      <w:r w:rsidRPr="001E0058">
        <w:rPr>
          <w:rFonts w:ascii="Times New Roman" w:eastAsia="TimesNewRoman" w:hAnsi="Times New Roman"/>
          <w:lang w:val="sk-SK"/>
        </w:rPr>
        <w:t xml:space="preserve"> podávaní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(50 mg) a </w:t>
      </w:r>
      <w:proofErr w:type="spellStart"/>
      <w:r w:rsidRPr="001E0058">
        <w:rPr>
          <w:rFonts w:ascii="Times New Roman" w:eastAsia="TimesNewRoman" w:hAnsi="Times New Roman"/>
          <w:lang w:val="sk-SK"/>
        </w:rPr>
        <w:t>cimetidínu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(800 mg), ktorý je inhibítorom </w:t>
      </w:r>
      <w:proofErr w:type="spellStart"/>
      <w:r w:rsidRPr="001E0058">
        <w:rPr>
          <w:rFonts w:ascii="Times New Roman" w:eastAsia="TimesNewRoman" w:hAnsi="Times New Roman"/>
          <w:lang w:val="sk-SK"/>
        </w:rPr>
        <w:t>cytochrómu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P450 a nešpecifickým inhibítorom CYP3A4, zdravým dobrovoľníkom sa zaznamenal</w:t>
      </w:r>
      <w:r w:rsidR="002F7FE0">
        <w:rPr>
          <w:rFonts w:ascii="Times New Roman" w:eastAsia="TimesNewRoman" w:hAnsi="Times New Roman"/>
          <w:lang w:val="sk-SK"/>
        </w:rPr>
        <w:t>o</w:t>
      </w:r>
      <w:r w:rsidRPr="001E0058">
        <w:rPr>
          <w:rFonts w:ascii="Times New Roman" w:eastAsia="TimesNewRoman" w:hAnsi="Times New Roman"/>
          <w:lang w:val="sk-SK"/>
        </w:rPr>
        <w:t xml:space="preserve"> 56</w:t>
      </w:r>
      <w:r w:rsidR="00532D9C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 </w:t>
      </w:r>
      <w:r w:rsidR="002F3F54">
        <w:rPr>
          <w:rFonts w:ascii="Times New Roman" w:eastAsia="TimesNewRoman" w:hAnsi="Times New Roman"/>
          <w:lang w:val="sk-SK"/>
        </w:rPr>
        <w:t>zvýšenie</w:t>
      </w:r>
      <w:r w:rsidRPr="001E0058">
        <w:rPr>
          <w:rFonts w:ascii="Times New Roman" w:eastAsia="TimesNewRoman" w:hAnsi="Times New Roman"/>
          <w:lang w:val="sk-SK"/>
        </w:rPr>
        <w:t xml:space="preserve"> plazmatickej koncentrácie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>.</w:t>
      </w:r>
    </w:p>
    <w:p w14:paraId="7F3CDA13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lang w:val="sk-SK"/>
        </w:rPr>
      </w:pPr>
    </w:p>
    <w:p w14:paraId="01823026" w14:textId="3EBFBE1F" w:rsidR="00D653B3" w:rsidRPr="001E0058" w:rsidRDefault="00D653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Grapefruitová šťava je slabým inhibítorom </w:t>
      </w:r>
      <w:r w:rsidR="00392D3E">
        <w:rPr>
          <w:rFonts w:ascii="Times New Roman" w:eastAsia="TimesNewRoman" w:hAnsi="Times New Roman"/>
          <w:lang w:val="sk-SK"/>
        </w:rPr>
        <w:t xml:space="preserve">metabolizmu </w:t>
      </w:r>
      <w:r w:rsidRPr="001E0058">
        <w:rPr>
          <w:rFonts w:ascii="Times New Roman" w:eastAsia="TimesNewRoman" w:hAnsi="Times New Roman"/>
          <w:lang w:val="sk-SK"/>
        </w:rPr>
        <w:t>CYP3A4 v črevnej stene a môže vyvolať miern</w:t>
      </w:r>
      <w:r w:rsidR="000674FF">
        <w:rPr>
          <w:rFonts w:ascii="Times New Roman" w:eastAsia="TimesNewRoman" w:hAnsi="Times New Roman"/>
          <w:lang w:val="sk-SK"/>
        </w:rPr>
        <w:t xml:space="preserve">e zvýšenie </w:t>
      </w:r>
      <w:r w:rsidRPr="001E0058">
        <w:rPr>
          <w:rFonts w:ascii="Times New Roman" w:eastAsia="TimesNewRoman" w:hAnsi="Times New Roman"/>
          <w:lang w:val="sk-SK"/>
        </w:rPr>
        <w:t xml:space="preserve">plazmatických </w:t>
      </w:r>
      <w:r w:rsidR="00392D3E">
        <w:rPr>
          <w:rFonts w:ascii="Times New Roman" w:eastAsia="TimesNewRoman" w:hAnsi="Times New Roman"/>
          <w:lang w:val="sk-SK"/>
        </w:rPr>
        <w:t>koncentrácií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>.</w:t>
      </w:r>
    </w:p>
    <w:p w14:paraId="7A7DC2D8" w14:textId="77777777" w:rsidR="00D653B3" w:rsidRPr="001E0058" w:rsidRDefault="00D653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25DB0A4" w14:textId="65B69096" w:rsidR="00B76076" w:rsidRPr="001E0058" w:rsidRDefault="0010622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>P</w:t>
      </w:r>
      <w:r w:rsidRPr="001E0058">
        <w:rPr>
          <w:rFonts w:ascii="Times New Roman" w:eastAsia="TimesNewRoman" w:hAnsi="Times New Roman"/>
          <w:lang w:val="sk-SK"/>
        </w:rPr>
        <w:t>odan</w:t>
      </w:r>
      <w:r>
        <w:rPr>
          <w:rFonts w:ascii="Times New Roman" w:eastAsia="TimesNewRoman" w:hAnsi="Times New Roman"/>
          <w:lang w:val="sk-SK"/>
        </w:rPr>
        <w:t xml:space="preserve">ie </w:t>
      </w:r>
      <w:r w:rsidRPr="001E0058">
        <w:rPr>
          <w:rFonts w:ascii="Times New Roman" w:eastAsia="TimesNewRoman" w:hAnsi="Times New Roman"/>
          <w:lang w:val="sk-SK"/>
        </w:rPr>
        <w:t xml:space="preserve">jednorazových dávok </w:t>
      </w:r>
      <w:proofErr w:type="spellStart"/>
      <w:r w:rsidRPr="001E0058">
        <w:rPr>
          <w:rFonts w:ascii="Times New Roman" w:eastAsia="TimesNewRoman" w:hAnsi="Times New Roman"/>
          <w:lang w:val="sk-SK"/>
        </w:rPr>
        <w:t>antac</w:t>
      </w:r>
      <w:r>
        <w:rPr>
          <w:rFonts w:ascii="Times New Roman" w:eastAsia="TimesNewRoman" w:hAnsi="Times New Roman"/>
          <w:lang w:val="sk-SK"/>
        </w:rPr>
        <w:t>í</w:t>
      </w:r>
      <w:r w:rsidRPr="001E0058">
        <w:rPr>
          <w:rFonts w:ascii="Times New Roman" w:eastAsia="TimesNewRoman" w:hAnsi="Times New Roman"/>
          <w:lang w:val="sk-SK"/>
        </w:rPr>
        <w:t>d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(hydroxidu </w:t>
      </w:r>
      <w:proofErr w:type="spellStart"/>
      <w:r w:rsidRPr="001E0058">
        <w:rPr>
          <w:rFonts w:ascii="Times New Roman" w:eastAsia="TimesNewRoman" w:hAnsi="Times New Roman"/>
          <w:lang w:val="sk-SK"/>
        </w:rPr>
        <w:t>horečnatého</w:t>
      </w:r>
      <w:proofErr w:type="spellEnd"/>
      <w:r w:rsidRPr="001E0058">
        <w:rPr>
          <w:rFonts w:ascii="Times New Roman" w:eastAsia="TimesNewRoman" w:hAnsi="Times New Roman"/>
          <w:lang w:val="sk-SK"/>
        </w:rPr>
        <w:t>/hydroxidu hlinitého)</w:t>
      </w:r>
      <w:r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neovplyv</w:t>
      </w:r>
      <w:r>
        <w:rPr>
          <w:rFonts w:ascii="Times New Roman" w:eastAsia="TimesNewRoman" w:hAnsi="Times New Roman"/>
          <w:lang w:val="sk-SK"/>
        </w:rPr>
        <w:t>ňuje b</w:t>
      </w:r>
      <w:r w:rsidR="00D653B3" w:rsidRPr="001E0058">
        <w:rPr>
          <w:rFonts w:ascii="Times New Roman" w:eastAsia="TimesNewRoman" w:hAnsi="Times New Roman"/>
          <w:lang w:val="sk-SK"/>
        </w:rPr>
        <w:t>iologick</w:t>
      </w:r>
      <w:r>
        <w:rPr>
          <w:rFonts w:ascii="Times New Roman" w:eastAsia="TimesNewRoman" w:hAnsi="Times New Roman"/>
          <w:lang w:val="sk-SK"/>
        </w:rPr>
        <w:t>ú</w:t>
      </w:r>
      <w:r w:rsidR="00D653B3" w:rsidRPr="001E0058">
        <w:rPr>
          <w:rFonts w:ascii="Times New Roman" w:eastAsia="TimesNewRoman" w:hAnsi="Times New Roman"/>
          <w:lang w:val="sk-SK"/>
        </w:rPr>
        <w:t xml:space="preserve"> dostupnosť </w:t>
      </w:r>
      <w:proofErr w:type="spellStart"/>
      <w:r w:rsidR="00D653B3"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="00D653B3" w:rsidRPr="001E0058">
        <w:rPr>
          <w:rFonts w:ascii="Times New Roman" w:eastAsia="TimesNewRoman" w:hAnsi="Times New Roman"/>
          <w:lang w:val="sk-SK"/>
        </w:rPr>
        <w:t>.</w:t>
      </w:r>
    </w:p>
    <w:p w14:paraId="6F4E69DA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39AC4B5" w14:textId="3626FFEA" w:rsidR="000240B3" w:rsidRPr="001E0058" w:rsidRDefault="0091466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 xml:space="preserve">Hoci </w:t>
      </w:r>
      <w:r w:rsidR="000240B3" w:rsidRPr="001E0058">
        <w:rPr>
          <w:rFonts w:ascii="Times New Roman" w:eastAsia="TimesNewRoman" w:hAnsi="Times New Roman"/>
          <w:lang w:val="sk-SK"/>
        </w:rPr>
        <w:t xml:space="preserve">sa </w:t>
      </w:r>
      <w:r w:rsidR="005818E4" w:rsidRPr="001E0058">
        <w:rPr>
          <w:rFonts w:ascii="Times New Roman" w:eastAsia="TimesNewRoman" w:hAnsi="Times New Roman"/>
          <w:lang w:val="sk-SK"/>
        </w:rPr>
        <w:t>ne</w:t>
      </w:r>
      <w:r w:rsidR="005818E4">
        <w:rPr>
          <w:rFonts w:ascii="Times New Roman" w:eastAsia="TimesNewRoman" w:hAnsi="Times New Roman"/>
          <w:lang w:val="sk-SK"/>
        </w:rPr>
        <w:t xml:space="preserve">uskutočnili </w:t>
      </w:r>
      <w:r w:rsidR="000240B3" w:rsidRPr="001E0058">
        <w:rPr>
          <w:rFonts w:ascii="Times New Roman" w:eastAsia="TimesNewRoman" w:hAnsi="Times New Roman"/>
          <w:lang w:val="sk-SK"/>
        </w:rPr>
        <w:t>špecifické interakčné štúdie so všetkými lie</w:t>
      </w:r>
      <w:r w:rsidR="001920A2">
        <w:rPr>
          <w:rFonts w:ascii="Times New Roman" w:eastAsia="TimesNewRoman" w:hAnsi="Times New Roman"/>
          <w:lang w:val="sk-SK"/>
        </w:rPr>
        <w:t>čivami</w:t>
      </w:r>
      <w:r w:rsidR="000240B3" w:rsidRPr="001E0058">
        <w:rPr>
          <w:rFonts w:ascii="Times New Roman" w:eastAsia="TimesNewRoman" w:hAnsi="Times New Roman"/>
          <w:lang w:val="sk-SK"/>
        </w:rPr>
        <w:t xml:space="preserve">, </w:t>
      </w:r>
      <w:r w:rsidR="001920A2">
        <w:rPr>
          <w:rFonts w:ascii="Times New Roman" w:eastAsia="TimesNewRoman" w:hAnsi="Times New Roman"/>
          <w:lang w:val="sk-SK"/>
        </w:rPr>
        <w:t xml:space="preserve">populačné </w:t>
      </w:r>
      <w:proofErr w:type="spellStart"/>
      <w:r w:rsidR="000240B3" w:rsidRPr="001E0058">
        <w:rPr>
          <w:rFonts w:ascii="Times New Roman" w:eastAsia="TimesNewRoman" w:hAnsi="Times New Roman"/>
          <w:lang w:val="sk-SK"/>
        </w:rPr>
        <w:t>farmakokinetických</w:t>
      </w:r>
      <w:proofErr w:type="spellEnd"/>
      <w:r w:rsidR="000240B3" w:rsidRPr="001E0058">
        <w:rPr>
          <w:rFonts w:ascii="Times New Roman" w:eastAsia="TimesNewRoman" w:hAnsi="Times New Roman"/>
          <w:lang w:val="sk-SK"/>
        </w:rPr>
        <w:t xml:space="preserve"> </w:t>
      </w:r>
      <w:r w:rsidR="001920A2" w:rsidRPr="001E0058">
        <w:rPr>
          <w:rFonts w:ascii="Times New Roman" w:eastAsia="TimesNewRoman" w:hAnsi="Times New Roman"/>
          <w:lang w:val="sk-SK"/>
        </w:rPr>
        <w:t xml:space="preserve">analýzy </w:t>
      </w:r>
      <w:r w:rsidR="000240B3" w:rsidRPr="001E0058">
        <w:rPr>
          <w:rFonts w:ascii="Times New Roman" w:eastAsia="TimesNewRoman" w:hAnsi="Times New Roman"/>
          <w:lang w:val="sk-SK"/>
        </w:rPr>
        <w:t xml:space="preserve">nepreukázali žiadny vplyv inhibítorov CYP2C9 (ako </w:t>
      </w:r>
      <w:r w:rsidR="005818E4">
        <w:rPr>
          <w:rFonts w:ascii="Times New Roman" w:eastAsia="TimesNewRoman" w:hAnsi="Times New Roman"/>
          <w:lang w:val="sk-SK"/>
        </w:rPr>
        <w:t>je</w:t>
      </w:r>
      <w:r w:rsidR="000240B3"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="000240B3" w:rsidRPr="001E0058">
        <w:rPr>
          <w:rFonts w:ascii="Times New Roman" w:eastAsia="TimesNewRoman" w:hAnsi="Times New Roman"/>
          <w:lang w:val="sk-SK"/>
        </w:rPr>
        <w:t>tolbutamid</w:t>
      </w:r>
      <w:proofErr w:type="spellEnd"/>
      <w:r w:rsidR="000240B3" w:rsidRPr="001E0058">
        <w:rPr>
          <w:rFonts w:ascii="Times New Roman" w:eastAsia="TimesNewRoman" w:hAnsi="Times New Roman"/>
          <w:lang w:val="sk-SK"/>
        </w:rPr>
        <w:t xml:space="preserve">, </w:t>
      </w:r>
      <w:proofErr w:type="spellStart"/>
      <w:r w:rsidR="000240B3" w:rsidRPr="001E0058">
        <w:rPr>
          <w:rFonts w:ascii="Times New Roman" w:eastAsia="TimesNewRoman" w:hAnsi="Times New Roman"/>
          <w:lang w:val="sk-SK"/>
        </w:rPr>
        <w:t>warfarín</w:t>
      </w:r>
      <w:proofErr w:type="spellEnd"/>
      <w:r w:rsidR="000240B3" w:rsidRPr="001E0058">
        <w:rPr>
          <w:rFonts w:ascii="Times New Roman" w:eastAsia="TimesNewRoman" w:hAnsi="Times New Roman"/>
          <w:lang w:val="sk-SK"/>
        </w:rPr>
        <w:t xml:space="preserve">, </w:t>
      </w:r>
      <w:proofErr w:type="spellStart"/>
      <w:r w:rsidR="000240B3" w:rsidRPr="001E0058">
        <w:rPr>
          <w:rFonts w:ascii="Times New Roman" w:eastAsia="TimesNewRoman" w:hAnsi="Times New Roman"/>
          <w:lang w:val="sk-SK"/>
        </w:rPr>
        <w:t>fenytoín</w:t>
      </w:r>
      <w:proofErr w:type="spellEnd"/>
      <w:r w:rsidR="000240B3" w:rsidRPr="001E0058">
        <w:rPr>
          <w:rFonts w:ascii="Times New Roman" w:eastAsia="TimesNewRoman" w:hAnsi="Times New Roman"/>
          <w:lang w:val="sk-SK"/>
        </w:rPr>
        <w:t xml:space="preserve">), inhibítorov CYP2D6 (ako sú selektívne inhibítory spätného vychytávania </w:t>
      </w:r>
      <w:proofErr w:type="spellStart"/>
      <w:r w:rsidR="000240B3" w:rsidRPr="001E0058">
        <w:rPr>
          <w:rFonts w:ascii="Times New Roman" w:eastAsia="TimesNewRoman" w:hAnsi="Times New Roman"/>
          <w:lang w:val="sk-SK"/>
        </w:rPr>
        <w:t>s</w:t>
      </w:r>
      <w:r w:rsidR="00392D3E">
        <w:rPr>
          <w:rFonts w:ascii="Times New Roman" w:eastAsia="TimesNewRoman" w:hAnsi="Times New Roman"/>
          <w:lang w:val="sk-SK"/>
        </w:rPr>
        <w:t>é</w:t>
      </w:r>
      <w:r w:rsidR="000240B3" w:rsidRPr="001E0058">
        <w:rPr>
          <w:rFonts w:ascii="Times New Roman" w:eastAsia="TimesNewRoman" w:hAnsi="Times New Roman"/>
          <w:lang w:val="sk-SK"/>
        </w:rPr>
        <w:t>rotonínu</w:t>
      </w:r>
      <w:proofErr w:type="spellEnd"/>
      <w:r w:rsidR="000240B3" w:rsidRPr="001E0058">
        <w:rPr>
          <w:rFonts w:ascii="Times New Roman" w:eastAsia="TimesNewRoman" w:hAnsi="Times New Roman"/>
          <w:lang w:val="sk-SK"/>
        </w:rPr>
        <w:t xml:space="preserve">, </w:t>
      </w:r>
      <w:proofErr w:type="spellStart"/>
      <w:r w:rsidR="000240B3" w:rsidRPr="001E0058">
        <w:rPr>
          <w:rFonts w:ascii="Times New Roman" w:eastAsia="TimesNewRoman" w:hAnsi="Times New Roman"/>
          <w:lang w:val="sk-SK"/>
        </w:rPr>
        <w:t>tricyklické</w:t>
      </w:r>
      <w:proofErr w:type="spellEnd"/>
      <w:r w:rsidR="000240B3"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="000240B3" w:rsidRPr="001E0058">
        <w:rPr>
          <w:rFonts w:ascii="Times New Roman" w:eastAsia="TimesNewRoman" w:hAnsi="Times New Roman"/>
          <w:lang w:val="sk-SK"/>
        </w:rPr>
        <w:t>antidepresíva</w:t>
      </w:r>
      <w:proofErr w:type="spellEnd"/>
      <w:r w:rsidR="000240B3" w:rsidRPr="001E0058">
        <w:rPr>
          <w:rFonts w:ascii="Times New Roman" w:eastAsia="TimesNewRoman" w:hAnsi="Times New Roman"/>
          <w:lang w:val="sk-SK"/>
        </w:rPr>
        <w:t xml:space="preserve">), </w:t>
      </w:r>
      <w:proofErr w:type="spellStart"/>
      <w:r w:rsidR="000240B3" w:rsidRPr="001E0058">
        <w:rPr>
          <w:rFonts w:ascii="Times New Roman" w:eastAsia="TimesNewRoman" w:hAnsi="Times New Roman"/>
          <w:lang w:val="sk-SK"/>
        </w:rPr>
        <w:t>tiazidov</w:t>
      </w:r>
      <w:proofErr w:type="spellEnd"/>
      <w:r w:rsidR="000240B3" w:rsidRPr="001E0058">
        <w:rPr>
          <w:rFonts w:ascii="Times New Roman" w:eastAsia="TimesNewRoman" w:hAnsi="Times New Roman"/>
          <w:lang w:val="sk-SK"/>
        </w:rPr>
        <w:t xml:space="preserve"> a príbuzných diuretík, </w:t>
      </w:r>
      <w:proofErr w:type="spellStart"/>
      <w:r w:rsidR="00392D3E">
        <w:rPr>
          <w:rFonts w:ascii="Times New Roman" w:eastAsia="TimesNewRoman" w:hAnsi="Times New Roman"/>
          <w:lang w:val="sk-SK"/>
        </w:rPr>
        <w:t>kľu</w:t>
      </w:r>
      <w:r w:rsidR="000240B3" w:rsidRPr="001E0058">
        <w:rPr>
          <w:rFonts w:ascii="Times New Roman" w:eastAsia="TimesNewRoman" w:hAnsi="Times New Roman"/>
          <w:lang w:val="sk-SK"/>
        </w:rPr>
        <w:t>čkových</w:t>
      </w:r>
      <w:proofErr w:type="spellEnd"/>
      <w:r w:rsidR="000240B3" w:rsidRPr="001E0058">
        <w:rPr>
          <w:rFonts w:ascii="Times New Roman" w:eastAsia="TimesNewRoman" w:hAnsi="Times New Roman"/>
          <w:lang w:val="sk-SK"/>
        </w:rPr>
        <w:t xml:space="preserve"> diuretík a draslík šetriacich diuretík, inhibítorov </w:t>
      </w:r>
      <w:r w:rsidR="00392D3E">
        <w:rPr>
          <w:rFonts w:ascii="Times New Roman" w:eastAsia="TimesNewRoman" w:hAnsi="Times New Roman"/>
          <w:lang w:val="sk-SK"/>
        </w:rPr>
        <w:t xml:space="preserve">enzýmu konvertujúceho </w:t>
      </w:r>
      <w:r w:rsidR="000240B3" w:rsidRPr="001E0058">
        <w:rPr>
          <w:rFonts w:ascii="Times New Roman" w:eastAsia="TimesNewRoman" w:hAnsi="Times New Roman"/>
          <w:lang w:val="sk-SK"/>
        </w:rPr>
        <w:t xml:space="preserve">angiotenzín, </w:t>
      </w:r>
      <w:proofErr w:type="spellStart"/>
      <w:r w:rsidR="000240B3" w:rsidRPr="001E0058">
        <w:rPr>
          <w:rFonts w:ascii="Times New Roman" w:eastAsia="TimesNewRoman" w:hAnsi="Times New Roman"/>
          <w:lang w:val="sk-SK"/>
        </w:rPr>
        <w:t>blokátorov</w:t>
      </w:r>
      <w:proofErr w:type="spellEnd"/>
      <w:r w:rsidR="000240B3" w:rsidRPr="001E0058">
        <w:rPr>
          <w:rFonts w:ascii="Times New Roman" w:eastAsia="TimesNewRoman" w:hAnsi="Times New Roman"/>
          <w:lang w:val="sk-SK"/>
        </w:rPr>
        <w:t xml:space="preserve"> vápnikových kanálov, </w:t>
      </w:r>
      <w:proofErr w:type="spellStart"/>
      <w:r w:rsidR="000240B3" w:rsidRPr="001E0058">
        <w:rPr>
          <w:rFonts w:ascii="Times New Roman" w:eastAsia="TimesNewRoman" w:hAnsi="Times New Roman"/>
          <w:lang w:val="sk-SK"/>
        </w:rPr>
        <w:t>betablokátorov</w:t>
      </w:r>
      <w:proofErr w:type="spellEnd"/>
      <w:r w:rsidR="000240B3" w:rsidRPr="001E0058">
        <w:rPr>
          <w:rFonts w:ascii="Times New Roman" w:eastAsia="TimesNewRoman" w:hAnsi="Times New Roman"/>
          <w:lang w:val="sk-SK"/>
        </w:rPr>
        <w:t xml:space="preserve"> alebo induktorov metabolizmu CYP450 (ako sú </w:t>
      </w:r>
      <w:proofErr w:type="spellStart"/>
      <w:r w:rsidR="000240B3" w:rsidRPr="001E0058">
        <w:rPr>
          <w:rFonts w:ascii="Times New Roman" w:eastAsia="TimesNewRoman" w:hAnsi="Times New Roman"/>
          <w:lang w:val="sk-SK"/>
        </w:rPr>
        <w:t>rifampicín</w:t>
      </w:r>
      <w:proofErr w:type="spellEnd"/>
      <w:r w:rsidR="000240B3" w:rsidRPr="001E0058">
        <w:rPr>
          <w:rFonts w:ascii="Times New Roman" w:eastAsia="TimesNewRoman" w:hAnsi="Times New Roman"/>
          <w:lang w:val="sk-SK"/>
        </w:rPr>
        <w:t xml:space="preserve">, barbituráty) na </w:t>
      </w:r>
      <w:proofErr w:type="spellStart"/>
      <w:r w:rsidR="000240B3" w:rsidRPr="001E0058">
        <w:rPr>
          <w:rFonts w:ascii="Times New Roman" w:eastAsia="TimesNewRoman" w:hAnsi="Times New Roman"/>
          <w:lang w:val="sk-SK"/>
        </w:rPr>
        <w:t>farmakokinetiku</w:t>
      </w:r>
      <w:proofErr w:type="spellEnd"/>
      <w:r w:rsidR="000240B3"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="000240B3"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="000240B3" w:rsidRPr="001E0058">
        <w:rPr>
          <w:rFonts w:ascii="Times New Roman" w:eastAsia="TimesNewRoman" w:hAnsi="Times New Roman"/>
          <w:lang w:val="sk-SK"/>
        </w:rPr>
        <w:t xml:space="preserve"> pri ich sú</w:t>
      </w:r>
      <w:r w:rsidR="00392D3E">
        <w:rPr>
          <w:rFonts w:ascii="Times New Roman" w:eastAsia="TimesNewRoman" w:hAnsi="Times New Roman"/>
          <w:lang w:val="sk-SK"/>
        </w:rPr>
        <w:t>bežnom</w:t>
      </w:r>
      <w:r w:rsidR="000240B3" w:rsidRPr="001E0058">
        <w:rPr>
          <w:rFonts w:ascii="Times New Roman" w:eastAsia="TimesNewRoman" w:hAnsi="Times New Roman"/>
          <w:lang w:val="sk-SK"/>
        </w:rPr>
        <w:t xml:space="preserve"> pod</w:t>
      </w:r>
      <w:r w:rsidR="005818E4">
        <w:rPr>
          <w:rFonts w:ascii="Times New Roman" w:eastAsia="TimesNewRoman" w:hAnsi="Times New Roman"/>
          <w:lang w:val="sk-SK"/>
        </w:rPr>
        <w:t>áv</w:t>
      </w:r>
      <w:r w:rsidR="000240B3" w:rsidRPr="001E0058">
        <w:rPr>
          <w:rFonts w:ascii="Times New Roman" w:eastAsia="TimesNewRoman" w:hAnsi="Times New Roman"/>
          <w:lang w:val="sk-SK"/>
        </w:rPr>
        <w:t>aní. V štúdii so zdravými dobrovoľníkmi mužského pohlavia viedlo sú</w:t>
      </w:r>
      <w:r w:rsidR="00392D3E">
        <w:rPr>
          <w:rFonts w:ascii="Times New Roman" w:eastAsia="TimesNewRoman" w:hAnsi="Times New Roman"/>
          <w:lang w:val="sk-SK"/>
        </w:rPr>
        <w:t>bežné</w:t>
      </w:r>
      <w:r w:rsidR="000240B3" w:rsidRPr="001E0058">
        <w:rPr>
          <w:rFonts w:ascii="Times New Roman" w:eastAsia="TimesNewRoman" w:hAnsi="Times New Roman"/>
          <w:lang w:val="sk-SK"/>
        </w:rPr>
        <w:t xml:space="preserve"> podávanie antagonistu </w:t>
      </w:r>
      <w:proofErr w:type="spellStart"/>
      <w:r w:rsidR="000240B3" w:rsidRPr="001E0058">
        <w:rPr>
          <w:rFonts w:ascii="Times New Roman" w:eastAsia="TimesNewRoman" w:hAnsi="Times New Roman"/>
          <w:lang w:val="sk-SK"/>
        </w:rPr>
        <w:t>endotelínu</w:t>
      </w:r>
      <w:proofErr w:type="spellEnd"/>
      <w:r w:rsidR="000240B3" w:rsidRPr="001E0058">
        <w:rPr>
          <w:rFonts w:ascii="Times New Roman" w:eastAsia="TimesNewRoman" w:hAnsi="Times New Roman"/>
          <w:lang w:val="sk-SK"/>
        </w:rPr>
        <w:t>, bosent</w:t>
      </w:r>
      <w:r w:rsidR="00392D3E">
        <w:rPr>
          <w:rFonts w:ascii="Times New Roman" w:eastAsia="TimesNewRoman" w:hAnsi="Times New Roman"/>
          <w:lang w:val="sk-SK"/>
        </w:rPr>
        <w:t>á</w:t>
      </w:r>
      <w:r w:rsidR="000240B3" w:rsidRPr="001E0058">
        <w:rPr>
          <w:rFonts w:ascii="Times New Roman" w:eastAsia="TimesNewRoman" w:hAnsi="Times New Roman"/>
          <w:lang w:val="sk-SK"/>
        </w:rPr>
        <w:t>nu</w:t>
      </w:r>
      <w:r w:rsidR="00392D3E">
        <w:rPr>
          <w:rFonts w:ascii="Times New Roman" w:eastAsia="TimesNewRoman" w:hAnsi="Times New Roman"/>
          <w:lang w:val="sk-SK"/>
        </w:rPr>
        <w:t>,</w:t>
      </w:r>
      <w:r w:rsidR="000240B3" w:rsidRPr="001E0058">
        <w:rPr>
          <w:rFonts w:ascii="Times New Roman" w:eastAsia="TimesNewRoman" w:hAnsi="Times New Roman"/>
          <w:lang w:val="sk-SK"/>
        </w:rPr>
        <w:t xml:space="preserve"> (induktor CYP3A4</w:t>
      </w:r>
      <w:r w:rsidR="008736DF">
        <w:rPr>
          <w:rFonts w:ascii="Times New Roman" w:eastAsia="TimesNewRoman" w:hAnsi="Times New Roman"/>
          <w:lang w:val="sk-SK"/>
        </w:rPr>
        <w:t xml:space="preserve"> </w:t>
      </w:r>
      <w:r w:rsidR="008736DF" w:rsidRPr="00A32057">
        <w:rPr>
          <w:rFonts w:ascii="Times New Roman" w:eastAsia="TimesNewRoman" w:hAnsi="Times New Roman"/>
          <w:lang w:val="en-US"/>
        </w:rPr>
        <w:t>[</w:t>
      </w:r>
      <w:r w:rsidR="008736DF" w:rsidRPr="001E0058">
        <w:rPr>
          <w:rFonts w:ascii="Times New Roman" w:eastAsia="TimesNewRoman" w:hAnsi="Times New Roman"/>
          <w:lang w:val="sk-SK"/>
        </w:rPr>
        <w:t>stredne silný</w:t>
      </w:r>
      <w:r w:rsidR="008736DF" w:rsidRPr="00A32057">
        <w:rPr>
          <w:rFonts w:ascii="Times New Roman" w:eastAsia="TimesNewRoman" w:hAnsi="Times New Roman"/>
          <w:lang w:val="en-US"/>
        </w:rPr>
        <w:t>]</w:t>
      </w:r>
      <w:r w:rsidR="000240B3" w:rsidRPr="001E0058">
        <w:rPr>
          <w:rFonts w:ascii="Times New Roman" w:eastAsia="TimesNewRoman" w:hAnsi="Times New Roman"/>
          <w:lang w:val="sk-SK"/>
        </w:rPr>
        <w:t>,</w:t>
      </w:r>
      <w:r w:rsidR="00C07B92" w:rsidRPr="001E0058">
        <w:rPr>
          <w:rFonts w:ascii="Times New Roman" w:eastAsia="TimesNewRoman" w:hAnsi="Times New Roman"/>
          <w:lang w:val="sk-SK"/>
        </w:rPr>
        <w:t xml:space="preserve"> </w:t>
      </w:r>
      <w:r w:rsidR="000240B3" w:rsidRPr="001E0058">
        <w:rPr>
          <w:rFonts w:ascii="Times New Roman" w:eastAsia="TimesNewRoman" w:hAnsi="Times New Roman"/>
          <w:lang w:val="sk-SK"/>
        </w:rPr>
        <w:t xml:space="preserve">CYP2C9 a pravdepodobne CYP2C19) v rovnovážnom stave (125 mg dvakrát denne) so </w:t>
      </w:r>
      <w:proofErr w:type="spellStart"/>
      <w:r w:rsidR="000240B3" w:rsidRPr="001E0058">
        <w:rPr>
          <w:rFonts w:ascii="Times New Roman" w:eastAsia="TimesNewRoman" w:hAnsi="Times New Roman"/>
          <w:lang w:val="sk-SK"/>
        </w:rPr>
        <w:t>sildenafilom</w:t>
      </w:r>
      <w:proofErr w:type="spellEnd"/>
      <w:r w:rsidR="000240B3" w:rsidRPr="001E0058">
        <w:rPr>
          <w:rFonts w:ascii="Times New Roman" w:eastAsia="TimesNewRoman" w:hAnsi="Times New Roman"/>
          <w:lang w:val="sk-SK"/>
        </w:rPr>
        <w:t xml:space="preserve"> v rovnovážnom stave (80 mg trikrát denne) k 62,6</w:t>
      </w:r>
      <w:r w:rsidR="00600097">
        <w:rPr>
          <w:rFonts w:ascii="Times New Roman" w:eastAsia="TimesNewRoman" w:hAnsi="Times New Roman"/>
          <w:lang w:val="sk-SK"/>
        </w:rPr>
        <w:t> </w:t>
      </w:r>
      <w:r w:rsidR="000240B3" w:rsidRPr="001E0058">
        <w:rPr>
          <w:rFonts w:ascii="Times New Roman" w:eastAsia="TimesNewRoman" w:hAnsi="Times New Roman"/>
          <w:lang w:val="sk-SK"/>
        </w:rPr>
        <w:t xml:space="preserve">% zníženiu </w:t>
      </w:r>
      <w:r w:rsidR="008736DF">
        <w:rPr>
          <w:rFonts w:ascii="Times New Roman" w:eastAsia="TimesNewRoman" w:hAnsi="Times New Roman"/>
          <w:lang w:val="sk-SK"/>
        </w:rPr>
        <w:t xml:space="preserve">hodnoty </w:t>
      </w:r>
      <w:r w:rsidR="000240B3" w:rsidRPr="001E0058">
        <w:rPr>
          <w:rFonts w:ascii="Times New Roman" w:eastAsia="TimesNewRoman" w:hAnsi="Times New Roman"/>
          <w:lang w:val="sk-SK"/>
        </w:rPr>
        <w:t>AUC a k 55,4</w:t>
      </w:r>
      <w:r w:rsidR="00600097">
        <w:rPr>
          <w:rFonts w:ascii="Times New Roman" w:eastAsia="TimesNewRoman" w:hAnsi="Times New Roman"/>
          <w:lang w:val="sk-SK"/>
        </w:rPr>
        <w:t> </w:t>
      </w:r>
      <w:r w:rsidR="000240B3" w:rsidRPr="001E0058">
        <w:rPr>
          <w:rFonts w:ascii="Times New Roman" w:eastAsia="TimesNewRoman" w:hAnsi="Times New Roman"/>
          <w:lang w:val="sk-SK"/>
        </w:rPr>
        <w:t xml:space="preserve">% zníženiu </w:t>
      </w:r>
      <w:r w:rsidR="000A7EEE">
        <w:rPr>
          <w:rFonts w:ascii="Times New Roman" w:eastAsia="TimesNewRoman" w:hAnsi="Times New Roman"/>
          <w:lang w:val="sk-SK"/>
        </w:rPr>
        <w:t xml:space="preserve">hodnoty </w:t>
      </w:r>
      <w:r w:rsidR="000240B3" w:rsidRPr="001E0058">
        <w:rPr>
          <w:rFonts w:ascii="Times New Roman" w:eastAsia="TimesNewRoman" w:hAnsi="Times New Roman"/>
          <w:lang w:val="sk-SK"/>
        </w:rPr>
        <w:t>C</w:t>
      </w:r>
      <w:r w:rsidR="000240B3" w:rsidRPr="00097C3B">
        <w:rPr>
          <w:rFonts w:ascii="Times New Roman" w:eastAsia="TimesNewRoman" w:hAnsi="Times New Roman"/>
          <w:vertAlign w:val="subscript"/>
          <w:lang w:val="sk-SK"/>
        </w:rPr>
        <w:t xml:space="preserve">max </w:t>
      </w:r>
      <w:proofErr w:type="spellStart"/>
      <w:r w:rsidR="000240B3"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="000240B3" w:rsidRPr="001E0058">
        <w:rPr>
          <w:rFonts w:ascii="Times New Roman" w:eastAsia="TimesNewRoman" w:hAnsi="Times New Roman"/>
          <w:lang w:val="sk-SK"/>
        </w:rPr>
        <w:t>. Preto sú</w:t>
      </w:r>
      <w:r w:rsidR="00392D3E">
        <w:rPr>
          <w:rFonts w:ascii="Times New Roman" w:eastAsia="TimesNewRoman" w:hAnsi="Times New Roman"/>
          <w:lang w:val="sk-SK"/>
        </w:rPr>
        <w:t>bežné</w:t>
      </w:r>
      <w:r w:rsidR="000240B3" w:rsidRPr="001E0058">
        <w:rPr>
          <w:rFonts w:ascii="Times New Roman" w:eastAsia="TimesNewRoman" w:hAnsi="Times New Roman"/>
          <w:lang w:val="sk-SK"/>
        </w:rPr>
        <w:t xml:space="preserve"> podávanie silných </w:t>
      </w:r>
      <w:r w:rsidR="00392D3E">
        <w:rPr>
          <w:rFonts w:ascii="Times New Roman" w:eastAsia="TimesNewRoman" w:hAnsi="Times New Roman"/>
          <w:lang w:val="sk-SK"/>
        </w:rPr>
        <w:t xml:space="preserve">induktorov </w:t>
      </w:r>
      <w:r w:rsidR="000240B3" w:rsidRPr="001E0058">
        <w:rPr>
          <w:rFonts w:ascii="Times New Roman" w:eastAsia="TimesNewRoman" w:hAnsi="Times New Roman"/>
          <w:lang w:val="sk-SK"/>
        </w:rPr>
        <w:t>CYP3A4</w:t>
      </w:r>
      <w:r w:rsidR="000A7EEE">
        <w:rPr>
          <w:rFonts w:ascii="Times New Roman" w:eastAsia="TimesNewRoman" w:hAnsi="Times New Roman"/>
          <w:lang w:val="sk-SK"/>
        </w:rPr>
        <w:t>,</w:t>
      </w:r>
      <w:r w:rsidR="000240B3" w:rsidRPr="001E0058">
        <w:rPr>
          <w:rFonts w:ascii="Times New Roman" w:eastAsia="TimesNewRoman" w:hAnsi="Times New Roman"/>
          <w:lang w:val="sk-SK"/>
        </w:rPr>
        <w:t xml:space="preserve"> ako </w:t>
      </w:r>
      <w:r w:rsidR="000A7EEE">
        <w:rPr>
          <w:rFonts w:ascii="Times New Roman" w:eastAsia="TimesNewRoman" w:hAnsi="Times New Roman"/>
          <w:lang w:val="sk-SK"/>
        </w:rPr>
        <w:t xml:space="preserve">je </w:t>
      </w:r>
      <w:proofErr w:type="spellStart"/>
      <w:r w:rsidR="000240B3" w:rsidRPr="001E0058">
        <w:rPr>
          <w:rFonts w:ascii="Times New Roman" w:eastAsia="TimesNewRoman" w:hAnsi="Times New Roman"/>
          <w:lang w:val="sk-SK"/>
        </w:rPr>
        <w:t>rifampicín</w:t>
      </w:r>
      <w:proofErr w:type="spellEnd"/>
      <w:r w:rsidR="000A7EEE">
        <w:rPr>
          <w:rFonts w:ascii="Times New Roman" w:eastAsia="TimesNewRoman" w:hAnsi="Times New Roman"/>
          <w:lang w:val="sk-SK"/>
        </w:rPr>
        <w:t>,</w:t>
      </w:r>
      <w:r w:rsidR="000240B3" w:rsidRPr="001E0058">
        <w:rPr>
          <w:rFonts w:ascii="Times New Roman" w:eastAsia="TimesNewRoman" w:hAnsi="Times New Roman"/>
          <w:lang w:val="sk-SK"/>
        </w:rPr>
        <w:t xml:space="preserve"> môže spôsobiť v</w:t>
      </w:r>
      <w:r w:rsidR="000A7EEE">
        <w:rPr>
          <w:rFonts w:ascii="Times New Roman" w:eastAsia="TimesNewRoman" w:hAnsi="Times New Roman"/>
          <w:lang w:val="sk-SK"/>
        </w:rPr>
        <w:t xml:space="preserve">ýraznejší </w:t>
      </w:r>
      <w:r w:rsidR="000240B3" w:rsidRPr="001E0058">
        <w:rPr>
          <w:rFonts w:ascii="Times New Roman" w:eastAsia="TimesNewRoman" w:hAnsi="Times New Roman"/>
          <w:lang w:val="sk-SK"/>
        </w:rPr>
        <w:t xml:space="preserve">pokles plazmatickej koncentrácie </w:t>
      </w:r>
      <w:proofErr w:type="spellStart"/>
      <w:r w:rsidR="000240B3"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="000240B3" w:rsidRPr="001E0058">
        <w:rPr>
          <w:rFonts w:ascii="Times New Roman" w:eastAsia="TimesNewRoman" w:hAnsi="Times New Roman"/>
          <w:lang w:val="sk-SK"/>
        </w:rPr>
        <w:t>.</w:t>
      </w:r>
    </w:p>
    <w:p w14:paraId="73793828" w14:textId="77777777" w:rsidR="000240B3" w:rsidRPr="001E0058" w:rsidRDefault="000240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625DA859" w14:textId="0207D35B" w:rsidR="00B76076" w:rsidRPr="001E0058" w:rsidRDefault="000240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1E0058">
        <w:rPr>
          <w:rFonts w:ascii="Times New Roman" w:eastAsia="TimesNewRoman" w:hAnsi="Times New Roman"/>
          <w:lang w:val="sk-SK"/>
        </w:rPr>
        <w:t>Nikorandil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je hybrid </w:t>
      </w:r>
      <w:proofErr w:type="spellStart"/>
      <w:r w:rsidRPr="001E0058">
        <w:rPr>
          <w:rFonts w:ascii="Times New Roman" w:eastAsia="TimesNewRoman" w:hAnsi="Times New Roman"/>
          <w:lang w:val="sk-SK"/>
        </w:rPr>
        <w:t>aktivátora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draslíkových kanálov a nitrátu. </w:t>
      </w:r>
      <w:r w:rsidR="00395233">
        <w:rPr>
          <w:rFonts w:ascii="Times New Roman" w:eastAsia="TimesNewRoman" w:hAnsi="Times New Roman"/>
          <w:lang w:val="sk-SK"/>
        </w:rPr>
        <w:t>Kvôli</w:t>
      </w:r>
      <w:r w:rsidRPr="001E0058">
        <w:rPr>
          <w:rFonts w:ascii="Times New Roman" w:eastAsia="TimesNewRoman" w:hAnsi="Times New Roman"/>
          <w:lang w:val="sk-SK"/>
        </w:rPr>
        <w:t xml:space="preserve"> nitrátov</w:t>
      </w:r>
      <w:r w:rsidR="00395233">
        <w:rPr>
          <w:rFonts w:ascii="Times New Roman" w:eastAsia="TimesNewRoman" w:hAnsi="Times New Roman"/>
          <w:lang w:val="sk-SK"/>
        </w:rPr>
        <w:t>ej</w:t>
      </w:r>
      <w:r w:rsidRPr="001E0058">
        <w:rPr>
          <w:rFonts w:ascii="Times New Roman" w:eastAsia="TimesNewRoman" w:hAnsi="Times New Roman"/>
          <w:lang w:val="sk-SK"/>
        </w:rPr>
        <w:t xml:space="preserve"> zložk</w:t>
      </w:r>
      <w:r w:rsidR="00395233">
        <w:rPr>
          <w:rFonts w:ascii="Times New Roman" w:eastAsia="TimesNewRoman" w:hAnsi="Times New Roman"/>
          <w:lang w:val="sk-SK"/>
        </w:rPr>
        <w:t>e</w:t>
      </w:r>
      <w:r w:rsidRPr="001E0058">
        <w:rPr>
          <w:rFonts w:ascii="Times New Roman" w:eastAsia="TimesNewRoman" w:hAnsi="Times New Roman"/>
          <w:lang w:val="sk-SK"/>
        </w:rPr>
        <w:t xml:space="preserve"> má potenciál viesť k závažným interakciám so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sildenafilom</w:t>
      </w:r>
      <w:proofErr w:type="spellEnd"/>
      <w:r w:rsidRPr="001E0058">
        <w:rPr>
          <w:rFonts w:ascii="Times New Roman" w:eastAsia="TimesNewRoman" w:hAnsi="Times New Roman"/>
          <w:lang w:val="sk-SK"/>
        </w:rPr>
        <w:t>.</w:t>
      </w:r>
    </w:p>
    <w:p w14:paraId="3E10474F" w14:textId="35591540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18C6789" w14:textId="014404BB" w:rsidR="00B76076" w:rsidRPr="001E0058" w:rsidRDefault="00C07B92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r w:rsidRPr="001E0058">
        <w:rPr>
          <w:rFonts w:ascii="Times New Roman" w:eastAsia="TimesNewRoman" w:hAnsi="Times New Roman"/>
          <w:u w:val="single"/>
          <w:lang w:val="sk-SK"/>
        </w:rPr>
        <w:t xml:space="preserve">Účinky </w:t>
      </w:r>
      <w:proofErr w:type="spellStart"/>
      <w:r w:rsidRPr="001E0058">
        <w:rPr>
          <w:rFonts w:ascii="Times New Roman" w:eastAsia="TimesNewRoman" w:hAnsi="Times New Roman"/>
          <w:u w:val="single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u w:val="single"/>
          <w:lang w:val="sk-SK"/>
        </w:rPr>
        <w:t xml:space="preserve"> na iné lie</w:t>
      </w:r>
      <w:r w:rsidR="001302A2">
        <w:rPr>
          <w:rFonts w:ascii="Times New Roman" w:eastAsia="TimesNewRoman" w:hAnsi="Times New Roman"/>
          <w:u w:val="single"/>
          <w:lang w:val="sk-SK"/>
        </w:rPr>
        <w:t>čivá</w:t>
      </w:r>
    </w:p>
    <w:p w14:paraId="526CB155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lang w:val="sk-SK"/>
        </w:rPr>
      </w:pPr>
    </w:p>
    <w:p w14:paraId="2EDBFD6B" w14:textId="29763608" w:rsidR="00B76076" w:rsidRPr="001E0058" w:rsidRDefault="00C07B92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lang w:val="sk-SK"/>
        </w:rPr>
      </w:pPr>
      <w:r w:rsidRPr="001E0058">
        <w:rPr>
          <w:rFonts w:ascii="Times New Roman" w:eastAsia="TimesNewRoman,Bold" w:hAnsi="Times New Roman"/>
          <w:i/>
          <w:iCs/>
          <w:lang w:val="sk-SK"/>
        </w:rPr>
        <w:t>Štúdie in vitro</w:t>
      </w:r>
    </w:p>
    <w:p w14:paraId="7851373E" w14:textId="039BFDA0" w:rsidR="00C07B92" w:rsidRPr="001E0058" w:rsidRDefault="00C07B92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je slabý inhibítor (IC50 &gt; 150 </w:t>
      </w:r>
      <w:proofErr w:type="spellStart"/>
      <w:r w:rsidRPr="001E0058">
        <w:rPr>
          <w:rFonts w:ascii="Times New Roman" w:eastAsia="TimesNewRoman" w:hAnsi="Times New Roman"/>
          <w:lang w:val="sk-SK"/>
        </w:rPr>
        <w:t>μmol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/l) </w:t>
      </w:r>
      <w:proofErr w:type="spellStart"/>
      <w:r w:rsidRPr="001E0058">
        <w:rPr>
          <w:rFonts w:ascii="Times New Roman" w:eastAsia="TimesNewRoman" w:hAnsi="Times New Roman"/>
          <w:lang w:val="sk-SK"/>
        </w:rPr>
        <w:t>izoforiem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1A2, 2C9, 2C19, 2D6, 2E1 a 3A4 </w:t>
      </w:r>
      <w:proofErr w:type="spellStart"/>
      <w:r w:rsidRPr="001E0058">
        <w:rPr>
          <w:rFonts w:ascii="Times New Roman" w:eastAsia="TimesNewRoman" w:hAnsi="Times New Roman"/>
          <w:lang w:val="sk-SK"/>
        </w:rPr>
        <w:t>cytochrómu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P450. Je však nepravdepodobné, že by </w:t>
      </w:r>
      <w:proofErr w:type="spellStart"/>
      <w:r w:rsidRPr="001E0058">
        <w:rPr>
          <w:rFonts w:ascii="Times New Roman" w:eastAsia="TimesNewRoman" w:hAnsi="Times New Roman"/>
          <w:lang w:val="sk-SK"/>
        </w:rPr>
        <w:t>Azurvig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ovplyvňoval klírens substrátov týchto </w:t>
      </w:r>
      <w:proofErr w:type="spellStart"/>
      <w:r w:rsidRPr="001E0058">
        <w:rPr>
          <w:rFonts w:ascii="Times New Roman" w:eastAsia="TimesNewRoman" w:hAnsi="Times New Roman"/>
          <w:lang w:val="sk-SK"/>
        </w:rPr>
        <w:t>izoenzýmov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keďže </w:t>
      </w:r>
      <w:r w:rsidR="00395233">
        <w:rPr>
          <w:rFonts w:ascii="Times New Roman" w:eastAsia="TimesNewRoman" w:hAnsi="Times New Roman"/>
          <w:lang w:val="sk-SK"/>
        </w:rPr>
        <w:t>maximálna</w:t>
      </w:r>
      <w:r w:rsidR="00395233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koncentrácia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pri podávaní v odporúčaných dávkach je približne 1 </w:t>
      </w:r>
      <w:proofErr w:type="spellStart"/>
      <w:r w:rsidRPr="001E0058">
        <w:rPr>
          <w:rFonts w:ascii="Times New Roman" w:eastAsia="TimesNewRoman" w:hAnsi="Times New Roman"/>
          <w:lang w:val="sk-SK"/>
        </w:rPr>
        <w:t>μmol</w:t>
      </w:r>
      <w:proofErr w:type="spellEnd"/>
      <w:r w:rsidRPr="001E0058">
        <w:rPr>
          <w:rFonts w:ascii="Times New Roman" w:eastAsia="TimesNewRoman" w:hAnsi="Times New Roman"/>
          <w:lang w:val="sk-SK"/>
        </w:rPr>
        <w:t>/l.</w:t>
      </w:r>
    </w:p>
    <w:p w14:paraId="5EC14520" w14:textId="77777777" w:rsidR="00C07B92" w:rsidRPr="001E0058" w:rsidRDefault="00C07B92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6C516425" w14:textId="125DA717" w:rsidR="007C27B0" w:rsidRPr="001E0058" w:rsidRDefault="00C07B92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Nie sú </w:t>
      </w:r>
      <w:r w:rsidR="00836641">
        <w:rPr>
          <w:rFonts w:ascii="Times New Roman" w:eastAsia="TimesNewRoman" w:hAnsi="Times New Roman"/>
          <w:lang w:val="sk-SK"/>
        </w:rPr>
        <w:t xml:space="preserve">k dispozícii </w:t>
      </w:r>
      <w:r w:rsidRPr="001E0058">
        <w:rPr>
          <w:rFonts w:ascii="Times New Roman" w:eastAsia="TimesNewRoman" w:hAnsi="Times New Roman"/>
          <w:lang w:val="sk-SK"/>
        </w:rPr>
        <w:t xml:space="preserve">žiadne údaje o interakcii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s nešpecifickými inhibítormi </w:t>
      </w:r>
      <w:proofErr w:type="spellStart"/>
      <w:r w:rsidRPr="001E0058">
        <w:rPr>
          <w:rFonts w:ascii="Times New Roman" w:eastAsia="TimesNewRoman" w:hAnsi="Times New Roman"/>
          <w:lang w:val="sk-SK"/>
        </w:rPr>
        <w:t>fosfodiesterázy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ako </w:t>
      </w:r>
      <w:r w:rsidR="00870637">
        <w:rPr>
          <w:rFonts w:ascii="Times New Roman" w:eastAsia="TimesNewRoman" w:hAnsi="Times New Roman"/>
          <w:lang w:val="sk-SK"/>
        </w:rPr>
        <w:t>je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teofylín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alebo </w:t>
      </w:r>
      <w:proofErr w:type="spellStart"/>
      <w:r w:rsidRPr="001E0058">
        <w:rPr>
          <w:rFonts w:ascii="Times New Roman" w:eastAsia="TimesNewRoman" w:hAnsi="Times New Roman"/>
          <w:lang w:val="sk-SK"/>
        </w:rPr>
        <w:t>dipyridamol</w:t>
      </w:r>
      <w:proofErr w:type="spellEnd"/>
      <w:r w:rsidRPr="001E0058">
        <w:rPr>
          <w:rFonts w:ascii="Times New Roman" w:eastAsia="TimesNewRoman" w:hAnsi="Times New Roman"/>
          <w:lang w:val="sk-SK"/>
        </w:rPr>
        <w:t>.</w:t>
      </w:r>
    </w:p>
    <w:p w14:paraId="75C9768D" w14:textId="77777777" w:rsidR="00C07B92" w:rsidRPr="001E0058" w:rsidRDefault="00C07B92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027D7E91" w14:textId="2DDFC72B" w:rsidR="00C07B92" w:rsidRPr="001E0058" w:rsidRDefault="00C07B92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lang w:val="sk-SK"/>
        </w:rPr>
      </w:pPr>
      <w:r w:rsidRPr="001E0058">
        <w:rPr>
          <w:rFonts w:ascii="Times New Roman" w:eastAsia="TimesNewRoman,Bold" w:hAnsi="Times New Roman"/>
          <w:i/>
          <w:iCs/>
          <w:lang w:val="sk-SK"/>
        </w:rPr>
        <w:t>Štúdie in vivo</w:t>
      </w:r>
    </w:p>
    <w:p w14:paraId="3A3C8B42" w14:textId="08CD4D9B" w:rsidR="00B76076" w:rsidRPr="001E0058" w:rsidRDefault="00E62B20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V súlade so známym účinkom na metabolickú cestu oxid </w:t>
      </w:r>
      <w:proofErr w:type="spellStart"/>
      <w:r w:rsidRPr="001E0058">
        <w:rPr>
          <w:rFonts w:ascii="Times New Roman" w:eastAsia="TimesNewRoman" w:hAnsi="Times New Roman"/>
          <w:lang w:val="sk-SK"/>
        </w:rPr>
        <w:t>dusnatý</w:t>
      </w:r>
      <w:proofErr w:type="spellEnd"/>
      <w:r w:rsidRPr="001E0058">
        <w:rPr>
          <w:rFonts w:ascii="Times New Roman" w:eastAsia="TimesNewRoman" w:hAnsi="Times New Roman"/>
          <w:lang w:val="sk-SK"/>
        </w:rPr>
        <w:t>/</w:t>
      </w:r>
      <w:proofErr w:type="spellStart"/>
      <w:r w:rsidRPr="001E0058">
        <w:rPr>
          <w:rFonts w:ascii="Times New Roman" w:eastAsia="TimesNewRoman" w:hAnsi="Times New Roman"/>
          <w:lang w:val="sk-SK"/>
        </w:rPr>
        <w:t>cGMP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(pozri časť 5.1) sa preukázalo, že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="008953FF">
        <w:rPr>
          <w:rFonts w:ascii="Times New Roman" w:eastAsia="TimesNewRoman" w:hAnsi="Times New Roman"/>
          <w:lang w:val="sk-SK"/>
        </w:rPr>
        <w:t>zosiľňuje</w:t>
      </w:r>
      <w:proofErr w:type="spellEnd"/>
      <w:r w:rsidR="008953FF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hypotenzívny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účinok nitrátov, a preto je jeho sú</w:t>
      </w:r>
      <w:r w:rsidR="00395233">
        <w:rPr>
          <w:rFonts w:ascii="Times New Roman" w:eastAsia="TimesNewRoman" w:hAnsi="Times New Roman"/>
          <w:lang w:val="sk-SK"/>
        </w:rPr>
        <w:t>bežné</w:t>
      </w:r>
      <w:r w:rsidRPr="001E0058">
        <w:rPr>
          <w:rFonts w:ascii="Times New Roman" w:eastAsia="TimesNewRoman" w:hAnsi="Times New Roman"/>
          <w:lang w:val="sk-SK"/>
        </w:rPr>
        <w:t xml:space="preserve"> pod</w:t>
      </w:r>
      <w:r w:rsidR="008953FF">
        <w:rPr>
          <w:rFonts w:ascii="Times New Roman" w:eastAsia="TimesNewRoman" w:hAnsi="Times New Roman"/>
          <w:lang w:val="sk-SK"/>
        </w:rPr>
        <w:t>áv</w:t>
      </w:r>
      <w:r w:rsidRPr="001E0058">
        <w:rPr>
          <w:rFonts w:ascii="Times New Roman" w:eastAsia="TimesNewRoman" w:hAnsi="Times New Roman"/>
          <w:lang w:val="sk-SK"/>
        </w:rPr>
        <w:t xml:space="preserve">anie s </w:t>
      </w:r>
      <w:proofErr w:type="spellStart"/>
      <w:r w:rsidRPr="001E0058">
        <w:rPr>
          <w:rFonts w:ascii="Times New Roman" w:eastAsia="TimesNewRoman" w:hAnsi="Times New Roman"/>
          <w:lang w:val="sk-SK"/>
        </w:rPr>
        <w:t>donormi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oxidu </w:t>
      </w:r>
      <w:proofErr w:type="spellStart"/>
      <w:r w:rsidRPr="001E0058">
        <w:rPr>
          <w:rFonts w:ascii="Times New Roman" w:eastAsia="TimesNewRoman" w:hAnsi="Times New Roman"/>
          <w:lang w:val="sk-SK"/>
        </w:rPr>
        <w:t>dusnatého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alebo nitrátmi v akejkoľvek forme kontraindikované (pozri časť 4.3).</w:t>
      </w:r>
    </w:p>
    <w:p w14:paraId="3FB73A32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05E81FCD" w14:textId="51C9F421" w:rsidR="00B76076" w:rsidRPr="001E0058" w:rsidRDefault="00D019CA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Súbežné podávanie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pacientom užívajúcim </w:t>
      </w:r>
      <w:proofErr w:type="spellStart"/>
      <w:r w:rsidRPr="001E0058">
        <w:rPr>
          <w:rFonts w:ascii="Times New Roman" w:eastAsia="TimesNewRoman" w:hAnsi="Times New Roman"/>
          <w:lang w:val="sk-SK"/>
        </w:rPr>
        <w:t>alfablokátory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môže viesť u niektorých citlivých </w:t>
      </w:r>
      <w:r w:rsidR="00395233">
        <w:rPr>
          <w:rFonts w:ascii="Times New Roman" w:eastAsia="TimesNewRoman" w:hAnsi="Times New Roman"/>
          <w:lang w:val="sk-SK"/>
        </w:rPr>
        <w:t>osôb</w:t>
      </w:r>
      <w:r w:rsidR="00395233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k symptomatickej hypotenzii. </w:t>
      </w:r>
      <w:r w:rsidR="00A92E93">
        <w:rPr>
          <w:rFonts w:ascii="Times New Roman" w:eastAsia="TimesNewRoman" w:hAnsi="Times New Roman"/>
          <w:lang w:val="sk-SK"/>
        </w:rPr>
        <w:t>S n</w:t>
      </w:r>
      <w:r w:rsidR="00E85E32">
        <w:rPr>
          <w:rFonts w:ascii="Times New Roman" w:eastAsia="TimesNewRoman" w:hAnsi="Times New Roman"/>
          <w:lang w:val="sk-SK"/>
        </w:rPr>
        <w:t>a</w:t>
      </w:r>
      <w:r w:rsidR="00A92E93">
        <w:rPr>
          <w:rFonts w:ascii="Times New Roman" w:eastAsia="TimesNewRoman" w:hAnsi="Times New Roman"/>
          <w:lang w:val="sk-SK"/>
        </w:rPr>
        <w:t>jväčšou pravdepodobn</w:t>
      </w:r>
      <w:r w:rsidR="00E85E32">
        <w:rPr>
          <w:rFonts w:ascii="Times New Roman" w:eastAsia="TimesNewRoman" w:hAnsi="Times New Roman"/>
          <w:lang w:val="sk-SK"/>
        </w:rPr>
        <w:t>o</w:t>
      </w:r>
      <w:r w:rsidR="00A92E93">
        <w:rPr>
          <w:rFonts w:ascii="Times New Roman" w:eastAsia="TimesNewRoman" w:hAnsi="Times New Roman"/>
          <w:lang w:val="sk-SK"/>
        </w:rPr>
        <w:t xml:space="preserve">sťou sa </w:t>
      </w:r>
      <w:r w:rsidRPr="001E0058">
        <w:rPr>
          <w:rFonts w:ascii="Times New Roman" w:eastAsia="TimesNewRoman" w:hAnsi="Times New Roman"/>
          <w:lang w:val="sk-SK"/>
        </w:rPr>
        <w:t>v</w:t>
      </w:r>
      <w:r w:rsidR="00A92E93">
        <w:rPr>
          <w:rFonts w:ascii="Times New Roman" w:eastAsia="TimesNewRoman" w:hAnsi="Times New Roman"/>
          <w:lang w:val="sk-SK"/>
        </w:rPr>
        <w:t>y</w:t>
      </w:r>
      <w:r w:rsidRPr="001E0058">
        <w:rPr>
          <w:rFonts w:ascii="Times New Roman" w:eastAsia="TimesNewRoman" w:hAnsi="Times New Roman"/>
          <w:lang w:val="sk-SK"/>
        </w:rPr>
        <w:t xml:space="preserve">skytuje </w:t>
      </w:r>
      <w:r w:rsidR="000C5C56">
        <w:rPr>
          <w:rFonts w:ascii="Times New Roman" w:eastAsia="TimesNewRoman" w:hAnsi="Times New Roman"/>
          <w:lang w:val="sk-SK"/>
        </w:rPr>
        <w:t>v priebehu</w:t>
      </w:r>
      <w:r w:rsidRPr="001E0058">
        <w:rPr>
          <w:rFonts w:ascii="Times New Roman" w:eastAsia="TimesNewRoman" w:hAnsi="Times New Roman"/>
          <w:lang w:val="sk-SK"/>
        </w:rPr>
        <w:t xml:space="preserve"> 4 hodín po podaní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(pozri časti 4.2 a 4.4). V troch špecifických liekových interakčných štúdiách sa pacientom s benígnou </w:t>
      </w:r>
      <w:proofErr w:type="spellStart"/>
      <w:r w:rsidRPr="001E0058">
        <w:rPr>
          <w:rFonts w:ascii="Times New Roman" w:eastAsia="TimesNewRoman" w:hAnsi="Times New Roman"/>
          <w:lang w:val="sk-SK"/>
        </w:rPr>
        <w:t>hyperpláziou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prostaty (BPH) stabilizovaným na liečbe </w:t>
      </w:r>
      <w:proofErr w:type="spellStart"/>
      <w:r w:rsidRPr="001E0058">
        <w:rPr>
          <w:rFonts w:ascii="Times New Roman" w:eastAsia="TimesNewRoman" w:hAnsi="Times New Roman"/>
          <w:lang w:val="sk-SK"/>
        </w:rPr>
        <w:t>doxazosínom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sú</w:t>
      </w:r>
      <w:r w:rsidR="00395233">
        <w:rPr>
          <w:rFonts w:ascii="Times New Roman" w:eastAsia="TimesNewRoman" w:hAnsi="Times New Roman"/>
          <w:lang w:val="sk-SK"/>
        </w:rPr>
        <w:t>bežne</w:t>
      </w:r>
      <w:r w:rsidRPr="001E0058">
        <w:rPr>
          <w:rFonts w:ascii="Times New Roman" w:eastAsia="TimesNewRoman" w:hAnsi="Times New Roman"/>
          <w:lang w:val="sk-SK"/>
        </w:rPr>
        <w:t xml:space="preserve"> podával </w:t>
      </w:r>
      <w:proofErr w:type="spellStart"/>
      <w:r w:rsidRPr="001E0058">
        <w:rPr>
          <w:rFonts w:ascii="Times New Roman" w:eastAsia="TimesNewRoman" w:hAnsi="Times New Roman"/>
          <w:lang w:val="sk-SK"/>
        </w:rPr>
        <w:t>alfablokátor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doxazosín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(4 mg a 8 mg) a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(25 mg, 50 mg alebo 100 mg).</w:t>
      </w:r>
    </w:p>
    <w:p w14:paraId="6B7E39E9" w14:textId="77777777" w:rsidR="007413B3" w:rsidRDefault="007413B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10D5A28" w14:textId="00172C9A" w:rsidR="00B76076" w:rsidRPr="001E0058" w:rsidRDefault="00D019CA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V týchto štúdiách sa u sledovanej populácie pozorovalo priemerné dodatočné zníženie </w:t>
      </w:r>
      <w:r w:rsidR="007F6AD9" w:rsidRPr="001E0058">
        <w:rPr>
          <w:rFonts w:ascii="Times New Roman" w:eastAsia="TimesNewRoman" w:hAnsi="Times New Roman"/>
          <w:lang w:val="sk-SK"/>
        </w:rPr>
        <w:t>krv</w:t>
      </w:r>
      <w:r w:rsidR="007F6AD9">
        <w:rPr>
          <w:rFonts w:ascii="Times New Roman" w:eastAsia="TimesNewRoman" w:hAnsi="Times New Roman"/>
          <w:lang w:val="sk-SK"/>
        </w:rPr>
        <w:t>ného</w:t>
      </w:r>
      <w:r w:rsidR="007F6AD9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tlaku v ľahu o 7/7 </w:t>
      </w:r>
      <w:proofErr w:type="spellStart"/>
      <w:r w:rsidRPr="001E0058">
        <w:rPr>
          <w:rFonts w:ascii="Times New Roman" w:eastAsia="TimesNewRoman" w:hAnsi="Times New Roman"/>
          <w:lang w:val="sk-SK"/>
        </w:rPr>
        <w:t>mmHg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9/5 </w:t>
      </w:r>
      <w:proofErr w:type="spellStart"/>
      <w:r w:rsidRPr="001E0058">
        <w:rPr>
          <w:rFonts w:ascii="Times New Roman" w:eastAsia="TimesNewRoman" w:hAnsi="Times New Roman"/>
          <w:lang w:val="sk-SK"/>
        </w:rPr>
        <w:t>mmHg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 8/4 </w:t>
      </w:r>
      <w:proofErr w:type="spellStart"/>
      <w:r w:rsidRPr="001E0058">
        <w:rPr>
          <w:rFonts w:ascii="Times New Roman" w:eastAsia="TimesNewRoman" w:hAnsi="Times New Roman"/>
          <w:lang w:val="sk-SK"/>
        </w:rPr>
        <w:t>mmHg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 priemerné dodatočné zníženie </w:t>
      </w:r>
      <w:r w:rsidR="007F6AD9" w:rsidRPr="001E0058">
        <w:rPr>
          <w:rFonts w:ascii="Times New Roman" w:eastAsia="TimesNewRoman" w:hAnsi="Times New Roman"/>
          <w:lang w:val="sk-SK"/>
        </w:rPr>
        <w:t>krv</w:t>
      </w:r>
      <w:r w:rsidR="007F6AD9">
        <w:rPr>
          <w:rFonts w:ascii="Times New Roman" w:eastAsia="TimesNewRoman" w:hAnsi="Times New Roman"/>
          <w:lang w:val="sk-SK"/>
        </w:rPr>
        <w:t>ného</w:t>
      </w:r>
      <w:r w:rsidR="007F6AD9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tlaku v stoji o 6/6</w:t>
      </w:r>
      <w:r w:rsidR="007F6AD9">
        <w:rPr>
          <w:rFonts w:ascii="Times New Roman" w:eastAsia="TimesNewRoman" w:hAnsi="Times New Roman"/>
          <w:lang w:val="sk-SK"/>
        </w:rPr>
        <w:t> </w:t>
      </w:r>
      <w:proofErr w:type="spellStart"/>
      <w:r w:rsidRPr="001E0058">
        <w:rPr>
          <w:rFonts w:ascii="Times New Roman" w:eastAsia="TimesNewRoman" w:hAnsi="Times New Roman"/>
          <w:lang w:val="sk-SK"/>
        </w:rPr>
        <w:t>mmHg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11/4 </w:t>
      </w:r>
      <w:proofErr w:type="spellStart"/>
      <w:r w:rsidRPr="001E0058">
        <w:rPr>
          <w:rFonts w:ascii="Times New Roman" w:eastAsia="TimesNewRoman" w:hAnsi="Times New Roman"/>
          <w:lang w:val="sk-SK"/>
        </w:rPr>
        <w:t>mmHg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 4/5 </w:t>
      </w:r>
      <w:proofErr w:type="spellStart"/>
      <w:r w:rsidRPr="001E0058">
        <w:rPr>
          <w:rFonts w:ascii="Times New Roman" w:eastAsia="TimesNewRoman" w:hAnsi="Times New Roman"/>
          <w:lang w:val="sk-SK"/>
        </w:rPr>
        <w:t>mmHg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. Keď sa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 </w:t>
      </w:r>
      <w:proofErr w:type="spellStart"/>
      <w:r w:rsidRPr="001E0058">
        <w:rPr>
          <w:rFonts w:ascii="Times New Roman" w:eastAsia="TimesNewRoman" w:hAnsi="Times New Roman"/>
          <w:lang w:val="sk-SK"/>
        </w:rPr>
        <w:t>doxazosín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podávali sú</w:t>
      </w:r>
      <w:r w:rsidR="00395233">
        <w:rPr>
          <w:rFonts w:ascii="Times New Roman" w:eastAsia="TimesNewRoman" w:hAnsi="Times New Roman"/>
          <w:lang w:val="sk-SK"/>
        </w:rPr>
        <w:t>bežne</w:t>
      </w:r>
      <w:r w:rsidRPr="001E0058">
        <w:rPr>
          <w:rFonts w:ascii="Times New Roman" w:eastAsia="TimesNewRoman" w:hAnsi="Times New Roman"/>
          <w:lang w:val="sk-SK"/>
        </w:rPr>
        <w:t xml:space="preserve"> pacientom stabilizovaným na liečbe </w:t>
      </w:r>
      <w:proofErr w:type="spellStart"/>
      <w:r w:rsidRPr="001E0058">
        <w:rPr>
          <w:rFonts w:ascii="Times New Roman" w:eastAsia="TimesNewRoman" w:hAnsi="Times New Roman"/>
          <w:lang w:val="sk-SK"/>
        </w:rPr>
        <w:t>doxazosínom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hlásenia o výskyte symptomatickej </w:t>
      </w:r>
      <w:proofErr w:type="spellStart"/>
      <w:r w:rsidRPr="001E0058">
        <w:rPr>
          <w:rFonts w:ascii="Times New Roman" w:eastAsia="TimesNewRoman" w:hAnsi="Times New Roman"/>
          <w:lang w:val="sk-SK"/>
        </w:rPr>
        <w:t>posturálnej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hypotenzie u pacientov boli ojedinelé. Tieto hlásenia zahŕňali závraty a </w:t>
      </w:r>
      <w:r w:rsidR="00395233">
        <w:rPr>
          <w:rFonts w:ascii="Times New Roman" w:eastAsia="TimesNewRoman" w:hAnsi="Times New Roman"/>
          <w:lang w:val="sk-SK"/>
        </w:rPr>
        <w:t>točenie hlavy</w:t>
      </w:r>
      <w:r w:rsidRPr="001E0058">
        <w:rPr>
          <w:rFonts w:ascii="Times New Roman" w:eastAsia="TimesNewRoman" w:hAnsi="Times New Roman"/>
          <w:lang w:val="sk-SK"/>
        </w:rPr>
        <w:t xml:space="preserve">, nie </w:t>
      </w:r>
      <w:r w:rsidR="00F0658D">
        <w:rPr>
          <w:rFonts w:ascii="Times New Roman" w:eastAsia="TimesNewRoman" w:hAnsi="Times New Roman"/>
          <w:lang w:val="sk-SK"/>
        </w:rPr>
        <w:t xml:space="preserve">však </w:t>
      </w:r>
      <w:r w:rsidRPr="001E0058">
        <w:rPr>
          <w:rFonts w:ascii="Times New Roman" w:eastAsia="TimesNewRoman" w:hAnsi="Times New Roman"/>
          <w:lang w:val="sk-SK"/>
        </w:rPr>
        <w:t>synkopu.</w:t>
      </w:r>
    </w:p>
    <w:p w14:paraId="4952A539" w14:textId="77777777" w:rsidR="00D019CA" w:rsidRPr="001E0058" w:rsidRDefault="00D019CA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753B401E" w14:textId="44793F15" w:rsidR="00D019CA" w:rsidRPr="001E0058" w:rsidRDefault="00D019CA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Nezaznamenali sa žiadne </w:t>
      </w:r>
      <w:r w:rsidR="00395233">
        <w:rPr>
          <w:rFonts w:ascii="Times New Roman" w:eastAsia="TimesNewRoman" w:hAnsi="Times New Roman"/>
          <w:lang w:val="sk-SK"/>
        </w:rPr>
        <w:t xml:space="preserve">výrazné </w:t>
      </w:r>
      <w:r w:rsidRPr="001E0058">
        <w:rPr>
          <w:rFonts w:ascii="Times New Roman" w:eastAsia="TimesNewRoman" w:hAnsi="Times New Roman"/>
          <w:lang w:val="sk-SK"/>
        </w:rPr>
        <w:t xml:space="preserve">interakcie </w:t>
      </w:r>
      <w:r w:rsidR="005E740E">
        <w:rPr>
          <w:rFonts w:ascii="Times New Roman" w:eastAsia="TimesNewRoman" w:hAnsi="Times New Roman"/>
          <w:lang w:val="sk-SK"/>
        </w:rPr>
        <w:t xml:space="preserve">pri súbežnom podávaní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(50 mg) s </w:t>
      </w:r>
      <w:proofErr w:type="spellStart"/>
      <w:r w:rsidRPr="001E0058">
        <w:rPr>
          <w:rFonts w:ascii="Times New Roman" w:eastAsia="TimesNewRoman" w:hAnsi="Times New Roman"/>
          <w:lang w:val="sk-SK"/>
        </w:rPr>
        <w:t>tolbutamidom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(250 mg) ani s warfarínom (40 mg), li</w:t>
      </w:r>
      <w:r w:rsidR="00395233">
        <w:rPr>
          <w:rFonts w:ascii="Times New Roman" w:eastAsia="TimesNewRoman" w:hAnsi="Times New Roman"/>
          <w:lang w:val="sk-SK"/>
        </w:rPr>
        <w:t>ečivami</w:t>
      </w:r>
      <w:r w:rsidRPr="001E0058">
        <w:rPr>
          <w:rFonts w:ascii="Times New Roman" w:eastAsia="TimesNewRoman" w:hAnsi="Times New Roman"/>
          <w:lang w:val="sk-SK"/>
        </w:rPr>
        <w:t>, ktoré s</w:t>
      </w:r>
      <w:r w:rsidR="000A3121">
        <w:rPr>
          <w:rFonts w:ascii="Times New Roman" w:eastAsia="TimesNewRoman" w:hAnsi="Times New Roman"/>
          <w:lang w:val="sk-SK"/>
        </w:rPr>
        <w:t xml:space="preserve">a </w:t>
      </w:r>
      <w:r w:rsidRPr="001E0058">
        <w:rPr>
          <w:rFonts w:ascii="Times New Roman" w:eastAsia="TimesNewRoman" w:hAnsi="Times New Roman"/>
          <w:lang w:val="sk-SK"/>
        </w:rPr>
        <w:t>metaboliz</w:t>
      </w:r>
      <w:r w:rsidR="000A3121">
        <w:rPr>
          <w:rFonts w:ascii="Times New Roman" w:eastAsia="TimesNewRoman" w:hAnsi="Times New Roman"/>
          <w:lang w:val="sk-SK"/>
        </w:rPr>
        <w:t xml:space="preserve">ujú prostredníctvom </w:t>
      </w:r>
      <w:r w:rsidRPr="001E0058">
        <w:rPr>
          <w:rFonts w:ascii="Times New Roman" w:eastAsia="TimesNewRoman" w:hAnsi="Times New Roman"/>
          <w:lang w:val="sk-SK"/>
        </w:rPr>
        <w:t>CYP2C9.</w:t>
      </w:r>
    </w:p>
    <w:p w14:paraId="7D17BF19" w14:textId="77777777" w:rsidR="00D019CA" w:rsidRPr="001E0058" w:rsidRDefault="00D019CA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4B59B3FB" w14:textId="7A75D6B3" w:rsidR="00B76076" w:rsidRPr="001E0058" w:rsidRDefault="00D019CA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(50 mg) </w:t>
      </w:r>
      <w:r w:rsidRPr="000C5C56">
        <w:rPr>
          <w:rFonts w:ascii="Times New Roman" w:eastAsia="TimesNewRoman" w:hAnsi="Times New Roman"/>
          <w:lang w:val="sk-SK"/>
        </w:rPr>
        <w:t>ne</w:t>
      </w:r>
      <w:r w:rsidR="00D53875">
        <w:rPr>
          <w:rFonts w:ascii="Times New Roman" w:eastAsia="TimesNewRoman" w:hAnsi="Times New Roman"/>
          <w:lang w:val="sk-SK"/>
        </w:rPr>
        <w:t>zvyšoval</w:t>
      </w:r>
      <w:r w:rsidRPr="001E0058">
        <w:rPr>
          <w:rFonts w:ascii="Times New Roman" w:eastAsia="TimesNewRoman" w:hAnsi="Times New Roman"/>
          <w:lang w:val="sk-SK"/>
        </w:rPr>
        <w:t xml:space="preserve"> predĺženie času krvácania zapríčineného kyselinou </w:t>
      </w:r>
      <w:proofErr w:type="spellStart"/>
      <w:r w:rsidRPr="001E0058">
        <w:rPr>
          <w:rFonts w:ascii="Times New Roman" w:eastAsia="TimesNewRoman" w:hAnsi="Times New Roman"/>
          <w:lang w:val="sk-SK"/>
        </w:rPr>
        <w:t>acetylsalicylovou</w:t>
      </w:r>
      <w:proofErr w:type="spellEnd"/>
      <w:r w:rsidR="0031643F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(150 mg).</w:t>
      </w:r>
    </w:p>
    <w:p w14:paraId="4B5A76C1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lang w:val="sk-SK"/>
        </w:rPr>
      </w:pPr>
    </w:p>
    <w:p w14:paraId="688AAA65" w14:textId="168617FC" w:rsidR="00B76076" w:rsidRPr="001E0058" w:rsidRDefault="00CE0D37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(50 mg) </w:t>
      </w:r>
      <w:proofErr w:type="spellStart"/>
      <w:r w:rsidRPr="001E0058">
        <w:rPr>
          <w:rFonts w:ascii="Times New Roman" w:eastAsia="TimesNewRoman" w:hAnsi="Times New Roman"/>
          <w:lang w:val="sk-SK"/>
        </w:rPr>
        <w:t>ne</w:t>
      </w:r>
      <w:r w:rsidR="000A202F">
        <w:rPr>
          <w:rFonts w:ascii="Times New Roman" w:eastAsia="TimesNewRoman" w:hAnsi="Times New Roman"/>
          <w:lang w:val="sk-SK"/>
        </w:rPr>
        <w:t>zosiľňoval</w:t>
      </w:r>
      <w:proofErr w:type="spellEnd"/>
      <w:r w:rsidR="000A202F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hypotenzívny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účinok alkoholu u zdravých dobrovoľníkov</w:t>
      </w:r>
      <w:r w:rsidR="00436909">
        <w:rPr>
          <w:rFonts w:ascii="Times New Roman" w:eastAsia="TimesNewRoman" w:hAnsi="Times New Roman"/>
          <w:lang w:val="sk-SK"/>
        </w:rPr>
        <w:t xml:space="preserve"> s </w:t>
      </w:r>
      <w:r w:rsidRPr="001E0058">
        <w:rPr>
          <w:rFonts w:ascii="Times New Roman" w:eastAsia="TimesNewRoman" w:hAnsi="Times New Roman"/>
          <w:lang w:val="sk-SK"/>
        </w:rPr>
        <w:t>priemern</w:t>
      </w:r>
      <w:r w:rsidR="00436909">
        <w:rPr>
          <w:rFonts w:ascii="Times New Roman" w:eastAsia="TimesNewRoman" w:hAnsi="Times New Roman"/>
          <w:lang w:val="sk-SK"/>
        </w:rPr>
        <w:t>ou</w:t>
      </w:r>
      <w:r w:rsidRPr="001E0058">
        <w:rPr>
          <w:rFonts w:ascii="Times New Roman" w:eastAsia="TimesNewRoman" w:hAnsi="Times New Roman"/>
          <w:lang w:val="sk-SK"/>
        </w:rPr>
        <w:t xml:space="preserve"> maximáln</w:t>
      </w:r>
      <w:r w:rsidR="00436909">
        <w:rPr>
          <w:rFonts w:ascii="Times New Roman" w:eastAsia="TimesNewRoman" w:hAnsi="Times New Roman"/>
          <w:lang w:val="sk-SK"/>
        </w:rPr>
        <w:t>o</w:t>
      </w:r>
      <w:r w:rsidRPr="001E0058">
        <w:rPr>
          <w:rFonts w:ascii="Times New Roman" w:eastAsia="TimesNewRoman" w:hAnsi="Times New Roman"/>
          <w:lang w:val="sk-SK"/>
        </w:rPr>
        <w:t>u koncentráci</w:t>
      </w:r>
      <w:r w:rsidR="00436909">
        <w:rPr>
          <w:rFonts w:ascii="Times New Roman" w:eastAsia="TimesNewRoman" w:hAnsi="Times New Roman"/>
          <w:lang w:val="sk-SK"/>
        </w:rPr>
        <w:t>o</w:t>
      </w:r>
      <w:r w:rsidRPr="001E0058">
        <w:rPr>
          <w:rFonts w:ascii="Times New Roman" w:eastAsia="TimesNewRoman" w:hAnsi="Times New Roman"/>
          <w:lang w:val="sk-SK"/>
        </w:rPr>
        <w:t>u alkoholu v krvi 80 mg/dl.</w:t>
      </w:r>
    </w:p>
    <w:p w14:paraId="2AB7CE31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686DFE0C" w14:textId="79DC0E3F" w:rsidR="00B76076" w:rsidRPr="001E0058" w:rsidRDefault="0031643F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Analýza výsledkov o podávaní s </w:t>
      </w:r>
      <w:proofErr w:type="spellStart"/>
      <w:r w:rsidRPr="001E0058">
        <w:rPr>
          <w:rFonts w:ascii="Times New Roman" w:eastAsia="TimesNewRoman" w:hAnsi="Times New Roman"/>
          <w:lang w:val="sk-SK"/>
        </w:rPr>
        <w:t>antihypertenzívami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ako sú diuretiká, </w:t>
      </w:r>
      <w:proofErr w:type="spellStart"/>
      <w:r w:rsidRPr="001E0058">
        <w:rPr>
          <w:rFonts w:ascii="Times New Roman" w:eastAsia="TimesNewRoman" w:hAnsi="Times New Roman"/>
          <w:lang w:val="sk-SK"/>
        </w:rPr>
        <w:t>betablokátory</w:t>
      </w:r>
      <w:proofErr w:type="spellEnd"/>
      <w:r w:rsidRPr="001E0058">
        <w:rPr>
          <w:rFonts w:ascii="Times New Roman" w:eastAsia="TimesNewRoman" w:hAnsi="Times New Roman"/>
          <w:lang w:val="sk-SK"/>
        </w:rPr>
        <w:t>, ACE inhibítory, antagonisti angiotenzínu II, iné antihypertenzíva (</w:t>
      </w:r>
      <w:proofErr w:type="spellStart"/>
      <w:r w:rsidRPr="001E0058">
        <w:rPr>
          <w:rFonts w:ascii="Times New Roman" w:eastAsia="TimesNewRoman" w:hAnsi="Times New Roman"/>
          <w:lang w:val="sk-SK"/>
        </w:rPr>
        <w:t>vazodilatátory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 centrálne pôsobiace), blokátory </w:t>
      </w:r>
      <w:proofErr w:type="spellStart"/>
      <w:r w:rsidRPr="001E0058">
        <w:rPr>
          <w:rFonts w:ascii="Times New Roman" w:eastAsia="TimesNewRoman" w:hAnsi="Times New Roman"/>
          <w:lang w:val="sk-SK"/>
        </w:rPr>
        <w:t>adrenergných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neurónov, blokátory vápnikových kanálov a </w:t>
      </w:r>
      <w:proofErr w:type="spellStart"/>
      <w:r w:rsidRPr="001E0058">
        <w:rPr>
          <w:rFonts w:ascii="Times New Roman" w:eastAsia="TimesNewRoman" w:hAnsi="Times New Roman"/>
          <w:lang w:val="sk-SK"/>
        </w:rPr>
        <w:t>alfablokátory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nepreukázala žiadny rozdiel v profile nežiaducich účinkov medzi pacientami, ktorí užívali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 pacientami, ktorí užívali placebo. V špecifickej interakčnej štúdii u pacientov s hypertenziou, ktorí sú</w:t>
      </w:r>
      <w:r w:rsidR="00395233">
        <w:rPr>
          <w:rFonts w:ascii="Times New Roman" w:eastAsia="TimesNewRoman" w:hAnsi="Times New Roman"/>
          <w:lang w:val="sk-SK"/>
        </w:rPr>
        <w:t>bežne</w:t>
      </w:r>
      <w:r w:rsidRPr="001E0058">
        <w:rPr>
          <w:rFonts w:ascii="Times New Roman" w:eastAsia="TimesNewRoman" w:hAnsi="Times New Roman"/>
          <w:lang w:val="sk-SK"/>
        </w:rPr>
        <w:t xml:space="preserve"> užívali </w:t>
      </w:r>
      <w:proofErr w:type="spellStart"/>
      <w:r w:rsidRPr="001E0058">
        <w:rPr>
          <w:rFonts w:ascii="Times New Roman" w:eastAsia="TimesNewRoman" w:hAnsi="Times New Roman"/>
          <w:lang w:val="sk-SK"/>
        </w:rPr>
        <w:t>amplodipín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5027D1">
        <w:rPr>
          <w:rFonts w:ascii="Times New Roman" w:eastAsia="TimesNewRoman" w:hAnsi="Times New Roman"/>
          <w:lang w:val="sk-SK"/>
        </w:rPr>
        <w:t>a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(100 mg), sa zaznamenalo ďalšie zníženie </w:t>
      </w:r>
      <w:proofErr w:type="spellStart"/>
      <w:r w:rsidRPr="001E0058">
        <w:rPr>
          <w:rFonts w:ascii="Times New Roman" w:eastAsia="TimesNewRoman" w:hAnsi="Times New Roman"/>
          <w:lang w:val="sk-SK"/>
        </w:rPr>
        <w:t>systolického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3A166C" w:rsidRPr="001E0058">
        <w:rPr>
          <w:rFonts w:ascii="Times New Roman" w:eastAsia="TimesNewRoman" w:hAnsi="Times New Roman"/>
          <w:lang w:val="sk-SK"/>
        </w:rPr>
        <w:t>krv</w:t>
      </w:r>
      <w:r w:rsidR="003A166C">
        <w:rPr>
          <w:rFonts w:ascii="Times New Roman" w:eastAsia="TimesNewRoman" w:hAnsi="Times New Roman"/>
          <w:lang w:val="sk-SK"/>
        </w:rPr>
        <w:t>ného</w:t>
      </w:r>
      <w:r w:rsidR="003A166C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tlaku v ľahu o 8 </w:t>
      </w:r>
      <w:proofErr w:type="spellStart"/>
      <w:r w:rsidRPr="001E0058">
        <w:rPr>
          <w:rFonts w:ascii="Times New Roman" w:eastAsia="TimesNewRoman" w:hAnsi="Times New Roman"/>
          <w:lang w:val="sk-SK"/>
        </w:rPr>
        <w:t>mmHg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. Zodpovedajúce ďalšie zníženie diastolického </w:t>
      </w:r>
      <w:r w:rsidR="003A166C" w:rsidRPr="001E0058">
        <w:rPr>
          <w:rFonts w:ascii="Times New Roman" w:eastAsia="TimesNewRoman" w:hAnsi="Times New Roman"/>
          <w:lang w:val="sk-SK"/>
        </w:rPr>
        <w:t>krv</w:t>
      </w:r>
      <w:r w:rsidR="003A166C">
        <w:rPr>
          <w:rFonts w:ascii="Times New Roman" w:eastAsia="TimesNewRoman" w:hAnsi="Times New Roman"/>
          <w:lang w:val="sk-SK"/>
        </w:rPr>
        <w:t>ného</w:t>
      </w:r>
      <w:r w:rsidR="003A166C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tlaku v ľahu bolo o 7 </w:t>
      </w:r>
      <w:proofErr w:type="spellStart"/>
      <w:r w:rsidRPr="001E0058">
        <w:rPr>
          <w:rFonts w:ascii="Times New Roman" w:eastAsia="TimesNewRoman" w:hAnsi="Times New Roman"/>
          <w:lang w:val="sk-SK"/>
        </w:rPr>
        <w:t>mmHg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. Toto ďalšie zníženie </w:t>
      </w:r>
      <w:r w:rsidR="007E0C38" w:rsidRPr="001E0058">
        <w:rPr>
          <w:rFonts w:ascii="Times New Roman" w:eastAsia="TimesNewRoman" w:hAnsi="Times New Roman"/>
          <w:lang w:val="sk-SK"/>
        </w:rPr>
        <w:t>krv</w:t>
      </w:r>
      <w:r w:rsidR="007E0C38">
        <w:rPr>
          <w:rFonts w:ascii="Times New Roman" w:eastAsia="TimesNewRoman" w:hAnsi="Times New Roman"/>
          <w:lang w:val="sk-SK"/>
        </w:rPr>
        <w:t>ného</w:t>
      </w:r>
      <w:r w:rsidR="007E0C38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tlaku malo podobný rozsah</w:t>
      </w:r>
      <w:r w:rsidR="00FB4A44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ako </w:t>
      </w:r>
      <w:r w:rsidR="00FB4A44">
        <w:rPr>
          <w:rFonts w:ascii="Times New Roman" w:eastAsia="TimesNewRoman" w:hAnsi="Times New Roman"/>
          <w:lang w:val="sk-SK"/>
        </w:rPr>
        <w:t xml:space="preserve">v prípade, </w:t>
      </w:r>
      <w:r w:rsidRPr="001E0058">
        <w:rPr>
          <w:rFonts w:ascii="Times New Roman" w:eastAsia="TimesNewRoman" w:hAnsi="Times New Roman"/>
          <w:lang w:val="sk-SK"/>
        </w:rPr>
        <w:t xml:space="preserve">keď sa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podával zdravým dobrovoľníkom samostatne (pozri časť 5.1).</w:t>
      </w:r>
      <w:r w:rsidR="00B76076" w:rsidRPr="001E0058">
        <w:rPr>
          <w:rFonts w:ascii="Times New Roman" w:eastAsia="TimesNewRoman" w:hAnsi="Times New Roman"/>
          <w:lang w:val="sk-SK"/>
        </w:rPr>
        <w:t xml:space="preserve"> </w:t>
      </w:r>
    </w:p>
    <w:p w14:paraId="5EB800CD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403AEA2" w14:textId="1F873811" w:rsidR="00B76076" w:rsidRPr="001E0058" w:rsidRDefault="005D7DB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(100 mg) neovplyvnil </w:t>
      </w:r>
      <w:proofErr w:type="spellStart"/>
      <w:r w:rsidRPr="001E0058">
        <w:rPr>
          <w:rFonts w:ascii="Times New Roman" w:eastAsia="TimesNewRoman" w:hAnsi="Times New Roman"/>
          <w:lang w:val="sk-SK"/>
        </w:rPr>
        <w:t>farmakokinetiku</w:t>
      </w:r>
      <w:proofErr w:type="spellEnd"/>
      <w:r w:rsidR="00770B50" w:rsidRPr="00770B50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="00770B50">
        <w:rPr>
          <w:rFonts w:ascii="Times New Roman" w:eastAsia="TimesNewRoman" w:hAnsi="Times New Roman"/>
          <w:lang w:val="sk-SK"/>
        </w:rPr>
        <w:t>sachinaviru</w:t>
      </w:r>
      <w:proofErr w:type="spellEnd"/>
      <w:r w:rsidR="00770B50">
        <w:rPr>
          <w:rFonts w:ascii="Times New Roman" w:eastAsia="TimesNewRoman" w:hAnsi="Times New Roman"/>
          <w:lang w:val="sk-SK"/>
        </w:rPr>
        <w:t xml:space="preserve"> a </w:t>
      </w:r>
      <w:proofErr w:type="spellStart"/>
      <w:r w:rsidR="00770B50">
        <w:rPr>
          <w:rFonts w:ascii="Times New Roman" w:eastAsia="TimesNewRoman" w:hAnsi="Times New Roman"/>
          <w:lang w:val="sk-SK"/>
        </w:rPr>
        <w:t>ritonaviru</w:t>
      </w:r>
      <w:proofErr w:type="spellEnd"/>
      <w:r w:rsidR="00770B50">
        <w:rPr>
          <w:rFonts w:ascii="Times New Roman" w:eastAsia="TimesNewRoman" w:hAnsi="Times New Roman"/>
          <w:lang w:val="sk-SK"/>
        </w:rPr>
        <w:t>,</w:t>
      </w:r>
      <w:r w:rsidRPr="001E0058">
        <w:rPr>
          <w:rFonts w:ascii="Times New Roman" w:eastAsia="TimesNewRoman" w:hAnsi="Times New Roman"/>
          <w:lang w:val="sk-SK"/>
        </w:rPr>
        <w:t xml:space="preserve"> inhibítorov HIV </w:t>
      </w:r>
      <w:proofErr w:type="spellStart"/>
      <w:r w:rsidRPr="001E0058">
        <w:rPr>
          <w:rFonts w:ascii="Times New Roman" w:eastAsia="TimesNewRoman" w:hAnsi="Times New Roman"/>
          <w:lang w:val="sk-SK"/>
        </w:rPr>
        <w:t>proteáz</w:t>
      </w:r>
      <w:proofErr w:type="spellEnd"/>
      <w:r w:rsidR="00770B50">
        <w:rPr>
          <w:rFonts w:ascii="Times New Roman" w:eastAsia="TimesNewRoman" w:hAnsi="Times New Roman"/>
          <w:lang w:val="sk-SK"/>
        </w:rPr>
        <w:t>,</w:t>
      </w:r>
      <w:r w:rsidRPr="001E0058">
        <w:rPr>
          <w:rFonts w:ascii="Times New Roman" w:eastAsia="TimesNewRoman" w:hAnsi="Times New Roman"/>
          <w:lang w:val="sk-SK"/>
        </w:rPr>
        <w:t xml:space="preserve"> v rovnovážnom stave</w:t>
      </w:r>
      <w:r w:rsidR="00770B50">
        <w:rPr>
          <w:rFonts w:ascii="Times New Roman" w:eastAsia="TimesNewRoman" w:hAnsi="Times New Roman"/>
          <w:lang w:val="sk-SK"/>
        </w:rPr>
        <w:t>,</w:t>
      </w:r>
      <w:r w:rsidRPr="001E0058">
        <w:rPr>
          <w:rFonts w:ascii="Times New Roman" w:eastAsia="TimesNewRoman" w:hAnsi="Times New Roman"/>
          <w:lang w:val="sk-SK"/>
        </w:rPr>
        <w:t xml:space="preserve"> ktoré sú substrátmi CYP3A4.</w:t>
      </w:r>
    </w:p>
    <w:p w14:paraId="2C4F67DA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7D4FD85B" w14:textId="44328157" w:rsidR="00B76076" w:rsidRPr="001E0058" w:rsidRDefault="005D7DB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lastRenderedPageBreak/>
        <w:t xml:space="preserve">U zdravých dobrovoľníkov mužského pohlavia viedol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v rovnovážnom stave (80 mg trikrát denne) k 49,8</w:t>
      </w:r>
      <w:r w:rsidR="00C06595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 zvýšeniu </w:t>
      </w:r>
      <w:r w:rsidR="00305268">
        <w:rPr>
          <w:rFonts w:ascii="Times New Roman" w:eastAsia="TimesNewRoman" w:hAnsi="Times New Roman"/>
          <w:lang w:val="sk-SK"/>
        </w:rPr>
        <w:t xml:space="preserve">hodnoty </w:t>
      </w:r>
      <w:r w:rsidRPr="001E0058">
        <w:rPr>
          <w:rFonts w:ascii="Times New Roman" w:eastAsia="TimesNewRoman" w:hAnsi="Times New Roman"/>
          <w:lang w:val="sk-SK"/>
        </w:rPr>
        <w:t>AUC bosent</w:t>
      </w:r>
      <w:r w:rsidR="00770B50">
        <w:rPr>
          <w:rFonts w:ascii="Times New Roman" w:eastAsia="TimesNewRoman" w:hAnsi="Times New Roman"/>
          <w:lang w:val="sk-SK"/>
        </w:rPr>
        <w:t>á</w:t>
      </w:r>
      <w:r w:rsidRPr="001E0058">
        <w:rPr>
          <w:rFonts w:ascii="Times New Roman" w:eastAsia="TimesNewRoman" w:hAnsi="Times New Roman"/>
          <w:lang w:val="sk-SK"/>
        </w:rPr>
        <w:t>nu a k</w:t>
      </w:r>
      <w:r w:rsidR="00C06595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42</w:t>
      </w:r>
      <w:r w:rsidR="00C06595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 zvýšeniu </w:t>
      </w:r>
      <w:r w:rsidR="00C06595">
        <w:rPr>
          <w:rFonts w:ascii="Times New Roman" w:eastAsia="TimesNewRoman" w:hAnsi="Times New Roman"/>
          <w:lang w:val="sk-SK"/>
        </w:rPr>
        <w:t xml:space="preserve">hodnoty </w:t>
      </w:r>
      <w:r w:rsidRPr="001E0058">
        <w:rPr>
          <w:rFonts w:ascii="Times New Roman" w:eastAsia="TimesNewRoman" w:hAnsi="Times New Roman"/>
          <w:lang w:val="sk-SK"/>
        </w:rPr>
        <w:t>C</w:t>
      </w:r>
      <w:r w:rsidRPr="001E0058">
        <w:rPr>
          <w:rFonts w:ascii="Times New Roman" w:eastAsia="TimesNewRoman" w:hAnsi="Times New Roman"/>
          <w:vertAlign w:val="subscript"/>
          <w:lang w:val="sk-SK"/>
        </w:rPr>
        <w:t>max</w:t>
      </w:r>
      <w:r w:rsidRPr="001E0058">
        <w:rPr>
          <w:rFonts w:ascii="Times New Roman" w:eastAsia="TimesNewRoman" w:hAnsi="Times New Roman"/>
          <w:lang w:val="sk-SK"/>
        </w:rPr>
        <w:t xml:space="preserve"> bosent</w:t>
      </w:r>
      <w:r w:rsidR="00770B50">
        <w:rPr>
          <w:rFonts w:ascii="Times New Roman" w:eastAsia="TimesNewRoman" w:hAnsi="Times New Roman"/>
          <w:lang w:val="sk-SK"/>
        </w:rPr>
        <w:t>á</w:t>
      </w:r>
      <w:r w:rsidRPr="001E0058">
        <w:rPr>
          <w:rFonts w:ascii="Times New Roman" w:eastAsia="TimesNewRoman" w:hAnsi="Times New Roman"/>
          <w:lang w:val="sk-SK"/>
        </w:rPr>
        <w:t>nu (125</w:t>
      </w:r>
      <w:r w:rsidR="00C06595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mg dvakrát denne).</w:t>
      </w:r>
    </w:p>
    <w:p w14:paraId="097BC75F" w14:textId="77777777" w:rsidR="007C27B0" w:rsidRPr="001E0058" w:rsidRDefault="007C27B0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090B00A2" w14:textId="77777777" w:rsidR="005D7DB6" w:rsidRPr="001E0058" w:rsidRDefault="005D7DB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1E0058">
        <w:rPr>
          <w:rFonts w:ascii="Times New Roman" w:eastAsia="TimesNewRoman" w:hAnsi="Times New Roman"/>
          <w:i/>
          <w:lang w:val="sk-SK"/>
        </w:rPr>
        <w:t>Riociguát</w:t>
      </w:r>
      <w:proofErr w:type="spellEnd"/>
    </w:p>
    <w:p w14:paraId="2D916524" w14:textId="362267B6" w:rsidR="005D7DB6" w:rsidRPr="001E0058" w:rsidRDefault="005D7DB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Predklinické štúdie </w:t>
      </w:r>
      <w:r w:rsidR="00392E26">
        <w:rPr>
          <w:rFonts w:ascii="Times New Roman" w:eastAsia="TimesNewRoman" w:hAnsi="Times New Roman"/>
          <w:lang w:val="sk-SK"/>
        </w:rPr>
        <w:t>pre</w:t>
      </w:r>
      <w:r w:rsidRPr="001E0058">
        <w:rPr>
          <w:rFonts w:ascii="Times New Roman" w:eastAsia="TimesNewRoman" w:hAnsi="Times New Roman"/>
          <w:lang w:val="sk-SK"/>
        </w:rPr>
        <w:t xml:space="preserve">ukázali aditívny systémový účinok znižujúci krvný tlak, </w:t>
      </w:r>
      <w:r w:rsidR="00770B50">
        <w:rPr>
          <w:rFonts w:ascii="Times New Roman" w:eastAsia="TimesNewRoman" w:hAnsi="Times New Roman"/>
          <w:lang w:val="sk-SK"/>
        </w:rPr>
        <w:t>ak</w:t>
      </w:r>
      <w:r w:rsidRPr="001E0058">
        <w:rPr>
          <w:rFonts w:ascii="Times New Roman" w:eastAsia="TimesNewRoman" w:hAnsi="Times New Roman"/>
          <w:lang w:val="sk-SK"/>
        </w:rPr>
        <w:t xml:space="preserve"> sa inhibítory PDE5 podávali sú</w:t>
      </w:r>
      <w:r w:rsidR="00770B50">
        <w:rPr>
          <w:rFonts w:ascii="Times New Roman" w:eastAsia="TimesNewRoman" w:hAnsi="Times New Roman"/>
          <w:lang w:val="sk-SK"/>
        </w:rPr>
        <w:t>bežne</w:t>
      </w:r>
      <w:r w:rsidRPr="001E0058">
        <w:rPr>
          <w:rFonts w:ascii="Times New Roman" w:eastAsia="TimesNewRoman" w:hAnsi="Times New Roman"/>
          <w:lang w:val="sk-SK"/>
        </w:rPr>
        <w:t xml:space="preserve"> s </w:t>
      </w:r>
      <w:proofErr w:type="spellStart"/>
      <w:r w:rsidRPr="001E0058">
        <w:rPr>
          <w:rFonts w:ascii="Times New Roman" w:eastAsia="TimesNewRoman" w:hAnsi="Times New Roman"/>
          <w:lang w:val="sk-SK"/>
        </w:rPr>
        <w:t>riociguátom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. Klinické štúdie preukázali, že </w:t>
      </w:r>
      <w:proofErr w:type="spellStart"/>
      <w:r w:rsidRPr="001E0058">
        <w:rPr>
          <w:rFonts w:ascii="Times New Roman" w:eastAsia="TimesNewRoman" w:hAnsi="Times New Roman"/>
          <w:lang w:val="sk-SK"/>
        </w:rPr>
        <w:t>riociguát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zosilňuje </w:t>
      </w:r>
      <w:proofErr w:type="spellStart"/>
      <w:r w:rsidRPr="001E0058">
        <w:rPr>
          <w:rFonts w:ascii="Times New Roman" w:eastAsia="TimesNewRoman" w:hAnsi="Times New Roman"/>
          <w:lang w:val="sk-SK"/>
        </w:rPr>
        <w:t>hypotenzívne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účinky inhibítorov PDE5. V skúšanej populácii </w:t>
      </w:r>
      <w:r w:rsidR="004D6691">
        <w:rPr>
          <w:rFonts w:ascii="Times New Roman" w:eastAsia="TimesNewRoman" w:hAnsi="Times New Roman"/>
          <w:lang w:val="sk-SK"/>
        </w:rPr>
        <w:t xml:space="preserve">sa </w:t>
      </w:r>
      <w:r w:rsidRPr="001E0058">
        <w:rPr>
          <w:rFonts w:ascii="Times New Roman" w:eastAsia="TimesNewRoman" w:hAnsi="Times New Roman"/>
          <w:lang w:val="sk-SK"/>
        </w:rPr>
        <w:t>ne</w:t>
      </w:r>
      <w:r w:rsidR="004D6691">
        <w:rPr>
          <w:rFonts w:ascii="Times New Roman" w:eastAsia="TimesNewRoman" w:hAnsi="Times New Roman"/>
          <w:lang w:val="sk-SK"/>
        </w:rPr>
        <w:t xml:space="preserve">zistil </w:t>
      </w:r>
      <w:r w:rsidRPr="001E0058">
        <w:rPr>
          <w:rFonts w:ascii="Times New Roman" w:eastAsia="TimesNewRoman" w:hAnsi="Times New Roman"/>
          <w:lang w:val="sk-SK"/>
        </w:rPr>
        <w:t xml:space="preserve">žiadny dôkaz o priaznivom klinickom účinku </w:t>
      </w:r>
      <w:r w:rsidR="00392E26">
        <w:rPr>
          <w:rFonts w:ascii="Times New Roman" w:eastAsia="TimesNewRoman" w:hAnsi="Times New Roman"/>
          <w:lang w:val="sk-SK"/>
        </w:rPr>
        <w:t xml:space="preserve">takejto </w:t>
      </w:r>
      <w:r w:rsidRPr="001E0058">
        <w:rPr>
          <w:rFonts w:ascii="Times New Roman" w:eastAsia="TimesNewRoman" w:hAnsi="Times New Roman"/>
          <w:lang w:val="sk-SK"/>
        </w:rPr>
        <w:t>kombinácie. Sú</w:t>
      </w:r>
      <w:r w:rsidR="00770B50">
        <w:rPr>
          <w:rFonts w:ascii="Times New Roman" w:eastAsia="TimesNewRoman" w:hAnsi="Times New Roman"/>
          <w:lang w:val="sk-SK"/>
        </w:rPr>
        <w:t>bežné</w:t>
      </w:r>
      <w:r w:rsidRPr="001E0058">
        <w:rPr>
          <w:rFonts w:ascii="Times New Roman" w:eastAsia="TimesNewRoman" w:hAnsi="Times New Roman"/>
          <w:lang w:val="sk-SK"/>
        </w:rPr>
        <w:t xml:space="preserve"> užívanie </w:t>
      </w:r>
      <w:proofErr w:type="spellStart"/>
      <w:r w:rsidRPr="001E0058">
        <w:rPr>
          <w:rFonts w:ascii="Times New Roman" w:eastAsia="TimesNewRoman" w:hAnsi="Times New Roman"/>
          <w:lang w:val="sk-SK"/>
        </w:rPr>
        <w:t>riociguátu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s</w:t>
      </w:r>
      <w:r w:rsidR="00770B50">
        <w:rPr>
          <w:rFonts w:ascii="Times New Roman" w:eastAsia="TimesNewRoman" w:hAnsi="Times New Roman"/>
          <w:lang w:val="sk-SK"/>
        </w:rPr>
        <w:t xml:space="preserve"> inhibítormi </w:t>
      </w:r>
      <w:r w:rsidRPr="001E0058">
        <w:rPr>
          <w:rFonts w:ascii="Times New Roman" w:eastAsia="TimesNewRoman" w:hAnsi="Times New Roman"/>
          <w:lang w:val="sk-SK"/>
        </w:rPr>
        <w:t xml:space="preserve">PDE5, vrátane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>, je kontraindikované (pozri časť 4.3).</w:t>
      </w:r>
    </w:p>
    <w:p w14:paraId="7B2C03CE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629AF3A4" w14:textId="60F18CE7" w:rsidR="00B76076" w:rsidRPr="001E0058" w:rsidRDefault="00B76076" w:rsidP="00097C3B">
      <w:p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1E0058">
        <w:rPr>
          <w:rFonts w:ascii="Times New Roman" w:eastAsia="TimesNewRoman,Bold" w:hAnsi="Times New Roman"/>
          <w:b/>
          <w:bCs/>
          <w:lang w:val="sk-SK"/>
        </w:rPr>
        <w:t>4.6</w:t>
      </w:r>
      <w:r w:rsidR="00392E26">
        <w:rPr>
          <w:rFonts w:ascii="Times New Roman" w:eastAsia="TimesNewRoman,Bold" w:hAnsi="Times New Roman"/>
          <w:b/>
          <w:bCs/>
          <w:lang w:val="sk-SK"/>
        </w:rPr>
        <w:tab/>
      </w:r>
      <w:proofErr w:type="spellStart"/>
      <w:r w:rsidR="0075638D" w:rsidRPr="001E0058">
        <w:rPr>
          <w:rFonts w:ascii="Times New Roman" w:eastAsia="TimesNewRoman,Bold" w:hAnsi="Times New Roman"/>
          <w:b/>
          <w:bCs/>
          <w:lang w:val="sk-SK"/>
        </w:rPr>
        <w:t>Fertilita</w:t>
      </w:r>
      <w:proofErr w:type="spellEnd"/>
      <w:r w:rsidR="0075638D" w:rsidRPr="001E0058">
        <w:rPr>
          <w:rFonts w:ascii="Times New Roman" w:eastAsia="TimesNewRoman,Bold" w:hAnsi="Times New Roman"/>
          <w:b/>
          <w:bCs/>
          <w:lang w:val="sk-SK"/>
        </w:rPr>
        <w:t>, gravidita a laktácia</w:t>
      </w:r>
    </w:p>
    <w:p w14:paraId="6D81B384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23D0C019" w14:textId="2DB76751" w:rsidR="00B76076" w:rsidRPr="001E0058" w:rsidRDefault="000D280F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1E0058">
        <w:rPr>
          <w:rFonts w:ascii="Times New Roman" w:eastAsia="TimesNewRoman" w:hAnsi="Times New Roman"/>
          <w:lang w:val="sk-SK"/>
        </w:rPr>
        <w:t>Azurvig</w:t>
      </w:r>
      <w:proofErr w:type="spellEnd"/>
      <w:r w:rsidR="002233AF" w:rsidRPr="001E0058">
        <w:rPr>
          <w:rFonts w:ascii="Times New Roman" w:eastAsia="TimesNewRoman" w:hAnsi="Times New Roman"/>
          <w:lang w:val="sk-SK"/>
        </w:rPr>
        <w:t xml:space="preserve"> </w:t>
      </w:r>
      <w:r w:rsidR="0075638D" w:rsidRPr="001E0058">
        <w:rPr>
          <w:rFonts w:ascii="Times New Roman" w:eastAsia="TimesNewRoman" w:hAnsi="Times New Roman"/>
          <w:lang w:val="sk-SK"/>
        </w:rPr>
        <w:t xml:space="preserve">nie je indikovaný </w:t>
      </w:r>
      <w:r w:rsidR="005D4C6E">
        <w:rPr>
          <w:rFonts w:ascii="Times New Roman" w:eastAsia="TimesNewRoman" w:hAnsi="Times New Roman"/>
          <w:lang w:val="sk-SK"/>
        </w:rPr>
        <w:t>ženám.</w:t>
      </w:r>
    </w:p>
    <w:p w14:paraId="1A663D5A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F4C56FF" w14:textId="70034964" w:rsidR="00B76076" w:rsidRPr="001E0058" w:rsidRDefault="0075638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>Nie sú k dispozícii adekvátne a</w:t>
      </w:r>
      <w:r w:rsidR="005D4C6E">
        <w:rPr>
          <w:rFonts w:ascii="Times New Roman" w:eastAsia="TimesNewRoman" w:hAnsi="Times New Roman"/>
          <w:lang w:val="sk-SK"/>
        </w:rPr>
        <w:t xml:space="preserve"> dobre </w:t>
      </w:r>
      <w:r w:rsidRPr="001E0058">
        <w:rPr>
          <w:rFonts w:ascii="Times New Roman" w:eastAsia="TimesNewRoman" w:hAnsi="Times New Roman"/>
          <w:lang w:val="sk-SK"/>
        </w:rPr>
        <w:t>kontrolované štúdie u gravidných alebo dojčiacich žien.</w:t>
      </w:r>
    </w:p>
    <w:p w14:paraId="0EB26269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4430AA39" w14:textId="2E42021F" w:rsidR="0075638D" w:rsidRPr="001E0058" w:rsidRDefault="0075638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V reprodukčných štúdiách </w:t>
      </w:r>
      <w:r w:rsidR="005D4C6E">
        <w:rPr>
          <w:rFonts w:ascii="Times New Roman" w:eastAsia="TimesNewRoman" w:hAnsi="Times New Roman"/>
          <w:lang w:val="sk-SK"/>
        </w:rPr>
        <w:t>na</w:t>
      </w:r>
      <w:r w:rsidRPr="001E0058">
        <w:rPr>
          <w:rFonts w:ascii="Times New Roman" w:eastAsia="TimesNewRoman" w:hAnsi="Times New Roman"/>
          <w:lang w:val="sk-SK"/>
        </w:rPr>
        <w:t xml:space="preserve"> potkano</w:t>
      </w:r>
      <w:r w:rsidR="005D4C6E">
        <w:rPr>
          <w:rFonts w:ascii="Times New Roman" w:eastAsia="TimesNewRoman" w:hAnsi="Times New Roman"/>
          <w:lang w:val="sk-SK"/>
        </w:rPr>
        <w:t>ch</w:t>
      </w:r>
      <w:r w:rsidRPr="001E0058">
        <w:rPr>
          <w:rFonts w:ascii="Times New Roman" w:eastAsia="TimesNewRoman" w:hAnsi="Times New Roman"/>
          <w:lang w:val="sk-SK"/>
        </w:rPr>
        <w:t xml:space="preserve"> a </w:t>
      </w:r>
      <w:r w:rsidR="005D4C6E">
        <w:rPr>
          <w:rFonts w:ascii="Times New Roman" w:eastAsia="TimesNewRoman" w:hAnsi="Times New Roman"/>
          <w:lang w:val="sk-SK"/>
        </w:rPr>
        <w:t>králikoch</w:t>
      </w:r>
      <w:r w:rsidRPr="001E0058">
        <w:rPr>
          <w:rFonts w:ascii="Times New Roman" w:eastAsia="TimesNewRoman" w:hAnsi="Times New Roman"/>
          <w:lang w:val="sk-SK"/>
        </w:rPr>
        <w:t xml:space="preserve"> sa po perorálnom podávaní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nepozoroval žiadn</w:t>
      </w:r>
      <w:r w:rsidR="002C19AA">
        <w:rPr>
          <w:rFonts w:ascii="Times New Roman" w:eastAsia="TimesNewRoman" w:hAnsi="Times New Roman"/>
          <w:lang w:val="sk-SK"/>
        </w:rPr>
        <w:t>y</w:t>
      </w:r>
      <w:r w:rsidRPr="001E0058">
        <w:rPr>
          <w:rFonts w:ascii="Times New Roman" w:eastAsia="TimesNewRoman" w:hAnsi="Times New Roman"/>
          <w:lang w:val="sk-SK"/>
        </w:rPr>
        <w:t xml:space="preserve"> relevantný nežiaduci účinok.</w:t>
      </w:r>
    </w:p>
    <w:p w14:paraId="19FF14DE" w14:textId="77777777" w:rsidR="0075638D" w:rsidRPr="001E0058" w:rsidRDefault="0075638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07F44395" w14:textId="6BEF6AF1" w:rsidR="00B76076" w:rsidRPr="001E0058" w:rsidRDefault="00833FD9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>P</w:t>
      </w:r>
      <w:r w:rsidRPr="001E0058">
        <w:rPr>
          <w:rFonts w:ascii="Times New Roman" w:eastAsia="TimesNewRoman" w:hAnsi="Times New Roman"/>
          <w:lang w:val="sk-SK"/>
        </w:rPr>
        <w:t xml:space="preserve">o </w:t>
      </w:r>
      <w:r>
        <w:rPr>
          <w:rFonts w:ascii="Times New Roman" w:eastAsia="TimesNewRoman" w:hAnsi="Times New Roman"/>
          <w:lang w:val="sk-SK"/>
        </w:rPr>
        <w:t xml:space="preserve">perorálnom </w:t>
      </w:r>
      <w:r w:rsidRPr="001E0058">
        <w:rPr>
          <w:rFonts w:ascii="Times New Roman" w:eastAsia="TimesNewRoman" w:hAnsi="Times New Roman"/>
          <w:lang w:val="sk-SK"/>
        </w:rPr>
        <w:t>podaní jedno</w:t>
      </w:r>
      <w:r>
        <w:rPr>
          <w:rFonts w:ascii="Times New Roman" w:eastAsia="TimesNewRoman" w:hAnsi="Times New Roman"/>
          <w:lang w:val="sk-SK"/>
        </w:rPr>
        <w:t>razovej</w:t>
      </w:r>
      <w:r w:rsidRPr="001E0058">
        <w:rPr>
          <w:rFonts w:ascii="Times New Roman" w:eastAsia="TimesNewRoman" w:hAnsi="Times New Roman"/>
          <w:lang w:val="sk-SK"/>
        </w:rPr>
        <w:t xml:space="preserve"> dávky 100 mg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r>
        <w:rPr>
          <w:rFonts w:ascii="Times New Roman" w:eastAsia="TimesNewRoman" w:hAnsi="Times New Roman"/>
          <w:lang w:val="sk-SK"/>
        </w:rPr>
        <w:t xml:space="preserve">sa </w:t>
      </w:r>
      <w:r w:rsidRPr="001E0058">
        <w:rPr>
          <w:rFonts w:ascii="Times New Roman" w:eastAsia="TimesNewRoman" w:hAnsi="Times New Roman"/>
          <w:lang w:val="sk-SK"/>
        </w:rPr>
        <w:t xml:space="preserve">u zdravých dobrovoľníkov </w:t>
      </w:r>
      <w:r>
        <w:rPr>
          <w:rFonts w:ascii="Times New Roman" w:eastAsia="TimesNewRoman" w:hAnsi="Times New Roman"/>
          <w:lang w:val="sk-SK"/>
        </w:rPr>
        <w:t>n</w:t>
      </w:r>
      <w:r w:rsidR="0075638D" w:rsidRPr="001E0058">
        <w:rPr>
          <w:rFonts w:ascii="Times New Roman" w:eastAsia="TimesNewRoman" w:hAnsi="Times New Roman"/>
          <w:lang w:val="sk-SK"/>
        </w:rPr>
        <w:t>e</w:t>
      </w:r>
      <w:r>
        <w:rPr>
          <w:rFonts w:ascii="Times New Roman" w:eastAsia="TimesNewRoman" w:hAnsi="Times New Roman"/>
          <w:lang w:val="sk-SK"/>
        </w:rPr>
        <w:t>p</w:t>
      </w:r>
      <w:r w:rsidR="0075638D" w:rsidRPr="001E0058">
        <w:rPr>
          <w:rFonts w:ascii="Times New Roman" w:eastAsia="TimesNewRoman" w:hAnsi="Times New Roman"/>
          <w:lang w:val="sk-SK"/>
        </w:rPr>
        <w:t>o</w:t>
      </w:r>
      <w:r w:rsidR="005D4C6E">
        <w:rPr>
          <w:rFonts w:ascii="Times New Roman" w:eastAsia="TimesNewRoman" w:hAnsi="Times New Roman"/>
          <w:lang w:val="sk-SK"/>
        </w:rPr>
        <w:t>zorova</w:t>
      </w:r>
      <w:r>
        <w:rPr>
          <w:rFonts w:ascii="Times New Roman" w:eastAsia="TimesNewRoman" w:hAnsi="Times New Roman"/>
          <w:lang w:val="sk-SK"/>
        </w:rPr>
        <w:t>l</w:t>
      </w:r>
      <w:r w:rsidR="0075638D" w:rsidRPr="001E0058">
        <w:rPr>
          <w:rFonts w:ascii="Times New Roman" w:eastAsia="TimesNewRoman" w:hAnsi="Times New Roman"/>
          <w:lang w:val="sk-SK"/>
        </w:rPr>
        <w:t xml:space="preserve"> žiadn</w:t>
      </w:r>
      <w:r w:rsidR="002C19AA">
        <w:rPr>
          <w:rFonts w:ascii="Times New Roman" w:eastAsia="TimesNewRoman" w:hAnsi="Times New Roman"/>
          <w:lang w:val="sk-SK"/>
        </w:rPr>
        <w:t>y</w:t>
      </w:r>
      <w:r w:rsidR="0075638D" w:rsidRPr="001E0058">
        <w:rPr>
          <w:rFonts w:ascii="Times New Roman" w:eastAsia="TimesNewRoman" w:hAnsi="Times New Roman"/>
          <w:lang w:val="sk-SK"/>
        </w:rPr>
        <w:t xml:space="preserve"> </w:t>
      </w:r>
      <w:r w:rsidR="005D4C6E">
        <w:rPr>
          <w:rFonts w:ascii="Times New Roman" w:eastAsia="TimesNewRoman" w:hAnsi="Times New Roman"/>
          <w:lang w:val="sk-SK"/>
        </w:rPr>
        <w:t>účinok</w:t>
      </w:r>
      <w:r w:rsidR="0075638D" w:rsidRPr="001E0058">
        <w:rPr>
          <w:rFonts w:ascii="Times New Roman" w:eastAsia="TimesNewRoman" w:hAnsi="Times New Roman"/>
          <w:lang w:val="sk-SK"/>
        </w:rPr>
        <w:t xml:space="preserve"> na </w:t>
      </w:r>
      <w:proofErr w:type="spellStart"/>
      <w:r w:rsidR="0075638D" w:rsidRPr="001E0058">
        <w:rPr>
          <w:rFonts w:ascii="Times New Roman" w:eastAsia="TimesNewRoman" w:hAnsi="Times New Roman"/>
          <w:lang w:val="sk-SK"/>
        </w:rPr>
        <w:t>mo</w:t>
      </w:r>
      <w:r>
        <w:rPr>
          <w:rFonts w:ascii="Times New Roman" w:eastAsia="TimesNewRoman" w:hAnsi="Times New Roman"/>
          <w:lang w:val="sk-SK"/>
        </w:rPr>
        <w:t>ti</w:t>
      </w:r>
      <w:r w:rsidR="0075638D" w:rsidRPr="001E0058">
        <w:rPr>
          <w:rFonts w:ascii="Times New Roman" w:eastAsia="TimesNewRoman" w:hAnsi="Times New Roman"/>
          <w:lang w:val="sk-SK"/>
        </w:rPr>
        <w:t>litu</w:t>
      </w:r>
      <w:proofErr w:type="spellEnd"/>
      <w:r w:rsidR="0075638D" w:rsidRPr="001E0058">
        <w:rPr>
          <w:rFonts w:ascii="Times New Roman" w:eastAsia="TimesNewRoman" w:hAnsi="Times New Roman"/>
          <w:lang w:val="sk-SK"/>
        </w:rPr>
        <w:t xml:space="preserve"> alebo morfológiu </w:t>
      </w:r>
      <w:r w:rsidR="002C19AA" w:rsidRPr="001E0058">
        <w:rPr>
          <w:rFonts w:ascii="Times New Roman" w:eastAsia="TimesNewRoman" w:hAnsi="Times New Roman"/>
          <w:lang w:val="sk-SK"/>
        </w:rPr>
        <w:t xml:space="preserve">spermií </w:t>
      </w:r>
      <w:r w:rsidR="0075638D" w:rsidRPr="001E0058">
        <w:rPr>
          <w:rFonts w:ascii="Times New Roman" w:eastAsia="TimesNewRoman" w:hAnsi="Times New Roman"/>
          <w:lang w:val="sk-SK"/>
        </w:rPr>
        <w:t>(pozri časť 5.1).</w:t>
      </w:r>
    </w:p>
    <w:p w14:paraId="40D169FE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3CDC1E53" w14:textId="5AE68574" w:rsidR="00B76076" w:rsidRPr="001E0058" w:rsidRDefault="00B76076" w:rsidP="00097C3B">
      <w:p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1E0058">
        <w:rPr>
          <w:rFonts w:ascii="Times New Roman" w:eastAsia="TimesNewRoman,Bold" w:hAnsi="Times New Roman"/>
          <w:b/>
          <w:bCs/>
          <w:lang w:val="sk-SK"/>
        </w:rPr>
        <w:t>4.7</w:t>
      </w:r>
      <w:r w:rsidR="002C01C6">
        <w:rPr>
          <w:rFonts w:ascii="Times New Roman" w:eastAsia="TimesNewRoman,Bold" w:hAnsi="Times New Roman"/>
          <w:b/>
          <w:bCs/>
          <w:lang w:val="sk-SK"/>
        </w:rPr>
        <w:tab/>
      </w:r>
      <w:r w:rsidR="001745A7" w:rsidRPr="001E0058">
        <w:rPr>
          <w:rFonts w:ascii="Times New Roman" w:eastAsia="TimesNewRoman,Bold" w:hAnsi="Times New Roman"/>
          <w:b/>
          <w:bCs/>
          <w:lang w:val="sk-SK"/>
        </w:rPr>
        <w:t>Ovplyvnenie schopnosti viesť vozidlá a obsluhovať stroje</w:t>
      </w:r>
    </w:p>
    <w:p w14:paraId="638422F4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9E7111D" w14:textId="77777777" w:rsidR="00686666" w:rsidRPr="001E0058" w:rsidRDefault="0068666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>Neuskutočnili sa žiadne štúdie o účinkoch na schopnosť viesť vozidlá a obsluhovať stroje.</w:t>
      </w:r>
    </w:p>
    <w:p w14:paraId="50884EAA" w14:textId="77777777" w:rsidR="00686666" w:rsidRPr="001E0058" w:rsidRDefault="0068666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BFC4CDC" w14:textId="4C15D245" w:rsidR="00B76076" w:rsidRPr="001E0058" w:rsidRDefault="0068666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Keďže </w:t>
      </w:r>
      <w:r w:rsidR="006F3CEC">
        <w:rPr>
          <w:rFonts w:ascii="Times New Roman" w:eastAsia="TimesNewRoman" w:hAnsi="Times New Roman"/>
          <w:lang w:val="sk-SK"/>
        </w:rPr>
        <w:t xml:space="preserve">sa </w:t>
      </w:r>
      <w:r w:rsidR="006F3CEC" w:rsidRPr="001E0058">
        <w:rPr>
          <w:rFonts w:ascii="Times New Roman" w:eastAsia="TimesNewRoman" w:hAnsi="Times New Roman"/>
          <w:lang w:val="sk-SK"/>
        </w:rPr>
        <w:t xml:space="preserve">v klinických </w:t>
      </w:r>
      <w:r w:rsidR="006F3CEC">
        <w:rPr>
          <w:rFonts w:ascii="Times New Roman" w:eastAsia="TimesNewRoman" w:hAnsi="Times New Roman"/>
          <w:lang w:val="sk-SK"/>
        </w:rPr>
        <w:t>skúšaniach</w:t>
      </w:r>
      <w:r w:rsidR="006F3CEC" w:rsidRPr="001E0058">
        <w:rPr>
          <w:rFonts w:ascii="Times New Roman" w:eastAsia="TimesNewRoman" w:hAnsi="Times New Roman"/>
          <w:lang w:val="sk-SK"/>
        </w:rPr>
        <w:t xml:space="preserve"> so </w:t>
      </w:r>
      <w:proofErr w:type="spellStart"/>
      <w:r w:rsidR="006F3CEC" w:rsidRPr="001E0058">
        <w:rPr>
          <w:rFonts w:ascii="Times New Roman" w:eastAsia="TimesNewRoman" w:hAnsi="Times New Roman"/>
          <w:lang w:val="sk-SK"/>
        </w:rPr>
        <w:t>sildenafilom</w:t>
      </w:r>
      <w:proofErr w:type="spellEnd"/>
      <w:r w:rsidR="006F3CEC" w:rsidRPr="001E0058">
        <w:rPr>
          <w:rFonts w:ascii="Times New Roman" w:eastAsia="TimesNewRoman" w:hAnsi="Times New Roman"/>
          <w:lang w:val="sk-SK"/>
        </w:rPr>
        <w:t xml:space="preserve"> hlás</w:t>
      </w:r>
      <w:r w:rsidR="006F3CEC">
        <w:rPr>
          <w:rFonts w:ascii="Times New Roman" w:eastAsia="TimesNewRoman" w:hAnsi="Times New Roman"/>
          <w:lang w:val="sk-SK"/>
        </w:rPr>
        <w:t>ili</w:t>
      </w:r>
      <w:r w:rsidR="006F3CEC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závrat a </w:t>
      </w:r>
      <w:r w:rsidR="005D4C6E">
        <w:rPr>
          <w:rFonts w:ascii="Times New Roman" w:eastAsia="TimesNewRoman" w:hAnsi="Times New Roman"/>
          <w:lang w:val="sk-SK"/>
        </w:rPr>
        <w:t>porucha</w:t>
      </w:r>
      <w:r w:rsidR="005D4C6E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viden</w:t>
      </w:r>
      <w:r w:rsidR="00835ADD">
        <w:rPr>
          <w:rFonts w:ascii="Times New Roman" w:eastAsia="TimesNewRoman" w:hAnsi="Times New Roman"/>
          <w:lang w:val="sk-SK"/>
        </w:rPr>
        <w:t>i</w:t>
      </w:r>
      <w:r w:rsidR="005D4C6E">
        <w:rPr>
          <w:rFonts w:ascii="Times New Roman" w:eastAsia="TimesNewRoman" w:hAnsi="Times New Roman"/>
          <w:lang w:val="sk-SK"/>
        </w:rPr>
        <w:t>a</w:t>
      </w:r>
      <w:r w:rsidRPr="001E0058">
        <w:rPr>
          <w:rFonts w:ascii="Times New Roman" w:eastAsia="TimesNewRoman" w:hAnsi="Times New Roman"/>
          <w:lang w:val="sk-SK"/>
        </w:rPr>
        <w:t xml:space="preserve">, </w:t>
      </w:r>
      <w:r w:rsidR="005D4C6E">
        <w:rPr>
          <w:rFonts w:ascii="Times New Roman" w:eastAsia="TimesNewRoman" w:hAnsi="Times New Roman"/>
          <w:lang w:val="sk-SK"/>
        </w:rPr>
        <w:t xml:space="preserve">majú </w:t>
      </w:r>
      <w:r w:rsidRPr="001E0058">
        <w:rPr>
          <w:rFonts w:ascii="Times New Roman" w:eastAsia="TimesNewRoman" w:hAnsi="Times New Roman"/>
          <w:lang w:val="sk-SK"/>
        </w:rPr>
        <w:t xml:space="preserve">pacienti predtým, ako budú viesť vozidlá a obsluhovať stroje, </w:t>
      </w:r>
      <w:r w:rsidR="005D4C6E">
        <w:rPr>
          <w:rFonts w:ascii="Times New Roman" w:eastAsia="TimesNewRoman" w:hAnsi="Times New Roman"/>
          <w:lang w:val="sk-SK"/>
        </w:rPr>
        <w:t>vedieť</w:t>
      </w:r>
      <w:r w:rsidRPr="001E0058">
        <w:rPr>
          <w:rFonts w:ascii="Times New Roman" w:eastAsia="TimesNewRoman" w:hAnsi="Times New Roman"/>
          <w:lang w:val="sk-SK"/>
        </w:rPr>
        <w:t xml:space="preserve">, ako reagujú na podanie </w:t>
      </w:r>
      <w:proofErr w:type="spellStart"/>
      <w:r w:rsidRPr="001E0058">
        <w:rPr>
          <w:rFonts w:ascii="Times New Roman" w:eastAsia="TimesNewRoman" w:hAnsi="Times New Roman"/>
          <w:lang w:val="sk-SK"/>
        </w:rPr>
        <w:t>Azurvigu</w:t>
      </w:r>
      <w:proofErr w:type="spellEnd"/>
      <w:r w:rsidRPr="001E0058">
        <w:rPr>
          <w:rFonts w:ascii="Times New Roman" w:eastAsia="TimesNewRoman" w:hAnsi="Times New Roman"/>
          <w:lang w:val="sk-SK"/>
        </w:rPr>
        <w:t>.</w:t>
      </w:r>
    </w:p>
    <w:p w14:paraId="726000D7" w14:textId="77777777" w:rsidR="00686666" w:rsidRPr="001E0058" w:rsidRDefault="0068666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791D716E" w14:textId="7C308877" w:rsidR="00B76076" w:rsidRPr="001E0058" w:rsidRDefault="00B76076" w:rsidP="00097C3B">
      <w:p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1E0058">
        <w:rPr>
          <w:rFonts w:ascii="Times New Roman" w:eastAsia="TimesNewRoman,Bold" w:hAnsi="Times New Roman"/>
          <w:b/>
          <w:bCs/>
          <w:lang w:val="sk-SK"/>
        </w:rPr>
        <w:t>4.8</w:t>
      </w:r>
      <w:r w:rsidR="00070CC1">
        <w:rPr>
          <w:rFonts w:ascii="Times New Roman" w:eastAsia="TimesNewRoman,Bold" w:hAnsi="Times New Roman"/>
          <w:b/>
          <w:bCs/>
          <w:lang w:val="sk-SK"/>
        </w:rPr>
        <w:tab/>
      </w:r>
      <w:r w:rsidR="005E60CD" w:rsidRPr="001E0058">
        <w:rPr>
          <w:rFonts w:ascii="Times New Roman" w:eastAsia="TimesNewRoman,Bold" w:hAnsi="Times New Roman"/>
          <w:b/>
          <w:bCs/>
          <w:lang w:val="sk-SK"/>
        </w:rPr>
        <w:t>Nežiaduce účinky</w:t>
      </w:r>
    </w:p>
    <w:p w14:paraId="79957D2C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76EFF6B2" w14:textId="7858DE5C" w:rsidR="00B76076" w:rsidRPr="001E0058" w:rsidRDefault="005E60C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r w:rsidRPr="001E0058">
        <w:rPr>
          <w:rFonts w:ascii="Times New Roman" w:eastAsia="TimesNewRoman" w:hAnsi="Times New Roman"/>
          <w:u w:val="single"/>
          <w:lang w:val="sk-SK"/>
        </w:rPr>
        <w:t>Súhrn bezpečnostného profilu</w:t>
      </w:r>
    </w:p>
    <w:p w14:paraId="6ED7F24A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</w:p>
    <w:p w14:paraId="07A16C64" w14:textId="345D8DA8" w:rsidR="005E60CD" w:rsidRPr="001E0058" w:rsidRDefault="005E60C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Bezpečnostný profil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je založený na 9570 pacientoch, ktorí sa zúčastnili 74 dvojito zaslepených placebom kontrolovaných klinických </w:t>
      </w:r>
      <w:r w:rsidR="001D0E0F">
        <w:rPr>
          <w:rFonts w:ascii="Times New Roman" w:eastAsia="TimesNewRoman" w:hAnsi="Times New Roman"/>
          <w:lang w:val="sk-SK"/>
        </w:rPr>
        <w:t>skúšaní</w:t>
      </w:r>
      <w:r w:rsidRPr="001E0058">
        <w:rPr>
          <w:rFonts w:ascii="Times New Roman" w:eastAsia="TimesNewRoman" w:hAnsi="Times New Roman"/>
          <w:lang w:val="sk-SK"/>
        </w:rPr>
        <w:t>. Najčastejšie hlásené nežiaduce reakcie</w:t>
      </w:r>
      <w:r w:rsidR="00123149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v klinických </w:t>
      </w:r>
      <w:r w:rsidR="001D0E0F">
        <w:rPr>
          <w:rFonts w:ascii="Times New Roman" w:eastAsia="TimesNewRoman" w:hAnsi="Times New Roman"/>
          <w:lang w:val="sk-SK"/>
        </w:rPr>
        <w:t>skúšaniach</w:t>
      </w:r>
      <w:r w:rsidRPr="001E0058">
        <w:rPr>
          <w:rFonts w:ascii="Times New Roman" w:eastAsia="TimesNewRoman" w:hAnsi="Times New Roman"/>
          <w:lang w:val="sk-SK"/>
        </w:rPr>
        <w:t xml:space="preserve"> u pacientov liečených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sildenafilom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boli bolesť hlavy, </w:t>
      </w:r>
      <w:r w:rsidR="001D0E0F">
        <w:rPr>
          <w:rFonts w:ascii="Times New Roman" w:eastAsia="TimesNewRoman" w:hAnsi="Times New Roman"/>
          <w:lang w:val="sk-SK"/>
        </w:rPr>
        <w:t>sčervenenie</w:t>
      </w:r>
      <w:r w:rsidRPr="001E0058">
        <w:rPr>
          <w:rFonts w:ascii="Times New Roman" w:eastAsia="TimesNewRoman" w:hAnsi="Times New Roman"/>
          <w:lang w:val="sk-SK"/>
        </w:rPr>
        <w:t xml:space="preserve">, </w:t>
      </w:r>
      <w:proofErr w:type="spellStart"/>
      <w:r w:rsidRPr="001E0058">
        <w:rPr>
          <w:rFonts w:ascii="Times New Roman" w:eastAsia="TimesNewRoman" w:hAnsi="Times New Roman"/>
          <w:lang w:val="sk-SK"/>
        </w:rPr>
        <w:t>dyspepsia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nazálna </w:t>
      </w:r>
      <w:proofErr w:type="spellStart"/>
      <w:r w:rsidRPr="001E0058">
        <w:rPr>
          <w:rFonts w:ascii="Times New Roman" w:eastAsia="TimesNewRoman" w:hAnsi="Times New Roman"/>
          <w:lang w:val="sk-SK"/>
        </w:rPr>
        <w:t>kongescia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závraty, nevoľnosť, návaly horúčavy, poruchy zraku, </w:t>
      </w:r>
      <w:proofErr w:type="spellStart"/>
      <w:r w:rsidRPr="001E0058">
        <w:rPr>
          <w:rFonts w:ascii="Times New Roman" w:eastAsia="TimesNewRoman" w:hAnsi="Times New Roman"/>
          <w:lang w:val="sk-SK"/>
        </w:rPr>
        <w:t>cyanopsia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 rozmazané videnie.</w:t>
      </w:r>
    </w:p>
    <w:p w14:paraId="56C7EF8D" w14:textId="77777777" w:rsidR="005E60CD" w:rsidRPr="001E0058" w:rsidRDefault="005E60C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4F3DC90A" w14:textId="7A8C8C6D" w:rsidR="005E60CD" w:rsidRPr="001E0058" w:rsidRDefault="005E60C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>Nežiaduce reakcie v rámci sledovania po uvedení lieku na trh boli zhromaž</w:t>
      </w:r>
      <w:r w:rsidR="0079399C">
        <w:rPr>
          <w:rFonts w:ascii="Times New Roman" w:eastAsia="TimesNewRoman" w:hAnsi="Times New Roman"/>
          <w:lang w:val="sk-SK"/>
        </w:rPr>
        <w:t>ďova</w:t>
      </w:r>
      <w:r w:rsidRPr="001E0058">
        <w:rPr>
          <w:rFonts w:ascii="Times New Roman" w:eastAsia="TimesNewRoman" w:hAnsi="Times New Roman"/>
          <w:lang w:val="sk-SK"/>
        </w:rPr>
        <w:t xml:space="preserve">né počas obdobia približne </w:t>
      </w:r>
      <w:r w:rsidR="001D0E0F">
        <w:rPr>
          <w:rFonts w:ascii="Times New Roman" w:eastAsia="TimesNewRoman" w:hAnsi="Times New Roman"/>
          <w:lang w:val="sk-SK"/>
        </w:rPr>
        <w:t>viac ako</w:t>
      </w:r>
      <w:r w:rsidRPr="001E0058">
        <w:rPr>
          <w:rFonts w:ascii="Times New Roman" w:eastAsia="TimesNewRoman" w:hAnsi="Times New Roman"/>
          <w:lang w:val="sk-SK"/>
        </w:rPr>
        <w:t xml:space="preserve"> 10 rokov. Vzhľadom na to, že nie všetky nežiaduce reakcie sú hlásené držiteľovi rozhodnutia o registrácii, a tým zahrnuté do bezpečnostnej databázy, frekvencie týchto reakcií sa nedajú spoľahlivo určiť.</w:t>
      </w:r>
    </w:p>
    <w:p w14:paraId="195628E0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34D3AFBE" w14:textId="594AF707" w:rsidR="00B76076" w:rsidRPr="001E0058" w:rsidRDefault="001D0E0F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r>
        <w:rPr>
          <w:rFonts w:ascii="Times New Roman" w:eastAsia="TimesNewRoman" w:hAnsi="Times New Roman"/>
          <w:u w:val="single"/>
          <w:lang w:val="sk-SK"/>
        </w:rPr>
        <w:t>Tabuľkový z</w:t>
      </w:r>
      <w:r w:rsidR="00123149" w:rsidRPr="001E0058">
        <w:rPr>
          <w:rFonts w:ascii="Times New Roman" w:eastAsia="TimesNewRoman" w:hAnsi="Times New Roman"/>
          <w:u w:val="single"/>
          <w:lang w:val="sk-SK"/>
        </w:rPr>
        <w:t xml:space="preserve">oznam nežiaducich reakcií </w:t>
      </w:r>
    </w:p>
    <w:p w14:paraId="7E1FFE41" w14:textId="77777777" w:rsidR="00123149" w:rsidRPr="001E0058" w:rsidRDefault="00123149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lang w:val="sk-SK"/>
        </w:rPr>
      </w:pPr>
    </w:p>
    <w:p w14:paraId="3809DF45" w14:textId="0BCFBE9E" w:rsidR="00B76076" w:rsidRPr="001E0058" w:rsidRDefault="00123149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>V</w:t>
      </w:r>
      <w:r w:rsidR="00140CA5">
        <w:rPr>
          <w:rFonts w:ascii="Times New Roman" w:eastAsia="TimesNewRoman" w:hAnsi="Times New Roman"/>
          <w:lang w:val="sk-SK"/>
        </w:rPr>
        <w:t> </w:t>
      </w:r>
      <w:r w:rsidR="00140CA5" w:rsidRPr="001E0058">
        <w:rPr>
          <w:rFonts w:ascii="Times New Roman" w:eastAsia="TimesNewRoman" w:hAnsi="Times New Roman"/>
          <w:lang w:val="sk-SK"/>
        </w:rPr>
        <w:t>nižšie</w:t>
      </w:r>
      <w:r w:rsidR="00140CA5">
        <w:rPr>
          <w:rFonts w:ascii="Times New Roman" w:eastAsia="TimesNewRoman" w:hAnsi="Times New Roman"/>
          <w:lang w:val="sk-SK"/>
        </w:rPr>
        <w:t xml:space="preserve"> uvedenej </w:t>
      </w:r>
      <w:r w:rsidRPr="001E0058">
        <w:rPr>
          <w:rFonts w:ascii="Times New Roman" w:eastAsia="TimesNewRoman" w:hAnsi="Times New Roman"/>
          <w:lang w:val="sk-SK"/>
        </w:rPr>
        <w:t>tabuľke sú všetky klinicky</w:t>
      </w:r>
      <w:r w:rsidR="007C7AD1">
        <w:rPr>
          <w:rFonts w:ascii="Times New Roman" w:eastAsia="TimesNewRoman" w:hAnsi="Times New Roman"/>
          <w:lang w:val="sk-SK"/>
        </w:rPr>
        <w:t xml:space="preserve"> významných</w:t>
      </w:r>
      <w:r w:rsidRPr="001E0058">
        <w:rPr>
          <w:rFonts w:ascii="Times New Roman" w:eastAsia="TimesNewRoman" w:hAnsi="Times New Roman"/>
          <w:lang w:val="sk-SK"/>
        </w:rPr>
        <w:t xml:space="preserve"> nežiaduce reakcie, ktoré sa vyskytli v rámci klinických </w:t>
      </w:r>
      <w:r w:rsidR="001D0E0F">
        <w:rPr>
          <w:rFonts w:ascii="Times New Roman" w:eastAsia="TimesNewRoman" w:hAnsi="Times New Roman"/>
          <w:lang w:val="sk-SK"/>
        </w:rPr>
        <w:t>skúšaní</w:t>
      </w:r>
      <w:r w:rsidRPr="001E0058">
        <w:rPr>
          <w:rFonts w:ascii="Times New Roman" w:eastAsia="TimesNewRoman" w:hAnsi="Times New Roman"/>
          <w:lang w:val="sk-SK"/>
        </w:rPr>
        <w:t xml:space="preserve"> s </w:t>
      </w:r>
      <w:proofErr w:type="spellStart"/>
      <w:r w:rsidRPr="001E0058">
        <w:rPr>
          <w:rFonts w:ascii="Times New Roman" w:eastAsia="TimesNewRoman" w:hAnsi="Times New Roman"/>
          <w:lang w:val="sk-SK"/>
        </w:rPr>
        <w:t>incidenciou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v</w:t>
      </w:r>
      <w:r w:rsidR="001D0E0F">
        <w:rPr>
          <w:rFonts w:ascii="Times New Roman" w:eastAsia="TimesNewRoman" w:hAnsi="Times New Roman"/>
          <w:lang w:val="sk-SK"/>
        </w:rPr>
        <w:t>yššou</w:t>
      </w:r>
      <w:r w:rsidRPr="001E0058">
        <w:rPr>
          <w:rFonts w:ascii="Times New Roman" w:eastAsia="TimesNewRoman" w:hAnsi="Times New Roman"/>
          <w:lang w:val="sk-SK"/>
        </w:rPr>
        <w:t xml:space="preserve"> ako pri placebe, uvedené podľa triedy orgánových systémov a frekvencie (veľmi časté (≥</w:t>
      </w:r>
      <w:r w:rsidR="003432E5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1/10), časté (≥</w:t>
      </w:r>
      <w:r w:rsidR="003432E5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1/100 až &lt;</w:t>
      </w:r>
      <w:r w:rsidR="003432E5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1/10), menej časté (≥</w:t>
      </w:r>
      <w:r w:rsidR="003432E5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1/1</w:t>
      </w:r>
      <w:r w:rsidR="003432E5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000 až &lt;</w:t>
      </w:r>
      <w:r w:rsidR="003432E5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1/100), zriedkavé (≥1/10</w:t>
      </w:r>
      <w:r w:rsidR="00140CA5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000 až &lt;1/1</w:t>
      </w:r>
      <w:r w:rsidR="003432E5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000). </w:t>
      </w:r>
    </w:p>
    <w:p w14:paraId="6DC72C56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0CFCCA05" w14:textId="4D1580C0" w:rsidR="00B76076" w:rsidRPr="001E0058" w:rsidRDefault="00A7334F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hAnsi="Times New Roman"/>
          <w:lang w:val="sk-SK"/>
        </w:rPr>
        <w:t xml:space="preserve">Okrem toho frekvencia </w:t>
      </w:r>
      <w:r w:rsidR="007570FC">
        <w:rPr>
          <w:rFonts w:ascii="Times New Roman" w:hAnsi="Times New Roman"/>
          <w:lang w:val="sk-SK"/>
        </w:rPr>
        <w:t xml:space="preserve">klinicky </w:t>
      </w:r>
      <w:r w:rsidRPr="001E0058">
        <w:rPr>
          <w:rFonts w:ascii="Times New Roman" w:hAnsi="Times New Roman"/>
          <w:lang w:val="sk-SK"/>
        </w:rPr>
        <w:t>významných nežiaducich reakcií</w:t>
      </w:r>
      <w:r w:rsidR="007B6DF7">
        <w:rPr>
          <w:rFonts w:ascii="Times New Roman" w:hAnsi="Times New Roman"/>
          <w:lang w:val="sk-SK"/>
        </w:rPr>
        <w:t xml:space="preserve">, ktoré sa </w:t>
      </w:r>
      <w:r w:rsidRPr="001E0058">
        <w:rPr>
          <w:rFonts w:ascii="Times New Roman" w:hAnsi="Times New Roman"/>
          <w:lang w:val="sk-SK"/>
        </w:rPr>
        <w:t>hlás</w:t>
      </w:r>
      <w:r w:rsidR="007B6DF7">
        <w:rPr>
          <w:rFonts w:ascii="Times New Roman" w:hAnsi="Times New Roman"/>
          <w:lang w:val="sk-SK"/>
        </w:rPr>
        <w:t xml:space="preserve">ili v rámci </w:t>
      </w:r>
      <w:r w:rsidRPr="001E0058">
        <w:rPr>
          <w:rFonts w:ascii="Times New Roman" w:hAnsi="Times New Roman"/>
          <w:lang w:val="sk-SK"/>
        </w:rPr>
        <w:t>skúseností po uvedení lieku na trh</w:t>
      </w:r>
      <w:r w:rsidR="007B6DF7">
        <w:rPr>
          <w:rFonts w:ascii="Times New Roman" w:hAnsi="Times New Roman"/>
          <w:lang w:val="sk-SK"/>
        </w:rPr>
        <w:t>,</w:t>
      </w:r>
      <w:r w:rsidRPr="001E0058">
        <w:rPr>
          <w:rFonts w:ascii="Times New Roman" w:hAnsi="Times New Roman"/>
          <w:lang w:val="sk-SK"/>
        </w:rPr>
        <w:t xml:space="preserve"> je zahrnutá ako neznáma.</w:t>
      </w:r>
    </w:p>
    <w:p w14:paraId="35CC08B1" w14:textId="77777777" w:rsidR="00F3091B" w:rsidRPr="001E0058" w:rsidRDefault="00F3091B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lastRenderedPageBreak/>
        <w:t>V rámci jednotlivých skupín frekvencií sú nežiaduce účinky usporiadané v poradí klesajúcej závažnosti.</w:t>
      </w:r>
    </w:p>
    <w:p w14:paraId="23874F1F" w14:textId="77777777" w:rsidR="00F3091B" w:rsidRPr="001E0058" w:rsidRDefault="00F3091B" w:rsidP="00097C3B">
      <w:pPr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6B894D83" w14:textId="39EA4306" w:rsidR="00B76076" w:rsidRPr="001E0058" w:rsidRDefault="00F3091B" w:rsidP="00097C3B">
      <w:pPr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1E0058">
        <w:rPr>
          <w:rFonts w:ascii="Times New Roman" w:eastAsia="TimesNewRoman,Bold" w:hAnsi="Times New Roman"/>
          <w:b/>
          <w:bCs/>
          <w:lang w:val="sk-SK"/>
        </w:rPr>
        <w:t xml:space="preserve">Tabuľka 1: Klinicky </w:t>
      </w:r>
      <w:r w:rsidR="00473718">
        <w:rPr>
          <w:rFonts w:ascii="Times New Roman" w:eastAsia="TimesNewRoman,Bold" w:hAnsi="Times New Roman"/>
          <w:b/>
          <w:bCs/>
          <w:lang w:val="sk-SK"/>
        </w:rPr>
        <w:t>významné</w:t>
      </w:r>
      <w:r w:rsidRPr="001E0058">
        <w:rPr>
          <w:rFonts w:ascii="Times New Roman" w:eastAsia="TimesNewRoman,Bold" w:hAnsi="Times New Roman"/>
          <w:b/>
          <w:bCs/>
          <w:lang w:val="sk-SK"/>
        </w:rPr>
        <w:t xml:space="preserve"> nežiaduce reakcie hlásené v kontrolovaných klinických </w:t>
      </w:r>
      <w:r w:rsidR="00757DA9">
        <w:rPr>
          <w:rFonts w:ascii="Times New Roman" w:eastAsia="TimesNewRoman,Bold" w:hAnsi="Times New Roman"/>
          <w:b/>
          <w:bCs/>
          <w:lang w:val="sk-SK"/>
        </w:rPr>
        <w:t>skúšaniach</w:t>
      </w:r>
      <w:r w:rsidRPr="001E0058">
        <w:rPr>
          <w:rFonts w:ascii="Times New Roman" w:eastAsia="TimesNewRoman,Bold" w:hAnsi="Times New Roman"/>
          <w:b/>
          <w:bCs/>
          <w:lang w:val="sk-SK"/>
        </w:rPr>
        <w:t xml:space="preserve"> s </w:t>
      </w:r>
      <w:proofErr w:type="spellStart"/>
      <w:r w:rsidRPr="001E0058">
        <w:rPr>
          <w:rFonts w:ascii="Times New Roman" w:eastAsia="TimesNewRoman,Bold" w:hAnsi="Times New Roman"/>
          <w:b/>
          <w:bCs/>
          <w:lang w:val="sk-SK"/>
        </w:rPr>
        <w:t>incidenciou</w:t>
      </w:r>
      <w:proofErr w:type="spellEnd"/>
      <w:r w:rsidRPr="001E0058">
        <w:rPr>
          <w:rFonts w:ascii="Times New Roman" w:eastAsia="TimesNewRoman,Bold" w:hAnsi="Times New Roman"/>
          <w:b/>
          <w:bCs/>
          <w:lang w:val="sk-SK"/>
        </w:rPr>
        <w:t xml:space="preserve"> v</w:t>
      </w:r>
      <w:r w:rsidR="00757DA9">
        <w:rPr>
          <w:rFonts w:ascii="Times New Roman" w:eastAsia="TimesNewRoman,Bold" w:hAnsi="Times New Roman"/>
          <w:b/>
          <w:bCs/>
          <w:lang w:val="sk-SK"/>
        </w:rPr>
        <w:t>yššou</w:t>
      </w:r>
      <w:r w:rsidRPr="001E0058">
        <w:rPr>
          <w:rFonts w:ascii="Times New Roman" w:eastAsia="TimesNewRoman,Bold" w:hAnsi="Times New Roman"/>
          <w:b/>
          <w:bCs/>
          <w:lang w:val="sk-SK"/>
        </w:rPr>
        <w:t xml:space="preserve"> ako pri placebe a klinicky </w:t>
      </w:r>
      <w:r w:rsidR="0077292E">
        <w:rPr>
          <w:rFonts w:ascii="Times New Roman" w:eastAsia="TimesNewRoman,Bold" w:hAnsi="Times New Roman"/>
          <w:b/>
          <w:bCs/>
          <w:lang w:val="sk-SK"/>
        </w:rPr>
        <w:t>významné</w:t>
      </w:r>
      <w:r w:rsidR="0077292E" w:rsidRPr="001E0058">
        <w:rPr>
          <w:rFonts w:ascii="Times New Roman" w:eastAsia="TimesNewRoman,Bold" w:hAnsi="Times New Roman"/>
          <w:b/>
          <w:bCs/>
          <w:lang w:val="sk-SK"/>
        </w:rPr>
        <w:t xml:space="preserve"> </w:t>
      </w:r>
      <w:r w:rsidRPr="001E0058">
        <w:rPr>
          <w:rFonts w:ascii="Times New Roman" w:eastAsia="TimesNewRoman,Bold" w:hAnsi="Times New Roman"/>
          <w:b/>
          <w:bCs/>
          <w:lang w:val="sk-SK"/>
        </w:rPr>
        <w:t>nežiaduce reakcie hlásené v rámci sledovania po uvedení lieku na trh</w:t>
      </w:r>
    </w:p>
    <w:p w14:paraId="0D6F818B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tbl>
      <w:tblPr>
        <w:tblStyle w:val="Mriekatabuky"/>
        <w:tblW w:w="9265" w:type="dxa"/>
        <w:tblLook w:val="04A0" w:firstRow="1" w:lastRow="0" w:firstColumn="1" w:lastColumn="0" w:noHBand="0" w:noVBand="1"/>
      </w:tblPr>
      <w:tblGrid>
        <w:gridCol w:w="1727"/>
        <w:gridCol w:w="1724"/>
        <w:gridCol w:w="1727"/>
        <w:gridCol w:w="1728"/>
        <w:gridCol w:w="2359"/>
      </w:tblGrid>
      <w:tr w:rsidR="00B76076" w:rsidRPr="001E0058" w14:paraId="6FE0112D" w14:textId="77777777" w:rsidTr="008363CD">
        <w:trPr>
          <w:tblHeader/>
        </w:trPr>
        <w:tc>
          <w:tcPr>
            <w:tcW w:w="1727" w:type="dxa"/>
            <w:vAlign w:val="center"/>
          </w:tcPr>
          <w:p w14:paraId="53C15FE5" w14:textId="6414A110" w:rsidR="00F3091B" w:rsidRPr="001E0058" w:rsidRDefault="00F3091B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,Bold" w:hAnsi="Times New Roman"/>
                <w:b/>
                <w:bCs/>
                <w:lang w:val="sk-SK"/>
              </w:rPr>
              <w:t>Trieda</w:t>
            </w:r>
          </w:p>
          <w:p w14:paraId="09C97B27" w14:textId="3C88B6DF" w:rsidR="00B76076" w:rsidRPr="001E0058" w:rsidRDefault="00F3091B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,Bold" w:hAnsi="Times New Roman"/>
                <w:b/>
                <w:bCs/>
                <w:lang w:val="sk-SK"/>
              </w:rPr>
              <w:t>orgánových systémov</w:t>
            </w:r>
          </w:p>
        </w:tc>
        <w:tc>
          <w:tcPr>
            <w:tcW w:w="1724" w:type="dxa"/>
            <w:vAlign w:val="center"/>
          </w:tcPr>
          <w:p w14:paraId="0E740A80" w14:textId="77777777" w:rsidR="00F3091B" w:rsidRPr="001E0058" w:rsidRDefault="00F3091B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,Bold" w:hAnsi="Times New Roman"/>
                <w:b/>
                <w:bCs/>
                <w:lang w:val="sk-SK"/>
              </w:rPr>
              <w:t>Veľmi</w:t>
            </w:r>
          </w:p>
          <w:p w14:paraId="14C38FF8" w14:textId="77777777" w:rsidR="00F3091B" w:rsidRPr="001E0058" w:rsidRDefault="00F3091B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,Bold" w:hAnsi="Times New Roman"/>
                <w:b/>
                <w:bCs/>
                <w:lang w:val="sk-SK"/>
              </w:rPr>
              <w:t>časté</w:t>
            </w:r>
          </w:p>
          <w:p w14:paraId="68B21903" w14:textId="5BEA946E" w:rsidR="00B76076" w:rsidRPr="001E0058" w:rsidRDefault="00B76076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>(</w:t>
            </w:r>
            <w:r w:rsidR="002E04D6" w:rsidRPr="001E0058">
              <w:rPr>
                <w:rFonts w:ascii="Times New Roman" w:hAnsi="Times New Roman"/>
                <w:lang w:val="sk-SK"/>
              </w:rPr>
              <w:t>≥</w:t>
            </w:r>
            <w:r w:rsidRPr="001E0058">
              <w:rPr>
                <w:rFonts w:ascii="Times New Roman" w:eastAsia="TimesNewRoman,Bold" w:hAnsi="Times New Roman"/>
                <w:lang w:val="sk-SK"/>
              </w:rPr>
              <w:t xml:space="preserve"> </w:t>
            </w:r>
            <w:r w:rsidRPr="001E0058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>1/10)</w:t>
            </w:r>
          </w:p>
        </w:tc>
        <w:tc>
          <w:tcPr>
            <w:tcW w:w="1727" w:type="dxa"/>
            <w:vAlign w:val="center"/>
          </w:tcPr>
          <w:p w14:paraId="4400245F" w14:textId="3497A73F" w:rsidR="00F3091B" w:rsidRPr="001E0058" w:rsidRDefault="00F3091B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,Bold" w:hAnsi="Times New Roman"/>
                <w:b/>
                <w:bCs/>
                <w:lang w:val="sk-SK"/>
              </w:rPr>
              <w:t>Časté</w:t>
            </w:r>
          </w:p>
          <w:p w14:paraId="1376787C" w14:textId="6D48C799" w:rsidR="00B76076" w:rsidRPr="00B62ACE" w:rsidRDefault="00B76076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i/>
                <w:iCs/>
                <w:lang w:val="cs-CZ"/>
              </w:rPr>
            </w:pPr>
            <w:r w:rsidRPr="001E0058">
              <w:rPr>
                <w:rFonts w:ascii="Times New Roman" w:eastAsia="TimesNewRoman,Bold" w:hAnsi="Times New Roman"/>
                <w:b/>
                <w:bCs/>
                <w:lang w:val="sk-SK"/>
              </w:rPr>
              <w:t xml:space="preserve"> </w:t>
            </w:r>
            <w:r w:rsidRPr="001E0058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>(</w:t>
            </w:r>
            <w:r w:rsidR="002E04D6" w:rsidRPr="001E0058">
              <w:rPr>
                <w:rFonts w:ascii="Times New Roman" w:hAnsi="Times New Roman"/>
                <w:lang w:val="sk-SK"/>
              </w:rPr>
              <w:t>≥</w:t>
            </w:r>
            <w:r w:rsidR="00757DA9">
              <w:rPr>
                <w:rFonts w:ascii="Times New Roman" w:hAnsi="Times New Roman"/>
                <w:lang w:val="sk-SK"/>
              </w:rPr>
              <w:t xml:space="preserve"> </w:t>
            </w:r>
            <w:r w:rsidRPr="001E0058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 xml:space="preserve">1/100 </w:t>
            </w:r>
            <w:r w:rsidR="00B62ACE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>až</w:t>
            </w:r>
          </w:p>
          <w:p w14:paraId="42F8F235" w14:textId="1C1E26CE" w:rsidR="00B76076" w:rsidRPr="001E0058" w:rsidRDefault="00B76076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>&lt;</w:t>
            </w:r>
            <w:r w:rsidR="00757DA9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 xml:space="preserve"> </w:t>
            </w:r>
            <w:r w:rsidRPr="001E0058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>1/10)</w:t>
            </w:r>
          </w:p>
        </w:tc>
        <w:tc>
          <w:tcPr>
            <w:tcW w:w="1728" w:type="dxa"/>
            <w:vAlign w:val="center"/>
          </w:tcPr>
          <w:p w14:paraId="1C192C8E" w14:textId="3CE70E14" w:rsidR="00F3091B" w:rsidRPr="001E0058" w:rsidRDefault="00F3091B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,Bold" w:hAnsi="Times New Roman"/>
                <w:b/>
                <w:bCs/>
                <w:lang w:val="sk-SK"/>
              </w:rPr>
              <w:t>Menej časté</w:t>
            </w:r>
          </w:p>
          <w:p w14:paraId="6370A7D4" w14:textId="2FE941A8" w:rsidR="00B76076" w:rsidRPr="001E0058" w:rsidRDefault="00B76076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</w:pPr>
            <w:r w:rsidRPr="001E0058">
              <w:rPr>
                <w:rFonts w:ascii="Times New Roman" w:eastAsia="TimesNewRoman,Bold" w:hAnsi="Times New Roman"/>
                <w:b/>
                <w:bCs/>
                <w:lang w:val="sk-SK"/>
              </w:rPr>
              <w:t xml:space="preserve"> </w:t>
            </w:r>
            <w:r w:rsidRPr="001E0058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>(</w:t>
            </w:r>
            <w:r w:rsidR="002E04D6" w:rsidRPr="001E0058">
              <w:rPr>
                <w:rFonts w:ascii="Times New Roman" w:hAnsi="Times New Roman"/>
                <w:lang w:val="sk-SK"/>
              </w:rPr>
              <w:t>≥</w:t>
            </w:r>
            <w:r w:rsidR="00757DA9">
              <w:rPr>
                <w:rFonts w:ascii="Times New Roman" w:hAnsi="Times New Roman"/>
                <w:lang w:val="sk-SK"/>
              </w:rPr>
              <w:t xml:space="preserve"> </w:t>
            </w:r>
            <w:r w:rsidRPr="001E0058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>1/1</w:t>
            </w:r>
            <w:r w:rsidR="00757DA9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 xml:space="preserve"> </w:t>
            </w:r>
            <w:r w:rsidRPr="001E0058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>000 a</w:t>
            </w:r>
            <w:r w:rsidR="00B62ACE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>ž</w:t>
            </w:r>
          </w:p>
          <w:p w14:paraId="73E36247" w14:textId="0FE06E04" w:rsidR="00B76076" w:rsidRPr="001E0058" w:rsidRDefault="00B76076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>&lt;</w:t>
            </w:r>
            <w:r w:rsidR="00757DA9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 xml:space="preserve"> </w:t>
            </w:r>
            <w:r w:rsidRPr="001E0058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>1/100)</w:t>
            </w:r>
          </w:p>
        </w:tc>
        <w:tc>
          <w:tcPr>
            <w:tcW w:w="2359" w:type="dxa"/>
            <w:vAlign w:val="center"/>
          </w:tcPr>
          <w:p w14:paraId="037B1439" w14:textId="77777777" w:rsidR="00F3091B" w:rsidRPr="001E0058" w:rsidRDefault="00F3091B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,Bold" w:hAnsi="Times New Roman"/>
                <w:b/>
                <w:bCs/>
                <w:lang w:val="sk-SK"/>
              </w:rPr>
              <w:t>Zriedkavé</w:t>
            </w:r>
          </w:p>
          <w:p w14:paraId="753E3E11" w14:textId="22889855" w:rsidR="00B76076" w:rsidRPr="001E0058" w:rsidRDefault="00B76076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,Bold" w:hAnsi="Times New Roman"/>
                <w:b/>
                <w:bCs/>
                <w:lang w:val="sk-SK"/>
              </w:rPr>
              <w:t xml:space="preserve"> </w:t>
            </w:r>
            <w:r w:rsidRPr="001E0058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>(</w:t>
            </w:r>
            <w:r w:rsidR="002E04D6" w:rsidRPr="001E0058">
              <w:rPr>
                <w:rFonts w:ascii="Times New Roman" w:hAnsi="Times New Roman"/>
                <w:lang w:val="sk-SK"/>
              </w:rPr>
              <w:t>≥</w:t>
            </w:r>
            <w:r w:rsidRPr="001E0058">
              <w:rPr>
                <w:rFonts w:ascii="Times New Roman" w:eastAsia="TimesNewRoman,Bold" w:hAnsi="Times New Roman"/>
                <w:lang w:val="sk-SK"/>
              </w:rPr>
              <w:t xml:space="preserve"> </w:t>
            </w:r>
            <w:r w:rsidRPr="001E0058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>1/10</w:t>
            </w:r>
            <w:r w:rsidR="00757DA9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 xml:space="preserve"> </w:t>
            </w:r>
            <w:r w:rsidRPr="001E0058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>000 a</w:t>
            </w:r>
            <w:r w:rsidR="00B62ACE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>ž</w:t>
            </w:r>
            <w:r w:rsidRPr="001E0058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 xml:space="preserve"> &lt;</w:t>
            </w:r>
            <w:r w:rsidR="00757DA9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 xml:space="preserve"> </w:t>
            </w:r>
            <w:r w:rsidRPr="001E0058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>1/1</w:t>
            </w:r>
            <w:r w:rsidR="00757DA9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 xml:space="preserve"> </w:t>
            </w:r>
            <w:r w:rsidRPr="001E0058">
              <w:rPr>
                <w:rFonts w:ascii="Times New Roman" w:eastAsia="TimesNewRoman,Bold" w:hAnsi="Times New Roman"/>
                <w:b/>
                <w:bCs/>
                <w:i/>
                <w:iCs/>
                <w:lang w:val="sk-SK"/>
              </w:rPr>
              <w:t>000</w:t>
            </w:r>
          </w:p>
        </w:tc>
      </w:tr>
      <w:tr w:rsidR="00B76076" w:rsidRPr="001E0058" w14:paraId="5C34B7F4" w14:textId="77777777" w:rsidTr="008363CD">
        <w:tc>
          <w:tcPr>
            <w:tcW w:w="1727" w:type="dxa"/>
            <w:vAlign w:val="center"/>
          </w:tcPr>
          <w:p w14:paraId="63883745" w14:textId="5EB475CE" w:rsidR="000F7D64" w:rsidRPr="001E0058" w:rsidRDefault="000F7D64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Infekcie a</w:t>
            </w:r>
          </w:p>
          <w:p w14:paraId="01FFE70F" w14:textId="7BBD4D78" w:rsidR="00B76076" w:rsidRPr="001E0058" w:rsidRDefault="000F7D64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nákazy</w:t>
            </w:r>
          </w:p>
        </w:tc>
        <w:tc>
          <w:tcPr>
            <w:tcW w:w="1724" w:type="dxa"/>
            <w:vAlign w:val="center"/>
          </w:tcPr>
          <w:p w14:paraId="514FD9BA" w14:textId="77777777" w:rsidR="00B76076" w:rsidRPr="001E0058" w:rsidRDefault="00B76076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7" w:type="dxa"/>
            <w:vAlign w:val="center"/>
          </w:tcPr>
          <w:p w14:paraId="7F60A603" w14:textId="77777777" w:rsidR="00B76076" w:rsidRPr="001E0058" w:rsidRDefault="00B76076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8" w:type="dxa"/>
            <w:vAlign w:val="center"/>
          </w:tcPr>
          <w:p w14:paraId="39CDB215" w14:textId="654C83FA" w:rsidR="00B76076" w:rsidRPr="001E0058" w:rsidRDefault="000F7D64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rinitída</w:t>
            </w:r>
            <w:proofErr w:type="spellEnd"/>
          </w:p>
        </w:tc>
        <w:tc>
          <w:tcPr>
            <w:tcW w:w="2359" w:type="dxa"/>
            <w:vAlign w:val="center"/>
          </w:tcPr>
          <w:p w14:paraId="2335A62C" w14:textId="77777777" w:rsidR="00B76076" w:rsidRPr="001E0058" w:rsidRDefault="00B76076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</w:tr>
      <w:tr w:rsidR="00B76076" w:rsidRPr="001E0058" w14:paraId="59F72360" w14:textId="77777777" w:rsidTr="008363CD">
        <w:tc>
          <w:tcPr>
            <w:tcW w:w="1727" w:type="dxa"/>
            <w:vAlign w:val="center"/>
          </w:tcPr>
          <w:p w14:paraId="6178EA8C" w14:textId="77777777" w:rsidR="00FB0A80" w:rsidRPr="001E0058" w:rsidRDefault="00FB0A80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Poruchy</w:t>
            </w:r>
          </w:p>
          <w:p w14:paraId="6D8200E7" w14:textId="76CAE23C" w:rsidR="00B76076" w:rsidRPr="001E0058" w:rsidRDefault="00FB0A80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imunitného systému</w:t>
            </w:r>
          </w:p>
        </w:tc>
        <w:tc>
          <w:tcPr>
            <w:tcW w:w="1724" w:type="dxa"/>
            <w:vAlign w:val="center"/>
          </w:tcPr>
          <w:p w14:paraId="2F698206" w14:textId="77777777" w:rsidR="00B76076" w:rsidRPr="001E0058" w:rsidRDefault="00B76076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7" w:type="dxa"/>
            <w:vAlign w:val="center"/>
          </w:tcPr>
          <w:p w14:paraId="7DADED6D" w14:textId="77777777" w:rsidR="00B76076" w:rsidRPr="001E0058" w:rsidRDefault="00B76076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8" w:type="dxa"/>
            <w:vAlign w:val="center"/>
          </w:tcPr>
          <w:p w14:paraId="147A7938" w14:textId="526E4AA9" w:rsidR="00B76076" w:rsidRPr="001E0058" w:rsidRDefault="00FB0A80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precitlivenosť</w:t>
            </w:r>
          </w:p>
        </w:tc>
        <w:tc>
          <w:tcPr>
            <w:tcW w:w="2359" w:type="dxa"/>
            <w:vAlign w:val="center"/>
          </w:tcPr>
          <w:p w14:paraId="39890E52" w14:textId="77777777" w:rsidR="00B76076" w:rsidRPr="001E0058" w:rsidRDefault="00B76076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</w:tr>
      <w:tr w:rsidR="00B76076" w:rsidRPr="001000AC" w14:paraId="54374B05" w14:textId="77777777" w:rsidTr="008363CD">
        <w:tc>
          <w:tcPr>
            <w:tcW w:w="1727" w:type="dxa"/>
            <w:vAlign w:val="center"/>
          </w:tcPr>
          <w:p w14:paraId="1E7C8DBC" w14:textId="77777777" w:rsidR="00FB0A80" w:rsidRPr="001E0058" w:rsidRDefault="00FB0A80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Poruchy</w:t>
            </w:r>
          </w:p>
          <w:p w14:paraId="7914ED91" w14:textId="2B561A33" w:rsidR="00B76076" w:rsidRPr="001E0058" w:rsidRDefault="00FB0A80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nervového systému</w:t>
            </w:r>
          </w:p>
        </w:tc>
        <w:tc>
          <w:tcPr>
            <w:tcW w:w="1724" w:type="dxa"/>
            <w:vAlign w:val="center"/>
          </w:tcPr>
          <w:p w14:paraId="180AEAAB" w14:textId="091CF02C" w:rsidR="00FB0A80" w:rsidRPr="001E0058" w:rsidRDefault="00FB0A80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bolesť</w:t>
            </w:r>
          </w:p>
          <w:p w14:paraId="32EACFC2" w14:textId="75D96986" w:rsidR="00B76076" w:rsidRPr="001E0058" w:rsidRDefault="00FB0A80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hlavy</w:t>
            </w:r>
          </w:p>
        </w:tc>
        <w:tc>
          <w:tcPr>
            <w:tcW w:w="1727" w:type="dxa"/>
            <w:vAlign w:val="center"/>
          </w:tcPr>
          <w:p w14:paraId="75311785" w14:textId="02759406" w:rsidR="00B76076" w:rsidRPr="001E0058" w:rsidRDefault="00FB0A80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závrat</w:t>
            </w:r>
          </w:p>
        </w:tc>
        <w:tc>
          <w:tcPr>
            <w:tcW w:w="1728" w:type="dxa"/>
            <w:vAlign w:val="center"/>
          </w:tcPr>
          <w:p w14:paraId="727727C6" w14:textId="6B1A2002" w:rsidR="00FB0A80" w:rsidRPr="001E0058" w:rsidRDefault="00757DA9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proofErr w:type="spellStart"/>
            <w:r>
              <w:rPr>
                <w:rFonts w:ascii="Times New Roman" w:eastAsia="TimesNewRoman" w:hAnsi="Times New Roman"/>
                <w:lang w:val="sk-SK"/>
              </w:rPr>
              <w:t>somnolencia</w:t>
            </w:r>
            <w:proofErr w:type="spellEnd"/>
            <w:r w:rsidR="00FB0A80" w:rsidRPr="001E0058">
              <w:rPr>
                <w:rFonts w:ascii="Times New Roman" w:eastAsia="TimesNewRoman" w:hAnsi="Times New Roman"/>
                <w:lang w:val="sk-SK"/>
              </w:rPr>
              <w:t>,</w:t>
            </w:r>
          </w:p>
          <w:p w14:paraId="4358EBFE" w14:textId="644ADCF8" w:rsidR="00B76076" w:rsidRPr="001E0058" w:rsidRDefault="00FB0A80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hypestézia</w:t>
            </w:r>
            <w:proofErr w:type="spellEnd"/>
          </w:p>
        </w:tc>
        <w:tc>
          <w:tcPr>
            <w:tcW w:w="2359" w:type="dxa"/>
            <w:vAlign w:val="center"/>
          </w:tcPr>
          <w:p w14:paraId="312B7D4F" w14:textId="5B77ABAC" w:rsidR="00FB0A80" w:rsidRPr="001E0058" w:rsidRDefault="00FB0A80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cerebrovaskulárna</w:t>
            </w:r>
            <w:proofErr w:type="spellEnd"/>
            <w:r w:rsidRPr="001E0058">
              <w:rPr>
                <w:rFonts w:ascii="Times New Roman" w:eastAsia="TimesNewRoman" w:hAnsi="Times New Roman"/>
                <w:lang w:val="sk-SK"/>
              </w:rPr>
              <w:t xml:space="preserve"> príhoda,</w:t>
            </w:r>
          </w:p>
          <w:p w14:paraId="66E0AC1A" w14:textId="437158BA" w:rsidR="00B76076" w:rsidRPr="001E0058" w:rsidRDefault="00FB0A80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tranzitórny</w:t>
            </w:r>
            <w:proofErr w:type="spellEnd"/>
            <w:r w:rsidRPr="001E0058">
              <w:rPr>
                <w:rFonts w:ascii="Times New Roman" w:eastAsia="TimesNewRoman" w:hAnsi="Times New Roman"/>
                <w:lang w:val="sk-SK"/>
              </w:rPr>
              <w:t xml:space="preserve"> ischemický atak, záchvat,* opätovný výskyt záchvatov,* synkopa</w:t>
            </w:r>
          </w:p>
        </w:tc>
      </w:tr>
      <w:tr w:rsidR="00B76076" w:rsidRPr="001E0058" w14:paraId="3555C2D0" w14:textId="77777777" w:rsidTr="008363CD">
        <w:tc>
          <w:tcPr>
            <w:tcW w:w="1727" w:type="dxa"/>
            <w:vAlign w:val="center"/>
          </w:tcPr>
          <w:p w14:paraId="6845D608" w14:textId="0588095E" w:rsidR="00B76076" w:rsidRPr="001E0058" w:rsidRDefault="00A221F7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 New Roman" w:hAnsi="Times New Roman"/>
                <w:lang w:val="sk-SK"/>
              </w:rPr>
              <w:t>Poruchy</w:t>
            </w:r>
            <w:r w:rsidRPr="001E0058">
              <w:rPr>
                <w:rFonts w:ascii="Times New Roman" w:eastAsia="Times New Roman" w:hAnsi="Times New Roman"/>
                <w:spacing w:val="-1"/>
                <w:lang w:val="sk-SK"/>
              </w:rPr>
              <w:t xml:space="preserve"> </w:t>
            </w:r>
            <w:r w:rsidRPr="001E0058">
              <w:rPr>
                <w:rFonts w:ascii="Times New Roman" w:eastAsia="Times New Roman" w:hAnsi="Times New Roman"/>
                <w:lang w:val="sk-SK"/>
              </w:rPr>
              <w:t>oka</w:t>
            </w:r>
          </w:p>
        </w:tc>
        <w:tc>
          <w:tcPr>
            <w:tcW w:w="1724" w:type="dxa"/>
            <w:vAlign w:val="center"/>
          </w:tcPr>
          <w:p w14:paraId="5A30DB3A" w14:textId="77777777" w:rsidR="00B76076" w:rsidRPr="001E0058" w:rsidRDefault="00B76076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7" w:type="dxa"/>
            <w:vAlign w:val="center"/>
          </w:tcPr>
          <w:p w14:paraId="34D01A39" w14:textId="77777777" w:rsidR="00A221F7" w:rsidRPr="001E0058" w:rsidRDefault="00A221F7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poruchy</w:t>
            </w:r>
          </w:p>
          <w:p w14:paraId="1F57369C" w14:textId="21F66366" w:rsidR="00B76076" w:rsidRPr="001E0058" w:rsidRDefault="00A221F7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farebného videnia**, porucha zraku, rozmazané videnie</w:t>
            </w:r>
          </w:p>
        </w:tc>
        <w:tc>
          <w:tcPr>
            <w:tcW w:w="1728" w:type="dxa"/>
            <w:vAlign w:val="center"/>
          </w:tcPr>
          <w:p w14:paraId="110EC92D" w14:textId="77777777" w:rsidR="00A221F7" w:rsidRPr="001E0058" w:rsidRDefault="00A221F7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poruchy</w:t>
            </w:r>
          </w:p>
          <w:p w14:paraId="6FD6BFC8" w14:textId="4A462003" w:rsidR="00B76076" w:rsidRPr="001E0058" w:rsidRDefault="00A221F7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slzenia***,</w:t>
            </w:r>
            <w:r w:rsidR="0002692A" w:rsidRPr="001E0058">
              <w:rPr>
                <w:rFonts w:ascii="Times New Roman" w:eastAsia="TimesNewRoman" w:hAnsi="Times New Roman"/>
                <w:lang w:val="sk-SK"/>
              </w:rPr>
              <w:t xml:space="preserve"> </w:t>
            </w:r>
            <w:r w:rsidRPr="001E0058">
              <w:rPr>
                <w:rFonts w:ascii="Times New Roman" w:eastAsia="TimesNewRoman" w:hAnsi="Times New Roman"/>
                <w:lang w:val="sk-SK"/>
              </w:rPr>
              <w:t xml:space="preserve">bolesť oka, </w:t>
            </w: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fotofóbia</w:t>
            </w:r>
            <w:proofErr w:type="spellEnd"/>
            <w:r w:rsidRPr="001E0058">
              <w:rPr>
                <w:rFonts w:ascii="Times New Roman" w:eastAsia="TimesNewRoman" w:hAnsi="Times New Roman"/>
                <w:lang w:val="sk-SK"/>
              </w:rPr>
              <w:t xml:space="preserve">, </w:t>
            </w: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fotopsia</w:t>
            </w:r>
            <w:proofErr w:type="spellEnd"/>
            <w:r w:rsidRPr="001E0058">
              <w:rPr>
                <w:rFonts w:ascii="Times New Roman" w:eastAsia="TimesNewRoman" w:hAnsi="Times New Roman"/>
                <w:lang w:val="sk-SK"/>
              </w:rPr>
              <w:t xml:space="preserve">, </w:t>
            </w: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hyperémia</w:t>
            </w:r>
            <w:proofErr w:type="spellEnd"/>
            <w:r w:rsidRPr="001E0058">
              <w:rPr>
                <w:rFonts w:ascii="Times New Roman" w:eastAsia="TimesNewRoman" w:hAnsi="Times New Roman"/>
                <w:lang w:val="sk-SK"/>
              </w:rPr>
              <w:t xml:space="preserve"> oka, </w:t>
            </w:r>
            <w:r w:rsidRPr="00336FB0">
              <w:rPr>
                <w:rFonts w:ascii="Times New Roman" w:eastAsia="TimesNewRoman" w:hAnsi="Times New Roman"/>
                <w:lang w:val="sk-SK"/>
              </w:rPr>
              <w:t>porucha jasného videnia,</w:t>
            </w:r>
            <w:r w:rsidRPr="001E0058">
              <w:rPr>
                <w:rFonts w:ascii="Times New Roman" w:eastAsia="TimesNewRoman" w:hAnsi="Times New Roman"/>
                <w:lang w:val="sk-SK"/>
              </w:rPr>
              <w:t xml:space="preserve"> </w:t>
            </w: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konjunktivitída</w:t>
            </w:r>
            <w:proofErr w:type="spellEnd"/>
          </w:p>
        </w:tc>
        <w:tc>
          <w:tcPr>
            <w:tcW w:w="2359" w:type="dxa"/>
            <w:vAlign w:val="center"/>
          </w:tcPr>
          <w:p w14:paraId="163E41B5" w14:textId="5CF3FF38" w:rsidR="0002692A" w:rsidRPr="001E0058" w:rsidRDefault="0002692A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Cs/>
                <w:lang w:val="sk-SK"/>
              </w:rPr>
            </w:pPr>
            <w:proofErr w:type="spellStart"/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>nearteritická</w:t>
            </w:r>
            <w:proofErr w:type="spellEnd"/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 xml:space="preserve"> predná</w:t>
            </w:r>
            <w:r w:rsidR="00FC3185">
              <w:rPr>
                <w:rFonts w:ascii="Times New Roman" w:eastAsia="TimesNewRoman,Bold" w:hAnsi="Times New Roman"/>
                <w:bCs/>
                <w:lang w:val="sk-SK"/>
              </w:rPr>
              <w:t xml:space="preserve"> </w:t>
            </w:r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 xml:space="preserve">ischemická </w:t>
            </w:r>
            <w:proofErr w:type="spellStart"/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>neuropatia</w:t>
            </w:r>
            <w:proofErr w:type="spellEnd"/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 xml:space="preserve"> zrakového nervu (NAION)</w:t>
            </w:r>
            <w:r w:rsidR="00C828B8" w:rsidRPr="001E0058">
              <w:rPr>
                <w:rFonts w:ascii="Times New Roman" w:eastAsia="TimesNewRoman,Bold" w:hAnsi="Times New Roman"/>
                <w:bCs/>
                <w:lang w:val="sk-SK"/>
              </w:rPr>
              <w:t>,</w:t>
            </w:r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>*</w:t>
            </w:r>
            <w:r w:rsidR="00C828B8" w:rsidRPr="001E0058">
              <w:rPr>
                <w:rFonts w:ascii="Times New Roman" w:eastAsia="TimesNewRoman,Bold" w:hAnsi="Times New Roman"/>
                <w:bCs/>
                <w:lang w:val="sk-SK"/>
              </w:rPr>
              <w:t xml:space="preserve"> </w:t>
            </w:r>
            <w:proofErr w:type="spellStart"/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>oklúzia</w:t>
            </w:r>
            <w:proofErr w:type="spellEnd"/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 xml:space="preserve"> ciev sietnice</w:t>
            </w:r>
            <w:r w:rsidR="00C828B8" w:rsidRPr="001E0058">
              <w:rPr>
                <w:rFonts w:ascii="Times New Roman" w:eastAsia="TimesNewRoman,Bold" w:hAnsi="Times New Roman"/>
                <w:bCs/>
                <w:lang w:val="sk-SK"/>
              </w:rPr>
              <w:t>,</w:t>
            </w:r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>*</w:t>
            </w:r>
            <w:r w:rsidR="00C828B8" w:rsidRPr="001E0058">
              <w:rPr>
                <w:rFonts w:ascii="Times New Roman" w:eastAsia="TimesNewRoman,Bold" w:hAnsi="Times New Roman"/>
                <w:bCs/>
                <w:lang w:val="sk-SK"/>
              </w:rPr>
              <w:t xml:space="preserve"> </w:t>
            </w:r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>krvácanie sietnice, artériosklerotická</w:t>
            </w:r>
            <w:r w:rsidR="002F0B37">
              <w:rPr>
                <w:rFonts w:ascii="Times New Roman" w:eastAsia="TimesNewRoman,Bold" w:hAnsi="Times New Roman"/>
                <w:bCs/>
                <w:lang w:val="sk-SK"/>
              </w:rPr>
              <w:t xml:space="preserve"> </w:t>
            </w:r>
            <w:proofErr w:type="spellStart"/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>retinopatia</w:t>
            </w:r>
            <w:proofErr w:type="spellEnd"/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>, porucha sietnice, glaukóm, porucha zorn</w:t>
            </w:r>
            <w:r w:rsidR="00757DA9">
              <w:rPr>
                <w:rFonts w:ascii="Times New Roman" w:eastAsia="TimesNewRoman,Bold" w:hAnsi="Times New Roman"/>
                <w:bCs/>
                <w:lang w:val="sk-SK"/>
              </w:rPr>
              <w:t>ého</w:t>
            </w:r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 xml:space="preserve"> po</w:t>
            </w:r>
            <w:r w:rsidR="00757DA9">
              <w:rPr>
                <w:rFonts w:ascii="Times New Roman" w:eastAsia="TimesNewRoman,Bold" w:hAnsi="Times New Roman"/>
                <w:bCs/>
                <w:lang w:val="sk-SK"/>
              </w:rPr>
              <w:t>ľa</w:t>
            </w:r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 xml:space="preserve">, </w:t>
            </w:r>
            <w:proofErr w:type="spellStart"/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>diplopia</w:t>
            </w:r>
            <w:proofErr w:type="spellEnd"/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>, znížená</w:t>
            </w:r>
            <w:r w:rsidR="002F0B37">
              <w:rPr>
                <w:rFonts w:ascii="Times New Roman" w:eastAsia="TimesNewRoman,Bold" w:hAnsi="Times New Roman"/>
                <w:bCs/>
                <w:lang w:val="sk-SK"/>
              </w:rPr>
              <w:t xml:space="preserve"> </w:t>
            </w:r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 xml:space="preserve">ostrosť zraku, </w:t>
            </w:r>
            <w:proofErr w:type="spellStart"/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>myopia</w:t>
            </w:r>
            <w:proofErr w:type="spellEnd"/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 xml:space="preserve">, </w:t>
            </w:r>
            <w:proofErr w:type="spellStart"/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>astenopia</w:t>
            </w:r>
            <w:proofErr w:type="spellEnd"/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 xml:space="preserve">, </w:t>
            </w:r>
            <w:r w:rsidR="00757DA9">
              <w:rPr>
                <w:rFonts w:ascii="Times New Roman" w:eastAsia="TimesNewRoman,Bold" w:hAnsi="Times New Roman"/>
                <w:bCs/>
                <w:lang w:val="sk-SK"/>
              </w:rPr>
              <w:t xml:space="preserve">zákal </w:t>
            </w:r>
            <w:proofErr w:type="spellStart"/>
            <w:r w:rsidR="00757DA9">
              <w:rPr>
                <w:rFonts w:ascii="Times New Roman" w:eastAsia="TimesNewRoman,Bold" w:hAnsi="Times New Roman"/>
                <w:bCs/>
                <w:lang w:val="sk-SK"/>
              </w:rPr>
              <w:t>sklovca</w:t>
            </w:r>
            <w:proofErr w:type="spellEnd"/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>,</w:t>
            </w:r>
          </w:p>
          <w:p w14:paraId="6D6B6CB5" w14:textId="00971713" w:rsidR="0002692A" w:rsidRPr="001E0058" w:rsidRDefault="0002692A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Cs/>
                <w:lang w:val="sk-SK"/>
              </w:rPr>
            </w:pPr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 xml:space="preserve">porucha dúhovky, </w:t>
            </w:r>
            <w:proofErr w:type="spellStart"/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>mydriáza</w:t>
            </w:r>
            <w:proofErr w:type="spellEnd"/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>, videnie žiary</w:t>
            </w:r>
            <w:r w:rsidR="00757DA9">
              <w:rPr>
                <w:rFonts w:ascii="Times New Roman" w:eastAsia="TimesNewRoman,Bold" w:hAnsi="Times New Roman"/>
                <w:bCs/>
                <w:lang w:val="sk-SK"/>
              </w:rPr>
              <w:t xml:space="preserve"> (haló efekt)</w:t>
            </w:r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>, edém oka,</w:t>
            </w:r>
          </w:p>
          <w:p w14:paraId="36DC0599" w14:textId="3333D265" w:rsidR="0002692A" w:rsidRPr="001E0058" w:rsidRDefault="0002692A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Cs/>
                <w:lang w:val="sk-SK"/>
              </w:rPr>
            </w:pPr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 xml:space="preserve">opuch oka, porucha oka, </w:t>
            </w:r>
            <w:proofErr w:type="spellStart"/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>hyperémia</w:t>
            </w:r>
            <w:proofErr w:type="spellEnd"/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 xml:space="preserve"> spojoviek, podráždenie oka,</w:t>
            </w:r>
            <w:r w:rsidR="00FC3185">
              <w:rPr>
                <w:rFonts w:ascii="Times New Roman" w:eastAsia="TimesNewRoman,Bold" w:hAnsi="Times New Roman"/>
                <w:bCs/>
                <w:lang w:val="sk-SK"/>
              </w:rPr>
              <w:t xml:space="preserve"> </w:t>
            </w:r>
            <w:r w:rsidR="00757DA9">
              <w:rPr>
                <w:rFonts w:ascii="Times New Roman" w:eastAsia="TimesNewRoman,Bold" w:hAnsi="Times New Roman"/>
                <w:bCs/>
                <w:lang w:val="sk-SK"/>
              </w:rPr>
              <w:t>nezvyčajný</w:t>
            </w:r>
            <w:r w:rsidR="00757DA9" w:rsidRPr="001E0058">
              <w:rPr>
                <w:rFonts w:ascii="Times New Roman" w:eastAsia="TimesNewRoman,Bold" w:hAnsi="Times New Roman"/>
                <w:bCs/>
                <w:lang w:val="sk-SK"/>
              </w:rPr>
              <w:t xml:space="preserve"> </w:t>
            </w:r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 xml:space="preserve">pocit v oku, </w:t>
            </w:r>
            <w:r w:rsidR="00757DA9">
              <w:rPr>
                <w:rFonts w:ascii="Times New Roman" w:eastAsia="TimesNewRoman,Bold" w:hAnsi="Times New Roman"/>
                <w:bCs/>
                <w:lang w:val="sk-SK"/>
              </w:rPr>
              <w:t>opuch</w:t>
            </w:r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 xml:space="preserve"> očného viečka, zmena</w:t>
            </w:r>
          </w:p>
          <w:p w14:paraId="1C8855F1" w14:textId="31CF993F" w:rsidR="00B76076" w:rsidRPr="001E0058" w:rsidRDefault="0002692A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Cs/>
                <w:lang w:val="sk-SK"/>
              </w:rPr>
            </w:pPr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>zafarbenia bielka</w:t>
            </w:r>
          </w:p>
        </w:tc>
      </w:tr>
      <w:tr w:rsidR="00B76076" w:rsidRPr="001E0058" w14:paraId="17A090CF" w14:textId="77777777" w:rsidTr="008363CD">
        <w:tc>
          <w:tcPr>
            <w:tcW w:w="1727" w:type="dxa"/>
            <w:vAlign w:val="center"/>
          </w:tcPr>
          <w:p w14:paraId="6FC033EC" w14:textId="77777777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Poruchy ucha a</w:t>
            </w:r>
          </w:p>
          <w:p w14:paraId="16DEB5F5" w14:textId="3B94DFC4" w:rsidR="00B76076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labyrintu</w:t>
            </w:r>
          </w:p>
        </w:tc>
        <w:tc>
          <w:tcPr>
            <w:tcW w:w="1724" w:type="dxa"/>
            <w:vAlign w:val="center"/>
          </w:tcPr>
          <w:p w14:paraId="78F73451" w14:textId="77777777" w:rsidR="00B76076" w:rsidRPr="001E0058" w:rsidRDefault="00B76076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7" w:type="dxa"/>
            <w:vAlign w:val="center"/>
          </w:tcPr>
          <w:p w14:paraId="3E9F1018" w14:textId="77777777" w:rsidR="00B76076" w:rsidRPr="001E0058" w:rsidRDefault="00B76076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8" w:type="dxa"/>
            <w:vAlign w:val="center"/>
          </w:tcPr>
          <w:p w14:paraId="77394E8B" w14:textId="689F5F2F" w:rsidR="00B76076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vertigo</w:t>
            </w:r>
            <w:proofErr w:type="spellEnd"/>
            <w:r w:rsidRPr="001E0058">
              <w:rPr>
                <w:rFonts w:ascii="Times New Roman" w:eastAsia="TimesNewRoman" w:hAnsi="Times New Roman"/>
                <w:lang w:val="sk-SK"/>
              </w:rPr>
              <w:t xml:space="preserve">, </w:t>
            </w: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tinitus</w:t>
            </w:r>
            <w:proofErr w:type="spellEnd"/>
          </w:p>
        </w:tc>
        <w:tc>
          <w:tcPr>
            <w:tcW w:w="2359" w:type="dxa"/>
            <w:vAlign w:val="center"/>
          </w:tcPr>
          <w:p w14:paraId="6C8724ED" w14:textId="4B064240" w:rsidR="00B76076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Cs/>
                <w:lang w:val="sk-SK"/>
              </w:rPr>
            </w:pPr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>hluchota</w:t>
            </w:r>
          </w:p>
        </w:tc>
      </w:tr>
      <w:tr w:rsidR="00B76076" w:rsidRPr="001E0058" w14:paraId="29FEC783" w14:textId="77777777" w:rsidTr="008363CD">
        <w:tc>
          <w:tcPr>
            <w:tcW w:w="1727" w:type="dxa"/>
            <w:vAlign w:val="center"/>
          </w:tcPr>
          <w:p w14:paraId="3C924213" w14:textId="77777777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Poruchy srdca a</w:t>
            </w:r>
          </w:p>
          <w:p w14:paraId="05E020A8" w14:textId="51FD9E94" w:rsidR="00B76076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srdcovej činnosti</w:t>
            </w:r>
          </w:p>
        </w:tc>
        <w:tc>
          <w:tcPr>
            <w:tcW w:w="1724" w:type="dxa"/>
            <w:vAlign w:val="center"/>
          </w:tcPr>
          <w:p w14:paraId="02517D24" w14:textId="77777777" w:rsidR="00B76076" w:rsidRPr="001E0058" w:rsidRDefault="00B76076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7" w:type="dxa"/>
            <w:vAlign w:val="center"/>
          </w:tcPr>
          <w:p w14:paraId="0B3A72B9" w14:textId="77777777" w:rsidR="00B76076" w:rsidRPr="001E0058" w:rsidRDefault="00B76076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8" w:type="dxa"/>
            <w:vAlign w:val="center"/>
          </w:tcPr>
          <w:p w14:paraId="7BBE8283" w14:textId="77777777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Cs/>
                <w:lang w:val="sk-SK"/>
              </w:rPr>
            </w:pPr>
            <w:proofErr w:type="spellStart"/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>tachykardia</w:t>
            </w:r>
            <w:proofErr w:type="spellEnd"/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>,</w:t>
            </w:r>
          </w:p>
          <w:p w14:paraId="5C4FCFDE" w14:textId="56A1C5FD" w:rsidR="00B76076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Cs/>
                <w:lang w:val="sk-SK"/>
              </w:rPr>
            </w:pPr>
            <w:r w:rsidRPr="001E0058">
              <w:rPr>
                <w:rFonts w:ascii="Times New Roman" w:eastAsia="TimesNewRoman,Bold" w:hAnsi="Times New Roman"/>
                <w:bCs/>
                <w:lang w:val="sk-SK"/>
              </w:rPr>
              <w:t>palpitácie</w:t>
            </w:r>
          </w:p>
        </w:tc>
        <w:tc>
          <w:tcPr>
            <w:tcW w:w="2359" w:type="dxa"/>
            <w:vAlign w:val="center"/>
          </w:tcPr>
          <w:p w14:paraId="7CE64C01" w14:textId="022A7FA5" w:rsidR="00B76076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 xml:space="preserve">náhla srdcová smrť,* infarkt myokardu, </w:t>
            </w:r>
            <w:proofErr w:type="spellStart"/>
            <w:r w:rsidR="002F0B37">
              <w:rPr>
                <w:rFonts w:ascii="Times New Roman" w:eastAsia="TimesNewRoman" w:hAnsi="Times New Roman"/>
                <w:lang w:val="sk-SK"/>
              </w:rPr>
              <w:t>ventrikulárna</w:t>
            </w:r>
            <w:proofErr w:type="spellEnd"/>
            <w:r w:rsidR="002F0B37">
              <w:rPr>
                <w:rFonts w:ascii="Times New Roman" w:eastAsia="TimesNewRoman" w:hAnsi="Times New Roman"/>
                <w:lang w:val="sk-SK"/>
              </w:rPr>
              <w:t xml:space="preserve"> </w:t>
            </w: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arytmia</w:t>
            </w:r>
            <w:proofErr w:type="spellEnd"/>
            <w:r w:rsidRPr="001E0058">
              <w:rPr>
                <w:rFonts w:ascii="Times New Roman" w:eastAsia="TimesNewRoman" w:hAnsi="Times New Roman"/>
                <w:lang w:val="sk-SK"/>
              </w:rPr>
              <w:t xml:space="preserve">,* </w:t>
            </w:r>
            <w:proofErr w:type="spellStart"/>
            <w:r w:rsidR="00FC3185">
              <w:rPr>
                <w:rFonts w:ascii="Times New Roman" w:eastAsia="TimesNewRoman" w:hAnsi="Times New Roman"/>
                <w:lang w:val="sk-SK"/>
              </w:rPr>
              <w:t>atriálna</w:t>
            </w:r>
            <w:proofErr w:type="spellEnd"/>
            <w:r w:rsidR="00FC3185">
              <w:rPr>
                <w:rFonts w:ascii="Times New Roman" w:eastAsia="TimesNewRoman" w:hAnsi="Times New Roman"/>
                <w:lang w:val="sk-SK"/>
              </w:rPr>
              <w:t xml:space="preserve"> </w:t>
            </w: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fibrilácia</w:t>
            </w:r>
            <w:proofErr w:type="spellEnd"/>
            <w:r w:rsidRPr="001E0058">
              <w:rPr>
                <w:rFonts w:ascii="Times New Roman" w:eastAsia="TimesNewRoman" w:hAnsi="Times New Roman"/>
                <w:lang w:val="sk-SK"/>
              </w:rPr>
              <w:t xml:space="preserve">, nestabilná </w:t>
            </w:r>
            <w:proofErr w:type="spellStart"/>
            <w:r w:rsidRPr="00097C3B">
              <w:rPr>
                <w:rFonts w:ascii="Times New Roman" w:eastAsia="TimesNewRoman" w:hAnsi="Times New Roman"/>
                <w:i/>
                <w:lang w:val="sk-SK"/>
              </w:rPr>
              <w:t>angina</w:t>
            </w:r>
            <w:proofErr w:type="spellEnd"/>
            <w:r w:rsidRPr="00097C3B">
              <w:rPr>
                <w:rFonts w:ascii="Times New Roman" w:eastAsia="TimesNewRoman" w:hAnsi="Times New Roman"/>
                <w:i/>
                <w:lang w:val="sk-SK"/>
              </w:rPr>
              <w:t xml:space="preserve"> </w:t>
            </w:r>
            <w:proofErr w:type="spellStart"/>
            <w:r w:rsidRPr="00097C3B">
              <w:rPr>
                <w:rFonts w:ascii="Times New Roman" w:eastAsia="TimesNewRoman" w:hAnsi="Times New Roman"/>
                <w:i/>
                <w:lang w:val="sk-SK"/>
              </w:rPr>
              <w:t>pectoris</w:t>
            </w:r>
            <w:proofErr w:type="spellEnd"/>
          </w:p>
        </w:tc>
      </w:tr>
      <w:tr w:rsidR="00A14F0D" w:rsidRPr="001E0058" w14:paraId="68DEA581" w14:textId="77777777" w:rsidTr="008363CD">
        <w:tc>
          <w:tcPr>
            <w:tcW w:w="1727" w:type="dxa"/>
          </w:tcPr>
          <w:p w14:paraId="2E38BDE3" w14:textId="42D82158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 New Roman" w:hAnsi="Times New Roman"/>
                <w:lang w:val="sk-SK"/>
              </w:rPr>
              <w:t>Poruchy ciev</w:t>
            </w:r>
          </w:p>
        </w:tc>
        <w:tc>
          <w:tcPr>
            <w:tcW w:w="1724" w:type="dxa"/>
            <w:vAlign w:val="center"/>
          </w:tcPr>
          <w:p w14:paraId="51D98A60" w14:textId="77777777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7" w:type="dxa"/>
            <w:vAlign w:val="center"/>
          </w:tcPr>
          <w:p w14:paraId="16771EA1" w14:textId="336F8E65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sčerven</w:t>
            </w:r>
            <w:r w:rsidR="00757DA9">
              <w:rPr>
                <w:rFonts w:ascii="Times New Roman" w:eastAsia="TimesNewRoman" w:hAnsi="Times New Roman"/>
                <w:lang w:val="sk-SK"/>
              </w:rPr>
              <w:t>e</w:t>
            </w:r>
            <w:r w:rsidRPr="001E0058">
              <w:rPr>
                <w:rFonts w:ascii="Times New Roman" w:eastAsia="TimesNewRoman" w:hAnsi="Times New Roman"/>
                <w:lang w:val="sk-SK"/>
              </w:rPr>
              <w:t>nie,</w:t>
            </w:r>
          </w:p>
          <w:p w14:paraId="219E67B5" w14:textId="72DECCEB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lastRenderedPageBreak/>
              <w:t>návaly horúčavy</w:t>
            </w:r>
          </w:p>
        </w:tc>
        <w:tc>
          <w:tcPr>
            <w:tcW w:w="1728" w:type="dxa"/>
            <w:vAlign w:val="center"/>
          </w:tcPr>
          <w:p w14:paraId="27D9B398" w14:textId="5E98F52C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lastRenderedPageBreak/>
              <w:t>hypertenzia,</w:t>
            </w:r>
          </w:p>
          <w:p w14:paraId="54FD54A2" w14:textId="65CBA2A9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lastRenderedPageBreak/>
              <w:t>hypotenzia</w:t>
            </w:r>
          </w:p>
        </w:tc>
        <w:tc>
          <w:tcPr>
            <w:tcW w:w="2359" w:type="dxa"/>
            <w:vAlign w:val="center"/>
          </w:tcPr>
          <w:p w14:paraId="15A4A871" w14:textId="77777777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</w:tr>
      <w:tr w:rsidR="00A14F0D" w:rsidRPr="001E0058" w14:paraId="49D41515" w14:textId="77777777" w:rsidTr="008363CD">
        <w:tc>
          <w:tcPr>
            <w:tcW w:w="1727" w:type="dxa"/>
            <w:vAlign w:val="center"/>
          </w:tcPr>
          <w:p w14:paraId="587E4A82" w14:textId="77777777" w:rsidR="001B1AB1" w:rsidRPr="001E0058" w:rsidRDefault="001B1AB1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Poruchy</w:t>
            </w:r>
          </w:p>
          <w:p w14:paraId="7FFD4B11" w14:textId="77777777" w:rsidR="001B1AB1" w:rsidRPr="001E0058" w:rsidRDefault="001B1AB1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dýchacej sústavy,</w:t>
            </w:r>
          </w:p>
          <w:p w14:paraId="40803761" w14:textId="3335D652" w:rsidR="00A14F0D" w:rsidRPr="001E0058" w:rsidRDefault="001B1AB1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 xml:space="preserve">hrudníka a </w:t>
            </w: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mediastína</w:t>
            </w:r>
            <w:proofErr w:type="spellEnd"/>
          </w:p>
        </w:tc>
        <w:tc>
          <w:tcPr>
            <w:tcW w:w="1724" w:type="dxa"/>
            <w:vAlign w:val="center"/>
          </w:tcPr>
          <w:p w14:paraId="11D96533" w14:textId="77777777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7" w:type="dxa"/>
            <w:vAlign w:val="center"/>
          </w:tcPr>
          <w:p w14:paraId="3E44CF5D" w14:textId="77777777" w:rsidR="001B1AB1" w:rsidRPr="001E0058" w:rsidRDefault="001B1AB1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nazálna</w:t>
            </w:r>
          </w:p>
          <w:p w14:paraId="5C0C0AA6" w14:textId="70D3EDF0" w:rsidR="00A14F0D" w:rsidRPr="001E0058" w:rsidRDefault="001B1AB1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kongescia</w:t>
            </w:r>
            <w:proofErr w:type="spellEnd"/>
          </w:p>
        </w:tc>
        <w:tc>
          <w:tcPr>
            <w:tcW w:w="1728" w:type="dxa"/>
            <w:vAlign w:val="center"/>
          </w:tcPr>
          <w:p w14:paraId="125C66ED" w14:textId="77777777" w:rsidR="001B1AB1" w:rsidRPr="001E0058" w:rsidRDefault="001B1AB1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epistaxa</w:t>
            </w:r>
            <w:proofErr w:type="spellEnd"/>
            <w:r w:rsidRPr="001E0058">
              <w:rPr>
                <w:rFonts w:ascii="Times New Roman" w:eastAsia="TimesNewRoman" w:hAnsi="Times New Roman"/>
                <w:lang w:val="sk-SK"/>
              </w:rPr>
              <w:t>,</w:t>
            </w:r>
          </w:p>
          <w:p w14:paraId="55017A30" w14:textId="7DE54C9D" w:rsidR="00A14F0D" w:rsidRPr="001E0058" w:rsidRDefault="001B1AB1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 xml:space="preserve">sínusová </w:t>
            </w: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kongescia</w:t>
            </w:r>
            <w:proofErr w:type="spellEnd"/>
          </w:p>
        </w:tc>
        <w:tc>
          <w:tcPr>
            <w:tcW w:w="2359" w:type="dxa"/>
            <w:vAlign w:val="center"/>
          </w:tcPr>
          <w:p w14:paraId="6F0BED87" w14:textId="77777777" w:rsidR="002F0B37" w:rsidRDefault="001B1AB1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 xml:space="preserve">zvieranie hrdla, </w:t>
            </w:r>
          </w:p>
          <w:p w14:paraId="3E905987" w14:textId="37A438AC" w:rsidR="001B1AB1" w:rsidRPr="001E0058" w:rsidRDefault="001B1AB1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opuch nosa,</w:t>
            </w:r>
          </w:p>
          <w:p w14:paraId="34B97541" w14:textId="42C772E0" w:rsidR="00A14F0D" w:rsidRPr="001E0058" w:rsidRDefault="001B1AB1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sucho v nose</w:t>
            </w:r>
          </w:p>
        </w:tc>
      </w:tr>
      <w:tr w:rsidR="00A14F0D" w:rsidRPr="001E0058" w14:paraId="370BA45E" w14:textId="77777777" w:rsidTr="008363CD">
        <w:tc>
          <w:tcPr>
            <w:tcW w:w="1727" w:type="dxa"/>
            <w:vAlign w:val="center"/>
          </w:tcPr>
          <w:p w14:paraId="03EA69CE" w14:textId="77777777" w:rsidR="00C828B8" w:rsidRPr="001E0058" w:rsidRDefault="00C828B8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Poruchy</w:t>
            </w:r>
          </w:p>
          <w:p w14:paraId="683991A1" w14:textId="52E9C519" w:rsidR="00A14F0D" w:rsidRPr="001E0058" w:rsidRDefault="00C828B8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gastrointestinál</w:t>
            </w:r>
            <w:proofErr w:type="spellEnd"/>
            <w:r w:rsidRPr="001E0058">
              <w:rPr>
                <w:rFonts w:ascii="Times New Roman" w:eastAsia="TimesNewRoman" w:hAnsi="Times New Roman"/>
                <w:lang w:val="sk-SK"/>
              </w:rPr>
              <w:t>- neho traktu</w:t>
            </w:r>
          </w:p>
        </w:tc>
        <w:tc>
          <w:tcPr>
            <w:tcW w:w="1724" w:type="dxa"/>
            <w:vAlign w:val="center"/>
          </w:tcPr>
          <w:p w14:paraId="0394C6E0" w14:textId="77777777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7" w:type="dxa"/>
            <w:vAlign w:val="center"/>
          </w:tcPr>
          <w:p w14:paraId="7BD32261" w14:textId="77777777" w:rsidR="00C828B8" w:rsidRPr="001E0058" w:rsidRDefault="00C828B8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nevoľnosť,</w:t>
            </w:r>
          </w:p>
          <w:p w14:paraId="7D9E3CBD" w14:textId="6DDAEEC1" w:rsidR="00A14F0D" w:rsidRPr="001E0058" w:rsidRDefault="00C828B8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dyspepsia</w:t>
            </w:r>
            <w:proofErr w:type="spellEnd"/>
          </w:p>
        </w:tc>
        <w:tc>
          <w:tcPr>
            <w:tcW w:w="1728" w:type="dxa"/>
            <w:vAlign w:val="center"/>
          </w:tcPr>
          <w:p w14:paraId="4F962BB7" w14:textId="77777777" w:rsidR="00C828B8" w:rsidRPr="001E0058" w:rsidRDefault="00C828B8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gastro</w:t>
            </w:r>
            <w:proofErr w:type="spellEnd"/>
            <w:r w:rsidRPr="001E0058">
              <w:rPr>
                <w:rFonts w:ascii="Times New Roman" w:eastAsia="TimesNewRoman" w:hAnsi="Times New Roman"/>
                <w:lang w:val="sk-SK"/>
              </w:rPr>
              <w:t>-</w:t>
            </w:r>
          </w:p>
          <w:p w14:paraId="4F17FA99" w14:textId="4B73DBD7" w:rsidR="00C828B8" w:rsidRPr="001E0058" w:rsidRDefault="00C828B8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ezof</w:t>
            </w:r>
            <w:r w:rsidR="00757DA9">
              <w:rPr>
                <w:rFonts w:ascii="Times New Roman" w:eastAsia="TimesNewRoman" w:hAnsi="Times New Roman"/>
                <w:lang w:val="sk-SK"/>
              </w:rPr>
              <w:t>ágová</w:t>
            </w:r>
            <w:proofErr w:type="spellEnd"/>
            <w:r w:rsidR="002F0B37">
              <w:rPr>
                <w:rFonts w:ascii="Times New Roman" w:eastAsia="TimesNewRoman" w:hAnsi="Times New Roman"/>
                <w:lang w:val="sk-SK"/>
              </w:rPr>
              <w:t xml:space="preserve"> </w:t>
            </w: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reflux</w:t>
            </w:r>
            <w:r w:rsidR="00757DA9">
              <w:rPr>
                <w:rFonts w:ascii="Times New Roman" w:eastAsia="TimesNewRoman" w:hAnsi="Times New Roman"/>
                <w:lang w:val="sk-SK"/>
              </w:rPr>
              <w:t>ová</w:t>
            </w:r>
            <w:proofErr w:type="spellEnd"/>
          </w:p>
          <w:p w14:paraId="65F5A7BB" w14:textId="77777777" w:rsidR="00C828B8" w:rsidRPr="001E0058" w:rsidRDefault="00C828B8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choroba,</w:t>
            </w:r>
          </w:p>
          <w:p w14:paraId="3A8D15CC" w14:textId="1C309D35" w:rsidR="00A14F0D" w:rsidRPr="001E0058" w:rsidRDefault="00C828B8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vracanie, bolesť v hornej časti brucha, sucho v ústach</w:t>
            </w:r>
          </w:p>
        </w:tc>
        <w:tc>
          <w:tcPr>
            <w:tcW w:w="2359" w:type="dxa"/>
            <w:vAlign w:val="center"/>
          </w:tcPr>
          <w:p w14:paraId="518A05C1" w14:textId="36C5A883" w:rsidR="00A14F0D" w:rsidRPr="001E0058" w:rsidRDefault="00C828B8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hypestézia</w:t>
            </w:r>
            <w:proofErr w:type="spellEnd"/>
            <w:r w:rsidRPr="001E0058">
              <w:rPr>
                <w:rFonts w:ascii="Times New Roman" w:eastAsia="TimesNewRoman" w:hAnsi="Times New Roman"/>
                <w:lang w:val="sk-SK"/>
              </w:rPr>
              <w:t xml:space="preserve"> </w:t>
            </w:r>
            <w:r w:rsidR="00757DA9">
              <w:rPr>
                <w:rFonts w:ascii="Times New Roman" w:eastAsia="TimesNewRoman" w:hAnsi="Times New Roman"/>
                <w:lang w:val="sk-SK"/>
              </w:rPr>
              <w:t xml:space="preserve">v </w:t>
            </w:r>
            <w:r w:rsidRPr="001E0058">
              <w:rPr>
                <w:rFonts w:ascii="Times New Roman" w:eastAsia="TimesNewRoman" w:hAnsi="Times New Roman"/>
                <w:lang w:val="sk-SK"/>
              </w:rPr>
              <w:t>úst</w:t>
            </w:r>
            <w:r w:rsidR="00757DA9">
              <w:rPr>
                <w:rFonts w:ascii="Times New Roman" w:eastAsia="TimesNewRoman" w:hAnsi="Times New Roman"/>
                <w:lang w:val="sk-SK"/>
              </w:rPr>
              <w:t>ach</w:t>
            </w:r>
          </w:p>
        </w:tc>
      </w:tr>
      <w:tr w:rsidR="00A14F0D" w:rsidRPr="001E0058" w14:paraId="7B6EC4A8" w14:textId="77777777" w:rsidTr="008363CD">
        <w:tc>
          <w:tcPr>
            <w:tcW w:w="1727" w:type="dxa"/>
            <w:vAlign w:val="center"/>
          </w:tcPr>
          <w:p w14:paraId="226B3885" w14:textId="77777777" w:rsidR="00C828B8" w:rsidRPr="001E0058" w:rsidRDefault="00C828B8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Poruchy kože a</w:t>
            </w:r>
          </w:p>
          <w:p w14:paraId="54AD692A" w14:textId="0663F8D3" w:rsidR="00A14F0D" w:rsidRPr="001E0058" w:rsidRDefault="00C828B8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podkožného tkaniva</w:t>
            </w:r>
          </w:p>
        </w:tc>
        <w:tc>
          <w:tcPr>
            <w:tcW w:w="1724" w:type="dxa"/>
            <w:vAlign w:val="center"/>
          </w:tcPr>
          <w:p w14:paraId="1BA840E2" w14:textId="77777777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7" w:type="dxa"/>
            <w:vAlign w:val="center"/>
          </w:tcPr>
          <w:p w14:paraId="20CDE2AA" w14:textId="77777777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8" w:type="dxa"/>
            <w:vAlign w:val="center"/>
          </w:tcPr>
          <w:p w14:paraId="157D4EF4" w14:textId="6DD59AFC" w:rsidR="00A14F0D" w:rsidRPr="001E0058" w:rsidRDefault="00C828B8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vyrážka</w:t>
            </w:r>
          </w:p>
        </w:tc>
        <w:tc>
          <w:tcPr>
            <w:tcW w:w="2359" w:type="dxa"/>
            <w:vAlign w:val="center"/>
          </w:tcPr>
          <w:p w14:paraId="62786791" w14:textId="57DE8886" w:rsidR="00C828B8" w:rsidRPr="001E0058" w:rsidRDefault="00C828B8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Stevensov-Johnsonov</w:t>
            </w:r>
            <w:proofErr w:type="spellEnd"/>
            <w:r w:rsidRPr="001E0058">
              <w:rPr>
                <w:rFonts w:ascii="Times New Roman" w:eastAsia="TimesNewRoman" w:hAnsi="Times New Roman"/>
                <w:lang w:val="sk-SK"/>
              </w:rPr>
              <w:t xml:space="preserve"> syndróm (SJS),* toxická </w:t>
            </w: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epidermálna</w:t>
            </w:r>
            <w:proofErr w:type="spellEnd"/>
            <w:r w:rsidRPr="001E0058">
              <w:rPr>
                <w:rFonts w:ascii="Times New Roman" w:eastAsia="TimesNewRoman" w:hAnsi="Times New Roman"/>
                <w:lang w:val="sk-SK"/>
              </w:rPr>
              <w:t xml:space="preserve"> </w:t>
            </w: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nekrolýza</w:t>
            </w:r>
            <w:proofErr w:type="spellEnd"/>
          </w:p>
          <w:p w14:paraId="62E161B8" w14:textId="402A091B" w:rsidR="00A14F0D" w:rsidRPr="001E0058" w:rsidRDefault="00C828B8" w:rsidP="00097C3B">
            <w:pPr>
              <w:spacing w:line="240" w:lineRule="auto"/>
              <w:jc w:val="left"/>
              <w:rPr>
                <w:rFonts w:ascii="Times New Roman" w:eastAsia="TimesNewRoman,Bold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(TEN)*</w:t>
            </w:r>
          </w:p>
        </w:tc>
      </w:tr>
      <w:tr w:rsidR="00A14F0D" w:rsidRPr="001E0058" w14:paraId="2DDC1596" w14:textId="77777777" w:rsidTr="008363CD">
        <w:tc>
          <w:tcPr>
            <w:tcW w:w="1727" w:type="dxa"/>
            <w:vAlign w:val="center"/>
          </w:tcPr>
          <w:p w14:paraId="7F846747" w14:textId="77777777" w:rsidR="00AD3F73" w:rsidRPr="001E0058" w:rsidRDefault="00AD3F73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Poruchy</w:t>
            </w:r>
          </w:p>
          <w:p w14:paraId="157B1E6F" w14:textId="77777777" w:rsidR="00AD3F73" w:rsidRPr="001E0058" w:rsidRDefault="00AD3F73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kostrovej</w:t>
            </w:r>
          </w:p>
          <w:p w14:paraId="2F4B43BE" w14:textId="77777777" w:rsidR="00AD3F73" w:rsidRPr="001E0058" w:rsidRDefault="00AD3F73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a svalovej sústavy</w:t>
            </w:r>
          </w:p>
          <w:p w14:paraId="7572AB6F" w14:textId="77777777" w:rsidR="00AD3F73" w:rsidRPr="001E0058" w:rsidRDefault="00AD3F73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a spojivového</w:t>
            </w:r>
          </w:p>
          <w:p w14:paraId="637B58B1" w14:textId="4B27B23E" w:rsidR="00A14F0D" w:rsidRPr="001E0058" w:rsidRDefault="00AD3F73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tkaniva</w:t>
            </w:r>
          </w:p>
        </w:tc>
        <w:tc>
          <w:tcPr>
            <w:tcW w:w="1724" w:type="dxa"/>
            <w:vAlign w:val="center"/>
          </w:tcPr>
          <w:p w14:paraId="0E065B4A" w14:textId="77777777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7" w:type="dxa"/>
            <w:vAlign w:val="center"/>
          </w:tcPr>
          <w:p w14:paraId="24E8E952" w14:textId="77777777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8" w:type="dxa"/>
            <w:vAlign w:val="center"/>
          </w:tcPr>
          <w:p w14:paraId="79AC76EB" w14:textId="77777777" w:rsidR="00AD3F73" w:rsidRPr="001E0058" w:rsidRDefault="00AD3F73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myalgia</w:t>
            </w:r>
            <w:proofErr w:type="spellEnd"/>
            <w:r w:rsidRPr="001E0058">
              <w:rPr>
                <w:rFonts w:ascii="Times New Roman" w:eastAsia="TimesNewRoman" w:hAnsi="Times New Roman"/>
                <w:lang w:val="sk-SK"/>
              </w:rPr>
              <w:t>, bolesť</w:t>
            </w:r>
          </w:p>
          <w:p w14:paraId="164BB48D" w14:textId="685B0456" w:rsidR="00A14F0D" w:rsidRPr="001E0058" w:rsidRDefault="00AD3F73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v končatine</w:t>
            </w:r>
          </w:p>
        </w:tc>
        <w:tc>
          <w:tcPr>
            <w:tcW w:w="2359" w:type="dxa"/>
            <w:vAlign w:val="center"/>
          </w:tcPr>
          <w:p w14:paraId="715A3CD1" w14:textId="77777777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</w:tr>
      <w:tr w:rsidR="00A14F0D" w:rsidRPr="001E0058" w14:paraId="6B1A7AC4" w14:textId="77777777" w:rsidTr="008363CD">
        <w:tc>
          <w:tcPr>
            <w:tcW w:w="1727" w:type="dxa"/>
            <w:vAlign w:val="center"/>
          </w:tcPr>
          <w:p w14:paraId="738AC4E8" w14:textId="77777777" w:rsidR="00AD3F73" w:rsidRPr="001E0058" w:rsidRDefault="00AD3F73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Poruchy</w:t>
            </w:r>
          </w:p>
          <w:p w14:paraId="6F34F87A" w14:textId="2DB0EBF9" w:rsidR="00A14F0D" w:rsidRPr="001E0058" w:rsidRDefault="00AD3F73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obličiek a močových ciest</w:t>
            </w:r>
          </w:p>
        </w:tc>
        <w:tc>
          <w:tcPr>
            <w:tcW w:w="1724" w:type="dxa"/>
            <w:vAlign w:val="center"/>
          </w:tcPr>
          <w:p w14:paraId="5E2D4A1E" w14:textId="77777777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7" w:type="dxa"/>
            <w:vAlign w:val="center"/>
          </w:tcPr>
          <w:p w14:paraId="0A814D06" w14:textId="77777777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8" w:type="dxa"/>
            <w:vAlign w:val="center"/>
          </w:tcPr>
          <w:p w14:paraId="1D7496C7" w14:textId="2B55EB0D" w:rsidR="00A14F0D" w:rsidRPr="001E0058" w:rsidRDefault="00AD3F73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proofErr w:type="spellStart"/>
            <w:r w:rsidRPr="001E0058">
              <w:rPr>
                <w:rFonts w:ascii="Times New Roman" w:eastAsia="TimesNewRoman" w:hAnsi="Times New Roman"/>
                <w:lang w:val="sk-SK"/>
              </w:rPr>
              <w:t>hematúria</w:t>
            </w:r>
            <w:proofErr w:type="spellEnd"/>
          </w:p>
        </w:tc>
        <w:tc>
          <w:tcPr>
            <w:tcW w:w="2359" w:type="dxa"/>
            <w:vAlign w:val="center"/>
          </w:tcPr>
          <w:p w14:paraId="1CC92198" w14:textId="77777777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</w:tr>
      <w:tr w:rsidR="00A14F0D" w:rsidRPr="001E0058" w14:paraId="6A634688" w14:textId="77777777" w:rsidTr="008363CD">
        <w:trPr>
          <w:trHeight w:val="1574"/>
        </w:trPr>
        <w:tc>
          <w:tcPr>
            <w:tcW w:w="1727" w:type="dxa"/>
            <w:vAlign w:val="center"/>
          </w:tcPr>
          <w:p w14:paraId="437B3B7E" w14:textId="77777777" w:rsidR="00AD3F73" w:rsidRPr="001E0058" w:rsidRDefault="00AD3F73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Poruchy</w:t>
            </w:r>
          </w:p>
          <w:p w14:paraId="71E49408" w14:textId="69A62D88" w:rsidR="00A14F0D" w:rsidRPr="001E0058" w:rsidRDefault="00AD3F73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reprodukčného systému a prsníkov</w:t>
            </w:r>
          </w:p>
        </w:tc>
        <w:tc>
          <w:tcPr>
            <w:tcW w:w="1724" w:type="dxa"/>
            <w:vAlign w:val="center"/>
          </w:tcPr>
          <w:p w14:paraId="690FE739" w14:textId="77777777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7" w:type="dxa"/>
            <w:vAlign w:val="center"/>
          </w:tcPr>
          <w:p w14:paraId="22265A56" w14:textId="77777777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8" w:type="dxa"/>
            <w:vAlign w:val="center"/>
          </w:tcPr>
          <w:p w14:paraId="34646CE9" w14:textId="77777777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2359" w:type="dxa"/>
            <w:vAlign w:val="center"/>
          </w:tcPr>
          <w:p w14:paraId="0BB2EE0E" w14:textId="0F285BD8" w:rsidR="00A14F0D" w:rsidRPr="001E0058" w:rsidRDefault="00757DA9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lang w:val="sk-SK"/>
              </w:rPr>
            </w:pPr>
            <w:r>
              <w:rPr>
                <w:rFonts w:ascii="Times New Roman" w:eastAsia="TimesNewRoman" w:hAnsi="Times New Roman"/>
                <w:lang w:val="sk-SK"/>
              </w:rPr>
              <w:t>krvácanie</w:t>
            </w:r>
            <w:r w:rsidRPr="001E0058">
              <w:rPr>
                <w:rFonts w:ascii="Times New Roman" w:eastAsia="TimesNewRoman" w:hAnsi="Times New Roman"/>
                <w:lang w:val="sk-SK"/>
              </w:rPr>
              <w:t xml:space="preserve"> </w:t>
            </w:r>
            <w:r w:rsidR="00AD3F73" w:rsidRPr="001E0058">
              <w:rPr>
                <w:rFonts w:ascii="Times New Roman" w:eastAsia="TimesNewRoman" w:hAnsi="Times New Roman"/>
                <w:lang w:val="sk-SK"/>
              </w:rPr>
              <w:t xml:space="preserve">v penise, </w:t>
            </w:r>
            <w:proofErr w:type="spellStart"/>
            <w:r w:rsidR="00AD3F73" w:rsidRPr="001E0058">
              <w:rPr>
                <w:rFonts w:ascii="Times New Roman" w:eastAsia="TimesNewRoman" w:hAnsi="Times New Roman"/>
                <w:lang w:val="sk-SK"/>
              </w:rPr>
              <w:t>priapizmus</w:t>
            </w:r>
            <w:proofErr w:type="spellEnd"/>
            <w:r w:rsidR="00AD3F73" w:rsidRPr="001E0058">
              <w:rPr>
                <w:rFonts w:ascii="Times New Roman" w:eastAsia="TimesNewRoman" w:hAnsi="Times New Roman"/>
                <w:lang w:val="sk-SK"/>
              </w:rPr>
              <w:t xml:space="preserve">,* </w:t>
            </w:r>
            <w:proofErr w:type="spellStart"/>
            <w:r w:rsidR="00AD3F73" w:rsidRPr="001E0058">
              <w:rPr>
                <w:rFonts w:ascii="Times New Roman" w:eastAsia="TimesNewRoman" w:hAnsi="Times New Roman"/>
                <w:lang w:val="sk-SK"/>
              </w:rPr>
              <w:t>hematospermia</w:t>
            </w:r>
            <w:proofErr w:type="spellEnd"/>
            <w:r w:rsidR="00AD3F73" w:rsidRPr="001E0058">
              <w:rPr>
                <w:rFonts w:ascii="Times New Roman" w:eastAsia="TimesNewRoman" w:hAnsi="Times New Roman"/>
                <w:lang w:val="sk-SK"/>
              </w:rPr>
              <w:t xml:space="preserve">, </w:t>
            </w:r>
            <w:r w:rsidR="00AD3F73" w:rsidRPr="001A3078">
              <w:rPr>
                <w:rFonts w:ascii="Times New Roman" w:eastAsia="TimesNewRoman" w:hAnsi="Times New Roman"/>
                <w:lang w:val="sk-SK"/>
              </w:rPr>
              <w:t>zvýšená erekcia</w:t>
            </w:r>
          </w:p>
        </w:tc>
      </w:tr>
      <w:tr w:rsidR="00A14F0D" w:rsidRPr="001E0058" w14:paraId="135C6D67" w14:textId="77777777" w:rsidTr="008363CD">
        <w:tc>
          <w:tcPr>
            <w:tcW w:w="1727" w:type="dxa"/>
            <w:vAlign w:val="center"/>
          </w:tcPr>
          <w:p w14:paraId="6E34B654" w14:textId="77777777" w:rsidR="0036561C" w:rsidRPr="001E0058" w:rsidRDefault="0036561C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Celkové</w:t>
            </w:r>
          </w:p>
          <w:p w14:paraId="7D95B920" w14:textId="7743A26F" w:rsidR="00A14F0D" w:rsidRPr="001E0058" w:rsidRDefault="0036561C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poruchy a reakcie v mieste podania</w:t>
            </w:r>
          </w:p>
        </w:tc>
        <w:tc>
          <w:tcPr>
            <w:tcW w:w="1724" w:type="dxa"/>
            <w:vAlign w:val="center"/>
          </w:tcPr>
          <w:p w14:paraId="73EC0C23" w14:textId="77777777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7" w:type="dxa"/>
            <w:vAlign w:val="center"/>
          </w:tcPr>
          <w:p w14:paraId="419AA34F" w14:textId="77777777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8" w:type="dxa"/>
            <w:vAlign w:val="center"/>
          </w:tcPr>
          <w:p w14:paraId="08AAF5DE" w14:textId="77777777" w:rsidR="0036561C" w:rsidRPr="001E0058" w:rsidRDefault="0036561C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bolesť hrudníka,</w:t>
            </w:r>
          </w:p>
          <w:p w14:paraId="67BDE202" w14:textId="1C5721D2" w:rsidR="00A14F0D" w:rsidRPr="001E0058" w:rsidRDefault="0036561C" w:rsidP="00097C3B">
            <w:pPr>
              <w:spacing w:line="240" w:lineRule="auto"/>
              <w:jc w:val="left"/>
              <w:rPr>
                <w:rFonts w:ascii="Times New Roman" w:eastAsia="TimesNewRoman,Bold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 xml:space="preserve">únava, pocit horúčavy </w:t>
            </w:r>
          </w:p>
          <w:p w14:paraId="7A945ACA" w14:textId="77777777" w:rsidR="00A14F0D" w:rsidRPr="001E0058" w:rsidRDefault="00A14F0D" w:rsidP="00097C3B">
            <w:pPr>
              <w:spacing w:line="240" w:lineRule="auto"/>
              <w:jc w:val="left"/>
              <w:rPr>
                <w:rFonts w:ascii="Times New Roman" w:eastAsia="TimesNewRoman,Bold" w:hAnsi="Times New Roman"/>
                <w:lang w:val="sk-SK"/>
              </w:rPr>
            </w:pPr>
          </w:p>
        </w:tc>
        <w:tc>
          <w:tcPr>
            <w:tcW w:w="2359" w:type="dxa"/>
            <w:vAlign w:val="center"/>
          </w:tcPr>
          <w:p w14:paraId="4D5A1174" w14:textId="162FEC7D" w:rsidR="00A14F0D" w:rsidRPr="001E0058" w:rsidRDefault="0036561C" w:rsidP="00097C3B">
            <w:pPr>
              <w:spacing w:line="240" w:lineRule="auto"/>
              <w:jc w:val="left"/>
              <w:rPr>
                <w:rFonts w:ascii="Times New Roman" w:eastAsia="TimesNewRoman,Bold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podráždenosť</w:t>
            </w:r>
          </w:p>
        </w:tc>
      </w:tr>
      <w:tr w:rsidR="00A14F0D" w:rsidRPr="001E0058" w14:paraId="4E93ED64" w14:textId="77777777" w:rsidTr="008363CD">
        <w:tc>
          <w:tcPr>
            <w:tcW w:w="1727" w:type="dxa"/>
            <w:vAlign w:val="center"/>
          </w:tcPr>
          <w:p w14:paraId="0E8945AC" w14:textId="4607092B" w:rsidR="000F5CCB" w:rsidRPr="001E0058" w:rsidRDefault="000F5CCB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Laboratórne a</w:t>
            </w:r>
          </w:p>
          <w:p w14:paraId="5BDDCF39" w14:textId="4342A183" w:rsidR="00A14F0D" w:rsidRPr="001E0058" w:rsidRDefault="000F5CCB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funkčné vyšetrenia</w:t>
            </w:r>
          </w:p>
        </w:tc>
        <w:tc>
          <w:tcPr>
            <w:tcW w:w="1724" w:type="dxa"/>
            <w:vAlign w:val="center"/>
          </w:tcPr>
          <w:p w14:paraId="6763B07F" w14:textId="77777777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7" w:type="dxa"/>
            <w:vAlign w:val="center"/>
          </w:tcPr>
          <w:p w14:paraId="7676DC76" w14:textId="77777777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  <w:tc>
          <w:tcPr>
            <w:tcW w:w="1728" w:type="dxa"/>
            <w:vAlign w:val="center"/>
          </w:tcPr>
          <w:p w14:paraId="2664CC6F" w14:textId="1A5814CF" w:rsidR="000F5CCB" w:rsidRPr="001E0058" w:rsidRDefault="009D3689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" w:hAnsi="Times New Roman"/>
                <w:lang w:val="sk-SK"/>
              </w:rPr>
            </w:pPr>
            <w:r>
              <w:rPr>
                <w:rFonts w:ascii="Times New Roman" w:eastAsia="TimesNewRoman" w:hAnsi="Times New Roman"/>
                <w:lang w:val="sk-SK"/>
              </w:rPr>
              <w:t>z</w:t>
            </w:r>
            <w:r w:rsidR="000F5CCB" w:rsidRPr="001E0058">
              <w:rPr>
                <w:rFonts w:ascii="Times New Roman" w:eastAsia="TimesNewRoman" w:hAnsi="Times New Roman"/>
                <w:lang w:val="sk-SK"/>
              </w:rPr>
              <w:t>výšená</w:t>
            </w:r>
            <w:r>
              <w:rPr>
                <w:rFonts w:ascii="Times New Roman" w:eastAsia="TimesNewRoman" w:hAnsi="Times New Roman"/>
                <w:lang w:val="sk-SK"/>
              </w:rPr>
              <w:t xml:space="preserve"> </w:t>
            </w:r>
          </w:p>
          <w:p w14:paraId="6C2CE501" w14:textId="04037301" w:rsidR="00A14F0D" w:rsidRPr="001E0058" w:rsidRDefault="000F5CCB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1E0058">
              <w:rPr>
                <w:rFonts w:ascii="Times New Roman" w:eastAsia="TimesNewRoman" w:hAnsi="Times New Roman"/>
                <w:lang w:val="sk-SK"/>
              </w:rPr>
              <w:t>frekvencia srdca</w:t>
            </w:r>
          </w:p>
        </w:tc>
        <w:tc>
          <w:tcPr>
            <w:tcW w:w="2359" w:type="dxa"/>
            <w:vAlign w:val="center"/>
          </w:tcPr>
          <w:p w14:paraId="115A419D" w14:textId="77777777" w:rsidR="00A14F0D" w:rsidRPr="001E0058" w:rsidRDefault="00A14F0D" w:rsidP="00097C3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</w:tc>
      </w:tr>
    </w:tbl>
    <w:p w14:paraId="1C06E880" w14:textId="1B581299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,Bold" w:hAnsi="Times New Roman"/>
          <w:b/>
          <w:bCs/>
          <w:lang w:val="sk-SK"/>
        </w:rPr>
        <w:t>*</w:t>
      </w:r>
      <w:r w:rsidR="000F5CCB" w:rsidRPr="001E0058">
        <w:rPr>
          <w:rFonts w:ascii="Times New Roman" w:eastAsia="Times New Roman" w:hAnsi="Times New Roman"/>
          <w:lang w:val="sk-SK"/>
        </w:rPr>
        <w:t xml:space="preserve"> </w:t>
      </w:r>
      <w:r w:rsidR="000F5CCB" w:rsidRPr="001E0058">
        <w:rPr>
          <w:rFonts w:ascii="Times New Roman" w:eastAsia="TimesNewRoman" w:hAnsi="Times New Roman"/>
          <w:lang w:val="sk-SK"/>
        </w:rPr>
        <w:t>Hlásené len</w:t>
      </w:r>
      <w:r w:rsidR="00757DA9" w:rsidRPr="001E0058">
        <w:rPr>
          <w:rFonts w:ascii="Times New Roman" w:eastAsia="TimesNewRoman" w:hAnsi="Times New Roman"/>
          <w:lang w:val="sk-SK"/>
        </w:rPr>
        <w:t xml:space="preserve"> </w:t>
      </w:r>
      <w:r w:rsidR="000F5CCB" w:rsidRPr="001E0058">
        <w:rPr>
          <w:rFonts w:ascii="Times New Roman" w:eastAsia="TimesNewRoman" w:hAnsi="Times New Roman"/>
          <w:lang w:val="sk-SK"/>
        </w:rPr>
        <w:t>po uvedení lieku na trh</w:t>
      </w:r>
    </w:p>
    <w:p w14:paraId="501241CD" w14:textId="15749F4E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>**</w:t>
      </w:r>
      <w:r w:rsidR="000F5CCB" w:rsidRPr="001E0058">
        <w:rPr>
          <w:rFonts w:ascii="Times New Roman" w:eastAsia="Times New Roman" w:hAnsi="Times New Roman"/>
          <w:lang w:val="sk-SK"/>
        </w:rPr>
        <w:t xml:space="preserve"> </w:t>
      </w:r>
      <w:r w:rsidR="000F5CCB" w:rsidRPr="001E0058">
        <w:rPr>
          <w:rFonts w:ascii="Times New Roman" w:eastAsia="TimesNewRoman" w:hAnsi="Times New Roman"/>
          <w:lang w:val="sk-SK"/>
        </w:rPr>
        <w:t xml:space="preserve">Porucha farebného videnia: </w:t>
      </w:r>
      <w:proofErr w:type="spellStart"/>
      <w:r w:rsidR="000F5CCB" w:rsidRPr="001E0058">
        <w:rPr>
          <w:rFonts w:ascii="Times New Roman" w:eastAsia="TimesNewRoman" w:hAnsi="Times New Roman"/>
          <w:lang w:val="sk-SK"/>
        </w:rPr>
        <w:t>chloropsia</w:t>
      </w:r>
      <w:proofErr w:type="spellEnd"/>
      <w:r w:rsidR="000F5CCB" w:rsidRPr="001E0058">
        <w:rPr>
          <w:rFonts w:ascii="Times New Roman" w:eastAsia="TimesNewRoman" w:hAnsi="Times New Roman"/>
          <w:lang w:val="sk-SK"/>
        </w:rPr>
        <w:t xml:space="preserve">, </w:t>
      </w:r>
      <w:proofErr w:type="spellStart"/>
      <w:r w:rsidR="000F5CCB" w:rsidRPr="001E0058">
        <w:rPr>
          <w:rFonts w:ascii="Times New Roman" w:eastAsia="TimesNewRoman" w:hAnsi="Times New Roman"/>
          <w:lang w:val="sk-SK"/>
        </w:rPr>
        <w:t>chromatopsia</w:t>
      </w:r>
      <w:proofErr w:type="spellEnd"/>
      <w:r w:rsidR="000F5CCB" w:rsidRPr="001E0058">
        <w:rPr>
          <w:rFonts w:ascii="Times New Roman" w:eastAsia="TimesNewRoman" w:hAnsi="Times New Roman"/>
          <w:lang w:val="sk-SK"/>
        </w:rPr>
        <w:t xml:space="preserve">, </w:t>
      </w:r>
      <w:proofErr w:type="spellStart"/>
      <w:r w:rsidR="000F5CCB" w:rsidRPr="001E0058">
        <w:rPr>
          <w:rFonts w:ascii="Times New Roman" w:eastAsia="TimesNewRoman" w:hAnsi="Times New Roman"/>
          <w:lang w:val="sk-SK"/>
        </w:rPr>
        <w:t>cyanopsia</w:t>
      </w:r>
      <w:proofErr w:type="spellEnd"/>
      <w:r w:rsidR="000F5CCB" w:rsidRPr="001E0058">
        <w:rPr>
          <w:rFonts w:ascii="Times New Roman" w:eastAsia="TimesNewRoman" w:hAnsi="Times New Roman"/>
          <w:lang w:val="sk-SK"/>
        </w:rPr>
        <w:t xml:space="preserve">, </w:t>
      </w:r>
      <w:proofErr w:type="spellStart"/>
      <w:r w:rsidR="000F5CCB" w:rsidRPr="001E0058">
        <w:rPr>
          <w:rFonts w:ascii="Times New Roman" w:eastAsia="TimesNewRoman" w:hAnsi="Times New Roman"/>
          <w:lang w:val="sk-SK"/>
        </w:rPr>
        <w:t>erytropsia</w:t>
      </w:r>
      <w:proofErr w:type="spellEnd"/>
      <w:r w:rsidR="000F5CCB" w:rsidRPr="001E0058">
        <w:rPr>
          <w:rFonts w:ascii="Times New Roman" w:eastAsia="TimesNewRoman" w:hAnsi="Times New Roman"/>
          <w:lang w:val="sk-SK"/>
        </w:rPr>
        <w:t xml:space="preserve"> a </w:t>
      </w:r>
      <w:proofErr w:type="spellStart"/>
      <w:r w:rsidR="000F5CCB" w:rsidRPr="001E0058">
        <w:rPr>
          <w:rFonts w:ascii="Times New Roman" w:eastAsia="TimesNewRoman" w:hAnsi="Times New Roman"/>
          <w:lang w:val="sk-SK"/>
        </w:rPr>
        <w:t>xantopsia</w:t>
      </w:r>
      <w:proofErr w:type="spellEnd"/>
    </w:p>
    <w:p w14:paraId="6773445D" w14:textId="102DF8C8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>***</w:t>
      </w:r>
      <w:r w:rsidR="000F5CCB" w:rsidRPr="001E0058">
        <w:rPr>
          <w:rFonts w:ascii="Times New Roman" w:eastAsia="Times New Roman" w:hAnsi="Times New Roman"/>
          <w:lang w:val="sk-SK"/>
        </w:rPr>
        <w:t xml:space="preserve"> </w:t>
      </w:r>
      <w:r w:rsidR="000F5CCB" w:rsidRPr="001E0058">
        <w:rPr>
          <w:rFonts w:ascii="Times New Roman" w:eastAsia="TimesNewRoman" w:hAnsi="Times New Roman"/>
          <w:lang w:val="sk-SK"/>
        </w:rPr>
        <w:t>Poruchy slzenia: suché oko, porucha slzenia a zvýšené slzenie</w:t>
      </w:r>
    </w:p>
    <w:p w14:paraId="4C129D65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b/>
          <w:u w:val="single"/>
          <w:lang w:val="sk-SK"/>
        </w:rPr>
      </w:pPr>
    </w:p>
    <w:p w14:paraId="02D2E697" w14:textId="77777777" w:rsidR="003037C9" w:rsidRPr="001E0058" w:rsidRDefault="003037C9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b/>
          <w:u w:val="single"/>
          <w:lang w:val="sk-SK"/>
        </w:rPr>
      </w:pPr>
      <w:r w:rsidRPr="001E0058">
        <w:rPr>
          <w:rFonts w:ascii="Times New Roman" w:eastAsia="TimesNewRoman" w:hAnsi="Times New Roman"/>
          <w:b/>
          <w:u w:val="single"/>
          <w:lang w:val="sk-SK"/>
        </w:rPr>
        <w:t>Hlásenie podozrení na nežiaduce reakcie</w:t>
      </w:r>
    </w:p>
    <w:p w14:paraId="411716BF" w14:textId="77777777" w:rsidR="005B5720" w:rsidRPr="005B5720" w:rsidRDefault="003037C9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noProof/>
        </w:rPr>
      </w:pPr>
      <w:r w:rsidRPr="001E0058">
        <w:rPr>
          <w:rFonts w:ascii="Times New Roman" w:eastAsia="TimesNewRoman" w:hAnsi="Times New Roman"/>
          <w:lang w:val="sk-SK"/>
        </w:rPr>
        <w:t>Hlásenie podozrení na nežiaduce reakcie po registrácii lieku je dôležité. Umožňuje priebežné monitorovanie pomeru prínosu a rizika lieku. Od zdravotníckych pracovníkov sa vyžaduje, aby hlásili akékoľvek podozrenia na nežiaduce reakcie na</w:t>
      </w:r>
      <w:r w:rsidR="005B5720">
        <w:rPr>
          <w:rFonts w:ascii="Times New Roman" w:eastAsia="TimesNewRoman" w:hAnsi="Times New Roman"/>
          <w:lang w:val="sk-SK"/>
        </w:rPr>
        <w:t xml:space="preserve"> </w:t>
      </w:r>
      <w:r w:rsidR="005B5720" w:rsidRPr="005B5720">
        <w:rPr>
          <w:rFonts w:ascii="Times New Roman" w:hAnsi="Times New Roman"/>
          <w:noProof/>
          <w:highlight w:val="lightGray"/>
        </w:rPr>
        <w:t>národné centrum hlásenia uvedené v </w:t>
      </w:r>
      <w:hyperlink r:id="rId15" w:history="1">
        <w:r w:rsidR="005B5720" w:rsidRPr="005B5720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="005B5720" w:rsidRPr="005B5720">
        <w:rPr>
          <w:rFonts w:ascii="Times New Roman" w:hAnsi="Times New Roman"/>
          <w:noProof/>
        </w:rPr>
        <w:t>.</w:t>
      </w:r>
    </w:p>
    <w:p w14:paraId="45F385B3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2A5CFE3E" w14:textId="730061A4" w:rsidR="00B76076" w:rsidRPr="001E0058" w:rsidRDefault="00B76076" w:rsidP="00097C3B">
      <w:p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1E0058">
        <w:rPr>
          <w:rFonts w:ascii="Times New Roman" w:eastAsia="TimesNewRoman,Bold" w:hAnsi="Times New Roman"/>
          <w:b/>
          <w:bCs/>
          <w:lang w:val="sk-SK"/>
        </w:rPr>
        <w:t>4.9</w:t>
      </w:r>
      <w:r w:rsidR="004D23D9">
        <w:rPr>
          <w:rFonts w:ascii="Times New Roman" w:eastAsia="TimesNewRoman,Bold" w:hAnsi="Times New Roman"/>
          <w:b/>
          <w:bCs/>
          <w:lang w:val="sk-SK"/>
        </w:rPr>
        <w:tab/>
      </w:r>
      <w:r w:rsidR="005B2E4F" w:rsidRPr="001E0058">
        <w:rPr>
          <w:rFonts w:ascii="Times New Roman" w:eastAsia="TimesNewRoman,Bold" w:hAnsi="Times New Roman"/>
          <w:b/>
          <w:bCs/>
          <w:lang w:val="sk-SK"/>
        </w:rPr>
        <w:t>Predávkovanie</w:t>
      </w:r>
    </w:p>
    <w:p w14:paraId="4C925EAC" w14:textId="77777777" w:rsidR="00B6780E" w:rsidRPr="001E0058" w:rsidRDefault="00B6780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B1BF275" w14:textId="4D38A54F" w:rsidR="0071278D" w:rsidRPr="001E0058" w:rsidRDefault="0071278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V štúdiách so zdravými dobrovoľníkmi boli po </w:t>
      </w:r>
      <w:r w:rsidR="00BF61F4" w:rsidRPr="001E0058">
        <w:rPr>
          <w:rFonts w:ascii="Times New Roman" w:eastAsia="TimesNewRoman" w:hAnsi="Times New Roman"/>
          <w:lang w:val="sk-SK"/>
        </w:rPr>
        <w:t>jednorazov</w:t>
      </w:r>
      <w:r w:rsidR="00BF61F4">
        <w:rPr>
          <w:rFonts w:ascii="Times New Roman" w:eastAsia="TimesNewRoman" w:hAnsi="Times New Roman"/>
          <w:lang w:val="sk-SK"/>
        </w:rPr>
        <w:t>om</w:t>
      </w:r>
      <w:r w:rsidR="00BF61F4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podaní dáv</w:t>
      </w:r>
      <w:r w:rsidR="00BF61F4">
        <w:rPr>
          <w:rFonts w:ascii="Times New Roman" w:eastAsia="TimesNewRoman" w:hAnsi="Times New Roman"/>
          <w:lang w:val="sk-SK"/>
        </w:rPr>
        <w:t>ok</w:t>
      </w:r>
      <w:r w:rsidRPr="001E0058">
        <w:rPr>
          <w:rFonts w:ascii="Times New Roman" w:eastAsia="TimesNewRoman" w:hAnsi="Times New Roman"/>
          <w:lang w:val="sk-SK"/>
        </w:rPr>
        <w:t xml:space="preserve"> do 800 mg nežiaduce účinky podobné</w:t>
      </w:r>
      <w:r w:rsidR="00BF61F4">
        <w:rPr>
          <w:rFonts w:ascii="Times New Roman" w:eastAsia="TimesNewRoman" w:hAnsi="Times New Roman"/>
          <w:lang w:val="sk-SK"/>
        </w:rPr>
        <w:t xml:space="preserve"> tým, ktoré sa pozorovali po </w:t>
      </w:r>
      <w:r w:rsidRPr="001E0058">
        <w:rPr>
          <w:rFonts w:ascii="Times New Roman" w:eastAsia="TimesNewRoman" w:hAnsi="Times New Roman"/>
          <w:lang w:val="sk-SK"/>
        </w:rPr>
        <w:t xml:space="preserve">podaní nižších dávok, vyskytovali sa </w:t>
      </w:r>
      <w:r w:rsidR="00BF61F4">
        <w:rPr>
          <w:rFonts w:ascii="Times New Roman" w:eastAsia="TimesNewRoman" w:hAnsi="Times New Roman"/>
          <w:lang w:val="sk-SK"/>
        </w:rPr>
        <w:t xml:space="preserve">však </w:t>
      </w:r>
      <w:r w:rsidRPr="001E0058">
        <w:rPr>
          <w:rFonts w:ascii="Times New Roman" w:eastAsia="TimesNewRoman" w:hAnsi="Times New Roman"/>
          <w:lang w:val="sk-SK"/>
        </w:rPr>
        <w:t>častejšie a boli závažnejšie. Dávky 200 mg neviedli k</w:t>
      </w:r>
      <w:r w:rsidR="00B947CA">
        <w:rPr>
          <w:rFonts w:ascii="Times New Roman" w:eastAsia="TimesNewRoman" w:hAnsi="Times New Roman"/>
          <w:lang w:val="sk-SK"/>
        </w:rPr>
        <w:t xml:space="preserve"> nárastu </w:t>
      </w:r>
      <w:r w:rsidRPr="001E0058">
        <w:rPr>
          <w:rFonts w:ascii="Times New Roman" w:eastAsia="TimesNewRoman" w:hAnsi="Times New Roman"/>
          <w:lang w:val="sk-SK"/>
        </w:rPr>
        <w:t>účinnosti, ale viedli k vyššiemu výskytu nežiaducich účinkov (bolesť hlavy, návaly</w:t>
      </w:r>
      <w:r w:rsidR="00BD094F">
        <w:rPr>
          <w:rFonts w:ascii="Times New Roman" w:eastAsia="TimesNewRoman" w:hAnsi="Times New Roman"/>
          <w:lang w:val="sk-SK"/>
        </w:rPr>
        <w:t xml:space="preserve"> horúčavy</w:t>
      </w:r>
      <w:r w:rsidRPr="001E0058">
        <w:rPr>
          <w:rFonts w:ascii="Times New Roman" w:eastAsia="TimesNewRoman" w:hAnsi="Times New Roman"/>
          <w:lang w:val="sk-SK"/>
        </w:rPr>
        <w:t xml:space="preserve">, závrat, </w:t>
      </w:r>
      <w:proofErr w:type="spellStart"/>
      <w:r w:rsidRPr="001E0058">
        <w:rPr>
          <w:rFonts w:ascii="Times New Roman" w:eastAsia="TimesNewRoman" w:hAnsi="Times New Roman"/>
          <w:lang w:val="sk-SK"/>
        </w:rPr>
        <w:t>dyspepsia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nazálna </w:t>
      </w:r>
      <w:proofErr w:type="spellStart"/>
      <w:r w:rsidRPr="001E0058">
        <w:rPr>
          <w:rFonts w:ascii="Times New Roman" w:eastAsia="TimesNewRoman" w:hAnsi="Times New Roman"/>
          <w:lang w:val="sk-SK"/>
        </w:rPr>
        <w:t>kongescia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</w:t>
      </w:r>
      <w:r w:rsidR="00BF61F4">
        <w:rPr>
          <w:rFonts w:ascii="Times New Roman" w:eastAsia="TimesNewRoman" w:hAnsi="Times New Roman"/>
          <w:lang w:val="sk-SK"/>
        </w:rPr>
        <w:t>porucha</w:t>
      </w:r>
      <w:r w:rsidRPr="001E0058">
        <w:rPr>
          <w:rFonts w:ascii="Times New Roman" w:eastAsia="TimesNewRoman" w:hAnsi="Times New Roman"/>
          <w:lang w:val="sk-SK"/>
        </w:rPr>
        <w:t xml:space="preserve"> videnia).</w:t>
      </w:r>
    </w:p>
    <w:p w14:paraId="5A314A78" w14:textId="77777777" w:rsidR="0071278D" w:rsidRPr="001E0058" w:rsidRDefault="0071278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0E9F3B3" w14:textId="12567536" w:rsidR="00B6780E" w:rsidRPr="001E0058" w:rsidRDefault="0071278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V prípade predávkovania sa majú podľa potreby </w:t>
      </w:r>
      <w:r w:rsidR="004D1DD3">
        <w:rPr>
          <w:rFonts w:ascii="Times New Roman" w:eastAsia="TimesNewRoman" w:hAnsi="Times New Roman"/>
          <w:lang w:val="sk-SK"/>
        </w:rPr>
        <w:t>prijať</w:t>
      </w:r>
      <w:r w:rsidR="004D1DD3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štandardné podporné opatrenia. Keďže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="00BD4EA4">
        <w:rPr>
          <w:rFonts w:ascii="Times New Roman" w:eastAsia="TimesNewRoman" w:hAnsi="Times New Roman"/>
          <w:lang w:val="sk-SK"/>
        </w:rPr>
        <w:t xml:space="preserve"> sa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4D1DD3">
        <w:rPr>
          <w:rFonts w:ascii="Times New Roman" w:eastAsia="TimesNewRoman" w:hAnsi="Times New Roman"/>
          <w:lang w:val="sk-SK"/>
        </w:rPr>
        <w:t xml:space="preserve">vo vysokej miere </w:t>
      </w:r>
      <w:r w:rsidRPr="004D1DD3">
        <w:rPr>
          <w:rFonts w:ascii="Times New Roman" w:eastAsia="TimesNewRoman" w:hAnsi="Times New Roman"/>
          <w:lang w:val="sk-SK"/>
        </w:rPr>
        <w:t>via</w:t>
      </w:r>
      <w:r w:rsidR="004D1DD3">
        <w:rPr>
          <w:rFonts w:ascii="Times New Roman" w:eastAsia="TimesNewRoman" w:hAnsi="Times New Roman"/>
          <w:lang w:val="sk-SK"/>
        </w:rPr>
        <w:t>že</w:t>
      </w:r>
      <w:r w:rsidRPr="001E0058">
        <w:rPr>
          <w:rFonts w:ascii="Times New Roman" w:eastAsia="TimesNewRoman" w:hAnsi="Times New Roman"/>
          <w:lang w:val="sk-SK"/>
        </w:rPr>
        <w:t xml:space="preserve"> na </w:t>
      </w:r>
      <w:r w:rsidR="004D1DD3">
        <w:rPr>
          <w:rFonts w:ascii="Times New Roman" w:eastAsia="TimesNewRoman" w:hAnsi="Times New Roman"/>
          <w:lang w:val="sk-SK"/>
        </w:rPr>
        <w:t>plazmatické</w:t>
      </w:r>
      <w:r w:rsidR="004D1DD3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bielkoviny a neeliminuje sa močom, n</w:t>
      </w:r>
      <w:r w:rsidR="00BA4217">
        <w:rPr>
          <w:rFonts w:ascii="Times New Roman" w:eastAsia="TimesNewRoman" w:hAnsi="Times New Roman"/>
          <w:lang w:val="sk-SK"/>
        </w:rPr>
        <w:t>epredpokladá sa</w:t>
      </w:r>
      <w:r w:rsidRPr="001E0058">
        <w:rPr>
          <w:rFonts w:ascii="Times New Roman" w:eastAsia="TimesNewRoman" w:hAnsi="Times New Roman"/>
          <w:lang w:val="sk-SK"/>
        </w:rPr>
        <w:t>, že by renálna dialýza m</w:t>
      </w:r>
      <w:r w:rsidR="00BA4217">
        <w:rPr>
          <w:rFonts w:ascii="Times New Roman" w:eastAsia="TimesNewRoman" w:hAnsi="Times New Roman"/>
          <w:lang w:val="sk-SK"/>
        </w:rPr>
        <w:t>ohla</w:t>
      </w:r>
      <w:r w:rsidRPr="001E0058">
        <w:rPr>
          <w:rFonts w:ascii="Times New Roman" w:eastAsia="TimesNewRoman" w:hAnsi="Times New Roman"/>
          <w:lang w:val="sk-SK"/>
        </w:rPr>
        <w:t xml:space="preserve"> urýchliť klírens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>.</w:t>
      </w:r>
    </w:p>
    <w:p w14:paraId="2C1DAC37" w14:textId="096479E6" w:rsidR="0071278D" w:rsidRPr="001E0058" w:rsidRDefault="0071278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6EA51DB5" w14:textId="77777777" w:rsidR="0071278D" w:rsidRPr="001E0058" w:rsidRDefault="0071278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7A36E33B" w14:textId="19DB6280" w:rsidR="00B76076" w:rsidRPr="00097C3B" w:rsidRDefault="0071278D" w:rsidP="00097C3B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097C3B">
        <w:rPr>
          <w:rFonts w:ascii="Times New Roman" w:eastAsia="TimesNewRoman,Bold" w:hAnsi="Times New Roman"/>
          <w:b/>
          <w:bCs/>
          <w:lang w:val="sk-SK"/>
        </w:rPr>
        <w:t>FARMAKOLOGICKÉ VLASTNOSTI</w:t>
      </w:r>
    </w:p>
    <w:p w14:paraId="26B83A08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04971875" w14:textId="105E7FBA" w:rsidR="00B76076" w:rsidRPr="001E0058" w:rsidRDefault="00B76076" w:rsidP="00097C3B">
      <w:p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1E0058">
        <w:rPr>
          <w:rFonts w:ascii="Times New Roman" w:eastAsia="TimesNewRoman,Bold" w:hAnsi="Times New Roman"/>
          <w:b/>
          <w:bCs/>
          <w:lang w:val="sk-SK"/>
        </w:rPr>
        <w:t>5.1</w:t>
      </w:r>
      <w:r w:rsidR="00237183">
        <w:rPr>
          <w:rFonts w:ascii="Times New Roman" w:eastAsia="TimesNewRoman,Bold" w:hAnsi="Times New Roman"/>
          <w:b/>
          <w:bCs/>
          <w:lang w:val="sk-SK"/>
        </w:rPr>
        <w:tab/>
      </w:r>
      <w:r w:rsidR="0071278D" w:rsidRPr="001E0058">
        <w:rPr>
          <w:rFonts w:ascii="Times New Roman" w:eastAsia="TimesNewRoman,Bold" w:hAnsi="Times New Roman"/>
          <w:b/>
          <w:bCs/>
          <w:lang w:val="sk-SK"/>
        </w:rPr>
        <w:t>Farmakodynamické vlastnosti</w:t>
      </w:r>
    </w:p>
    <w:p w14:paraId="3391E1EC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03768767" w14:textId="04D6A1A0" w:rsidR="00650F8F" w:rsidRDefault="0071278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1E0058">
        <w:rPr>
          <w:rFonts w:ascii="Times New Roman" w:eastAsia="TimesNewRoman" w:hAnsi="Times New Roman"/>
          <w:lang w:val="sk-SK"/>
        </w:rPr>
        <w:t>Farmakoterapeutická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skupina: </w:t>
      </w:r>
      <w:proofErr w:type="spellStart"/>
      <w:r w:rsidRPr="001E0058">
        <w:rPr>
          <w:rFonts w:ascii="Times New Roman" w:eastAsia="TimesNewRoman" w:hAnsi="Times New Roman"/>
          <w:lang w:val="sk-SK"/>
        </w:rPr>
        <w:t>Urologiká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</w:t>
      </w:r>
      <w:r w:rsidR="00650F8F">
        <w:rPr>
          <w:rFonts w:ascii="Times New Roman" w:eastAsia="TimesNewRoman" w:hAnsi="Times New Roman"/>
          <w:lang w:val="sk-SK"/>
        </w:rPr>
        <w:t>liečivá pri poruchách erekcie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</w:p>
    <w:p w14:paraId="3CDA3662" w14:textId="39032C40" w:rsidR="0071278D" w:rsidRPr="001E0058" w:rsidRDefault="0071278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>ATC kód: G04BE03</w:t>
      </w:r>
    </w:p>
    <w:p w14:paraId="3388BC4D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230308E4" w14:textId="77777777" w:rsidR="0071278D" w:rsidRPr="001E0058" w:rsidRDefault="0071278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r w:rsidRPr="001E0058">
        <w:rPr>
          <w:rFonts w:ascii="Times New Roman" w:eastAsia="TimesNewRoman" w:hAnsi="Times New Roman"/>
          <w:u w:val="single"/>
          <w:lang w:val="sk-SK"/>
        </w:rPr>
        <w:t>Mechanizmus účinku</w:t>
      </w:r>
    </w:p>
    <w:p w14:paraId="3B1BBBB0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013E182A" w14:textId="02803ED5" w:rsidR="0071278D" w:rsidRPr="001E0058" w:rsidRDefault="0071278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je</w:t>
      </w:r>
      <w:r w:rsidR="00650F8F">
        <w:rPr>
          <w:rFonts w:ascii="Times New Roman" w:eastAsia="TimesNewRoman" w:hAnsi="Times New Roman"/>
          <w:lang w:val="sk-SK"/>
        </w:rPr>
        <w:t xml:space="preserve"> určený na</w:t>
      </w:r>
      <w:r w:rsidRPr="001E0058">
        <w:rPr>
          <w:rFonts w:ascii="Times New Roman" w:eastAsia="TimesNewRoman" w:hAnsi="Times New Roman"/>
          <w:lang w:val="sk-SK"/>
        </w:rPr>
        <w:t xml:space="preserve"> peroráln</w:t>
      </w:r>
      <w:r w:rsidR="00650F8F">
        <w:rPr>
          <w:rFonts w:ascii="Times New Roman" w:eastAsia="TimesNewRoman" w:hAnsi="Times New Roman"/>
          <w:lang w:val="sk-SK"/>
        </w:rPr>
        <w:t>u</w:t>
      </w:r>
      <w:r w:rsidRPr="001E0058">
        <w:rPr>
          <w:rFonts w:ascii="Times New Roman" w:eastAsia="TimesNewRoman" w:hAnsi="Times New Roman"/>
          <w:lang w:val="sk-SK"/>
        </w:rPr>
        <w:t xml:space="preserve"> liečb</w:t>
      </w:r>
      <w:r w:rsidR="00650F8F">
        <w:rPr>
          <w:rFonts w:ascii="Times New Roman" w:eastAsia="TimesNewRoman" w:hAnsi="Times New Roman"/>
          <w:lang w:val="sk-SK"/>
        </w:rPr>
        <w:t>u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erektilnej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dysfunkcie. Za </w:t>
      </w:r>
      <w:r w:rsidR="00650F8F">
        <w:rPr>
          <w:rFonts w:ascii="Times New Roman" w:eastAsia="TimesNewRoman" w:hAnsi="Times New Roman"/>
          <w:lang w:val="sk-SK"/>
        </w:rPr>
        <w:t>normálnych okolností</w:t>
      </w:r>
      <w:r w:rsidRPr="001E0058">
        <w:rPr>
          <w:rFonts w:ascii="Times New Roman" w:eastAsia="TimesNewRoman" w:hAnsi="Times New Roman"/>
          <w:lang w:val="sk-SK"/>
        </w:rPr>
        <w:t xml:space="preserve">, t.j. po sexuálnej stimulácii, obnovuje </w:t>
      </w:r>
      <w:r w:rsidR="00650F8F">
        <w:rPr>
          <w:rFonts w:ascii="Times New Roman" w:eastAsia="TimesNewRoman" w:hAnsi="Times New Roman"/>
          <w:lang w:val="sk-SK"/>
        </w:rPr>
        <w:t>poruchu</w:t>
      </w:r>
      <w:r w:rsidR="00650F8F" w:rsidRPr="001E0058">
        <w:rPr>
          <w:rFonts w:ascii="Times New Roman" w:eastAsia="TimesNewRoman" w:hAnsi="Times New Roman"/>
          <w:lang w:val="sk-SK"/>
        </w:rPr>
        <w:t xml:space="preserve"> </w:t>
      </w:r>
      <w:r w:rsidR="00650F8F">
        <w:rPr>
          <w:rFonts w:ascii="Times New Roman" w:eastAsia="TimesNewRoman" w:hAnsi="Times New Roman"/>
          <w:lang w:val="sk-SK"/>
        </w:rPr>
        <w:t>erekcie</w:t>
      </w:r>
      <w:r w:rsidRPr="001E0058">
        <w:rPr>
          <w:rFonts w:ascii="Times New Roman" w:eastAsia="TimesNewRoman" w:hAnsi="Times New Roman"/>
          <w:lang w:val="sk-SK"/>
        </w:rPr>
        <w:t xml:space="preserve"> zvýšením prítoku krvi do penisu.</w:t>
      </w:r>
    </w:p>
    <w:p w14:paraId="4631B83B" w14:textId="77777777" w:rsidR="0071278D" w:rsidRPr="001E0058" w:rsidRDefault="0071278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7C759961" w14:textId="003C7803" w:rsidR="0071278D" w:rsidRPr="001E0058" w:rsidRDefault="0071278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Fyziologický mechanizmus, ktorý je zodpovedný za erekciu penisu, zahrňuje uvoľňovanie oxidu </w:t>
      </w:r>
      <w:proofErr w:type="spellStart"/>
      <w:r w:rsidRPr="001E0058">
        <w:rPr>
          <w:rFonts w:ascii="Times New Roman" w:eastAsia="TimesNewRoman" w:hAnsi="Times New Roman"/>
          <w:lang w:val="sk-SK"/>
        </w:rPr>
        <w:t>dusnatého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(NO) v kavernóznom telese penisu počas sexuálnej stimulácie. Oxid </w:t>
      </w:r>
      <w:proofErr w:type="spellStart"/>
      <w:r w:rsidRPr="001E0058">
        <w:rPr>
          <w:rFonts w:ascii="Times New Roman" w:eastAsia="TimesNewRoman" w:hAnsi="Times New Roman"/>
          <w:lang w:val="sk-SK"/>
        </w:rPr>
        <w:t>dusnatý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5F7F71">
        <w:rPr>
          <w:rFonts w:ascii="Times New Roman" w:eastAsia="TimesNewRoman" w:hAnsi="Times New Roman"/>
          <w:lang w:val="sk-SK"/>
        </w:rPr>
        <w:t xml:space="preserve">následne </w:t>
      </w:r>
      <w:r w:rsidRPr="001E0058">
        <w:rPr>
          <w:rFonts w:ascii="Times New Roman" w:eastAsia="TimesNewRoman" w:hAnsi="Times New Roman"/>
          <w:lang w:val="sk-SK"/>
        </w:rPr>
        <w:t xml:space="preserve">aktivuje enzým </w:t>
      </w:r>
      <w:proofErr w:type="spellStart"/>
      <w:r w:rsidRPr="001E0058">
        <w:rPr>
          <w:rFonts w:ascii="Times New Roman" w:eastAsia="TimesNewRoman" w:hAnsi="Times New Roman"/>
          <w:lang w:val="sk-SK"/>
        </w:rPr>
        <w:t>guanylátcyklázu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čo vedie ku zvýšeniu koncentrácie cyklického </w:t>
      </w:r>
      <w:proofErr w:type="spellStart"/>
      <w:r w:rsidRPr="001E0058">
        <w:rPr>
          <w:rFonts w:ascii="Times New Roman" w:eastAsia="TimesNewRoman" w:hAnsi="Times New Roman"/>
          <w:lang w:val="sk-SK"/>
        </w:rPr>
        <w:t>guanozínmonofosfátu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</w:t>
      </w:r>
      <w:proofErr w:type="spellStart"/>
      <w:r w:rsidRPr="001E0058">
        <w:rPr>
          <w:rFonts w:ascii="Times New Roman" w:eastAsia="TimesNewRoman" w:hAnsi="Times New Roman"/>
          <w:lang w:val="sk-SK"/>
        </w:rPr>
        <w:t>cGMP</w:t>
      </w:r>
      <w:proofErr w:type="spellEnd"/>
      <w:r w:rsidRPr="001E0058">
        <w:rPr>
          <w:rFonts w:ascii="Times New Roman" w:eastAsia="TimesNewRoman" w:hAnsi="Times New Roman"/>
          <w:lang w:val="sk-SK"/>
        </w:rPr>
        <w:t>) a relaxácii hladkých svalov v kavernóznom telese, čo umožní prítok krvi.</w:t>
      </w:r>
    </w:p>
    <w:p w14:paraId="468A23C3" w14:textId="77777777" w:rsidR="0071278D" w:rsidRPr="001E0058" w:rsidRDefault="0071278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E5CFFAA" w14:textId="41D56CD3" w:rsidR="00B76076" w:rsidRPr="001E0058" w:rsidRDefault="0071278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je silný a selektívny inhibítor </w:t>
      </w:r>
      <w:proofErr w:type="spellStart"/>
      <w:r w:rsidRPr="001E0058">
        <w:rPr>
          <w:rFonts w:ascii="Times New Roman" w:eastAsia="TimesNewRoman" w:hAnsi="Times New Roman"/>
          <w:lang w:val="sk-SK"/>
        </w:rPr>
        <w:t>fosfodiesterázy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typu 5 (PDE5)</w:t>
      </w:r>
      <w:r w:rsidR="00650F8F" w:rsidRPr="001E0058">
        <w:rPr>
          <w:rFonts w:ascii="Times New Roman" w:eastAsia="TimesNewRoman" w:hAnsi="Times New Roman"/>
          <w:lang w:val="sk-SK"/>
        </w:rPr>
        <w:t xml:space="preserve"> špecifickej </w:t>
      </w:r>
      <w:r w:rsidR="00650F8F">
        <w:rPr>
          <w:rFonts w:ascii="Times New Roman" w:eastAsia="TimesNewRoman" w:hAnsi="Times New Roman"/>
          <w:lang w:val="sk-SK"/>
        </w:rPr>
        <w:t xml:space="preserve">pre </w:t>
      </w:r>
      <w:proofErr w:type="spellStart"/>
      <w:r w:rsidR="00650F8F">
        <w:rPr>
          <w:rFonts w:ascii="Times New Roman" w:eastAsia="TimesNewRoman" w:hAnsi="Times New Roman"/>
          <w:lang w:val="sk-SK"/>
        </w:rPr>
        <w:t>cGMP</w:t>
      </w:r>
      <w:proofErr w:type="spellEnd"/>
      <w:r w:rsidR="00650F8F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v kavernóznom telese, kde je PDE5 zodpovedná za degradáciu </w:t>
      </w:r>
      <w:proofErr w:type="spellStart"/>
      <w:r w:rsidRPr="001E0058">
        <w:rPr>
          <w:rFonts w:ascii="Times New Roman" w:eastAsia="TimesNewRoman" w:hAnsi="Times New Roman"/>
          <w:lang w:val="sk-SK"/>
        </w:rPr>
        <w:t>cGMP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. Účinok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na erekciu je založený na periférnom pôsobení.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nemá priamy relaxačný účinok na izolované </w:t>
      </w:r>
      <w:r w:rsidR="00903F7D">
        <w:rPr>
          <w:rFonts w:ascii="Times New Roman" w:eastAsia="TimesNewRoman" w:hAnsi="Times New Roman"/>
          <w:lang w:val="sk-SK"/>
        </w:rPr>
        <w:t>ľudské</w:t>
      </w:r>
      <w:r w:rsidR="00903F7D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kavernózne teleso, ale účinne zvyšuje relaxačný účinok NO na toto tkanivo. Ak je aktivovaná metabolická cesta NO/</w:t>
      </w:r>
      <w:proofErr w:type="spellStart"/>
      <w:r w:rsidRPr="001E0058">
        <w:rPr>
          <w:rFonts w:ascii="Times New Roman" w:eastAsia="TimesNewRoman" w:hAnsi="Times New Roman"/>
          <w:lang w:val="sk-SK"/>
        </w:rPr>
        <w:t>cGMP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ako je to v prípade sexuálnej stimulácie, inhibícia PDE5 účinkom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vedie k zvýšeniu koncentrácie </w:t>
      </w:r>
      <w:proofErr w:type="spellStart"/>
      <w:r w:rsidRPr="001E0058">
        <w:rPr>
          <w:rFonts w:ascii="Times New Roman" w:eastAsia="TimesNewRoman" w:hAnsi="Times New Roman"/>
          <w:lang w:val="sk-SK"/>
        </w:rPr>
        <w:t>cGMP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v kavernóznom telese. Preto dochádza k očakávanému priaznivému farmakologickému účinku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iba v prípade sexuálnej stimulácie.</w:t>
      </w:r>
    </w:p>
    <w:p w14:paraId="70C8D34E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67938CA" w14:textId="77777777" w:rsidR="0026626B" w:rsidRPr="001E0058" w:rsidRDefault="0026626B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r w:rsidRPr="001E0058">
        <w:rPr>
          <w:rFonts w:ascii="Times New Roman" w:eastAsia="TimesNewRoman" w:hAnsi="Times New Roman"/>
          <w:u w:val="single"/>
          <w:lang w:val="sk-SK"/>
        </w:rPr>
        <w:t>Farmakodynamické účinky</w:t>
      </w:r>
    </w:p>
    <w:p w14:paraId="4384573A" w14:textId="77777777" w:rsidR="0026626B" w:rsidRPr="001E0058" w:rsidRDefault="0026626B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</w:p>
    <w:p w14:paraId="6577E4F4" w14:textId="65DB4D40" w:rsidR="00B76076" w:rsidRPr="001E0058" w:rsidRDefault="0026626B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Štúdie </w:t>
      </w:r>
      <w:r w:rsidRPr="001E0058">
        <w:rPr>
          <w:rFonts w:ascii="Times New Roman" w:eastAsia="TimesNewRoman" w:hAnsi="Times New Roman"/>
          <w:i/>
          <w:lang w:val="sk-SK"/>
        </w:rPr>
        <w:t xml:space="preserve">in vitro </w:t>
      </w:r>
      <w:r w:rsidRPr="001E0058">
        <w:rPr>
          <w:rFonts w:ascii="Times New Roman" w:eastAsia="TimesNewRoman" w:hAnsi="Times New Roman"/>
          <w:lang w:val="sk-SK"/>
        </w:rPr>
        <w:t xml:space="preserve">preukázali, že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je selektívny pre PDE5, ktorá sa podieľa na procese erekcie. Jeho účinok je výraznejší na PDE5 ako na ostatné známe </w:t>
      </w:r>
      <w:proofErr w:type="spellStart"/>
      <w:r w:rsidRPr="001E0058">
        <w:rPr>
          <w:rFonts w:ascii="Times New Roman" w:eastAsia="TimesNewRoman" w:hAnsi="Times New Roman"/>
          <w:lang w:val="sk-SK"/>
        </w:rPr>
        <w:t>fosfodiesterázy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.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je 10-krát selektívnejší pre PDE5 ako pre PDE6, ktorá sa podieľa na </w:t>
      </w:r>
      <w:proofErr w:type="spellStart"/>
      <w:r w:rsidRPr="001E0058">
        <w:rPr>
          <w:rFonts w:ascii="Times New Roman" w:eastAsia="TimesNewRoman" w:hAnsi="Times New Roman"/>
          <w:lang w:val="sk-SK"/>
        </w:rPr>
        <w:t>fototransdukcii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v </w:t>
      </w:r>
      <w:r w:rsidR="00E97D38">
        <w:rPr>
          <w:rFonts w:ascii="Times New Roman" w:eastAsia="TimesNewRoman" w:hAnsi="Times New Roman"/>
          <w:lang w:val="sk-SK"/>
        </w:rPr>
        <w:t>sietnici</w:t>
      </w:r>
      <w:r w:rsidRPr="001E0058">
        <w:rPr>
          <w:rFonts w:ascii="Times New Roman" w:eastAsia="TimesNewRoman" w:hAnsi="Times New Roman"/>
          <w:lang w:val="sk-SK"/>
        </w:rPr>
        <w:t>. Pri maximálnych odporučených dávkach má 80-</w:t>
      </w:r>
      <w:r w:rsidR="00E97D38">
        <w:rPr>
          <w:rFonts w:ascii="Times New Roman" w:eastAsia="TimesNewRoman" w:hAnsi="Times New Roman"/>
          <w:lang w:val="sk-SK"/>
        </w:rPr>
        <w:t>násobne</w:t>
      </w:r>
      <w:r w:rsidRPr="001E0058">
        <w:rPr>
          <w:rFonts w:ascii="Times New Roman" w:eastAsia="TimesNewRoman" w:hAnsi="Times New Roman"/>
          <w:lang w:val="sk-SK"/>
        </w:rPr>
        <w:t xml:space="preserve"> vyššiu </w:t>
      </w:r>
      <w:proofErr w:type="spellStart"/>
      <w:r w:rsidRPr="001E0058">
        <w:rPr>
          <w:rFonts w:ascii="Times New Roman" w:eastAsia="TimesNewRoman" w:hAnsi="Times New Roman"/>
          <w:lang w:val="sk-SK"/>
        </w:rPr>
        <w:t>selektivitu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pre PDE5 </w:t>
      </w:r>
      <w:r w:rsidR="00E97D38">
        <w:rPr>
          <w:rFonts w:ascii="Times New Roman" w:eastAsia="TimesNewRoman" w:hAnsi="Times New Roman"/>
          <w:lang w:val="sk-SK"/>
        </w:rPr>
        <w:t xml:space="preserve">ako </w:t>
      </w:r>
      <w:r w:rsidRPr="001E0058">
        <w:rPr>
          <w:rFonts w:ascii="Times New Roman" w:eastAsia="TimesNewRoman" w:hAnsi="Times New Roman"/>
          <w:lang w:val="sk-SK"/>
        </w:rPr>
        <w:t>pre PDE1 a viac ako 700-</w:t>
      </w:r>
      <w:r w:rsidR="00E97D38">
        <w:rPr>
          <w:rFonts w:ascii="Times New Roman" w:eastAsia="TimesNewRoman" w:hAnsi="Times New Roman"/>
          <w:lang w:val="sk-SK"/>
        </w:rPr>
        <w:t xml:space="preserve">násobne </w:t>
      </w:r>
      <w:r w:rsidRPr="001E0058">
        <w:rPr>
          <w:rFonts w:ascii="Times New Roman" w:eastAsia="TimesNewRoman" w:hAnsi="Times New Roman"/>
          <w:lang w:val="sk-SK"/>
        </w:rPr>
        <w:t xml:space="preserve">vyššiu </w:t>
      </w:r>
      <w:proofErr w:type="spellStart"/>
      <w:r w:rsidRPr="001E0058">
        <w:rPr>
          <w:rFonts w:ascii="Times New Roman" w:eastAsia="TimesNewRoman" w:hAnsi="Times New Roman"/>
          <w:lang w:val="sk-SK"/>
        </w:rPr>
        <w:t>selektivitu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pre PDE5 </w:t>
      </w:r>
      <w:r w:rsidR="00E97D38">
        <w:rPr>
          <w:rFonts w:ascii="Times New Roman" w:eastAsia="TimesNewRoman" w:hAnsi="Times New Roman"/>
          <w:lang w:val="sk-SK"/>
        </w:rPr>
        <w:t>ako</w:t>
      </w:r>
      <w:r w:rsidR="00E97D38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pre PDE2, 3, 4, 7, 8, 9, 10 a 11. </w:t>
      </w:r>
      <w:proofErr w:type="spellStart"/>
      <w:r w:rsidR="00542FD7">
        <w:rPr>
          <w:rFonts w:ascii="Times New Roman" w:eastAsia="TimesNewRoman" w:hAnsi="Times New Roman"/>
          <w:lang w:val="sk-SK"/>
        </w:rPr>
        <w:t>S</w:t>
      </w:r>
      <w:r w:rsidRPr="001E0058">
        <w:rPr>
          <w:rFonts w:ascii="Times New Roman" w:eastAsia="TimesNewRoman" w:hAnsi="Times New Roman"/>
          <w:lang w:val="sk-SK"/>
        </w:rPr>
        <w:t>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má </w:t>
      </w:r>
      <w:r w:rsidR="00542FD7">
        <w:rPr>
          <w:rFonts w:ascii="Times New Roman" w:eastAsia="TimesNewRoman" w:hAnsi="Times New Roman"/>
          <w:lang w:val="sk-SK"/>
        </w:rPr>
        <w:t xml:space="preserve">predovšetkým </w:t>
      </w:r>
      <w:r w:rsidRPr="001E0058">
        <w:rPr>
          <w:rFonts w:ascii="Times New Roman" w:eastAsia="TimesNewRoman" w:hAnsi="Times New Roman"/>
          <w:lang w:val="sk-SK"/>
        </w:rPr>
        <w:t>4</w:t>
      </w:r>
      <w:r w:rsidR="00E97D38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000-</w:t>
      </w:r>
      <w:r w:rsidR="00E97D38">
        <w:rPr>
          <w:rFonts w:ascii="Times New Roman" w:eastAsia="TimesNewRoman" w:hAnsi="Times New Roman"/>
          <w:lang w:val="sk-SK"/>
        </w:rPr>
        <w:t>násobne</w:t>
      </w:r>
      <w:r w:rsidR="00E97D38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vyššiu </w:t>
      </w:r>
      <w:proofErr w:type="spellStart"/>
      <w:r w:rsidRPr="001E0058">
        <w:rPr>
          <w:rFonts w:ascii="Times New Roman" w:eastAsia="TimesNewRoman" w:hAnsi="Times New Roman"/>
          <w:lang w:val="sk-SK"/>
        </w:rPr>
        <w:t>selektivitu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pre PDE5 ako pre PDE3, </w:t>
      </w:r>
      <w:proofErr w:type="spellStart"/>
      <w:r w:rsidRPr="001E0058">
        <w:rPr>
          <w:rFonts w:ascii="Times New Roman" w:eastAsia="TimesNewRoman" w:hAnsi="Times New Roman"/>
          <w:lang w:val="sk-SK"/>
        </w:rPr>
        <w:t>izoformu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fosfodiesterázy</w:t>
      </w:r>
      <w:proofErr w:type="spellEnd"/>
      <w:r w:rsidR="00542FD7">
        <w:rPr>
          <w:rFonts w:ascii="Times New Roman" w:eastAsia="TimesNewRoman" w:hAnsi="Times New Roman"/>
          <w:lang w:val="sk-SK"/>
        </w:rPr>
        <w:t xml:space="preserve"> špecifickú pre </w:t>
      </w:r>
      <w:proofErr w:type="spellStart"/>
      <w:r w:rsidR="00542FD7">
        <w:rPr>
          <w:rFonts w:ascii="Times New Roman" w:eastAsia="TimesNewRoman" w:hAnsi="Times New Roman"/>
          <w:lang w:val="sk-SK"/>
        </w:rPr>
        <w:t>cAMP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ktorá sa podieľa na kontrole </w:t>
      </w:r>
      <w:proofErr w:type="spellStart"/>
      <w:r w:rsidRPr="001E0058">
        <w:rPr>
          <w:rFonts w:ascii="Times New Roman" w:eastAsia="TimesNewRoman" w:hAnsi="Times New Roman"/>
          <w:lang w:val="sk-SK"/>
        </w:rPr>
        <w:t>kontraktility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542FD7">
        <w:rPr>
          <w:rFonts w:ascii="Times New Roman" w:eastAsia="TimesNewRoman" w:hAnsi="Times New Roman"/>
          <w:lang w:val="sk-SK"/>
        </w:rPr>
        <w:t>srdca.</w:t>
      </w:r>
    </w:p>
    <w:p w14:paraId="43975BB4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20A5D3EC" w14:textId="42FEB137" w:rsidR="00B76076" w:rsidRPr="001E0058" w:rsidRDefault="0035312A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r w:rsidRPr="001E0058">
        <w:rPr>
          <w:rFonts w:ascii="Times New Roman" w:eastAsia="TimesNewRoman" w:hAnsi="Times New Roman"/>
          <w:u w:val="single"/>
          <w:lang w:val="sk-SK"/>
        </w:rPr>
        <w:t>Klinická účinnosť a bezpečnosť</w:t>
      </w:r>
    </w:p>
    <w:p w14:paraId="14BFBBCF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0420D0FD" w14:textId="7FD4B31A" w:rsidR="00176A35" w:rsidRPr="001E0058" w:rsidRDefault="00176A35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hAnsi="Times New Roman"/>
          <w:lang w:val="sk-SK"/>
        </w:rPr>
        <w:t xml:space="preserve">Z klinického hľadiska vyžaduje vysoká </w:t>
      </w:r>
      <w:proofErr w:type="spellStart"/>
      <w:r w:rsidRPr="001E0058">
        <w:rPr>
          <w:rFonts w:ascii="Times New Roman" w:hAnsi="Times New Roman"/>
          <w:lang w:val="sk-SK"/>
        </w:rPr>
        <w:t>prevalencia</w:t>
      </w:r>
      <w:proofErr w:type="spellEnd"/>
      <w:r w:rsidRPr="001E0058">
        <w:rPr>
          <w:rFonts w:ascii="Times New Roman" w:hAnsi="Times New Roman"/>
          <w:lang w:val="sk-SK"/>
        </w:rPr>
        <w:t xml:space="preserve"> </w:t>
      </w:r>
      <w:proofErr w:type="spellStart"/>
      <w:r w:rsidRPr="001E0058">
        <w:rPr>
          <w:rFonts w:ascii="Times New Roman" w:hAnsi="Times New Roman"/>
          <w:lang w:val="sk-SK"/>
        </w:rPr>
        <w:t>erektilnej</w:t>
      </w:r>
      <w:proofErr w:type="spellEnd"/>
      <w:r w:rsidRPr="001E0058">
        <w:rPr>
          <w:rFonts w:ascii="Times New Roman" w:hAnsi="Times New Roman"/>
          <w:lang w:val="sk-SK"/>
        </w:rPr>
        <w:t xml:space="preserve"> dysfunkcie (ED) u mužov všetkých vekových skupín s rôznymi </w:t>
      </w:r>
      <w:proofErr w:type="spellStart"/>
      <w:r w:rsidRPr="001E0058">
        <w:rPr>
          <w:rFonts w:ascii="Times New Roman" w:hAnsi="Times New Roman"/>
          <w:lang w:val="sk-SK"/>
        </w:rPr>
        <w:t>psychogénnymi</w:t>
      </w:r>
      <w:proofErr w:type="spellEnd"/>
      <w:r w:rsidRPr="001E0058">
        <w:rPr>
          <w:rFonts w:ascii="Times New Roman" w:hAnsi="Times New Roman"/>
          <w:lang w:val="sk-SK"/>
        </w:rPr>
        <w:t xml:space="preserve"> a organickými poruchami individuálny prístup k voľbe liečby a je známe, že odpoveď </w:t>
      </w:r>
      <w:r w:rsidR="00C569AB">
        <w:rPr>
          <w:rFonts w:ascii="Times New Roman" w:hAnsi="Times New Roman"/>
          <w:lang w:val="sk-SK"/>
        </w:rPr>
        <w:t xml:space="preserve">na </w:t>
      </w:r>
      <w:proofErr w:type="spellStart"/>
      <w:r w:rsidR="00C569AB" w:rsidRPr="001E0058">
        <w:rPr>
          <w:rFonts w:ascii="Times New Roman" w:hAnsi="Times New Roman"/>
          <w:lang w:val="sk-SK"/>
        </w:rPr>
        <w:t>sildenafil</w:t>
      </w:r>
      <w:proofErr w:type="spellEnd"/>
      <w:r w:rsidR="00C569AB">
        <w:rPr>
          <w:rFonts w:ascii="Times New Roman" w:hAnsi="Times New Roman"/>
          <w:lang w:val="sk-SK"/>
        </w:rPr>
        <w:t xml:space="preserve"> je závislá od</w:t>
      </w:r>
      <w:r w:rsidRPr="001E0058">
        <w:rPr>
          <w:rFonts w:ascii="Times New Roman" w:hAnsi="Times New Roman"/>
          <w:lang w:val="sk-SK"/>
        </w:rPr>
        <w:t xml:space="preserve"> dávk</w:t>
      </w:r>
      <w:r w:rsidR="00C569AB">
        <w:rPr>
          <w:rFonts w:ascii="Times New Roman" w:hAnsi="Times New Roman"/>
          <w:lang w:val="sk-SK"/>
        </w:rPr>
        <w:t>y</w:t>
      </w:r>
      <w:r w:rsidRPr="001E0058">
        <w:rPr>
          <w:rFonts w:ascii="Times New Roman" w:hAnsi="Times New Roman"/>
          <w:lang w:val="sk-SK"/>
        </w:rPr>
        <w:t xml:space="preserve"> </w:t>
      </w:r>
      <w:r w:rsidR="00C569AB">
        <w:rPr>
          <w:rFonts w:ascii="Times New Roman" w:hAnsi="Times New Roman"/>
          <w:lang w:val="sk-SK"/>
        </w:rPr>
        <w:t xml:space="preserve">a </w:t>
      </w:r>
      <w:r w:rsidRPr="001E0058">
        <w:rPr>
          <w:rFonts w:ascii="Times New Roman" w:hAnsi="Times New Roman"/>
          <w:lang w:val="sk-SK"/>
        </w:rPr>
        <w:t xml:space="preserve">je pre každého pacienta odlišná. Z tohto dôvodu je možnosť upraviť dávku podľa </w:t>
      </w:r>
      <w:proofErr w:type="spellStart"/>
      <w:r w:rsidRPr="001E0058">
        <w:rPr>
          <w:rFonts w:ascii="Times New Roman" w:hAnsi="Times New Roman"/>
          <w:lang w:val="sk-SK"/>
        </w:rPr>
        <w:t>komorbidít</w:t>
      </w:r>
      <w:proofErr w:type="spellEnd"/>
      <w:r w:rsidRPr="001E0058">
        <w:rPr>
          <w:rFonts w:ascii="Times New Roman" w:hAnsi="Times New Roman"/>
          <w:lang w:val="sk-SK"/>
        </w:rPr>
        <w:t>, znášanlivosti a účinnosti pre každého pacienta dôležit</w:t>
      </w:r>
      <w:r w:rsidR="00542FD7">
        <w:rPr>
          <w:rFonts w:ascii="Times New Roman" w:hAnsi="Times New Roman"/>
          <w:lang w:val="sk-SK"/>
        </w:rPr>
        <w:t>ou vlastnosťou</w:t>
      </w:r>
      <w:r w:rsidRPr="001E0058">
        <w:rPr>
          <w:rFonts w:ascii="Times New Roman" w:hAnsi="Times New Roman"/>
          <w:lang w:val="sk-SK"/>
        </w:rPr>
        <w:t xml:space="preserve"> </w:t>
      </w:r>
      <w:bookmarkStart w:id="4" w:name="_Hlk521494947"/>
      <w:r w:rsidR="00542FD7">
        <w:rPr>
          <w:rFonts w:ascii="Times New Roman" w:hAnsi="Times New Roman"/>
          <w:lang w:val="sk-SK"/>
        </w:rPr>
        <w:t>liekovej</w:t>
      </w:r>
      <w:r w:rsidRPr="001E0058">
        <w:rPr>
          <w:rFonts w:ascii="Times New Roman" w:hAnsi="Times New Roman"/>
          <w:lang w:val="sk-SK"/>
        </w:rPr>
        <w:t xml:space="preserve"> formy obsahujúcej </w:t>
      </w:r>
      <w:proofErr w:type="spellStart"/>
      <w:r w:rsidRPr="001E0058">
        <w:rPr>
          <w:rFonts w:ascii="Times New Roman" w:hAnsi="Times New Roman"/>
          <w:lang w:val="sk-SK"/>
        </w:rPr>
        <w:t>sildenafil</w:t>
      </w:r>
      <w:proofErr w:type="spellEnd"/>
      <w:r w:rsidRPr="001E0058">
        <w:rPr>
          <w:rFonts w:ascii="Times New Roman" w:hAnsi="Times New Roman"/>
          <w:lang w:val="sk-SK"/>
        </w:rPr>
        <w:t>.</w:t>
      </w:r>
    </w:p>
    <w:bookmarkEnd w:id="4"/>
    <w:p w14:paraId="79FE2A3C" w14:textId="77777777" w:rsidR="00176A35" w:rsidRPr="001E0058" w:rsidRDefault="00176A35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6CBD58F" w14:textId="26A74612" w:rsidR="00E9099E" w:rsidRPr="001E0058" w:rsidRDefault="00176A35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hAnsi="Times New Roman"/>
          <w:lang w:val="sk-SK"/>
        </w:rPr>
        <w:lastRenderedPageBreak/>
        <w:t>Cieľom lekára je nájsť najnižšiu ideálnu dávku dostatočnú na dosiahnutie vhodného farmakologického účinku, ale čo najnižšiu, aby sa minimalizovali nežiaduce účinky.</w:t>
      </w:r>
    </w:p>
    <w:p w14:paraId="466493F3" w14:textId="77777777" w:rsidR="00E9099E" w:rsidRPr="001E0058" w:rsidRDefault="00E9099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A94BB16" w14:textId="0B72DF49" w:rsidR="00B76076" w:rsidRPr="001E0058" w:rsidRDefault="003A3A9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Dve klinické </w:t>
      </w:r>
      <w:r w:rsidR="00542FD7">
        <w:rPr>
          <w:rFonts w:ascii="Times New Roman" w:eastAsia="TimesNewRoman" w:hAnsi="Times New Roman"/>
          <w:lang w:val="sk-SK"/>
        </w:rPr>
        <w:t>skúšania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542FD7">
        <w:rPr>
          <w:rFonts w:ascii="Times New Roman" w:eastAsia="TimesNewRoman" w:hAnsi="Times New Roman"/>
          <w:lang w:val="sk-SK"/>
        </w:rPr>
        <w:t>boli</w:t>
      </w:r>
      <w:r w:rsidRPr="001E0058">
        <w:rPr>
          <w:rFonts w:ascii="Times New Roman" w:eastAsia="TimesNewRoman" w:hAnsi="Times New Roman"/>
          <w:lang w:val="sk-SK"/>
        </w:rPr>
        <w:t xml:space="preserve"> špeci</w:t>
      </w:r>
      <w:r w:rsidR="00542FD7">
        <w:rPr>
          <w:rFonts w:ascii="Times New Roman" w:eastAsia="TimesNewRoman" w:hAnsi="Times New Roman"/>
          <w:lang w:val="sk-SK"/>
        </w:rPr>
        <w:t xml:space="preserve">ficky </w:t>
      </w:r>
      <w:proofErr w:type="spellStart"/>
      <w:r w:rsidR="00542FD7">
        <w:rPr>
          <w:rFonts w:ascii="Times New Roman" w:eastAsia="TimesNewRoman" w:hAnsi="Times New Roman"/>
          <w:lang w:val="sk-SK"/>
        </w:rPr>
        <w:t>dizajnované</w:t>
      </w:r>
      <w:proofErr w:type="spellEnd"/>
      <w:r w:rsidR="00542FD7">
        <w:rPr>
          <w:rFonts w:ascii="Times New Roman" w:eastAsia="TimesNewRoman" w:hAnsi="Times New Roman"/>
          <w:lang w:val="sk-SK"/>
        </w:rPr>
        <w:t xml:space="preserve"> tak</w:t>
      </w:r>
      <w:r w:rsidRPr="001E0058">
        <w:rPr>
          <w:rFonts w:ascii="Times New Roman" w:eastAsia="TimesNewRoman" w:hAnsi="Times New Roman"/>
          <w:lang w:val="sk-SK"/>
        </w:rPr>
        <w:t xml:space="preserve">, aby sa určil časový úsek po podaní dávky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počas ktorého dochádza k erekcii ako odpovedi na sexuálnu stimuláciu. V </w:t>
      </w:r>
      <w:r w:rsidR="00903F7D">
        <w:rPr>
          <w:rFonts w:ascii="Times New Roman" w:eastAsia="TimesNewRoman" w:hAnsi="Times New Roman"/>
          <w:lang w:val="sk-SK"/>
        </w:rPr>
        <w:t>skúšaní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903F7D">
        <w:rPr>
          <w:rFonts w:ascii="Times New Roman" w:eastAsia="TimesNewRoman" w:hAnsi="Times New Roman"/>
          <w:lang w:val="sk-SK"/>
        </w:rPr>
        <w:t>použitím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903F7D">
        <w:rPr>
          <w:rFonts w:ascii="Times New Roman" w:eastAsia="TimesNewRoman" w:hAnsi="Times New Roman"/>
          <w:lang w:val="sk-SK"/>
        </w:rPr>
        <w:t>falopletyzmografi</w:t>
      </w:r>
      <w:r w:rsidR="00903F7D" w:rsidRPr="00097C3B">
        <w:rPr>
          <w:rFonts w:ascii="Times New Roman" w:eastAsia="TimesNewRoman" w:hAnsi="Times New Roman"/>
          <w:lang w:val="sk-SK"/>
        </w:rPr>
        <w:t>e</w:t>
      </w:r>
      <w:proofErr w:type="spellEnd"/>
      <w:r w:rsidRPr="004C14F5">
        <w:rPr>
          <w:rFonts w:ascii="Times New Roman" w:eastAsia="TimesNewRoman" w:hAnsi="Times New Roman"/>
          <w:lang w:val="sk-SK"/>
        </w:rPr>
        <w:t xml:space="preserve"> (</w:t>
      </w:r>
      <w:proofErr w:type="spellStart"/>
      <w:r w:rsidRPr="004C14F5">
        <w:rPr>
          <w:rFonts w:ascii="Times New Roman" w:eastAsia="TimesNewRoman" w:hAnsi="Times New Roman"/>
          <w:lang w:val="sk-SK"/>
        </w:rPr>
        <w:t>RigiScan</w:t>
      </w:r>
      <w:proofErr w:type="spellEnd"/>
      <w:r w:rsidRPr="004C14F5">
        <w:rPr>
          <w:rFonts w:ascii="Times New Roman" w:eastAsia="TimesNewRoman" w:hAnsi="Times New Roman"/>
          <w:lang w:val="sk-SK"/>
        </w:rPr>
        <w:t>)</w:t>
      </w:r>
      <w:r w:rsidRPr="001E0058">
        <w:rPr>
          <w:rFonts w:ascii="Times New Roman" w:eastAsia="TimesNewRoman" w:hAnsi="Times New Roman"/>
          <w:lang w:val="sk-SK"/>
        </w:rPr>
        <w:t xml:space="preserve"> u pacientov pri podávaní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nalačno bol priemerný čas </w:t>
      </w:r>
      <w:r w:rsidR="004245C1">
        <w:rPr>
          <w:rFonts w:ascii="Times New Roman" w:eastAsia="TimesNewRoman" w:hAnsi="Times New Roman"/>
          <w:lang w:val="sk-SK"/>
        </w:rPr>
        <w:t xml:space="preserve">do </w:t>
      </w:r>
      <w:r w:rsidRPr="001E0058">
        <w:rPr>
          <w:rFonts w:ascii="Times New Roman" w:eastAsia="TimesNewRoman" w:hAnsi="Times New Roman"/>
          <w:lang w:val="sk-SK"/>
        </w:rPr>
        <w:t>dosiahnuti</w:t>
      </w:r>
      <w:r w:rsidR="004245C1">
        <w:rPr>
          <w:rFonts w:ascii="Times New Roman" w:eastAsia="TimesNewRoman" w:hAnsi="Times New Roman"/>
          <w:lang w:val="sk-SK"/>
        </w:rPr>
        <w:t>a</w:t>
      </w:r>
      <w:r w:rsidRPr="001E0058">
        <w:rPr>
          <w:rFonts w:ascii="Times New Roman" w:eastAsia="TimesNewRoman" w:hAnsi="Times New Roman"/>
          <w:lang w:val="sk-SK"/>
        </w:rPr>
        <w:t xml:space="preserve"> erekcie u tých, ktorí dosiahli erekciu so 60</w:t>
      </w:r>
      <w:r w:rsidR="00FF5941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 </w:t>
      </w:r>
      <w:proofErr w:type="spellStart"/>
      <w:r w:rsidRPr="001E0058">
        <w:rPr>
          <w:rFonts w:ascii="Times New Roman" w:eastAsia="TimesNewRoman" w:hAnsi="Times New Roman"/>
          <w:lang w:val="sk-SK"/>
        </w:rPr>
        <w:t>rigiditou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(dostačujúci stupeň </w:t>
      </w:r>
      <w:proofErr w:type="spellStart"/>
      <w:r w:rsidRPr="001E0058">
        <w:rPr>
          <w:rFonts w:ascii="Times New Roman" w:eastAsia="TimesNewRoman" w:hAnsi="Times New Roman"/>
          <w:lang w:val="sk-SK"/>
        </w:rPr>
        <w:t>rigidity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na vykonanie pohlavného styku) 25 minút (rozsah 12</w:t>
      </w:r>
      <w:r w:rsidR="00FF5941">
        <w:rPr>
          <w:rFonts w:ascii="Times New Roman" w:eastAsia="TimesNewRoman" w:hAnsi="Times New Roman"/>
          <w:lang w:val="sk-SK"/>
        </w:rPr>
        <w:t> </w:t>
      </w:r>
      <w:r w:rsidR="00FF5941">
        <w:rPr>
          <w:rFonts w:ascii="Times New Roman" w:eastAsia="TimesNewRoman" w:hAnsi="Times New Roman"/>
          <w:lang w:val="sk-SK"/>
        </w:rPr>
        <w:noBreakHyphen/>
        <w:t> </w:t>
      </w:r>
      <w:r w:rsidRPr="001E0058">
        <w:rPr>
          <w:rFonts w:ascii="Times New Roman" w:eastAsia="TimesNewRoman" w:hAnsi="Times New Roman"/>
          <w:lang w:val="sk-SK"/>
        </w:rPr>
        <w:t>37 minút). V druh</w:t>
      </w:r>
      <w:r w:rsidR="00542FD7">
        <w:rPr>
          <w:rFonts w:ascii="Times New Roman" w:eastAsia="TimesNewRoman" w:hAnsi="Times New Roman"/>
          <w:lang w:val="sk-SK"/>
        </w:rPr>
        <w:t>om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542FD7">
        <w:rPr>
          <w:rFonts w:ascii="Times New Roman" w:eastAsia="TimesNewRoman" w:hAnsi="Times New Roman"/>
          <w:lang w:val="sk-SK"/>
        </w:rPr>
        <w:t>skúšaní</w:t>
      </w:r>
      <w:r w:rsidRPr="001E0058">
        <w:rPr>
          <w:rFonts w:ascii="Times New Roman" w:eastAsia="TimesNewRoman" w:hAnsi="Times New Roman"/>
          <w:lang w:val="sk-SK"/>
        </w:rPr>
        <w:t>, v ktor</w:t>
      </w:r>
      <w:r w:rsidR="00542FD7">
        <w:rPr>
          <w:rFonts w:ascii="Times New Roman" w:eastAsia="TimesNewRoman" w:hAnsi="Times New Roman"/>
          <w:lang w:val="sk-SK"/>
        </w:rPr>
        <w:t>om</w:t>
      </w:r>
      <w:r w:rsidRPr="001E0058">
        <w:rPr>
          <w:rFonts w:ascii="Times New Roman" w:eastAsia="TimesNewRoman" w:hAnsi="Times New Roman"/>
          <w:lang w:val="sk-SK"/>
        </w:rPr>
        <w:t xml:space="preserve"> sa tiež používal </w:t>
      </w:r>
      <w:proofErr w:type="spellStart"/>
      <w:r w:rsidRPr="001E0058">
        <w:rPr>
          <w:rFonts w:ascii="Times New Roman" w:eastAsia="TimesNewRoman" w:hAnsi="Times New Roman"/>
          <w:lang w:val="sk-SK"/>
        </w:rPr>
        <w:t>RigiScan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bol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schopný vyvolať erekciu ako odpoveď na sexuálnu stimuláciu ešte 4</w:t>
      </w:r>
      <w:r w:rsidR="00BE1286">
        <w:rPr>
          <w:rFonts w:ascii="Times New Roman" w:eastAsia="TimesNewRoman" w:hAnsi="Times New Roman"/>
          <w:lang w:val="sk-SK"/>
        </w:rPr>
        <w:t> – </w:t>
      </w:r>
      <w:r w:rsidRPr="001E0058">
        <w:rPr>
          <w:rFonts w:ascii="Times New Roman" w:eastAsia="TimesNewRoman" w:hAnsi="Times New Roman"/>
          <w:lang w:val="sk-SK"/>
        </w:rPr>
        <w:t>5</w:t>
      </w:r>
      <w:r w:rsidR="00BE1286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hodín po podaní dávky.</w:t>
      </w:r>
    </w:p>
    <w:p w14:paraId="74375B96" w14:textId="77777777" w:rsidR="00337E30" w:rsidRPr="001E0058" w:rsidRDefault="00337E30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6D9E806" w14:textId="6DB690CF" w:rsidR="00B76076" w:rsidRPr="001E0058" w:rsidRDefault="00337E30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spôsobuje mierny a prechodný pokles </w:t>
      </w:r>
      <w:r w:rsidR="00852FE1" w:rsidRPr="001E0058">
        <w:rPr>
          <w:rFonts w:ascii="Times New Roman" w:eastAsia="TimesNewRoman" w:hAnsi="Times New Roman"/>
          <w:lang w:val="sk-SK"/>
        </w:rPr>
        <w:t>krv</w:t>
      </w:r>
      <w:r w:rsidR="00852FE1">
        <w:rPr>
          <w:rFonts w:ascii="Times New Roman" w:eastAsia="TimesNewRoman" w:hAnsi="Times New Roman"/>
          <w:lang w:val="sk-SK"/>
        </w:rPr>
        <w:t>ného</w:t>
      </w:r>
      <w:r w:rsidR="00852FE1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tlaku, </w:t>
      </w:r>
      <w:r w:rsidR="00FF2074">
        <w:rPr>
          <w:rFonts w:ascii="Times New Roman" w:eastAsia="TimesNewRoman" w:hAnsi="Times New Roman"/>
          <w:lang w:val="sk-SK"/>
        </w:rPr>
        <w:t xml:space="preserve">ktorý </w:t>
      </w:r>
      <w:r w:rsidRPr="001E0058">
        <w:rPr>
          <w:rFonts w:ascii="Times New Roman" w:eastAsia="TimesNewRoman" w:hAnsi="Times New Roman"/>
          <w:lang w:val="sk-SK"/>
        </w:rPr>
        <w:t xml:space="preserve">vo väčšine prípadov </w:t>
      </w:r>
      <w:r w:rsidR="00FF2074">
        <w:rPr>
          <w:rFonts w:ascii="Times New Roman" w:eastAsia="TimesNewRoman" w:hAnsi="Times New Roman"/>
          <w:lang w:val="sk-SK"/>
        </w:rPr>
        <w:t xml:space="preserve">nemá </w:t>
      </w:r>
      <w:r w:rsidRPr="001E0058">
        <w:rPr>
          <w:rFonts w:ascii="Times New Roman" w:eastAsia="TimesNewRoman" w:hAnsi="Times New Roman"/>
          <w:lang w:val="sk-SK"/>
        </w:rPr>
        <w:t>klinick</w:t>
      </w:r>
      <w:r w:rsidR="00FF2074">
        <w:rPr>
          <w:rFonts w:ascii="Times New Roman" w:eastAsia="TimesNewRoman" w:hAnsi="Times New Roman"/>
          <w:lang w:val="sk-SK"/>
        </w:rPr>
        <w:t>ý</w:t>
      </w:r>
      <w:r w:rsidRPr="001E0058">
        <w:rPr>
          <w:rFonts w:ascii="Times New Roman" w:eastAsia="TimesNewRoman" w:hAnsi="Times New Roman"/>
          <w:lang w:val="sk-SK"/>
        </w:rPr>
        <w:t xml:space="preserve"> význam. Priemerné maximálne zníženie </w:t>
      </w:r>
      <w:proofErr w:type="spellStart"/>
      <w:r w:rsidRPr="001E0058">
        <w:rPr>
          <w:rFonts w:ascii="Times New Roman" w:eastAsia="TimesNewRoman" w:hAnsi="Times New Roman"/>
          <w:lang w:val="sk-SK"/>
        </w:rPr>
        <w:t>systolického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0F26B0" w:rsidRPr="001E0058">
        <w:rPr>
          <w:rFonts w:ascii="Times New Roman" w:eastAsia="TimesNewRoman" w:hAnsi="Times New Roman"/>
          <w:lang w:val="sk-SK"/>
        </w:rPr>
        <w:t>krv</w:t>
      </w:r>
      <w:r w:rsidR="000F26B0">
        <w:rPr>
          <w:rFonts w:ascii="Times New Roman" w:eastAsia="TimesNewRoman" w:hAnsi="Times New Roman"/>
          <w:lang w:val="sk-SK"/>
        </w:rPr>
        <w:t>ného</w:t>
      </w:r>
      <w:r w:rsidR="000F26B0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tlaku v ľahu po </w:t>
      </w:r>
      <w:r w:rsidR="001D5D8B">
        <w:rPr>
          <w:rFonts w:ascii="Times New Roman" w:eastAsia="TimesNewRoman" w:hAnsi="Times New Roman"/>
          <w:lang w:val="sk-SK"/>
        </w:rPr>
        <w:t>perorálnom</w:t>
      </w:r>
      <w:r w:rsidR="001D5D8B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podaní 100</w:t>
      </w:r>
      <w:r w:rsidR="001D5D8B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mg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bolo 8,4 </w:t>
      </w:r>
      <w:proofErr w:type="spellStart"/>
      <w:r w:rsidRPr="001E0058">
        <w:rPr>
          <w:rFonts w:ascii="Times New Roman" w:eastAsia="TimesNewRoman" w:hAnsi="Times New Roman"/>
          <w:lang w:val="sk-SK"/>
        </w:rPr>
        <w:t>mmHg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. </w:t>
      </w:r>
      <w:r w:rsidR="00CB285D">
        <w:rPr>
          <w:rFonts w:ascii="Times New Roman" w:eastAsia="TimesNewRoman" w:hAnsi="Times New Roman"/>
          <w:lang w:val="sk-SK"/>
        </w:rPr>
        <w:t>Zodpovedajúca</w:t>
      </w:r>
      <w:r w:rsidRPr="001E0058">
        <w:rPr>
          <w:rFonts w:ascii="Times New Roman" w:eastAsia="TimesNewRoman" w:hAnsi="Times New Roman"/>
          <w:lang w:val="sk-SK"/>
        </w:rPr>
        <w:t xml:space="preserve"> zmena diastolického </w:t>
      </w:r>
      <w:r w:rsidR="00CB285D" w:rsidRPr="001E0058">
        <w:rPr>
          <w:rFonts w:ascii="Times New Roman" w:eastAsia="TimesNewRoman" w:hAnsi="Times New Roman"/>
          <w:lang w:val="sk-SK"/>
        </w:rPr>
        <w:t>krv</w:t>
      </w:r>
      <w:r w:rsidR="00CB285D">
        <w:rPr>
          <w:rFonts w:ascii="Times New Roman" w:eastAsia="TimesNewRoman" w:hAnsi="Times New Roman"/>
          <w:lang w:val="sk-SK"/>
        </w:rPr>
        <w:t>ného</w:t>
      </w:r>
      <w:r w:rsidR="00CB285D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tlaku v ľahu bola 5,5</w:t>
      </w:r>
      <w:r w:rsidR="00CB285D">
        <w:rPr>
          <w:rFonts w:ascii="Times New Roman" w:eastAsia="TimesNewRoman" w:hAnsi="Times New Roman"/>
          <w:lang w:val="sk-SK"/>
        </w:rPr>
        <w:t> </w:t>
      </w:r>
      <w:proofErr w:type="spellStart"/>
      <w:r w:rsidRPr="001E0058">
        <w:rPr>
          <w:rFonts w:ascii="Times New Roman" w:eastAsia="TimesNewRoman" w:hAnsi="Times New Roman"/>
          <w:lang w:val="sk-SK"/>
        </w:rPr>
        <w:t>mmHg</w:t>
      </w:r>
      <w:proofErr w:type="spellEnd"/>
      <w:r w:rsidRPr="001E0058">
        <w:rPr>
          <w:rFonts w:ascii="Times New Roman" w:eastAsia="TimesNewRoman" w:hAnsi="Times New Roman"/>
          <w:lang w:val="sk-SK"/>
        </w:rPr>
        <w:t>.</w:t>
      </w:r>
      <w:r w:rsidR="00887AE2">
        <w:rPr>
          <w:rFonts w:ascii="Times New Roman" w:eastAsia="TimesNewRoman" w:hAnsi="Times New Roman"/>
          <w:lang w:val="sk-SK"/>
        </w:rPr>
        <w:t xml:space="preserve"> T</w:t>
      </w:r>
      <w:r w:rsidRPr="001E0058">
        <w:rPr>
          <w:rFonts w:ascii="Times New Roman" w:eastAsia="TimesNewRoman" w:hAnsi="Times New Roman"/>
          <w:lang w:val="sk-SK"/>
        </w:rPr>
        <w:t xml:space="preserve">oto zníženie hodnôt </w:t>
      </w:r>
      <w:r w:rsidR="006B35F4" w:rsidRPr="001E0058">
        <w:rPr>
          <w:rFonts w:ascii="Times New Roman" w:eastAsia="TimesNewRoman" w:hAnsi="Times New Roman"/>
          <w:lang w:val="sk-SK"/>
        </w:rPr>
        <w:t>krv</w:t>
      </w:r>
      <w:r w:rsidR="006B35F4">
        <w:rPr>
          <w:rFonts w:ascii="Times New Roman" w:eastAsia="TimesNewRoman" w:hAnsi="Times New Roman"/>
          <w:lang w:val="sk-SK"/>
        </w:rPr>
        <w:t>ného</w:t>
      </w:r>
      <w:r w:rsidR="006B35F4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tlaku je v súlade s </w:t>
      </w:r>
      <w:proofErr w:type="spellStart"/>
      <w:r w:rsidRPr="001E0058">
        <w:rPr>
          <w:rFonts w:ascii="Times New Roman" w:eastAsia="TimesNewRoman" w:hAnsi="Times New Roman"/>
          <w:lang w:val="sk-SK"/>
        </w:rPr>
        <w:t>vazodilatačným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účinkom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>, pravdepodobne</w:t>
      </w:r>
      <w:r w:rsidR="0008439F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v dôsledku zvýšenia </w:t>
      </w:r>
      <w:r w:rsidR="006B35F4">
        <w:rPr>
          <w:rFonts w:ascii="Times New Roman" w:eastAsia="TimesNewRoman" w:hAnsi="Times New Roman"/>
          <w:lang w:val="sk-SK"/>
        </w:rPr>
        <w:t xml:space="preserve">hladín </w:t>
      </w:r>
      <w:proofErr w:type="spellStart"/>
      <w:r w:rsidRPr="001E0058">
        <w:rPr>
          <w:rFonts w:ascii="Times New Roman" w:eastAsia="TimesNewRoman" w:hAnsi="Times New Roman"/>
          <w:lang w:val="sk-SK"/>
        </w:rPr>
        <w:t>cGMP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v hladkých svaloch ciev.</w:t>
      </w:r>
    </w:p>
    <w:p w14:paraId="00A70E64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23DFCE7F" w14:textId="0FDE5003" w:rsidR="00B76076" w:rsidRPr="001E0058" w:rsidRDefault="00337E30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Podávanie jednorazových </w:t>
      </w:r>
      <w:r w:rsidR="00DE78EA">
        <w:rPr>
          <w:rFonts w:ascii="Times New Roman" w:eastAsia="TimesNewRoman" w:hAnsi="Times New Roman"/>
          <w:lang w:val="sk-SK"/>
        </w:rPr>
        <w:t xml:space="preserve">perorálnych </w:t>
      </w:r>
      <w:r w:rsidRPr="001E0058">
        <w:rPr>
          <w:rFonts w:ascii="Times New Roman" w:eastAsia="TimesNewRoman" w:hAnsi="Times New Roman"/>
          <w:lang w:val="sk-SK"/>
        </w:rPr>
        <w:t xml:space="preserve">dávok </w:t>
      </w:r>
      <w:proofErr w:type="spellStart"/>
      <w:r w:rsidR="00DE78EA">
        <w:rPr>
          <w:rFonts w:ascii="Times New Roman" w:eastAsia="TimesNewRoman" w:hAnsi="Times New Roman"/>
          <w:lang w:val="sk-SK"/>
        </w:rPr>
        <w:t>sildenafilu</w:t>
      </w:r>
      <w:proofErr w:type="spellEnd"/>
      <w:r w:rsidR="00DE78EA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až do 100 mg </w:t>
      </w:r>
      <w:r w:rsidR="00DE78EA" w:rsidRPr="001E0058">
        <w:rPr>
          <w:rFonts w:ascii="Times New Roman" w:eastAsia="TimesNewRoman" w:hAnsi="Times New Roman"/>
          <w:lang w:val="sk-SK"/>
        </w:rPr>
        <w:t xml:space="preserve">neviedlo </w:t>
      </w:r>
      <w:r w:rsidRPr="001E0058">
        <w:rPr>
          <w:rFonts w:ascii="Times New Roman" w:eastAsia="TimesNewRoman" w:hAnsi="Times New Roman"/>
          <w:lang w:val="sk-SK"/>
        </w:rPr>
        <w:t>u zdravých dobrovoľníkov k žiadnemu klinicky relevantnému účinku na EKG.</w:t>
      </w:r>
    </w:p>
    <w:p w14:paraId="5C01B281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D6BC92B" w14:textId="55A781B0" w:rsidR="00BC29AD" w:rsidRPr="001E0058" w:rsidRDefault="00BC29A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V </w:t>
      </w:r>
      <w:r w:rsidR="00AB72F9">
        <w:rPr>
          <w:rFonts w:ascii="Times New Roman" w:eastAsia="TimesNewRoman" w:hAnsi="Times New Roman"/>
          <w:lang w:val="sk-SK"/>
        </w:rPr>
        <w:t>skúšaní</w:t>
      </w:r>
      <w:r w:rsidRPr="001E0058">
        <w:rPr>
          <w:rFonts w:ascii="Times New Roman" w:eastAsia="TimesNewRoman" w:hAnsi="Times New Roman"/>
          <w:lang w:val="sk-SK"/>
        </w:rPr>
        <w:t xml:space="preserve"> zameran</w:t>
      </w:r>
      <w:r w:rsidR="00AB72F9">
        <w:rPr>
          <w:rFonts w:ascii="Times New Roman" w:eastAsia="TimesNewRoman" w:hAnsi="Times New Roman"/>
          <w:lang w:val="sk-SK"/>
        </w:rPr>
        <w:t>om</w:t>
      </w:r>
      <w:r w:rsidRPr="001E0058">
        <w:rPr>
          <w:rFonts w:ascii="Times New Roman" w:eastAsia="TimesNewRoman" w:hAnsi="Times New Roman"/>
          <w:lang w:val="sk-SK"/>
        </w:rPr>
        <w:t xml:space="preserve"> na </w:t>
      </w:r>
      <w:proofErr w:type="spellStart"/>
      <w:r w:rsidRPr="001E0058">
        <w:rPr>
          <w:rFonts w:ascii="Times New Roman" w:eastAsia="TimesNewRoman" w:hAnsi="Times New Roman"/>
          <w:lang w:val="sk-SK"/>
        </w:rPr>
        <w:t>hemodynamické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účinky jednorazovej perorálnej dávky 100 mg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u 14 pacientov s</w:t>
      </w:r>
      <w:r w:rsidR="008D567E">
        <w:rPr>
          <w:rFonts w:ascii="Times New Roman" w:eastAsia="TimesNewRoman" w:hAnsi="Times New Roman"/>
          <w:lang w:val="sk-SK"/>
        </w:rPr>
        <w:t xml:space="preserve">o závažnou </w:t>
      </w:r>
      <w:r w:rsidRPr="001E0058">
        <w:rPr>
          <w:rFonts w:ascii="Times New Roman" w:eastAsia="TimesNewRoman" w:hAnsi="Times New Roman"/>
          <w:lang w:val="sk-SK"/>
        </w:rPr>
        <w:t>koronárnou artériovou chorobou (CAD) (70</w:t>
      </w:r>
      <w:r w:rsidR="008D567E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 </w:t>
      </w:r>
      <w:proofErr w:type="spellStart"/>
      <w:r w:rsidRPr="001E0058">
        <w:rPr>
          <w:rFonts w:ascii="Times New Roman" w:eastAsia="TimesNewRoman" w:hAnsi="Times New Roman"/>
          <w:lang w:val="sk-SK"/>
        </w:rPr>
        <w:t>stenóza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aspoň jednej koronárnej artérie) poklesol </w:t>
      </w:r>
      <w:r w:rsidR="00AB72F9">
        <w:rPr>
          <w:rFonts w:ascii="Times New Roman" w:eastAsia="TimesNewRoman" w:hAnsi="Times New Roman"/>
          <w:lang w:val="sk-SK"/>
        </w:rPr>
        <w:t>priemerný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AB72F9">
        <w:rPr>
          <w:rFonts w:ascii="Times New Roman" w:eastAsia="TimesNewRoman" w:hAnsi="Times New Roman"/>
          <w:lang w:val="sk-SK"/>
        </w:rPr>
        <w:t>pokojový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systolický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1C3FE9" w:rsidRPr="001E0058">
        <w:rPr>
          <w:rFonts w:ascii="Times New Roman" w:eastAsia="TimesNewRoman" w:hAnsi="Times New Roman"/>
          <w:lang w:val="sk-SK"/>
        </w:rPr>
        <w:t>krvný tlak o</w:t>
      </w:r>
      <w:r w:rsidR="001C3FE9">
        <w:rPr>
          <w:rFonts w:ascii="Times New Roman" w:eastAsia="TimesNewRoman" w:hAnsi="Times New Roman"/>
          <w:lang w:val="sk-SK"/>
        </w:rPr>
        <w:t> </w:t>
      </w:r>
      <w:r w:rsidR="001C3FE9" w:rsidRPr="001E0058">
        <w:rPr>
          <w:rFonts w:ascii="Times New Roman" w:eastAsia="TimesNewRoman" w:hAnsi="Times New Roman"/>
          <w:lang w:val="sk-SK"/>
        </w:rPr>
        <w:t>7</w:t>
      </w:r>
      <w:r w:rsidR="001C3FE9">
        <w:rPr>
          <w:rFonts w:ascii="Times New Roman" w:eastAsia="TimesNewRoman" w:hAnsi="Times New Roman"/>
          <w:lang w:val="sk-SK"/>
        </w:rPr>
        <w:t> </w:t>
      </w:r>
      <w:r w:rsidR="001C3FE9" w:rsidRPr="001E0058">
        <w:rPr>
          <w:rFonts w:ascii="Times New Roman" w:eastAsia="TimesNewRoman" w:hAnsi="Times New Roman"/>
          <w:lang w:val="sk-SK"/>
        </w:rPr>
        <w:t xml:space="preserve">% </w:t>
      </w:r>
      <w:r w:rsidRPr="001E0058">
        <w:rPr>
          <w:rFonts w:ascii="Times New Roman" w:eastAsia="TimesNewRoman" w:hAnsi="Times New Roman"/>
          <w:lang w:val="sk-SK"/>
        </w:rPr>
        <w:t>a diastolický krvný tlak o</w:t>
      </w:r>
      <w:r w:rsidR="001C3FE9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6</w:t>
      </w:r>
      <w:r w:rsidR="001C3FE9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 v porovnaní s východiskovými hodnotami. </w:t>
      </w:r>
      <w:r w:rsidR="00AB72F9">
        <w:rPr>
          <w:rFonts w:ascii="Times New Roman" w:eastAsia="TimesNewRoman" w:hAnsi="Times New Roman"/>
          <w:lang w:val="sk-SK"/>
        </w:rPr>
        <w:t>Priemerný</w:t>
      </w:r>
      <w:r w:rsidRPr="001E0058">
        <w:rPr>
          <w:rFonts w:ascii="Times New Roman" w:eastAsia="TimesNewRoman" w:hAnsi="Times New Roman"/>
          <w:lang w:val="sk-SK"/>
        </w:rPr>
        <w:t xml:space="preserve"> pľúcny </w:t>
      </w:r>
      <w:proofErr w:type="spellStart"/>
      <w:r w:rsidRPr="001E0058">
        <w:rPr>
          <w:rFonts w:ascii="Times New Roman" w:eastAsia="TimesNewRoman" w:hAnsi="Times New Roman"/>
          <w:lang w:val="sk-SK"/>
        </w:rPr>
        <w:t>systolický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170AA7" w:rsidRPr="001E0058">
        <w:rPr>
          <w:rFonts w:ascii="Times New Roman" w:eastAsia="TimesNewRoman" w:hAnsi="Times New Roman"/>
          <w:lang w:val="sk-SK"/>
        </w:rPr>
        <w:t>krv</w:t>
      </w:r>
      <w:r w:rsidR="00170AA7">
        <w:rPr>
          <w:rFonts w:ascii="Times New Roman" w:eastAsia="TimesNewRoman" w:hAnsi="Times New Roman"/>
          <w:lang w:val="sk-SK"/>
        </w:rPr>
        <w:t>ný</w:t>
      </w:r>
      <w:r w:rsidR="00170AA7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tlak poklesol o</w:t>
      </w:r>
      <w:r w:rsidR="00170AA7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9</w:t>
      </w:r>
      <w:r w:rsidR="00170AA7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%.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nemal vplyv na srdcový výdaj a neviedol ku zhoršeniu krvného prietoku cez </w:t>
      </w:r>
      <w:proofErr w:type="spellStart"/>
      <w:r w:rsidRPr="001E0058">
        <w:rPr>
          <w:rFonts w:ascii="Times New Roman" w:eastAsia="TimesNewRoman" w:hAnsi="Times New Roman"/>
          <w:lang w:val="sk-SK"/>
        </w:rPr>
        <w:t>stenózne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koronárne artérie.</w:t>
      </w:r>
    </w:p>
    <w:p w14:paraId="4B114B37" w14:textId="77777777" w:rsidR="00BC29AD" w:rsidRPr="001E0058" w:rsidRDefault="00BC29A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037632D6" w14:textId="672F6194" w:rsidR="00B76076" w:rsidRPr="001E0058" w:rsidRDefault="00BC29A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>Dvojito zaslepen</w:t>
      </w:r>
      <w:r w:rsidR="00AB72F9">
        <w:rPr>
          <w:rFonts w:ascii="Times New Roman" w:eastAsia="TimesNewRoman" w:hAnsi="Times New Roman"/>
          <w:lang w:val="sk-SK"/>
        </w:rPr>
        <w:t>é</w:t>
      </w:r>
      <w:r w:rsidRPr="001E0058">
        <w:rPr>
          <w:rFonts w:ascii="Times New Roman" w:eastAsia="TimesNewRoman" w:hAnsi="Times New Roman"/>
          <w:lang w:val="sk-SK"/>
        </w:rPr>
        <w:t>, placebom kontrolovan</w:t>
      </w:r>
      <w:r w:rsidR="00AB72F9">
        <w:rPr>
          <w:rFonts w:ascii="Times New Roman" w:eastAsia="TimesNewRoman" w:hAnsi="Times New Roman"/>
          <w:lang w:val="sk-SK"/>
        </w:rPr>
        <w:t>é</w:t>
      </w:r>
      <w:r w:rsidRPr="001E0058">
        <w:rPr>
          <w:rFonts w:ascii="Times New Roman" w:eastAsia="TimesNewRoman" w:hAnsi="Times New Roman"/>
          <w:lang w:val="sk-SK"/>
        </w:rPr>
        <w:t xml:space="preserve"> záťažov</w:t>
      </w:r>
      <w:r w:rsidR="00AB72F9">
        <w:rPr>
          <w:rFonts w:ascii="Times New Roman" w:eastAsia="TimesNewRoman" w:hAnsi="Times New Roman"/>
          <w:lang w:val="sk-SK"/>
        </w:rPr>
        <w:t>é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AB72F9">
        <w:rPr>
          <w:rFonts w:ascii="Times New Roman" w:eastAsia="TimesNewRoman" w:hAnsi="Times New Roman"/>
          <w:lang w:val="sk-SK"/>
        </w:rPr>
        <w:t>skúšanie</w:t>
      </w:r>
      <w:r w:rsidRPr="001E0058">
        <w:rPr>
          <w:rFonts w:ascii="Times New Roman" w:eastAsia="TimesNewRoman" w:hAnsi="Times New Roman"/>
          <w:lang w:val="sk-SK"/>
        </w:rPr>
        <w:t xml:space="preserve"> hodnotil</w:t>
      </w:r>
      <w:r w:rsidR="00AB72F9">
        <w:rPr>
          <w:rFonts w:ascii="Times New Roman" w:eastAsia="TimesNewRoman" w:hAnsi="Times New Roman"/>
          <w:lang w:val="sk-SK"/>
        </w:rPr>
        <w:t>o</w:t>
      </w:r>
      <w:r w:rsidRPr="001E0058">
        <w:rPr>
          <w:rFonts w:ascii="Times New Roman" w:eastAsia="TimesNewRoman" w:hAnsi="Times New Roman"/>
          <w:lang w:val="sk-SK"/>
        </w:rPr>
        <w:t xml:space="preserve"> 144 pacientov s </w:t>
      </w:r>
      <w:proofErr w:type="spellStart"/>
      <w:r w:rsidRPr="001E0058">
        <w:rPr>
          <w:rFonts w:ascii="Times New Roman" w:eastAsia="TimesNewRoman" w:hAnsi="Times New Roman"/>
          <w:lang w:val="sk-SK"/>
        </w:rPr>
        <w:t>erektilnou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dysfunkciou a chronickou stabilnou </w:t>
      </w:r>
      <w:proofErr w:type="spellStart"/>
      <w:r w:rsidR="004C5E48" w:rsidRPr="00EB4E15">
        <w:rPr>
          <w:rFonts w:ascii="Times New Roman" w:eastAsia="TimesNewRoman" w:hAnsi="Times New Roman"/>
          <w:i/>
          <w:lang w:val="sk-SK"/>
        </w:rPr>
        <w:t>angin</w:t>
      </w:r>
      <w:r w:rsidR="004C5E48">
        <w:rPr>
          <w:rFonts w:ascii="Times New Roman" w:eastAsia="TimesNewRoman" w:hAnsi="Times New Roman"/>
          <w:i/>
          <w:lang w:val="sk-SK"/>
        </w:rPr>
        <w:t>ou</w:t>
      </w:r>
      <w:proofErr w:type="spellEnd"/>
      <w:r w:rsidR="004C5E48" w:rsidRPr="00EB4E15">
        <w:rPr>
          <w:rFonts w:ascii="Times New Roman" w:eastAsia="TimesNewRoman" w:hAnsi="Times New Roman"/>
          <w:i/>
          <w:lang w:val="sk-SK"/>
        </w:rPr>
        <w:t xml:space="preserve"> </w:t>
      </w:r>
      <w:proofErr w:type="spellStart"/>
      <w:r w:rsidR="004C5E48" w:rsidRPr="00EB4E15">
        <w:rPr>
          <w:rFonts w:ascii="Times New Roman" w:eastAsia="TimesNewRoman" w:hAnsi="Times New Roman"/>
          <w:i/>
          <w:lang w:val="sk-SK"/>
        </w:rPr>
        <w:t>pectoris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, ktorí pravidelne dostávali </w:t>
      </w:r>
      <w:proofErr w:type="spellStart"/>
      <w:r w:rsidRPr="001E0058">
        <w:rPr>
          <w:rFonts w:ascii="Times New Roman" w:eastAsia="TimesNewRoman" w:hAnsi="Times New Roman"/>
          <w:lang w:val="sk-SK"/>
        </w:rPr>
        <w:t>antianginózne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lie</w:t>
      </w:r>
      <w:r w:rsidR="004C5E48">
        <w:rPr>
          <w:rFonts w:ascii="Times New Roman" w:eastAsia="TimesNewRoman" w:hAnsi="Times New Roman"/>
          <w:lang w:val="sk-SK"/>
        </w:rPr>
        <w:t>čivá</w:t>
      </w:r>
      <w:r w:rsidRPr="001E0058">
        <w:rPr>
          <w:rFonts w:ascii="Times New Roman" w:eastAsia="TimesNewRoman" w:hAnsi="Times New Roman"/>
          <w:lang w:val="sk-SK"/>
        </w:rPr>
        <w:t xml:space="preserve"> (s výnimkou nitrátov). Výsledky nepreukázali žiadn</w:t>
      </w:r>
      <w:r w:rsidR="007A7F81">
        <w:rPr>
          <w:rFonts w:ascii="Times New Roman" w:eastAsia="TimesNewRoman" w:hAnsi="Times New Roman"/>
          <w:lang w:val="sk-SK"/>
        </w:rPr>
        <w:t>y</w:t>
      </w:r>
      <w:r w:rsidRPr="001E0058">
        <w:rPr>
          <w:rFonts w:ascii="Times New Roman" w:eastAsia="TimesNewRoman" w:hAnsi="Times New Roman"/>
          <w:lang w:val="sk-SK"/>
        </w:rPr>
        <w:t xml:space="preserve"> klinicky </w:t>
      </w:r>
      <w:r w:rsidR="004C5E48">
        <w:rPr>
          <w:rFonts w:ascii="Times New Roman" w:eastAsia="TimesNewRoman" w:hAnsi="Times New Roman"/>
          <w:lang w:val="sk-SK"/>
        </w:rPr>
        <w:t>významný</w:t>
      </w:r>
      <w:r w:rsidR="004C5E48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rozdiel medzi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sildenafilom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 placebom v čase do vzniku limitujúcej </w:t>
      </w:r>
      <w:proofErr w:type="spellStart"/>
      <w:r w:rsidR="004C5E48" w:rsidRPr="00EB4E15">
        <w:rPr>
          <w:rFonts w:ascii="Times New Roman" w:eastAsia="TimesNewRoman" w:hAnsi="Times New Roman"/>
          <w:i/>
          <w:lang w:val="sk-SK"/>
        </w:rPr>
        <w:t>angin</w:t>
      </w:r>
      <w:r w:rsidR="0041648B">
        <w:rPr>
          <w:rFonts w:ascii="Times New Roman" w:eastAsia="TimesNewRoman" w:hAnsi="Times New Roman"/>
          <w:i/>
          <w:lang w:val="sk-SK"/>
        </w:rPr>
        <w:t>y</w:t>
      </w:r>
      <w:proofErr w:type="spellEnd"/>
      <w:r w:rsidR="004C5E48" w:rsidRPr="00EB4E15">
        <w:rPr>
          <w:rFonts w:ascii="Times New Roman" w:eastAsia="TimesNewRoman" w:hAnsi="Times New Roman"/>
          <w:i/>
          <w:lang w:val="sk-SK"/>
        </w:rPr>
        <w:t xml:space="preserve"> </w:t>
      </w:r>
      <w:proofErr w:type="spellStart"/>
      <w:r w:rsidR="004C5E48" w:rsidRPr="00EB4E15">
        <w:rPr>
          <w:rFonts w:ascii="Times New Roman" w:eastAsia="TimesNewRoman" w:hAnsi="Times New Roman"/>
          <w:i/>
          <w:lang w:val="sk-SK"/>
        </w:rPr>
        <w:t>pectoris</w:t>
      </w:r>
      <w:proofErr w:type="spellEnd"/>
      <w:r w:rsidRPr="001E0058">
        <w:rPr>
          <w:rFonts w:ascii="Times New Roman" w:eastAsia="TimesNewRoman" w:hAnsi="Times New Roman"/>
          <w:lang w:val="sk-SK"/>
        </w:rPr>
        <w:t>.</w:t>
      </w:r>
    </w:p>
    <w:p w14:paraId="0DE98296" w14:textId="77777777" w:rsidR="00AC4E6B" w:rsidRPr="001E0058" w:rsidRDefault="00AC4E6B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3C09BE39" w14:textId="28D2CFC7" w:rsidR="00BC29AD" w:rsidRPr="001E0058" w:rsidRDefault="00BC29A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U niektorých </w:t>
      </w:r>
      <w:r w:rsidR="0041648B">
        <w:rPr>
          <w:rFonts w:ascii="Times New Roman" w:eastAsia="TimesNewRoman" w:hAnsi="Times New Roman"/>
          <w:lang w:val="sk-SK"/>
        </w:rPr>
        <w:t xml:space="preserve">jedincov </w:t>
      </w:r>
      <w:r w:rsidRPr="001E0058">
        <w:rPr>
          <w:rFonts w:ascii="Times New Roman" w:eastAsia="TimesNewRoman" w:hAnsi="Times New Roman"/>
          <w:lang w:val="sk-SK"/>
        </w:rPr>
        <w:t xml:space="preserve">sa jednu hodinu po podaní 100 mg </w:t>
      </w:r>
      <w:r w:rsidR="0041648B" w:rsidRPr="001E0058">
        <w:rPr>
          <w:rFonts w:ascii="Times New Roman" w:eastAsia="TimesNewRoman" w:hAnsi="Times New Roman"/>
          <w:lang w:val="sk-SK"/>
        </w:rPr>
        <w:t>dávky</w:t>
      </w:r>
      <w:r w:rsidR="0041648B" w:rsidRPr="001E0058" w:rsidDel="0041648B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použití</w:t>
      </w:r>
      <w:r w:rsidR="0041648B">
        <w:rPr>
          <w:rFonts w:ascii="Times New Roman" w:eastAsia="TimesNewRoman" w:hAnsi="Times New Roman"/>
          <w:lang w:val="sk-SK"/>
        </w:rPr>
        <w:t>m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Farnsworthovho-Munsellovho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testu so 100 farebnými odtieňmi pozorovali mierne a prechodné rozdiely v rozlišovaní farieb (modrá/zelená)</w:t>
      </w:r>
      <w:r w:rsidR="00526246">
        <w:rPr>
          <w:rFonts w:ascii="Times New Roman" w:eastAsia="TimesNewRoman" w:hAnsi="Times New Roman"/>
          <w:lang w:val="sk-SK"/>
        </w:rPr>
        <w:t>, pričom po d</w:t>
      </w:r>
      <w:r w:rsidRPr="001E0058">
        <w:rPr>
          <w:rFonts w:ascii="Times New Roman" w:eastAsia="TimesNewRoman" w:hAnsi="Times New Roman"/>
          <w:lang w:val="sk-SK"/>
        </w:rPr>
        <w:t>v</w:t>
      </w:r>
      <w:r w:rsidR="00526246">
        <w:rPr>
          <w:rFonts w:ascii="Times New Roman" w:eastAsia="TimesNewRoman" w:hAnsi="Times New Roman"/>
          <w:lang w:val="sk-SK"/>
        </w:rPr>
        <w:t xml:space="preserve">och </w:t>
      </w:r>
      <w:r w:rsidRPr="001E0058">
        <w:rPr>
          <w:rFonts w:ascii="Times New Roman" w:eastAsia="TimesNewRoman" w:hAnsi="Times New Roman"/>
          <w:lang w:val="sk-SK"/>
        </w:rPr>
        <w:t>hodin</w:t>
      </w:r>
      <w:r w:rsidR="00526246">
        <w:rPr>
          <w:rFonts w:ascii="Times New Roman" w:eastAsia="TimesNewRoman" w:hAnsi="Times New Roman"/>
          <w:lang w:val="sk-SK"/>
        </w:rPr>
        <w:t xml:space="preserve">ách </w:t>
      </w:r>
      <w:r w:rsidRPr="001E0058">
        <w:rPr>
          <w:rFonts w:ascii="Times New Roman" w:eastAsia="TimesNewRoman" w:hAnsi="Times New Roman"/>
          <w:lang w:val="sk-SK"/>
        </w:rPr>
        <w:t xml:space="preserve">po podaní </w:t>
      </w:r>
      <w:r w:rsidR="00526246">
        <w:rPr>
          <w:rFonts w:ascii="Times New Roman" w:eastAsia="TimesNewRoman" w:hAnsi="Times New Roman"/>
          <w:lang w:val="sk-SK"/>
        </w:rPr>
        <w:t xml:space="preserve">neboli evidentné </w:t>
      </w:r>
      <w:r w:rsidRPr="001E0058">
        <w:rPr>
          <w:rFonts w:ascii="Times New Roman" w:eastAsia="TimesNewRoman" w:hAnsi="Times New Roman"/>
          <w:lang w:val="sk-SK"/>
        </w:rPr>
        <w:t xml:space="preserve">už žiadne účinky. </w:t>
      </w:r>
      <w:r w:rsidR="00526246">
        <w:rPr>
          <w:rFonts w:ascii="Times New Roman" w:eastAsia="TimesNewRoman" w:hAnsi="Times New Roman"/>
          <w:lang w:val="sk-SK"/>
        </w:rPr>
        <w:t>Predpoklada</w:t>
      </w:r>
      <w:r w:rsidR="00526246" w:rsidRPr="001E0058">
        <w:rPr>
          <w:rFonts w:ascii="Times New Roman" w:eastAsia="TimesNewRoman" w:hAnsi="Times New Roman"/>
          <w:lang w:val="sk-SK"/>
        </w:rPr>
        <w:t xml:space="preserve">ný </w:t>
      </w:r>
      <w:r w:rsidRPr="001E0058">
        <w:rPr>
          <w:rFonts w:ascii="Times New Roman" w:eastAsia="TimesNewRoman" w:hAnsi="Times New Roman"/>
          <w:lang w:val="sk-SK"/>
        </w:rPr>
        <w:t>mechanizmus tejto zmeny v rozlišovaní farieb súvisí s inhibíciou PDE6, ktor</w:t>
      </w:r>
      <w:r w:rsidR="00AB72F9">
        <w:rPr>
          <w:rFonts w:ascii="Times New Roman" w:eastAsia="TimesNewRoman" w:hAnsi="Times New Roman"/>
          <w:lang w:val="sk-SK"/>
        </w:rPr>
        <w:t>á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AB72F9">
        <w:rPr>
          <w:rFonts w:ascii="Times New Roman" w:eastAsia="TimesNewRoman" w:hAnsi="Times New Roman"/>
          <w:lang w:val="sk-SK"/>
        </w:rPr>
        <w:t>zohráva</w:t>
      </w:r>
      <w:r w:rsidRPr="001E0058">
        <w:rPr>
          <w:rFonts w:ascii="Times New Roman" w:eastAsia="TimesNewRoman" w:hAnsi="Times New Roman"/>
          <w:lang w:val="sk-SK"/>
        </w:rPr>
        <w:t xml:space="preserve"> úlohu vo </w:t>
      </w:r>
      <w:proofErr w:type="spellStart"/>
      <w:r w:rsidRPr="001E0058">
        <w:rPr>
          <w:rFonts w:ascii="Times New Roman" w:eastAsia="TimesNewRoman" w:hAnsi="Times New Roman"/>
          <w:lang w:val="sk-SK"/>
        </w:rPr>
        <w:t>fototransdukčnej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kaskáde </w:t>
      </w:r>
      <w:r w:rsidR="003F7770">
        <w:rPr>
          <w:rFonts w:ascii="Times New Roman" w:eastAsia="TimesNewRoman" w:hAnsi="Times New Roman"/>
          <w:lang w:val="sk-SK"/>
        </w:rPr>
        <w:t>sietnice</w:t>
      </w:r>
      <w:r w:rsidRPr="001E0058">
        <w:rPr>
          <w:rFonts w:ascii="Times New Roman" w:eastAsia="TimesNewRoman" w:hAnsi="Times New Roman"/>
          <w:lang w:val="sk-SK"/>
        </w:rPr>
        <w:t xml:space="preserve">.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ne</w:t>
      </w:r>
      <w:r w:rsidR="003F7770">
        <w:rPr>
          <w:rFonts w:ascii="Times New Roman" w:eastAsia="TimesNewRoman" w:hAnsi="Times New Roman"/>
          <w:lang w:val="sk-SK"/>
        </w:rPr>
        <w:t xml:space="preserve">mal žiadny </w:t>
      </w:r>
      <w:r w:rsidRPr="001E0058">
        <w:rPr>
          <w:rFonts w:ascii="Times New Roman" w:eastAsia="TimesNewRoman" w:hAnsi="Times New Roman"/>
          <w:lang w:val="sk-SK"/>
        </w:rPr>
        <w:t>vplyv</w:t>
      </w:r>
      <w:r w:rsidR="003F7770">
        <w:rPr>
          <w:rFonts w:ascii="Times New Roman" w:eastAsia="TimesNewRoman" w:hAnsi="Times New Roman"/>
          <w:lang w:val="sk-SK"/>
        </w:rPr>
        <w:t xml:space="preserve"> na </w:t>
      </w:r>
      <w:r w:rsidRPr="001E0058">
        <w:rPr>
          <w:rFonts w:ascii="Times New Roman" w:eastAsia="TimesNewRoman" w:hAnsi="Times New Roman"/>
          <w:lang w:val="sk-SK"/>
        </w:rPr>
        <w:t>ostrosť</w:t>
      </w:r>
      <w:r w:rsidR="003F7770">
        <w:rPr>
          <w:rFonts w:ascii="Times New Roman" w:eastAsia="TimesNewRoman" w:hAnsi="Times New Roman"/>
          <w:lang w:val="sk-SK"/>
        </w:rPr>
        <w:t xml:space="preserve"> </w:t>
      </w:r>
      <w:r w:rsidR="00261E32">
        <w:rPr>
          <w:rFonts w:ascii="Times New Roman" w:eastAsia="TimesNewRoman" w:hAnsi="Times New Roman"/>
          <w:lang w:val="sk-SK"/>
        </w:rPr>
        <w:t xml:space="preserve">videnia </w:t>
      </w:r>
      <w:r w:rsidR="003F7770">
        <w:rPr>
          <w:rFonts w:ascii="Times New Roman" w:eastAsia="TimesNewRoman" w:hAnsi="Times New Roman"/>
          <w:lang w:val="sk-SK"/>
        </w:rPr>
        <w:t xml:space="preserve">alebo </w:t>
      </w:r>
      <w:r w:rsidRPr="001E0058">
        <w:rPr>
          <w:rFonts w:ascii="Times New Roman" w:eastAsia="TimesNewRoman" w:hAnsi="Times New Roman"/>
          <w:lang w:val="sk-SK"/>
        </w:rPr>
        <w:t>kontrast</w:t>
      </w:r>
      <w:r w:rsidR="00261E32">
        <w:rPr>
          <w:rFonts w:ascii="Times New Roman" w:eastAsia="TimesNewRoman" w:hAnsi="Times New Roman"/>
          <w:lang w:val="sk-SK"/>
        </w:rPr>
        <w:t>nú citlivosť</w:t>
      </w:r>
      <w:r w:rsidRPr="001E0058">
        <w:rPr>
          <w:rFonts w:ascii="Times New Roman" w:eastAsia="TimesNewRoman" w:hAnsi="Times New Roman"/>
          <w:lang w:val="sk-SK"/>
        </w:rPr>
        <w:t>. V placebom kontrolovan</w:t>
      </w:r>
      <w:r w:rsidR="00AB72F9">
        <w:rPr>
          <w:rFonts w:ascii="Times New Roman" w:eastAsia="TimesNewRoman" w:hAnsi="Times New Roman"/>
          <w:lang w:val="sk-SK"/>
        </w:rPr>
        <w:t>om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AB72F9">
        <w:rPr>
          <w:rFonts w:ascii="Times New Roman" w:eastAsia="TimesNewRoman" w:hAnsi="Times New Roman"/>
          <w:lang w:val="sk-SK"/>
        </w:rPr>
        <w:t>skúšaní</w:t>
      </w:r>
      <w:r w:rsidRPr="001E0058">
        <w:rPr>
          <w:rFonts w:ascii="Times New Roman" w:eastAsia="TimesNewRoman" w:hAnsi="Times New Roman"/>
          <w:lang w:val="sk-SK"/>
        </w:rPr>
        <w:t xml:space="preserve"> s malým počtom pacientov s dokumentovaným včasným štádiom makulárnej degenerácie </w:t>
      </w:r>
      <w:r w:rsidR="00B4130D">
        <w:rPr>
          <w:rFonts w:ascii="Times New Roman" w:eastAsia="TimesNewRoman" w:hAnsi="Times New Roman"/>
          <w:lang w:val="sk-SK"/>
        </w:rPr>
        <w:t>súvisi</w:t>
      </w:r>
      <w:r w:rsidR="007A6455">
        <w:rPr>
          <w:rFonts w:ascii="Times New Roman" w:eastAsia="TimesNewRoman" w:hAnsi="Times New Roman"/>
          <w:lang w:val="sk-SK"/>
        </w:rPr>
        <w:t>a</w:t>
      </w:r>
      <w:r w:rsidR="00B4130D">
        <w:rPr>
          <w:rFonts w:ascii="Times New Roman" w:eastAsia="TimesNewRoman" w:hAnsi="Times New Roman"/>
          <w:lang w:val="sk-SK"/>
        </w:rPr>
        <w:t>c</w:t>
      </w:r>
      <w:r w:rsidR="007A6455">
        <w:rPr>
          <w:rFonts w:ascii="Times New Roman" w:eastAsia="TimesNewRoman" w:hAnsi="Times New Roman"/>
          <w:lang w:val="sk-SK"/>
        </w:rPr>
        <w:t xml:space="preserve">ej s </w:t>
      </w:r>
      <w:r w:rsidR="007A6455" w:rsidRPr="001E0058">
        <w:rPr>
          <w:rFonts w:ascii="Times New Roman" w:eastAsia="TimesNewRoman" w:hAnsi="Times New Roman"/>
          <w:lang w:val="sk-SK"/>
        </w:rPr>
        <w:t xml:space="preserve">vekom </w:t>
      </w:r>
      <w:r w:rsidRPr="001E0058">
        <w:rPr>
          <w:rFonts w:ascii="Times New Roman" w:eastAsia="TimesNewRoman" w:hAnsi="Times New Roman"/>
          <w:lang w:val="sk-SK"/>
        </w:rPr>
        <w:t xml:space="preserve">(n = 9) </w:t>
      </w:r>
      <w:r w:rsidR="00B4130D">
        <w:rPr>
          <w:rFonts w:ascii="Times New Roman" w:eastAsia="TimesNewRoman" w:hAnsi="Times New Roman"/>
          <w:lang w:val="sk-SK"/>
        </w:rPr>
        <w:t xml:space="preserve">sa </w:t>
      </w:r>
      <w:r w:rsidRPr="001E0058">
        <w:rPr>
          <w:rFonts w:ascii="Times New Roman" w:eastAsia="TimesNewRoman" w:hAnsi="Times New Roman"/>
          <w:lang w:val="sk-SK"/>
        </w:rPr>
        <w:t xml:space="preserve">vo vykonaných testoch videnia (ostrosť videnia, </w:t>
      </w:r>
      <w:proofErr w:type="spellStart"/>
      <w:r w:rsidRPr="00903F7D">
        <w:rPr>
          <w:rFonts w:ascii="Times New Roman" w:eastAsia="TimesNewRoman" w:hAnsi="Times New Roman"/>
          <w:lang w:val="sk-SK"/>
        </w:rPr>
        <w:t>Amslerova</w:t>
      </w:r>
      <w:proofErr w:type="spellEnd"/>
      <w:r w:rsidRPr="00903F7D">
        <w:rPr>
          <w:rFonts w:ascii="Times New Roman" w:eastAsia="TimesNewRoman" w:hAnsi="Times New Roman"/>
          <w:lang w:val="sk-SK"/>
        </w:rPr>
        <w:t xml:space="preserve"> mriežka,</w:t>
      </w:r>
      <w:r w:rsidRPr="001E0058">
        <w:rPr>
          <w:rFonts w:ascii="Times New Roman" w:eastAsia="TimesNewRoman" w:hAnsi="Times New Roman"/>
          <w:lang w:val="sk-SK"/>
        </w:rPr>
        <w:t xml:space="preserve"> rozlíšenie farieb pri simulovanom dopravnom osvetlení, </w:t>
      </w:r>
      <w:proofErr w:type="spellStart"/>
      <w:r w:rsidRPr="001E0058">
        <w:rPr>
          <w:rFonts w:ascii="Times New Roman" w:eastAsia="TimesNewRoman" w:hAnsi="Times New Roman"/>
          <w:lang w:val="sk-SK"/>
        </w:rPr>
        <w:t>Humpreyho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perimeter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 </w:t>
      </w:r>
      <w:proofErr w:type="spellStart"/>
      <w:r w:rsidRPr="00985A17">
        <w:rPr>
          <w:rFonts w:ascii="Times New Roman" w:eastAsia="TimesNewRoman" w:hAnsi="Times New Roman"/>
          <w:lang w:val="sk-SK"/>
        </w:rPr>
        <w:t>fotostres</w:t>
      </w:r>
      <w:proofErr w:type="spellEnd"/>
      <w:r w:rsidRPr="00985A17">
        <w:rPr>
          <w:rFonts w:ascii="Times New Roman" w:eastAsia="TimesNewRoman" w:hAnsi="Times New Roman"/>
          <w:lang w:val="sk-SK"/>
        </w:rPr>
        <w:t>)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B4130D">
        <w:rPr>
          <w:rFonts w:ascii="Times New Roman" w:eastAsia="TimesNewRoman" w:hAnsi="Times New Roman"/>
          <w:lang w:val="sk-SK"/>
        </w:rPr>
        <w:t>ne</w:t>
      </w:r>
      <w:r w:rsidRPr="001E0058">
        <w:rPr>
          <w:rFonts w:ascii="Times New Roman" w:eastAsia="TimesNewRoman" w:hAnsi="Times New Roman"/>
          <w:lang w:val="sk-SK"/>
        </w:rPr>
        <w:t>dokáza</w:t>
      </w:r>
      <w:r w:rsidR="00B4130D">
        <w:rPr>
          <w:rFonts w:ascii="Times New Roman" w:eastAsia="TimesNewRoman" w:hAnsi="Times New Roman"/>
          <w:lang w:val="sk-SK"/>
        </w:rPr>
        <w:t xml:space="preserve">li </w:t>
      </w:r>
      <w:r w:rsidRPr="001E0058">
        <w:rPr>
          <w:rFonts w:ascii="Times New Roman" w:eastAsia="TimesNewRoman" w:hAnsi="Times New Roman"/>
          <w:lang w:val="sk-SK"/>
        </w:rPr>
        <w:t xml:space="preserve">žiadne významné zmeny </w:t>
      </w:r>
      <w:r w:rsidR="00B4130D">
        <w:rPr>
          <w:rFonts w:ascii="Times New Roman" w:eastAsia="TimesNewRoman" w:hAnsi="Times New Roman"/>
          <w:lang w:val="sk-SK"/>
        </w:rPr>
        <w:t xml:space="preserve">súvisiace s podaním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(jednorazová dávka</w:t>
      </w:r>
      <w:r w:rsidR="00AB72F9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100</w:t>
      </w:r>
      <w:r w:rsidR="00412357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mg).</w:t>
      </w:r>
    </w:p>
    <w:p w14:paraId="5CD3660D" w14:textId="77777777" w:rsidR="00BC29AD" w:rsidRPr="001E0058" w:rsidRDefault="00BC29A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7E8674B0" w14:textId="6C335DE8" w:rsidR="00B76076" w:rsidRPr="001E0058" w:rsidRDefault="00BC29A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Po podaní jednorazovej perorálnej dávky 100 mg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zdravým dobrovoľníkom sa nezaznamenal žiadn</w:t>
      </w:r>
      <w:r w:rsidR="00412357">
        <w:rPr>
          <w:rFonts w:ascii="Times New Roman" w:eastAsia="TimesNewRoman" w:hAnsi="Times New Roman"/>
          <w:lang w:val="sk-SK"/>
        </w:rPr>
        <w:t>y</w:t>
      </w:r>
      <w:r w:rsidRPr="001E0058">
        <w:rPr>
          <w:rFonts w:ascii="Times New Roman" w:eastAsia="TimesNewRoman" w:hAnsi="Times New Roman"/>
          <w:lang w:val="sk-SK"/>
        </w:rPr>
        <w:t xml:space="preserve"> vplyv na </w:t>
      </w:r>
      <w:proofErr w:type="spellStart"/>
      <w:r w:rsidRPr="001E0058">
        <w:rPr>
          <w:rFonts w:ascii="Times New Roman" w:eastAsia="TimesNewRoman" w:hAnsi="Times New Roman"/>
          <w:lang w:val="sk-SK"/>
        </w:rPr>
        <w:t>motilitu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alebo morfológiu spermií (pozri časť 4.6).</w:t>
      </w:r>
    </w:p>
    <w:p w14:paraId="07377130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55BFAD9" w14:textId="09A67DE7" w:rsidR="002E41AD" w:rsidRPr="001E0058" w:rsidRDefault="002E41A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i/>
          <w:lang w:val="sk-SK"/>
        </w:rPr>
        <w:t>Ďalšie informácie o klinických skúš</w:t>
      </w:r>
      <w:r w:rsidR="00ED6348">
        <w:rPr>
          <w:rFonts w:ascii="Times New Roman" w:eastAsia="TimesNewRoman" w:hAnsi="Times New Roman"/>
          <w:i/>
          <w:lang w:val="sk-SK"/>
        </w:rPr>
        <w:t>aniach</w:t>
      </w:r>
    </w:p>
    <w:p w14:paraId="4C44FA8B" w14:textId="61C08C24" w:rsidR="00B76076" w:rsidRPr="001E0058" w:rsidRDefault="002E41A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>V klinických skúš</w:t>
      </w:r>
      <w:r w:rsidR="00ED6348">
        <w:rPr>
          <w:rFonts w:ascii="Times New Roman" w:eastAsia="TimesNewRoman" w:hAnsi="Times New Roman"/>
          <w:lang w:val="sk-SK"/>
        </w:rPr>
        <w:t>aniach</w:t>
      </w:r>
      <w:r w:rsidRPr="001E0058">
        <w:rPr>
          <w:rFonts w:ascii="Times New Roman" w:eastAsia="TimesNewRoman" w:hAnsi="Times New Roman"/>
          <w:lang w:val="sk-SK"/>
        </w:rPr>
        <w:t xml:space="preserve"> sa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podával viac ako 8</w:t>
      </w:r>
      <w:r w:rsidR="00C00957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000 pacientom vo veku 19</w:t>
      </w:r>
      <w:r w:rsidR="00A66CA9">
        <w:rPr>
          <w:rFonts w:ascii="Times New Roman" w:eastAsia="TimesNewRoman" w:hAnsi="Times New Roman"/>
          <w:lang w:val="sk-SK"/>
        </w:rPr>
        <w:t> </w:t>
      </w:r>
      <w:r w:rsidR="00A66CA9">
        <w:rPr>
          <w:rFonts w:ascii="Times New Roman" w:eastAsia="TimesNewRoman" w:hAnsi="Times New Roman"/>
          <w:lang w:val="sk-SK"/>
        </w:rPr>
        <w:noBreakHyphen/>
        <w:t> </w:t>
      </w:r>
      <w:r w:rsidRPr="001E0058">
        <w:rPr>
          <w:rFonts w:ascii="Times New Roman" w:eastAsia="TimesNewRoman" w:hAnsi="Times New Roman"/>
          <w:lang w:val="sk-SK"/>
        </w:rPr>
        <w:t>87 rokov. Zastúpené boli nasledovné skupiny pacientov: starší pacienti (19,9</w:t>
      </w:r>
      <w:r w:rsidR="00101A9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%), pacienti s hypertenziou</w:t>
      </w:r>
      <w:r w:rsidR="0008439F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(30,9</w:t>
      </w:r>
      <w:r w:rsidR="00101A9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%), diabet</w:t>
      </w:r>
      <w:r w:rsidR="00101A90">
        <w:rPr>
          <w:rFonts w:ascii="Times New Roman" w:eastAsia="TimesNewRoman" w:hAnsi="Times New Roman"/>
          <w:lang w:val="sk-SK"/>
        </w:rPr>
        <w:t>es</w:t>
      </w:r>
      <w:r w:rsidRPr="001E0058">
        <w:rPr>
          <w:rFonts w:ascii="Times New Roman" w:eastAsia="TimesNewRoman" w:hAnsi="Times New Roman"/>
          <w:lang w:val="sk-SK"/>
        </w:rPr>
        <w:t xml:space="preserve"> mellitus (20,3</w:t>
      </w:r>
      <w:r w:rsidR="00101A9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%), ischemickou chorobou srdca (5,8</w:t>
      </w:r>
      <w:r w:rsidR="00101A9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%), </w:t>
      </w:r>
      <w:proofErr w:type="spellStart"/>
      <w:r w:rsidRPr="001E0058">
        <w:rPr>
          <w:rFonts w:ascii="Times New Roman" w:eastAsia="TimesNewRoman" w:hAnsi="Times New Roman"/>
          <w:lang w:val="sk-SK"/>
        </w:rPr>
        <w:t>hyperlipidémiou</w:t>
      </w:r>
      <w:proofErr w:type="spellEnd"/>
      <w:r w:rsidR="0008439F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(19,8</w:t>
      </w:r>
      <w:r w:rsidR="00101A9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%), poranením miechy (0,6</w:t>
      </w:r>
      <w:r w:rsidR="00101A9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%), depresiou (5,2</w:t>
      </w:r>
      <w:r w:rsidR="00101A9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%), </w:t>
      </w:r>
      <w:proofErr w:type="spellStart"/>
      <w:r w:rsidRPr="001E0058">
        <w:rPr>
          <w:rFonts w:ascii="Times New Roman" w:eastAsia="TimesNewRoman" w:hAnsi="Times New Roman"/>
          <w:lang w:val="sk-SK"/>
        </w:rPr>
        <w:t>transuretrálnou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resekciou prostaty (3,7</w:t>
      </w:r>
      <w:r w:rsidR="00101A9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%), pacienti po radikálnej </w:t>
      </w:r>
      <w:proofErr w:type="spellStart"/>
      <w:r w:rsidRPr="001E0058">
        <w:rPr>
          <w:rFonts w:ascii="Times New Roman" w:eastAsia="TimesNewRoman" w:hAnsi="Times New Roman"/>
          <w:lang w:val="sk-SK"/>
        </w:rPr>
        <w:t>prostatektómii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(3,3</w:t>
      </w:r>
      <w:r w:rsidR="00101A9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%). Nasledovné skupiny neboli dostatočne zastúpené alebo</w:t>
      </w:r>
      <w:r w:rsidR="0008439F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boli vyradené z klinických skúš</w:t>
      </w:r>
      <w:r w:rsidR="00ED6348">
        <w:rPr>
          <w:rFonts w:ascii="Times New Roman" w:eastAsia="TimesNewRoman" w:hAnsi="Times New Roman"/>
          <w:lang w:val="sk-SK"/>
        </w:rPr>
        <w:t>aní</w:t>
      </w:r>
      <w:r w:rsidRPr="001E0058">
        <w:rPr>
          <w:rFonts w:ascii="Times New Roman" w:eastAsia="TimesNewRoman" w:hAnsi="Times New Roman"/>
          <w:lang w:val="sk-SK"/>
        </w:rPr>
        <w:t>: pacienti po chirurgickom výkone v oblasti panvy, pacienti po</w:t>
      </w:r>
      <w:r w:rsidR="0008439F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rádioterapii, pacienti s</w:t>
      </w:r>
      <w:r w:rsidR="00ED6348">
        <w:rPr>
          <w:rFonts w:ascii="Times New Roman" w:eastAsia="TimesNewRoman" w:hAnsi="Times New Roman"/>
          <w:lang w:val="sk-SK"/>
        </w:rPr>
        <w:t> </w:t>
      </w:r>
      <w:r w:rsidR="004C14F5">
        <w:rPr>
          <w:rFonts w:ascii="Times New Roman" w:eastAsia="TimesNewRoman" w:hAnsi="Times New Roman"/>
          <w:lang w:val="sk-SK"/>
        </w:rPr>
        <w:t>ťažkou</w:t>
      </w:r>
      <w:r w:rsidR="00ED6348">
        <w:rPr>
          <w:rFonts w:ascii="Times New Roman" w:eastAsia="TimesNewRoman" w:hAnsi="Times New Roman"/>
          <w:lang w:val="sk-SK"/>
        </w:rPr>
        <w:t xml:space="preserve"> </w:t>
      </w:r>
      <w:r w:rsidR="00ED6FCB">
        <w:rPr>
          <w:rFonts w:ascii="Times New Roman" w:eastAsia="TimesNewRoman" w:hAnsi="Times New Roman"/>
          <w:lang w:val="sk-SK"/>
        </w:rPr>
        <w:t>poruc</w:t>
      </w:r>
      <w:r w:rsidR="00ED6348">
        <w:rPr>
          <w:rFonts w:ascii="Times New Roman" w:eastAsia="TimesNewRoman" w:hAnsi="Times New Roman"/>
          <w:lang w:val="sk-SK"/>
        </w:rPr>
        <w:t>hou</w:t>
      </w:r>
      <w:r w:rsidRPr="001E0058">
        <w:rPr>
          <w:rFonts w:ascii="Times New Roman" w:eastAsia="TimesNewRoman" w:hAnsi="Times New Roman"/>
          <w:lang w:val="sk-SK"/>
        </w:rPr>
        <w:t xml:space="preserve"> funkcie obličiek alebo pečene a pacienti s niektorými kardiovaskulárnymi </w:t>
      </w:r>
      <w:r w:rsidR="00C00957">
        <w:rPr>
          <w:rFonts w:ascii="Times New Roman" w:eastAsia="TimesNewRoman" w:hAnsi="Times New Roman"/>
          <w:lang w:val="sk-SK"/>
        </w:rPr>
        <w:t>ochoreniami</w:t>
      </w:r>
      <w:r w:rsidR="00C00957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(pozri časť 4.3).</w:t>
      </w:r>
    </w:p>
    <w:p w14:paraId="0D4C80F0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4AFB33E1" w14:textId="2B4DE451" w:rsidR="00B76076" w:rsidRPr="001E0058" w:rsidRDefault="002E41A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Podiel pacientov, ktorí v štúdiách s fixnými dávkami </w:t>
      </w:r>
      <w:r w:rsidR="00101A90">
        <w:rPr>
          <w:rFonts w:ascii="Times New Roman" w:eastAsia="TimesNewRoman" w:hAnsi="Times New Roman"/>
          <w:lang w:val="sk-SK"/>
        </w:rPr>
        <w:t>hlásili</w:t>
      </w:r>
      <w:r w:rsidRPr="001E0058">
        <w:rPr>
          <w:rFonts w:ascii="Times New Roman" w:eastAsia="TimesNewRoman" w:hAnsi="Times New Roman"/>
          <w:lang w:val="sk-SK"/>
        </w:rPr>
        <w:t xml:space="preserve">, že liečba viedla k zlepšeniu </w:t>
      </w:r>
      <w:r w:rsidR="00101A90">
        <w:rPr>
          <w:rFonts w:ascii="Times New Roman" w:eastAsia="TimesNewRoman" w:hAnsi="Times New Roman"/>
          <w:lang w:val="sk-SK"/>
        </w:rPr>
        <w:t xml:space="preserve">ich </w:t>
      </w:r>
      <w:r w:rsidRPr="001E0058">
        <w:rPr>
          <w:rFonts w:ascii="Times New Roman" w:eastAsia="TimesNewRoman" w:hAnsi="Times New Roman"/>
          <w:lang w:val="sk-SK"/>
        </w:rPr>
        <w:t>erekcie, bol 62</w:t>
      </w:r>
      <w:r w:rsidR="00101A9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% (25 mg), 74</w:t>
      </w:r>
      <w:r w:rsidR="00101A9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% (50 mg) a</w:t>
      </w:r>
      <w:r w:rsidR="00101A9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82</w:t>
      </w:r>
      <w:r w:rsidR="00101A9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% (100 mg) v porovnaní s</w:t>
      </w:r>
      <w:r w:rsidR="00101A9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25</w:t>
      </w:r>
      <w:r w:rsidR="00101A9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% u pacientov, ktorí užívali placebo. V kontrolovaných klinických skúš</w:t>
      </w:r>
      <w:r w:rsidR="00ED6348">
        <w:rPr>
          <w:rFonts w:ascii="Times New Roman" w:eastAsia="TimesNewRoman" w:hAnsi="Times New Roman"/>
          <w:lang w:val="sk-SK"/>
        </w:rPr>
        <w:t>aniach</w:t>
      </w:r>
      <w:r w:rsidRPr="001E0058">
        <w:rPr>
          <w:rFonts w:ascii="Times New Roman" w:eastAsia="TimesNewRoman" w:hAnsi="Times New Roman"/>
          <w:lang w:val="sk-SK"/>
        </w:rPr>
        <w:t xml:space="preserve"> bol</w:t>
      </w:r>
      <w:r w:rsidR="009C1531">
        <w:rPr>
          <w:rFonts w:ascii="Times New Roman" w:eastAsia="TimesNewRoman" w:hAnsi="Times New Roman"/>
          <w:lang w:val="sk-SK"/>
        </w:rPr>
        <w:t xml:space="preserve">a miera </w:t>
      </w:r>
      <w:r w:rsidRPr="001E0058">
        <w:rPr>
          <w:rFonts w:ascii="Times New Roman" w:eastAsia="TimesNewRoman" w:hAnsi="Times New Roman"/>
          <w:lang w:val="sk-SK"/>
        </w:rPr>
        <w:t>prerušeni</w:t>
      </w:r>
      <w:r w:rsidR="009C1531">
        <w:rPr>
          <w:rFonts w:ascii="Times New Roman" w:eastAsia="TimesNewRoman" w:hAnsi="Times New Roman"/>
          <w:lang w:val="sk-SK"/>
        </w:rPr>
        <w:t>a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173F5A">
        <w:rPr>
          <w:rFonts w:ascii="Times New Roman" w:eastAsia="TimesNewRoman" w:hAnsi="Times New Roman"/>
          <w:lang w:val="sk-SK"/>
        </w:rPr>
        <w:t xml:space="preserve">kvôli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r w:rsidR="00173F5A">
        <w:rPr>
          <w:rFonts w:ascii="Times New Roman" w:eastAsia="TimesNewRoman" w:hAnsi="Times New Roman"/>
          <w:lang w:val="sk-SK"/>
        </w:rPr>
        <w:t>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173F5A">
        <w:rPr>
          <w:rFonts w:ascii="Times New Roman" w:eastAsia="TimesNewRoman" w:hAnsi="Times New Roman"/>
          <w:lang w:val="sk-SK"/>
        </w:rPr>
        <w:t>nízka</w:t>
      </w:r>
      <w:r w:rsidRPr="001E0058">
        <w:rPr>
          <w:rFonts w:ascii="Times New Roman" w:eastAsia="TimesNewRoman" w:hAnsi="Times New Roman"/>
          <w:lang w:val="sk-SK"/>
        </w:rPr>
        <w:t xml:space="preserve"> a</w:t>
      </w:r>
      <w:r w:rsidR="00173F5A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podobn</w:t>
      </w:r>
      <w:r w:rsidR="00173F5A">
        <w:rPr>
          <w:rFonts w:ascii="Times New Roman" w:eastAsia="TimesNewRoman" w:hAnsi="Times New Roman"/>
          <w:lang w:val="sk-SK"/>
        </w:rPr>
        <w:t xml:space="preserve">á </w:t>
      </w:r>
      <w:r w:rsidRPr="001E0058">
        <w:rPr>
          <w:rFonts w:ascii="Times New Roman" w:eastAsia="TimesNewRoman" w:hAnsi="Times New Roman"/>
          <w:lang w:val="sk-SK"/>
        </w:rPr>
        <w:t>ako u pacientov, ktorí užívali placebo.</w:t>
      </w:r>
      <w:r w:rsidR="001605F7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Zhrnutie údajov zo všetkých skúš</w:t>
      </w:r>
      <w:r w:rsidR="00E72EE6">
        <w:rPr>
          <w:rFonts w:ascii="Times New Roman" w:eastAsia="TimesNewRoman" w:hAnsi="Times New Roman"/>
          <w:lang w:val="sk-SK"/>
        </w:rPr>
        <w:t>aní</w:t>
      </w:r>
      <w:r w:rsidRPr="001E0058">
        <w:rPr>
          <w:rFonts w:ascii="Times New Roman" w:eastAsia="TimesNewRoman" w:hAnsi="Times New Roman"/>
          <w:lang w:val="sk-SK"/>
        </w:rPr>
        <w:t xml:space="preserve"> ukazuje, že podiel pacientov, ktorí </w:t>
      </w:r>
      <w:r w:rsidR="002D75C7">
        <w:rPr>
          <w:rFonts w:ascii="Times New Roman" w:eastAsia="TimesNewRoman" w:hAnsi="Times New Roman"/>
          <w:lang w:val="sk-SK"/>
        </w:rPr>
        <w:t>hlásili</w:t>
      </w:r>
      <w:r w:rsidRPr="001E0058">
        <w:rPr>
          <w:rFonts w:ascii="Times New Roman" w:eastAsia="TimesNewRoman" w:hAnsi="Times New Roman"/>
          <w:lang w:val="sk-SK"/>
        </w:rPr>
        <w:t xml:space="preserve"> zlepšenie po podaní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="0082104A">
        <w:rPr>
          <w:rFonts w:ascii="Times New Roman" w:eastAsia="TimesNewRoman" w:hAnsi="Times New Roman"/>
          <w:lang w:val="sk-SK"/>
        </w:rPr>
        <w:t>,</w:t>
      </w:r>
      <w:r w:rsidRPr="001E0058">
        <w:rPr>
          <w:rFonts w:ascii="Times New Roman" w:eastAsia="TimesNewRoman" w:hAnsi="Times New Roman"/>
          <w:lang w:val="sk-SK"/>
        </w:rPr>
        <w:t xml:space="preserve"> bol nasledujúci: </w:t>
      </w:r>
      <w:proofErr w:type="spellStart"/>
      <w:r w:rsidRPr="001E0058">
        <w:rPr>
          <w:rFonts w:ascii="Times New Roman" w:eastAsia="TimesNewRoman" w:hAnsi="Times New Roman"/>
          <w:lang w:val="sk-SK"/>
        </w:rPr>
        <w:t>psychogénna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erektilná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dysfunkcia (84</w:t>
      </w:r>
      <w:r w:rsidR="001605F7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%), zmiešaná </w:t>
      </w:r>
      <w:proofErr w:type="spellStart"/>
      <w:r w:rsidRPr="001E0058">
        <w:rPr>
          <w:rFonts w:ascii="Times New Roman" w:eastAsia="TimesNewRoman" w:hAnsi="Times New Roman"/>
          <w:lang w:val="sk-SK"/>
        </w:rPr>
        <w:t>erektilná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dysfunkcia (77</w:t>
      </w:r>
      <w:r w:rsidR="005522B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%), organická </w:t>
      </w:r>
      <w:proofErr w:type="spellStart"/>
      <w:r w:rsidRPr="001E0058">
        <w:rPr>
          <w:rFonts w:ascii="Times New Roman" w:eastAsia="TimesNewRoman" w:hAnsi="Times New Roman"/>
          <w:lang w:val="sk-SK"/>
        </w:rPr>
        <w:t>erektilná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dysfunkcia (68</w:t>
      </w:r>
      <w:r w:rsidR="005522B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%), staršie osoby (67</w:t>
      </w:r>
      <w:r w:rsidR="005522B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%), diabetes mellitus (59</w:t>
      </w:r>
      <w:r w:rsidR="005522B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%), ischemická choroba srdca (69</w:t>
      </w:r>
      <w:r w:rsidR="005522B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%), hypertenzia (68</w:t>
      </w:r>
      <w:r w:rsidR="005522B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%), </w:t>
      </w:r>
      <w:proofErr w:type="spellStart"/>
      <w:r w:rsidR="00FC5E81" w:rsidRPr="00097C3B">
        <w:rPr>
          <w:rStyle w:val="Zvraznenie"/>
          <w:rFonts w:ascii="Times New Roman" w:hAnsi="Times New Roman"/>
          <w:i w:val="0"/>
        </w:rPr>
        <w:t>transuretráln</w:t>
      </w:r>
      <w:r w:rsidR="00FC5E81">
        <w:rPr>
          <w:rStyle w:val="Zvraznenie"/>
          <w:rFonts w:ascii="Times New Roman" w:hAnsi="Times New Roman"/>
          <w:i w:val="0"/>
        </w:rPr>
        <w:t>a</w:t>
      </w:r>
      <w:proofErr w:type="spellEnd"/>
      <w:r w:rsidR="00FC5E81" w:rsidRPr="00097C3B">
        <w:rPr>
          <w:rStyle w:val="Zvraznenie"/>
          <w:rFonts w:ascii="Times New Roman" w:hAnsi="Times New Roman"/>
          <w:i w:val="0"/>
        </w:rPr>
        <w:t xml:space="preserve"> </w:t>
      </w:r>
      <w:proofErr w:type="spellStart"/>
      <w:r w:rsidR="00FC5E81" w:rsidRPr="00097C3B">
        <w:rPr>
          <w:rStyle w:val="Zvraznenie"/>
          <w:rFonts w:ascii="Times New Roman" w:hAnsi="Times New Roman"/>
          <w:i w:val="0"/>
        </w:rPr>
        <w:t>resekci</w:t>
      </w:r>
      <w:r w:rsidR="00FC5E81">
        <w:rPr>
          <w:rStyle w:val="Zvraznenie"/>
          <w:rFonts w:ascii="Times New Roman" w:hAnsi="Times New Roman"/>
          <w:i w:val="0"/>
        </w:rPr>
        <w:t>a</w:t>
      </w:r>
      <w:proofErr w:type="spellEnd"/>
      <w:r w:rsidR="00FC5E81" w:rsidRPr="00097C3B">
        <w:rPr>
          <w:rStyle w:val="Zvraznenie"/>
          <w:rFonts w:ascii="Times New Roman" w:hAnsi="Times New Roman"/>
          <w:i w:val="0"/>
        </w:rPr>
        <w:t xml:space="preserve"> </w:t>
      </w:r>
      <w:proofErr w:type="spellStart"/>
      <w:r w:rsidR="00FC5E81" w:rsidRPr="00097C3B">
        <w:rPr>
          <w:rStyle w:val="Zvraznenie"/>
          <w:rFonts w:ascii="Times New Roman" w:hAnsi="Times New Roman"/>
          <w:i w:val="0"/>
        </w:rPr>
        <w:t>prostaty</w:t>
      </w:r>
      <w:proofErr w:type="spellEnd"/>
      <w:r w:rsidRPr="001E0058">
        <w:rPr>
          <w:rFonts w:ascii="Times New Roman" w:eastAsia="TimesNewRoman" w:hAnsi="Times New Roman"/>
          <w:lang w:val="sk-SK"/>
        </w:rPr>
        <w:t>P (61</w:t>
      </w:r>
      <w:r w:rsidR="005522B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%), radikálna </w:t>
      </w:r>
      <w:proofErr w:type="spellStart"/>
      <w:r w:rsidRPr="001E0058">
        <w:rPr>
          <w:rFonts w:ascii="Times New Roman" w:eastAsia="TimesNewRoman" w:hAnsi="Times New Roman"/>
          <w:lang w:val="sk-SK"/>
        </w:rPr>
        <w:t>prostatektómia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(43</w:t>
      </w:r>
      <w:r w:rsidR="005522B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%), poranenie miechy (83</w:t>
      </w:r>
      <w:r w:rsidR="005522B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%), depresia (75</w:t>
      </w:r>
      <w:r w:rsidR="005522B0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%). Bezpečnosť a účinnosť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bola preukázaná v dlhodobých </w:t>
      </w:r>
      <w:r w:rsidR="0082104A">
        <w:rPr>
          <w:rFonts w:ascii="Times New Roman" w:eastAsia="TimesNewRoman" w:hAnsi="Times New Roman"/>
          <w:lang w:val="sk-SK"/>
        </w:rPr>
        <w:t>s</w:t>
      </w:r>
      <w:r w:rsidR="00E72EE6">
        <w:rPr>
          <w:rFonts w:ascii="Times New Roman" w:eastAsia="TimesNewRoman" w:hAnsi="Times New Roman"/>
          <w:lang w:val="sk-SK"/>
        </w:rPr>
        <w:t>kúšaniach</w:t>
      </w:r>
      <w:r w:rsidRPr="001E0058">
        <w:rPr>
          <w:rFonts w:ascii="Times New Roman" w:eastAsia="TimesNewRoman" w:hAnsi="Times New Roman"/>
          <w:lang w:val="sk-SK"/>
        </w:rPr>
        <w:t>.</w:t>
      </w:r>
    </w:p>
    <w:p w14:paraId="22021D86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768B25BC" w14:textId="77777777" w:rsidR="002E41AD" w:rsidRPr="001E0058" w:rsidRDefault="002E41A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r w:rsidRPr="001E0058">
        <w:rPr>
          <w:rFonts w:ascii="Times New Roman" w:eastAsia="TimesNewRoman" w:hAnsi="Times New Roman"/>
          <w:u w:val="single"/>
          <w:lang w:val="sk-SK"/>
        </w:rPr>
        <w:t>Pediatrická populácia</w:t>
      </w:r>
    </w:p>
    <w:p w14:paraId="7B423A5D" w14:textId="663CBFA8" w:rsidR="004C1702" w:rsidRPr="001E0058" w:rsidRDefault="002E41A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Európska agentúra pre lieky udelila výnimku z povinnosti predložiť výsledky štúdií s </w:t>
      </w:r>
      <w:proofErr w:type="spellStart"/>
      <w:r w:rsidRPr="001E0058">
        <w:rPr>
          <w:rFonts w:ascii="Times New Roman" w:eastAsia="TimesNewRoman" w:hAnsi="Times New Roman"/>
          <w:lang w:val="sk-SK"/>
        </w:rPr>
        <w:t>Azurvig</w:t>
      </w:r>
      <w:r w:rsidR="00010E16">
        <w:rPr>
          <w:rFonts w:ascii="Times New Roman" w:eastAsia="TimesNewRoman" w:hAnsi="Times New Roman"/>
          <w:lang w:val="sk-SK"/>
        </w:rPr>
        <w:t>om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vo všetkých podskupinách pediatrickej populácie na liečbu </w:t>
      </w:r>
      <w:proofErr w:type="spellStart"/>
      <w:r w:rsidRPr="001E0058">
        <w:rPr>
          <w:rFonts w:ascii="Times New Roman" w:eastAsia="TimesNewRoman" w:hAnsi="Times New Roman"/>
          <w:lang w:val="sk-SK"/>
        </w:rPr>
        <w:t>erektilnej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dysfunkcie (pozri časť 4.2).</w:t>
      </w:r>
    </w:p>
    <w:p w14:paraId="7A1D7F56" w14:textId="77777777" w:rsidR="00ED6348" w:rsidRDefault="00ED6348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46336EE7" w14:textId="43916DC4" w:rsidR="00B76076" w:rsidRPr="001E0058" w:rsidRDefault="00B76076" w:rsidP="00097C3B">
      <w:p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1E0058">
        <w:rPr>
          <w:rFonts w:ascii="Times New Roman" w:eastAsia="TimesNewRoman,Bold" w:hAnsi="Times New Roman"/>
          <w:b/>
          <w:bCs/>
          <w:lang w:val="sk-SK"/>
        </w:rPr>
        <w:t>5.2</w:t>
      </w:r>
      <w:r w:rsidR="00767A72">
        <w:rPr>
          <w:rFonts w:ascii="Times New Roman" w:eastAsia="TimesNewRoman,Bold" w:hAnsi="Times New Roman"/>
          <w:b/>
          <w:bCs/>
          <w:lang w:val="sk-SK"/>
        </w:rPr>
        <w:tab/>
      </w:r>
      <w:r w:rsidR="00F46436" w:rsidRPr="001E0058">
        <w:rPr>
          <w:rFonts w:ascii="Times New Roman" w:eastAsia="TimesNewRoman,Bold" w:hAnsi="Times New Roman"/>
          <w:b/>
          <w:bCs/>
          <w:lang w:val="sk-SK"/>
        </w:rPr>
        <w:t>Farmakokinetické vlastnosti</w:t>
      </w:r>
    </w:p>
    <w:p w14:paraId="2DE571E2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</w:p>
    <w:p w14:paraId="37161D9F" w14:textId="77777777" w:rsidR="0016354E" w:rsidRPr="001E0058" w:rsidRDefault="0016354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u w:val="single"/>
          <w:lang w:val="sk-SK"/>
        </w:rPr>
        <w:t>Absorpcia</w:t>
      </w:r>
    </w:p>
    <w:p w14:paraId="667B3E3E" w14:textId="77777777" w:rsidR="0016354E" w:rsidRPr="001E0058" w:rsidRDefault="0016354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72D64EA2" w14:textId="59E8C8D2" w:rsidR="0016354E" w:rsidRPr="001E0058" w:rsidRDefault="0016354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sa rýchlo vstrebáva. Maximálne plazmatické koncentrácie sa dosahujú 30</w:t>
      </w:r>
      <w:r w:rsidR="00AC6E44">
        <w:rPr>
          <w:rFonts w:ascii="Times New Roman" w:eastAsia="TimesNewRoman" w:hAnsi="Times New Roman"/>
          <w:lang w:val="sk-SK"/>
        </w:rPr>
        <w:t> </w:t>
      </w:r>
      <w:r w:rsidR="00AC6E44">
        <w:rPr>
          <w:rFonts w:ascii="Times New Roman" w:eastAsia="TimesNewRoman" w:hAnsi="Times New Roman"/>
          <w:lang w:val="sk-SK"/>
        </w:rPr>
        <w:noBreakHyphen/>
        <w:t> </w:t>
      </w:r>
      <w:r w:rsidRPr="001E0058">
        <w:rPr>
          <w:rFonts w:ascii="Times New Roman" w:eastAsia="TimesNewRoman" w:hAnsi="Times New Roman"/>
          <w:lang w:val="sk-SK"/>
        </w:rPr>
        <w:t xml:space="preserve">120 minút (v priemere 60 minút) po perorálnom </w:t>
      </w:r>
      <w:r w:rsidR="00AC6E44">
        <w:rPr>
          <w:rFonts w:ascii="Times New Roman" w:eastAsia="TimesNewRoman" w:hAnsi="Times New Roman"/>
          <w:lang w:val="sk-SK"/>
        </w:rPr>
        <w:t xml:space="preserve">podaní </w:t>
      </w:r>
      <w:r w:rsidRPr="001E0058">
        <w:rPr>
          <w:rFonts w:ascii="Times New Roman" w:eastAsia="TimesNewRoman" w:hAnsi="Times New Roman"/>
          <w:lang w:val="sk-SK"/>
        </w:rPr>
        <w:t>lieku nalačno. Priemerná absolútna perorálna biologická dostupnosť je 41</w:t>
      </w:r>
      <w:r w:rsidR="000B230A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% (rozsah 25</w:t>
      </w:r>
      <w:r w:rsidR="000B230A">
        <w:rPr>
          <w:rFonts w:ascii="Times New Roman" w:eastAsia="TimesNewRoman" w:hAnsi="Times New Roman"/>
          <w:lang w:val="sk-SK"/>
        </w:rPr>
        <w:t> – </w:t>
      </w:r>
      <w:r w:rsidRPr="001E0058">
        <w:rPr>
          <w:rFonts w:ascii="Times New Roman" w:eastAsia="TimesNewRoman" w:hAnsi="Times New Roman"/>
          <w:lang w:val="sk-SK"/>
        </w:rPr>
        <w:t>63</w:t>
      </w:r>
      <w:r w:rsidR="000B230A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%). </w:t>
      </w:r>
      <w:r w:rsidR="000B230A">
        <w:rPr>
          <w:rFonts w:ascii="Times New Roman" w:eastAsia="TimesNewRoman" w:hAnsi="Times New Roman"/>
          <w:lang w:val="sk-SK"/>
        </w:rPr>
        <w:t xml:space="preserve">Hodnota </w:t>
      </w:r>
      <w:r w:rsidRPr="001E0058">
        <w:rPr>
          <w:rFonts w:ascii="Times New Roman" w:eastAsia="TimesNewRoman" w:hAnsi="Times New Roman"/>
          <w:lang w:val="sk-SK"/>
        </w:rPr>
        <w:t>AUC a C</w:t>
      </w:r>
      <w:r w:rsidRPr="001E0058">
        <w:rPr>
          <w:rFonts w:ascii="Times New Roman" w:eastAsia="TimesNewRoman" w:hAnsi="Times New Roman"/>
          <w:vertAlign w:val="subscript"/>
          <w:lang w:val="sk-SK"/>
        </w:rPr>
        <w:t>max</w:t>
      </w:r>
      <w:r w:rsidRPr="001E0058">
        <w:rPr>
          <w:rFonts w:ascii="Times New Roman" w:eastAsia="TimesNewRoman" w:hAnsi="Times New Roman"/>
          <w:lang w:val="sk-SK"/>
        </w:rPr>
        <w:t xml:space="preserve"> sa po perorálnom podaní odpor</w:t>
      </w:r>
      <w:r w:rsidR="000B230A">
        <w:rPr>
          <w:rFonts w:ascii="Times New Roman" w:eastAsia="TimesNewRoman" w:hAnsi="Times New Roman"/>
          <w:lang w:val="sk-SK"/>
        </w:rPr>
        <w:t>ú</w:t>
      </w:r>
      <w:r w:rsidRPr="001E0058">
        <w:rPr>
          <w:rFonts w:ascii="Times New Roman" w:eastAsia="TimesNewRoman" w:hAnsi="Times New Roman"/>
          <w:lang w:val="sk-SK"/>
        </w:rPr>
        <w:t>č</w:t>
      </w:r>
      <w:r w:rsidR="000B230A">
        <w:rPr>
          <w:rFonts w:ascii="Times New Roman" w:eastAsia="TimesNewRoman" w:hAnsi="Times New Roman"/>
          <w:lang w:val="sk-SK"/>
        </w:rPr>
        <w:t>a</w:t>
      </w:r>
      <w:r w:rsidRPr="001E0058">
        <w:rPr>
          <w:rFonts w:ascii="Times New Roman" w:eastAsia="TimesNewRoman" w:hAnsi="Times New Roman"/>
          <w:lang w:val="sk-SK"/>
        </w:rPr>
        <w:t xml:space="preserve">ných dávok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(25</w:t>
      </w:r>
      <w:r w:rsidR="000B230A">
        <w:rPr>
          <w:rFonts w:ascii="Times New Roman" w:eastAsia="TimesNewRoman" w:hAnsi="Times New Roman"/>
          <w:lang w:val="sk-SK"/>
        </w:rPr>
        <w:t> </w:t>
      </w:r>
      <w:r w:rsidR="000B230A">
        <w:rPr>
          <w:rFonts w:ascii="Times New Roman" w:eastAsia="TimesNewRoman" w:hAnsi="Times New Roman"/>
          <w:lang w:val="sk-SK"/>
        </w:rPr>
        <w:noBreakHyphen/>
        <w:t> </w:t>
      </w:r>
      <w:r w:rsidRPr="001E0058">
        <w:rPr>
          <w:rFonts w:ascii="Times New Roman" w:eastAsia="TimesNewRoman" w:hAnsi="Times New Roman"/>
          <w:lang w:val="sk-SK"/>
        </w:rPr>
        <w:t>100 mg) zvyšuj</w:t>
      </w:r>
      <w:r w:rsidR="000B230A">
        <w:rPr>
          <w:rFonts w:ascii="Times New Roman" w:eastAsia="TimesNewRoman" w:hAnsi="Times New Roman"/>
          <w:lang w:val="sk-SK"/>
        </w:rPr>
        <w:t>e</w:t>
      </w:r>
      <w:r w:rsidRPr="001E0058">
        <w:rPr>
          <w:rFonts w:ascii="Times New Roman" w:eastAsia="TimesNewRoman" w:hAnsi="Times New Roman"/>
          <w:lang w:val="sk-SK"/>
        </w:rPr>
        <w:t xml:space="preserve"> proporcionálne s dávkou.</w:t>
      </w:r>
    </w:p>
    <w:p w14:paraId="2293914B" w14:textId="77777777" w:rsidR="0016354E" w:rsidRPr="001E0058" w:rsidRDefault="0016354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239A837" w14:textId="4E570072" w:rsidR="0016354E" w:rsidRPr="001E0058" w:rsidRDefault="0016354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AF2F27">
        <w:rPr>
          <w:rFonts w:ascii="Times New Roman" w:eastAsia="TimesNewRoman" w:hAnsi="Times New Roman"/>
          <w:lang w:val="sk-SK"/>
        </w:rPr>
        <w:t xml:space="preserve">Ak sa </w:t>
      </w:r>
      <w:proofErr w:type="spellStart"/>
      <w:r w:rsidRPr="00AF2F27">
        <w:rPr>
          <w:rFonts w:ascii="Times New Roman" w:eastAsia="TimesNewRoman" w:hAnsi="Times New Roman"/>
          <w:lang w:val="sk-SK"/>
        </w:rPr>
        <w:t>sildenafil</w:t>
      </w:r>
      <w:proofErr w:type="spellEnd"/>
      <w:r w:rsidRPr="00AF2F27">
        <w:rPr>
          <w:rFonts w:ascii="Times New Roman" w:eastAsia="TimesNewRoman" w:hAnsi="Times New Roman"/>
          <w:lang w:val="sk-SK"/>
        </w:rPr>
        <w:t xml:space="preserve"> užije </w:t>
      </w:r>
      <w:r w:rsidRPr="00010E16">
        <w:rPr>
          <w:rFonts w:ascii="Times New Roman" w:eastAsia="TimesNewRoman" w:hAnsi="Times New Roman"/>
          <w:lang w:val="sk-SK"/>
        </w:rPr>
        <w:t xml:space="preserve">s jedlom, rýchlosť absorpcie </w:t>
      </w:r>
      <w:r w:rsidR="009A7608" w:rsidRPr="00010E16">
        <w:rPr>
          <w:rFonts w:ascii="Times New Roman" w:eastAsia="TimesNewRoman" w:hAnsi="Times New Roman"/>
          <w:lang w:val="sk-SK"/>
        </w:rPr>
        <w:t xml:space="preserve">sa </w:t>
      </w:r>
      <w:r w:rsidRPr="00010E16">
        <w:rPr>
          <w:rFonts w:ascii="Times New Roman" w:eastAsia="TimesNewRoman" w:hAnsi="Times New Roman"/>
          <w:lang w:val="sk-SK"/>
        </w:rPr>
        <w:t xml:space="preserve">zníži, pričom priemerné oneskorenie </w:t>
      </w:r>
      <w:r w:rsidR="00B848B8" w:rsidRPr="00097C3B">
        <w:rPr>
          <w:rFonts w:ascii="Times New Roman" w:eastAsia="TimesNewRoman" w:hAnsi="Times New Roman"/>
          <w:lang w:val="sk-SK"/>
        </w:rPr>
        <w:t xml:space="preserve">hodnoty </w:t>
      </w:r>
      <w:proofErr w:type="spellStart"/>
      <w:r w:rsidRPr="00AF2F27">
        <w:rPr>
          <w:rFonts w:ascii="Times New Roman" w:eastAsia="TimesNewRoman" w:hAnsi="Times New Roman"/>
          <w:lang w:val="sk-SK"/>
        </w:rPr>
        <w:t>t</w:t>
      </w:r>
      <w:r w:rsidRPr="00010E16">
        <w:rPr>
          <w:rFonts w:ascii="Times New Roman" w:eastAsia="TimesNewRoman" w:hAnsi="Times New Roman"/>
          <w:vertAlign w:val="subscript"/>
          <w:lang w:val="sk-SK"/>
        </w:rPr>
        <w:t>max</w:t>
      </w:r>
      <w:proofErr w:type="spellEnd"/>
      <w:r w:rsidRPr="00010E16">
        <w:rPr>
          <w:rFonts w:ascii="Times New Roman" w:eastAsia="TimesNewRoman" w:hAnsi="Times New Roman"/>
          <w:lang w:val="sk-SK"/>
        </w:rPr>
        <w:t xml:space="preserve"> je 60</w:t>
      </w:r>
      <w:r w:rsidR="009A7608" w:rsidRPr="00010E16">
        <w:rPr>
          <w:rFonts w:ascii="Times New Roman" w:eastAsia="TimesNewRoman" w:hAnsi="Times New Roman"/>
          <w:lang w:val="sk-SK"/>
        </w:rPr>
        <w:t> </w:t>
      </w:r>
      <w:r w:rsidRPr="00010E16">
        <w:rPr>
          <w:rFonts w:ascii="Times New Roman" w:eastAsia="TimesNewRoman" w:hAnsi="Times New Roman"/>
          <w:lang w:val="sk-SK"/>
        </w:rPr>
        <w:t xml:space="preserve">minút a priemerné zníženie </w:t>
      </w:r>
      <w:r w:rsidR="00B848B8" w:rsidRPr="00097C3B">
        <w:rPr>
          <w:rFonts w:ascii="Times New Roman" w:eastAsia="TimesNewRoman" w:hAnsi="Times New Roman"/>
          <w:lang w:val="sk-SK"/>
        </w:rPr>
        <w:t xml:space="preserve">hodnoty </w:t>
      </w:r>
      <w:r w:rsidRPr="00AF2F27">
        <w:rPr>
          <w:rFonts w:ascii="Times New Roman" w:eastAsia="TimesNewRoman" w:hAnsi="Times New Roman"/>
          <w:lang w:val="sk-SK"/>
        </w:rPr>
        <w:t>C</w:t>
      </w:r>
      <w:r w:rsidRPr="00010E16">
        <w:rPr>
          <w:rFonts w:ascii="Times New Roman" w:eastAsia="TimesNewRoman" w:hAnsi="Times New Roman"/>
          <w:vertAlign w:val="subscript"/>
          <w:lang w:val="sk-SK"/>
        </w:rPr>
        <w:t>max</w:t>
      </w:r>
      <w:r w:rsidRPr="00010E16">
        <w:rPr>
          <w:rFonts w:ascii="Times New Roman" w:eastAsia="TimesNewRoman" w:hAnsi="Times New Roman"/>
          <w:lang w:val="sk-SK"/>
        </w:rPr>
        <w:t xml:space="preserve"> </w:t>
      </w:r>
      <w:r w:rsidR="00B848B8" w:rsidRPr="00097C3B">
        <w:rPr>
          <w:rFonts w:ascii="Times New Roman" w:eastAsia="TimesNewRoman" w:hAnsi="Times New Roman"/>
          <w:lang w:val="sk-SK"/>
        </w:rPr>
        <w:t>je</w:t>
      </w:r>
      <w:r w:rsidR="009A7608" w:rsidRPr="00010E16">
        <w:rPr>
          <w:rFonts w:ascii="Times New Roman" w:eastAsia="TimesNewRoman" w:hAnsi="Times New Roman"/>
          <w:lang w:val="sk-SK"/>
        </w:rPr>
        <w:t> </w:t>
      </w:r>
      <w:r w:rsidRPr="00010E16">
        <w:rPr>
          <w:rFonts w:ascii="Times New Roman" w:eastAsia="TimesNewRoman" w:hAnsi="Times New Roman"/>
          <w:lang w:val="sk-SK"/>
        </w:rPr>
        <w:t>29</w:t>
      </w:r>
      <w:r w:rsidR="009A7608" w:rsidRPr="00010E16">
        <w:rPr>
          <w:rFonts w:ascii="Times New Roman" w:eastAsia="TimesNewRoman" w:hAnsi="Times New Roman"/>
          <w:lang w:val="sk-SK"/>
        </w:rPr>
        <w:t> </w:t>
      </w:r>
      <w:r w:rsidRPr="00010E16">
        <w:rPr>
          <w:rFonts w:ascii="Times New Roman" w:eastAsia="TimesNewRoman" w:hAnsi="Times New Roman"/>
          <w:lang w:val="sk-SK"/>
        </w:rPr>
        <w:t>%.</w:t>
      </w:r>
    </w:p>
    <w:p w14:paraId="55805828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44C98A72" w14:textId="77777777" w:rsidR="006B3B8F" w:rsidRPr="001E0058" w:rsidRDefault="006B3B8F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r w:rsidRPr="001E0058">
        <w:rPr>
          <w:rFonts w:ascii="Times New Roman" w:eastAsia="TimesNewRoman" w:hAnsi="Times New Roman"/>
          <w:u w:val="single"/>
          <w:lang w:val="sk-SK"/>
        </w:rPr>
        <w:t>Distribúcia</w:t>
      </w:r>
    </w:p>
    <w:p w14:paraId="02D10797" w14:textId="77777777" w:rsidR="006B3B8F" w:rsidRPr="001E0058" w:rsidRDefault="006B3B8F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</w:p>
    <w:p w14:paraId="281CECF8" w14:textId="20031664" w:rsidR="006B3B8F" w:rsidRPr="001E0058" w:rsidRDefault="006B3B8F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>Priemerný distribučný objem (</w:t>
      </w:r>
      <w:proofErr w:type="spellStart"/>
      <w:r w:rsidRPr="001E0058">
        <w:rPr>
          <w:rFonts w:ascii="Times New Roman" w:eastAsia="TimesNewRoman" w:hAnsi="Times New Roman"/>
          <w:lang w:val="sk-SK"/>
        </w:rPr>
        <w:t>V</w:t>
      </w:r>
      <w:r w:rsidRPr="001E0058">
        <w:rPr>
          <w:rFonts w:ascii="Times New Roman" w:eastAsia="TimesNewRoman" w:hAnsi="Times New Roman"/>
          <w:vertAlign w:val="subscript"/>
          <w:lang w:val="sk-SK"/>
        </w:rPr>
        <w:t>d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)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="005F3F03">
        <w:rPr>
          <w:rFonts w:ascii="Times New Roman" w:eastAsia="TimesNewRoman" w:hAnsi="Times New Roman"/>
          <w:lang w:val="sk-SK"/>
        </w:rPr>
        <w:t xml:space="preserve"> v rovnovážnom stave</w:t>
      </w:r>
      <w:r w:rsidRPr="001E0058">
        <w:rPr>
          <w:rFonts w:ascii="Times New Roman" w:eastAsia="TimesNewRoman" w:hAnsi="Times New Roman"/>
          <w:lang w:val="sk-SK"/>
        </w:rPr>
        <w:t xml:space="preserve"> je 105 l, čo naznačuje distribúciu do tkanív. Po jednorazovom perorálnom podaní </w:t>
      </w:r>
      <w:r w:rsidR="00ED445C" w:rsidRPr="001E0058">
        <w:rPr>
          <w:rFonts w:ascii="Times New Roman" w:eastAsia="TimesNewRoman" w:hAnsi="Times New Roman"/>
          <w:lang w:val="sk-SK"/>
        </w:rPr>
        <w:t xml:space="preserve">100 mg </w:t>
      </w:r>
      <w:r w:rsidRPr="001E0058">
        <w:rPr>
          <w:rFonts w:ascii="Times New Roman" w:eastAsia="TimesNewRoman" w:hAnsi="Times New Roman"/>
          <w:lang w:val="sk-SK"/>
        </w:rPr>
        <w:t xml:space="preserve">dávky dosahuje priemerná maximálna celková plazmatická koncentrácia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približne 440 </w:t>
      </w:r>
      <w:proofErr w:type="spellStart"/>
      <w:r w:rsidRPr="001E0058">
        <w:rPr>
          <w:rFonts w:ascii="Times New Roman" w:eastAsia="TimesNewRoman" w:hAnsi="Times New Roman"/>
          <w:lang w:val="sk-SK"/>
        </w:rPr>
        <w:t>ng</w:t>
      </w:r>
      <w:proofErr w:type="spellEnd"/>
      <w:r w:rsidRPr="001E0058">
        <w:rPr>
          <w:rFonts w:ascii="Times New Roman" w:eastAsia="TimesNewRoman" w:hAnsi="Times New Roman"/>
          <w:lang w:val="sk-SK"/>
        </w:rPr>
        <w:t>/ml (CV 40</w:t>
      </w:r>
      <w:r w:rsidR="002A66DF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%). Keďže </w:t>
      </w:r>
      <w:r w:rsidR="00935415" w:rsidRPr="00D21BF0">
        <w:rPr>
          <w:rFonts w:ascii="Times New Roman" w:eastAsia="TimesNewRoman" w:hAnsi="Times New Roman"/>
          <w:lang w:val="sk-SK"/>
        </w:rPr>
        <w:t>96 %</w:t>
      </w:r>
      <w:r w:rsidR="00935415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r w:rsidR="00935415">
        <w:rPr>
          <w:rFonts w:ascii="Times New Roman" w:eastAsia="TimesNewRoman" w:hAnsi="Times New Roman"/>
          <w:lang w:val="sk-SK"/>
        </w:rPr>
        <w:t>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(a jeho hlavný cirkulujúci N-</w:t>
      </w:r>
      <w:proofErr w:type="spellStart"/>
      <w:r w:rsidRPr="001E0058">
        <w:rPr>
          <w:rFonts w:ascii="Times New Roman" w:eastAsia="TimesNewRoman" w:hAnsi="Times New Roman"/>
          <w:lang w:val="sk-SK"/>
        </w:rPr>
        <w:t>demetyl</w:t>
      </w:r>
      <w:r w:rsidR="005F3F03">
        <w:rPr>
          <w:rFonts w:ascii="Times New Roman" w:eastAsia="TimesNewRoman" w:hAnsi="Times New Roman"/>
          <w:lang w:val="sk-SK"/>
        </w:rPr>
        <w:t>ovaný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metabolit) sa </w:t>
      </w:r>
      <w:r w:rsidRPr="00935415">
        <w:rPr>
          <w:rFonts w:ascii="Times New Roman" w:eastAsia="TimesNewRoman" w:hAnsi="Times New Roman"/>
          <w:lang w:val="sk-SK"/>
        </w:rPr>
        <w:t>viaže na plazmatické</w:t>
      </w:r>
      <w:r w:rsidRPr="001E0058">
        <w:rPr>
          <w:rFonts w:ascii="Times New Roman" w:eastAsia="TimesNewRoman" w:hAnsi="Times New Roman"/>
          <w:lang w:val="sk-SK"/>
        </w:rPr>
        <w:t xml:space="preserve"> bielkoviny, dosahuje priemerná maximálna plazmatická koncentrácia voľného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18 </w:t>
      </w:r>
      <w:proofErr w:type="spellStart"/>
      <w:r w:rsidRPr="001E0058">
        <w:rPr>
          <w:rFonts w:ascii="Times New Roman" w:eastAsia="TimesNewRoman" w:hAnsi="Times New Roman"/>
          <w:lang w:val="sk-SK"/>
        </w:rPr>
        <w:t>ng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/ml (38 </w:t>
      </w:r>
      <w:proofErr w:type="spellStart"/>
      <w:r w:rsidRPr="001E0058">
        <w:rPr>
          <w:rFonts w:ascii="Times New Roman" w:eastAsia="TimesNewRoman" w:hAnsi="Times New Roman"/>
          <w:lang w:val="sk-SK"/>
        </w:rPr>
        <w:t>nmol</w:t>
      </w:r>
      <w:proofErr w:type="spellEnd"/>
      <w:r w:rsidRPr="001E0058">
        <w:rPr>
          <w:rFonts w:ascii="Times New Roman" w:eastAsia="TimesNewRoman" w:hAnsi="Times New Roman"/>
          <w:lang w:val="sk-SK"/>
        </w:rPr>
        <w:t>). Väzba na bielkoviny nie je závislá od celkových koncentrácií lieku.</w:t>
      </w:r>
    </w:p>
    <w:p w14:paraId="78BBBA03" w14:textId="77777777" w:rsidR="006B3B8F" w:rsidRPr="001E0058" w:rsidRDefault="006B3B8F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4DC06B7" w14:textId="5F8E7C32" w:rsidR="006B3B8F" w:rsidRPr="001E0058" w:rsidRDefault="006B3B8F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>U zdravých dobrovoľníkov</w:t>
      </w:r>
      <w:r w:rsidR="00E10B7B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už</w:t>
      </w:r>
      <w:r w:rsidR="00E10B7B">
        <w:rPr>
          <w:rFonts w:ascii="Times New Roman" w:eastAsia="TimesNewRoman" w:hAnsi="Times New Roman"/>
          <w:lang w:val="sk-SK"/>
        </w:rPr>
        <w:t xml:space="preserve">ívajúcich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(</w:t>
      </w:r>
      <w:r w:rsidR="00E10B7B" w:rsidRPr="001E0058">
        <w:rPr>
          <w:rFonts w:ascii="Times New Roman" w:eastAsia="TimesNewRoman" w:hAnsi="Times New Roman"/>
          <w:lang w:val="sk-SK"/>
        </w:rPr>
        <w:t>jednorazov</w:t>
      </w:r>
      <w:r w:rsidR="00E10B7B">
        <w:rPr>
          <w:rFonts w:ascii="Times New Roman" w:eastAsia="TimesNewRoman" w:hAnsi="Times New Roman"/>
          <w:lang w:val="sk-SK"/>
        </w:rPr>
        <w:t>á</w:t>
      </w:r>
      <w:r w:rsidR="00E10B7B" w:rsidRPr="001E0058">
        <w:rPr>
          <w:rFonts w:ascii="Times New Roman" w:eastAsia="TimesNewRoman" w:hAnsi="Times New Roman"/>
          <w:lang w:val="sk-SK"/>
        </w:rPr>
        <w:t xml:space="preserve"> dávk</w:t>
      </w:r>
      <w:r w:rsidR="00E10B7B">
        <w:rPr>
          <w:rFonts w:ascii="Times New Roman" w:eastAsia="TimesNewRoman" w:hAnsi="Times New Roman"/>
          <w:lang w:val="sk-SK"/>
        </w:rPr>
        <w:t>a</w:t>
      </w:r>
      <w:r w:rsidR="00E10B7B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100 mg) </w:t>
      </w:r>
      <w:r w:rsidR="00E10B7B">
        <w:rPr>
          <w:rFonts w:ascii="Times New Roman" w:eastAsia="TimesNewRoman" w:hAnsi="Times New Roman"/>
          <w:lang w:val="sk-SK"/>
        </w:rPr>
        <w:t xml:space="preserve">sa </w:t>
      </w:r>
      <w:r w:rsidR="00E10B7B" w:rsidRPr="001E0058">
        <w:rPr>
          <w:rFonts w:ascii="Times New Roman" w:eastAsia="TimesNewRoman" w:hAnsi="Times New Roman"/>
          <w:lang w:val="sk-SK"/>
        </w:rPr>
        <w:t xml:space="preserve">90 minút </w:t>
      </w:r>
      <w:r w:rsidR="00E10B7B">
        <w:rPr>
          <w:rFonts w:ascii="Times New Roman" w:eastAsia="TimesNewRoman" w:hAnsi="Times New Roman"/>
          <w:lang w:val="sk-SK"/>
        </w:rPr>
        <w:t xml:space="preserve">po podaní nachádzalo </w:t>
      </w:r>
      <w:r w:rsidR="00816106" w:rsidRPr="001E0058">
        <w:rPr>
          <w:rFonts w:ascii="Times New Roman" w:eastAsia="TimesNewRoman" w:hAnsi="Times New Roman"/>
          <w:lang w:val="sk-SK"/>
        </w:rPr>
        <w:t xml:space="preserve">v </w:t>
      </w:r>
      <w:proofErr w:type="spellStart"/>
      <w:r w:rsidR="00816106" w:rsidRPr="001E0058">
        <w:rPr>
          <w:rFonts w:ascii="Times New Roman" w:eastAsia="TimesNewRoman" w:hAnsi="Times New Roman"/>
          <w:lang w:val="sk-SK"/>
        </w:rPr>
        <w:t>ejakuláte</w:t>
      </w:r>
      <w:proofErr w:type="spellEnd"/>
      <w:r w:rsidR="00816106" w:rsidRPr="001E0058">
        <w:rPr>
          <w:rFonts w:ascii="Times New Roman" w:eastAsia="TimesNewRoman" w:hAnsi="Times New Roman"/>
          <w:lang w:val="sk-SK"/>
        </w:rPr>
        <w:t xml:space="preserve"> </w:t>
      </w:r>
      <w:r w:rsidR="00E10B7B" w:rsidRPr="001E0058">
        <w:rPr>
          <w:rFonts w:ascii="Times New Roman" w:eastAsia="TimesNewRoman" w:hAnsi="Times New Roman"/>
          <w:lang w:val="sk-SK"/>
        </w:rPr>
        <w:t>menej ako 0,0002</w:t>
      </w:r>
      <w:r w:rsidR="00E10B7B">
        <w:rPr>
          <w:rFonts w:ascii="Times New Roman" w:eastAsia="TimesNewRoman" w:hAnsi="Times New Roman"/>
          <w:lang w:val="sk-SK"/>
        </w:rPr>
        <w:t> </w:t>
      </w:r>
      <w:r w:rsidR="00E10B7B" w:rsidRPr="001E0058">
        <w:rPr>
          <w:rFonts w:ascii="Times New Roman" w:eastAsia="TimesNewRoman" w:hAnsi="Times New Roman"/>
          <w:lang w:val="sk-SK"/>
        </w:rPr>
        <w:t xml:space="preserve">% </w:t>
      </w:r>
      <w:r w:rsidR="00E10B7B">
        <w:rPr>
          <w:rFonts w:ascii="Times New Roman" w:eastAsia="TimesNewRoman" w:hAnsi="Times New Roman"/>
          <w:lang w:val="sk-SK"/>
        </w:rPr>
        <w:t xml:space="preserve">podanej </w:t>
      </w:r>
      <w:r w:rsidR="00E10B7B" w:rsidRPr="001E0058">
        <w:rPr>
          <w:rFonts w:ascii="Times New Roman" w:eastAsia="TimesNewRoman" w:hAnsi="Times New Roman"/>
          <w:lang w:val="sk-SK"/>
        </w:rPr>
        <w:t xml:space="preserve">dávky (priemerne 188 </w:t>
      </w:r>
      <w:proofErr w:type="spellStart"/>
      <w:r w:rsidR="00E10B7B" w:rsidRPr="001E0058">
        <w:rPr>
          <w:rFonts w:ascii="Times New Roman" w:eastAsia="TimesNewRoman" w:hAnsi="Times New Roman"/>
          <w:lang w:val="sk-SK"/>
        </w:rPr>
        <w:t>ng</w:t>
      </w:r>
      <w:proofErr w:type="spellEnd"/>
      <w:r w:rsidR="00E10B7B" w:rsidRPr="001E0058">
        <w:rPr>
          <w:rFonts w:ascii="Times New Roman" w:eastAsia="TimesNewRoman" w:hAnsi="Times New Roman"/>
          <w:lang w:val="sk-SK"/>
        </w:rPr>
        <w:t>)</w:t>
      </w:r>
      <w:r w:rsidR="00816106">
        <w:rPr>
          <w:rFonts w:ascii="Times New Roman" w:eastAsia="TimesNewRoman" w:hAnsi="Times New Roman"/>
          <w:lang w:val="sk-SK"/>
        </w:rPr>
        <w:t>.</w:t>
      </w:r>
    </w:p>
    <w:p w14:paraId="17FA7D9D" w14:textId="77777777" w:rsidR="006B3B8F" w:rsidRPr="001E0058" w:rsidRDefault="006B3B8F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</w:p>
    <w:p w14:paraId="7FB1AF6C" w14:textId="77777777" w:rsidR="006B3B8F" w:rsidRPr="001E0058" w:rsidRDefault="006B3B8F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r w:rsidRPr="001E0058">
        <w:rPr>
          <w:rFonts w:ascii="Times New Roman" w:eastAsia="TimesNewRoman" w:hAnsi="Times New Roman"/>
          <w:u w:val="single"/>
          <w:lang w:val="sk-SK"/>
        </w:rPr>
        <w:t>Biotransformácia</w:t>
      </w:r>
    </w:p>
    <w:p w14:paraId="5EA3B5B3" w14:textId="77777777" w:rsidR="006B3B8F" w:rsidRPr="001E0058" w:rsidRDefault="006B3B8F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</w:p>
    <w:p w14:paraId="5F6A76E7" w14:textId="4F33A0BA" w:rsidR="00791954" w:rsidRDefault="006B3B8F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ED445C">
        <w:rPr>
          <w:rFonts w:ascii="Times New Roman" w:eastAsia="TimesNewRoman" w:hAnsi="Times New Roman"/>
          <w:lang w:val="sk-SK"/>
        </w:rPr>
        <w:t xml:space="preserve">sa </w:t>
      </w:r>
      <w:r w:rsidRPr="001E0058">
        <w:rPr>
          <w:rFonts w:ascii="Times New Roman" w:eastAsia="TimesNewRoman" w:hAnsi="Times New Roman"/>
          <w:lang w:val="sk-SK"/>
        </w:rPr>
        <w:t>metaboliz</w:t>
      </w:r>
      <w:r w:rsidR="00ED445C">
        <w:rPr>
          <w:rFonts w:ascii="Times New Roman" w:eastAsia="TimesNewRoman" w:hAnsi="Times New Roman"/>
          <w:lang w:val="sk-SK"/>
        </w:rPr>
        <w:t>uje</w:t>
      </w:r>
      <w:r w:rsidRPr="001E0058">
        <w:rPr>
          <w:rFonts w:ascii="Times New Roman" w:eastAsia="TimesNewRoman" w:hAnsi="Times New Roman"/>
          <w:lang w:val="sk-SK"/>
        </w:rPr>
        <w:t xml:space="preserve"> predovšetkým </w:t>
      </w:r>
      <w:proofErr w:type="spellStart"/>
      <w:r w:rsidRPr="001E0058">
        <w:rPr>
          <w:rFonts w:ascii="Times New Roman" w:eastAsia="TimesNewRoman" w:hAnsi="Times New Roman"/>
          <w:lang w:val="sk-SK"/>
        </w:rPr>
        <w:t>hepatálnymi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mikrozomálnymi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izoenzýmami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CYP3A4 (hlavná metabolická cesta) a CYP2C9 (vedľajšia metabolická cesta). Hlavný cirkulujúci metabolit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ED445C">
        <w:rPr>
          <w:rFonts w:ascii="Times New Roman" w:eastAsia="TimesNewRoman" w:hAnsi="Times New Roman"/>
          <w:lang w:val="sk-SK"/>
        </w:rPr>
        <w:t xml:space="preserve">vzniká </w:t>
      </w:r>
      <w:r w:rsidRPr="001E0058">
        <w:rPr>
          <w:rFonts w:ascii="Times New Roman" w:eastAsia="TimesNewRoman" w:hAnsi="Times New Roman"/>
          <w:lang w:val="sk-SK"/>
        </w:rPr>
        <w:t>N-</w:t>
      </w:r>
      <w:proofErr w:type="spellStart"/>
      <w:r w:rsidRPr="001E0058">
        <w:rPr>
          <w:rFonts w:ascii="Times New Roman" w:eastAsia="TimesNewRoman" w:hAnsi="Times New Roman"/>
          <w:lang w:val="sk-SK"/>
        </w:rPr>
        <w:t>demetyláci</w:t>
      </w:r>
      <w:r w:rsidR="00ED445C">
        <w:rPr>
          <w:rFonts w:ascii="Times New Roman" w:eastAsia="TimesNewRoman" w:hAnsi="Times New Roman"/>
          <w:lang w:val="sk-SK"/>
        </w:rPr>
        <w:t>ou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. </w:t>
      </w:r>
    </w:p>
    <w:p w14:paraId="1681713C" w14:textId="77777777" w:rsidR="00791954" w:rsidRDefault="00791954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7DF2AB4B" w14:textId="1FC28126" w:rsidR="00B76076" w:rsidRPr="001E0058" w:rsidRDefault="006B3B8F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Tento metabolit </w:t>
      </w:r>
      <w:r w:rsidR="00272394">
        <w:rPr>
          <w:rFonts w:ascii="Times New Roman" w:eastAsia="TimesNewRoman" w:hAnsi="Times New Roman"/>
          <w:lang w:val="sk-SK"/>
        </w:rPr>
        <w:t xml:space="preserve">vykazuje </w:t>
      </w:r>
      <w:r w:rsidR="00272394" w:rsidRPr="001E0058">
        <w:rPr>
          <w:rFonts w:ascii="Times New Roman" w:eastAsia="TimesNewRoman" w:hAnsi="Times New Roman"/>
          <w:lang w:val="sk-SK"/>
        </w:rPr>
        <w:t>podobný</w:t>
      </w:r>
      <w:r w:rsidR="00272394" w:rsidRPr="001E0058" w:rsidDel="00272394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profil </w:t>
      </w:r>
      <w:proofErr w:type="spellStart"/>
      <w:r w:rsidRPr="001E0058">
        <w:rPr>
          <w:rFonts w:ascii="Times New Roman" w:eastAsia="TimesNewRoman" w:hAnsi="Times New Roman"/>
          <w:lang w:val="sk-SK"/>
        </w:rPr>
        <w:t>selektivity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4F5C32">
        <w:rPr>
          <w:rFonts w:ascii="Times New Roman" w:eastAsia="TimesNewRoman" w:hAnsi="Times New Roman"/>
          <w:lang w:val="sk-SK"/>
        </w:rPr>
        <w:t>pre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1E0058">
        <w:rPr>
          <w:rFonts w:ascii="Times New Roman" w:eastAsia="TimesNewRoman" w:hAnsi="Times New Roman"/>
          <w:lang w:val="sk-SK"/>
        </w:rPr>
        <w:t>fosfodiesterázu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272394">
        <w:rPr>
          <w:rFonts w:ascii="Times New Roman" w:eastAsia="TimesNewRoman" w:hAnsi="Times New Roman"/>
          <w:lang w:val="sk-SK"/>
        </w:rPr>
        <w:t xml:space="preserve">ako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a účinnosť </w:t>
      </w:r>
      <w:r w:rsidRPr="001E0058">
        <w:rPr>
          <w:rFonts w:ascii="Times New Roman" w:eastAsia="TimesNewRoman" w:hAnsi="Times New Roman"/>
          <w:i/>
          <w:lang w:val="sk-SK"/>
        </w:rPr>
        <w:t xml:space="preserve">in vitro </w:t>
      </w:r>
      <w:r w:rsidR="0012710D" w:rsidRPr="00097C3B">
        <w:rPr>
          <w:rFonts w:ascii="Times New Roman" w:eastAsia="TimesNewRoman" w:hAnsi="Times New Roman"/>
          <w:lang w:val="sk-SK"/>
        </w:rPr>
        <w:t>pre</w:t>
      </w:r>
      <w:r w:rsidRPr="001E0058">
        <w:rPr>
          <w:rFonts w:ascii="Times New Roman" w:eastAsia="TimesNewRoman" w:hAnsi="Times New Roman"/>
          <w:lang w:val="sk-SK"/>
        </w:rPr>
        <w:t xml:space="preserve"> PDE5 približne 50</w:t>
      </w:r>
      <w:r w:rsidR="00F01491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 v porovnaní s </w:t>
      </w:r>
      <w:r w:rsidR="004F5C32">
        <w:rPr>
          <w:rFonts w:ascii="Times New Roman" w:eastAsia="TimesNewRoman" w:hAnsi="Times New Roman"/>
          <w:lang w:val="sk-SK"/>
        </w:rPr>
        <w:t>pôvodným</w:t>
      </w:r>
      <w:r w:rsidR="004F5C32" w:rsidRPr="001E0058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 xml:space="preserve">liečivom. Plazmatické koncentrácie tohto </w:t>
      </w:r>
      <w:proofErr w:type="spellStart"/>
      <w:r w:rsidRPr="001E0058">
        <w:rPr>
          <w:rFonts w:ascii="Times New Roman" w:eastAsia="TimesNewRoman" w:hAnsi="Times New Roman"/>
          <w:lang w:val="sk-SK"/>
        </w:rPr>
        <w:t>metabolitu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zodpovedajú približne 40</w:t>
      </w:r>
      <w:r w:rsidR="00F01491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 xml:space="preserve">% koncentrácie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>. N-</w:t>
      </w:r>
      <w:proofErr w:type="spellStart"/>
      <w:r w:rsidRPr="001E0058">
        <w:rPr>
          <w:rFonts w:ascii="Times New Roman" w:eastAsia="TimesNewRoman" w:hAnsi="Times New Roman"/>
          <w:lang w:val="sk-SK"/>
        </w:rPr>
        <w:t>demetyl</w:t>
      </w:r>
      <w:r w:rsidR="004F5C32">
        <w:rPr>
          <w:rFonts w:ascii="Times New Roman" w:eastAsia="TimesNewRoman" w:hAnsi="Times New Roman"/>
          <w:lang w:val="sk-SK"/>
        </w:rPr>
        <w:t>ovaný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metabolit </w:t>
      </w:r>
      <w:r w:rsidR="000D62C5">
        <w:rPr>
          <w:rFonts w:ascii="Times New Roman" w:eastAsia="TimesNewRoman" w:hAnsi="Times New Roman"/>
          <w:lang w:val="sk-SK"/>
        </w:rPr>
        <w:t xml:space="preserve">sa </w:t>
      </w:r>
      <w:r w:rsidRPr="001E0058">
        <w:rPr>
          <w:rFonts w:ascii="Times New Roman" w:eastAsia="TimesNewRoman" w:hAnsi="Times New Roman"/>
          <w:lang w:val="sk-SK"/>
        </w:rPr>
        <w:t>ďalej metaboliz</w:t>
      </w:r>
      <w:r w:rsidR="000D62C5">
        <w:rPr>
          <w:rFonts w:ascii="Times New Roman" w:eastAsia="TimesNewRoman" w:hAnsi="Times New Roman"/>
          <w:lang w:val="sk-SK"/>
        </w:rPr>
        <w:t xml:space="preserve">uje s </w:t>
      </w:r>
      <w:r w:rsidRPr="001E0058">
        <w:rPr>
          <w:rFonts w:ascii="Times New Roman" w:eastAsia="TimesNewRoman" w:hAnsi="Times New Roman"/>
          <w:lang w:val="sk-SK"/>
        </w:rPr>
        <w:t>terminálny</w:t>
      </w:r>
      <w:r w:rsidR="000D62C5">
        <w:rPr>
          <w:rFonts w:ascii="Times New Roman" w:eastAsia="TimesNewRoman" w:hAnsi="Times New Roman"/>
          <w:lang w:val="sk-SK"/>
        </w:rPr>
        <w:t>m</w:t>
      </w:r>
      <w:r w:rsidRPr="001E0058">
        <w:rPr>
          <w:rFonts w:ascii="Times New Roman" w:eastAsia="TimesNewRoman" w:hAnsi="Times New Roman"/>
          <w:lang w:val="sk-SK"/>
        </w:rPr>
        <w:t xml:space="preserve"> polčas</w:t>
      </w:r>
      <w:r w:rsidR="000D62C5">
        <w:rPr>
          <w:rFonts w:ascii="Times New Roman" w:eastAsia="TimesNewRoman" w:hAnsi="Times New Roman"/>
          <w:lang w:val="sk-SK"/>
        </w:rPr>
        <w:t>om</w:t>
      </w:r>
      <w:r w:rsidRPr="001E0058">
        <w:rPr>
          <w:rFonts w:ascii="Times New Roman" w:eastAsia="TimesNewRoman" w:hAnsi="Times New Roman"/>
          <w:lang w:val="sk-SK"/>
        </w:rPr>
        <w:t xml:space="preserve"> približne 4 h.</w:t>
      </w:r>
    </w:p>
    <w:p w14:paraId="61A25E3F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6AB56CF8" w14:textId="77777777" w:rsidR="006B3B8F" w:rsidRPr="001E0058" w:rsidRDefault="006B3B8F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r w:rsidRPr="001E0058">
        <w:rPr>
          <w:rFonts w:ascii="Times New Roman" w:eastAsia="TimesNewRoman" w:hAnsi="Times New Roman"/>
          <w:u w:val="single"/>
          <w:lang w:val="sk-SK"/>
        </w:rPr>
        <w:t>Eliminácia</w:t>
      </w:r>
    </w:p>
    <w:p w14:paraId="4D224D45" w14:textId="77777777" w:rsidR="006B3B8F" w:rsidRPr="001E0058" w:rsidRDefault="006B3B8F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</w:p>
    <w:p w14:paraId="6AC9D09A" w14:textId="1F0F68F6" w:rsidR="00B76076" w:rsidRPr="001E0058" w:rsidRDefault="006B3B8F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4C14F5">
        <w:rPr>
          <w:rFonts w:ascii="Times New Roman" w:eastAsia="TimesNewRoman" w:hAnsi="Times New Roman"/>
          <w:lang w:val="sk-SK"/>
        </w:rPr>
        <w:t>Celkový tel</w:t>
      </w:r>
      <w:r w:rsidR="00EC4363" w:rsidRPr="00097C3B">
        <w:rPr>
          <w:rFonts w:ascii="Times New Roman" w:eastAsia="TimesNewRoman" w:hAnsi="Times New Roman"/>
          <w:lang w:val="sk-SK"/>
        </w:rPr>
        <w:t>esný</w:t>
      </w:r>
      <w:r w:rsidRPr="001E0058">
        <w:rPr>
          <w:rFonts w:ascii="Times New Roman" w:eastAsia="TimesNewRoman" w:hAnsi="Times New Roman"/>
          <w:lang w:val="sk-SK"/>
        </w:rPr>
        <w:t xml:space="preserve"> klírens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sildenafilu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je 41 l/h </w:t>
      </w:r>
      <w:r w:rsidR="00BC4AB7">
        <w:rPr>
          <w:rFonts w:ascii="Times New Roman" w:eastAsia="TimesNewRoman" w:hAnsi="Times New Roman"/>
          <w:lang w:val="sk-SK"/>
        </w:rPr>
        <w:t xml:space="preserve">s </w:t>
      </w:r>
      <w:r w:rsidR="00A4048E">
        <w:rPr>
          <w:rFonts w:ascii="Times New Roman" w:eastAsia="TimesNewRoman" w:hAnsi="Times New Roman"/>
          <w:lang w:val="sk-SK"/>
        </w:rPr>
        <w:t>výsledný</w:t>
      </w:r>
      <w:r w:rsidR="00BC4AB7">
        <w:rPr>
          <w:rFonts w:ascii="Times New Roman" w:eastAsia="TimesNewRoman" w:hAnsi="Times New Roman"/>
          <w:lang w:val="sk-SK"/>
        </w:rPr>
        <w:t>m</w:t>
      </w:r>
      <w:r w:rsidR="00A4048E">
        <w:rPr>
          <w:rFonts w:ascii="Times New Roman" w:eastAsia="TimesNewRoman" w:hAnsi="Times New Roman"/>
          <w:lang w:val="sk-SK"/>
        </w:rPr>
        <w:t xml:space="preserve"> </w:t>
      </w:r>
      <w:r w:rsidRPr="004C14F5">
        <w:rPr>
          <w:rFonts w:ascii="Times New Roman" w:eastAsia="TimesNewRoman" w:hAnsi="Times New Roman"/>
          <w:lang w:val="sk-SK"/>
        </w:rPr>
        <w:t>terminálny</w:t>
      </w:r>
      <w:r w:rsidR="00BC4AB7">
        <w:rPr>
          <w:rFonts w:ascii="Times New Roman" w:eastAsia="TimesNewRoman" w:hAnsi="Times New Roman"/>
          <w:lang w:val="sk-SK"/>
        </w:rPr>
        <w:t>m</w:t>
      </w:r>
      <w:r w:rsidRPr="004C14F5">
        <w:rPr>
          <w:rFonts w:ascii="Times New Roman" w:eastAsia="TimesNewRoman" w:hAnsi="Times New Roman"/>
          <w:lang w:val="sk-SK"/>
        </w:rPr>
        <w:t xml:space="preserve"> </w:t>
      </w:r>
      <w:r w:rsidRPr="001E0058">
        <w:rPr>
          <w:rFonts w:ascii="Times New Roman" w:eastAsia="TimesNewRoman" w:hAnsi="Times New Roman"/>
          <w:lang w:val="sk-SK"/>
        </w:rPr>
        <w:t>polčas</w:t>
      </w:r>
      <w:r w:rsidR="00BC4AB7">
        <w:rPr>
          <w:rFonts w:ascii="Times New Roman" w:eastAsia="TimesNewRoman" w:hAnsi="Times New Roman"/>
          <w:lang w:val="sk-SK"/>
        </w:rPr>
        <w:t>om</w:t>
      </w:r>
      <w:r w:rsidRPr="001E0058">
        <w:rPr>
          <w:rFonts w:ascii="Times New Roman" w:eastAsia="TimesNewRoman" w:hAnsi="Times New Roman"/>
          <w:lang w:val="sk-SK"/>
        </w:rPr>
        <w:t xml:space="preserve"> 3</w:t>
      </w:r>
      <w:r w:rsidR="009C0A83">
        <w:rPr>
          <w:rFonts w:ascii="Times New Roman" w:eastAsia="TimesNewRoman" w:hAnsi="Times New Roman"/>
          <w:lang w:val="sk-SK"/>
        </w:rPr>
        <w:t> </w:t>
      </w:r>
      <w:r w:rsidR="009C0A83">
        <w:rPr>
          <w:rFonts w:ascii="Times New Roman" w:eastAsia="TimesNewRoman" w:hAnsi="Times New Roman"/>
          <w:lang w:val="sk-SK"/>
        </w:rPr>
        <w:noBreakHyphen/>
        <w:t> </w:t>
      </w:r>
      <w:r w:rsidRPr="001E0058">
        <w:rPr>
          <w:rFonts w:ascii="Times New Roman" w:eastAsia="TimesNewRoman" w:hAnsi="Times New Roman"/>
          <w:lang w:val="sk-SK"/>
        </w:rPr>
        <w:t xml:space="preserve">5 h. </w:t>
      </w:r>
      <w:r w:rsidR="004F5C32">
        <w:rPr>
          <w:rFonts w:ascii="Times New Roman" w:eastAsia="TimesNewRoman" w:hAnsi="Times New Roman"/>
          <w:lang w:val="sk-SK"/>
        </w:rPr>
        <w:t>P</w:t>
      </w:r>
      <w:r w:rsidRPr="001E0058">
        <w:rPr>
          <w:rFonts w:ascii="Times New Roman" w:eastAsia="TimesNewRoman" w:hAnsi="Times New Roman"/>
          <w:lang w:val="sk-SK"/>
        </w:rPr>
        <w:t>o perorálnom a</w:t>
      </w:r>
      <w:r w:rsidR="00643B2B">
        <w:rPr>
          <w:rFonts w:ascii="Times New Roman" w:eastAsia="TimesNewRoman" w:hAnsi="Times New Roman"/>
          <w:lang w:val="sk-SK"/>
        </w:rPr>
        <w:t xml:space="preserve">lebo </w:t>
      </w:r>
      <w:r w:rsidRPr="001E0058">
        <w:rPr>
          <w:rFonts w:ascii="Times New Roman" w:eastAsia="TimesNewRoman" w:hAnsi="Times New Roman"/>
          <w:lang w:val="sk-SK"/>
        </w:rPr>
        <w:t xml:space="preserve">intravenóznom podaní sa </w:t>
      </w:r>
      <w:proofErr w:type="spellStart"/>
      <w:r w:rsidRPr="001E0058">
        <w:rPr>
          <w:rFonts w:ascii="Times New Roman" w:eastAsia="TimesNewRoman" w:hAnsi="Times New Roman"/>
          <w:lang w:val="sk-SK"/>
        </w:rPr>
        <w:t>sildenafil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vylučuje vo forme metabolitov predovšetkým do </w:t>
      </w:r>
      <w:r w:rsidRPr="001E0058">
        <w:rPr>
          <w:rFonts w:ascii="Times New Roman" w:eastAsia="TimesNewRoman" w:hAnsi="Times New Roman"/>
          <w:lang w:val="sk-SK"/>
        </w:rPr>
        <w:lastRenderedPageBreak/>
        <w:t>stolice (približne 80</w:t>
      </w:r>
      <w:r w:rsidR="005A0EFC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% podanej perorálnej dávky) a v menšej miere do moču (približne 13</w:t>
      </w:r>
      <w:r w:rsidR="005A0EFC">
        <w:rPr>
          <w:rFonts w:ascii="Times New Roman" w:eastAsia="TimesNewRoman" w:hAnsi="Times New Roman"/>
          <w:lang w:val="sk-SK"/>
        </w:rPr>
        <w:t> </w:t>
      </w:r>
      <w:r w:rsidRPr="001E0058">
        <w:rPr>
          <w:rFonts w:ascii="Times New Roman" w:eastAsia="TimesNewRoman" w:hAnsi="Times New Roman"/>
          <w:lang w:val="sk-SK"/>
        </w:rPr>
        <w:t>% podanej perorálnej dávky).</w:t>
      </w:r>
    </w:p>
    <w:p w14:paraId="5B548EB7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5F3FC8A" w14:textId="2D3A759E" w:rsidR="00B76076" w:rsidRPr="001E0058" w:rsidRDefault="00F3136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proofErr w:type="spellStart"/>
      <w:r w:rsidRPr="001E0058">
        <w:rPr>
          <w:rFonts w:ascii="Times New Roman" w:eastAsia="TimesNewRoman" w:hAnsi="Times New Roman"/>
          <w:u w:val="single"/>
          <w:lang w:val="sk-SK"/>
        </w:rPr>
        <w:t>Farmakokinetika</w:t>
      </w:r>
      <w:proofErr w:type="spellEnd"/>
      <w:r w:rsidRPr="001E0058">
        <w:rPr>
          <w:rFonts w:ascii="Times New Roman" w:eastAsia="TimesNewRoman" w:hAnsi="Times New Roman"/>
          <w:u w:val="single"/>
          <w:lang w:val="sk-SK"/>
        </w:rPr>
        <w:t xml:space="preserve"> v </w:t>
      </w:r>
      <w:r w:rsidR="004F5C32">
        <w:rPr>
          <w:rFonts w:ascii="Times New Roman" w:eastAsia="TimesNewRoman" w:hAnsi="Times New Roman"/>
          <w:u w:val="single"/>
          <w:lang w:val="sk-SK"/>
        </w:rPr>
        <w:t>osobitných</w:t>
      </w:r>
      <w:r w:rsidR="004F5C32" w:rsidRPr="001E0058">
        <w:rPr>
          <w:rFonts w:ascii="Times New Roman" w:eastAsia="TimesNewRoman" w:hAnsi="Times New Roman"/>
          <w:u w:val="single"/>
          <w:lang w:val="sk-SK"/>
        </w:rPr>
        <w:t xml:space="preserve"> </w:t>
      </w:r>
      <w:r w:rsidRPr="001E0058">
        <w:rPr>
          <w:rFonts w:ascii="Times New Roman" w:eastAsia="TimesNewRoman" w:hAnsi="Times New Roman"/>
          <w:u w:val="single"/>
          <w:lang w:val="sk-SK"/>
        </w:rPr>
        <w:t>skupinách pacientov</w:t>
      </w:r>
    </w:p>
    <w:p w14:paraId="0C2C0FDB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lang w:val="sk-SK"/>
        </w:rPr>
      </w:pPr>
    </w:p>
    <w:p w14:paraId="796610AA" w14:textId="36BEF67B" w:rsidR="00233566" w:rsidRPr="001E0058" w:rsidRDefault="0023356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lang w:val="sk-SK"/>
        </w:rPr>
      </w:pPr>
      <w:r w:rsidRPr="001E0058">
        <w:rPr>
          <w:rFonts w:ascii="Times New Roman" w:eastAsia="TimesNewRoman,Bold" w:hAnsi="Times New Roman"/>
          <w:i/>
          <w:iCs/>
          <w:lang w:val="sk-SK"/>
        </w:rPr>
        <w:t xml:space="preserve">Starší </w:t>
      </w:r>
      <w:r w:rsidR="00893561">
        <w:rPr>
          <w:rFonts w:ascii="Times New Roman" w:eastAsia="TimesNewRoman,Bold" w:hAnsi="Times New Roman"/>
          <w:i/>
          <w:iCs/>
          <w:lang w:val="sk-SK"/>
        </w:rPr>
        <w:t>pacienti</w:t>
      </w:r>
    </w:p>
    <w:p w14:paraId="6F79EC4F" w14:textId="7DCEC602" w:rsidR="00B76076" w:rsidRPr="001E0058" w:rsidRDefault="0023356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Cs/>
          <w:lang w:val="sk-SK"/>
        </w:rPr>
      </w:pPr>
      <w:r w:rsidRPr="001E0058">
        <w:rPr>
          <w:rFonts w:ascii="Times New Roman" w:eastAsia="TimesNewRoman,Bold" w:hAnsi="Times New Roman"/>
          <w:iCs/>
          <w:lang w:val="sk-SK"/>
        </w:rPr>
        <w:t>U zdravých starších dobrovoľníkov (65</w:t>
      </w:r>
      <w:r w:rsidR="00BB4B36">
        <w:rPr>
          <w:rFonts w:ascii="Times New Roman" w:eastAsia="TimesNewRoman,Bold" w:hAnsi="Times New Roman"/>
          <w:iCs/>
          <w:lang w:val="sk-SK"/>
        </w:rPr>
        <w:t xml:space="preserve"> </w:t>
      </w:r>
      <w:r w:rsidRPr="001E0058">
        <w:rPr>
          <w:rFonts w:ascii="Times New Roman" w:eastAsia="TimesNewRoman,Bold" w:hAnsi="Times New Roman"/>
          <w:iCs/>
          <w:lang w:val="sk-SK"/>
        </w:rPr>
        <w:t>ro</w:t>
      </w:r>
      <w:r w:rsidR="00893561">
        <w:rPr>
          <w:rFonts w:ascii="Times New Roman" w:eastAsia="TimesNewRoman,Bold" w:hAnsi="Times New Roman"/>
          <w:iCs/>
          <w:lang w:val="sk-SK"/>
        </w:rPr>
        <w:t>kov</w:t>
      </w:r>
      <w:r w:rsidRPr="001E0058">
        <w:rPr>
          <w:rFonts w:ascii="Times New Roman" w:eastAsia="TimesNewRoman,Bold" w:hAnsi="Times New Roman"/>
          <w:iCs/>
          <w:lang w:val="sk-SK"/>
        </w:rPr>
        <w:t xml:space="preserve"> a starší) bol klírens </w:t>
      </w:r>
      <w:proofErr w:type="spellStart"/>
      <w:r w:rsidRPr="001E0058">
        <w:rPr>
          <w:rFonts w:ascii="Times New Roman" w:eastAsia="TimesNewRoman,Bold" w:hAnsi="Times New Roman"/>
          <w:iCs/>
          <w:lang w:val="sk-SK"/>
        </w:rPr>
        <w:t>sildenafilu</w:t>
      </w:r>
      <w:proofErr w:type="spellEnd"/>
      <w:r w:rsidR="00BB4B36" w:rsidRPr="00BB4B36">
        <w:rPr>
          <w:rFonts w:ascii="Times New Roman" w:eastAsia="TimesNewRoman,Bold" w:hAnsi="Times New Roman"/>
          <w:iCs/>
          <w:lang w:val="sk-SK"/>
        </w:rPr>
        <w:t xml:space="preserve"> </w:t>
      </w:r>
      <w:r w:rsidR="00BB4B36" w:rsidRPr="001E0058">
        <w:rPr>
          <w:rFonts w:ascii="Times New Roman" w:eastAsia="TimesNewRoman,Bold" w:hAnsi="Times New Roman"/>
          <w:iCs/>
          <w:lang w:val="sk-SK"/>
        </w:rPr>
        <w:t>znížený</w:t>
      </w:r>
      <w:r w:rsidRPr="001E0058">
        <w:rPr>
          <w:rFonts w:ascii="Times New Roman" w:eastAsia="TimesNewRoman,Bold" w:hAnsi="Times New Roman"/>
          <w:iCs/>
          <w:lang w:val="sk-SK"/>
        </w:rPr>
        <w:t xml:space="preserve">, čo viedlo k </w:t>
      </w:r>
      <w:r w:rsidR="00564353" w:rsidRPr="001E0058">
        <w:rPr>
          <w:rFonts w:ascii="Times New Roman" w:eastAsia="TimesNewRoman,Bold" w:hAnsi="Times New Roman"/>
          <w:iCs/>
          <w:lang w:val="sk-SK"/>
        </w:rPr>
        <w:t>približne 90</w:t>
      </w:r>
      <w:r w:rsidR="00564353">
        <w:rPr>
          <w:rFonts w:ascii="Times New Roman" w:eastAsia="TimesNewRoman,Bold" w:hAnsi="Times New Roman"/>
          <w:iCs/>
          <w:lang w:val="sk-SK"/>
        </w:rPr>
        <w:t> </w:t>
      </w:r>
      <w:r w:rsidR="00564353" w:rsidRPr="001E0058">
        <w:rPr>
          <w:rFonts w:ascii="Times New Roman" w:eastAsia="TimesNewRoman,Bold" w:hAnsi="Times New Roman"/>
          <w:iCs/>
          <w:lang w:val="sk-SK"/>
        </w:rPr>
        <w:t xml:space="preserve">% </w:t>
      </w:r>
      <w:r w:rsidRPr="001E0058">
        <w:rPr>
          <w:rFonts w:ascii="Times New Roman" w:eastAsia="TimesNewRoman,Bold" w:hAnsi="Times New Roman"/>
          <w:iCs/>
          <w:lang w:val="sk-SK"/>
        </w:rPr>
        <w:t xml:space="preserve">zvýšeniu plazmatických koncentrácií </w:t>
      </w:r>
      <w:proofErr w:type="spellStart"/>
      <w:r w:rsidRPr="001E0058">
        <w:rPr>
          <w:rFonts w:ascii="Times New Roman" w:eastAsia="TimesNewRoman,Bold" w:hAnsi="Times New Roman"/>
          <w:iCs/>
          <w:lang w:val="sk-SK"/>
        </w:rPr>
        <w:t>sildenafilu</w:t>
      </w:r>
      <w:proofErr w:type="spellEnd"/>
      <w:r w:rsidRPr="001E0058">
        <w:rPr>
          <w:rFonts w:ascii="Times New Roman" w:eastAsia="TimesNewRoman,Bold" w:hAnsi="Times New Roman"/>
          <w:iCs/>
          <w:lang w:val="sk-SK"/>
        </w:rPr>
        <w:t xml:space="preserve"> a aktívneho N-</w:t>
      </w:r>
      <w:proofErr w:type="spellStart"/>
      <w:r w:rsidRPr="001E0058">
        <w:rPr>
          <w:rFonts w:ascii="Times New Roman" w:eastAsia="TimesNewRoman,Bold" w:hAnsi="Times New Roman"/>
          <w:iCs/>
          <w:lang w:val="sk-SK"/>
        </w:rPr>
        <w:t>demetyl</w:t>
      </w:r>
      <w:r w:rsidR="004F5C32">
        <w:rPr>
          <w:rFonts w:ascii="Times New Roman" w:eastAsia="TimesNewRoman,Bold" w:hAnsi="Times New Roman"/>
          <w:iCs/>
          <w:lang w:val="sk-SK"/>
        </w:rPr>
        <w:t>ovaného</w:t>
      </w:r>
      <w:proofErr w:type="spellEnd"/>
      <w:r w:rsidRPr="001E0058">
        <w:rPr>
          <w:rFonts w:ascii="Times New Roman" w:eastAsia="TimesNewRoman,Bold" w:hAnsi="Times New Roman"/>
          <w:iCs/>
          <w:lang w:val="sk-SK"/>
        </w:rPr>
        <w:t xml:space="preserve"> </w:t>
      </w:r>
      <w:proofErr w:type="spellStart"/>
      <w:r w:rsidRPr="001E0058">
        <w:rPr>
          <w:rFonts w:ascii="Times New Roman" w:eastAsia="TimesNewRoman,Bold" w:hAnsi="Times New Roman"/>
          <w:iCs/>
          <w:lang w:val="sk-SK"/>
        </w:rPr>
        <w:t>metabolitu</w:t>
      </w:r>
      <w:proofErr w:type="spellEnd"/>
      <w:r w:rsidRPr="001E0058">
        <w:rPr>
          <w:rFonts w:ascii="Times New Roman" w:eastAsia="TimesNewRoman,Bold" w:hAnsi="Times New Roman"/>
          <w:iCs/>
          <w:lang w:val="sk-SK"/>
        </w:rPr>
        <w:t xml:space="preserve"> v porovnaní s hodnotami u mladších zdravých dobrovoľníkov (18</w:t>
      </w:r>
      <w:r w:rsidR="00893561">
        <w:rPr>
          <w:rFonts w:ascii="Times New Roman" w:eastAsia="TimesNewRoman,Bold" w:hAnsi="Times New Roman"/>
          <w:iCs/>
          <w:lang w:val="sk-SK"/>
        </w:rPr>
        <w:t> </w:t>
      </w:r>
      <w:r w:rsidR="00893561">
        <w:rPr>
          <w:rFonts w:ascii="Times New Roman" w:eastAsia="TimesNewRoman,Bold" w:hAnsi="Times New Roman"/>
          <w:iCs/>
          <w:lang w:val="sk-SK"/>
        </w:rPr>
        <w:noBreakHyphen/>
        <w:t> </w:t>
      </w:r>
      <w:r w:rsidRPr="001E0058">
        <w:rPr>
          <w:rFonts w:ascii="Times New Roman" w:eastAsia="TimesNewRoman,Bold" w:hAnsi="Times New Roman"/>
          <w:iCs/>
          <w:lang w:val="sk-SK"/>
        </w:rPr>
        <w:t>45-ro</w:t>
      </w:r>
      <w:r w:rsidR="00893561">
        <w:rPr>
          <w:rFonts w:ascii="Times New Roman" w:eastAsia="TimesNewRoman,Bold" w:hAnsi="Times New Roman"/>
          <w:iCs/>
          <w:lang w:val="sk-SK"/>
        </w:rPr>
        <w:t>kov</w:t>
      </w:r>
      <w:r w:rsidRPr="001E0058">
        <w:rPr>
          <w:rFonts w:ascii="Times New Roman" w:eastAsia="TimesNewRoman,Bold" w:hAnsi="Times New Roman"/>
          <w:iCs/>
          <w:lang w:val="sk-SK"/>
        </w:rPr>
        <w:t>). Vzhľadom na rozdiely vo väzbe na plazmatické bielkoviny</w:t>
      </w:r>
      <w:r w:rsidR="007E694B">
        <w:rPr>
          <w:rFonts w:ascii="Times New Roman" w:eastAsia="TimesNewRoman,Bold" w:hAnsi="Times New Roman"/>
          <w:iCs/>
          <w:lang w:val="sk-SK"/>
        </w:rPr>
        <w:t xml:space="preserve"> súvisiace s </w:t>
      </w:r>
      <w:r w:rsidRPr="001E0058">
        <w:rPr>
          <w:rFonts w:ascii="Times New Roman" w:eastAsia="TimesNewRoman,Bold" w:hAnsi="Times New Roman"/>
          <w:iCs/>
          <w:lang w:val="sk-SK"/>
        </w:rPr>
        <w:t>vekom</w:t>
      </w:r>
      <w:r w:rsidR="007E694B">
        <w:rPr>
          <w:rFonts w:ascii="Times New Roman" w:eastAsia="TimesNewRoman,Bold" w:hAnsi="Times New Roman"/>
          <w:iCs/>
          <w:lang w:val="sk-SK"/>
        </w:rPr>
        <w:t xml:space="preserve"> </w:t>
      </w:r>
      <w:r w:rsidRPr="001E0058">
        <w:rPr>
          <w:rFonts w:ascii="Times New Roman" w:eastAsia="TimesNewRoman,Bold" w:hAnsi="Times New Roman"/>
          <w:iCs/>
          <w:lang w:val="sk-SK"/>
        </w:rPr>
        <w:t xml:space="preserve">bolo zodpovedajúce zvýšenie plazmatických koncentrácií voľného </w:t>
      </w:r>
      <w:proofErr w:type="spellStart"/>
      <w:r w:rsidRPr="001E0058">
        <w:rPr>
          <w:rFonts w:ascii="Times New Roman" w:eastAsia="TimesNewRoman,Bold" w:hAnsi="Times New Roman"/>
          <w:iCs/>
          <w:lang w:val="sk-SK"/>
        </w:rPr>
        <w:t>sildenafilu</w:t>
      </w:r>
      <w:proofErr w:type="spellEnd"/>
      <w:r w:rsidRPr="001E0058">
        <w:rPr>
          <w:rFonts w:ascii="Times New Roman" w:eastAsia="TimesNewRoman,Bold" w:hAnsi="Times New Roman"/>
          <w:iCs/>
          <w:lang w:val="sk-SK"/>
        </w:rPr>
        <w:t xml:space="preserve"> približne 40</w:t>
      </w:r>
      <w:r w:rsidR="00084F6F">
        <w:rPr>
          <w:rFonts w:ascii="Times New Roman" w:eastAsia="TimesNewRoman,Bold" w:hAnsi="Times New Roman"/>
          <w:iCs/>
          <w:lang w:val="sk-SK"/>
        </w:rPr>
        <w:t> </w:t>
      </w:r>
      <w:r w:rsidRPr="001E0058">
        <w:rPr>
          <w:rFonts w:ascii="Times New Roman" w:eastAsia="TimesNewRoman,Bold" w:hAnsi="Times New Roman"/>
          <w:iCs/>
          <w:lang w:val="sk-SK"/>
        </w:rPr>
        <w:t>%.</w:t>
      </w:r>
    </w:p>
    <w:p w14:paraId="0977792D" w14:textId="77777777" w:rsidR="00233566" w:rsidRPr="001E0058" w:rsidRDefault="0023356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5F2D005" w14:textId="77777777" w:rsidR="00233566" w:rsidRPr="001E0058" w:rsidRDefault="0023356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lang w:val="sk-SK"/>
        </w:rPr>
      </w:pPr>
      <w:r w:rsidRPr="001E0058">
        <w:rPr>
          <w:rFonts w:ascii="Times New Roman" w:eastAsia="TimesNewRoman,Bold" w:hAnsi="Times New Roman"/>
          <w:i/>
          <w:iCs/>
          <w:lang w:val="sk-SK"/>
        </w:rPr>
        <w:t xml:space="preserve">Renálna </w:t>
      </w:r>
      <w:proofErr w:type="spellStart"/>
      <w:r w:rsidRPr="001E0058">
        <w:rPr>
          <w:rFonts w:ascii="Times New Roman" w:eastAsia="TimesNewRoman,Bold" w:hAnsi="Times New Roman"/>
          <w:i/>
          <w:iCs/>
          <w:lang w:val="sk-SK"/>
        </w:rPr>
        <w:t>insuficiencia</w:t>
      </w:r>
      <w:proofErr w:type="spellEnd"/>
    </w:p>
    <w:p w14:paraId="05A902ED" w14:textId="78B498C4" w:rsidR="00233566" w:rsidRPr="001E0058" w:rsidRDefault="0023356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Cs/>
          <w:lang w:val="sk-SK"/>
        </w:rPr>
      </w:pPr>
      <w:r w:rsidRPr="001E0058">
        <w:rPr>
          <w:rFonts w:ascii="Times New Roman" w:eastAsia="TimesNewRoman,Bold" w:hAnsi="Times New Roman"/>
          <w:iCs/>
          <w:lang w:val="sk-SK"/>
        </w:rPr>
        <w:t>U dobrovoľníkov s miern</w:t>
      </w:r>
      <w:r w:rsidR="004F5C32">
        <w:rPr>
          <w:rFonts w:ascii="Times New Roman" w:eastAsia="TimesNewRoman,Bold" w:hAnsi="Times New Roman"/>
          <w:iCs/>
          <w:lang w:val="sk-SK"/>
        </w:rPr>
        <w:t>ou</w:t>
      </w:r>
      <w:r w:rsidRPr="001E0058">
        <w:rPr>
          <w:rFonts w:ascii="Times New Roman" w:eastAsia="TimesNewRoman,Bold" w:hAnsi="Times New Roman"/>
          <w:iCs/>
          <w:lang w:val="sk-SK"/>
        </w:rPr>
        <w:t xml:space="preserve"> a</w:t>
      </w:r>
      <w:r w:rsidR="00FD2B85">
        <w:rPr>
          <w:rFonts w:ascii="Times New Roman" w:eastAsia="TimesNewRoman,Bold" w:hAnsi="Times New Roman"/>
          <w:iCs/>
          <w:lang w:val="sk-SK"/>
        </w:rPr>
        <w:t>ž</w:t>
      </w:r>
      <w:r w:rsidRPr="001E0058">
        <w:rPr>
          <w:rFonts w:ascii="Times New Roman" w:eastAsia="TimesNewRoman,Bold" w:hAnsi="Times New Roman"/>
          <w:iCs/>
          <w:lang w:val="sk-SK"/>
        </w:rPr>
        <w:t xml:space="preserve"> stredne ťažk</w:t>
      </w:r>
      <w:r w:rsidR="004F5C32">
        <w:rPr>
          <w:rFonts w:ascii="Times New Roman" w:eastAsia="TimesNewRoman,Bold" w:hAnsi="Times New Roman"/>
          <w:iCs/>
          <w:lang w:val="sk-SK"/>
        </w:rPr>
        <w:t>ou</w:t>
      </w:r>
      <w:r w:rsidRPr="001E0058">
        <w:rPr>
          <w:rFonts w:ascii="Times New Roman" w:eastAsia="TimesNewRoman,Bold" w:hAnsi="Times New Roman"/>
          <w:iCs/>
          <w:lang w:val="sk-SK"/>
        </w:rPr>
        <w:t xml:space="preserve"> po</w:t>
      </w:r>
      <w:r w:rsidR="004F5C32">
        <w:rPr>
          <w:rFonts w:ascii="Times New Roman" w:eastAsia="TimesNewRoman,Bold" w:hAnsi="Times New Roman"/>
          <w:iCs/>
          <w:lang w:val="sk-SK"/>
        </w:rPr>
        <w:t>ruchou</w:t>
      </w:r>
      <w:r w:rsidRPr="001E0058">
        <w:rPr>
          <w:rFonts w:ascii="Times New Roman" w:eastAsia="TimesNewRoman,Bold" w:hAnsi="Times New Roman"/>
          <w:iCs/>
          <w:lang w:val="sk-SK"/>
        </w:rPr>
        <w:t xml:space="preserve"> funkcie obličiek (klírens kreatinínu = 30</w:t>
      </w:r>
      <w:r w:rsidR="00312944">
        <w:rPr>
          <w:rFonts w:ascii="Times New Roman" w:eastAsia="TimesNewRoman,Bold" w:hAnsi="Times New Roman"/>
          <w:iCs/>
          <w:lang w:val="sk-SK"/>
        </w:rPr>
        <w:t> – </w:t>
      </w:r>
      <w:r w:rsidRPr="001E0058">
        <w:rPr>
          <w:rFonts w:ascii="Times New Roman" w:eastAsia="TimesNewRoman,Bold" w:hAnsi="Times New Roman"/>
          <w:iCs/>
          <w:lang w:val="sk-SK"/>
        </w:rPr>
        <w:t>80</w:t>
      </w:r>
      <w:r w:rsidR="00312944">
        <w:rPr>
          <w:rFonts w:ascii="Times New Roman" w:eastAsia="TimesNewRoman,Bold" w:hAnsi="Times New Roman"/>
          <w:iCs/>
          <w:lang w:val="sk-SK"/>
        </w:rPr>
        <w:t> </w:t>
      </w:r>
      <w:r w:rsidRPr="001E0058">
        <w:rPr>
          <w:rFonts w:ascii="Times New Roman" w:eastAsia="TimesNewRoman,Bold" w:hAnsi="Times New Roman"/>
          <w:iCs/>
          <w:lang w:val="sk-SK"/>
        </w:rPr>
        <w:t xml:space="preserve">ml/min) </w:t>
      </w:r>
      <w:r w:rsidR="00713026">
        <w:rPr>
          <w:rFonts w:ascii="Times New Roman" w:eastAsia="TimesNewRoman,Bold" w:hAnsi="Times New Roman"/>
          <w:iCs/>
          <w:lang w:val="sk-SK"/>
        </w:rPr>
        <w:t xml:space="preserve">sa </w:t>
      </w:r>
      <w:proofErr w:type="spellStart"/>
      <w:r w:rsidRPr="001E0058">
        <w:rPr>
          <w:rFonts w:ascii="Times New Roman" w:eastAsia="TimesNewRoman,Bold" w:hAnsi="Times New Roman"/>
          <w:iCs/>
          <w:lang w:val="sk-SK"/>
        </w:rPr>
        <w:t>farmakokinetika</w:t>
      </w:r>
      <w:proofErr w:type="spellEnd"/>
      <w:r w:rsidRPr="001E0058">
        <w:rPr>
          <w:rFonts w:ascii="Times New Roman" w:eastAsia="TimesNewRoman,Bold" w:hAnsi="Times New Roman"/>
          <w:iCs/>
          <w:lang w:val="sk-SK"/>
        </w:rPr>
        <w:t xml:space="preserve"> </w:t>
      </w:r>
      <w:proofErr w:type="spellStart"/>
      <w:r w:rsidRPr="001E0058">
        <w:rPr>
          <w:rFonts w:ascii="Times New Roman" w:eastAsia="TimesNewRoman,Bold" w:hAnsi="Times New Roman"/>
          <w:iCs/>
          <w:lang w:val="sk-SK"/>
        </w:rPr>
        <w:t>sildenafilu</w:t>
      </w:r>
      <w:proofErr w:type="spellEnd"/>
      <w:r w:rsidRPr="001E0058">
        <w:rPr>
          <w:rFonts w:ascii="Times New Roman" w:eastAsia="TimesNewRoman,Bold" w:hAnsi="Times New Roman"/>
          <w:iCs/>
          <w:lang w:val="sk-SK"/>
        </w:rPr>
        <w:t xml:space="preserve"> po podaní jednorazovej perorálnej </w:t>
      </w:r>
      <w:r w:rsidR="003B2B89" w:rsidRPr="001E0058">
        <w:rPr>
          <w:rFonts w:ascii="Times New Roman" w:eastAsia="TimesNewRoman,Bold" w:hAnsi="Times New Roman"/>
          <w:iCs/>
          <w:lang w:val="sk-SK"/>
        </w:rPr>
        <w:t>50 mg</w:t>
      </w:r>
      <w:r w:rsidR="003B2B89">
        <w:rPr>
          <w:rFonts w:ascii="Times New Roman" w:eastAsia="TimesNewRoman,Bold" w:hAnsi="Times New Roman"/>
          <w:iCs/>
          <w:lang w:val="sk-SK"/>
        </w:rPr>
        <w:t xml:space="preserve"> </w:t>
      </w:r>
      <w:r w:rsidRPr="001E0058">
        <w:rPr>
          <w:rFonts w:ascii="Times New Roman" w:eastAsia="TimesNewRoman,Bold" w:hAnsi="Times New Roman"/>
          <w:iCs/>
          <w:lang w:val="sk-SK"/>
        </w:rPr>
        <w:t xml:space="preserve">dávky </w:t>
      </w:r>
      <w:r w:rsidR="00713026">
        <w:rPr>
          <w:rFonts w:ascii="Times New Roman" w:eastAsia="TimesNewRoman,Bold" w:hAnsi="Times New Roman"/>
          <w:iCs/>
          <w:lang w:val="sk-SK"/>
        </w:rPr>
        <w:t>ne</w:t>
      </w:r>
      <w:r w:rsidR="00FD2B85">
        <w:rPr>
          <w:rFonts w:ascii="Times New Roman" w:eastAsia="TimesNewRoman,Bold" w:hAnsi="Times New Roman"/>
          <w:iCs/>
          <w:lang w:val="sk-SK"/>
        </w:rPr>
        <w:t>z</w:t>
      </w:r>
      <w:r w:rsidR="00713026">
        <w:rPr>
          <w:rFonts w:ascii="Times New Roman" w:eastAsia="TimesNewRoman,Bold" w:hAnsi="Times New Roman"/>
          <w:iCs/>
          <w:lang w:val="sk-SK"/>
        </w:rPr>
        <w:t>menila</w:t>
      </w:r>
      <w:r w:rsidRPr="001E0058">
        <w:rPr>
          <w:rFonts w:ascii="Times New Roman" w:eastAsia="TimesNewRoman,Bold" w:hAnsi="Times New Roman"/>
          <w:iCs/>
          <w:lang w:val="sk-SK"/>
        </w:rPr>
        <w:t xml:space="preserve">. Priemerná </w:t>
      </w:r>
      <w:r w:rsidR="00713026">
        <w:rPr>
          <w:rFonts w:ascii="Times New Roman" w:eastAsia="TimesNewRoman,Bold" w:hAnsi="Times New Roman"/>
          <w:iCs/>
          <w:lang w:val="sk-SK"/>
        </w:rPr>
        <w:t xml:space="preserve">hodnota </w:t>
      </w:r>
      <w:r w:rsidRPr="001E0058">
        <w:rPr>
          <w:rFonts w:ascii="Times New Roman" w:eastAsia="TimesNewRoman,Bold" w:hAnsi="Times New Roman"/>
          <w:iCs/>
          <w:lang w:val="sk-SK"/>
        </w:rPr>
        <w:t xml:space="preserve">AUC </w:t>
      </w:r>
      <w:r w:rsidR="00FD2B85" w:rsidRPr="001E0058">
        <w:rPr>
          <w:rFonts w:ascii="Times New Roman" w:eastAsia="TimesNewRoman,Bold" w:hAnsi="Times New Roman"/>
          <w:iCs/>
          <w:lang w:val="sk-SK"/>
        </w:rPr>
        <w:t>N-</w:t>
      </w:r>
      <w:proofErr w:type="spellStart"/>
      <w:r w:rsidR="00FD2B85" w:rsidRPr="001E0058">
        <w:rPr>
          <w:rFonts w:ascii="Times New Roman" w:eastAsia="TimesNewRoman,Bold" w:hAnsi="Times New Roman"/>
          <w:iCs/>
          <w:lang w:val="sk-SK"/>
        </w:rPr>
        <w:t>demetyl</w:t>
      </w:r>
      <w:r w:rsidR="00FD2B85">
        <w:rPr>
          <w:rFonts w:ascii="Times New Roman" w:eastAsia="TimesNewRoman,Bold" w:hAnsi="Times New Roman"/>
          <w:iCs/>
          <w:lang w:val="sk-SK"/>
        </w:rPr>
        <w:t>ovaného</w:t>
      </w:r>
      <w:proofErr w:type="spellEnd"/>
      <w:r w:rsidR="00FD2B85" w:rsidRPr="001E0058">
        <w:rPr>
          <w:rFonts w:ascii="Times New Roman" w:eastAsia="TimesNewRoman,Bold" w:hAnsi="Times New Roman"/>
          <w:iCs/>
          <w:lang w:val="sk-SK"/>
        </w:rPr>
        <w:t xml:space="preserve"> </w:t>
      </w:r>
      <w:proofErr w:type="spellStart"/>
      <w:r w:rsidR="00FD2B85" w:rsidRPr="001E0058">
        <w:rPr>
          <w:rFonts w:ascii="Times New Roman" w:eastAsia="TimesNewRoman,Bold" w:hAnsi="Times New Roman"/>
          <w:iCs/>
          <w:lang w:val="sk-SK"/>
        </w:rPr>
        <w:t>metabolitu</w:t>
      </w:r>
      <w:proofErr w:type="spellEnd"/>
      <w:r w:rsidR="00FD2B85" w:rsidRPr="001E0058">
        <w:rPr>
          <w:rFonts w:ascii="Times New Roman" w:eastAsia="TimesNewRoman,Bold" w:hAnsi="Times New Roman"/>
          <w:iCs/>
          <w:lang w:val="sk-SK"/>
        </w:rPr>
        <w:t xml:space="preserve"> </w:t>
      </w:r>
      <w:r w:rsidR="00713026" w:rsidRPr="001E0058">
        <w:rPr>
          <w:rFonts w:ascii="Times New Roman" w:eastAsia="TimesNewRoman,Bold" w:hAnsi="Times New Roman"/>
          <w:iCs/>
          <w:lang w:val="sk-SK"/>
        </w:rPr>
        <w:t>sa zvýšila o</w:t>
      </w:r>
      <w:r w:rsidR="00713026">
        <w:rPr>
          <w:rFonts w:ascii="Times New Roman" w:eastAsia="TimesNewRoman,Bold" w:hAnsi="Times New Roman"/>
          <w:iCs/>
          <w:lang w:val="sk-SK"/>
        </w:rPr>
        <w:t> </w:t>
      </w:r>
      <w:r w:rsidR="00713026" w:rsidRPr="001E0058">
        <w:rPr>
          <w:rFonts w:ascii="Times New Roman" w:eastAsia="TimesNewRoman,Bold" w:hAnsi="Times New Roman"/>
          <w:iCs/>
          <w:lang w:val="sk-SK"/>
        </w:rPr>
        <w:t>126</w:t>
      </w:r>
      <w:r w:rsidR="00713026">
        <w:rPr>
          <w:rFonts w:ascii="Times New Roman" w:eastAsia="TimesNewRoman,Bold" w:hAnsi="Times New Roman"/>
          <w:iCs/>
          <w:lang w:val="sk-SK"/>
        </w:rPr>
        <w:t> </w:t>
      </w:r>
      <w:r w:rsidR="00713026" w:rsidRPr="001E0058">
        <w:rPr>
          <w:rFonts w:ascii="Times New Roman" w:eastAsia="TimesNewRoman,Bold" w:hAnsi="Times New Roman"/>
          <w:iCs/>
          <w:lang w:val="sk-SK"/>
        </w:rPr>
        <w:t xml:space="preserve">% </w:t>
      </w:r>
      <w:r w:rsidRPr="001E0058">
        <w:rPr>
          <w:rFonts w:ascii="Times New Roman" w:eastAsia="TimesNewRoman,Bold" w:hAnsi="Times New Roman"/>
          <w:iCs/>
          <w:lang w:val="sk-SK"/>
        </w:rPr>
        <w:t>a</w:t>
      </w:r>
      <w:r w:rsidR="00713026">
        <w:rPr>
          <w:rFonts w:ascii="Times New Roman" w:eastAsia="TimesNewRoman,Bold" w:hAnsi="Times New Roman"/>
          <w:iCs/>
          <w:lang w:val="sk-SK"/>
        </w:rPr>
        <w:t xml:space="preserve"> hodnota </w:t>
      </w:r>
      <w:r w:rsidRPr="001E0058">
        <w:rPr>
          <w:rFonts w:ascii="Times New Roman" w:eastAsia="TimesNewRoman,Bold" w:hAnsi="Times New Roman"/>
          <w:iCs/>
          <w:lang w:val="sk-SK"/>
        </w:rPr>
        <w:t>C</w:t>
      </w:r>
      <w:r w:rsidRPr="001E0058">
        <w:rPr>
          <w:rFonts w:ascii="Times New Roman" w:eastAsia="TimesNewRoman,Bold" w:hAnsi="Times New Roman"/>
          <w:iCs/>
          <w:vertAlign w:val="subscript"/>
          <w:lang w:val="sk-SK"/>
        </w:rPr>
        <w:t>max</w:t>
      </w:r>
      <w:r w:rsidRPr="001E0058">
        <w:rPr>
          <w:rFonts w:ascii="Times New Roman" w:eastAsia="TimesNewRoman,Bold" w:hAnsi="Times New Roman"/>
          <w:iCs/>
          <w:lang w:val="sk-SK"/>
        </w:rPr>
        <w:t xml:space="preserve"> </w:t>
      </w:r>
      <w:r w:rsidR="007C1FB0" w:rsidRPr="001E0058">
        <w:rPr>
          <w:rFonts w:ascii="Times New Roman" w:eastAsia="TimesNewRoman,Bold" w:hAnsi="Times New Roman"/>
          <w:iCs/>
          <w:lang w:val="sk-SK"/>
        </w:rPr>
        <w:t>o</w:t>
      </w:r>
      <w:r w:rsidR="00713026">
        <w:rPr>
          <w:rFonts w:ascii="Times New Roman" w:eastAsia="TimesNewRoman,Bold" w:hAnsi="Times New Roman"/>
          <w:iCs/>
          <w:lang w:val="sk-SK"/>
        </w:rPr>
        <w:t> </w:t>
      </w:r>
      <w:r w:rsidRPr="001E0058">
        <w:rPr>
          <w:rFonts w:ascii="Times New Roman" w:eastAsia="TimesNewRoman,Bold" w:hAnsi="Times New Roman"/>
          <w:iCs/>
          <w:lang w:val="sk-SK"/>
        </w:rPr>
        <w:t>73</w:t>
      </w:r>
      <w:r w:rsidR="00713026">
        <w:rPr>
          <w:rFonts w:ascii="Times New Roman" w:eastAsia="TimesNewRoman,Bold" w:hAnsi="Times New Roman"/>
          <w:iCs/>
          <w:lang w:val="sk-SK"/>
        </w:rPr>
        <w:t> </w:t>
      </w:r>
      <w:r w:rsidRPr="001E0058">
        <w:rPr>
          <w:rFonts w:ascii="Times New Roman" w:eastAsia="TimesNewRoman,Bold" w:hAnsi="Times New Roman"/>
          <w:iCs/>
          <w:lang w:val="sk-SK"/>
        </w:rPr>
        <w:t>%</w:t>
      </w:r>
      <w:r w:rsidR="004F5C32">
        <w:rPr>
          <w:rFonts w:ascii="Times New Roman" w:eastAsia="TimesNewRoman,Bold" w:hAnsi="Times New Roman"/>
          <w:iCs/>
          <w:lang w:val="sk-SK"/>
        </w:rPr>
        <w:t xml:space="preserve"> </w:t>
      </w:r>
      <w:r w:rsidRPr="001E0058">
        <w:rPr>
          <w:rFonts w:ascii="Times New Roman" w:eastAsia="TimesNewRoman,Bold" w:hAnsi="Times New Roman"/>
          <w:iCs/>
          <w:lang w:val="sk-SK"/>
        </w:rPr>
        <w:t xml:space="preserve">v porovnaní s dobrovoľníkmi </w:t>
      </w:r>
      <w:r w:rsidR="00FD2B85">
        <w:rPr>
          <w:rFonts w:ascii="Times New Roman" w:eastAsia="TimesNewRoman,Bold" w:hAnsi="Times New Roman"/>
          <w:iCs/>
          <w:lang w:val="sk-SK"/>
        </w:rPr>
        <w:t xml:space="preserve">rovnakého </w:t>
      </w:r>
      <w:r w:rsidRPr="001E0058">
        <w:rPr>
          <w:rFonts w:ascii="Times New Roman" w:eastAsia="TimesNewRoman,Bold" w:hAnsi="Times New Roman"/>
          <w:iCs/>
          <w:lang w:val="sk-SK"/>
        </w:rPr>
        <w:t>veku bez po</w:t>
      </w:r>
      <w:r w:rsidR="004F5C32">
        <w:rPr>
          <w:rFonts w:ascii="Times New Roman" w:eastAsia="TimesNewRoman,Bold" w:hAnsi="Times New Roman"/>
          <w:iCs/>
          <w:lang w:val="sk-SK"/>
        </w:rPr>
        <w:t>ruchy</w:t>
      </w:r>
      <w:r w:rsidRPr="001E0058">
        <w:rPr>
          <w:rFonts w:ascii="Times New Roman" w:eastAsia="TimesNewRoman,Bold" w:hAnsi="Times New Roman"/>
          <w:iCs/>
          <w:lang w:val="sk-SK"/>
        </w:rPr>
        <w:t xml:space="preserve"> funkcie obličiek. Vzhľadom na vysokú </w:t>
      </w:r>
      <w:proofErr w:type="spellStart"/>
      <w:r w:rsidRPr="001E0058">
        <w:rPr>
          <w:rFonts w:ascii="Times New Roman" w:eastAsia="TimesNewRoman,Bold" w:hAnsi="Times New Roman"/>
          <w:iCs/>
          <w:lang w:val="sk-SK"/>
        </w:rPr>
        <w:t>interindividuálnu</w:t>
      </w:r>
      <w:proofErr w:type="spellEnd"/>
      <w:r w:rsidRPr="001E0058">
        <w:rPr>
          <w:rFonts w:ascii="Times New Roman" w:eastAsia="TimesNewRoman,Bold" w:hAnsi="Times New Roman"/>
          <w:iCs/>
          <w:lang w:val="sk-SK"/>
        </w:rPr>
        <w:t xml:space="preserve"> variabilitu však tieto rozdiely neboli štatisticky </w:t>
      </w:r>
      <w:r w:rsidR="004F5C32">
        <w:rPr>
          <w:rFonts w:ascii="Times New Roman" w:eastAsia="TimesNewRoman,Bold" w:hAnsi="Times New Roman"/>
          <w:iCs/>
          <w:lang w:val="sk-SK"/>
        </w:rPr>
        <w:t>významné</w:t>
      </w:r>
      <w:r w:rsidRPr="001E0058">
        <w:rPr>
          <w:rFonts w:ascii="Times New Roman" w:eastAsia="TimesNewRoman,Bold" w:hAnsi="Times New Roman"/>
          <w:iCs/>
          <w:lang w:val="sk-SK"/>
        </w:rPr>
        <w:t>. U dobrovoľníkov s ťa</w:t>
      </w:r>
      <w:r w:rsidR="004F5C32">
        <w:rPr>
          <w:rFonts w:ascii="Times New Roman" w:eastAsia="TimesNewRoman,Bold" w:hAnsi="Times New Roman"/>
          <w:iCs/>
          <w:lang w:val="sk-SK"/>
        </w:rPr>
        <w:t>žkou</w:t>
      </w:r>
      <w:r w:rsidRPr="001E0058">
        <w:rPr>
          <w:rFonts w:ascii="Times New Roman" w:eastAsia="TimesNewRoman,Bold" w:hAnsi="Times New Roman"/>
          <w:iCs/>
          <w:lang w:val="sk-SK"/>
        </w:rPr>
        <w:t xml:space="preserve"> po</w:t>
      </w:r>
      <w:r w:rsidR="004F5C32">
        <w:rPr>
          <w:rFonts w:ascii="Times New Roman" w:eastAsia="TimesNewRoman,Bold" w:hAnsi="Times New Roman"/>
          <w:iCs/>
          <w:lang w:val="sk-SK"/>
        </w:rPr>
        <w:t>ruchou</w:t>
      </w:r>
      <w:r w:rsidRPr="001E0058">
        <w:rPr>
          <w:rFonts w:ascii="Times New Roman" w:eastAsia="TimesNewRoman,Bold" w:hAnsi="Times New Roman"/>
          <w:iCs/>
          <w:lang w:val="sk-SK"/>
        </w:rPr>
        <w:t xml:space="preserve"> funkcie obličiek (klírens kreatinínu &lt; 30</w:t>
      </w:r>
      <w:r w:rsidR="00A7561A">
        <w:rPr>
          <w:rFonts w:ascii="Times New Roman" w:eastAsia="TimesNewRoman,Bold" w:hAnsi="Times New Roman"/>
          <w:iCs/>
          <w:lang w:val="sk-SK"/>
        </w:rPr>
        <w:t> </w:t>
      </w:r>
      <w:r w:rsidRPr="001E0058">
        <w:rPr>
          <w:rFonts w:ascii="Times New Roman" w:eastAsia="TimesNewRoman,Bold" w:hAnsi="Times New Roman"/>
          <w:iCs/>
          <w:lang w:val="sk-SK"/>
        </w:rPr>
        <w:t xml:space="preserve">ml/min) bol klírens </w:t>
      </w:r>
      <w:proofErr w:type="spellStart"/>
      <w:r w:rsidRPr="001E0058">
        <w:rPr>
          <w:rFonts w:ascii="Times New Roman" w:eastAsia="TimesNewRoman,Bold" w:hAnsi="Times New Roman"/>
          <w:iCs/>
          <w:lang w:val="sk-SK"/>
        </w:rPr>
        <w:t>sildenafilu</w:t>
      </w:r>
      <w:proofErr w:type="spellEnd"/>
      <w:r w:rsidRPr="001E0058">
        <w:rPr>
          <w:rFonts w:ascii="Times New Roman" w:eastAsia="TimesNewRoman,Bold" w:hAnsi="Times New Roman"/>
          <w:iCs/>
          <w:lang w:val="sk-SK"/>
        </w:rPr>
        <w:t xml:space="preserve"> znížený</w:t>
      </w:r>
      <w:r w:rsidR="005B58D1">
        <w:rPr>
          <w:rFonts w:ascii="Times New Roman" w:eastAsia="TimesNewRoman,Bold" w:hAnsi="Times New Roman"/>
          <w:iCs/>
          <w:lang w:val="sk-SK"/>
        </w:rPr>
        <w:t xml:space="preserve">, čo viedlo </w:t>
      </w:r>
      <w:r w:rsidRPr="001E0058">
        <w:rPr>
          <w:rFonts w:ascii="Times New Roman" w:eastAsia="TimesNewRoman,Bold" w:hAnsi="Times New Roman"/>
          <w:iCs/>
          <w:lang w:val="sk-SK"/>
        </w:rPr>
        <w:t>v porovnaní s dobrovoľníkmi rovnakého veku bez po</w:t>
      </w:r>
      <w:r w:rsidR="004F5C32">
        <w:rPr>
          <w:rFonts w:ascii="Times New Roman" w:eastAsia="TimesNewRoman,Bold" w:hAnsi="Times New Roman"/>
          <w:iCs/>
          <w:lang w:val="sk-SK"/>
        </w:rPr>
        <w:t>ruchy</w:t>
      </w:r>
      <w:r w:rsidRPr="001E0058">
        <w:rPr>
          <w:rFonts w:ascii="Times New Roman" w:eastAsia="TimesNewRoman,Bold" w:hAnsi="Times New Roman"/>
          <w:iCs/>
          <w:lang w:val="sk-SK"/>
        </w:rPr>
        <w:t xml:space="preserve"> funkcie obličiek</w:t>
      </w:r>
      <w:r w:rsidR="005B58D1">
        <w:rPr>
          <w:rFonts w:ascii="Times New Roman" w:eastAsia="TimesNewRoman,Bold" w:hAnsi="Times New Roman"/>
          <w:iCs/>
          <w:lang w:val="sk-SK"/>
        </w:rPr>
        <w:t xml:space="preserve"> k </w:t>
      </w:r>
      <w:r w:rsidR="005B58D1" w:rsidRPr="001E0058">
        <w:rPr>
          <w:rFonts w:ascii="Times New Roman" w:eastAsia="TimesNewRoman,Bold" w:hAnsi="Times New Roman"/>
          <w:iCs/>
          <w:lang w:val="sk-SK"/>
        </w:rPr>
        <w:t>zvýš</w:t>
      </w:r>
      <w:r w:rsidR="005B58D1">
        <w:rPr>
          <w:rFonts w:ascii="Times New Roman" w:eastAsia="TimesNewRoman,Bold" w:hAnsi="Times New Roman"/>
          <w:iCs/>
          <w:lang w:val="sk-SK"/>
        </w:rPr>
        <w:t>eniu hodnoty</w:t>
      </w:r>
      <w:r w:rsidR="00A7561A">
        <w:rPr>
          <w:rFonts w:ascii="Times New Roman" w:eastAsia="TimesNewRoman,Bold" w:hAnsi="Times New Roman"/>
          <w:iCs/>
          <w:lang w:val="sk-SK"/>
        </w:rPr>
        <w:t xml:space="preserve"> </w:t>
      </w:r>
      <w:r w:rsidRPr="001E0058">
        <w:rPr>
          <w:rFonts w:ascii="Times New Roman" w:eastAsia="TimesNewRoman,Bold" w:hAnsi="Times New Roman"/>
          <w:iCs/>
          <w:lang w:val="sk-SK"/>
        </w:rPr>
        <w:t>AUC o</w:t>
      </w:r>
      <w:r w:rsidR="00A7561A">
        <w:rPr>
          <w:rFonts w:ascii="Times New Roman" w:eastAsia="TimesNewRoman,Bold" w:hAnsi="Times New Roman"/>
          <w:iCs/>
          <w:lang w:val="sk-SK"/>
        </w:rPr>
        <w:t> </w:t>
      </w:r>
      <w:r w:rsidRPr="001E0058">
        <w:rPr>
          <w:rFonts w:ascii="Times New Roman" w:eastAsia="TimesNewRoman,Bold" w:hAnsi="Times New Roman"/>
          <w:iCs/>
          <w:lang w:val="sk-SK"/>
        </w:rPr>
        <w:t>100</w:t>
      </w:r>
      <w:r w:rsidR="00A7561A">
        <w:rPr>
          <w:rFonts w:ascii="Times New Roman" w:eastAsia="TimesNewRoman,Bold" w:hAnsi="Times New Roman"/>
          <w:iCs/>
          <w:lang w:val="sk-SK"/>
        </w:rPr>
        <w:t> </w:t>
      </w:r>
      <w:r w:rsidRPr="001E0058">
        <w:rPr>
          <w:rFonts w:ascii="Times New Roman" w:eastAsia="TimesNewRoman,Bold" w:hAnsi="Times New Roman"/>
          <w:iCs/>
          <w:lang w:val="sk-SK"/>
        </w:rPr>
        <w:t>% a</w:t>
      </w:r>
      <w:r w:rsidR="005B58D1">
        <w:rPr>
          <w:rFonts w:ascii="Times New Roman" w:eastAsia="TimesNewRoman,Bold" w:hAnsi="Times New Roman"/>
          <w:iCs/>
          <w:lang w:val="sk-SK"/>
        </w:rPr>
        <w:t xml:space="preserve"> hodnoty </w:t>
      </w:r>
      <w:r w:rsidRPr="001E0058">
        <w:rPr>
          <w:rFonts w:ascii="Times New Roman" w:eastAsia="TimesNewRoman,Bold" w:hAnsi="Times New Roman"/>
          <w:iCs/>
          <w:lang w:val="sk-SK"/>
        </w:rPr>
        <w:t>C</w:t>
      </w:r>
      <w:r w:rsidRPr="001E0058">
        <w:rPr>
          <w:rFonts w:ascii="Times New Roman" w:eastAsia="TimesNewRoman,Bold" w:hAnsi="Times New Roman"/>
          <w:iCs/>
          <w:vertAlign w:val="subscript"/>
          <w:lang w:val="sk-SK"/>
        </w:rPr>
        <w:t>max</w:t>
      </w:r>
      <w:r w:rsidRPr="001E0058">
        <w:rPr>
          <w:rFonts w:ascii="Times New Roman" w:eastAsia="TimesNewRoman,Bold" w:hAnsi="Times New Roman"/>
          <w:iCs/>
          <w:lang w:val="sk-SK"/>
        </w:rPr>
        <w:t xml:space="preserve"> o</w:t>
      </w:r>
      <w:r w:rsidR="00A7561A">
        <w:rPr>
          <w:rFonts w:ascii="Times New Roman" w:eastAsia="TimesNewRoman,Bold" w:hAnsi="Times New Roman"/>
          <w:iCs/>
          <w:lang w:val="sk-SK"/>
        </w:rPr>
        <w:t> </w:t>
      </w:r>
      <w:r w:rsidRPr="001E0058">
        <w:rPr>
          <w:rFonts w:ascii="Times New Roman" w:eastAsia="TimesNewRoman,Bold" w:hAnsi="Times New Roman"/>
          <w:iCs/>
          <w:lang w:val="sk-SK"/>
        </w:rPr>
        <w:t>88</w:t>
      </w:r>
      <w:r w:rsidR="00A7561A">
        <w:rPr>
          <w:rFonts w:ascii="Times New Roman" w:eastAsia="TimesNewRoman,Bold" w:hAnsi="Times New Roman"/>
          <w:iCs/>
          <w:lang w:val="sk-SK"/>
        </w:rPr>
        <w:t> </w:t>
      </w:r>
      <w:r w:rsidRPr="001E0058">
        <w:rPr>
          <w:rFonts w:ascii="Times New Roman" w:eastAsia="TimesNewRoman,Bold" w:hAnsi="Times New Roman"/>
          <w:iCs/>
          <w:lang w:val="sk-SK"/>
        </w:rPr>
        <w:t xml:space="preserve">%. Okrem toho </w:t>
      </w:r>
      <w:r w:rsidR="00A7561A">
        <w:rPr>
          <w:rFonts w:ascii="Times New Roman" w:eastAsia="TimesNewRoman,Bold" w:hAnsi="Times New Roman"/>
          <w:iCs/>
          <w:lang w:val="sk-SK"/>
        </w:rPr>
        <w:t xml:space="preserve">sa </w:t>
      </w:r>
      <w:r w:rsidRPr="001E0058">
        <w:rPr>
          <w:rFonts w:ascii="Times New Roman" w:eastAsia="TimesNewRoman,Bold" w:hAnsi="Times New Roman"/>
          <w:iCs/>
          <w:lang w:val="sk-SK"/>
        </w:rPr>
        <w:t>hodnot</w:t>
      </w:r>
      <w:r w:rsidR="00A7561A">
        <w:rPr>
          <w:rFonts w:ascii="Times New Roman" w:eastAsia="TimesNewRoman,Bold" w:hAnsi="Times New Roman"/>
          <w:iCs/>
          <w:lang w:val="sk-SK"/>
        </w:rPr>
        <w:t>a</w:t>
      </w:r>
      <w:r w:rsidRPr="001E0058">
        <w:rPr>
          <w:rFonts w:ascii="Times New Roman" w:eastAsia="TimesNewRoman,Bold" w:hAnsi="Times New Roman"/>
          <w:iCs/>
          <w:lang w:val="sk-SK"/>
        </w:rPr>
        <w:t xml:space="preserve"> AUC </w:t>
      </w:r>
      <w:r w:rsidR="00A7561A" w:rsidRPr="001E0058">
        <w:rPr>
          <w:rFonts w:ascii="Times New Roman" w:eastAsia="TimesNewRoman,Bold" w:hAnsi="Times New Roman"/>
          <w:iCs/>
          <w:lang w:val="sk-SK"/>
        </w:rPr>
        <w:t>N-</w:t>
      </w:r>
      <w:proofErr w:type="spellStart"/>
      <w:r w:rsidR="00A7561A" w:rsidRPr="001E0058">
        <w:rPr>
          <w:rFonts w:ascii="Times New Roman" w:eastAsia="TimesNewRoman,Bold" w:hAnsi="Times New Roman"/>
          <w:iCs/>
          <w:lang w:val="sk-SK"/>
        </w:rPr>
        <w:t>demetyl</w:t>
      </w:r>
      <w:r w:rsidR="00A7561A">
        <w:rPr>
          <w:rFonts w:ascii="Times New Roman" w:eastAsia="TimesNewRoman,Bold" w:hAnsi="Times New Roman"/>
          <w:iCs/>
          <w:lang w:val="sk-SK"/>
        </w:rPr>
        <w:t>ovaného</w:t>
      </w:r>
      <w:proofErr w:type="spellEnd"/>
      <w:r w:rsidR="00A7561A" w:rsidRPr="001E0058">
        <w:rPr>
          <w:rFonts w:ascii="Times New Roman" w:eastAsia="TimesNewRoman,Bold" w:hAnsi="Times New Roman"/>
          <w:iCs/>
          <w:lang w:val="sk-SK"/>
        </w:rPr>
        <w:t xml:space="preserve"> </w:t>
      </w:r>
      <w:proofErr w:type="spellStart"/>
      <w:r w:rsidR="00A7561A" w:rsidRPr="001E0058">
        <w:rPr>
          <w:rFonts w:ascii="Times New Roman" w:eastAsia="TimesNewRoman,Bold" w:hAnsi="Times New Roman"/>
          <w:iCs/>
          <w:lang w:val="sk-SK"/>
        </w:rPr>
        <w:t>metabolitu</w:t>
      </w:r>
      <w:proofErr w:type="spellEnd"/>
      <w:r w:rsidR="00A7561A" w:rsidRPr="001E0058">
        <w:rPr>
          <w:rFonts w:ascii="Times New Roman" w:eastAsia="TimesNewRoman,Bold" w:hAnsi="Times New Roman"/>
          <w:iCs/>
          <w:lang w:val="sk-SK"/>
        </w:rPr>
        <w:t xml:space="preserve"> </w:t>
      </w:r>
      <w:r w:rsidR="00A7561A">
        <w:rPr>
          <w:rFonts w:ascii="Times New Roman" w:eastAsia="TimesNewRoman,Bold" w:hAnsi="Times New Roman"/>
          <w:iCs/>
          <w:lang w:val="sk-SK"/>
        </w:rPr>
        <w:t>významne</w:t>
      </w:r>
      <w:r w:rsidR="00A7561A" w:rsidRPr="001E0058">
        <w:rPr>
          <w:rFonts w:ascii="Times New Roman" w:eastAsia="TimesNewRoman,Bold" w:hAnsi="Times New Roman"/>
          <w:iCs/>
          <w:lang w:val="sk-SK"/>
        </w:rPr>
        <w:t xml:space="preserve"> zvýšil</w:t>
      </w:r>
      <w:r w:rsidR="005B58D1">
        <w:rPr>
          <w:rFonts w:ascii="Times New Roman" w:eastAsia="TimesNewRoman,Bold" w:hAnsi="Times New Roman"/>
          <w:iCs/>
          <w:lang w:val="sk-SK"/>
        </w:rPr>
        <w:t>a</w:t>
      </w:r>
      <w:r w:rsidR="00A7561A" w:rsidRPr="001E0058">
        <w:rPr>
          <w:rFonts w:ascii="Times New Roman" w:eastAsia="TimesNewRoman,Bold" w:hAnsi="Times New Roman"/>
          <w:iCs/>
          <w:lang w:val="sk-SK"/>
        </w:rPr>
        <w:t xml:space="preserve"> o</w:t>
      </w:r>
      <w:r w:rsidR="00A7561A">
        <w:rPr>
          <w:rFonts w:ascii="Times New Roman" w:eastAsia="TimesNewRoman,Bold" w:hAnsi="Times New Roman"/>
          <w:iCs/>
          <w:lang w:val="sk-SK"/>
        </w:rPr>
        <w:t> </w:t>
      </w:r>
      <w:r w:rsidR="00A7561A" w:rsidRPr="001E0058">
        <w:rPr>
          <w:rFonts w:ascii="Times New Roman" w:eastAsia="TimesNewRoman,Bold" w:hAnsi="Times New Roman"/>
          <w:iCs/>
          <w:lang w:val="sk-SK"/>
        </w:rPr>
        <w:t>200</w:t>
      </w:r>
      <w:r w:rsidR="00A7561A">
        <w:rPr>
          <w:rFonts w:ascii="Times New Roman" w:eastAsia="TimesNewRoman,Bold" w:hAnsi="Times New Roman"/>
          <w:iCs/>
          <w:lang w:val="sk-SK"/>
        </w:rPr>
        <w:t> </w:t>
      </w:r>
      <w:r w:rsidR="00A7561A" w:rsidRPr="001E0058">
        <w:rPr>
          <w:rFonts w:ascii="Times New Roman" w:eastAsia="TimesNewRoman,Bold" w:hAnsi="Times New Roman"/>
          <w:iCs/>
          <w:lang w:val="sk-SK"/>
        </w:rPr>
        <w:t xml:space="preserve">% </w:t>
      </w:r>
      <w:r w:rsidRPr="001E0058">
        <w:rPr>
          <w:rFonts w:ascii="Times New Roman" w:eastAsia="TimesNewRoman,Bold" w:hAnsi="Times New Roman"/>
          <w:iCs/>
          <w:lang w:val="sk-SK"/>
        </w:rPr>
        <w:t>a</w:t>
      </w:r>
      <w:r w:rsidR="00A7561A">
        <w:rPr>
          <w:rFonts w:ascii="Times New Roman" w:eastAsia="TimesNewRoman,Bold" w:hAnsi="Times New Roman"/>
          <w:iCs/>
          <w:lang w:val="sk-SK"/>
        </w:rPr>
        <w:t xml:space="preserve"> hodnota </w:t>
      </w:r>
      <w:r w:rsidRPr="001E0058">
        <w:rPr>
          <w:rFonts w:ascii="Times New Roman" w:eastAsia="TimesNewRoman,Bold" w:hAnsi="Times New Roman"/>
          <w:iCs/>
          <w:lang w:val="sk-SK"/>
        </w:rPr>
        <w:t>C</w:t>
      </w:r>
      <w:r w:rsidRPr="001E0058">
        <w:rPr>
          <w:rFonts w:ascii="Times New Roman" w:eastAsia="TimesNewRoman,Bold" w:hAnsi="Times New Roman"/>
          <w:iCs/>
          <w:vertAlign w:val="subscript"/>
          <w:lang w:val="sk-SK"/>
        </w:rPr>
        <w:t>max</w:t>
      </w:r>
      <w:r w:rsidRPr="001E0058">
        <w:rPr>
          <w:rFonts w:ascii="Times New Roman" w:eastAsia="TimesNewRoman,Bold" w:hAnsi="Times New Roman"/>
          <w:iCs/>
          <w:lang w:val="sk-SK"/>
        </w:rPr>
        <w:t xml:space="preserve"> o</w:t>
      </w:r>
      <w:r w:rsidR="00A7561A">
        <w:rPr>
          <w:rFonts w:ascii="Times New Roman" w:eastAsia="TimesNewRoman,Bold" w:hAnsi="Times New Roman"/>
          <w:iCs/>
          <w:lang w:val="sk-SK"/>
        </w:rPr>
        <w:t> </w:t>
      </w:r>
      <w:r w:rsidRPr="001E0058">
        <w:rPr>
          <w:rFonts w:ascii="Times New Roman" w:eastAsia="TimesNewRoman,Bold" w:hAnsi="Times New Roman"/>
          <w:iCs/>
          <w:lang w:val="sk-SK"/>
        </w:rPr>
        <w:t>79</w:t>
      </w:r>
      <w:r w:rsidR="00A7561A">
        <w:rPr>
          <w:rFonts w:ascii="Times New Roman" w:eastAsia="TimesNewRoman,Bold" w:hAnsi="Times New Roman"/>
          <w:iCs/>
          <w:lang w:val="sk-SK"/>
        </w:rPr>
        <w:t> </w:t>
      </w:r>
      <w:r w:rsidRPr="001E0058">
        <w:rPr>
          <w:rFonts w:ascii="Times New Roman" w:eastAsia="TimesNewRoman,Bold" w:hAnsi="Times New Roman"/>
          <w:iCs/>
          <w:lang w:val="sk-SK"/>
        </w:rPr>
        <w:t>%.</w:t>
      </w:r>
    </w:p>
    <w:p w14:paraId="6D774523" w14:textId="77777777" w:rsidR="007C1FB0" w:rsidRPr="001E0058" w:rsidRDefault="007C1FB0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lang w:val="sk-SK"/>
        </w:rPr>
      </w:pPr>
    </w:p>
    <w:p w14:paraId="5B001A6F" w14:textId="2AFAAACD" w:rsidR="00233566" w:rsidRPr="001E0058" w:rsidRDefault="0023356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lang w:val="sk-SK"/>
        </w:rPr>
      </w:pPr>
      <w:proofErr w:type="spellStart"/>
      <w:r w:rsidRPr="001E0058">
        <w:rPr>
          <w:rFonts w:ascii="Times New Roman" w:eastAsia="TimesNewRoman,Bold" w:hAnsi="Times New Roman"/>
          <w:i/>
          <w:iCs/>
          <w:lang w:val="sk-SK"/>
        </w:rPr>
        <w:t>Hepatálna</w:t>
      </w:r>
      <w:proofErr w:type="spellEnd"/>
      <w:r w:rsidRPr="001E0058">
        <w:rPr>
          <w:rFonts w:ascii="Times New Roman" w:eastAsia="TimesNewRoman,Bold" w:hAnsi="Times New Roman"/>
          <w:i/>
          <w:iCs/>
          <w:lang w:val="sk-SK"/>
        </w:rPr>
        <w:t xml:space="preserve"> </w:t>
      </w:r>
      <w:proofErr w:type="spellStart"/>
      <w:r w:rsidRPr="001E0058">
        <w:rPr>
          <w:rFonts w:ascii="Times New Roman" w:eastAsia="TimesNewRoman,Bold" w:hAnsi="Times New Roman"/>
          <w:i/>
          <w:iCs/>
          <w:lang w:val="sk-SK"/>
        </w:rPr>
        <w:t>insuficiencia</w:t>
      </w:r>
      <w:proofErr w:type="spellEnd"/>
    </w:p>
    <w:p w14:paraId="1B098B99" w14:textId="5F6262C0" w:rsidR="00B76076" w:rsidRPr="001E0058" w:rsidRDefault="0023356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,Bold" w:hAnsi="Times New Roman"/>
          <w:iCs/>
          <w:lang w:val="sk-SK"/>
        </w:rPr>
        <w:t>U dobrovoľníkov s miernou a</w:t>
      </w:r>
      <w:r w:rsidR="0001181F">
        <w:rPr>
          <w:rFonts w:ascii="Times New Roman" w:eastAsia="TimesNewRoman,Bold" w:hAnsi="Times New Roman"/>
          <w:iCs/>
          <w:lang w:val="sk-SK"/>
        </w:rPr>
        <w:t>ž</w:t>
      </w:r>
      <w:r w:rsidRPr="001E0058">
        <w:rPr>
          <w:rFonts w:ascii="Times New Roman" w:eastAsia="TimesNewRoman,Bold" w:hAnsi="Times New Roman"/>
          <w:iCs/>
          <w:lang w:val="sk-SK"/>
        </w:rPr>
        <w:t xml:space="preserve"> stredne ťažkou cirhózou pečene (</w:t>
      </w:r>
      <w:r w:rsidR="004F5C32">
        <w:rPr>
          <w:rFonts w:ascii="Times New Roman" w:eastAsia="TimesNewRoman,Bold" w:hAnsi="Times New Roman"/>
          <w:iCs/>
          <w:lang w:val="sk-SK"/>
        </w:rPr>
        <w:t xml:space="preserve">trieda </w:t>
      </w:r>
      <w:r w:rsidRPr="001E0058">
        <w:rPr>
          <w:rFonts w:ascii="Times New Roman" w:eastAsia="TimesNewRoman,Bold" w:hAnsi="Times New Roman"/>
          <w:iCs/>
          <w:lang w:val="sk-SK"/>
        </w:rPr>
        <w:t xml:space="preserve">A </w:t>
      </w:r>
      <w:proofErr w:type="spellStart"/>
      <w:r w:rsidRPr="001E0058">
        <w:rPr>
          <w:rFonts w:ascii="Times New Roman" w:eastAsia="TimesNewRoman,Bold" w:hAnsi="Times New Roman"/>
          <w:iCs/>
          <w:lang w:val="sk-SK"/>
        </w:rPr>
        <w:t>a</w:t>
      </w:r>
      <w:proofErr w:type="spellEnd"/>
      <w:r w:rsidRPr="001E0058">
        <w:rPr>
          <w:rFonts w:ascii="Times New Roman" w:eastAsia="TimesNewRoman,Bold" w:hAnsi="Times New Roman"/>
          <w:iCs/>
          <w:lang w:val="sk-SK"/>
        </w:rPr>
        <w:t xml:space="preserve"> B podľa </w:t>
      </w:r>
      <w:proofErr w:type="spellStart"/>
      <w:r w:rsidRPr="001E0058">
        <w:rPr>
          <w:rFonts w:ascii="Times New Roman" w:eastAsia="TimesNewRoman,Bold" w:hAnsi="Times New Roman"/>
          <w:iCs/>
          <w:lang w:val="sk-SK"/>
        </w:rPr>
        <w:t>Childa-Pugha</w:t>
      </w:r>
      <w:proofErr w:type="spellEnd"/>
      <w:r w:rsidRPr="001E0058">
        <w:rPr>
          <w:rFonts w:ascii="Times New Roman" w:eastAsia="TimesNewRoman,Bold" w:hAnsi="Times New Roman"/>
          <w:iCs/>
          <w:lang w:val="sk-SK"/>
        </w:rPr>
        <w:t xml:space="preserve">) bol klírens </w:t>
      </w:r>
      <w:proofErr w:type="spellStart"/>
      <w:r w:rsidRPr="001E0058">
        <w:rPr>
          <w:rFonts w:ascii="Times New Roman" w:eastAsia="TimesNewRoman,Bold" w:hAnsi="Times New Roman"/>
          <w:iCs/>
          <w:lang w:val="sk-SK"/>
        </w:rPr>
        <w:t>sildenafilu</w:t>
      </w:r>
      <w:proofErr w:type="spellEnd"/>
      <w:r w:rsidRPr="001E0058">
        <w:rPr>
          <w:rFonts w:ascii="Times New Roman" w:eastAsia="TimesNewRoman,Bold" w:hAnsi="Times New Roman"/>
          <w:iCs/>
          <w:lang w:val="sk-SK"/>
        </w:rPr>
        <w:t xml:space="preserve"> znížený</w:t>
      </w:r>
      <w:r w:rsidR="0001181F">
        <w:rPr>
          <w:rFonts w:ascii="Times New Roman" w:eastAsia="TimesNewRoman,Bold" w:hAnsi="Times New Roman"/>
          <w:iCs/>
          <w:lang w:val="sk-SK"/>
        </w:rPr>
        <w:t xml:space="preserve">, čo viedlo </w:t>
      </w:r>
      <w:r w:rsidRPr="001E0058">
        <w:rPr>
          <w:rFonts w:ascii="Times New Roman" w:eastAsia="TimesNewRoman,Bold" w:hAnsi="Times New Roman"/>
          <w:iCs/>
          <w:lang w:val="sk-SK"/>
        </w:rPr>
        <w:t>v porovnaní s dobrovoľníkmi rovnakého veku</w:t>
      </w:r>
      <w:r w:rsidR="0001181F">
        <w:rPr>
          <w:rFonts w:ascii="Times New Roman" w:eastAsia="TimesNewRoman,Bold" w:hAnsi="Times New Roman"/>
          <w:iCs/>
          <w:lang w:val="sk-SK"/>
        </w:rPr>
        <w:t xml:space="preserve"> </w:t>
      </w:r>
      <w:r w:rsidRPr="001E0058">
        <w:rPr>
          <w:rFonts w:ascii="Times New Roman" w:eastAsia="TimesNewRoman,Bold" w:hAnsi="Times New Roman"/>
          <w:iCs/>
          <w:lang w:val="sk-SK"/>
        </w:rPr>
        <w:t xml:space="preserve">bez </w:t>
      </w:r>
      <w:r w:rsidR="004F5C32" w:rsidRPr="001E0058">
        <w:rPr>
          <w:rFonts w:ascii="Times New Roman" w:eastAsia="TimesNewRoman,Bold" w:hAnsi="Times New Roman"/>
          <w:iCs/>
          <w:lang w:val="sk-SK"/>
        </w:rPr>
        <w:t>po</w:t>
      </w:r>
      <w:r w:rsidR="004F5C32">
        <w:rPr>
          <w:rFonts w:ascii="Times New Roman" w:eastAsia="TimesNewRoman,Bold" w:hAnsi="Times New Roman"/>
          <w:iCs/>
          <w:lang w:val="sk-SK"/>
        </w:rPr>
        <w:t>ruchy</w:t>
      </w:r>
      <w:r w:rsidR="004F5C32" w:rsidRPr="001E0058">
        <w:rPr>
          <w:rFonts w:ascii="Times New Roman" w:eastAsia="TimesNewRoman,Bold" w:hAnsi="Times New Roman"/>
          <w:iCs/>
          <w:lang w:val="sk-SK"/>
        </w:rPr>
        <w:t xml:space="preserve"> </w:t>
      </w:r>
      <w:r w:rsidRPr="001E0058">
        <w:rPr>
          <w:rFonts w:ascii="Times New Roman" w:eastAsia="TimesNewRoman,Bold" w:hAnsi="Times New Roman"/>
          <w:iCs/>
          <w:lang w:val="sk-SK"/>
        </w:rPr>
        <w:t>funkcie pečene</w:t>
      </w:r>
      <w:r w:rsidR="0001181F">
        <w:rPr>
          <w:rFonts w:ascii="Times New Roman" w:eastAsia="TimesNewRoman,Bold" w:hAnsi="Times New Roman"/>
          <w:iCs/>
          <w:lang w:val="sk-SK"/>
        </w:rPr>
        <w:t xml:space="preserve"> k </w:t>
      </w:r>
      <w:r w:rsidR="0001181F" w:rsidRPr="001E0058">
        <w:rPr>
          <w:rFonts w:ascii="Times New Roman" w:eastAsia="TimesNewRoman,Bold" w:hAnsi="Times New Roman"/>
          <w:iCs/>
          <w:lang w:val="sk-SK"/>
        </w:rPr>
        <w:t>zvýš</w:t>
      </w:r>
      <w:r w:rsidR="0001181F">
        <w:rPr>
          <w:rFonts w:ascii="Times New Roman" w:eastAsia="TimesNewRoman,Bold" w:hAnsi="Times New Roman"/>
          <w:iCs/>
          <w:lang w:val="sk-SK"/>
        </w:rPr>
        <w:t xml:space="preserve">eniu </w:t>
      </w:r>
      <w:r w:rsidR="0081009B">
        <w:rPr>
          <w:rFonts w:ascii="Times New Roman" w:eastAsia="TimesNewRoman,Bold" w:hAnsi="Times New Roman"/>
          <w:iCs/>
          <w:lang w:val="sk-SK"/>
        </w:rPr>
        <w:t>hodnot</w:t>
      </w:r>
      <w:r w:rsidR="0001181F">
        <w:rPr>
          <w:rFonts w:ascii="Times New Roman" w:eastAsia="TimesNewRoman,Bold" w:hAnsi="Times New Roman"/>
          <w:iCs/>
          <w:lang w:val="sk-SK"/>
        </w:rPr>
        <w:t>y</w:t>
      </w:r>
      <w:r w:rsidR="0081009B">
        <w:rPr>
          <w:rFonts w:ascii="Times New Roman" w:eastAsia="TimesNewRoman,Bold" w:hAnsi="Times New Roman"/>
          <w:iCs/>
          <w:lang w:val="sk-SK"/>
        </w:rPr>
        <w:t xml:space="preserve"> </w:t>
      </w:r>
      <w:r w:rsidRPr="001E0058">
        <w:rPr>
          <w:rFonts w:ascii="Times New Roman" w:eastAsia="TimesNewRoman,Bold" w:hAnsi="Times New Roman"/>
          <w:iCs/>
          <w:lang w:val="sk-SK"/>
        </w:rPr>
        <w:t xml:space="preserve">AUC </w:t>
      </w:r>
      <w:r w:rsidR="0001181F">
        <w:rPr>
          <w:rFonts w:ascii="Times New Roman" w:eastAsia="TimesNewRoman,Bold" w:hAnsi="Times New Roman"/>
          <w:iCs/>
          <w:lang w:val="sk-SK"/>
        </w:rPr>
        <w:t>(</w:t>
      </w:r>
      <w:r w:rsidRPr="001E0058">
        <w:rPr>
          <w:rFonts w:ascii="Times New Roman" w:eastAsia="TimesNewRoman,Bold" w:hAnsi="Times New Roman"/>
          <w:iCs/>
          <w:lang w:val="sk-SK"/>
        </w:rPr>
        <w:t>84</w:t>
      </w:r>
      <w:r w:rsidR="0081009B">
        <w:rPr>
          <w:rFonts w:ascii="Times New Roman" w:eastAsia="TimesNewRoman,Bold" w:hAnsi="Times New Roman"/>
          <w:iCs/>
          <w:lang w:val="sk-SK"/>
        </w:rPr>
        <w:t> </w:t>
      </w:r>
      <w:r w:rsidRPr="001E0058">
        <w:rPr>
          <w:rFonts w:ascii="Times New Roman" w:eastAsia="TimesNewRoman,Bold" w:hAnsi="Times New Roman"/>
          <w:iCs/>
          <w:lang w:val="sk-SK"/>
        </w:rPr>
        <w:t>%</w:t>
      </w:r>
      <w:r w:rsidR="0001181F">
        <w:rPr>
          <w:rFonts w:ascii="Times New Roman" w:eastAsia="TimesNewRoman,Bold" w:hAnsi="Times New Roman"/>
          <w:iCs/>
          <w:lang w:val="sk-SK"/>
        </w:rPr>
        <w:t>)</w:t>
      </w:r>
      <w:r w:rsidRPr="001E0058">
        <w:rPr>
          <w:rFonts w:ascii="Times New Roman" w:eastAsia="TimesNewRoman,Bold" w:hAnsi="Times New Roman"/>
          <w:iCs/>
          <w:lang w:val="sk-SK"/>
        </w:rPr>
        <w:t xml:space="preserve"> a</w:t>
      </w:r>
      <w:r w:rsidR="0081009B">
        <w:rPr>
          <w:rFonts w:ascii="Times New Roman" w:eastAsia="TimesNewRoman,Bold" w:hAnsi="Times New Roman"/>
          <w:iCs/>
          <w:lang w:val="sk-SK"/>
        </w:rPr>
        <w:t> hodnot</w:t>
      </w:r>
      <w:r w:rsidR="0001181F">
        <w:rPr>
          <w:rFonts w:ascii="Times New Roman" w:eastAsia="TimesNewRoman,Bold" w:hAnsi="Times New Roman"/>
          <w:iCs/>
          <w:lang w:val="sk-SK"/>
        </w:rPr>
        <w:t>y</w:t>
      </w:r>
      <w:r w:rsidR="0081009B">
        <w:rPr>
          <w:rFonts w:ascii="Times New Roman" w:eastAsia="TimesNewRoman,Bold" w:hAnsi="Times New Roman"/>
          <w:iCs/>
          <w:lang w:val="sk-SK"/>
        </w:rPr>
        <w:t xml:space="preserve"> </w:t>
      </w:r>
      <w:r w:rsidRPr="001E0058">
        <w:rPr>
          <w:rFonts w:ascii="Times New Roman" w:eastAsia="TimesNewRoman,Bold" w:hAnsi="Times New Roman"/>
          <w:iCs/>
          <w:lang w:val="sk-SK"/>
        </w:rPr>
        <w:t>C</w:t>
      </w:r>
      <w:r w:rsidRPr="001E0058">
        <w:rPr>
          <w:rFonts w:ascii="Times New Roman" w:eastAsia="TimesNewRoman,Bold" w:hAnsi="Times New Roman"/>
          <w:iCs/>
          <w:vertAlign w:val="subscript"/>
          <w:lang w:val="sk-SK"/>
        </w:rPr>
        <w:t>max</w:t>
      </w:r>
      <w:r w:rsidRPr="001E0058">
        <w:rPr>
          <w:rFonts w:ascii="Times New Roman" w:eastAsia="TimesNewRoman,Bold" w:hAnsi="Times New Roman"/>
          <w:iCs/>
          <w:lang w:val="sk-SK"/>
        </w:rPr>
        <w:t xml:space="preserve"> </w:t>
      </w:r>
      <w:r w:rsidR="0001181F">
        <w:rPr>
          <w:rFonts w:ascii="Times New Roman" w:eastAsia="TimesNewRoman,Bold" w:hAnsi="Times New Roman"/>
          <w:iCs/>
          <w:lang w:val="sk-SK"/>
        </w:rPr>
        <w:t>(</w:t>
      </w:r>
      <w:r w:rsidRPr="001E0058">
        <w:rPr>
          <w:rFonts w:ascii="Times New Roman" w:eastAsia="TimesNewRoman,Bold" w:hAnsi="Times New Roman"/>
          <w:iCs/>
          <w:lang w:val="sk-SK"/>
        </w:rPr>
        <w:t>47</w:t>
      </w:r>
      <w:r w:rsidR="0081009B">
        <w:rPr>
          <w:rFonts w:ascii="Times New Roman" w:eastAsia="TimesNewRoman,Bold" w:hAnsi="Times New Roman"/>
          <w:iCs/>
          <w:lang w:val="sk-SK"/>
        </w:rPr>
        <w:t> </w:t>
      </w:r>
      <w:r w:rsidRPr="001E0058">
        <w:rPr>
          <w:rFonts w:ascii="Times New Roman" w:eastAsia="TimesNewRoman,Bold" w:hAnsi="Times New Roman"/>
          <w:iCs/>
          <w:lang w:val="sk-SK"/>
        </w:rPr>
        <w:t>%</w:t>
      </w:r>
      <w:r w:rsidR="0001181F">
        <w:rPr>
          <w:rFonts w:ascii="Times New Roman" w:eastAsia="TimesNewRoman,Bold" w:hAnsi="Times New Roman"/>
          <w:iCs/>
          <w:lang w:val="sk-SK"/>
        </w:rPr>
        <w:t>)</w:t>
      </w:r>
      <w:r w:rsidRPr="001E0058">
        <w:rPr>
          <w:rFonts w:ascii="Times New Roman" w:eastAsia="TimesNewRoman,Bold" w:hAnsi="Times New Roman"/>
          <w:iCs/>
          <w:lang w:val="sk-SK"/>
        </w:rPr>
        <w:t xml:space="preserve">. </w:t>
      </w:r>
      <w:proofErr w:type="spellStart"/>
      <w:r w:rsidRPr="001E0058">
        <w:rPr>
          <w:rFonts w:ascii="Times New Roman" w:eastAsia="TimesNewRoman,Bold" w:hAnsi="Times New Roman"/>
          <w:iCs/>
          <w:lang w:val="sk-SK"/>
        </w:rPr>
        <w:t>Farmakokinetika</w:t>
      </w:r>
      <w:proofErr w:type="spellEnd"/>
      <w:r w:rsidRPr="001E0058">
        <w:rPr>
          <w:rFonts w:ascii="Times New Roman" w:eastAsia="TimesNewRoman,Bold" w:hAnsi="Times New Roman"/>
          <w:iCs/>
          <w:lang w:val="sk-SK"/>
        </w:rPr>
        <w:t xml:space="preserve"> </w:t>
      </w:r>
      <w:proofErr w:type="spellStart"/>
      <w:r w:rsidRPr="001E0058">
        <w:rPr>
          <w:rFonts w:ascii="Times New Roman" w:eastAsia="TimesNewRoman,Bold" w:hAnsi="Times New Roman"/>
          <w:iCs/>
          <w:lang w:val="sk-SK"/>
        </w:rPr>
        <w:t>sildenafilu</w:t>
      </w:r>
      <w:proofErr w:type="spellEnd"/>
      <w:r w:rsidRPr="001E0058">
        <w:rPr>
          <w:rFonts w:ascii="Times New Roman" w:eastAsia="TimesNewRoman,Bold" w:hAnsi="Times New Roman"/>
          <w:iCs/>
          <w:lang w:val="sk-SK"/>
        </w:rPr>
        <w:t xml:space="preserve"> u pacientov s ťažk</w:t>
      </w:r>
      <w:r w:rsidR="004F5C32">
        <w:rPr>
          <w:rFonts w:ascii="Times New Roman" w:eastAsia="TimesNewRoman,Bold" w:hAnsi="Times New Roman"/>
          <w:iCs/>
          <w:lang w:val="sk-SK"/>
        </w:rPr>
        <w:t>ou</w:t>
      </w:r>
      <w:r w:rsidRPr="001E0058">
        <w:rPr>
          <w:rFonts w:ascii="Times New Roman" w:eastAsia="TimesNewRoman,Bold" w:hAnsi="Times New Roman"/>
          <w:iCs/>
          <w:lang w:val="sk-SK"/>
        </w:rPr>
        <w:t xml:space="preserve"> po</w:t>
      </w:r>
      <w:r w:rsidR="004F5C32">
        <w:rPr>
          <w:rFonts w:ascii="Times New Roman" w:eastAsia="TimesNewRoman,Bold" w:hAnsi="Times New Roman"/>
          <w:iCs/>
          <w:lang w:val="sk-SK"/>
        </w:rPr>
        <w:t>ruchou</w:t>
      </w:r>
      <w:r w:rsidRPr="001E0058">
        <w:rPr>
          <w:rFonts w:ascii="Times New Roman" w:eastAsia="TimesNewRoman,Bold" w:hAnsi="Times New Roman"/>
          <w:iCs/>
          <w:lang w:val="sk-SK"/>
        </w:rPr>
        <w:t xml:space="preserve"> funkcie pečene nebola </w:t>
      </w:r>
      <w:r w:rsidR="004F5C32">
        <w:rPr>
          <w:rFonts w:ascii="Times New Roman" w:eastAsia="TimesNewRoman,Bold" w:hAnsi="Times New Roman"/>
          <w:iCs/>
          <w:lang w:val="sk-SK"/>
        </w:rPr>
        <w:t>skúmaná</w:t>
      </w:r>
      <w:r w:rsidRPr="001E0058">
        <w:rPr>
          <w:rFonts w:ascii="Times New Roman" w:eastAsia="TimesNewRoman,Bold" w:hAnsi="Times New Roman"/>
          <w:iCs/>
          <w:lang w:val="sk-SK"/>
        </w:rPr>
        <w:t>.</w:t>
      </w:r>
    </w:p>
    <w:p w14:paraId="583D1CC3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3B8536D0" w14:textId="5C735802" w:rsidR="00B76076" w:rsidRPr="001E0058" w:rsidRDefault="00B76076" w:rsidP="00097C3B">
      <w:p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1E0058">
        <w:rPr>
          <w:rFonts w:ascii="Times New Roman" w:eastAsia="TimesNewRoman,Bold" w:hAnsi="Times New Roman"/>
          <w:b/>
          <w:bCs/>
          <w:lang w:val="sk-SK"/>
        </w:rPr>
        <w:t>5.3</w:t>
      </w:r>
      <w:r w:rsidR="00430E08">
        <w:rPr>
          <w:rFonts w:ascii="Times New Roman" w:eastAsia="TimesNewRoman,Bold" w:hAnsi="Times New Roman"/>
          <w:b/>
          <w:bCs/>
          <w:lang w:val="sk-SK"/>
        </w:rPr>
        <w:tab/>
      </w:r>
      <w:r w:rsidR="00C45927" w:rsidRPr="001E0058">
        <w:rPr>
          <w:rFonts w:ascii="Times New Roman" w:eastAsia="TimesNewRoman,Bold" w:hAnsi="Times New Roman"/>
          <w:b/>
          <w:bCs/>
          <w:lang w:val="sk-SK"/>
        </w:rPr>
        <w:t>Predklinické údaje o bezpečnosti</w:t>
      </w:r>
    </w:p>
    <w:p w14:paraId="00949877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413E5C32" w14:textId="6FE785DF" w:rsidR="00C45927" w:rsidRPr="001E0058" w:rsidRDefault="00C45927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Predklinické údaje </w:t>
      </w:r>
      <w:r w:rsidR="003F52DC">
        <w:rPr>
          <w:rFonts w:ascii="Times New Roman" w:eastAsia="TimesNewRoman" w:hAnsi="Times New Roman"/>
          <w:lang w:val="sk-SK"/>
        </w:rPr>
        <w:t xml:space="preserve">získané </w:t>
      </w:r>
      <w:r w:rsidRPr="001E0058">
        <w:rPr>
          <w:rFonts w:ascii="Times New Roman" w:eastAsia="TimesNewRoman" w:hAnsi="Times New Roman"/>
          <w:lang w:val="sk-SK"/>
        </w:rPr>
        <w:t>na základe obvyklých farmakologick</w:t>
      </w:r>
      <w:r w:rsidR="003F52DC">
        <w:rPr>
          <w:rFonts w:ascii="Times New Roman" w:eastAsia="TimesNewRoman" w:hAnsi="Times New Roman"/>
          <w:lang w:val="sk-SK"/>
        </w:rPr>
        <w:t>ých</w:t>
      </w:r>
      <w:r w:rsidRPr="001E0058">
        <w:rPr>
          <w:rFonts w:ascii="Times New Roman" w:eastAsia="TimesNewRoman" w:hAnsi="Times New Roman"/>
          <w:lang w:val="sk-SK"/>
        </w:rPr>
        <w:t xml:space="preserve"> </w:t>
      </w:r>
      <w:r w:rsidR="003F52DC" w:rsidRPr="001E0058">
        <w:rPr>
          <w:rFonts w:ascii="Times New Roman" w:eastAsia="TimesNewRoman" w:hAnsi="Times New Roman"/>
          <w:lang w:val="sk-SK"/>
        </w:rPr>
        <w:t xml:space="preserve">štúdií </w:t>
      </w:r>
      <w:r w:rsidRPr="001E0058">
        <w:rPr>
          <w:rFonts w:ascii="Times New Roman" w:eastAsia="TimesNewRoman" w:hAnsi="Times New Roman"/>
          <w:lang w:val="sk-SK"/>
        </w:rPr>
        <w:t>bezpečnosti, toxicity po opakovanom podávaní, genotoxicity, karcinogénneho potenciálu, reprodukčnej toxicity a výv</w:t>
      </w:r>
      <w:r w:rsidR="004F5C32">
        <w:rPr>
          <w:rFonts w:ascii="Times New Roman" w:eastAsia="TimesNewRoman" w:hAnsi="Times New Roman"/>
          <w:lang w:val="sk-SK"/>
        </w:rPr>
        <w:t>inu</w:t>
      </w:r>
      <w:r w:rsidRPr="001E0058">
        <w:rPr>
          <w:rFonts w:ascii="Times New Roman" w:eastAsia="TimesNewRoman" w:hAnsi="Times New Roman"/>
          <w:lang w:val="sk-SK"/>
        </w:rPr>
        <w:t xml:space="preserve"> neodhalili žiadne osobitné riziko pre ľudí.</w:t>
      </w:r>
    </w:p>
    <w:p w14:paraId="0FDC7FB6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91C327A" w14:textId="77777777" w:rsidR="00B6780E" w:rsidRPr="001E0058" w:rsidRDefault="00B6780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69C91F20" w14:textId="2007A3CA" w:rsidR="00B76076" w:rsidRPr="00097C3B" w:rsidRDefault="00C45927" w:rsidP="00097C3B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097C3B">
        <w:rPr>
          <w:rFonts w:ascii="Times New Roman" w:eastAsia="TimesNewRoman,Bold" w:hAnsi="Times New Roman"/>
          <w:b/>
          <w:bCs/>
          <w:lang w:val="sk-SK"/>
        </w:rPr>
        <w:t>FARMACEUTICKÉ INFORMÁCIE</w:t>
      </w:r>
    </w:p>
    <w:p w14:paraId="3E6405C7" w14:textId="77777777" w:rsidR="00A32057" w:rsidRPr="001E0058" w:rsidRDefault="00A32057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1E3E768A" w14:textId="602345E3" w:rsidR="00B76076" w:rsidRPr="001E0058" w:rsidRDefault="00B76076" w:rsidP="00097C3B">
      <w:p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1E0058">
        <w:rPr>
          <w:rFonts w:ascii="Times New Roman" w:eastAsia="TimesNewRoman,Bold" w:hAnsi="Times New Roman"/>
          <w:b/>
          <w:bCs/>
          <w:lang w:val="sk-SK"/>
        </w:rPr>
        <w:t>6.1</w:t>
      </w:r>
      <w:r w:rsidR="00C02C55">
        <w:rPr>
          <w:rFonts w:ascii="Times New Roman" w:eastAsia="TimesNewRoman,Bold" w:hAnsi="Times New Roman"/>
          <w:b/>
          <w:bCs/>
          <w:lang w:val="sk-SK"/>
        </w:rPr>
        <w:tab/>
      </w:r>
      <w:r w:rsidR="00C45927" w:rsidRPr="001E0058">
        <w:rPr>
          <w:rFonts w:ascii="Times New Roman" w:eastAsia="TimesNewRoman,Bold" w:hAnsi="Times New Roman"/>
          <w:b/>
          <w:bCs/>
          <w:lang w:val="sk-SK"/>
        </w:rPr>
        <w:t>Zoznam pomocných látok</w:t>
      </w:r>
    </w:p>
    <w:p w14:paraId="00E9EDA8" w14:textId="77777777" w:rsidR="00742C39" w:rsidRPr="001E0058" w:rsidRDefault="00742C39" w:rsidP="00097C3B">
      <w:pPr>
        <w:tabs>
          <w:tab w:val="left" w:pos="3390"/>
        </w:tabs>
        <w:spacing w:line="240" w:lineRule="auto"/>
        <w:jc w:val="left"/>
        <w:rPr>
          <w:rFonts w:ascii="Times New Roman" w:hAnsi="Times New Roman"/>
          <w:lang w:val="sk-SK"/>
        </w:rPr>
      </w:pPr>
    </w:p>
    <w:p w14:paraId="294EEABF" w14:textId="71CC2876" w:rsidR="00742C39" w:rsidRPr="001E0058" w:rsidRDefault="00C709C1" w:rsidP="00097C3B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proofErr w:type="spellStart"/>
      <w:r>
        <w:rPr>
          <w:rFonts w:ascii="Times New Roman" w:hAnsi="Times New Roman"/>
          <w:color w:val="000000"/>
          <w:lang w:val="sk-SK"/>
        </w:rPr>
        <w:t>b</w:t>
      </w:r>
      <w:r w:rsidR="00742C39" w:rsidRPr="001E0058">
        <w:rPr>
          <w:rFonts w:ascii="Times New Roman" w:hAnsi="Times New Roman"/>
          <w:color w:val="000000"/>
          <w:lang w:val="sk-SK"/>
        </w:rPr>
        <w:t>enzo</w:t>
      </w:r>
      <w:r w:rsidR="004F5C32">
        <w:rPr>
          <w:rFonts w:ascii="Times New Roman" w:hAnsi="Times New Roman"/>
          <w:color w:val="000000"/>
          <w:lang w:val="sk-SK"/>
        </w:rPr>
        <w:t>an</w:t>
      </w:r>
      <w:proofErr w:type="spellEnd"/>
      <w:r w:rsidR="00742C39" w:rsidRPr="001E0058">
        <w:rPr>
          <w:rFonts w:ascii="Times New Roman" w:hAnsi="Times New Roman"/>
          <w:color w:val="000000"/>
          <w:lang w:val="sk-SK"/>
        </w:rPr>
        <w:t xml:space="preserve"> sodný</w:t>
      </w:r>
    </w:p>
    <w:p w14:paraId="53907B60" w14:textId="40392683" w:rsidR="00742C39" w:rsidRPr="001E0058" w:rsidRDefault="00C709C1" w:rsidP="00097C3B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r>
        <w:rPr>
          <w:rFonts w:ascii="Times New Roman" w:hAnsi="Times New Roman"/>
          <w:color w:val="000000"/>
          <w:lang w:val="sk-SK"/>
        </w:rPr>
        <w:t>b</w:t>
      </w:r>
      <w:r w:rsidR="00742C39" w:rsidRPr="001E0058">
        <w:rPr>
          <w:rFonts w:ascii="Times New Roman" w:hAnsi="Times New Roman"/>
          <w:color w:val="000000"/>
          <w:lang w:val="sk-SK"/>
        </w:rPr>
        <w:t>ezvodá kyselina citrónová</w:t>
      </w:r>
    </w:p>
    <w:p w14:paraId="68D9FCFC" w14:textId="6B873BF0" w:rsidR="00742C39" w:rsidRPr="001E0058" w:rsidRDefault="00C709C1" w:rsidP="00097C3B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proofErr w:type="spellStart"/>
      <w:r>
        <w:rPr>
          <w:rFonts w:ascii="Times New Roman" w:hAnsi="Times New Roman"/>
          <w:color w:val="000000"/>
          <w:lang w:val="sk-SK"/>
        </w:rPr>
        <w:t>s</w:t>
      </w:r>
      <w:r w:rsidR="00742C39" w:rsidRPr="001E0058">
        <w:rPr>
          <w:rFonts w:ascii="Times New Roman" w:hAnsi="Times New Roman"/>
          <w:color w:val="000000"/>
          <w:lang w:val="sk-SK"/>
        </w:rPr>
        <w:t>ukralóza</w:t>
      </w:r>
      <w:proofErr w:type="spellEnd"/>
      <w:r w:rsidR="00742C39" w:rsidRPr="001E0058">
        <w:rPr>
          <w:rFonts w:ascii="Times New Roman" w:hAnsi="Times New Roman"/>
          <w:color w:val="000000"/>
          <w:lang w:val="sk-SK"/>
        </w:rPr>
        <w:t xml:space="preserve"> (E-955)</w:t>
      </w:r>
    </w:p>
    <w:p w14:paraId="0DCB2F4F" w14:textId="7D36F5FD" w:rsidR="00742C39" w:rsidRPr="001E0058" w:rsidRDefault="00C709C1" w:rsidP="00097C3B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proofErr w:type="spellStart"/>
      <w:r>
        <w:rPr>
          <w:rFonts w:ascii="Times New Roman" w:hAnsi="Times New Roman"/>
          <w:color w:val="000000"/>
          <w:lang w:val="sk-SK"/>
        </w:rPr>
        <w:t>a</w:t>
      </w:r>
      <w:r w:rsidR="00742C39" w:rsidRPr="001E0058">
        <w:rPr>
          <w:rFonts w:ascii="Times New Roman" w:hAnsi="Times New Roman"/>
          <w:color w:val="000000"/>
          <w:lang w:val="sk-SK"/>
        </w:rPr>
        <w:t>cesulf</w:t>
      </w:r>
      <w:r w:rsidR="004F5C32">
        <w:rPr>
          <w:rFonts w:ascii="Times New Roman" w:hAnsi="Times New Roman"/>
          <w:color w:val="000000"/>
          <w:lang w:val="sk-SK"/>
        </w:rPr>
        <w:t>a</w:t>
      </w:r>
      <w:r w:rsidR="00742C39" w:rsidRPr="001E0058">
        <w:rPr>
          <w:rFonts w:ascii="Times New Roman" w:hAnsi="Times New Roman"/>
          <w:color w:val="000000"/>
          <w:lang w:val="sk-SK"/>
        </w:rPr>
        <w:t>m</w:t>
      </w:r>
      <w:proofErr w:type="spellEnd"/>
      <w:r w:rsidR="004F5C32">
        <w:rPr>
          <w:rFonts w:ascii="Times New Roman" w:hAnsi="Times New Roman"/>
          <w:color w:val="000000"/>
          <w:lang w:val="sk-SK"/>
        </w:rPr>
        <w:t>,</w:t>
      </w:r>
      <w:r w:rsidR="00742C39" w:rsidRPr="001E0058">
        <w:rPr>
          <w:rFonts w:ascii="Times New Roman" w:hAnsi="Times New Roman"/>
          <w:color w:val="000000"/>
          <w:lang w:val="sk-SK"/>
        </w:rPr>
        <w:t xml:space="preserve"> draseln</w:t>
      </w:r>
      <w:r w:rsidR="004F5C32">
        <w:rPr>
          <w:rFonts w:ascii="Times New Roman" w:hAnsi="Times New Roman"/>
          <w:color w:val="000000"/>
          <w:lang w:val="sk-SK"/>
        </w:rPr>
        <w:t>á soľ</w:t>
      </w:r>
      <w:r w:rsidR="00742C39" w:rsidRPr="001E0058">
        <w:rPr>
          <w:rFonts w:ascii="Times New Roman" w:hAnsi="Times New Roman"/>
          <w:color w:val="000000"/>
          <w:lang w:val="sk-SK"/>
        </w:rPr>
        <w:t xml:space="preserve"> (E-950)</w:t>
      </w:r>
    </w:p>
    <w:p w14:paraId="46E2A26B" w14:textId="4087E8DD" w:rsidR="00742C39" w:rsidRPr="001E0058" w:rsidRDefault="00C709C1" w:rsidP="00097C3B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proofErr w:type="spellStart"/>
      <w:r>
        <w:rPr>
          <w:rFonts w:ascii="Times New Roman" w:hAnsi="Times New Roman"/>
          <w:color w:val="000000"/>
          <w:lang w:val="sk-SK"/>
        </w:rPr>
        <w:t>h</w:t>
      </w:r>
      <w:r w:rsidR="00742C39" w:rsidRPr="001E0058">
        <w:rPr>
          <w:rFonts w:ascii="Times New Roman" w:hAnsi="Times New Roman"/>
          <w:color w:val="000000"/>
          <w:lang w:val="sk-SK"/>
        </w:rPr>
        <w:t>ypromelóza</w:t>
      </w:r>
      <w:proofErr w:type="spellEnd"/>
      <w:r w:rsidR="00742C39" w:rsidRPr="001E0058">
        <w:rPr>
          <w:rFonts w:ascii="Times New Roman" w:hAnsi="Times New Roman"/>
          <w:color w:val="000000"/>
          <w:lang w:val="sk-SK"/>
        </w:rPr>
        <w:t xml:space="preserve"> (15 </w:t>
      </w:r>
      <w:proofErr w:type="spellStart"/>
      <w:r w:rsidR="00742C39" w:rsidRPr="001E0058">
        <w:rPr>
          <w:rFonts w:ascii="Times New Roman" w:hAnsi="Times New Roman"/>
          <w:color w:val="000000"/>
          <w:lang w:val="sk-SK"/>
        </w:rPr>
        <w:t>cP</w:t>
      </w:r>
      <w:proofErr w:type="spellEnd"/>
      <w:r w:rsidR="00742C39" w:rsidRPr="001E0058">
        <w:rPr>
          <w:rFonts w:ascii="Times New Roman" w:hAnsi="Times New Roman"/>
          <w:color w:val="000000"/>
          <w:lang w:val="sk-SK"/>
        </w:rPr>
        <w:t>)</w:t>
      </w:r>
    </w:p>
    <w:p w14:paraId="7F7DCFF7" w14:textId="38FD4D2A" w:rsidR="00742C39" w:rsidRPr="001E0058" w:rsidRDefault="00C709C1" w:rsidP="00097C3B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proofErr w:type="spellStart"/>
      <w:r>
        <w:rPr>
          <w:rFonts w:ascii="Times New Roman" w:hAnsi="Times New Roman"/>
          <w:color w:val="000000"/>
          <w:lang w:val="sk-SK"/>
        </w:rPr>
        <w:t>x</w:t>
      </w:r>
      <w:r w:rsidR="00742C39" w:rsidRPr="001E0058">
        <w:rPr>
          <w:rFonts w:ascii="Times New Roman" w:hAnsi="Times New Roman"/>
          <w:color w:val="000000"/>
          <w:lang w:val="sk-SK"/>
        </w:rPr>
        <w:t>antánová</w:t>
      </w:r>
      <w:proofErr w:type="spellEnd"/>
      <w:r w:rsidR="00742C39" w:rsidRPr="001E0058">
        <w:rPr>
          <w:rFonts w:ascii="Times New Roman" w:hAnsi="Times New Roman"/>
          <w:color w:val="000000"/>
          <w:lang w:val="sk-SK"/>
        </w:rPr>
        <w:t xml:space="preserve"> guma</w:t>
      </w:r>
    </w:p>
    <w:p w14:paraId="18A0228E" w14:textId="78BF7EF9" w:rsidR="00742C39" w:rsidRPr="001E0058" w:rsidRDefault="00C709C1" w:rsidP="00097C3B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r>
        <w:rPr>
          <w:rFonts w:ascii="Times New Roman" w:hAnsi="Times New Roman"/>
          <w:color w:val="000000"/>
          <w:lang w:val="sk-SK"/>
        </w:rPr>
        <w:t>a</w:t>
      </w:r>
      <w:r w:rsidR="00742C39" w:rsidRPr="001E0058">
        <w:rPr>
          <w:rFonts w:ascii="Times New Roman" w:hAnsi="Times New Roman"/>
          <w:color w:val="000000"/>
          <w:lang w:val="sk-SK"/>
        </w:rPr>
        <w:t xml:space="preserve">róma mäty piepornej </w:t>
      </w:r>
      <w:r w:rsidR="00742C39" w:rsidRPr="001E0058">
        <w:rPr>
          <w:rFonts w:ascii="Times New Roman" w:hAnsi="Times New Roman"/>
          <w:lang w:val="sk-SK"/>
        </w:rPr>
        <w:t xml:space="preserve">501500 TP0504 obsahujúca: kukuričný </w:t>
      </w:r>
      <w:proofErr w:type="spellStart"/>
      <w:r w:rsidR="00742C39" w:rsidRPr="001E0058">
        <w:rPr>
          <w:rFonts w:ascii="Times New Roman" w:hAnsi="Times New Roman"/>
          <w:lang w:val="sk-SK"/>
        </w:rPr>
        <w:t>maltodextrín</w:t>
      </w:r>
      <w:proofErr w:type="spellEnd"/>
      <w:r w:rsidR="00742C39" w:rsidRPr="001E0058">
        <w:rPr>
          <w:rFonts w:ascii="Times New Roman" w:hAnsi="Times New Roman"/>
          <w:lang w:val="sk-SK"/>
        </w:rPr>
        <w:t xml:space="preserve">, </w:t>
      </w:r>
      <w:proofErr w:type="spellStart"/>
      <w:r w:rsidR="00742C39" w:rsidRPr="001E0058">
        <w:rPr>
          <w:rFonts w:ascii="Times New Roman" w:hAnsi="Times New Roman"/>
          <w:lang w:val="sk-SK"/>
        </w:rPr>
        <w:t>ochucovacie</w:t>
      </w:r>
      <w:proofErr w:type="spellEnd"/>
      <w:r w:rsidR="00742C39" w:rsidRPr="001E0058">
        <w:rPr>
          <w:rFonts w:ascii="Times New Roman" w:hAnsi="Times New Roman"/>
          <w:lang w:val="sk-SK"/>
        </w:rPr>
        <w:t xml:space="preserve"> zložky (0,6 % </w:t>
      </w:r>
      <w:proofErr w:type="spellStart"/>
      <w:r w:rsidR="00742C39" w:rsidRPr="001E0058">
        <w:rPr>
          <w:rFonts w:ascii="Times New Roman" w:hAnsi="Times New Roman"/>
          <w:lang w:val="sk-SK"/>
        </w:rPr>
        <w:t>mentofur</w:t>
      </w:r>
      <w:r w:rsidR="004F5C32">
        <w:rPr>
          <w:rFonts w:ascii="Times New Roman" w:hAnsi="Times New Roman"/>
          <w:lang w:val="sk-SK"/>
        </w:rPr>
        <w:t>á</w:t>
      </w:r>
      <w:r w:rsidR="00742C39" w:rsidRPr="001E0058">
        <w:rPr>
          <w:rFonts w:ascii="Times New Roman" w:hAnsi="Times New Roman"/>
          <w:lang w:val="sk-SK"/>
        </w:rPr>
        <w:t>n</w:t>
      </w:r>
      <w:proofErr w:type="spellEnd"/>
      <w:r w:rsidR="00742C39" w:rsidRPr="001E0058">
        <w:rPr>
          <w:rFonts w:ascii="Times New Roman" w:hAnsi="Times New Roman"/>
          <w:lang w:val="sk-SK"/>
        </w:rPr>
        <w:t xml:space="preserve">, 0,2 % </w:t>
      </w:r>
      <w:proofErr w:type="spellStart"/>
      <w:r w:rsidR="00742C39" w:rsidRPr="001E0058">
        <w:rPr>
          <w:rFonts w:ascii="Times New Roman" w:hAnsi="Times New Roman"/>
          <w:lang w:val="sk-SK"/>
        </w:rPr>
        <w:t>pulegón</w:t>
      </w:r>
      <w:proofErr w:type="spellEnd"/>
      <w:r w:rsidR="00742C39" w:rsidRPr="001E0058">
        <w:rPr>
          <w:rFonts w:ascii="Times New Roman" w:hAnsi="Times New Roman"/>
          <w:lang w:val="sk-SK"/>
        </w:rPr>
        <w:t xml:space="preserve">, 0,09 % </w:t>
      </w:r>
      <w:proofErr w:type="spellStart"/>
      <w:r w:rsidR="00742C39" w:rsidRPr="001E0058">
        <w:rPr>
          <w:rFonts w:ascii="Times New Roman" w:hAnsi="Times New Roman"/>
          <w:lang w:val="sk-SK"/>
        </w:rPr>
        <w:t>estragol</w:t>
      </w:r>
      <w:proofErr w:type="spellEnd"/>
      <w:r w:rsidR="00742C39" w:rsidRPr="001E0058">
        <w:rPr>
          <w:rFonts w:ascii="Times New Roman" w:hAnsi="Times New Roman"/>
          <w:lang w:val="sk-SK"/>
        </w:rPr>
        <w:t>) a modifikovaný kukuričný škrob E-1450 (7,9 %)</w:t>
      </w:r>
    </w:p>
    <w:p w14:paraId="525A63BF" w14:textId="55EFBA07" w:rsidR="00742C39" w:rsidRPr="001E0058" w:rsidRDefault="004F5C32" w:rsidP="00097C3B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r>
        <w:rPr>
          <w:rFonts w:ascii="Times New Roman" w:hAnsi="Times New Roman"/>
          <w:color w:val="000000"/>
          <w:lang w:val="sk-SK"/>
        </w:rPr>
        <w:t xml:space="preserve">chuťové </w:t>
      </w:r>
      <w:proofErr w:type="spellStart"/>
      <w:r>
        <w:rPr>
          <w:rFonts w:ascii="Times New Roman" w:hAnsi="Times New Roman"/>
          <w:color w:val="000000"/>
          <w:lang w:val="sk-SK"/>
        </w:rPr>
        <w:t>korigens</w:t>
      </w:r>
      <w:proofErr w:type="spellEnd"/>
      <w:r w:rsidR="00742C39" w:rsidRPr="001E0058">
        <w:rPr>
          <w:rFonts w:ascii="Times New Roman" w:hAnsi="Times New Roman"/>
          <w:color w:val="000000"/>
          <w:lang w:val="sk-SK"/>
        </w:rPr>
        <w:t xml:space="preserve"> </w:t>
      </w:r>
      <w:r w:rsidR="00742C39" w:rsidRPr="001E0058">
        <w:rPr>
          <w:rFonts w:ascii="Times New Roman" w:hAnsi="Times New Roman"/>
          <w:lang w:val="sk-SK"/>
        </w:rPr>
        <w:t>SC241160 obsahujúc</w:t>
      </w:r>
      <w:r>
        <w:rPr>
          <w:rFonts w:ascii="Times New Roman" w:hAnsi="Times New Roman"/>
          <w:lang w:val="sk-SK"/>
        </w:rPr>
        <w:t>e</w:t>
      </w:r>
      <w:r w:rsidR="00742C39" w:rsidRPr="001E0058">
        <w:rPr>
          <w:rFonts w:ascii="Times New Roman" w:hAnsi="Times New Roman"/>
          <w:lang w:val="sk-SK"/>
        </w:rPr>
        <w:t xml:space="preserve">: prírodné </w:t>
      </w:r>
      <w:r>
        <w:rPr>
          <w:rFonts w:ascii="Times New Roman" w:hAnsi="Times New Roman"/>
          <w:lang w:val="sk-SK"/>
        </w:rPr>
        <w:t>aromatické</w:t>
      </w:r>
      <w:r w:rsidRPr="001E0058">
        <w:rPr>
          <w:rFonts w:ascii="Times New Roman" w:hAnsi="Times New Roman"/>
          <w:lang w:val="sk-SK"/>
        </w:rPr>
        <w:t xml:space="preserve"> </w:t>
      </w:r>
      <w:r w:rsidR="00742C39" w:rsidRPr="001E0058">
        <w:rPr>
          <w:rFonts w:ascii="Times New Roman" w:hAnsi="Times New Roman"/>
          <w:lang w:val="sk-SK"/>
        </w:rPr>
        <w:t xml:space="preserve">látky, </w:t>
      </w:r>
      <w:proofErr w:type="spellStart"/>
      <w:r w:rsidR="00742C39" w:rsidRPr="001E0058">
        <w:rPr>
          <w:rFonts w:ascii="Times New Roman" w:hAnsi="Times New Roman"/>
          <w:lang w:val="sk-SK"/>
        </w:rPr>
        <w:t>sukralózu</w:t>
      </w:r>
      <w:proofErr w:type="spellEnd"/>
      <w:r w:rsidR="00742C39" w:rsidRPr="001E0058">
        <w:rPr>
          <w:rFonts w:ascii="Times New Roman" w:hAnsi="Times New Roman"/>
          <w:lang w:val="sk-SK"/>
        </w:rPr>
        <w:t xml:space="preserve"> E-955 (94,5 %), zemiakový </w:t>
      </w:r>
      <w:proofErr w:type="spellStart"/>
      <w:r w:rsidR="00742C39" w:rsidRPr="001E0058">
        <w:rPr>
          <w:rFonts w:ascii="Times New Roman" w:hAnsi="Times New Roman"/>
          <w:lang w:val="sk-SK"/>
        </w:rPr>
        <w:t>maltodextrín</w:t>
      </w:r>
      <w:proofErr w:type="spellEnd"/>
      <w:r w:rsidR="00742C39" w:rsidRPr="001E0058">
        <w:rPr>
          <w:rFonts w:ascii="Times New Roman" w:hAnsi="Times New Roman"/>
          <w:lang w:val="sk-SK"/>
        </w:rPr>
        <w:t xml:space="preserve"> a </w:t>
      </w:r>
      <w:proofErr w:type="spellStart"/>
      <w:r w:rsidRPr="009239EA">
        <w:rPr>
          <w:rFonts w:ascii="Times New Roman" w:hAnsi="Times New Roman"/>
        </w:rPr>
        <w:t>monoamóniumglycyrizinát</w:t>
      </w:r>
      <w:proofErr w:type="spellEnd"/>
      <w:r w:rsidRPr="001E0058" w:rsidDel="004F5C32">
        <w:rPr>
          <w:rFonts w:ascii="Times New Roman" w:hAnsi="Times New Roman"/>
          <w:lang w:val="sk-SK"/>
        </w:rPr>
        <w:t xml:space="preserve"> </w:t>
      </w:r>
      <w:r w:rsidR="00742C39" w:rsidRPr="001E0058">
        <w:rPr>
          <w:rFonts w:ascii="Times New Roman" w:hAnsi="Times New Roman"/>
          <w:lang w:val="sk-SK"/>
        </w:rPr>
        <w:t>(0,4 %)</w:t>
      </w:r>
    </w:p>
    <w:p w14:paraId="70B17F22" w14:textId="3AF0F81C" w:rsidR="00742C39" w:rsidRPr="001E0058" w:rsidRDefault="00D86F17" w:rsidP="00097C3B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r>
        <w:rPr>
          <w:rFonts w:ascii="Times New Roman" w:hAnsi="Times New Roman"/>
          <w:color w:val="000000"/>
          <w:lang w:val="sk-SK"/>
        </w:rPr>
        <w:t>č</w:t>
      </w:r>
      <w:r w:rsidR="004F5C32">
        <w:rPr>
          <w:rFonts w:ascii="Times New Roman" w:hAnsi="Times New Roman"/>
          <w:color w:val="000000"/>
          <w:lang w:val="sk-SK"/>
        </w:rPr>
        <w:t>istená</w:t>
      </w:r>
      <w:r w:rsidR="004F5C32" w:rsidRPr="001E0058">
        <w:rPr>
          <w:rFonts w:ascii="Times New Roman" w:hAnsi="Times New Roman"/>
          <w:color w:val="000000"/>
          <w:lang w:val="sk-SK"/>
        </w:rPr>
        <w:t xml:space="preserve"> </w:t>
      </w:r>
      <w:r w:rsidR="00742C39" w:rsidRPr="001E0058">
        <w:rPr>
          <w:rFonts w:ascii="Times New Roman" w:hAnsi="Times New Roman"/>
          <w:color w:val="000000"/>
          <w:lang w:val="sk-SK"/>
        </w:rPr>
        <w:t>voda</w:t>
      </w:r>
    </w:p>
    <w:p w14:paraId="566DFA13" w14:textId="77777777" w:rsidR="00A32057" w:rsidRPr="001E0058" w:rsidRDefault="00A32057" w:rsidP="00097C3B">
      <w:pPr>
        <w:pStyle w:val="Odsekzoznamu"/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eastAsia="TimesNewRoman" w:hAnsi="Times New Roman"/>
          <w:lang w:val="sk-SK"/>
        </w:rPr>
      </w:pPr>
    </w:p>
    <w:p w14:paraId="00D0B136" w14:textId="496B24D6" w:rsidR="00F12190" w:rsidRPr="001E0058" w:rsidRDefault="00B76076" w:rsidP="00097C3B">
      <w:p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1E0058">
        <w:rPr>
          <w:rFonts w:ascii="Times New Roman" w:eastAsia="TimesNewRoman,Bold" w:hAnsi="Times New Roman"/>
          <w:b/>
          <w:bCs/>
          <w:lang w:val="sk-SK"/>
        </w:rPr>
        <w:t>6.2</w:t>
      </w:r>
      <w:r w:rsidR="00D86F17">
        <w:rPr>
          <w:rFonts w:ascii="Times New Roman" w:eastAsia="TimesNewRoman,Bold" w:hAnsi="Times New Roman"/>
          <w:b/>
          <w:bCs/>
          <w:lang w:val="sk-SK"/>
        </w:rPr>
        <w:tab/>
      </w:r>
      <w:r w:rsidR="00F12190" w:rsidRPr="001E0058">
        <w:rPr>
          <w:rFonts w:ascii="Times New Roman" w:eastAsia="TimesNewRoman,Bold" w:hAnsi="Times New Roman"/>
          <w:b/>
          <w:bCs/>
          <w:lang w:val="sk-SK"/>
        </w:rPr>
        <w:t>Inkompatibility</w:t>
      </w:r>
    </w:p>
    <w:p w14:paraId="612B1E03" w14:textId="77777777" w:rsidR="00F12190" w:rsidRPr="001E0058" w:rsidRDefault="00F12190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4E2B382D" w14:textId="77777777" w:rsidR="00F12190" w:rsidRPr="001E0058" w:rsidRDefault="00F12190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Cs/>
          <w:lang w:val="sk-SK"/>
        </w:rPr>
      </w:pPr>
      <w:r w:rsidRPr="001E0058">
        <w:rPr>
          <w:rFonts w:ascii="Times New Roman" w:eastAsia="TimesNewRoman,Bold" w:hAnsi="Times New Roman"/>
          <w:bCs/>
          <w:lang w:val="sk-SK"/>
        </w:rPr>
        <w:lastRenderedPageBreak/>
        <w:t>Neaplikovateľné.</w:t>
      </w:r>
    </w:p>
    <w:p w14:paraId="6AB055A5" w14:textId="77777777" w:rsidR="00A32057" w:rsidRPr="001E0058" w:rsidRDefault="00A32057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09D28BDD" w14:textId="2E70F757" w:rsidR="00B76076" w:rsidRPr="001E0058" w:rsidRDefault="00B76076" w:rsidP="00097C3B">
      <w:p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1E0058">
        <w:rPr>
          <w:rFonts w:ascii="Times New Roman" w:eastAsia="TimesNewRoman,Bold" w:hAnsi="Times New Roman"/>
          <w:b/>
          <w:bCs/>
          <w:lang w:val="sk-SK"/>
        </w:rPr>
        <w:t>6.3</w:t>
      </w:r>
      <w:r w:rsidR="005F52EB">
        <w:rPr>
          <w:rFonts w:ascii="Times New Roman" w:eastAsia="TimesNewRoman,Bold" w:hAnsi="Times New Roman"/>
          <w:b/>
          <w:bCs/>
          <w:lang w:val="sk-SK"/>
        </w:rPr>
        <w:tab/>
      </w:r>
      <w:r w:rsidR="00847A00" w:rsidRPr="001E0058">
        <w:rPr>
          <w:rFonts w:ascii="Times New Roman" w:eastAsia="TimesNewRoman,Bold" w:hAnsi="Times New Roman"/>
          <w:b/>
          <w:bCs/>
          <w:lang w:val="sk-SK"/>
        </w:rPr>
        <w:t>Čas použiteľnosti</w:t>
      </w:r>
    </w:p>
    <w:p w14:paraId="6D4C467E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7A762270" w14:textId="3ECD9707" w:rsidR="000D3E3E" w:rsidRPr="001E0058" w:rsidRDefault="000D3E3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bookmarkStart w:id="5" w:name="_Hlk527029112"/>
      <w:r w:rsidRPr="001E0058">
        <w:rPr>
          <w:rFonts w:ascii="Times New Roman" w:hAnsi="Times New Roman"/>
          <w:lang w:val="sk-SK"/>
        </w:rPr>
        <w:t>Čas použiteľnosti: 2 roky</w:t>
      </w:r>
    </w:p>
    <w:p w14:paraId="1232E81F" w14:textId="7027B9E3" w:rsidR="00785E95" w:rsidRPr="001E0058" w:rsidRDefault="000D3E3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hAnsi="Times New Roman"/>
          <w:lang w:val="sk-SK"/>
        </w:rPr>
        <w:t>Čas použiteľnosti po prvom otvorení: 1 rok</w:t>
      </w:r>
    </w:p>
    <w:p w14:paraId="7995C5EF" w14:textId="4DCEEF97" w:rsidR="00DA7298" w:rsidRPr="001E0058" w:rsidRDefault="00DA7298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08A81B81" w14:textId="3F132B35" w:rsidR="00B76076" w:rsidRPr="001E0058" w:rsidRDefault="00B76076" w:rsidP="00097C3B">
      <w:p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1E0058">
        <w:rPr>
          <w:rFonts w:ascii="Times New Roman" w:eastAsia="TimesNewRoman,Bold" w:hAnsi="Times New Roman"/>
          <w:b/>
          <w:bCs/>
          <w:lang w:val="sk-SK"/>
        </w:rPr>
        <w:t>6.4</w:t>
      </w:r>
      <w:r w:rsidR="00D968E3">
        <w:rPr>
          <w:rFonts w:ascii="Times New Roman" w:eastAsia="TimesNewRoman,Bold" w:hAnsi="Times New Roman"/>
          <w:b/>
          <w:bCs/>
          <w:lang w:val="sk-SK"/>
        </w:rPr>
        <w:tab/>
      </w:r>
      <w:r w:rsidR="000B32FD" w:rsidRPr="001E0058">
        <w:rPr>
          <w:rFonts w:ascii="Times New Roman" w:eastAsia="TimesNewRoman,Bold" w:hAnsi="Times New Roman"/>
          <w:b/>
          <w:bCs/>
          <w:lang w:val="sk-SK"/>
        </w:rPr>
        <w:t>Špeciálne upozornenia na uchovávanie</w:t>
      </w:r>
    </w:p>
    <w:p w14:paraId="3433DB3D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77ACE2B" w14:textId="77777777" w:rsidR="000D3E3E" w:rsidRPr="001E0058" w:rsidRDefault="000D3E3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hAnsi="Times New Roman"/>
          <w:lang w:val="sk-SK"/>
        </w:rPr>
        <w:t>Pre neotvorenú fľašu:</w:t>
      </w:r>
    </w:p>
    <w:p w14:paraId="1D442F8D" w14:textId="77777777" w:rsidR="000D3E3E" w:rsidRPr="001E0058" w:rsidRDefault="000D3E3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hAnsi="Times New Roman"/>
          <w:lang w:val="sk-SK"/>
        </w:rPr>
        <w:t>Uchovávajte pri teplote do 30 °C.</w:t>
      </w:r>
    </w:p>
    <w:p w14:paraId="5BE0E539" w14:textId="77777777" w:rsidR="000D3E3E" w:rsidRPr="001E0058" w:rsidRDefault="000D3E3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DC6B3F7" w14:textId="77777777" w:rsidR="000D3E3E" w:rsidRPr="001E0058" w:rsidRDefault="000D3E3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hAnsi="Times New Roman"/>
          <w:lang w:val="sk-SK"/>
        </w:rPr>
        <w:t>Po prvom otvorení:</w:t>
      </w:r>
    </w:p>
    <w:p w14:paraId="2AF2F907" w14:textId="77777777" w:rsidR="000D3E3E" w:rsidRPr="001E0058" w:rsidRDefault="000D3E3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hAnsi="Times New Roman"/>
          <w:lang w:val="sk-SK"/>
        </w:rPr>
        <w:t>Uchovávajte pri teplote do 30 °C.</w:t>
      </w:r>
    </w:p>
    <w:p w14:paraId="46484368" w14:textId="77777777" w:rsidR="000D3E3E" w:rsidRPr="001E0058" w:rsidRDefault="000D3E3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40011267" w14:textId="5D6D5FE7" w:rsidR="00010712" w:rsidRPr="001E0058" w:rsidRDefault="000D3E3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Cs/>
          <w:lang w:val="sk-SK"/>
        </w:rPr>
      </w:pPr>
      <w:r w:rsidRPr="001E0058">
        <w:rPr>
          <w:rFonts w:ascii="Times New Roman" w:hAnsi="Times New Roman"/>
          <w:lang w:val="sk-SK"/>
        </w:rPr>
        <w:t xml:space="preserve">Fľašu vždy </w:t>
      </w:r>
      <w:r w:rsidR="004F5C32">
        <w:rPr>
          <w:rFonts w:ascii="Times New Roman" w:hAnsi="Times New Roman"/>
          <w:lang w:val="sk-SK"/>
        </w:rPr>
        <w:t xml:space="preserve">uchovávajte </w:t>
      </w:r>
      <w:r w:rsidRPr="001E0058">
        <w:rPr>
          <w:rFonts w:ascii="Times New Roman" w:hAnsi="Times New Roman"/>
          <w:lang w:val="sk-SK"/>
        </w:rPr>
        <w:t>vo zvislej vzpriamenej polohe.</w:t>
      </w:r>
    </w:p>
    <w:p w14:paraId="296D757E" w14:textId="77777777" w:rsidR="00DA7298" w:rsidRPr="001E0058" w:rsidRDefault="00DA7298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Cs/>
          <w:lang w:val="sk-SK"/>
        </w:rPr>
      </w:pPr>
    </w:p>
    <w:p w14:paraId="3156DCEA" w14:textId="4804FDFB" w:rsidR="00B76076" w:rsidRPr="001E0058" w:rsidRDefault="00B76076" w:rsidP="00097C3B">
      <w:p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1E0058">
        <w:rPr>
          <w:rFonts w:ascii="Times New Roman" w:eastAsia="TimesNewRoman,Bold" w:hAnsi="Times New Roman"/>
          <w:b/>
          <w:bCs/>
          <w:lang w:val="sk-SK"/>
        </w:rPr>
        <w:t>6.5</w:t>
      </w:r>
      <w:r w:rsidR="00DE1498">
        <w:rPr>
          <w:rFonts w:ascii="Times New Roman" w:eastAsia="TimesNewRoman,Bold" w:hAnsi="Times New Roman"/>
          <w:b/>
          <w:bCs/>
          <w:lang w:val="sk-SK"/>
        </w:rPr>
        <w:tab/>
      </w:r>
      <w:r w:rsidR="00FB1636" w:rsidRPr="001E0058">
        <w:rPr>
          <w:rFonts w:ascii="Times New Roman" w:eastAsia="TimesNewRoman,Bold" w:hAnsi="Times New Roman"/>
          <w:b/>
          <w:bCs/>
          <w:lang w:val="sk-SK"/>
        </w:rPr>
        <w:t>Druh obalu a obsah balenia</w:t>
      </w:r>
    </w:p>
    <w:p w14:paraId="6C65CBAE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6E812F47" w14:textId="3D2A2106" w:rsidR="00DA7298" w:rsidRPr="001E0058" w:rsidRDefault="00600210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  <w:r>
        <w:rPr>
          <w:rFonts w:ascii="Times New Roman" w:eastAsia="TimesNewRoman" w:hAnsi="Times New Roman"/>
          <w:lang w:val="sk-SK" w:bidi="sk-SK"/>
        </w:rPr>
        <w:t xml:space="preserve">Vnútorný obal </w:t>
      </w:r>
      <w:proofErr w:type="spellStart"/>
      <w:r>
        <w:rPr>
          <w:rFonts w:ascii="Times New Roman" w:eastAsia="TimesNewRoman" w:hAnsi="Times New Roman"/>
          <w:lang w:val="sk-SK" w:bidi="sk-SK"/>
        </w:rPr>
        <w:t>Azurvigu</w:t>
      </w:r>
      <w:proofErr w:type="spellEnd"/>
      <w:r>
        <w:rPr>
          <w:rFonts w:ascii="Times New Roman" w:eastAsia="TimesNewRoman" w:hAnsi="Times New Roman"/>
          <w:lang w:val="sk-SK" w:bidi="sk-SK"/>
        </w:rPr>
        <w:t xml:space="preserve"> sú</w:t>
      </w:r>
      <w:r w:rsidRPr="00617635">
        <w:rPr>
          <w:rFonts w:ascii="Times New Roman" w:eastAsia="TimesNewRoman" w:hAnsi="Times New Roman"/>
          <w:lang w:val="sk-SK" w:bidi="sk-SK"/>
        </w:rPr>
        <w:t xml:space="preserve"> 30 ml fľaštič</w:t>
      </w:r>
      <w:r>
        <w:rPr>
          <w:rFonts w:ascii="Times New Roman" w:eastAsia="TimesNewRoman" w:hAnsi="Times New Roman"/>
          <w:lang w:val="sk-SK" w:bidi="sk-SK"/>
        </w:rPr>
        <w:t>ky vyrobené</w:t>
      </w:r>
      <w:r w:rsidRPr="00617635">
        <w:rPr>
          <w:rFonts w:ascii="Times New Roman" w:eastAsia="TimesNewRoman" w:hAnsi="Times New Roman"/>
          <w:lang w:val="sk-SK" w:bidi="sk-SK"/>
        </w:rPr>
        <w:t xml:space="preserve"> z polyetylénu s vysokou hustotou (HDPE) vybaven</w:t>
      </w:r>
      <w:r>
        <w:rPr>
          <w:rFonts w:ascii="Times New Roman" w:eastAsia="TimesNewRoman" w:hAnsi="Times New Roman"/>
          <w:lang w:val="sk-SK" w:bidi="sk-SK"/>
        </w:rPr>
        <w:t>é</w:t>
      </w:r>
      <w:r w:rsidRPr="00617635">
        <w:rPr>
          <w:rFonts w:ascii="Times New Roman" w:eastAsia="TimesNewRoman" w:hAnsi="Times New Roman"/>
          <w:lang w:val="sk-SK" w:bidi="sk-SK"/>
        </w:rPr>
        <w:t xml:space="preserve"> </w:t>
      </w:r>
      <w:r>
        <w:rPr>
          <w:rFonts w:ascii="Times New Roman" w:eastAsia="TimesNewRoman" w:hAnsi="Times New Roman"/>
          <w:lang w:val="sk-SK" w:bidi="sk-SK"/>
        </w:rPr>
        <w:t xml:space="preserve">detským bezpečnostným </w:t>
      </w:r>
      <w:r w:rsidRPr="00617635">
        <w:rPr>
          <w:rFonts w:ascii="Times New Roman" w:eastAsia="TimesNewRoman" w:hAnsi="Times New Roman"/>
          <w:lang w:val="sk-SK" w:bidi="sk-SK"/>
        </w:rPr>
        <w:t xml:space="preserve">uzáverom </w:t>
      </w:r>
      <w:r>
        <w:rPr>
          <w:rFonts w:ascii="Times New Roman" w:eastAsia="TimesNewRoman" w:hAnsi="Times New Roman"/>
          <w:lang w:val="sk-SK" w:bidi="sk-SK"/>
        </w:rPr>
        <w:t>tvoreným viečkom</w:t>
      </w:r>
      <w:r w:rsidR="00D55185">
        <w:rPr>
          <w:rFonts w:ascii="Times New Roman" w:eastAsia="TimesNewRoman" w:hAnsi="Times New Roman"/>
          <w:lang w:val="sk-SK" w:bidi="sk-SK"/>
        </w:rPr>
        <w:t xml:space="preserve"> </w:t>
      </w:r>
      <w:r w:rsidRPr="00617635">
        <w:rPr>
          <w:rFonts w:ascii="Times New Roman" w:eastAsia="TimesNewRoman" w:hAnsi="Times New Roman"/>
          <w:lang w:val="sk-SK" w:bidi="sk-SK"/>
        </w:rPr>
        <w:t xml:space="preserve">z polyetylénu s vysokou hustotou (HDPE) </w:t>
      </w:r>
      <w:r>
        <w:rPr>
          <w:rFonts w:ascii="Times New Roman" w:eastAsia="TimesNewRoman" w:hAnsi="Times New Roman"/>
          <w:lang w:val="sk-SK" w:bidi="sk-SK"/>
        </w:rPr>
        <w:t>s</w:t>
      </w:r>
      <w:r w:rsidRPr="00617635">
        <w:rPr>
          <w:rFonts w:ascii="Times New Roman" w:eastAsia="TimesNewRoman" w:hAnsi="Times New Roman"/>
          <w:lang w:val="sk-SK" w:bidi="sk-SK"/>
        </w:rPr>
        <w:t xml:space="preserve"> polyetylénovou zátkou z polyetylénu s nízkou hustotou (LDPE) </w:t>
      </w:r>
      <w:r>
        <w:rPr>
          <w:rFonts w:ascii="Times New Roman" w:eastAsia="TimesNewRoman" w:hAnsi="Times New Roman"/>
          <w:lang w:val="sk-SK" w:bidi="sk-SK"/>
        </w:rPr>
        <w:t>a</w:t>
      </w:r>
      <w:r w:rsidR="00D55185">
        <w:rPr>
          <w:rFonts w:ascii="Times New Roman" w:eastAsia="TimesNewRoman" w:hAnsi="Times New Roman"/>
          <w:lang w:val="sk-SK" w:bidi="sk-SK"/>
        </w:rPr>
        <w:t> </w:t>
      </w:r>
      <w:r>
        <w:rPr>
          <w:rFonts w:ascii="Times New Roman" w:eastAsia="TimesNewRoman" w:hAnsi="Times New Roman"/>
          <w:lang w:val="sk-SK" w:bidi="sk-SK"/>
        </w:rPr>
        <w:t>vloženou</w:t>
      </w:r>
      <w:r w:rsidR="00D55185">
        <w:rPr>
          <w:rFonts w:ascii="Times New Roman" w:eastAsia="TimesNewRoman" w:hAnsi="Times New Roman"/>
          <w:lang w:val="sk-SK" w:bidi="sk-SK"/>
        </w:rPr>
        <w:t xml:space="preserve"> </w:t>
      </w:r>
      <w:r w:rsidRPr="00617635">
        <w:rPr>
          <w:rFonts w:ascii="Times New Roman" w:eastAsia="TimesNewRoman" w:hAnsi="Times New Roman"/>
          <w:lang w:val="sk-SK" w:bidi="sk-SK"/>
        </w:rPr>
        <w:t xml:space="preserve">dávkovacou </w:t>
      </w:r>
      <w:r>
        <w:rPr>
          <w:rFonts w:ascii="Times New Roman" w:eastAsia="TimesNewRoman" w:hAnsi="Times New Roman"/>
          <w:lang w:val="sk-SK" w:bidi="sk-SK"/>
        </w:rPr>
        <w:t xml:space="preserve">3-mililitrovou </w:t>
      </w:r>
      <w:r w:rsidRPr="00617635">
        <w:rPr>
          <w:rFonts w:ascii="Times New Roman" w:eastAsia="TimesNewRoman" w:hAnsi="Times New Roman"/>
          <w:lang w:val="sk-SK" w:bidi="sk-SK"/>
        </w:rPr>
        <w:t xml:space="preserve">striekačkou </w:t>
      </w:r>
      <w:r>
        <w:rPr>
          <w:rFonts w:ascii="Times New Roman" w:eastAsia="TimesNewRoman" w:hAnsi="Times New Roman"/>
          <w:lang w:val="sk-SK" w:bidi="sk-SK"/>
        </w:rPr>
        <w:t>zloženou z tela z</w:t>
      </w:r>
      <w:r w:rsidRPr="00617635">
        <w:rPr>
          <w:rFonts w:ascii="Times New Roman" w:eastAsia="TimesNewRoman" w:hAnsi="Times New Roman"/>
          <w:lang w:val="sk-SK" w:bidi="sk-SK"/>
        </w:rPr>
        <w:t> polypropylén</w:t>
      </w:r>
      <w:r>
        <w:rPr>
          <w:rFonts w:ascii="Times New Roman" w:eastAsia="TimesNewRoman" w:hAnsi="Times New Roman"/>
          <w:lang w:val="sk-SK" w:bidi="sk-SK"/>
        </w:rPr>
        <w:t>u</w:t>
      </w:r>
      <w:r w:rsidRPr="00617635">
        <w:rPr>
          <w:rFonts w:ascii="Times New Roman" w:eastAsia="TimesNewRoman" w:hAnsi="Times New Roman"/>
          <w:lang w:val="sk-SK" w:bidi="sk-SK"/>
        </w:rPr>
        <w:t xml:space="preserve"> (PP) </w:t>
      </w:r>
      <w:r w:rsidR="00D55185">
        <w:rPr>
          <w:rFonts w:ascii="Times New Roman" w:eastAsia="TimesNewRoman" w:hAnsi="Times New Roman"/>
          <w:lang w:val="sk-SK" w:bidi="sk-SK"/>
        </w:rPr>
        <w:t xml:space="preserve">a </w:t>
      </w:r>
      <w:r w:rsidRPr="00617635">
        <w:rPr>
          <w:rFonts w:ascii="Times New Roman" w:eastAsia="TimesNewRoman" w:hAnsi="Times New Roman"/>
          <w:lang w:val="sk-SK" w:bidi="sk-SK"/>
        </w:rPr>
        <w:t>piest</w:t>
      </w:r>
      <w:r>
        <w:rPr>
          <w:rFonts w:ascii="Times New Roman" w:eastAsia="TimesNewRoman" w:hAnsi="Times New Roman"/>
          <w:lang w:val="sk-SK" w:bidi="sk-SK"/>
        </w:rPr>
        <w:t>u</w:t>
      </w:r>
      <w:r w:rsidRPr="00617635">
        <w:rPr>
          <w:rFonts w:ascii="Times New Roman" w:eastAsia="TimesNewRoman" w:hAnsi="Times New Roman"/>
          <w:lang w:val="sk-SK" w:bidi="sk-SK"/>
        </w:rPr>
        <w:t xml:space="preserve"> z polyetylénu s vysokou hustotou (HDPE).</w:t>
      </w:r>
    </w:p>
    <w:p w14:paraId="422829B1" w14:textId="77777777" w:rsidR="00316CDA" w:rsidRDefault="00316CDA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5977277F" w14:textId="1441C21E" w:rsidR="00B76076" w:rsidRPr="001E0058" w:rsidRDefault="00B76076" w:rsidP="00097C3B">
      <w:p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1E0058">
        <w:rPr>
          <w:rFonts w:ascii="Times New Roman" w:eastAsia="TimesNewRoman,Bold" w:hAnsi="Times New Roman"/>
          <w:b/>
          <w:bCs/>
          <w:lang w:val="sk-SK"/>
        </w:rPr>
        <w:t>6.6</w:t>
      </w:r>
      <w:r w:rsidR="00316CDA">
        <w:rPr>
          <w:rFonts w:ascii="Times New Roman" w:eastAsia="TimesNewRoman,Bold" w:hAnsi="Times New Roman"/>
          <w:b/>
          <w:bCs/>
          <w:lang w:val="sk-SK"/>
        </w:rPr>
        <w:tab/>
      </w:r>
      <w:r w:rsidR="005556D1" w:rsidRPr="001E0058">
        <w:rPr>
          <w:rFonts w:ascii="Times New Roman" w:eastAsia="TimesNewRoman,Bold" w:hAnsi="Times New Roman"/>
          <w:b/>
          <w:bCs/>
          <w:lang w:val="sk-SK"/>
        </w:rPr>
        <w:t>Špeciálne opatrenia na likvidáciu a iné zaobchádzanie s liekom</w:t>
      </w:r>
    </w:p>
    <w:p w14:paraId="4B3314C5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bookmarkEnd w:id="5"/>
    <w:p w14:paraId="6145CA70" w14:textId="77869D03" w:rsidR="00384E5C" w:rsidRPr="001E0058" w:rsidRDefault="00D956BD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Kvôli </w:t>
      </w:r>
      <w:r w:rsidR="00384E5C" w:rsidRPr="001E0058">
        <w:rPr>
          <w:rFonts w:ascii="Times New Roman" w:hAnsi="Times New Roman"/>
          <w:lang w:val="sk-SK"/>
        </w:rPr>
        <w:t>správn</w:t>
      </w:r>
      <w:r>
        <w:rPr>
          <w:rFonts w:ascii="Times New Roman" w:hAnsi="Times New Roman"/>
          <w:lang w:val="sk-SK"/>
        </w:rPr>
        <w:t xml:space="preserve">ej </w:t>
      </w:r>
      <w:r w:rsidR="00384E5C" w:rsidRPr="001E0058">
        <w:rPr>
          <w:rFonts w:ascii="Times New Roman" w:hAnsi="Times New Roman"/>
          <w:lang w:val="sk-SK"/>
        </w:rPr>
        <w:t>likvidáci</w:t>
      </w:r>
      <w:r>
        <w:rPr>
          <w:rFonts w:ascii="Times New Roman" w:hAnsi="Times New Roman"/>
          <w:lang w:val="sk-SK"/>
        </w:rPr>
        <w:t>i</w:t>
      </w:r>
      <w:r w:rsidR="00384E5C" w:rsidRPr="001E0058">
        <w:rPr>
          <w:rFonts w:ascii="Times New Roman" w:hAnsi="Times New Roman"/>
          <w:lang w:val="sk-SK"/>
        </w:rPr>
        <w:t xml:space="preserve"> </w:t>
      </w:r>
      <w:r w:rsidR="00F414ED">
        <w:rPr>
          <w:rFonts w:ascii="Times New Roman" w:hAnsi="Times New Roman"/>
          <w:lang w:val="sk-SK"/>
        </w:rPr>
        <w:t xml:space="preserve">sa </w:t>
      </w:r>
      <w:r w:rsidR="00384E5C" w:rsidRPr="001E0058">
        <w:rPr>
          <w:rFonts w:ascii="Times New Roman" w:hAnsi="Times New Roman"/>
          <w:lang w:val="sk-SK"/>
        </w:rPr>
        <w:t>musia zvyšky lieku</w:t>
      </w:r>
      <w:r>
        <w:rPr>
          <w:rFonts w:ascii="Times New Roman" w:hAnsi="Times New Roman"/>
          <w:lang w:val="sk-SK"/>
        </w:rPr>
        <w:t xml:space="preserve">, ako aj </w:t>
      </w:r>
      <w:r w:rsidRPr="001E0058">
        <w:rPr>
          <w:rFonts w:ascii="Times New Roman" w:hAnsi="Times New Roman"/>
          <w:lang w:val="sk-SK"/>
        </w:rPr>
        <w:t>všetok použitý materiál</w:t>
      </w:r>
      <w:r>
        <w:rPr>
          <w:rFonts w:ascii="Times New Roman" w:hAnsi="Times New Roman"/>
          <w:lang w:val="sk-SK"/>
        </w:rPr>
        <w:t xml:space="preserve">, </w:t>
      </w:r>
      <w:r w:rsidR="00384E5C" w:rsidRPr="001E0058">
        <w:rPr>
          <w:rFonts w:ascii="Times New Roman" w:hAnsi="Times New Roman"/>
          <w:lang w:val="sk-SK"/>
        </w:rPr>
        <w:t>uchováva</w:t>
      </w:r>
      <w:r w:rsidR="00F414ED">
        <w:rPr>
          <w:rFonts w:ascii="Times New Roman" w:hAnsi="Times New Roman"/>
          <w:lang w:val="sk-SK"/>
        </w:rPr>
        <w:t>ť</w:t>
      </w:r>
      <w:r w:rsidR="00384E5C" w:rsidRPr="001E0058">
        <w:rPr>
          <w:rFonts w:ascii="Times New Roman" w:hAnsi="Times New Roman"/>
          <w:lang w:val="sk-SK"/>
        </w:rPr>
        <w:t xml:space="preserve"> vo vhodne uzatvorenej fľaši.</w:t>
      </w:r>
    </w:p>
    <w:p w14:paraId="6E9F53CA" w14:textId="15E3DA99" w:rsidR="00D87072" w:rsidRPr="001E0058" w:rsidRDefault="008168BB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>Všetok nepoužitý liek alebo odpad vzniknutý z lieku sa má zlikvidovať v súlade s národnými požiadavkami.</w:t>
      </w:r>
    </w:p>
    <w:p w14:paraId="7D806158" w14:textId="77777777" w:rsidR="00D55185" w:rsidRPr="001E0058" w:rsidRDefault="00D55185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736A1B8E" w14:textId="6B20F748" w:rsidR="008168BB" w:rsidRPr="001E0058" w:rsidRDefault="008168BB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72763C6B" w14:textId="02426884" w:rsidR="00BD12CE" w:rsidRPr="00097C3B" w:rsidRDefault="00BD12CE" w:rsidP="00097C3B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" w:hAnsi="Times New Roman"/>
          <w:b/>
          <w:lang w:val="sk-SK"/>
        </w:rPr>
      </w:pPr>
      <w:r w:rsidRPr="00097C3B">
        <w:rPr>
          <w:rFonts w:ascii="Times New Roman" w:eastAsia="TimesNewRoman" w:hAnsi="Times New Roman"/>
          <w:b/>
          <w:lang w:val="sk-SK"/>
        </w:rPr>
        <w:t>DRŽITEĽ ROZHODNUTIA O REGISTRÁCII</w:t>
      </w:r>
    </w:p>
    <w:p w14:paraId="06C61E9C" w14:textId="77777777" w:rsidR="00E043D0" w:rsidRPr="001E0058" w:rsidRDefault="00E043D0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EDC54A0" w14:textId="6E106A2C" w:rsidR="00E043D0" w:rsidRPr="001E0058" w:rsidRDefault="00E043D0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1E0058">
        <w:rPr>
          <w:rFonts w:ascii="Times New Roman" w:eastAsia="TimesNewRoman" w:hAnsi="Times New Roman"/>
          <w:lang w:val="sk-SK"/>
        </w:rPr>
        <w:t>Farmalider</w:t>
      </w:r>
      <w:proofErr w:type="spellEnd"/>
      <w:r w:rsidRPr="001E0058">
        <w:rPr>
          <w:rFonts w:ascii="Times New Roman" w:eastAsia="TimesNewRoman" w:hAnsi="Times New Roman"/>
          <w:lang w:val="sk-SK"/>
        </w:rPr>
        <w:t>, S.A.</w:t>
      </w:r>
    </w:p>
    <w:p w14:paraId="45A77121" w14:textId="6592E2E3" w:rsidR="00E043D0" w:rsidRPr="001E0058" w:rsidRDefault="00A851EA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 xml:space="preserve">C/ La </w:t>
      </w:r>
      <w:proofErr w:type="spellStart"/>
      <w:r>
        <w:rPr>
          <w:rFonts w:ascii="Times New Roman" w:eastAsia="TimesNewRoman" w:hAnsi="Times New Roman"/>
          <w:lang w:val="sk-SK"/>
        </w:rPr>
        <w:t>Granja</w:t>
      </w:r>
      <w:proofErr w:type="spellEnd"/>
      <w:r>
        <w:rPr>
          <w:rFonts w:ascii="Times New Roman" w:eastAsia="TimesNewRoman" w:hAnsi="Times New Roman"/>
          <w:lang w:val="sk-SK"/>
        </w:rPr>
        <w:t>, 1</w:t>
      </w:r>
      <w:bookmarkStart w:id="6" w:name="_GoBack"/>
      <w:bookmarkEnd w:id="6"/>
      <w:r w:rsidR="00E043D0" w:rsidRPr="001E0058">
        <w:rPr>
          <w:rFonts w:ascii="Times New Roman" w:eastAsia="TimesNewRoman" w:hAnsi="Times New Roman"/>
          <w:lang w:val="sk-SK"/>
        </w:rPr>
        <w:t xml:space="preserve"> </w:t>
      </w:r>
    </w:p>
    <w:p w14:paraId="43ABE8F0" w14:textId="77777777" w:rsidR="00E043D0" w:rsidRPr="001E0058" w:rsidRDefault="00E043D0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 xml:space="preserve">28108 </w:t>
      </w:r>
      <w:proofErr w:type="spellStart"/>
      <w:r w:rsidRPr="001E0058">
        <w:rPr>
          <w:rFonts w:ascii="Times New Roman" w:eastAsia="TimesNewRoman" w:hAnsi="Times New Roman"/>
          <w:lang w:val="sk-SK"/>
        </w:rPr>
        <w:t>Alcobendas</w:t>
      </w:r>
      <w:proofErr w:type="spellEnd"/>
      <w:r w:rsidRPr="001E0058">
        <w:rPr>
          <w:rFonts w:ascii="Times New Roman" w:eastAsia="TimesNewRoman" w:hAnsi="Times New Roman"/>
          <w:lang w:val="sk-SK"/>
        </w:rPr>
        <w:t xml:space="preserve"> - Madrid</w:t>
      </w:r>
    </w:p>
    <w:p w14:paraId="6ABB636A" w14:textId="224D2CDB" w:rsidR="00BD12CE" w:rsidRDefault="00E043D0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1E0058">
        <w:rPr>
          <w:rFonts w:ascii="Times New Roman" w:eastAsia="TimesNewRoman" w:hAnsi="Times New Roman"/>
          <w:lang w:val="sk-SK"/>
        </w:rPr>
        <w:t>Španielsko</w:t>
      </w:r>
    </w:p>
    <w:p w14:paraId="41236395" w14:textId="77777777" w:rsidR="00D55185" w:rsidRPr="001E0058" w:rsidRDefault="00D55185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61041568" w14:textId="77777777" w:rsidR="00B6780E" w:rsidRPr="001E0058" w:rsidRDefault="00B6780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Cs/>
          <w:lang w:val="sk-SK"/>
        </w:rPr>
      </w:pPr>
    </w:p>
    <w:p w14:paraId="4EE0AE49" w14:textId="48B03D22" w:rsidR="00D55185" w:rsidRPr="00097C3B" w:rsidRDefault="00D1307E" w:rsidP="00097C3B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097C3B">
        <w:rPr>
          <w:rFonts w:ascii="Times New Roman" w:eastAsia="TimesNewRoman,Bold" w:hAnsi="Times New Roman"/>
          <w:b/>
          <w:bCs/>
          <w:lang w:val="sk-SK"/>
        </w:rPr>
        <w:t>REGISTRAČNÉ ČÍSL</w:t>
      </w:r>
      <w:r w:rsidR="00D55185" w:rsidRPr="00097C3B">
        <w:rPr>
          <w:rFonts w:ascii="Times New Roman" w:eastAsia="TimesNewRoman,Bold" w:hAnsi="Times New Roman"/>
          <w:b/>
          <w:bCs/>
          <w:lang w:val="sk-SK"/>
        </w:rPr>
        <w:t>O</w:t>
      </w:r>
    </w:p>
    <w:p w14:paraId="74B62AC4" w14:textId="2C262F80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0B93A84D" w14:textId="4C50541D" w:rsidR="00B76076" w:rsidRDefault="00D952A7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D952A7">
        <w:rPr>
          <w:rFonts w:ascii="Times New Roman" w:eastAsia="TimesNewRoman" w:hAnsi="Times New Roman"/>
          <w:lang w:val="sk-SK"/>
        </w:rPr>
        <w:t>83/0047/19-S</w:t>
      </w:r>
    </w:p>
    <w:p w14:paraId="40B7B0AE" w14:textId="77777777" w:rsidR="00D952A7" w:rsidRPr="001E0058" w:rsidRDefault="00D952A7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3AAC58A1" w14:textId="77777777" w:rsidR="00B6780E" w:rsidRPr="001E0058" w:rsidRDefault="00B6780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00D0FD59" w14:textId="4FF90C6D" w:rsidR="00B76076" w:rsidRPr="00097C3B" w:rsidRDefault="0003636C" w:rsidP="00097C3B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097C3B">
        <w:rPr>
          <w:rFonts w:ascii="Times New Roman" w:eastAsia="TimesNewRoman,Bold" w:hAnsi="Times New Roman"/>
          <w:b/>
          <w:bCs/>
          <w:lang w:val="sk-SK"/>
        </w:rPr>
        <w:t>DÁTUM PRVEJ REGISTRÁCIE/PREDĹŽENIA REGISTRÁCIE</w:t>
      </w:r>
    </w:p>
    <w:p w14:paraId="6C93DF2D" w14:textId="77777777" w:rsidR="00B76076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D8DC498" w14:textId="77777777" w:rsidR="00D55185" w:rsidRPr="001E0058" w:rsidRDefault="00D55185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7FE5A2C1" w14:textId="77777777" w:rsidR="00B6780E" w:rsidRPr="001E0058" w:rsidRDefault="00B6780E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27A1B097" w14:textId="205EA404" w:rsidR="00B76076" w:rsidRPr="00097C3B" w:rsidRDefault="0003636C" w:rsidP="00097C3B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097C3B">
        <w:rPr>
          <w:rFonts w:ascii="Times New Roman" w:eastAsia="TimesNewRoman,Bold" w:hAnsi="Times New Roman"/>
          <w:b/>
          <w:bCs/>
          <w:lang w:val="sk-SK"/>
        </w:rPr>
        <w:t>DÁTUM REVÍZIE TEXTU</w:t>
      </w:r>
    </w:p>
    <w:p w14:paraId="010048AE" w14:textId="77777777" w:rsidR="00B76076" w:rsidRPr="001E0058" w:rsidRDefault="00B76076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02F0FB0E" w14:textId="69C6EEF0" w:rsidR="005E559C" w:rsidRPr="001E0058" w:rsidRDefault="00097C3B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02/2019</w:t>
      </w:r>
    </w:p>
    <w:p w14:paraId="3C543BC1" w14:textId="77777777" w:rsidR="005C56A3" w:rsidRPr="001E0058" w:rsidRDefault="005C56A3" w:rsidP="00097C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/>
        </w:rPr>
      </w:pPr>
    </w:p>
    <w:sectPr w:rsidR="005C56A3" w:rsidRPr="001E0058" w:rsidSect="00395DB2">
      <w:headerReference w:type="default" r:id="rId16"/>
      <w:footerReference w:type="default" r:id="rId17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30AC5" w14:textId="77777777" w:rsidR="00466536" w:rsidRDefault="00466536" w:rsidP="00A91304">
      <w:pPr>
        <w:spacing w:line="240" w:lineRule="auto"/>
      </w:pPr>
      <w:r>
        <w:separator/>
      </w:r>
    </w:p>
  </w:endnote>
  <w:endnote w:type="continuationSeparator" w:id="0">
    <w:p w14:paraId="203E853B" w14:textId="77777777" w:rsidR="00466536" w:rsidRDefault="00466536" w:rsidP="00A91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68697" w14:textId="057291EC" w:rsidR="00336FB0" w:rsidRDefault="00336FB0">
    <w:pPr>
      <w:spacing w:line="200" w:lineRule="exact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64D160" wp14:editId="6CB8B7DD">
              <wp:simplePos x="0" y="0"/>
              <wp:positionH relativeFrom="page">
                <wp:posOffset>3726815</wp:posOffset>
              </wp:positionH>
              <wp:positionV relativeFrom="page">
                <wp:posOffset>10107295</wp:posOffset>
              </wp:positionV>
              <wp:extent cx="107315" cy="127635"/>
              <wp:effectExtent l="2540" t="1270" r="444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1152F" w14:textId="77777777" w:rsidR="00336FB0" w:rsidRDefault="00336FB0">
                          <w:pPr>
                            <w:ind w:left="40"/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51EA">
                            <w:rPr>
                              <w:rFonts w:eastAsia="Arial" w:cs="Arial"/>
                              <w:noProof/>
                              <w:sz w:val="16"/>
                              <w:szCs w:val="16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4D1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3.45pt;margin-top:795.85pt;width:8.4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r0T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" filled="f" stroked="f">
              <v:textbox inset="0,0,0,0">
                <w:txbxContent>
                  <w:p w14:paraId="3DC1152F" w14:textId="77777777" w:rsidR="00336FB0" w:rsidRDefault="00336FB0">
                    <w:pPr>
                      <w:ind w:left="40"/>
                      <w:rPr>
                        <w:rFonts w:eastAsia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51EA">
                      <w:rPr>
                        <w:rFonts w:eastAsia="Arial" w:cs="Arial"/>
                        <w:noProof/>
                        <w:sz w:val="16"/>
                        <w:szCs w:val="16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3D8AC" w14:textId="77777777" w:rsidR="00466536" w:rsidRDefault="00466536" w:rsidP="00A91304">
      <w:pPr>
        <w:spacing w:line="240" w:lineRule="auto"/>
      </w:pPr>
      <w:r>
        <w:separator/>
      </w:r>
    </w:p>
  </w:footnote>
  <w:footnote w:type="continuationSeparator" w:id="0">
    <w:p w14:paraId="64C86597" w14:textId="77777777" w:rsidR="00466536" w:rsidRDefault="00466536" w:rsidP="00A913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D0FA0" w14:textId="12C0FD9F" w:rsidR="00336FB0" w:rsidRPr="00097C3B" w:rsidRDefault="00336FB0" w:rsidP="00097C3B">
    <w:pPr>
      <w:jc w:val="left"/>
      <w:rPr>
        <w:rFonts w:ascii="Times New Roman" w:hAnsi="Times New Roman"/>
        <w:sz w:val="18"/>
        <w:szCs w:val="18"/>
      </w:rPr>
    </w:pPr>
    <w:proofErr w:type="spellStart"/>
    <w:r w:rsidRPr="0048397D">
      <w:rPr>
        <w:rFonts w:ascii="Times New Roman" w:hAnsi="Times New Roman"/>
        <w:sz w:val="18"/>
        <w:szCs w:val="18"/>
      </w:rPr>
      <w:t>Schválený</w:t>
    </w:r>
    <w:proofErr w:type="spellEnd"/>
    <w:r w:rsidRPr="0048397D">
      <w:rPr>
        <w:rFonts w:ascii="Times New Roman" w:hAnsi="Times New Roman"/>
        <w:sz w:val="18"/>
        <w:szCs w:val="18"/>
      </w:rPr>
      <w:t xml:space="preserve"> text k </w:t>
    </w:r>
    <w:proofErr w:type="spellStart"/>
    <w:r w:rsidRPr="0048397D">
      <w:rPr>
        <w:rFonts w:ascii="Times New Roman" w:hAnsi="Times New Roman"/>
        <w:sz w:val="18"/>
        <w:szCs w:val="18"/>
      </w:rPr>
      <w:t>rozhodnutiu</w:t>
    </w:r>
    <w:proofErr w:type="spellEnd"/>
    <w:r w:rsidRPr="0048397D">
      <w:rPr>
        <w:rFonts w:ascii="Times New Roman" w:hAnsi="Times New Roman"/>
        <w:sz w:val="18"/>
        <w:szCs w:val="18"/>
      </w:rPr>
      <w:t xml:space="preserve"> o </w:t>
    </w:r>
    <w:proofErr w:type="spellStart"/>
    <w:r w:rsidRPr="0048397D">
      <w:rPr>
        <w:rFonts w:ascii="Times New Roman" w:hAnsi="Times New Roman"/>
        <w:sz w:val="18"/>
        <w:szCs w:val="18"/>
      </w:rPr>
      <w:t>registrácii</w:t>
    </w:r>
    <w:proofErr w:type="spellEnd"/>
    <w:r w:rsidRPr="0048397D">
      <w:rPr>
        <w:rFonts w:ascii="Times New Roman" w:hAnsi="Times New Roman"/>
        <w:sz w:val="18"/>
        <w:szCs w:val="18"/>
      </w:rPr>
      <w:t xml:space="preserve">, </w:t>
    </w:r>
    <w:proofErr w:type="spellStart"/>
    <w:r w:rsidRPr="0048397D">
      <w:rPr>
        <w:rFonts w:ascii="Times New Roman" w:hAnsi="Times New Roman"/>
        <w:sz w:val="18"/>
        <w:szCs w:val="18"/>
      </w:rPr>
      <w:t>ev</w:t>
    </w:r>
    <w:proofErr w:type="spellEnd"/>
    <w:r w:rsidRPr="0048397D">
      <w:rPr>
        <w:rFonts w:ascii="Times New Roman" w:hAnsi="Times New Roman"/>
        <w:sz w:val="18"/>
        <w:szCs w:val="18"/>
      </w:rPr>
      <w:t>. č.:</w:t>
    </w:r>
    <w:r>
      <w:rPr>
        <w:rFonts w:ascii="Times New Roman" w:hAnsi="Times New Roman"/>
        <w:sz w:val="18"/>
        <w:szCs w:val="18"/>
      </w:rPr>
      <w:t xml:space="preserve"> 2017/06509-REG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5576"/>
    <w:multiLevelType w:val="hybridMultilevel"/>
    <w:tmpl w:val="6400DD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0681"/>
    <w:multiLevelType w:val="hybridMultilevel"/>
    <w:tmpl w:val="4E3E0878"/>
    <w:lvl w:ilvl="0" w:tplc="60B6C3B4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0E63"/>
    <w:multiLevelType w:val="hybridMultilevel"/>
    <w:tmpl w:val="536CB7C4"/>
    <w:lvl w:ilvl="0" w:tplc="60B6C3B4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923B3"/>
    <w:multiLevelType w:val="hybridMultilevel"/>
    <w:tmpl w:val="6400DD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97E1B"/>
    <w:multiLevelType w:val="hybridMultilevel"/>
    <w:tmpl w:val="69AA2C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D0E8F"/>
    <w:multiLevelType w:val="hybridMultilevel"/>
    <w:tmpl w:val="4E766D12"/>
    <w:lvl w:ilvl="0" w:tplc="5B02EC9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56912"/>
    <w:multiLevelType w:val="hybridMultilevel"/>
    <w:tmpl w:val="69AA2C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52207"/>
    <w:multiLevelType w:val="hybridMultilevel"/>
    <w:tmpl w:val="2F426FDA"/>
    <w:lvl w:ilvl="0" w:tplc="808857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96234"/>
    <w:multiLevelType w:val="hybridMultilevel"/>
    <w:tmpl w:val="163EA1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7267A"/>
    <w:multiLevelType w:val="hybridMultilevel"/>
    <w:tmpl w:val="88466972"/>
    <w:lvl w:ilvl="0" w:tplc="DAB04E26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91EDA"/>
    <w:multiLevelType w:val="hybridMultilevel"/>
    <w:tmpl w:val="ADA645F6"/>
    <w:lvl w:ilvl="0" w:tplc="224882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F1160"/>
    <w:multiLevelType w:val="hybridMultilevel"/>
    <w:tmpl w:val="416073A8"/>
    <w:lvl w:ilvl="0" w:tplc="3D1020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B0904"/>
    <w:multiLevelType w:val="hybridMultilevel"/>
    <w:tmpl w:val="607A86BC"/>
    <w:lvl w:ilvl="0" w:tplc="D34CB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D1F85"/>
    <w:multiLevelType w:val="hybridMultilevel"/>
    <w:tmpl w:val="C882CDE8"/>
    <w:lvl w:ilvl="0" w:tplc="0068D76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1"/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  <w:num w:numId="11">
    <w:abstractNumId w:val="13"/>
  </w:num>
  <w:num w:numId="12">
    <w:abstractNumId w:val="6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04"/>
    <w:rsid w:val="000017C3"/>
    <w:rsid w:val="000047CC"/>
    <w:rsid w:val="00010712"/>
    <w:rsid w:val="00010A05"/>
    <w:rsid w:val="00010E16"/>
    <w:rsid w:val="0001181F"/>
    <w:rsid w:val="00016161"/>
    <w:rsid w:val="000218DB"/>
    <w:rsid w:val="000240B3"/>
    <w:rsid w:val="0002692A"/>
    <w:rsid w:val="00026EF4"/>
    <w:rsid w:val="0003636C"/>
    <w:rsid w:val="00043D59"/>
    <w:rsid w:val="00044EB0"/>
    <w:rsid w:val="0004716C"/>
    <w:rsid w:val="00047E47"/>
    <w:rsid w:val="0005126A"/>
    <w:rsid w:val="0005203D"/>
    <w:rsid w:val="00062861"/>
    <w:rsid w:val="000674FF"/>
    <w:rsid w:val="00067E53"/>
    <w:rsid w:val="00070CC1"/>
    <w:rsid w:val="0007425F"/>
    <w:rsid w:val="00077516"/>
    <w:rsid w:val="0008439F"/>
    <w:rsid w:val="00084B15"/>
    <w:rsid w:val="00084F6F"/>
    <w:rsid w:val="000934EB"/>
    <w:rsid w:val="00093F3B"/>
    <w:rsid w:val="00096033"/>
    <w:rsid w:val="000962BF"/>
    <w:rsid w:val="00097C3B"/>
    <w:rsid w:val="000A0015"/>
    <w:rsid w:val="000A202F"/>
    <w:rsid w:val="000A2DF4"/>
    <w:rsid w:val="000A3121"/>
    <w:rsid w:val="000A5741"/>
    <w:rsid w:val="000A59B9"/>
    <w:rsid w:val="000A7EEE"/>
    <w:rsid w:val="000B17FF"/>
    <w:rsid w:val="000B230A"/>
    <w:rsid w:val="000B2D23"/>
    <w:rsid w:val="000B2FB1"/>
    <w:rsid w:val="000B32FD"/>
    <w:rsid w:val="000B7036"/>
    <w:rsid w:val="000C2DDF"/>
    <w:rsid w:val="000C45A3"/>
    <w:rsid w:val="000C5C56"/>
    <w:rsid w:val="000C69FC"/>
    <w:rsid w:val="000C6C10"/>
    <w:rsid w:val="000C6E7B"/>
    <w:rsid w:val="000D280F"/>
    <w:rsid w:val="000D3E3E"/>
    <w:rsid w:val="000D62C5"/>
    <w:rsid w:val="000D67B4"/>
    <w:rsid w:val="000E2440"/>
    <w:rsid w:val="000F133E"/>
    <w:rsid w:val="000F26B0"/>
    <w:rsid w:val="000F3FCB"/>
    <w:rsid w:val="000F5A75"/>
    <w:rsid w:val="000F5CCB"/>
    <w:rsid w:val="000F7D64"/>
    <w:rsid w:val="001000AC"/>
    <w:rsid w:val="00101A90"/>
    <w:rsid w:val="00102AF2"/>
    <w:rsid w:val="00103103"/>
    <w:rsid w:val="00103320"/>
    <w:rsid w:val="0010622E"/>
    <w:rsid w:val="00111A23"/>
    <w:rsid w:val="00113BDD"/>
    <w:rsid w:val="0011740C"/>
    <w:rsid w:val="001212D3"/>
    <w:rsid w:val="00122B78"/>
    <w:rsid w:val="00123149"/>
    <w:rsid w:val="00123827"/>
    <w:rsid w:val="0012710D"/>
    <w:rsid w:val="00127C06"/>
    <w:rsid w:val="001302A2"/>
    <w:rsid w:val="0013235E"/>
    <w:rsid w:val="0013544E"/>
    <w:rsid w:val="00140169"/>
    <w:rsid w:val="00140CA5"/>
    <w:rsid w:val="001463D8"/>
    <w:rsid w:val="00150318"/>
    <w:rsid w:val="0015657C"/>
    <w:rsid w:val="001605F7"/>
    <w:rsid w:val="00161342"/>
    <w:rsid w:val="00161A28"/>
    <w:rsid w:val="0016354E"/>
    <w:rsid w:val="00163CAC"/>
    <w:rsid w:val="00165127"/>
    <w:rsid w:val="001658D6"/>
    <w:rsid w:val="00165F92"/>
    <w:rsid w:val="00167388"/>
    <w:rsid w:val="00170AA7"/>
    <w:rsid w:val="001716CC"/>
    <w:rsid w:val="00173F5A"/>
    <w:rsid w:val="001745A7"/>
    <w:rsid w:val="00176A35"/>
    <w:rsid w:val="00176DD4"/>
    <w:rsid w:val="001838C9"/>
    <w:rsid w:val="00186CC4"/>
    <w:rsid w:val="00191134"/>
    <w:rsid w:val="001920A2"/>
    <w:rsid w:val="001A3078"/>
    <w:rsid w:val="001A3083"/>
    <w:rsid w:val="001A3455"/>
    <w:rsid w:val="001A42F3"/>
    <w:rsid w:val="001A72E6"/>
    <w:rsid w:val="001A7B01"/>
    <w:rsid w:val="001B185D"/>
    <w:rsid w:val="001B1AB1"/>
    <w:rsid w:val="001B6FED"/>
    <w:rsid w:val="001C0086"/>
    <w:rsid w:val="001C3FE9"/>
    <w:rsid w:val="001C611A"/>
    <w:rsid w:val="001D0DF1"/>
    <w:rsid w:val="001D0E0F"/>
    <w:rsid w:val="001D14AE"/>
    <w:rsid w:val="001D25F7"/>
    <w:rsid w:val="001D5D8B"/>
    <w:rsid w:val="001E0058"/>
    <w:rsid w:val="001E44E8"/>
    <w:rsid w:val="001E4D9D"/>
    <w:rsid w:val="001E79B8"/>
    <w:rsid w:val="001F4E52"/>
    <w:rsid w:val="001F5570"/>
    <w:rsid w:val="00206D0E"/>
    <w:rsid w:val="002070E2"/>
    <w:rsid w:val="0021378A"/>
    <w:rsid w:val="00216084"/>
    <w:rsid w:val="00217116"/>
    <w:rsid w:val="002233AF"/>
    <w:rsid w:val="00231936"/>
    <w:rsid w:val="00233566"/>
    <w:rsid w:val="00237183"/>
    <w:rsid w:val="00240746"/>
    <w:rsid w:val="00244CB2"/>
    <w:rsid w:val="00246919"/>
    <w:rsid w:val="00254F65"/>
    <w:rsid w:val="002608CC"/>
    <w:rsid w:val="00261E32"/>
    <w:rsid w:val="0026217A"/>
    <w:rsid w:val="0026626B"/>
    <w:rsid w:val="00267021"/>
    <w:rsid w:val="00271DCE"/>
    <w:rsid w:val="00272394"/>
    <w:rsid w:val="00274034"/>
    <w:rsid w:val="00275B26"/>
    <w:rsid w:val="002833C9"/>
    <w:rsid w:val="00283DA9"/>
    <w:rsid w:val="00292043"/>
    <w:rsid w:val="00294A17"/>
    <w:rsid w:val="00296ABD"/>
    <w:rsid w:val="002972BB"/>
    <w:rsid w:val="002A66DF"/>
    <w:rsid w:val="002B0729"/>
    <w:rsid w:val="002B0D96"/>
    <w:rsid w:val="002B4DB5"/>
    <w:rsid w:val="002B5DFC"/>
    <w:rsid w:val="002B66DC"/>
    <w:rsid w:val="002C01C6"/>
    <w:rsid w:val="002C19AA"/>
    <w:rsid w:val="002C541A"/>
    <w:rsid w:val="002C6B31"/>
    <w:rsid w:val="002D64DE"/>
    <w:rsid w:val="002D64FA"/>
    <w:rsid w:val="002D75C7"/>
    <w:rsid w:val="002E04D6"/>
    <w:rsid w:val="002E17D3"/>
    <w:rsid w:val="002E24D0"/>
    <w:rsid w:val="002E2C17"/>
    <w:rsid w:val="002E41AD"/>
    <w:rsid w:val="002E4B49"/>
    <w:rsid w:val="002E5BC0"/>
    <w:rsid w:val="002F0B37"/>
    <w:rsid w:val="002F2A06"/>
    <w:rsid w:val="002F333D"/>
    <w:rsid w:val="002F3F54"/>
    <w:rsid w:val="002F7185"/>
    <w:rsid w:val="002F7FE0"/>
    <w:rsid w:val="00301459"/>
    <w:rsid w:val="003015DC"/>
    <w:rsid w:val="00302400"/>
    <w:rsid w:val="00302511"/>
    <w:rsid w:val="0030300A"/>
    <w:rsid w:val="003037C9"/>
    <w:rsid w:val="00305268"/>
    <w:rsid w:val="0031252F"/>
    <w:rsid w:val="00312944"/>
    <w:rsid w:val="0031643F"/>
    <w:rsid w:val="00316CDA"/>
    <w:rsid w:val="00320238"/>
    <w:rsid w:val="003218AE"/>
    <w:rsid w:val="003271B4"/>
    <w:rsid w:val="00330F9A"/>
    <w:rsid w:val="00333A50"/>
    <w:rsid w:val="003351E3"/>
    <w:rsid w:val="00335ECD"/>
    <w:rsid w:val="00336FB0"/>
    <w:rsid w:val="00337E30"/>
    <w:rsid w:val="00340069"/>
    <w:rsid w:val="0034315E"/>
    <w:rsid w:val="003432E5"/>
    <w:rsid w:val="00346CB1"/>
    <w:rsid w:val="0035312A"/>
    <w:rsid w:val="00354CF4"/>
    <w:rsid w:val="00355EAB"/>
    <w:rsid w:val="0035643F"/>
    <w:rsid w:val="00356784"/>
    <w:rsid w:val="0036239C"/>
    <w:rsid w:val="00362F02"/>
    <w:rsid w:val="003654E2"/>
    <w:rsid w:val="0036561C"/>
    <w:rsid w:val="00370DFE"/>
    <w:rsid w:val="00370E5A"/>
    <w:rsid w:val="00372456"/>
    <w:rsid w:val="00372BB1"/>
    <w:rsid w:val="00384496"/>
    <w:rsid w:val="00384E5C"/>
    <w:rsid w:val="00386B65"/>
    <w:rsid w:val="00392D3E"/>
    <w:rsid w:val="00392E26"/>
    <w:rsid w:val="00395233"/>
    <w:rsid w:val="00395DB2"/>
    <w:rsid w:val="003A166C"/>
    <w:rsid w:val="003A3A9D"/>
    <w:rsid w:val="003B13AB"/>
    <w:rsid w:val="003B2B89"/>
    <w:rsid w:val="003B5A20"/>
    <w:rsid w:val="003B7D64"/>
    <w:rsid w:val="003C10BF"/>
    <w:rsid w:val="003C4810"/>
    <w:rsid w:val="003C4E48"/>
    <w:rsid w:val="003D10AE"/>
    <w:rsid w:val="003D7C67"/>
    <w:rsid w:val="003E2A7A"/>
    <w:rsid w:val="003E743C"/>
    <w:rsid w:val="003F052C"/>
    <w:rsid w:val="003F2BEF"/>
    <w:rsid w:val="003F4B3A"/>
    <w:rsid w:val="003F52DC"/>
    <w:rsid w:val="003F7770"/>
    <w:rsid w:val="0040474F"/>
    <w:rsid w:val="0041058C"/>
    <w:rsid w:val="00412357"/>
    <w:rsid w:val="00414650"/>
    <w:rsid w:val="0041648B"/>
    <w:rsid w:val="00417675"/>
    <w:rsid w:val="00420543"/>
    <w:rsid w:val="00422622"/>
    <w:rsid w:val="00423882"/>
    <w:rsid w:val="004245C1"/>
    <w:rsid w:val="004277AA"/>
    <w:rsid w:val="00430D29"/>
    <w:rsid w:val="00430E08"/>
    <w:rsid w:val="00433472"/>
    <w:rsid w:val="00436909"/>
    <w:rsid w:val="00447403"/>
    <w:rsid w:val="00461F9E"/>
    <w:rsid w:val="00462355"/>
    <w:rsid w:val="00466536"/>
    <w:rsid w:val="00470CB5"/>
    <w:rsid w:val="0047191F"/>
    <w:rsid w:val="00473718"/>
    <w:rsid w:val="00477356"/>
    <w:rsid w:val="004822BD"/>
    <w:rsid w:val="00494E91"/>
    <w:rsid w:val="00497B9A"/>
    <w:rsid w:val="004A2AEE"/>
    <w:rsid w:val="004B2E40"/>
    <w:rsid w:val="004B3030"/>
    <w:rsid w:val="004B358B"/>
    <w:rsid w:val="004B632E"/>
    <w:rsid w:val="004C14F5"/>
    <w:rsid w:val="004C1702"/>
    <w:rsid w:val="004C5E48"/>
    <w:rsid w:val="004C61AD"/>
    <w:rsid w:val="004D1DD3"/>
    <w:rsid w:val="004D23D9"/>
    <w:rsid w:val="004D2764"/>
    <w:rsid w:val="004D3BFD"/>
    <w:rsid w:val="004D6691"/>
    <w:rsid w:val="004E1798"/>
    <w:rsid w:val="004E3A54"/>
    <w:rsid w:val="004E4E8D"/>
    <w:rsid w:val="004F2D4E"/>
    <w:rsid w:val="004F329C"/>
    <w:rsid w:val="004F3ACB"/>
    <w:rsid w:val="004F4974"/>
    <w:rsid w:val="004F4B81"/>
    <w:rsid w:val="004F5C32"/>
    <w:rsid w:val="005011BC"/>
    <w:rsid w:val="00502662"/>
    <w:rsid w:val="005027D1"/>
    <w:rsid w:val="00505A38"/>
    <w:rsid w:val="00505F97"/>
    <w:rsid w:val="00511D1A"/>
    <w:rsid w:val="005125D3"/>
    <w:rsid w:val="0051344D"/>
    <w:rsid w:val="00513BFC"/>
    <w:rsid w:val="005243E1"/>
    <w:rsid w:val="00526246"/>
    <w:rsid w:val="00527F50"/>
    <w:rsid w:val="0053051B"/>
    <w:rsid w:val="0053243D"/>
    <w:rsid w:val="00532D9C"/>
    <w:rsid w:val="00541167"/>
    <w:rsid w:val="005428D9"/>
    <w:rsid w:val="0054292C"/>
    <w:rsid w:val="00542FD7"/>
    <w:rsid w:val="00544D58"/>
    <w:rsid w:val="0055222F"/>
    <w:rsid w:val="005522B0"/>
    <w:rsid w:val="00552CE7"/>
    <w:rsid w:val="005556D1"/>
    <w:rsid w:val="00564353"/>
    <w:rsid w:val="00564AFD"/>
    <w:rsid w:val="00566F1D"/>
    <w:rsid w:val="005732C1"/>
    <w:rsid w:val="0057536E"/>
    <w:rsid w:val="00576F95"/>
    <w:rsid w:val="0058022F"/>
    <w:rsid w:val="005818E4"/>
    <w:rsid w:val="0059406B"/>
    <w:rsid w:val="005A0EFC"/>
    <w:rsid w:val="005A605C"/>
    <w:rsid w:val="005B1B70"/>
    <w:rsid w:val="005B1BFE"/>
    <w:rsid w:val="005B2B91"/>
    <w:rsid w:val="005B2E4F"/>
    <w:rsid w:val="005B4695"/>
    <w:rsid w:val="005B54DE"/>
    <w:rsid w:val="005B5720"/>
    <w:rsid w:val="005B58D1"/>
    <w:rsid w:val="005B762E"/>
    <w:rsid w:val="005B766B"/>
    <w:rsid w:val="005C1D8A"/>
    <w:rsid w:val="005C56A3"/>
    <w:rsid w:val="005C59BF"/>
    <w:rsid w:val="005C63ED"/>
    <w:rsid w:val="005C762E"/>
    <w:rsid w:val="005D4A2B"/>
    <w:rsid w:val="005D4C6E"/>
    <w:rsid w:val="005D7DB6"/>
    <w:rsid w:val="005E1875"/>
    <w:rsid w:val="005E3638"/>
    <w:rsid w:val="005E559C"/>
    <w:rsid w:val="005E60CD"/>
    <w:rsid w:val="005E740E"/>
    <w:rsid w:val="005F118D"/>
    <w:rsid w:val="005F24ED"/>
    <w:rsid w:val="005F3F03"/>
    <w:rsid w:val="005F52EB"/>
    <w:rsid w:val="005F5E38"/>
    <w:rsid w:val="005F73CC"/>
    <w:rsid w:val="005F7F71"/>
    <w:rsid w:val="00600097"/>
    <w:rsid w:val="00600210"/>
    <w:rsid w:val="00605CE3"/>
    <w:rsid w:val="00605FEA"/>
    <w:rsid w:val="00607F26"/>
    <w:rsid w:val="0061582D"/>
    <w:rsid w:val="00630467"/>
    <w:rsid w:val="00634D09"/>
    <w:rsid w:val="00637676"/>
    <w:rsid w:val="006409FB"/>
    <w:rsid w:val="00642B01"/>
    <w:rsid w:val="00642E23"/>
    <w:rsid w:val="00643B2B"/>
    <w:rsid w:val="00645F04"/>
    <w:rsid w:val="006475EA"/>
    <w:rsid w:val="0065033B"/>
    <w:rsid w:val="00650F8F"/>
    <w:rsid w:val="00651A1A"/>
    <w:rsid w:val="00653F04"/>
    <w:rsid w:val="00660242"/>
    <w:rsid w:val="00660EED"/>
    <w:rsid w:val="00663A41"/>
    <w:rsid w:val="00666DFA"/>
    <w:rsid w:val="00674D54"/>
    <w:rsid w:val="00675EF4"/>
    <w:rsid w:val="006842E6"/>
    <w:rsid w:val="00686666"/>
    <w:rsid w:val="00690559"/>
    <w:rsid w:val="006959B7"/>
    <w:rsid w:val="00695BB3"/>
    <w:rsid w:val="006A43D9"/>
    <w:rsid w:val="006A4AAE"/>
    <w:rsid w:val="006B00EA"/>
    <w:rsid w:val="006B138E"/>
    <w:rsid w:val="006B185B"/>
    <w:rsid w:val="006B28CD"/>
    <w:rsid w:val="006B35F4"/>
    <w:rsid w:val="006B3B8F"/>
    <w:rsid w:val="006B4028"/>
    <w:rsid w:val="006B454E"/>
    <w:rsid w:val="006B47ED"/>
    <w:rsid w:val="006B6D35"/>
    <w:rsid w:val="006D7ED6"/>
    <w:rsid w:val="006E183E"/>
    <w:rsid w:val="006F016C"/>
    <w:rsid w:val="006F190C"/>
    <w:rsid w:val="006F3CEC"/>
    <w:rsid w:val="006F4295"/>
    <w:rsid w:val="00702809"/>
    <w:rsid w:val="007028B2"/>
    <w:rsid w:val="00707922"/>
    <w:rsid w:val="007113AA"/>
    <w:rsid w:val="0071278D"/>
    <w:rsid w:val="00713026"/>
    <w:rsid w:val="00713362"/>
    <w:rsid w:val="0072020C"/>
    <w:rsid w:val="00721CD7"/>
    <w:rsid w:val="00722D35"/>
    <w:rsid w:val="0072613C"/>
    <w:rsid w:val="00727969"/>
    <w:rsid w:val="00731723"/>
    <w:rsid w:val="007346BF"/>
    <w:rsid w:val="00734D76"/>
    <w:rsid w:val="0073621E"/>
    <w:rsid w:val="007413B3"/>
    <w:rsid w:val="00742C39"/>
    <w:rsid w:val="00744350"/>
    <w:rsid w:val="00745107"/>
    <w:rsid w:val="00750DA8"/>
    <w:rsid w:val="0075638D"/>
    <w:rsid w:val="007566E9"/>
    <w:rsid w:val="007569A6"/>
    <w:rsid w:val="007570FC"/>
    <w:rsid w:val="00757DA9"/>
    <w:rsid w:val="00763853"/>
    <w:rsid w:val="00763E16"/>
    <w:rsid w:val="00767A72"/>
    <w:rsid w:val="00770B50"/>
    <w:rsid w:val="00770EEC"/>
    <w:rsid w:val="0077292E"/>
    <w:rsid w:val="00772B6B"/>
    <w:rsid w:val="007754B7"/>
    <w:rsid w:val="0078091B"/>
    <w:rsid w:val="00785E95"/>
    <w:rsid w:val="00790203"/>
    <w:rsid w:val="007917EC"/>
    <w:rsid w:val="00791954"/>
    <w:rsid w:val="00791A4E"/>
    <w:rsid w:val="0079399C"/>
    <w:rsid w:val="00797640"/>
    <w:rsid w:val="007A1C02"/>
    <w:rsid w:val="007A6455"/>
    <w:rsid w:val="007A6562"/>
    <w:rsid w:val="007A7F81"/>
    <w:rsid w:val="007B120D"/>
    <w:rsid w:val="007B1733"/>
    <w:rsid w:val="007B4060"/>
    <w:rsid w:val="007B6DF7"/>
    <w:rsid w:val="007C1FB0"/>
    <w:rsid w:val="007C27B0"/>
    <w:rsid w:val="007C29DB"/>
    <w:rsid w:val="007C5E7F"/>
    <w:rsid w:val="007C7AD1"/>
    <w:rsid w:val="007D3862"/>
    <w:rsid w:val="007D4F04"/>
    <w:rsid w:val="007D595A"/>
    <w:rsid w:val="007D690F"/>
    <w:rsid w:val="007E0C38"/>
    <w:rsid w:val="007E30B8"/>
    <w:rsid w:val="007E653C"/>
    <w:rsid w:val="007E694B"/>
    <w:rsid w:val="007F6AD9"/>
    <w:rsid w:val="007F7669"/>
    <w:rsid w:val="00801197"/>
    <w:rsid w:val="00801790"/>
    <w:rsid w:val="00807B1A"/>
    <w:rsid w:val="0081009B"/>
    <w:rsid w:val="00811646"/>
    <w:rsid w:val="00813E2A"/>
    <w:rsid w:val="00816106"/>
    <w:rsid w:val="008168BB"/>
    <w:rsid w:val="00817873"/>
    <w:rsid w:val="00817D1E"/>
    <w:rsid w:val="00820058"/>
    <w:rsid w:val="0082104A"/>
    <w:rsid w:val="008220FD"/>
    <w:rsid w:val="008316B7"/>
    <w:rsid w:val="00831E90"/>
    <w:rsid w:val="0083289C"/>
    <w:rsid w:val="00833FD9"/>
    <w:rsid w:val="00834511"/>
    <w:rsid w:val="00835ADD"/>
    <w:rsid w:val="008363CD"/>
    <w:rsid w:val="00836641"/>
    <w:rsid w:val="00845DFA"/>
    <w:rsid w:val="00847A00"/>
    <w:rsid w:val="00852FE1"/>
    <w:rsid w:val="00862EAC"/>
    <w:rsid w:val="00867F04"/>
    <w:rsid w:val="00870637"/>
    <w:rsid w:val="00871E86"/>
    <w:rsid w:val="008736DF"/>
    <w:rsid w:val="00875CF3"/>
    <w:rsid w:val="00876A45"/>
    <w:rsid w:val="00880048"/>
    <w:rsid w:val="00881853"/>
    <w:rsid w:val="0088649A"/>
    <w:rsid w:val="00887AE2"/>
    <w:rsid w:val="00891A12"/>
    <w:rsid w:val="00892D83"/>
    <w:rsid w:val="00893561"/>
    <w:rsid w:val="008953FF"/>
    <w:rsid w:val="0089661B"/>
    <w:rsid w:val="008B2244"/>
    <w:rsid w:val="008B2F5A"/>
    <w:rsid w:val="008B4BA2"/>
    <w:rsid w:val="008B4FFB"/>
    <w:rsid w:val="008B6A0C"/>
    <w:rsid w:val="008B6F0B"/>
    <w:rsid w:val="008C0FDD"/>
    <w:rsid w:val="008C2979"/>
    <w:rsid w:val="008C3AF8"/>
    <w:rsid w:val="008C6B46"/>
    <w:rsid w:val="008C7D67"/>
    <w:rsid w:val="008D14B4"/>
    <w:rsid w:val="008D27D9"/>
    <w:rsid w:val="008D567E"/>
    <w:rsid w:val="008D6A00"/>
    <w:rsid w:val="008E1B39"/>
    <w:rsid w:val="008E1B3B"/>
    <w:rsid w:val="008E47B1"/>
    <w:rsid w:val="008F3FCA"/>
    <w:rsid w:val="00901C66"/>
    <w:rsid w:val="0090250F"/>
    <w:rsid w:val="00903F7D"/>
    <w:rsid w:val="00905ABD"/>
    <w:rsid w:val="00905CBA"/>
    <w:rsid w:val="00905F3A"/>
    <w:rsid w:val="00906B6E"/>
    <w:rsid w:val="0091110F"/>
    <w:rsid w:val="0091466E"/>
    <w:rsid w:val="00914BC0"/>
    <w:rsid w:val="00921B00"/>
    <w:rsid w:val="0092305D"/>
    <w:rsid w:val="00923185"/>
    <w:rsid w:val="009316F3"/>
    <w:rsid w:val="009333E8"/>
    <w:rsid w:val="009343A2"/>
    <w:rsid w:val="00934DF9"/>
    <w:rsid w:val="0093502D"/>
    <w:rsid w:val="00935058"/>
    <w:rsid w:val="00935415"/>
    <w:rsid w:val="0093616C"/>
    <w:rsid w:val="0093635A"/>
    <w:rsid w:val="00936C09"/>
    <w:rsid w:val="0094427E"/>
    <w:rsid w:val="00950073"/>
    <w:rsid w:val="0095133C"/>
    <w:rsid w:val="00954D20"/>
    <w:rsid w:val="00956286"/>
    <w:rsid w:val="00956B81"/>
    <w:rsid w:val="00970287"/>
    <w:rsid w:val="00971627"/>
    <w:rsid w:val="009727E2"/>
    <w:rsid w:val="00974329"/>
    <w:rsid w:val="00975A1E"/>
    <w:rsid w:val="00975F40"/>
    <w:rsid w:val="00976EB0"/>
    <w:rsid w:val="00977FB3"/>
    <w:rsid w:val="00983DCB"/>
    <w:rsid w:val="00985A17"/>
    <w:rsid w:val="0098724A"/>
    <w:rsid w:val="00990755"/>
    <w:rsid w:val="00993BA3"/>
    <w:rsid w:val="00994B8E"/>
    <w:rsid w:val="00997A63"/>
    <w:rsid w:val="009A7608"/>
    <w:rsid w:val="009B57DC"/>
    <w:rsid w:val="009B7B55"/>
    <w:rsid w:val="009C0A83"/>
    <w:rsid w:val="009C1531"/>
    <w:rsid w:val="009C340A"/>
    <w:rsid w:val="009C567E"/>
    <w:rsid w:val="009C5D9E"/>
    <w:rsid w:val="009C63A8"/>
    <w:rsid w:val="009D1027"/>
    <w:rsid w:val="009D3689"/>
    <w:rsid w:val="009D676D"/>
    <w:rsid w:val="009E0A8A"/>
    <w:rsid w:val="009E1F51"/>
    <w:rsid w:val="009E4CA2"/>
    <w:rsid w:val="009F16B4"/>
    <w:rsid w:val="009F3779"/>
    <w:rsid w:val="00A0071E"/>
    <w:rsid w:val="00A02884"/>
    <w:rsid w:val="00A065A5"/>
    <w:rsid w:val="00A07968"/>
    <w:rsid w:val="00A14F0D"/>
    <w:rsid w:val="00A17925"/>
    <w:rsid w:val="00A21982"/>
    <w:rsid w:val="00A221F7"/>
    <w:rsid w:val="00A26386"/>
    <w:rsid w:val="00A3103C"/>
    <w:rsid w:val="00A31258"/>
    <w:rsid w:val="00A32057"/>
    <w:rsid w:val="00A349EA"/>
    <w:rsid w:val="00A37E28"/>
    <w:rsid w:val="00A4048E"/>
    <w:rsid w:val="00A40790"/>
    <w:rsid w:val="00A41AE2"/>
    <w:rsid w:val="00A41B90"/>
    <w:rsid w:val="00A45063"/>
    <w:rsid w:val="00A5118B"/>
    <w:rsid w:val="00A51833"/>
    <w:rsid w:val="00A572AF"/>
    <w:rsid w:val="00A60D60"/>
    <w:rsid w:val="00A61727"/>
    <w:rsid w:val="00A66CA9"/>
    <w:rsid w:val="00A7334F"/>
    <w:rsid w:val="00A7520A"/>
    <w:rsid w:val="00A75431"/>
    <w:rsid w:val="00A7561A"/>
    <w:rsid w:val="00A80400"/>
    <w:rsid w:val="00A851EA"/>
    <w:rsid w:val="00A85A22"/>
    <w:rsid w:val="00A874CC"/>
    <w:rsid w:val="00A90E84"/>
    <w:rsid w:val="00A91304"/>
    <w:rsid w:val="00A92E93"/>
    <w:rsid w:val="00A93E90"/>
    <w:rsid w:val="00A9417E"/>
    <w:rsid w:val="00A95E83"/>
    <w:rsid w:val="00A96DDF"/>
    <w:rsid w:val="00A973E9"/>
    <w:rsid w:val="00AA0B5E"/>
    <w:rsid w:val="00AA2F91"/>
    <w:rsid w:val="00AA52FD"/>
    <w:rsid w:val="00AA5F07"/>
    <w:rsid w:val="00AB1AB8"/>
    <w:rsid w:val="00AB1DD8"/>
    <w:rsid w:val="00AB59D7"/>
    <w:rsid w:val="00AB72F9"/>
    <w:rsid w:val="00AC1420"/>
    <w:rsid w:val="00AC1C6E"/>
    <w:rsid w:val="00AC20A6"/>
    <w:rsid w:val="00AC20CA"/>
    <w:rsid w:val="00AC4E6B"/>
    <w:rsid w:val="00AC580A"/>
    <w:rsid w:val="00AC6E44"/>
    <w:rsid w:val="00AD1F69"/>
    <w:rsid w:val="00AD3F73"/>
    <w:rsid w:val="00AE13AC"/>
    <w:rsid w:val="00AE34DA"/>
    <w:rsid w:val="00AE463A"/>
    <w:rsid w:val="00AF2F27"/>
    <w:rsid w:val="00AF36C2"/>
    <w:rsid w:val="00AF3891"/>
    <w:rsid w:val="00AF5B6B"/>
    <w:rsid w:val="00B01C59"/>
    <w:rsid w:val="00B03A52"/>
    <w:rsid w:val="00B04890"/>
    <w:rsid w:val="00B071D1"/>
    <w:rsid w:val="00B1152E"/>
    <w:rsid w:val="00B13532"/>
    <w:rsid w:val="00B13E34"/>
    <w:rsid w:val="00B239B9"/>
    <w:rsid w:val="00B37CFF"/>
    <w:rsid w:val="00B4130D"/>
    <w:rsid w:val="00B47147"/>
    <w:rsid w:val="00B51BD5"/>
    <w:rsid w:val="00B54F4D"/>
    <w:rsid w:val="00B55CA7"/>
    <w:rsid w:val="00B56187"/>
    <w:rsid w:val="00B61A7F"/>
    <w:rsid w:val="00B62ACE"/>
    <w:rsid w:val="00B6521B"/>
    <w:rsid w:val="00B66760"/>
    <w:rsid w:val="00B6780E"/>
    <w:rsid w:val="00B67EC6"/>
    <w:rsid w:val="00B71C56"/>
    <w:rsid w:val="00B71D23"/>
    <w:rsid w:val="00B73B01"/>
    <w:rsid w:val="00B75601"/>
    <w:rsid w:val="00B76076"/>
    <w:rsid w:val="00B80CE8"/>
    <w:rsid w:val="00B812FC"/>
    <w:rsid w:val="00B848B8"/>
    <w:rsid w:val="00B851BC"/>
    <w:rsid w:val="00B90F3C"/>
    <w:rsid w:val="00B947CA"/>
    <w:rsid w:val="00B95FD4"/>
    <w:rsid w:val="00B9649F"/>
    <w:rsid w:val="00BA4217"/>
    <w:rsid w:val="00BA5B72"/>
    <w:rsid w:val="00BA645D"/>
    <w:rsid w:val="00BB493F"/>
    <w:rsid w:val="00BB4B36"/>
    <w:rsid w:val="00BC0F32"/>
    <w:rsid w:val="00BC29AD"/>
    <w:rsid w:val="00BC4AB7"/>
    <w:rsid w:val="00BD094F"/>
    <w:rsid w:val="00BD12CE"/>
    <w:rsid w:val="00BD27CD"/>
    <w:rsid w:val="00BD386F"/>
    <w:rsid w:val="00BD4EA4"/>
    <w:rsid w:val="00BD61A6"/>
    <w:rsid w:val="00BE1286"/>
    <w:rsid w:val="00BE16E5"/>
    <w:rsid w:val="00BE466F"/>
    <w:rsid w:val="00BE7E03"/>
    <w:rsid w:val="00BF1F92"/>
    <w:rsid w:val="00BF61F4"/>
    <w:rsid w:val="00BF6732"/>
    <w:rsid w:val="00C00957"/>
    <w:rsid w:val="00C02C55"/>
    <w:rsid w:val="00C06595"/>
    <w:rsid w:val="00C07B92"/>
    <w:rsid w:val="00C1472F"/>
    <w:rsid w:val="00C151C1"/>
    <w:rsid w:val="00C20AA9"/>
    <w:rsid w:val="00C225A4"/>
    <w:rsid w:val="00C26041"/>
    <w:rsid w:val="00C307C1"/>
    <w:rsid w:val="00C35220"/>
    <w:rsid w:val="00C36B57"/>
    <w:rsid w:val="00C36C7C"/>
    <w:rsid w:val="00C40094"/>
    <w:rsid w:val="00C40396"/>
    <w:rsid w:val="00C40754"/>
    <w:rsid w:val="00C41ED1"/>
    <w:rsid w:val="00C45927"/>
    <w:rsid w:val="00C51983"/>
    <w:rsid w:val="00C569AB"/>
    <w:rsid w:val="00C709C1"/>
    <w:rsid w:val="00C722C5"/>
    <w:rsid w:val="00C76F08"/>
    <w:rsid w:val="00C770BD"/>
    <w:rsid w:val="00C8107D"/>
    <w:rsid w:val="00C81E13"/>
    <w:rsid w:val="00C828B8"/>
    <w:rsid w:val="00C83A70"/>
    <w:rsid w:val="00C86A67"/>
    <w:rsid w:val="00C93778"/>
    <w:rsid w:val="00C97009"/>
    <w:rsid w:val="00CA695C"/>
    <w:rsid w:val="00CA72A5"/>
    <w:rsid w:val="00CA7448"/>
    <w:rsid w:val="00CB0308"/>
    <w:rsid w:val="00CB0E7E"/>
    <w:rsid w:val="00CB0FBA"/>
    <w:rsid w:val="00CB285D"/>
    <w:rsid w:val="00CC06FB"/>
    <w:rsid w:val="00CC087F"/>
    <w:rsid w:val="00CD399A"/>
    <w:rsid w:val="00CD55EF"/>
    <w:rsid w:val="00CD6141"/>
    <w:rsid w:val="00CE0D37"/>
    <w:rsid w:val="00CE0EC5"/>
    <w:rsid w:val="00CE2C24"/>
    <w:rsid w:val="00CE3656"/>
    <w:rsid w:val="00CE6B97"/>
    <w:rsid w:val="00CF5C97"/>
    <w:rsid w:val="00CF771D"/>
    <w:rsid w:val="00D019CA"/>
    <w:rsid w:val="00D06D84"/>
    <w:rsid w:val="00D113F3"/>
    <w:rsid w:val="00D12294"/>
    <w:rsid w:val="00D1307E"/>
    <w:rsid w:val="00D13B58"/>
    <w:rsid w:val="00D15CC8"/>
    <w:rsid w:val="00D170AE"/>
    <w:rsid w:val="00D17825"/>
    <w:rsid w:val="00D23BC8"/>
    <w:rsid w:val="00D42A4B"/>
    <w:rsid w:val="00D42B7D"/>
    <w:rsid w:val="00D44035"/>
    <w:rsid w:val="00D45D21"/>
    <w:rsid w:val="00D53875"/>
    <w:rsid w:val="00D55185"/>
    <w:rsid w:val="00D57CE2"/>
    <w:rsid w:val="00D63B66"/>
    <w:rsid w:val="00D653B3"/>
    <w:rsid w:val="00D70AB4"/>
    <w:rsid w:val="00D728E8"/>
    <w:rsid w:val="00D73001"/>
    <w:rsid w:val="00D73B75"/>
    <w:rsid w:val="00D7572B"/>
    <w:rsid w:val="00D80385"/>
    <w:rsid w:val="00D8634E"/>
    <w:rsid w:val="00D86F17"/>
    <w:rsid w:val="00D87072"/>
    <w:rsid w:val="00D91954"/>
    <w:rsid w:val="00D94779"/>
    <w:rsid w:val="00D948AF"/>
    <w:rsid w:val="00D952A7"/>
    <w:rsid w:val="00D956BD"/>
    <w:rsid w:val="00D968E3"/>
    <w:rsid w:val="00D96FEE"/>
    <w:rsid w:val="00DA0190"/>
    <w:rsid w:val="00DA067F"/>
    <w:rsid w:val="00DA49E4"/>
    <w:rsid w:val="00DA7298"/>
    <w:rsid w:val="00DB0B99"/>
    <w:rsid w:val="00DB1521"/>
    <w:rsid w:val="00DB7D80"/>
    <w:rsid w:val="00DC152F"/>
    <w:rsid w:val="00DD0BFF"/>
    <w:rsid w:val="00DD197D"/>
    <w:rsid w:val="00DD2139"/>
    <w:rsid w:val="00DD56E7"/>
    <w:rsid w:val="00DD583F"/>
    <w:rsid w:val="00DE0B1F"/>
    <w:rsid w:val="00DE1498"/>
    <w:rsid w:val="00DE2A9C"/>
    <w:rsid w:val="00DE481B"/>
    <w:rsid w:val="00DE78EA"/>
    <w:rsid w:val="00DF267C"/>
    <w:rsid w:val="00DF35D0"/>
    <w:rsid w:val="00DF4C5B"/>
    <w:rsid w:val="00E018BA"/>
    <w:rsid w:val="00E02602"/>
    <w:rsid w:val="00E038BC"/>
    <w:rsid w:val="00E03D28"/>
    <w:rsid w:val="00E0410E"/>
    <w:rsid w:val="00E043D0"/>
    <w:rsid w:val="00E056EE"/>
    <w:rsid w:val="00E068B9"/>
    <w:rsid w:val="00E10131"/>
    <w:rsid w:val="00E10B7B"/>
    <w:rsid w:val="00E11885"/>
    <w:rsid w:val="00E1355E"/>
    <w:rsid w:val="00E141E9"/>
    <w:rsid w:val="00E1578C"/>
    <w:rsid w:val="00E16293"/>
    <w:rsid w:val="00E21E74"/>
    <w:rsid w:val="00E239D0"/>
    <w:rsid w:val="00E41199"/>
    <w:rsid w:val="00E44B31"/>
    <w:rsid w:val="00E44E24"/>
    <w:rsid w:val="00E50232"/>
    <w:rsid w:val="00E509D9"/>
    <w:rsid w:val="00E5457B"/>
    <w:rsid w:val="00E56F6C"/>
    <w:rsid w:val="00E61BA7"/>
    <w:rsid w:val="00E62B20"/>
    <w:rsid w:val="00E72119"/>
    <w:rsid w:val="00E72EE6"/>
    <w:rsid w:val="00E72FE7"/>
    <w:rsid w:val="00E75323"/>
    <w:rsid w:val="00E75967"/>
    <w:rsid w:val="00E80EC7"/>
    <w:rsid w:val="00E8280F"/>
    <w:rsid w:val="00E84B85"/>
    <w:rsid w:val="00E85E32"/>
    <w:rsid w:val="00E9043B"/>
    <w:rsid w:val="00E9099E"/>
    <w:rsid w:val="00E91125"/>
    <w:rsid w:val="00E97D38"/>
    <w:rsid w:val="00EA12A3"/>
    <w:rsid w:val="00EA141E"/>
    <w:rsid w:val="00EA67E9"/>
    <w:rsid w:val="00EA68DE"/>
    <w:rsid w:val="00EB0273"/>
    <w:rsid w:val="00EB1D38"/>
    <w:rsid w:val="00EB23CF"/>
    <w:rsid w:val="00EB3961"/>
    <w:rsid w:val="00EC1782"/>
    <w:rsid w:val="00EC28EA"/>
    <w:rsid w:val="00EC399B"/>
    <w:rsid w:val="00EC4363"/>
    <w:rsid w:val="00EC7624"/>
    <w:rsid w:val="00ED0D2B"/>
    <w:rsid w:val="00ED445C"/>
    <w:rsid w:val="00ED6348"/>
    <w:rsid w:val="00ED6FCB"/>
    <w:rsid w:val="00EE05FF"/>
    <w:rsid w:val="00EE1613"/>
    <w:rsid w:val="00EE6B18"/>
    <w:rsid w:val="00EF151B"/>
    <w:rsid w:val="00EF294D"/>
    <w:rsid w:val="00F0146C"/>
    <w:rsid w:val="00F01491"/>
    <w:rsid w:val="00F0244E"/>
    <w:rsid w:val="00F05A61"/>
    <w:rsid w:val="00F0658D"/>
    <w:rsid w:val="00F10967"/>
    <w:rsid w:val="00F116DF"/>
    <w:rsid w:val="00F12190"/>
    <w:rsid w:val="00F208AA"/>
    <w:rsid w:val="00F268BF"/>
    <w:rsid w:val="00F3091B"/>
    <w:rsid w:val="00F3136D"/>
    <w:rsid w:val="00F333E4"/>
    <w:rsid w:val="00F359BE"/>
    <w:rsid w:val="00F37B33"/>
    <w:rsid w:val="00F414ED"/>
    <w:rsid w:val="00F46436"/>
    <w:rsid w:val="00F51BD1"/>
    <w:rsid w:val="00F5222F"/>
    <w:rsid w:val="00F52E68"/>
    <w:rsid w:val="00F564EE"/>
    <w:rsid w:val="00F60A9B"/>
    <w:rsid w:val="00F637C5"/>
    <w:rsid w:val="00F709FC"/>
    <w:rsid w:val="00F72FCD"/>
    <w:rsid w:val="00F7495C"/>
    <w:rsid w:val="00F76CE9"/>
    <w:rsid w:val="00F776FA"/>
    <w:rsid w:val="00F80E1D"/>
    <w:rsid w:val="00F82E35"/>
    <w:rsid w:val="00F93B26"/>
    <w:rsid w:val="00F94056"/>
    <w:rsid w:val="00FB0A80"/>
    <w:rsid w:val="00FB1636"/>
    <w:rsid w:val="00FB4A44"/>
    <w:rsid w:val="00FB5BF6"/>
    <w:rsid w:val="00FC1297"/>
    <w:rsid w:val="00FC2A9B"/>
    <w:rsid w:val="00FC3185"/>
    <w:rsid w:val="00FC496D"/>
    <w:rsid w:val="00FC5E81"/>
    <w:rsid w:val="00FD09C4"/>
    <w:rsid w:val="00FD0BC8"/>
    <w:rsid w:val="00FD2B85"/>
    <w:rsid w:val="00FD3509"/>
    <w:rsid w:val="00FD4BCE"/>
    <w:rsid w:val="00FE436F"/>
    <w:rsid w:val="00FE495F"/>
    <w:rsid w:val="00FE6B83"/>
    <w:rsid w:val="00FE6BA8"/>
    <w:rsid w:val="00FE7D5D"/>
    <w:rsid w:val="00FF2074"/>
    <w:rsid w:val="00FF21C7"/>
    <w:rsid w:val="00FF3DD2"/>
    <w:rsid w:val="00FF3FAD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6B9E2"/>
  <w15:docId w15:val="{6F88F4D2-C6CF-4CAB-822E-8E88BF59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5BC0"/>
    <w:pPr>
      <w:spacing w:line="360" w:lineRule="atLeast"/>
      <w:jc w:val="both"/>
    </w:pPr>
    <w:rPr>
      <w:sz w:val="22"/>
      <w:szCs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CTD Kopfzeile,Car Car"/>
    <w:basedOn w:val="Normlny"/>
    <w:link w:val="HlavikaChar"/>
    <w:uiPriority w:val="99"/>
    <w:unhideWhenUsed/>
    <w:rsid w:val="00A91304"/>
    <w:pPr>
      <w:tabs>
        <w:tab w:val="center" w:pos="4252"/>
        <w:tab w:val="right" w:pos="8504"/>
      </w:tabs>
      <w:spacing w:line="240" w:lineRule="auto"/>
    </w:pPr>
  </w:style>
  <w:style w:type="character" w:customStyle="1" w:styleId="HlavikaChar">
    <w:name w:val="Hlavička Char"/>
    <w:aliases w:val="CTD Kopfzeile Char,Car Car Char"/>
    <w:basedOn w:val="Predvolenpsmoodseku"/>
    <w:link w:val="Hlavika"/>
    <w:uiPriority w:val="99"/>
    <w:rsid w:val="00A91304"/>
  </w:style>
  <w:style w:type="paragraph" w:styleId="Pta">
    <w:name w:val="footer"/>
    <w:basedOn w:val="Normlny"/>
    <w:link w:val="PtaChar"/>
    <w:unhideWhenUsed/>
    <w:rsid w:val="00A91304"/>
    <w:pPr>
      <w:tabs>
        <w:tab w:val="center" w:pos="4252"/>
        <w:tab w:val="right" w:pos="8504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91304"/>
  </w:style>
  <w:style w:type="paragraph" w:styleId="Textbubliny">
    <w:name w:val="Balloon Text"/>
    <w:basedOn w:val="Normlny"/>
    <w:link w:val="TextbublinyChar"/>
    <w:uiPriority w:val="99"/>
    <w:semiHidden/>
    <w:unhideWhenUsed/>
    <w:rsid w:val="00A913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1304"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  <w:rsid w:val="00A91304"/>
  </w:style>
  <w:style w:type="table" w:styleId="Mriekatabuky">
    <w:name w:val="Table Grid"/>
    <w:basedOn w:val="Normlnatabuka"/>
    <w:uiPriority w:val="59"/>
    <w:rsid w:val="00A913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basedOn w:val="Normlny"/>
    <w:uiPriority w:val="34"/>
    <w:qFormat/>
    <w:rsid w:val="00A91304"/>
    <w:pPr>
      <w:ind w:left="720"/>
      <w:contextualSpacing/>
    </w:pPr>
  </w:style>
  <w:style w:type="paragraph" w:styleId="Zkladntext3">
    <w:name w:val="Body Text 3"/>
    <w:basedOn w:val="Normlny"/>
    <w:link w:val="Zkladntext3Char"/>
    <w:rsid w:val="00D73001"/>
    <w:pPr>
      <w:tabs>
        <w:tab w:val="right" w:leader="dot" w:pos="-2410"/>
      </w:tabs>
      <w:spacing w:line="360" w:lineRule="auto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customStyle="1" w:styleId="Zkladntext3Char">
    <w:name w:val="Základný text 3 Char"/>
    <w:basedOn w:val="Predvolenpsmoodseku"/>
    <w:link w:val="Zkladntext3"/>
    <w:rsid w:val="00D73001"/>
    <w:rPr>
      <w:rFonts w:ascii="Times New Roman" w:eastAsia="Times New Roman" w:hAnsi="Times New Roman"/>
      <w:sz w:val="24"/>
      <w:lang w:val="es-ES_tradnl"/>
    </w:rPr>
  </w:style>
  <w:style w:type="paragraph" w:styleId="Zkladntext">
    <w:name w:val="Body Text"/>
    <w:basedOn w:val="Normlny"/>
    <w:link w:val="ZkladntextChar"/>
    <w:uiPriority w:val="99"/>
    <w:unhideWhenUsed/>
    <w:rsid w:val="00ED0D2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D0D2B"/>
    <w:rPr>
      <w:sz w:val="22"/>
      <w:szCs w:val="22"/>
      <w:lang w:eastAsia="en-US"/>
    </w:rPr>
  </w:style>
  <w:style w:type="paragraph" w:customStyle="1" w:styleId="Estilo1">
    <w:name w:val="Estilo1"/>
    <w:basedOn w:val="Normlny"/>
    <w:rsid w:val="00936C09"/>
    <w:pPr>
      <w:spacing w:line="360" w:lineRule="auto"/>
    </w:pPr>
    <w:rPr>
      <w:rFonts w:ascii="Times New Roman" w:eastAsia="Times New Roman" w:hAnsi="Times New Roman"/>
      <w:sz w:val="24"/>
      <w:szCs w:val="20"/>
      <w:lang w:eastAsia="es-ES"/>
    </w:rPr>
  </w:style>
  <w:style w:type="paragraph" w:customStyle="1" w:styleId="Cuerpotexto">
    <w:name w:val="Cuerpo texto"/>
    <w:basedOn w:val="Normlny"/>
    <w:rsid w:val="00936C09"/>
    <w:pPr>
      <w:spacing w:line="240" w:lineRule="auto"/>
      <w:ind w:left="567" w:right="85"/>
    </w:pPr>
    <w:rPr>
      <w:rFonts w:ascii="Times New Roman" w:eastAsia="Times New Roman" w:hAnsi="Times New Roman"/>
      <w:color w:val="000000"/>
      <w:kern w:val="24"/>
      <w:sz w:val="24"/>
      <w:szCs w:val="20"/>
      <w:lang w:val="es-ES_tradnl" w:eastAsia="es-ES"/>
    </w:rPr>
  </w:style>
  <w:style w:type="character" w:styleId="Siln">
    <w:name w:val="Strong"/>
    <w:basedOn w:val="Predvolenpsmoodseku"/>
    <w:uiPriority w:val="22"/>
    <w:qFormat/>
    <w:rsid w:val="00FF3FAD"/>
    <w:rPr>
      <w:b/>
      <w:bCs/>
    </w:rPr>
  </w:style>
  <w:style w:type="character" w:customStyle="1" w:styleId="apple-converted-space">
    <w:name w:val="apple-converted-space"/>
    <w:basedOn w:val="Predvolenpsmoodseku"/>
    <w:rsid w:val="00FF3FAD"/>
  </w:style>
  <w:style w:type="paragraph" w:styleId="Oznaitext">
    <w:name w:val="Block Text"/>
    <w:basedOn w:val="Normlny"/>
    <w:rsid w:val="00D94779"/>
    <w:pPr>
      <w:spacing w:line="240" w:lineRule="auto"/>
      <w:ind w:left="601" w:right="-896" w:hanging="601"/>
      <w:jc w:val="left"/>
    </w:pPr>
    <w:rPr>
      <w:rFonts w:ascii="Times New Roman" w:eastAsia="Times New Roman" w:hAnsi="Times New Roman"/>
      <w:sz w:val="24"/>
      <w:szCs w:val="20"/>
      <w:lang w:eastAsia="es-ES"/>
    </w:rPr>
  </w:style>
  <w:style w:type="paragraph" w:styleId="Nzov">
    <w:name w:val="Title"/>
    <w:basedOn w:val="Normlny"/>
    <w:link w:val="NzovChar"/>
    <w:qFormat/>
    <w:rsid w:val="00EC28EA"/>
    <w:pPr>
      <w:tabs>
        <w:tab w:val="left" w:pos="340"/>
      </w:tabs>
      <w:ind w:left="340" w:hanging="340"/>
      <w:jc w:val="left"/>
    </w:pPr>
    <w:rPr>
      <w:rFonts w:eastAsia="Times New Roman"/>
      <w:b/>
      <w:sz w:val="32"/>
      <w:szCs w:val="20"/>
      <w:lang w:val="en-US"/>
    </w:rPr>
  </w:style>
  <w:style w:type="character" w:customStyle="1" w:styleId="NzovChar">
    <w:name w:val="Názov Char"/>
    <w:basedOn w:val="Predvolenpsmoodseku"/>
    <w:link w:val="Nzov"/>
    <w:rsid w:val="00EC28EA"/>
    <w:rPr>
      <w:rFonts w:eastAsia="Times New Roman"/>
      <w:b/>
      <w:sz w:val="32"/>
      <w:lang w:val="en-US" w:eastAsia="en-US"/>
    </w:rPr>
  </w:style>
  <w:style w:type="character" w:styleId="Hypertextovprepojenie">
    <w:name w:val="Hyperlink"/>
    <w:basedOn w:val="Predvolenpsmoodseku"/>
    <w:uiPriority w:val="99"/>
    <w:unhideWhenUsed/>
    <w:rsid w:val="005E559C"/>
    <w:rPr>
      <w:color w:val="0000FF" w:themeColor="hyperlink"/>
      <w:u w:val="single"/>
    </w:rPr>
  </w:style>
  <w:style w:type="character" w:customStyle="1" w:styleId="shorttext">
    <w:name w:val="short_text"/>
    <w:basedOn w:val="Predvolenpsmoodseku"/>
    <w:rsid w:val="009333E8"/>
  </w:style>
  <w:style w:type="character" w:customStyle="1" w:styleId="hps">
    <w:name w:val="hps"/>
    <w:basedOn w:val="Predvolenpsmoodseku"/>
    <w:rsid w:val="009333E8"/>
  </w:style>
  <w:style w:type="character" w:styleId="Odkaznakomentr">
    <w:name w:val="annotation reference"/>
    <w:basedOn w:val="Predvolenpsmoodseku"/>
    <w:uiPriority w:val="99"/>
    <w:semiHidden/>
    <w:unhideWhenUsed/>
    <w:rsid w:val="001D0D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D0DF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D0DF1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0D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0DF1"/>
    <w:rPr>
      <w:b/>
      <w:bCs/>
      <w:lang w:val="en-GB" w:eastAsia="en-US"/>
    </w:rPr>
  </w:style>
  <w:style w:type="paragraph" w:styleId="Revzia">
    <w:name w:val="Revision"/>
    <w:hidden/>
    <w:uiPriority w:val="99"/>
    <w:semiHidden/>
    <w:rsid w:val="00096033"/>
    <w:rPr>
      <w:sz w:val="22"/>
      <w:szCs w:val="22"/>
      <w:lang w:val="en-GB" w:eastAsia="en-US"/>
    </w:rPr>
  </w:style>
  <w:style w:type="character" w:customStyle="1" w:styleId="st">
    <w:name w:val="st"/>
    <w:basedOn w:val="Predvolenpsmoodseku"/>
    <w:rsid w:val="00FC5E81"/>
  </w:style>
  <w:style w:type="character" w:styleId="Zvraznenie">
    <w:name w:val="Emphasis"/>
    <w:basedOn w:val="Predvolenpsmoodseku"/>
    <w:uiPriority w:val="20"/>
    <w:qFormat/>
    <w:rsid w:val="00FC5E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/docs/en_GB/document_library/Template_or_form/2013/03/WC500139752.doc" TargetMode="Externa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67490-C605-441E-BED4-A3EE2A6C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16</Pages>
  <Words>5858</Words>
  <Characters>33392</Characters>
  <Application>Microsoft Office Word</Application>
  <DocSecurity>0</DocSecurity>
  <Lines>278</Lines>
  <Paragraphs>78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Farmalider</Company>
  <LinksUpToDate>false</LinksUpToDate>
  <CharactersWithSpaces>39172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Petriková, Miroslava</cp:lastModifiedBy>
  <cp:revision>409</cp:revision>
  <cp:lastPrinted>2018-08-08T11:31:00Z</cp:lastPrinted>
  <dcterms:created xsi:type="dcterms:W3CDTF">2018-10-09T09:25:00Z</dcterms:created>
  <dcterms:modified xsi:type="dcterms:W3CDTF">2019-02-19T12:40:00Z</dcterms:modified>
</cp:coreProperties>
</file>