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11095" w14:textId="77777777" w:rsidR="00784CAA" w:rsidRPr="00A933E2" w:rsidRDefault="00784CAA" w:rsidP="005D328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bookmarkStart w:id="0" w:name="_GoBack"/>
      <w:bookmarkEnd w:id="0"/>
    </w:p>
    <w:p w14:paraId="28A5F7AD" w14:textId="77777777" w:rsidR="005D3283" w:rsidRPr="00DE7BD8" w:rsidRDefault="005D3283" w:rsidP="005D328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DE7BD8">
        <w:rPr>
          <w:rFonts w:ascii="Times New Roman" w:eastAsia="Times New Roman" w:hAnsi="Times New Roman" w:cs="Times New Roman"/>
          <w:b/>
          <w:lang w:eastAsia="sk-SK" w:bidi="sk-SK"/>
        </w:rPr>
        <w:t>SÚHRN CHARAKTERISTICKÝCH VLASTNOSTÍ LIEKU</w:t>
      </w:r>
    </w:p>
    <w:p w14:paraId="021B6FA2" w14:textId="77777777" w:rsidR="005D3283" w:rsidRDefault="005D3283" w:rsidP="005D3283">
      <w:pPr>
        <w:keepNext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94CC59A" w14:textId="77777777" w:rsidR="00A933E2" w:rsidRPr="00A933E2" w:rsidRDefault="00A933E2" w:rsidP="005D3283">
      <w:pPr>
        <w:keepNext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1964DC6" w14:textId="77777777" w:rsidR="005D3283" w:rsidRPr="00DE7BD8" w:rsidRDefault="005D3283" w:rsidP="005D3283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E7BD8">
        <w:rPr>
          <w:rFonts w:ascii="Times New Roman" w:eastAsia="Times New Roman" w:hAnsi="Times New Roman" w:cs="Times New Roman"/>
          <w:b/>
          <w:lang w:eastAsia="sk-SK" w:bidi="sk-SK"/>
        </w:rPr>
        <w:t>NÁZOV LIEKU</w:t>
      </w:r>
    </w:p>
    <w:p w14:paraId="2E32A06A" w14:textId="77777777" w:rsidR="005D3283" w:rsidRPr="00DE7BD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740DA3F" w14:textId="77777777" w:rsidR="0027069F" w:rsidRPr="00E35E38" w:rsidRDefault="00C50E87" w:rsidP="0064671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E7BD8">
        <w:rPr>
          <w:rFonts w:ascii="Times New Roman" w:hAnsi="Times New Roman" w:cs="Times New Roman"/>
        </w:rPr>
        <w:t>Aprilene </w:t>
      </w:r>
      <w:r w:rsidRPr="00E35E38">
        <w:rPr>
          <w:rFonts w:ascii="Times New Roman" w:hAnsi="Times New Roman" w:cs="Times New Roman"/>
        </w:rPr>
        <w:t>125 mg</w:t>
      </w:r>
    </w:p>
    <w:p w14:paraId="3E0197A0" w14:textId="77777777" w:rsidR="0027069F" w:rsidRPr="00CF6EC9" w:rsidRDefault="00C50E87" w:rsidP="005D328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E7BD8">
        <w:rPr>
          <w:rFonts w:ascii="Times New Roman" w:hAnsi="Times New Roman" w:cs="Times New Roman"/>
        </w:rPr>
        <w:t>Aprilene 80 mg</w:t>
      </w:r>
    </w:p>
    <w:p w14:paraId="5E22AED0" w14:textId="77777777" w:rsidR="00C50E87" w:rsidRPr="00E35E38" w:rsidRDefault="00C50E87" w:rsidP="005D328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F6EC9">
        <w:rPr>
          <w:rFonts w:ascii="Times New Roman" w:hAnsi="Times New Roman" w:cs="Times New Roman"/>
        </w:rPr>
        <w:t>Aprilene </w:t>
      </w:r>
      <w:r w:rsidRPr="00E35E38">
        <w:rPr>
          <w:rFonts w:ascii="Times New Roman" w:hAnsi="Times New Roman" w:cs="Times New Roman"/>
        </w:rPr>
        <w:t>80 mg a </w:t>
      </w:r>
      <w:r w:rsidRPr="00DE7BD8">
        <w:rPr>
          <w:rFonts w:ascii="Times New Roman" w:hAnsi="Times New Roman" w:cs="Times New Roman"/>
        </w:rPr>
        <w:t>Aprilene </w:t>
      </w:r>
      <w:r w:rsidRPr="00E35E38">
        <w:rPr>
          <w:rFonts w:ascii="Times New Roman" w:hAnsi="Times New Roman" w:cs="Times New Roman"/>
        </w:rPr>
        <w:t>125 mg</w:t>
      </w:r>
    </w:p>
    <w:p w14:paraId="73994BA8" w14:textId="77777777" w:rsidR="005D3283" w:rsidRPr="00DE7BD8" w:rsidRDefault="00C50E87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hAnsi="Times New Roman" w:cs="Times New Roman"/>
        </w:rPr>
        <w:t>tvrdé kapsuly</w:t>
      </w:r>
    </w:p>
    <w:p w14:paraId="5AF87406" w14:textId="77777777" w:rsidR="005D3283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887FE19" w14:textId="77777777" w:rsidR="00CF6EC9" w:rsidRPr="00CF6EC9" w:rsidRDefault="00CF6EC9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42BB87B" w14:textId="77777777" w:rsidR="005D3283" w:rsidRPr="00E35E38" w:rsidRDefault="005D3283" w:rsidP="0027069F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KVALITATÍVNE A</w:t>
      </w:r>
      <w:r w:rsidRPr="00E35E38">
        <w:rPr>
          <w:rFonts w:ascii="Times New Roman" w:eastAsia="Times New Roman" w:hAnsi="Times New Roman" w:cs="Times New Roman"/>
          <w:b/>
          <w:lang w:eastAsia="sk-SK" w:bidi="sk-SK"/>
        </w:rPr>
        <w:t> KVANTITATÍVNE ZLOŽENIE</w:t>
      </w:r>
    </w:p>
    <w:p w14:paraId="7C5137BF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2D49E42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Každá 125</w:t>
      </w:r>
      <w:r w:rsidR="00C50E87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kapsula obsahuje 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aprepitantu. Každá 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kapsula obsahuje 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aprepitantu.</w:t>
      </w:r>
    </w:p>
    <w:p w14:paraId="41C83E31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A06AD13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Pomocná látka so</w:t>
      </w:r>
      <w:r w:rsidR="008B0436"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známym účinkom</w:t>
      </w:r>
    </w:p>
    <w:p w14:paraId="2D2A927D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Každá kapsula obsahuje 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sacharózy (v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kapsule).</w:t>
      </w:r>
    </w:p>
    <w:p w14:paraId="55427E0E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Pomocná látka so</w:t>
      </w:r>
      <w:r w:rsidR="008B0436"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známym účinkom</w:t>
      </w:r>
    </w:p>
    <w:p w14:paraId="72EAC536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Každá kapsula obsahuje 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sacharózy (v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kapsule).</w:t>
      </w:r>
    </w:p>
    <w:p w14:paraId="339C9890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9958E2D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Úplný zoznam pomocných látok, pozri 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časť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6.1.</w:t>
      </w:r>
    </w:p>
    <w:p w14:paraId="197C213A" w14:textId="77777777" w:rsidR="005D3283" w:rsidRPr="00E35E38" w:rsidRDefault="005D3283" w:rsidP="005D328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A136F7C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6A8B179" w14:textId="77777777" w:rsidR="005D3283" w:rsidRPr="00E35E38" w:rsidRDefault="005D3283" w:rsidP="009C7F25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aps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LIEKOVÁ FORMA</w:t>
      </w:r>
    </w:p>
    <w:p w14:paraId="70AD6F75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899C90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Tvrdá kapsula.</w:t>
      </w:r>
    </w:p>
    <w:p w14:paraId="4EC2C0C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206A6FF5" w14:textId="5D928143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kapsula je kapsula veľkos</w:t>
      </w:r>
      <w:r w:rsidR="005640A6">
        <w:rPr>
          <w:rFonts w:ascii="Times New Roman" w:eastAsia="Times New Roman" w:hAnsi="Times New Roman" w:cs="Times New Roman"/>
          <w:lang w:eastAsia="sk-SK" w:bidi="sk-SK"/>
        </w:rPr>
        <w:t>ti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a má nepriehľadn</w:t>
      </w:r>
      <w:r w:rsidR="005640A6">
        <w:rPr>
          <w:rFonts w:ascii="Times New Roman" w:eastAsia="Times New Roman" w:hAnsi="Times New Roman" w:cs="Times New Roman"/>
          <w:lang w:eastAsia="sk-SK" w:bidi="sk-SK"/>
        </w:rPr>
        <w:t>ý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ružov</w:t>
      </w:r>
      <w:r w:rsidR="005640A6">
        <w:rPr>
          <w:rFonts w:ascii="Times New Roman" w:eastAsia="Times New Roman" w:hAnsi="Times New Roman" w:cs="Times New Roman"/>
          <w:lang w:eastAsia="sk-SK" w:bidi="sk-SK"/>
        </w:rPr>
        <w:t>ý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5640A6">
        <w:rPr>
          <w:rFonts w:ascii="Times New Roman" w:eastAsia="Times New Roman" w:hAnsi="Times New Roman" w:cs="Times New Roman"/>
          <w:lang w:eastAsia="sk-SK" w:bidi="sk-SK"/>
        </w:rPr>
        <w:t>vrchnák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 nepriehľadné biele telo s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745935">
        <w:rPr>
          <w:rFonts w:ascii="Times New Roman" w:eastAsia="Times New Roman" w:hAnsi="Times New Roman" w:cs="Times New Roman"/>
          <w:lang w:eastAsia="sk-SK" w:bidi="sk-SK"/>
        </w:rPr>
        <w:t>označením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745935">
        <w:rPr>
          <w:rFonts w:ascii="Times New Roman" w:eastAsia="Times New Roman" w:hAnsi="Times New Roman" w:cs="Times New Roman"/>
          <w:lang w:eastAsia="sk-SK" w:bidi="sk-SK"/>
        </w:rPr>
        <w:t>„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745935">
        <w:rPr>
          <w:rFonts w:ascii="Times New Roman" w:eastAsia="Times New Roman" w:hAnsi="Times New Roman" w:cs="Times New Roman"/>
          <w:lang w:eastAsia="sk-SK" w:bidi="sk-SK"/>
        </w:rPr>
        <w:t>“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036CAA">
        <w:rPr>
          <w:rFonts w:ascii="Times New Roman" w:eastAsia="Times New Roman" w:hAnsi="Times New Roman" w:cs="Times New Roman"/>
          <w:lang w:eastAsia="sk-SK" w:bidi="sk-SK"/>
        </w:rPr>
        <w:t xml:space="preserve">vytlačeným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čiern</w:t>
      </w:r>
      <w:r w:rsidR="00745935">
        <w:rPr>
          <w:rFonts w:ascii="Times New Roman" w:eastAsia="Times New Roman" w:hAnsi="Times New Roman" w:cs="Times New Roman"/>
          <w:lang w:eastAsia="sk-SK" w:bidi="sk-SK"/>
        </w:rPr>
        <w:t>ym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atrament</w:t>
      </w:r>
      <w:r w:rsidR="00745935">
        <w:rPr>
          <w:rFonts w:ascii="Times New Roman" w:eastAsia="Times New Roman" w:hAnsi="Times New Roman" w:cs="Times New Roman"/>
          <w:lang w:eastAsia="sk-SK" w:bidi="sk-SK"/>
        </w:rPr>
        <w:t>om</w:t>
      </w:r>
      <w:r w:rsidRPr="00E35E38">
        <w:rPr>
          <w:rFonts w:ascii="Times New Roman" w:eastAsia="Times New Roman" w:hAnsi="Times New Roman" w:cs="Times New Roman"/>
          <w:lang w:eastAsia="sk-SK" w:bidi="sk-SK"/>
        </w:rPr>
        <w:t>.</w:t>
      </w:r>
    </w:p>
    <w:p w14:paraId="2E55BF6E" w14:textId="4DCB7B2A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kapsula je kapsula veľkos</w:t>
      </w:r>
      <w:r w:rsidR="005640A6">
        <w:rPr>
          <w:rFonts w:ascii="Times New Roman" w:eastAsia="Times New Roman" w:hAnsi="Times New Roman" w:cs="Times New Roman"/>
          <w:lang w:eastAsia="sk-SK" w:bidi="sk-SK"/>
        </w:rPr>
        <w:t>ti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 a má nepriehľadn</w:t>
      </w:r>
      <w:r w:rsidR="005640A6">
        <w:rPr>
          <w:rFonts w:ascii="Times New Roman" w:eastAsia="Times New Roman" w:hAnsi="Times New Roman" w:cs="Times New Roman"/>
          <w:lang w:eastAsia="sk-SK" w:bidi="sk-SK"/>
        </w:rPr>
        <w:t>ý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biel</w:t>
      </w:r>
      <w:r w:rsidR="005640A6">
        <w:rPr>
          <w:rFonts w:ascii="Times New Roman" w:eastAsia="Times New Roman" w:hAnsi="Times New Roman" w:cs="Times New Roman"/>
          <w:lang w:eastAsia="sk-SK" w:bidi="sk-SK"/>
        </w:rPr>
        <w:t>y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5640A6">
        <w:rPr>
          <w:rFonts w:ascii="Times New Roman" w:eastAsia="Times New Roman" w:hAnsi="Times New Roman" w:cs="Times New Roman"/>
          <w:lang w:eastAsia="sk-SK" w:bidi="sk-SK"/>
        </w:rPr>
        <w:t>rchnák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 nepriehľadné biele telo s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745935">
        <w:rPr>
          <w:rFonts w:ascii="Times New Roman" w:eastAsia="Times New Roman" w:hAnsi="Times New Roman" w:cs="Times New Roman"/>
          <w:lang w:eastAsia="sk-SK" w:bidi="sk-SK"/>
        </w:rPr>
        <w:t>označením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745935">
        <w:rPr>
          <w:rFonts w:ascii="Times New Roman" w:eastAsia="Times New Roman" w:hAnsi="Times New Roman" w:cs="Times New Roman"/>
          <w:lang w:eastAsia="sk-SK" w:bidi="sk-SK"/>
        </w:rPr>
        <w:t>„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745935">
        <w:rPr>
          <w:rFonts w:ascii="Times New Roman" w:eastAsia="Times New Roman" w:hAnsi="Times New Roman" w:cs="Times New Roman"/>
          <w:lang w:eastAsia="sk-SK" w:bidi="sk-SK"/>
        </w:rPr>
        <w:t>“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036CAA">
        <w:rPr>
          <w:rFonts w:ascii="Times New Roman" w:eastAsia="Times New Roman" w:hAnsi="Times New Roman" w:cs="Times New Roman"/>
          <w:lang w:eastAsia="sk-SK" w:bidi="sk-SK"/>
        </w:rPr>
        <w:t xml:space="preserve">vytlačeným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čiern</w:t>
      </w:r>
      <w:r w:rsidR="00745935">
        <w:rPr>
          <w:rFonts w:ascii="Times New Roman" w:eastAsia="Times New Roman" w:hAnsi="Times New Roman" w:cs="Times New Roman"/>
          <w:lang w:eastAsia="sk-SK" w:bidi="sk-SK"/>
        </w:rPr>
        <w:t>ym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atrament</w:t>
      </w:r>
      <w:r w:rsidR="00745935">
        <w:rPr>
          <w:rFonts w:ascii="Times New Roman" w:eastAsia="Times New Roman" w:hAnsi="Times New Roman" w:cs="Times New Roman"/>
          <w:lang w:eastAsia="sk-SK" w:bidi="sk-SK"/>
        </w:rPr>
        <w:t>om</w:t>
      </w:r>
      <w:r w:rsidRPr="00E35E38">
        <w:rPr>
          <w:rFonts w:ascii="Times New Roman" w:eastAsia="Times New Roman" w:hAnsi="Times New Roman" w:cs="Times New Roman"/>
          <w:lang w:eastAsia="sk-SK" w:bidi="sk-SK"/>
        </w:rPr>
        <w:t>.</w:t>
      </w:r>
    </w:p>
    <w:p w14:paraId="2A9DA5FF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CF5E29A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0032C47" w14:textId="77777777" w:rsidR="005D3283" w:rsidRPr="00E35E38" w:rsidRDefault="005D3283" w:rsidP="009C7F25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aps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KLINICKÉ ÚDAJE</w:t>
      </w:r>
    </w:p>
    <w:p w14:paraId="14C65CDD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8E53F30" w14:textId="77777777" w:rsidR="005D3283" w:rsidRPr="00E35E38" w:rsidRDefault="005D3283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Terapeutické indikácie</w:t>
      </w:r>
    </w:p>
    <w:p w14:paraId="2DB5DEE1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534360B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Prevencia nevoľnosti a vracania, ktoré sú spojené s vysoko a stredne emetogénnou chemoterapiou u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dospelých a dospievajúcich vo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od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12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rokov.</w:t>
      </w:r>
    </w:p>
    <w:p w14:paraId="2F0A0D1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2FA4F952" w14:textId="77777777" w:rsidR="005D3283" w:rsidRPr="00E35E38" w:rsidRDefault="008B0436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D04F2">
        <w:rPr>
          <w:rFonts w:ascii="Times New Roman" w:eastAsia="Times New Roman" w:hAnsi="Times New Roman" w:cs="Times New Roman"/>
          <w:lang w:eastAsia="sk-SK" w:bidi="sk-SK"/>
        </w:rPr>
        <w:t>Aprilene </w:t>
      </w:r>
      <w:r w:rsidR="005D3283" w:rsidRPr="00ED04F2">
        <w:rPr>
          <w:rFonts w:ascii="Times New Roman" w:eastAsia="Times New Roman" w:hAnsi="Times New Roman" w:cs="Times New Roman"/>
          <w:lang w:eastAsia="sk-SK" w:bidi="sk-SK"/>
        </w:rPr>
        <w:t>125</w:t>
      </w:r>
      <w:r w:rsidRPr="00ED04F2">
        <w:rPr>
          <w:rFonts w:ascii="Times New Roman" w:eastAsia="Times New Roman" w:hAnsi="Times New Roman" w:cs="Times New Roman"/>
          <w:lang w:eastAsia="sk-SK" w:bidi="sk-SK"/>
        </w:rPr>
        <w:t> </w:t>
      </w:r>
      <w:r w:rsidR="005D3283" w:rsidRPr="00ED04F2">
        <w:rPr>
          <w:rFonts w:ascii="Times New Roman" w:eastAsia="Times New Roman" w:hAnsi="Times New Roman" w:cs="Times New Roman"/>
          <w:lang w:eastAsia="sk-SK" w:bidi="sk-SK"/>
        </w:rPr>
        <w:t>mg/80</w:t>
      </w:r>
      <w:r w:rsidRPr="00ED04F2">
        <w:rPr>
          <w:rFonts w:ascii="Times New Roman" w:eastAsia="Times New Roman" w:hAnsi="Times New Roman" w:cs="Times New Roman"/>
          <w:lang w:eastAsia="sk-SK" w:bidi="sk-SK"/>
        </w:rPr>
        <w:t> </w:t>
      </w:r>
      <w:r w:rsidR="005D3283" w:rsidRPr="00ED04F2">
        <w:rPr>
          <w:rFonts w:ascii="Times New Roman" w:eastAsia="Times New Roman" w:hAnsi="Times New Roman" w:cs="Times New Roman"/>
          <w:lang w:eastAsia="sk-SK" w:bidi="sk-SK"/>
        </w:rPr>
        <w:t>mg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 xml:space="preserve"> sa podáva ako súčasť kombinovanej terapie (pozri časť</w:t>
      </w:r>
      <w:r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4.2).</w:t>
      </w:r>
    </w:p>
    <w:p w14:paraId="66FD8555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6F0FB77" w14:textId="77777777" w:rsidR="005D3283" w:rsidRPr="00E35E38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Dávkovanie a spôsob podávania</w:t>
      </w:r>
    </w:p>
    <w:p w14:paraId="05EBBD7B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FD0C278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Dávkovanie</w:t>
      </w:r>
    </w:p>
    <w:p w14:paraId="46C14491" w14:textId="77777777" w:rsidR="008B0436" w:rsidRPr="00E35E38" w:rsidRDefault="008B0436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</w:p>
    <w:p w14:paraId="7F7059BF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Dospelí</w:t>
      </w:r>
    </w:p>
    <w:p w14:paraId="142FE3E2" w14:textId="77777777" w:rsidR="008B0436" w:rsidRPr="00E35E38" w:rsidRDefault="008B0436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</w:p>
    <w:p w14:paraId="0C46135F" w14:textId="77777777" w:rsidR="005D3283" w:rsidRPr="00E35E38" w:rsidRDefault="008B0436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Aprilene</w:t>
      </w:r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="005D3283" w:rsidRPr="00E35E38">
        <w:rPr>
          <w:rFonts w:ascii="Times New Roman" w:eastAsia="SimSun" w:hAnsi="Times New Roman" w:cs="Times New Roman"/>
          <w:lang w:eastAsia="fr-FR"/>
        </w:rPr>
        <w:t>sa podáva 3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dni ako súčasť terapeutického režimu, ktorý zahŕňa kortikosteroid a antagonistu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5-HT</w:t>
      </w:r>
      <w:r w:rsidR="005D3283"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="005D3283" w:rsidRPr="00E35E38">
        <w:rPr>
          <w:rFonts w:ascii="Times New Roman" w:eastAsia="SimSun" w:hAnsi="Times New Roman" w:cs="Times New Roman"/>
          <w:lang w:eastAsia="fr-FR"/>
        </w:rPr>
        <w:t>. Odporúčaná dávka je 125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mg perorálne raz denne jednu hodinu pred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začiatkom chemoterapie v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 1 a 80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mg perorálne raz denne v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dňoch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2 a 3 ráno.</w:t>
      </w:r>
    </w:p>
    <w:p w14:paraId="7761D4D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F2E1D5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>N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prevenciu nevoľnosti a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vracania, ktoré sú spojené s</w:t>
      </w:r>
      <w:r w:rsidR="008B0436"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emetogénnou chemoterapio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r w:rsidR="00ED04F2">
        <w:rPr>
          <w:rFonts w:ascii="Times New Roman" w:eastAsia="SimSun" w:hAnsi="Times New Roman" w:cs="Times New Roman"/>
          <w:spacing w:val="-1"/>
          <w:lang w:eastAsia="fr-FR"/>
        </w:rPr>
        <w:t xml:space="preserve"> proti rakovine</w:t>
      </w:r>
      <w:r w:rsidRPr="00E35E38">
        <w:rPr>
          <w:rFonts w:ascii="Times New Roman" w:eastAsia="SimSun" w:hAnsi="Times New Roman" w:cs="Times New Roman"/>
          <w:lang w:eastAsia="fr-FR"/>
        </w:rPr>
        <w:t>,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="00EC461B" w:rsidRPr="00E35E38">
        <w:rPr>
          <w:rFonts w:ascii="Times New Roman" w:eastAsia="SimSun" w:hAnsi="Times New Roman" w:cs="Times New Roman"/>
          <w:lang w:eastAsia="fr-FR"/>
        </w:rPr>
        <w:t>s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dospelýc</w:t>
      </w:r>
      <w:r w:rsidRPr="00E35E38">
        <w:rPr>
          <w:rFonts w:ascii="Times New Roman" w:eastAsia="SimSun" w:hAnsi="Times New Roman" w:cs="Times New Roman"/>
          <w:lang w:eastAsia="fr-FR"/>
        </w:rPr>
        <w:t>h odporúč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j</w:t>
      </w:r>
      <w:r w:rsidRPr="00E35E38">
        <w:rPr>
          <w:rFonts w:ascii="Times New Roman" w:eastAsia="SimSun" w:hAnsi="Times New Roman" w:cs="Times New Roman"/>
          <w:lang w:eastAsia="fr-FR"/>
        </w:rPr>
        <w:t>ú</w:t>
      </w:r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nasledujúce</w:t>
      </w:r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režim</w:t>
      </w:r>
      <w:r w:rsidRPr="00E35E38">
        <w:rPr>
          <w:rFonts w:ascii="Times New Roman" w:eastAsia="SimSun" w:hAnsi="Times New Roman" w:cs="Times New Roman"/>
          <w:spacing w:val="-3"/>
          <w:lang w:eastAsia="fr-FR"/>
        </w:rPr>
        <w:t>y</w:t>
      </w:r>
      <w:r w:rsidRPr="00E35E38">
        <w:rPr>
          <w:rFonts w:ascii="Times New Roman" w:eastAsia="SimSun" w:hAnsi="Times New Roman" w:cs="Times New Roman"/>
          <w:lang w:eastAsia="fr-FR"/>
        </w:rPr>
        <w:t>:</w:t>
      </w:r>
    </w:p>
    <w:p w14:paraId="272823C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9F0E09B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Režim pri</w:t>
      </w:r>
      <w:r w:rsidR="008B0436" w:rsidRPr="00E35E38">
        <w:rPr>
          <w:rFonts w:ascii="Times New Roman" w:eastAsia="SimSun" w:hAnsi="Times New Roman" w:cs="Times New Roman"/>
          <w:i/>
          <w:iCs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vysoko emetogénnej chemoterapii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0"/>
        <w:gridCol w:w="1848"/>
        <w:gridCol w:w="1838"/>
        <w:gridCol w:w="1836"/>
        <w:gridCol w:w="1768"/>
      </w:tblGrid>
      <w:tr w:rsidR="005D3283" w:rsidRPr="00E35E38" w14:paraId="1667C981" w14:textId="77777777" w:rsidTr="00C50E87">
        <w:trPr>
          <w:trHeight w:hRule="exact" w:val="264"/>
        </w:trPr>
        <w:tc>
          <w:tcPr>
            <w:tcW w:w="1819" w:type="dxa"/>
          </w:tcPr>
          <w:p w14:paraId="38E5824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1877" w:type="dxa"/>
          </w:tcPr>
          <w:p w14:paraId="57C4EF0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1</w:t>
            </w:r>
          </w:p>
        </w:tc>
        <w:tc>
          <w:tcPr>
            <w:tcW w:w="1867" w:type="dxa"/>
          </w:tcPr>
          <w:p w14:paraId="3912FA0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2</w:t>
            </w:r>
          </w:p>
        </w:tc>
        <w:tc>
          <w:tcPr>
            <w:tcW w:w="1865" w:type="dxa"/>
          </w:tcPr>
          <w:p w14:paraId="280F66A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3</w:t>
            </w:r>
          </w:p>
        </w:tc>
        <w:tc>
          <w:tcPr>
            <w:tcW w:w="1796" w:type="dxa"/>
          </w:tcPr>
          <w:p w14:paraId="71E26C7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4</w:t>
            </w:r>
          </w:p>
        </w:tc>
      </w:tr>
      <w:tr w:rsidR="005D3283" w:rsidRPr="00E35E38" w14:paraId="27679AB7" w14:textId="77777777" w:rsidTr="00C50E87">
        <w:trPr>
          <w:trHeight w:hRule="exact" w:val="262"/>
        </w:trPr>
        <w:tc>
          <w:tcPr>
            <w:tcW w:w="1819" w:type="dxa"/>
          </w:tcPr>
          <w:p w14:paraId="26AA1D3A" w14:textId="77777777" w:rsidR="005D3283" w:rsidRPr="00E35E38" w:rsidRDefault="008B0436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prepitant</w:t>
            </w:r>
          </w:p>
        </w:tc>
        <w:tc>
          <w:tcPr>
            <w:tcW w:w="1877" w:type="dxa"/>
          </w:tcPr>
          <w:p w14:paraId="672FF8D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125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867" w:type="dxa"/>
          </w:tcPr>
          <w:p w14:paraId="366AF20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80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865" w:type="dxa"/>
          </w:tcPr>
          <w:p w14:paraId="3FD2E14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80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796" w:type="dxa"/>
          </w:tcPr>
          <w:p w14:paraId="18198DF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</w:tr>
      <w:tr w:rsidR="005D3283" w:rsidRPr="00E35E38" w14:paraId="6C311D2F" w14:textId="77777777" w:rsidTr="00C50E87">
        <w:trPr>
          <w:trHeight w:hRule="exact" w:val="264"/>
        </w:trPr>
        <w:tc>
          <w:tcPr>
            <w:tcW w:w="1819" w:type="dxa"/>
          </w:tcPr>
          <w:p w14:paraId="4CA7267C" w14:textId="77777777" w:rsidR="005D3283" w:rsidRPr="00E35E38" w:rsidRDefault="008B0436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exametazón</w:t>
            </w:r>
          </w:p>
        </w:tc>
        <w:tc>
          <w:tcPr>
            <w:tcW w:w="1877" w:type="dxa"/>
          </w:tcPr>
          <w:p w14:paraId="437C523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12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867" w:type="dxa"/>
          </w:tcPr>
          <w:p w14:paraId="136BDD4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865" w:type="dxa"/>
          </w:tcPr>
          <w:p w14:paraId="2C14D4F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796" w:type="dxa"/>
          </w:tcPr>
          <w:p w14:paraId="363A0DD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</w:tr>
      <w:tr w:rsidR="005D3283" w:rsidRPr="00E35E38" w14:paraId="0EF6AB11" w14:textId="77777777" w:rsidTr="00C50E87">
        <w:trPr>
          <w:trHeight w:hRule="exact" w:val="2660"/>
        </w:trPr>
        <w:tc>
          <w:tcPr>
            <w:tcW w:w="1819" w:type="dxa"/>
          </w:tcPr>
          <w:p w14:paraId="3339837E" w14:textId="77777777" w:rsidR="005D3283" w:rsidRPr="00E35E38" w:rsidRDefault="008B0436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ntagonisty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5-HT</w:t>
            </w:r>
            <w:r w:rsidR="005D3283"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</w:p>
        </w:tc>
        <w:tc>
          <w:tcPr>
            <w:tcW w:w="1877" w:type="dxa"/>
          </w:tcPr>
          <w:p w14:paraId="40765682" w14:textId="09FDFF0D" w:rsidR="005D3283" w:rsidRPr="00E35E38" w:rsidRDefault="005D3283" w:rsidP="003F07A1">
            <w:pPr>
              <w:keepNext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dávka antagonistov 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. Príslušné informácie o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dávkovaní pozri v</w:t>
            </w:r>
            <w:r w:rsidR="00ED04F2">
              <w:rPr>
                <w:rFonts w:ascii="Times New Roman" w:eastAsia="SimSun" w:hAnsi="Times New Roman" w:cs="Times New Roman"/>
                <w:lang w:eastAsia="fr-FR"/>
              </w:rPr>
              <w:t> informáciách o lieku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vybraného antagonistu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.</w:t>
            </w:r>
          </w:p>
        </w:tc>
        <w:tc>
          <w:tcPr>
            <w:tcW w:w="1867" w:type="dxa"/>
          </w:tcPr>
          <w:p w14:paraId="16E19BF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  <w:tc>
          <w:tcPr>
            <w:tcW w:w="1865" w:type="dxa"/>
          </w:tcPr>
          <w:p w14:paraId="6829D57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  <w:tc>
          <w:tcPr>
            <w:tcW w:w="1796" w:type="dxa"/>
          </w:tcPr>
          <w:p w14:paraId="27EECB3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</w:tr>
    </w:tbl>
    <w:p w14:paraId="280D537D" w14:textId="77777777" w:rsidR="005D3283" w:rsidRPr="00CF6EC9" w:rsidRDefault="005D3283" w:rsidP="005D3283">
      <w:pPr>
        <w:keepNext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SimSun" w:hAnsi="Times New Roman" w:cs="Times New Roman"/>
          <w:b/>
          <w:bCs/>
          <w:lang w:eastAsia="fr-FR"/>
        </w:rPr>
        <w:t xml:space="preserve">Dexametazón </w:t>
      </w:r>
      <w:r w:rsidRPr="00DE7BD8">
        <w:rPr>
          <w:rFonts w:ascii="Times New Roman" w:eastAsia="Times New Roman" w:hAnsi="Times New Roman" w:cs="Times New Roman"/>
          <w:lang w:eastAsia="sk-SK" w:bidi="sk-SK"/>
        </w:rPr>
        <w:t>sa má podávať 30</w:t>
      </w:r>
      <w:r w:rsidR="003F07A1" w:rsidRPr="00DE7BD8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minút pred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chemoterapiou v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deň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1 a ráno v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dňoch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2 až 4. Dávka dexametazónu zohľadňuje liekové interakcie.</w:t>
      </w:r>
    </w:p>
    <w:p w14:paraId="2248B19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9D28749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Režim pri</w:t>
      </w:r>
      <w:r w:rsidR="003F07A1" w:rsidRPr="00E35E38">
        <w:rPr>
          <w:rFonts w:ascii="Times New Roman" w:eastAsia="SimSun" w:hAnsi="Times New Roman" w:cs="Times New Roman"/>
          <w:i/>
          <w:iCs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stredne emetogénnej chemoterapii</w:t>
      </w: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2459"/>
        <w:gridCol w:w="2099"/>
        <w:gridCol w:w="2279"/>
      </w:tblGrid>
      <w:tr w:rsidR="005D3283" w:rsidRPr="00E35E38" w14:paraId="022BA859" w14:textId="77777777" w:rsidTr="00C50E87">
        <w:trPr>
          <w:trHeight w:hRule="exact" w:val="2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DEA5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6C0F" w14:textId="77777777" w:rsidR="005D3283" w:rsidRPr="00E35E38" w:rsidRDefault="005D3283" w:rsidP="005D3283">
            <w:pPr>
              <w:tabs>
                <w:tab w:val="right" w:pos="2325"/>
              </w:tabs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48B3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DF49" w14:textId="77777777" w:rsidR="005D3283" w:rsidRPr="00E35E38" w:rsidRDefault="005D3283" w:rsidP="003F07A1">
            <w:pPr>
              <w:autoSpaceDE w:val="0"/>
              <w:autoSpaceDN w:val="0"/>
              <w:adjustRightInd w:val="0"/>
              <w:spacing w:after="0" w:line="240" w:lineRule="auto"/>
              <w:ind w:left="7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3</w:t>
            </w:r>
          </w:p>
        </w:tc>
      </w:tr>
      <w:tr w:rsidR="005D3283" w:rsidRPr="00E35E38" w14:paraId="045C83D5" w14:textId="77777777" w:rsidTr="00C50E87">
        <w:trPr>
          <w:trHeight w:hRule="exact"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13FB" w14:textId="77777777" w:rsidR="005D3283" w:rsidRPr="00E35E38" w:rsidRDefault="003F07A1" w:rsidP="005D3283">
            <w:pPr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prepitant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6020" w14:textId="77777777" w:rsidR="005D3283" w:rsidRPr="00E35E38" w:rsidRDefault="005D3283" w:rsidP="005D3283">
            <w:pPr>
              <w:tabs>
                <w:tab w:val="right" w:pos="2325"/>
              </w:tabs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125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mg perorálne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713C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80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mg perorálne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DAD2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7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80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mg perorálne</w:t>
            </w:r>
          </w:p>
        </w:tc>
      </w:tr>
      <w:tr w:rsidR="005D3283" w:rsidRPr="00E35E38" w14:paraId="5425E1D2" w14:textId="77777777" w:rsidTr="00C50E87">
        <w:trPr>
          <w:trHeight w:hRule="exact" w:val="2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382D" w14:textId="77777777" w:rsidR="005D3283" w:rsidRPr="00E35E38" w:rsidRDefault="003F07A1" w:rsidP="005D3283">
            <w:pPr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exametazón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0039" w14:textId="77777777" w:rsidR="005D3283" w:rsidRPr="00E35E38" w:rsidRDefault="005D3283" w:rsidP="005D3283">
            <w:pPr>
              <w:tabs>
                <w:tab w:val="right" w:pos="2325"/>
              </w:tabs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12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mg perorálne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5783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F708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7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</w:tr>
      <w:tr w:rsidR="005D3283" w:rsidRPr="00E35E38" w14:paraId="377ECF96" w14:textId="77777777" w:rsidTr="0027069F">
        <w:trPr>
          <w:trHeight w:hRule="exact" w:val="221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0F21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antagonisty 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36A8" w14:textId="5D90A3C1" w:rsidR="005D3283" w:rsidRPr="00E35E38" w:rsidRDefault="005D3283" w:rsidP="003F07A1">
            <w:pPr>
              <w:tabs>
                <w:tab w:val="right" w:pos="2325"/>
              </w:tabs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dávka antagonistov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. Príslušné informácie o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dávkovaní pozri v</w:t>
            </w:r>
            <w:r w:rsidR="00ED04F2" w:rsidRPr="00ED04F2">
              <w:rPr>
                <w:rFonts w:ascii="Times New Roman" w:eastAsia="SimSun" w:hAnsi="Times New Roman" w:cs="Times New Roman"/>
                <w:lang w:eastAsia="fr-FR"/>
              </w:rPr>
              <w:t xml:space="preserve"> informáciách o</w:t>
            </w:r>
            <w:r w:rsidR="00ED04F2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ED04F2" w:rsidRPr="00ED04F2">
              <w:rPr>
                <w:rFonts w:ascii="Times New Roman" w:eastAsia="SimSun" w:hAnsi="Times New Roman" w:cs="Times New Roman"/>
                <w:lang w:eastAsia="fr-FR"/>
              </w:rPr>
              <w:t>lieku</w:t>
            </w:r>
            <w:r w:rsidR="00ED04F2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vybraného antagonistu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CAC8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4F52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7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</w:tr>
    </w:tbl>
    <w:p w14:paraId="16EE7C5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b/>
          <w:bCs/>
          <w:lang w:eastAsia="fr-FR"/>
        </w:rPr>
        <w:t xml:space="preserve">Dexametazón </w:t>
      </w:r>
      <w:r w:rsidRPr="00E35E38">
        <w:rPr>
          <w:rFonts w:ascii="Times New Roman" w:eastAsia="SimSun" w:hAnsi="Times New Roman" w:cs="Times New Roman"/>
          <w:lang w:eastAsia="fr-FR"/>
        </w:rPr>
        <w:t>sa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á podávať 30</w:t>
      </w:r>
      <w:r w:rsidR="003F07A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minút pred</w:t>
      </w:r>
      <w:r w:rsidR="003F07A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chemoterapiou v</w:t>
      </w:r>
      <w:r w:rsidR="003F07A1" w:rsidRPr="00E35E38">
        <w:rPr>
          <w:rFonts w:ascii="Times New Roman" w:eastAsia="SimSun" w:hAnsi="Times New Roman" w:cs="Times New Roman"/>
          <w:spacing w:val="-3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3F07A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1. Dávka dexametazónu 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z</w:t>
      </w:r>
      <w:r w:rsidRPr="00E35E38">
        <w:rPr>
          <w:rFonts w:ascii="Times New Roman" w:eastAsia="SimSun" w:hAnsi="Times New Roman" w:cs="Times New Roman"/>
          <w:lang w:eastAsia="fr-FR"/>
        </w:rPr>
        <w:t>ohľadňuje liekové interakcie.</w:t>
      </w:r>
    </w:p>
    <w:p w14:paraId="56240C9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002C1AF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u w:val="single"/>
          <w:lang w:eastAsia="fr-FR"/>
        </w:rPr>
        <w:t>Pediatrická populácia</w:t>
      </w:r>
    </w:p>
    <w:p w14:paraId="44CD3A74" w14:textId="77777777" w:rsidR="00ED04F2" w:rsidRDefault="00ED04F2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</w:p>
    <w:p w14:paraId="104852DA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Dospievajúci (vo</w:t>
      </w:r>
      <w:r w:rsidR="003F07A1" w:rsidRPr="00E35E38">
        <w:rPr>
          <w:rFonts w:ascii="Times New Roman" w:eastAsia="SimSun" w:hAnsi="Times New Roman" w:cs="Times New Roman"/>
          <w:i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lang w:eastAsia="fr-FR"/>
        </w:rPr>
        <w:t>veku 12 až 17</w:t>
      </w:r>
      <w:r w:rsidR="003F07A1" w:rsidRPr="00E35E38">
        <w:rPr>
          <w:rFonts w:ascii="Times New Roman" w:eastAsia="SimSun" w:hAnsi="Times New Roman" w:cs="Times New Roman"/>
          <w:i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lang w:eastAsia="fr-FR"/>
        </w:rPr>
        <w:t>rokov)</w:t>
      </w:r>
    </w:p>
    <w:p w14:paraId="419F3F73" w14:textId="4704A0E4" w:rsidR="005D3283" w:rsidRPr="00E35E38" w:rsidRDefault="003F07A1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Aprilene </w:t>
      </w:r>
      <w:r w:rsidR="005D3283" w:rsidRPr="00E35E38">
        <w:rPr>
          <w:rFonts w:ascii="Times New Roman" w:eastAsia="SimSun" w:hAnsi="Times New Roman" w:cs="Times New Roman"/>
          <w:lang w:eastAsia="fr-FR"/>
        </w:rPr>
        <w:t>sa podáva 3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dni ako súčasť terapeutického režimu, ktorý zahŕňa antagonistu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5-HT</w:t>
      </w:r>
      <w:r w:rsidR="005D3283"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. Odporúčaná dávka kapsúl </w:t>
      </w:r>
      <w:r w:rsidR="00701B39" w:rsidRPr="00E35E38">
        <w:rPr>
          <w:rFonts w:ascii="Times New Roman" w:eastAsia="SimSun" w:hAnsi="Times New Roman" w:cs="Times New Roman"/>
          <w:lang w:eastAsia="fr-FR"/>
        </w:rPr>
        <w:t>Aprilene </w:t>
      </w:r>
      <w:r w:rsidR="005D3283" w:rsidRPr="00E35E38">
        <w:rPr>
          <w:rFonts w:ascii="Times New Roman" w:eastAsia="SimSun" w:hAnsi="Times New Roman" w:cs="Times New Roman"/>
          <w:lang w:eastAsia="fr-FR"/>
        </w:rPr>
        <w:t>je 125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mg perorálne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1 a 80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mg perorálne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2 a 3. </w:t>
      </w:r>
      <w:r w:rsidR="00701B39" w:rsidRPr="00E35E38">
        <w:rPr>
          <w:rFonts w:ascii="Times New Roman" w:eastAsia="SimSun" w:hAnsi="Times New Roman" w:cs="Times New Roman"/>
          <w:lang w:eastAsia="fr-FR"/>
        </w:rPr>
        <w:t>Aprilene </w:t>
      </w:r>
      <w:r w:rsidR="005D3283" w:rsidRPr="00E35E38">
        <w:rPr>
          <w:rFonts w:ascii="Times New Roman" w:eastAsia="SimSun" w:hAnsi="Times New Roman" w:cs="Times New Roman"/>
          <w:lang w:eastAsia="fr-FR"/>
        </w:rPr>
        <w:t>sa podáva perorálne 1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hodinu pred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podaním chemoterapie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1, 2 a 3. Ak sa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2 a 3 nepodáva žiadna chemoterapia, liek </w:t>
      </w:r>
      <w:r w:rsidR="00701B39" w:rsidRPr="00E35E38">
        <w:rPr>
          <w:rFonts w:ascii="Times New Roman" w:eastAsia="SimSun" w:hAnsi="Times New Roman" w:cs="Times New Roman"/>
          <w:lang w:eastAsia="fr-FR"/>
        </w:rPr>
        <w:t>Aprilene </w:t>
      </w:r>
      <w:r w:rsidR="005D3283" w:rsidRPr="00E35E38">
        <w:rPr>
          <w:rFonts w:ascii="Times New Roman" w:eastAsia="SimSun" w:hAnsi="Times New Roman" w:cs="Times New Roman"/>
          <w:lang w:eastAsia="fr-FR"/>
        </w:rPr>
        <w:t>sa má podať ráno. Informácie o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dávkovaní zvoleného antagonistu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5-HT</w:t>
      </w:r>
      <w:r w:rsidR="005D3283"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 pozri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príslušnom súhrne charakteristických vlastností lieku (SPC). Ak sa súbežne s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liekom </w:t>
      </w:r>
      <w:r w:rsidR="00701B39" w:rsidRPr="00E35E38">
        <w:rPr>
          <w:rFonts w:ascii="Times New Roman" w:eastAsia="SimSun" w:hAnsi="Times New Roman" w:cs="Times New Roman"/>
          <w:lang w:eastAsia="fr-FR"/>
        </w:rPr>
        <w:t>Aprilene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 podáva kortikosteroid, ako je napr. dexametazón, má sa podávať 50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% zvyčajnej dávky kortikosteroidu (pozri časti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4.5 a 5.1).</w:t>
      </w:r>
    </w:p>
    <w:p w14:paraId="1551F8D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4C436B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Bezpečnosť a účinnosť 80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a 125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kapsúl u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detí mladších ako 12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rokov </w:t>
      </w:r>
      <w:r w:rsidR="00701B39" w:rsidRPr="00E35E38">
        <w:rPr>
          <w:rFonts w:ascii="Times New Roman" w:eastAsia="SimSun" w:hAnsi="Times New Roman" w:cs="Times New Roman"/>
          <w:lang w:eastAsia="fr-FR"/>
        </w:rPr>
        <w:t xml:space="preserve">nebola </w:t>
      </w:r>
      <w:r w:rsidRPr="00E35E38">
        <w:rPr>
          <w:rFonts w:ascii="Times New Roman" w:eastAsia="SimSun" w:hAnsi="Times New Roman" w:cs="Times New Roman"/>
          <w:lang w:eastAsia="fr-FR"/>
        </w:rPr>
        <w:t>preukázaná. K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dispozícii nie sú žiadne údaje. </w:t>
      </w:r>
    </w:p>
    <w:p w14:paraId="7672A499" w14:textId="77777777" w:rsidR="00B86F74" w:rsidRDefault="00B86F74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</w:p>
    <w:p w14:paraId="2721774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u w:val="single"/>
          <w:lang w:eastAsia="fr-FR"/>
        </w:rPr>
        <w:t>Všeobecné</w:t>
      </w:r>
    </w:p>
    <w:p w14:paraId="49EA5FDF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Údaje o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účinnosti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kombinácii s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inými kortikosteroidmi a antagonistami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5-HT</w:t>
      </w:r>
      <w:r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Pr="00E35E38">
        <w:rPr>
          <w:rFonts w:ascii="Times New Roman" w:eastAsia="SimSun" w:hAnsi="Times New Roman" w:cs="Times New Roman"/>
          <w:lang w:eastAsia="fr-FR"/>
        </w:rPr>
        <w:t xml:space="preserve"> sú obmedzené. Ďalšie informácie o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súbežnom podávaní s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kortikosteroidmi pozri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časti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4.5. Pozri SPC súbežne podávaných liekov obsahujúcich antagonistu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5-HT</w:t>
      </w:r>
      <w:r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3F6CCFD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C6F5A07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u w:val="single"/>
          <w:lang w:eastAsia="fr-FR"/>
        </w:rPr>
        <w:lastRenderedPageBreak/>
        <w:t>Osobitné skupiny pacientov</w:t>
      </w:r>
    </w:p>
    <w:p w14:paraId="66DDAB56" w14:textId="77777777" w:rsidR="00701B39" w:rsidRPr="00E35E38" w:rsidRDefault="00701B39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</w:p>
    <w:p w14:paraId="6102F88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Starš</w:t>
      </w:r>
      <w:r w:rsidR="00701B39" w:rsidRPr="00E35E38">
        <w:rPr>
          <w:rFonts w:ascii="Times New Roman" w:eastAsia="SimSun" w:hAnsi="Times New Roman" w:cs="Times New Roman"/>
          <w:i/>
          <w:lang w:eastAsia="fr-FR"/>
        </w:rPr>
        <w:t>í pacienti</w:t>
      </w:r>
      <w:r w:rsidRPr="00E35E38">
        <w:rPr>
          <w:rFonts w:ascii="Times New Roman" w:eastAsia="SimSun" w:hAnsi="Times New Roman" w:cs="Times New Roman"/>
          <w:i/>
          <w:lang w:eastAsia="fr-FR"/>
        </w:rPr>
        <w:t>(≥ 65 rokov)</w:t>
      </w:r>
    </w:p>
    <w:p w14:paraId="4A063228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starších osôb nie je potrebná úprava dávky (pozri časť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5.2).</w:t>
      </w:r>
    </w:p>
    <w:p w14:paraId="6ABF08D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DC1FD10" w14:textId="77777777" w:rsidR="005D3283" w:rsidRPr="00E35E38" w:rsidRDefault="005D3283" w:rsidP="009C7F25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Pohlavie</w:t>
      </w:r>
    </w:p>
    <w:p w14:paraId="56161F0F" w14:textId="77777777" w:rsidR="005D3283" w:rsidRPr="00E35E38" w:rsidRDefault="005D328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Vzhľadom na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pohlavie nie je potrebná úprava dávky (pozri časť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5.2).</w:t>
      </w:r>
    </w:p>
    <w:p w14:paraId="29B270E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DA1D0FE" w14:textId="10E703C6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Po</w:t>
      </w:r>
      <w:r w:rsidR="009E67BB" w:rsidRPr="00E35E38">
        <w:rPr>
          <w:rFonts w:ascii="Times New Roman" w:eastAsia="SimSun" w:hAnsi="Times New Roman" w:cs="Times New Roman"/>
          <w:i/>
          <w:lang w:eastAsia="fr-FR"/>
        </w:rPr>
        <w:t xml:space="preserve">rucha funkcie </w:t>
      </w:r>
      <w:r w:rsidRPr="00E35E38">
        <w:rPr>
          <w:rFonts w:ascii="Times New Roman" w:eastAsia="SimSun" w:hAnsi="Times New Roman" w:cs="Times New Roman"/>
          <w:i/>
          <w:lang w:eastAsia="fr-FR"/>
        </w:rPr>
        <w:t>obličiek</w:t>
      </w:r>
    </w:p>
    <w:p w14:paraId="03DB64E9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9E67BB" w:rsidRPr="00E35E38">
        <w:rPr>
          <w:rFonts w:ascii="Times New Roman" w:eastAsia="SimSun" w:hAnsi="Times New Roman" w:cs="Times New Roman"/>
          <w:lang w:eastAsia="fr-FR"/>
        </w:rPr>
        <w:t>ruchou funkcie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obličiek alebo u</w:t>
      </w:r>
      <w:r w:rsidR="009E67BB" w:rsidRPr="00E35E38">
        <w:rPr>
          <w:rFonts w:ascii="Times New Roman" w:eastAsia="SimSun" w:hAnsi="Times New Roman" w:cs="Times New Roman"/>
          <w:lang w:eastAsia="fr-FR"/>
        </w:rPr>
        <w:t> hemo</w:t>
      </w:r>
      <w:r w:rsidRPr="00E35E38">
        <w:rPr>
          <w:rFonts w:ascii="Times New Roman" w:eastAsia="SimSun" w:hAnsi="Times New Roman" w:cs="Times New Roman"/>
          <w:lang w:eastAsia="fr-FR"/>
        </w:rPr>
        <w:t>dialyzovaných pacientov s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terminálnym štádiom renálneho ochorenia nie je potrebná úprava dávky (pozri časť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5.2).</w:t>
      </w:r>
    </w:p>
    <w:p w14:paraId="12BB00C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B1AC796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Po</w:t>
      </w:r>
      <w:r w:rsidR="009E67BB" w:rsidRPr="00E35E38">
        <w:rPr>
          <w:rFonts w:ascii="Times New Roman" w:eastAsia="SimSun" w:hAnsi="Times New Roman" w:cs="Times New Roman"/>
          <w:i/>
          <w:lang w:eastAsia="fr-FR"/>
        </w:rPr>
        <w:t>rucha funkcie</w:t>
      </w:r>
      <w:r w:rsidRPr="00E35E38">
        <w:rPr>
          <w:rFonts w:ascii="Times New Roman" w:eastAsia="SimSun" w:hAnsi="Times New Roman" w:cs="Times New Roman"/>
          <w:i/>
          <w:lang w:eastAsia="fr-FR"/>
        </w:rPr>
        <w:t xml:space="preserve"> pečene</w:t>
      </w:r>
    </w:p>
    <w:p w14:paraId="3D679CC9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miern</w:t>
      </w:r>
      <w:r w:rsidR="009E67BB" w:rsidRPr="00E35E38">
        <w:rPr>
          <w:rFonts w:ascii="Times New Roman" w:eastAsia="SimSun" w:hAnsi="Times New Roman" w:cs="Times New Roman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lang w:eastAsia="fr-FR"/>
        </w:rPr>
        <w:t>pečene nie je potrebná úprava dávky. U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so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stredne ťažk</w:t>
      </w:r>
      <w:r w:rsidR="0036667E" w:rsidRPr="00E35E38">
        <w:rPr>
          <w:rFonts w:ascii="Times New Roman" w:eastAsia="SimSun" w:hAnsi="Times New Roman" w:cs="Times New Roman"/>
          <w:lang w:eastAsia="fr-FR"/>
        </w:rPr>
        <w:t xml:space="preserve">ou </w:t>
      </w:r>
      <w:r w:rsidR="009E67BB" w:rsidRPr="00E35E38">
        <w:rPr>
          <w:rFonts w:ascii="Times New Roman" w:eastAsia="SimSun" w:hAnsi="Times New Roman" w:cs="Times New Roman"/>
          <w:lang w:eastAsia="fr-FR"/>
        </w:rPr>
        <w:t xml:space="preserve">poruchou funkcie </w:t>
      </w:r>
      <w:r w:rsidRPr="00E35E38">
        <w:rPr>
          <w:rFonts w:ascii="Times New Roman" w:eastAsia="SimSun" w:hAnsi="Times New Roman" w:cs="Times New Roman"/>
          <w:lang w:eastAsia="fr-FR"/>
        </w:rPr>
        <w:t>pečene sú k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dispozícii iba obmedzené údaje a 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ťažk</w:t>
      </w:r>
      <w:r w:rsidR="0036667E" w:rsidRPr="00E35E38">
        <w:rPr>
          <w:rFonts w:ascii="Times New Roman" w:eastAsia="SimSun" w:hAnsi="Times New Roman" w:cs="Times New Roman"/>
          <w:lang w:eastAsia="fr-FR"/>
        </w:rPr>
        <w:t>ou poruchou funkcie</w:t>
      </w:r>
      <w:r w:rsidRPr="00E35E38">
        <w:rPr>
          <w:rFonts w:ascii="Times New Roman" w:eastAsia="SimSun" w:hAnsi="Times New Roman" w:cs="Times New Roman"/>
          <w:lang w:eastAsia="fr-FR"/>
        </w:rPr>
        <w:t xml:space="preserve"> pečene nie sú dostupné žiadne údaje. Aprepitant sa má 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týchto pacientov používať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opatrnosťou (pozri časti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 a 5.2).</w:t>
      </w:r>
    </w:p>
    <w:p w14:paraId="4AF695F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0E3575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u w:val="single"/>
          <w:lang w:eastAsia="fr-FR"/>
        </w:rPr>
        <w:t>Spôsob podávania</w:t>
      </w:r>
    </w:p>
    <w:p w14:paraId="5C9A195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Tvrdá kapsula sa má prehltnúť vcelku.</w:t>
      </w:r>
    </w:p>
    <w:p w14:paraId="1ECBFBB3" w14:textId="77777777" w:rsidR="005D3283" w:rsidRPr="00E35E38" w:rsidRDefault="0036667E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Aprilene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 sa môže už</w:t>
      </w:r>
      <w:r w:rsidRPr="00E35E38">
        <w:rPr>
          <w:rFonts w:ascii="Times New Roman" w:eastAsia="SimSun" w:hAnsi="Times New Roman" w:cs="Times New Roman"/>
          <w:lang w:eastAsia="fr-FR"/>
        </w:rPr>
        <w:t>ívať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 s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jedlom alebo bez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jedla.</w:t>
      </w:r>
    </w:p>
    <w:p w14:paraId="1283BF9F" w14:textId="77777777" w:rsidR="005D3283" w:rsidRPr="00DE7BD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</w:p>
    <w:p w14:paraId="635AF613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Kontraindikácie</w:t>
      </w:r>
    </w:p>
    <w:p w14:paraId="339F2366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B1DDA7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Precitlivenosť na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liečivo alebo na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ktorúkoľvek z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pomocných látok uvedených v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časti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6.1.</w:t>
      </w:r>
    </w:p>
    <w:p w14:paraId="4353F6D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73101F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Súbežné pod</w:t>
      </w:r>
      <w:r w:rsidR="0036667E" w:rsidRPr="00E35E38">
        <w:rPr>
          <w:rFonts w:ascii="Times New Roman" w:eastAsia="SimSun" w:hAnsi="Times New Roman" w:cs="Times New Roman"/>
          <w:lang w:eastAsia="fr-FR"/>
        </w:rPr>
        <w:t>áv</w:t>
      </w:r>
      <w:r w:rsidRPr="00E35E38">
        <w:rPr>
          <w:rFonts w:ascii="Times New Roman" w:eastAsia="SimSun" w:hAnsi="Times New Roman" w:cs="Times New Roman"/>
          <w:lang w:eastAsia="fr-FR"/>
        </w:rPr>
        <w:t>anie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pimozidom, terfenadínom, astemizolom alebo cisapridom (pozri časť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4.5).</w:t>
      </w:r>
    </w:p>
    <w:p w14:paraId="7E24A66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F11E463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DE7BD8">
        <w:rPr>
          <w:rFonts w:ascii="Times New Roman" w:eastAsia="Times New Roman" w:hAnsi="Times New Roman" w:cs="Times New Roman"/>
          <w:b/>
          <w:lang w:eastAsia="sk-SK" w:bidi="sk-SK"/>
        </w:rPr>
        <w:t>Osobitné upozornenia a opatrenia pri používaní</w:t>
      </w:r>
    </w:p>
    <w:p w14:paraId="4C7391BD" w14:textId="77777777" w:rsidR="005D3283" w:rsidRPr="00A933E2" w:rsidRDefault="005D3283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</w:p>
    <w:p w14:paraId="08AAEF7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CF6EC9">
        <w:rPr>
          <w:rFonts w:ascii="Times New Roman" w:eastAsia="SimSun" w:hAnsi="Times New Roman" w:cs="Times New Roman"/>
          <w:u w:val="single"/>
          <w:lang w:eastAsia="fr-FR"/>
        </w:rPr>
        <w:t>Pacienti so</w:t>
      </w:r>
      <w:r w:rsidR="0036667E" w:rsidRPr="00CF6EC9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CF6EC9">
        <w:rPr>
          <w:rFonts w:ascii="Times New Roman" w:eastAsia="SimSun" w:hAnsi="Times New Roman" w:cs="Times New Roman"/>
          <w:u w:val="single"/>
          <w:lang w:eastAsia="fr-FR"/>
        </w:rPr>
        <w:t>stredne ťažk</w:t>
      </w:r>
      <w:r w:rsidR="0036667E" w:rsidRPr="00CF6EC9">
        <w:rPr>
          <w:rFonts w:ascii="Times New Roman" w:eastAsia="SimSun" w:hAnsi="Times New Roman" w:cs="Times New Roman"/>
          <w:u w:val="single"/>
          <w:lang w:eastAsia="fr-FR"/>
        </w:rPr>
        <w:t>ou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 xml:space="preserve"> až ťažk</w:t>
      </w:r>
      <w:r w:rsidR="0036667E" w:rsidRPr="00E35E38">
        <w:rPr>
          <w:rFonts w:ascii="Times New Roman" w:eastAsia="SimSun" w:hAnsi="Times New Roman" w:cs="Times New Roman"/>
          <w:u w:val="single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pečene</w:t>
      </w:r>
    </w:p>
    <w:p w14:paraId="20B10F48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so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stredne ťažk</w:t>
      </w:r>
      <w:r w:rsidR="0036667E" w:rsidRPr="00E35E38">
        <w:rPr>
          <w:rFonts w:ascii="Times New Roman" w:eastAsia="SimSun" w:hAnsi="Times New Roman" w:cs="Times New Roman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lang w:eastAsia="fr-FR"/>
        </w:rPr>
        <w:t>pečene sú k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dispozícii iba obmedzené údaje a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ťažk</w:t>
      </w:r>
      <w:r w:rsidR="0036667E" w:rsidRPr="00E35E38">
        <w:rPr>
          <w:rFonts w:ascii="Times New Roman" w:eastAsia="SimSun" w:hAnsi="Times New Roman" w:cs="Times New Roman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lang w:eastAsia="fr-FR"/>
        </w:rPr>
        <w:t xml:space="preserve">pečene nie sú </w:t>
      </w:r>
      <w:r w:rsidR="0036667E" w:rsidRPr="00E35E38">
        <w:rPr>
          <w:rFonts w:ascii="Times New Roman" w:eastAsia="SimSun" w:hAnsi="Times New Roman" w:cs="Times New Roman"/>
          <w:lang w:eastAsia="fr-FR"/>
        </w:rPr>
        <w:t>k dispozícii</w:t>
      </w:r>
      <w:r w:rsidRPr="00E35E38">
        <w:rPr>
          <w:rFonts w:ascii="Times New Roman" w:eastAsia="SimSun" w:hAnsi="Times New Roman" w:cs="Times New Roman"/>
          <w:lang w:eastAsia="fr-FR"/>
        </w:rPr>
        <w:t xml:space="preserve"> žiadne údaje. </w:t>
      </w:r>
      <w:r w:rsidR="0036667E" w:rsidRPr="00E35E38">
        <w:rPr>
          <w:rFonts w:ascii="Times New Roman" w:eastAsia="SimSun" w:hAnsi="Times New Roman" w:cs="Times New Roman"/>
          <w:lang w:eastAsia="fr-FR"/>
        </w:rPr>
        <w:t>Aprilene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má 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týchto pacientov používať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opatrnosťou (pozri časť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5.2).</w:t>
      </w:r>
    </w:p>
    <w:p w14:paraId="43A4045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647468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Interakcie s</w:t>
      </w:r>
      <w:r w:rsidR="0036667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CYP3A4</w:t>
      </w:r>
    </w:p>
    <w:p w14:paraId="7768DF4F" w14:textId="77777777" w:rsidR="005D3283" w:rsidRPr="00E35E38" w:rsidRDefault="0036667E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Aprilene </w:t>
      </w:r>
      <w:r w:rsidR="005D3283" w:rsidRPr="00E35E38">
        <w:rPr>
          <w:rFonts w:ascii="Times New Roman" w:eastAsia="SimSun" w:hAnsi="Times New Roman" w:cs="Times New Roman"/>
          <w:lang w:eastAsia="fr-FR"/>
        </w:rPr>
        <w:t>sa má používať s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opatrnosťou u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pacientov, ktorí súbežne užívajú perorálne podávané liečivá primárne metabolizované CYP3A4 a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úzkym terapeutickým rozsahom, ako sú cyklosporín, takrolimus, sirolimus, everolimus, alfentanil, deriváty námeľových alkaloidov, fentanyl a chinidín (pozri časť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4.5). Ďalej je potrebné venovať zvýšenú pozornosť súbežnému podávaniu irinotekánu, pretože táto kombinácia môže vyústiť do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zvýšenej toxicity.</w:t>
      </w:r>
    </w:p>
    <w:p w14:paraId="0D4BE41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37A331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Súbežné podávanie s warfarínom (substrát CYP2C9)</w:t>
      </w:r>
    </w:p>
    <w:p w14:paraId="72064F3E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pacientov, ktorí sú dlhodobo liečení warfarínom, sa má pozorne monitorovať medzinárodný normalizovaný pomer (International Normalised Ratio, INR) počas liečby liekom </w:t>
      </w:r>
      <w:r w:rsidR="00725314" w:rsidRPr="00E35E38">
        <w:rPr>
          <w:rFonts w:ascii="Times New Roman" w:eastAsia="SimSun" w:hAnsi="Times New Roman" w:cs="Times New Roman"/>
          <w:lang w:eastAsia="fr-FR"/>
        </w:rPr>
        <w:t>Aprilene</w:t>
      </w:r>
      <w:r w:rsidRPr="00E35E38">
        <w:rPr>
          <w:rFonts w:ascii="Times New Roman" w:eastAsia="SimSun" w:hAnsi="Times New Roman" w:cs="Times New Roman"/>
          <w:lang w:eastAsia="fr-FR"/>
        </w:rPr>
        <w:t xml:space="preserve"> a počas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14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po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každom trojdňovom cykle liečby liekom </w:t>
      </w:r>
      <w:r w:rsidR="00725314" w:rsidRPr="00E35E38">
        <w:rPr>
          <w:rFonts w:ascii="Times New Roman" w:eastAsia="SimSun" w:hAnsi="Times New Roman" w:cs="Times New Roman"/>
          <w:lang w:eastAsia="fr-FR"/>
        </w:rPr>
        <w:t>Aprilene</w:t>
      </w:r>
      <w:r w:rsidRPr="00E35E38">
        <w:rPr>
          <w:rFonts w:ascii="Times New Roman" w:eastAsia="SimSun" w:hAnsi="Times New Roman" w:cs="Times New Roman"/>
          <w:lang w:eastAsia="fr-FR"/>
        </w:rPr>
        <w:t>(pozri časť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4.5).</w:t>
      </w:r>
    </w:p>
    <w:p w14:paraId="771AFA9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10BDFBF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Súbežné podávanie s</w:t>
      </w:r>
      <w:r w:rsidR="00725314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hormonálnymi kontraceptívami</w:t>
      </w:r>
    </w:p>
    <w:p w14:paraId="1F93967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Počas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podávania a 28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po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ukončení podávania lieku </w:t>
      </w:r>
      <w:r w:rsidR="00725314" w:rsidRPr="00E35E38">
        <w:rPr>
          <w:rFonts w:ascii="Times New Roman" w:eastAsia="SimSun" w:hAnsi="Times New Roman" w:cs="Times New Roman"/>
          <w:lang w:eastAsia="fr-FR"/>
        </w:rPr>
        <w:t>Aprilene</w:t>
      </w:r>
      <w:r w:rsidRPr="00E35E38">
        <w:rPr>
          <w:rFonts w:ascii="Times New Roman" w:eastAsia="SimSun" w:hAnsi="Times New Roman" w:cs="Times New Roman"/>
          <w:lang w:eastAsia="fr-FR"/>
        </w:rPr>
        <w:t xml:space="preserve"> môže dôjsť k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zníženiu účinnosti hormonálnych kontraceptív. Počas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liečby liekom </w:t>
      </w:r>
      <w:r w:rsidR="00725314" w:rsidRPr="00E35E38">
        <w:rPr>
          <w:rFonts w:ascii="Times New Roman" w:eastAsia="SimSun" w:hAnsi="Times New Roman" w:cs="Times New Roman"/>
          <w:lang w:eastAsia="fr-FR"/>
        </w:rPr>
        <w:t>Aprilene</w:t>
      </w:r>
      <w:r w:rsidRPr="00E35E38">
        <w:rPr>
          <w:rFonts w:ascii="Times New Roman" w:eastAsia="SimSun" w:hAnsi="Times New Roman" w:cs="Times New Roman"/>
          <w:lang w:eastAsia="fr-FR"/>
        </w:rPr>
        <w:t xml:space="preserve"> a počas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mesiacov po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užití poslednej dávky lieku </w:t>
      </w:r>
      <w:r w:rsidR="00725314" w:rsidRPr="00E35E38">
        <w:rPr>
          <w:rFonts w:ascii="Times New Roman" w:eastAsia="SimSun" w:hAnsi="Times New Roman" w:cs="Times New Roman"/>
          <w:lang w:eastAsia="fr-FR"/>
        </w:rPr>
        <w:t>Aprilene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majú používať alternatívne nehormonálne </w:t>
      </w:r>
      <w:r w:rsidR="00BF693F">
        <w:rPr>
          <w:rFonts w:ascii="Times New Roman" w:eastAsia="SimSun" w:hAnsi="Times New Roman" w:cs="Times New Roman"/>
          <w:lang w:eastAsia="fr-FR"/>
        </w:rPr>
        <w:t xml:space="preserve">dodatočné </w:t>
      </w:r>
      <w:r w:rsidRPr="00E35E38">
        <w:rPr>
          <w:rFonts w:ascii="Times New Roman" w:eastAsia="SimSun" w:hAnsi="Times New Roman" w:cs="Times New Roman"/>
          <w:lang w:eastAsia="fr-FR"/>
        </w:rPr>
        <w:t>metódy antikoncepcie (pozri časť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4.5).</w:t>
      </w:r>
    </w:p>
    <w:p w14:paraId="7BFFA17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8E2AE26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lastRenderedPageBreak/>
        <w:t>Pomocné látky</w:t>
      </w:r>
    </w:p>
    <w:p w14:paraId="4B3F9FC7" w14:textId="398B4ED1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Kapsuly lieku </w:t>
      </w:r>
      <w:r w:rsidR="00725314" w:rsidRPr="00E35E38">
        <w:rPr>
          <w:rFonts w:ascii="Times New Roman" w:eastAsia="SimSun" w:hAnsi="Times New Roman" w:cs="Times New Roman"/>
          <w:lang w:eastAsia="fr-FR"/>
        </w:rPr>
        <w:t>Aprilene</w:t>
      </w:r>
      <w:r w:rsidR="009C7F25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obsahujú sacharózu. Pacienti so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zriedkavými dedičnými problémami intolerancie fruktózy, glukózo-galaktózov</w:t>
      </w:r>
      <w:r w:rsidR="00BF693F">
        <w:rPr>
          <w:rFonts w:ascii="Times New Roman" w:eastAsia="SimSun" w:hAnsi="Times New Roman" w:cs="Times New Roman"/>
          <w:lang w:eastAsia="fr-FR"/>
        </w:rPr>
        <w:t>ej</w:t>
      </w:r>
      <w:r w:rsidRPr="00E35E38">
        <w:rPr>
          <w:rFonts w:ascii="Times New Roman" w:eastAsia="SimSun" w:hAnsi="Times New Roman" w:cs="Times New Roman"/>
          <w:lang w:eastAsia="fr-FR"/>
        </w:rPr>
        <w:t xml:space="preserve"> malabsorpci</w:t>
      </w:r>
      <w:r w:rsidR="00BF693F">
        <w:rPr>
          <w:rFonts w:ascii="Times New Roman" w:eastAsia="SimSun" w:hAnsi="Times New Roman" w:cs="Times New Roman"/>
          <w:lang w:eastAsia="fr-FR"/>
        </w:rPr>
        <w:t>e</w:t>
      </w:r>
      <w:r w:rsidRPr="00E35E38">
        <w:rPr>
          <w:rFonts w:ascii="Times New Roman" w:eastAsia="SimSun" w:hAnsi="Times New Roman" w:cs="Times New Roman"/>
          <w:lang w:eastAsia="fr-FR"/>
        </w:rPr>
        <w:t xml:space="preserve"> alebo deficit</w:t>
      </w:r>
      <w:r w:rsidR="00BF693F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sacharázy a izomaltázy nesmú užívať tento liek.</w:t>
      </w:r>
    </w:p>
    <w:p w14:paraId="62E16311" w14:textId="77777777" w:rsidR="005D3283" w:rsidRPr="00DE7BD8" w:rsidRDefault="005D3283" w:rsidP="005D3283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14:paraId="7BA271D7" w14:textId="77777777" w:rsidR="005D3283" w:rsidRPr="00CF6EC9" w:rsidRDefault="00F64896" w:rsidP="005D3283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Liekové a iné interakcie</w:t>
      </w:r>
    </w:p>
    <w:p w14:paraId="21F6502D" w14:textId="77777777" w:rsidR="005D3283" w:rsidRPr="00CF6EC9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16E869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 (125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mg) je substrátom, stredne silným inhibítorom a induktorom CYP3A4. Aprepitant je tiež induktorom CYP2C9. Počas liečby aprepitant</w:t>
      </w:r>
      <w:r w:rsidR="00EA0C8E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je CYP3A4 inhibovaný. Po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ukončení liečby spôsobuje aprepitant prechodnú miernu indukciu CYP2C9, CYP3A4 a glukuronidácie. Nezdá sa, že aprepitant interaguje s P-glykoproteínovým transportérom, čo sa preukázalo neprítomnosťou interakcie aprepitantu s digoxínom.</w:t>
      </w:r>
    </w:p>
    <w:p w14:paraId="082F450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878BB8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Vplyv</w:t>
      </w:r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aprepitantu</w:t>
      </w:r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na</w:t>
      </w:r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farmakokinetiku</w:t>
      </w:r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i</w:t>
      </w:r>
      <w:r w:rsidRPr="00E35E38">
        <w:rPr>
          <w:rFonts w:ascii="Times New Roman" w:eastAsia="SimSun" w:hAnsi="Times New Roman" w:cs="Times New Roman"/>
          <w:spacing w:val="-1"/>
          <w:u w:val="single"/>
          <w:lang w:eastAsia="fr-FR"/>
        </w:rPr>
        <w:t>n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ých</w:t>
      </w:r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liečiv</w:t>
      </w:r>
    </w:p>
    <w:p w14:paraId="6ABFB533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i/>
          <w:iCs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u w:val="single"/>
          <w:lang w:eastAsia="fr-FR"/>
        </w:rPr>
        <w:t>Inhibícia CYP3A4</w:t>
      </w:r>
    </w:p>
    <w:p w14:paraId="579744B9" w14:textId="179D2365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 (125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mg) ako stredne silný inhibítor CYP3A4 môže zvýšiť plazmatické koncentrácie súbežne podávaných liečiv, ktoré sa metabolizujú cez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CYP3A4. Počas 3-dňovej liečby liekom </w:t>
      </w:r>
      <w:r w:rsidR="00EA0C8E" w:rsidRPr="00E35E38">
        <w:rPr>
          <w:rFonts w:ascii="Times New Roman" w:eastAsia="SimSun" w:hAnsi="Times New Roman" w:cs="Times New Roman"/>
          <w:lang w:eastAsia="fr-FR"/>
        </w:rPr>
        <w:t>Aprilene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môže celková expozícia perorálne podávaným substrátom CYP3A4 zvýšiť až približne trojnásobne. Na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plazmatické koncentrácie intravenózne podávaných substrátov CYP3A4 sa očakáva nižší vplyv aprepitantu. </w:t>
      </w:r>
      <w:r w:rsidR="00EA0C8E" w:rsidRPr="00E35E38">
        <w:rPr>
          <w:rFonts w:ascii="Times New Roman" w:eastAsia="SimSun" w:hAnsi="Times New Roman" w:cs="Times New Roman"/>
          <w:lang w:eastAsia="fr-FR"/>
        </w:rPr>
        <w:t>Aprilene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nesmie užívať súbežne s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pimozidom, terfenadínom, astemizolom alebo cisapridom (pozri časť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4.3). Inhibícia CYP3A4 navodená aprepitantom by mohla viesť k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zvýšeniu plazmatických koncentrácií týchto liečiv a potenciálne spôsobiť závažné alebo život ohrozujúce reakcie. Pri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súbežnom podávaní lieku </w:t>
      </w:r>
      <w:r w:rsidR="00EA0C8E" w:rsidRPr="00E35E38">
        <w:rPr>
          <w:rFonts w:ascii="Times New Roman" w:eastAsia="SimSun" w:hAnsi="Times New Roman" w:cs="Times New Roman"/>
          <w:lang w:eastAsia="fr-FR"/>
        </w:rPr>
        <w:t>Aprilene</w:t>
      </w:r>
      <w:r w:rsidRPr="00E35E38">
        <w:rPr>
          <w:rFonts w:ascii="Times New Roman" w:eastAsia="SimSun" w:hAnsi="Times New Roman" w:cs="Times New Roman"/>
          <w:lang w:eastAsia="fr-FR"/>
        </w:rPr>
        <w:t xml:space="preserve"> a perorálne podávaných liečiv, ktoré sú primárne metabolizované CYP3A4 a </w:t>
      </w:r>
      <w:r w:rsidR="007E5F7B">
        <w:rPr>
          <w:rFonts w:ascii="Times New Roman" w:eastAsia="SimSun" w:hAnsi="Times New Roman" w:cs="Times New Roman"/>
          <w:lang w:eastAsia="fr-FR"/>
        </w:rPr>
        <w:t>majú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úzky terapeutický rozsah, ako sú cyklosporín, takrolimus, sirolimus, everolimus, alfentanil, dihydroergotamín, ergotamín, fentanyl a chinidín, sa odporúča opatrnosť (pozri časť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4.4).</w:t>
      </w:r>
    </w:p>
    <w:p w14:paraId="6134519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F2BB6C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Kortikosteroidy</w:t>
      </w:r>
    </w:p>
    <w:p w14:paraId="3B1083E1" w14:textId="0263A7FF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Dexametazón: pri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súbežnom užívaní s aprepitant</w:t>
      </w:r>
      <w:r w:rsidR="00EA0C8E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sa má zvyčajná dávka perorálneho dexametazónu znížiť približne o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%.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klinických štúdiách chemoterapiou indukovanej nevoľnosti a vracania bola dávka dexametazónu zvolená s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ohľadom na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liekové interakcie (pozri časť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4.2). Aprepitant podávaný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súbežne s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perorálnym dexametazónom 20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aprepitant 80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podávaný súbežne s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perorálnym dexametazónom 8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počas dní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až 5 zvýšil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5 AUC dexametazónu, substrátu CYP3A4, 2,2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násobne.</w:t>
      </w:r>
    </w:p>
    <w:p w14:paraId="03A02B6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2AEC286" w14:textId="77777777" w:rsidR="005D3283" w:rsidRPr="00E35E38" w:rsidRDefault="005D3283" w:rsidP="005D328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fr-FR"/>
        </w:rPr>
      </w:pPr>
      <w:r w:rsidRPr="007B02D8">
        <w:rPr>
          <w:rFonts w:ascii="Times New Roman" w:eastAsia="SimSun" w:hAnsi="Times New Roman" w:cs="Times New Roman"/>
          <w:lang w:eastAsia="fr-FR"/>
        </w:rPr>
        <w:t>Metylpred</w:t>
      </w:r>
      <w:r w:rsidRPr="00E35E38">
        <w:rPr>
          <w:rFonts w:ascii="Times New Roman" w:eastAsia="SimSun" w:hAnsi="Times New Roman" w:cs="Times New Roman"/>
          <w:lang w:eastAsia="fr-FR"/>
        </w:rPr>
        <w:t>nizolón: pri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súbežnom užívaní s</w:t>
      </w:r>
      <w:r w:rsidR="004A2828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4A2828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sa má zvyčajná dávka intravenózne podávaného metylprednizolónu znížiť 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a zvyčajná dávka perorálneho metylprednizolónu 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50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%. Aprepitant podávaný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 mg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 3 zvýšil AUC metylprednizolónu, substrátu CYP3A4, 1,3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2,5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 v 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3, keď sa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súbežne podával metylprednizolón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intravenózne a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 2 a 3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40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perorálne.</w:t>
      </w:r>
    </w:p>
    <w:p w14:paraId="756964E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7518E3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Počas kontinuálnej liečby metylprednizolónom sa môže AUC metylprednizolónu neskôr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priebehu 2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týždňov od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úvodného podania dávky aprepitant</w:t>
      </w:r>
      <w:r w:rsidR="004A2828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znížiť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dôsledku indukčného účinku aprepitantu na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CYP3A4. Očakáva sa, že tento účinok môže byť výraznejší pri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perorálne podávanom metylprednizolóne.</w:t>
      </w:r>
    </w:p>
    <w:p w14:paraId="3EC8F3B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E39E43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Chemoterapeutiká</w:t>
      </w:r>
    </w:p>
    <w:p w14:paraId="4DF49859" w14:textId="44308DFF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Keď bol aprepitant vo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farmakokinetických štúdiách podávaný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 2 a 3, neovplyvnil farmakokinetiku docetaxelu podaného intravenózne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1, ani vinorelbínu podaného intravenózne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alebo 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8. Keďže vplyv aprepitant</w:t>
      </w:r>
      <w:r w:rsidR="004A2828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na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farmakokinetiku perorálne podávaných substrátov CYP3A4 je väčší ako na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farmakokinetiku intravenózne podávaných substrátov CYP3A4, nedá sa vylúčiť interakcia s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perorálne podávanými chemoterapeutikami prevažne alebo čiastočne metabolizovanými CYP3A4 (napr. etopozid, vinorelbín). U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pacientov, ktorí užívajú lieky prevažne alebo čiastočne metabolizované CYP3A4, sa odporúča opatrnosť a môže byť vhodné ďalšie sledovanie (pozri časť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4.4). Po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súbežnom podaní aprepitantu a ifosfamidu boli pri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používaní </w:t>
      </w:r>
      <w:r w:rsidRPr="00E35E38">
        <w:rPr>
          <w:rFonts w:ascii="Times New Roman" w:eastAsia="SimSun" w:hAnsi="Times New Roman" w:cs="Times New Roman"/>
          <w:lang w:eastAsia="fr-FR"/>
        </w:rPr>
        <w:lastRenderedPageBreak/>
        <w:t>lieku po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jeho uvedení na </w:t>
      </w:r>
      <w:r w:rsidR="007B02D8">
        <w:rPr>
          <w:rFonts w:ascii="Times New Roman" w:eastAsia="SimSun" w:hAnsi="Times New Roman" w:cs="Times New Roman"/>
          <w:lang w:eastAsia="fr-FR"/>
        </w:rPr>
        <w:t>t</w:t>
      </w:r>
      <w:r w:rsidRPr="00E35E38">
        <w:rPr>
          <w:rFonts w:ascii="Times New Roman" w:eastAsia="SimSun" w:hAnsi="Times New Roman" w:cs="Times New Roman"/>
          <w:lang w:eastAsia="fr-FR"/>
        </w:rPr>
        <w:t>rh hlásené prípady neurotoxicity, potenciálnej nežiaducej reakcie ifosfamidu.</w:t>
      </w:r>
    </w:p>
    <w:p w14:paraId="3B85790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A80F490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Imunosupresíva</w:t>
      </w:r>
    </w:p>
    <w:p w14:paraId="1032E4D3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Počas 3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dňového režimu </w:t>
      </w:r>
      <w:r w:rsidRPr="007051C5">
        <w:rPr>
          <w:rFonts w:ascii="Times New Roman" w:eastAsia="SimSun" w:hAnsi="Times New Roman" w:cs="Times New Roman"/>
          <w:lang w:eastAsia="fr-FR"/>
        </w:rPr>
        <w:t>CINV</w:t>
      </w:r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="00420D6D" w:rsidRPr="00420D6D">
        <w:rPr>
          <w:rFonts w:ascii="Times New Roman" w:eastAsia="SimSun" w:hAnsi="Times New Roman" w:cs="Times New Roman"/>
          <w:lang w:eastAsia="fr-FR"/>
        </w:rPr>
        <w:t>(liečba nauzey a vracania vyvolaných chemoterapiou)</w:t>
      </w:r>
      <w:r w:rsidR="00420D6D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sa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expozícii imunosupresívam metabolizovaným CYP3A4 (napr. cyklosporín, takrolimus, everolimus a sirolimus) predpokladá prechodný stredne silný vzostup nasledovaný miernym poklesom. Vzhľadom na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krátke trvanie 3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dňového režimu a od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času závislé obmedzené zmeny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expozícii</w:t>
      </w:r>
      <w:r w:rsidR="0099174A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počas 3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súbežného podávania s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4A2828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neodporúča zníženie dávky imunosupresíva.</w:t>
      </w:r>
    </w:p>
    <w:p w14:paraId="0B81221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40558A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Midazolam</w:t>
      </w:r>
    </w:p>
    <w:p w14:paraId="0C2683B1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Pri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súbežnom užívaní 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(125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mg) sa majú zohľadniť možné účinky zvýšených plazmatických koncentrácií midazolamu alebo iných benzodiazepínov, ktoré sa metabolizujú prostredníctvom CYP3A4 (alprazolam, triazolam).</w:t>
      </w:r>
    </w:p>
    <w:p w14:paraId="3C96D75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1D1289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Keď sa jednorazová perorálna dávka midazolamu 2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podala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5 spolu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až 5, zvýšil aprepitant AUC midazolamu, senzitívneho substrátu CYP3A4, 2,3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3,3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</w:t>
      </w:r>
    </w:p>
    <w:p w14:paraId="500ECA7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27B5955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inej štúdii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intravenózne podávaným midazolamom sa aprepitant podal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 2 a 3 a midazolam 2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bol podaný intravenózne pred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podaním trojdňového režimu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a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4, 8 a 15. </w:t>
      </w:r>
      <w:r w:rsidR="0099174A" w:rsidRPr="00E35E38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prepitant zvýšil AUC midazolamu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 a znížil AUC midazolamu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19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 a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15. Tieto účinky sa nepovažovali za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klinicky významné.</w:t>
      </w:r>
    </w:p>
    <w:p w14:paraId="311EF1A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B28D94D" w14:textId="15C43780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tretej štúdii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intravenóznym a perorálnym podaním midazolamu sa aprepitant podával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125 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 3 spolu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ondansetrónom 32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1, dexametazónom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12 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2-4. Táto kombinácia (t.j. aprepitant, ondansetrón a dexametazón) znížila AUC perorálneho midazolamu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16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6,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8,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7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15 a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17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22. Tieto účinky sa nepovažovali za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klinicky významné.</w:t>
      </w:r>
    </w:p>
    <w:p w14:paraId="392525B5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124563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intravenóznym podaním midazolamu a 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bola ukončená ďalšia štúdia. 2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midazolamu boli intravenózne podané 1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hodinu po</w:t>
      </w:r>
      <w:r w:rsidR="0099174A" w:rsidRPr="00DE7BD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perorálnom podaní jednorazovej dávky 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125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mg. Plazmatická AUC midazolamu sa zvýšila 1,5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násobne. Tento účinok sa nepovažoval za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klinicky významný.</w:t>
      </w:r>
    </w:p>
    <w:p w14:paraId="4A0C3E1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2B5F3F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u w:val="single"/>
          <w:lang w:eastAsia="fr-FR"/>
        </w:rPr>
        <w:t>Indukcia</w:t>
      </w:r>
    </w:p>
    <w:p w14:paraId="295CD96B" w14:textId="1A97697C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ako mierny induktor CYP2C9, CYP3A4 a glukuronidácie</w:t>
      </w:r>
      <w:r w:rsidR="0099174A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môže počas dvoch týždňov po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začatí liečby a po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liečbe znížiť plazmatické koncentrácie substrátov eliminovaných týmito cestami. Tento účinok sa môže prejaviť až po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ukončení 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dňovej liečby 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>. Pre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substráty CYP2C9 a CYP3A4 je indukcia prechodná,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maximálnym účinkom dosiahnutým 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 dní po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ukončení 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dňovej liečby 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>. Účinok trvá počas niekoľkých dní, potom pomaly ustupuje a do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dvoch týždňov od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ukončenia liečby 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je klinicky nevýznamný. </w:t>
      </w:r>
      <w:r w:rsidR="00B742F0">
        <w:rPr>
          <w:rFonts w:ascii="Times New Roman" w:eastAsia="SimSun" w:hAnsi="Times New Roman" w:cs="Times New Roman"/>
          <w:lang w:eastAsia="fr-FR"/>
        </w:rPr>
        <w:t>Mierna</w:t>
      </w:r>
      <w:r w:rsidRPr="00E35E38">
        <w:rPr>
          <w:rFonts w:ascii="Times New Roman" w:eastAsia="SimSun" w:hAnsi="Times New Roman" w:cs="Times New Roman"/>
          <w:lang w:eastAsia="fr-FR"/>
        </w:rPr>
        <w:t xml:space="preserve"> indukcia glukuronidácie sa tiež pozoruje pri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podávaní 80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aprepitantu perorálne počas 7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dní. Údaje 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účinkoch na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CYP2C8 a CYP2C19 chýbajú. Ak sa počas tohto časového obdobia podáva warfarín, acenokumarol, tolbutamid, fenytoín alebo iné liečivá, 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ktorých je známe, že sú metabolizované CYP2C9, odporúča sa opatrnosť.</w:t>
      </w:r>
    </w:p>
    <w:p w14:paraId="6A0DA86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9032D2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lastRenderedPageBreak/>
        <w:t>Warfarín</w:t>
      </w:r>
    </w:p>
    <w:p w14:paraId="79E8C713" w14:textId="320C495D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pacientov dlhodobo liečených warfarínom sa má počas liečby </w:t>
      </w:r>
      <w:r w:rsidR="00B00D01" w:rsidRPr="00E35E38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prepitant</w:t>
      </w:r>
      <w:r w:rsidR="00B00D01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a 2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týždne po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každom 3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dňovom cykle liečby aprepitant</w:t>
      </w:r>
      <w:r w:rsidR="00B00D01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nevoľnos</w:t>
      </w:r>
      <w:r w:rsidR="00B742F0">
        <w:rPr>
          <w:rFonts w:ascii="Times New Roman" w:eastAsia="SimSun" w:hAnsi="Times New Roman" w:cs="Times New Roman"/>
          <w:lang w:eastAsia="fr-FR"/>
        </w:rPr>
        <w:t>ti</w:t>
      </w:r>
      <w:r w:rsidRPr="00E35E38">
        <w:rPr>
          <w:rFonts w:ascii="Times New Roman" w:eastAsia="SimSun" w:hAnsi="Times New Roman" w:cs="Times New Roman"/>
          <w:lang w:eastAsia="fr-FR"/>
        </w:rPr>
        <w:t xml:space="preserve"> a vracani</w:t>
      </w:r>
      <w:r w:rsidR="00B742F0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 xml:space="preserve"> vyvolan</w:t>
      </w:r>
      <w:r w:rsidR="00B742F0">
        <w:rPr>
          <w:rFonts w:ascii="Times New Roman" w:eastAsia="SimSun" w:hAnsi="Times New Roman" w:cs="Times New Roman"/>
          <w:lang w:eastAsia="fr-FR"/>
        </w:rPr>
        <w:t>ých</w:t>
      </w:r>
      <w:r w:rsidRPr="00E35E38">
        <w:rPr>
          <w:rFonts w:ascii="Times New Roman" w:eastAsia="SimSun" w:hAnsi="Times New Roman" w:cs="Times New Roman"/>
          <w:lang w:eastAsia="fr-FR"/>
        </w:rPr>
        <w:t xml:space="preserve"> chemoterapiou dôsledne monitorovať protrombínový čas (INR) (pozri časť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4.4). Keď sa podal aprepitant v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jednorazovej </w:t>
      </w:r>
      <w:r w:rsidR="00106783" w:rsidRPr="00E35E38">
        <w:rPr>
          <w:rFonts w:ascii="Times New Roman" w:eastAsia="SimSun" w:hAnsi="Times New Roman" w:cs="Times New Roman"/>
          <w:lang w:eastAsia="fr-FR"/>
        </w:rPr>
        <w:t xml:space="preserve">dávke </w:t>
      </w:r>
      <w:r w:rsidRPr="00E35E38">
        <w:rPr>
          <w:rFonts w:ascii="Times New Roman" w:eastAsia="SimSun" w:hAnsi="Times New Roman" w:cs="Times New Roman"/>
          <w:lang w:eastAsia="fr-FR"/>
        </w:rPr>
        <w:t>125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 3 zdravým jedincom stabilizovaným na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dlhodobej liečbe warfarínom, aprepitant neovplyvnil plazmatickú AUC R(+) ani S(-) warfarínu v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3; </w:t>
      </w:r>
      <w:r w:rsidR="00106783" w:rsidRPr="00E35E38">
        <w:rPr>
          <w:rFonts w:ascii="Times New Roman" w:eastAsia="SimSun" w:hAnsi="Times New Roman" w:cs="Times New Roman"/>
          <w:lang w:eastAsia="fr-FR"/>
        </w:rPr>
        <w:t xml:space="preserve">avšak </w:t>
      </w:r>
      <w:r w:rsidRPr="00E35E38">
        <w:rPr>
          <w:rFonts w:ascii="Times New Roman" w:eastAsia="SimSun" w:hAnsi="Times New Roman" w:cs="Times New Roman"/>
          <w:lang w:eastAsia="fr-FR"/>
        </w:rPr>
        <w:t>5 dní po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ukončení liečby aprepitant</w:t>
      </w:r>
      <w:r w:rsidR="00106783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minimálna koncentrácia S(-) warfarínu (substrátu CYP2C9) znížila 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34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106783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sprevádzaná 14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poklesom INR.</w:t>
      </w:r>
    </w:p>
    <w:p w14:paraId="722A18C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405E502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Tolbutamid</w:t>
      </w:r>
    </w:p>
    <w:p w14:paraId="012F5FA9" w14:textId="2CA68234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 podávaný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125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3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g 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DE7BD8">
        <w:rPr>
          <w:rFonts w:ascii="Times New Roman" w:eastAsia="SimSun" w:hAnsi="Times New Roman" w:cs="Times New Roman"/>
          <w:lang w:eastAsia="fr-FR"/>
        </w:rPr>
        <w:t xml:space="preserve"> v</w:t>
      </w:r>
      <w:r w:rsidRPr="00E35E38">
        <w:rPr>
          <w:rFonts w:ascii="Times New Roman" w:eastAsia="SimSun" w:hAnsi="Times New Roman" w:cs="Times New Roman"/>
          <w:lang w:eastAsia="fr-FR"/>
        </w:rPr>
        <w:t xml:space="preserve"> dňoch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a3 znížil AUC tolbutamidu (substrátu CYP2C9) o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>3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4, o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>8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</w:t>
      </w:r>
      <w:r w:rsidRPr="00E35E38">
        <w:rPr>
          <w:rFonts w:ascii="Times New Roman" w:eastAsia="SimSun" w:hAnsi="Times New Roman" w:cs="Times New Roman"/>
          <w:lang w:eastAsia="fr-FR"/>
        </w:rPr>
        <w:t>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 o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15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15, keď sa tolbutamid podal 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jednorazovej dávke 500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pred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podaním aprepitant</w:t>
      </w:r>
      <w:r w:rsidR="00106783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trojdňovom</w:t>
      </w:r>
      <w:r w:rsidR="00106783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režime</w:t>
      </w:r>
      <w:r w:rsidR="00106783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 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4, 8 a</w:t>
      </w:r>
      <w:r w:rsidR="00C97975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15.</w:t>
      </w:r>
    </w:p>
    <w:p w14:paraId="1175996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78A06EA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Hormonálne kontraceptíva</w:t>
      </w:r>
    </w:p>
    <w:p w14:paraId="35381AD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Počas podávania a 28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po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ukončení podávania 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môže dôjsť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zníženiu účinnosti hormonálnych kontraceptív. Počas liečby 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a počas 2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mesiacov po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poslednej dávke 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majú používať alternatívne nehormonálne </w:t>
      </w:r>
      <w:r w:rsidR="00C97975">
        <w:rPr>
          <w:rFonts w:ascii="Times New Roman" w:eastAsia="SimSun" w:hAnsi="Times New Roman" w:cs="Times New Roman"/>
          <w:lang w:eastAsia="fr-FR"/>
        </w:rPr>
        <w:t xml:space="preserve">dodatočné </w:t>
      </w:r>
      <w:r w:rsidRPr="00E35E38">
        <w:rPr>
          <w:rFonts w:ascii="Times New Roman" w:eastAsia="SimSun" w:hAnsi="Times New Roman" w:cs="Times New Roman"/>
          <w:lang w:eastAsia="fr-FR"/>
        </w:rPr>
        <w:t>formy antikoncepcie.</w:t>
      </w:r>
    </w:p>
    <w:p w14:paraId="446A3B0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A67CA6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klinickej štúdii boli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až 21 podávané jednorazové dávky perorálneho kontraceptíva obsahujúceho etinylestradiol a noretisterón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>, ktorý sa podával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 a 80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 a 10</w:t>
      </w:r>
      <w:r w:rsidR="002F3EE4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spolu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intravenóznym ondansetrónom 32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 a perorálnym dexametazónom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 a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8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2F3EE4" w:rsidRPr="00DE7BD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9, 10 a 11.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tejto štúdii sa počas dní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 až 21 znížili minimálne (trough) koncentrácie etinylestradiolu až 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64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a minimálne koncentrácie noretisterónu sa znížili až 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%.</w:t>
      </w:r>
    </w:p>
    <w:p w14:paraId="3ACD584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2C00A08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i/>
          <w:iCs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Antagonisty 5-HT</w:t>
      </w:r>
      <w:r w:rsidRPr="00E35E38">
        <w:rPr>
          <w:rFonts w:ascii="Times New Roman" w:eastAsia="SimSun" w:hAnsi="Times New Roman" w:cs="Times New Roman"/>
          <w:i/>
          <w:iCs/>
          <w:vertAlign w:val="subscript"/>
          <w:lang w:eastAsia="fr-FR"/>
        </w:rPr>
        <w:t>3</w:t>
      </w:r>
    </w:p>
    <w:p w14:paraId="4C4DD33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klinických interakčných štúdiách nemal aprepitant klinicky významný účinok na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farmakokinetiku ondansetrónu, granisetrónu alebo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h</w:t>
      </w:r>
      <w:r w:rsidRPr="00E35E38">
        <w:rPr>
          <w:rFonts w:ascii="Times New Roman" w:eastAsia="SimSun" w:hAnsi="Times New Roman" w:cs="Times New Roman"/>
          <w:lang w:eastAsia="fr-FR"/>
        </w:rPr>
        <w:t>ydrodolasetrónu (aktívny metabolit dolasetrónu).</w:t>
      </w:r>
    </w:p>
    <w:p w14:paraId="60AD883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C4FF45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Vplyv</w:t>
      </w:r>
      <w:r w:rsidR="002F3EE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iných</w:t>
      </w:r>
      <w:r w:rsidR="002F3EE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lie</w:t>
      </w:r>
      <w:r w:rsidRPr="00E35E38">
        <w:rPr>
          <w:rFonts w:ascii="Times New Roman" w:eastAsia="SimSun" w:hAnsi="Times New Roman" w:cs="Times New Roman"/>
          <w:spacing w:val="-1"/>
          <w:u w:val="single"/>
          <w:lang w:eastAsia="fr-FR"/>
        </w:rPr>
        <w:t>kov</w:t>
      </w:r>
      <w:r w:rsidR="002F3EE4" w:rsidRPr="00E35E38">
        <w:rPr>
          <w:rFonts w:ascii="Times New Roman" w:eastAsia="SimSun" w:hAnsi="Times New Roman" w:cs="Times New Roman"/>
          <w:spacing w:val="-1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na</w:t>
      </w:r>
      <w:r w:rsidR="002F3EE4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farmakokinetiku</w:t>
      </w:r>
      <w:r w:rsidR="002F3EE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aprepitantu</w:t>
      </w:r>
    </w:p>
    <w:p w14:paraId="225D43D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Pri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súbežnom podávaní 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liečivami, ktoré inhibujú aktivitu CYP3A4 (napr. ketokonazol, itrakonazol, vorikonazol, posakonazol, klaritromycín, telitromycín, nefazodón a inhibítory proteázy), je potrebné postupovať opatrne, pretože sa predpokladá, že táto kombinácia bude mať za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následok niekoľkonásobné zvýšenie plazmatickej koncentrácie aprepitantu (pozri časť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4.4).</w:t>
      </w:r>
    </w:p>
    <w:p w14:paraId="6F0126C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A3AD5E0" w14:textId="1C67481C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Súbežnému podávaniu 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liečivami, ktoré silne indukujú aktivitu CYP3A4 (napr. rifampicín, fenytoín, karbamazepín, fenobarbital), je potrebné sa vyhnúť, pretože táto kombinácia vedie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zníženým plazmatickým koncentráciám aprepitantu, čo môže spôsobiť zníženie účinnosti 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>. Súbežné podávanie 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rastlinnými prípravkami obsahujúcimi ľubovník bodkovaný</w:t>
      </w:r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(Hypericum</w:t>
      </w:r>
      <w:r w:rsidR="00EC461B" w:rsidRPr="00E35E38">
        <w:rPr>
          <w:rFonts w:ascii="Times New Roman" w:eastAsia="SimSun" w:hAnsi="Times New Roman" w:cs="Times New Roman"/>
          <w:i/>
          <w:iCs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perforatum)</w:t>
      </w:r>
      <w:r w:rsidRPr="00E35E38">
        <w:rPr>
          <w:rFonts w:ascii="Times New Roman" w:eastAsia="SimSun" w:hAnsi="Times New Roman" w:cs="Times New Roman"/>
          <w:lang w:eastAsia="fr-FR"/>
        </w:rPr>
        <w:t>sa neodporúča.</w:t>
      </w:r>
    </w:p>
    <w:p w14:paraId="5E2BC3D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50043A23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Ketokonazol</w:t>
      </w:r>
    </w:p>
    <w:p w14:paraId="4D372B4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podaní jednorazovej 125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dávky aprepitantu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 počas 10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dňového podávania ketokonazolu 400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deň, silného inhibítora CYP3A4, došlo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5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násobnému zvýšeniu AUC aprepitantu a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3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násobnému zvýšeniu priemerného terminálneho polčasu aprepitantu.</w:t>
      </w:r>
    </w:p>
    <w:p w14:paraId="588519F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541EF47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Rifampicín</w:t>
      </w:r>
    </w:p>
    <w:p w14:paraId="4D852267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podaní jednorazovej 375</w:t>
      </w:r>
      <w:r w:rsidR="002F3EE4"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dávky aprepitantu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 počas 14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-</w:t>
      </w:r>
      <w:r w:rsidR="002F3EE4" w:rsidRPr="00E35E38">
        <w:rPr>
          <w:rFonts w:ascii="Times New Roman" w:eastAsia="SimSun" w:hAnsi="Times New Roman" w:cs="Times New Roman"/>
          <w:spacing w:val="-4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dňového podávania rifampicínu 600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deň, silného induktora CYP3A4, došlo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z</w:t>
      </w:r>
      <w:r w:rsidRPr="00E35E38">
        <w:rPr>
          <w:rFonts w:ascii="Times New Roman" w:eastAsia="SimSun" w:hAnsi="Times New Roman" w:cs="Times New Roman"/>
          <w:lang w:eastAsia="fr-FR"/>
        </w:rPr>
        <w:t>níženiu AUC aprepitantu 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91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zníženiu priemerného terminálneho polčasu 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6</w:t>
      </w:r>
      <w:r w:rsidRPr="00E35E38">
        <w:rPr>
          <w:rFonts w:ascii="Times New Roman" w:eastAsia="SimSun" w:hAnsi="Times New Roman" w:cs="Times New Roman"/>
          <w:lang w:eastAsia="fr-FR"/>
        </w:rPr>
        <w:t>8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%.</w:t>
      </w:r>
    </w:p>
    <w:p w14:paraId="0785985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B313F88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u w:val="single"/>
          <w:lang w:eastAsia="fr-FR"/>
        </w:rPr>
        <w:lastRenderedPageBreak/>
        <w:t>Pediatrická populácia</w:t>
      </w:r>
    </w:p>
    <w:p w14:paraId="1B5F11A9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Interakčné štúdie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boli vykonané </w:t>
      </w:r>
      <w:r w:rsidRPr="00E35E38">
        <w:rPr>
          <w:rFonts w:ascii="Times New Roman" w:eastAsia="SimSun" w:hAnsi="Times New Roman" w:cs="Times New Roman"/>
          <w:lang w:eastAsia="fr-FR"/>
        </w:rPr>
        <w:t>len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dospelých.</w:t>
      </w:r>
    </w:p>
    <w:p w14:paraId="29353E49" w14:textId="77777777" w:rsidR="005D3283" w:rsidRPr="00DE7BD8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7AA351B4" w14:textId="77777777" w:rsidR="005D3283" w:rsidRPr="00DE7BD8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40" w:firstLine="0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DE7BD8">
        <w:rPr>
          <w:rFonts w:ascii="Times New Roman" w:eastAsia="Times New Roman" w:hAnsi="Times New Roman" w:cs="Times New Roman"/>
          <w:b/>
          <w:lang w:eastAsia="sk-SK" w:bidi="sk-SK"/>
        </w:rPr>
        <w:t>Fertilita, gravidita a laktácia</w:t>
      </w:r>
    </w:p>
    <w:p w14:paraId="668268C4" w14:textId="77777777" w:rsidR="005D3283" w:rsidRPr="00CF6EC9" w:rsidRDefault="005D3283">
      <w:pPr>
        <w:keepNext/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33FA032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Antikoncepcia u</w:t>
      </w:r>
      <w:r w:rsidR="001C1F0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mužov a žien</w:t>
      </w:r>
    </w:p>
    <w:p w14:paraId="1957510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Počas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podávania a 28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po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ukončení podávania aprepitant</w:t>
      </w:r>
      <w:r w:rsidR="001C1F0E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môže znížiť účinnosť hormonálnych kontraceptív. Počas liečby </w:t>
      </w:r>
      <w:r w:rsidR="001C1F0E" w:rsidRPr="00E35E38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prepitant</w:t>
      </w:r>
      <w:r w:rsidR="001C1F0E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a počas 2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mesiacov po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užití poslednej dávky aprepitant</w:t>
      </w:r>
      <w:r w:rsidR="001C1F0E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majú používať alternatívne nehormonálne </w:t>
      </w:r>
      <w:r w:rsidR="00DC3E54">
        <w:rPr>
          <w:rFonts w:ascii="Times New Roman" w:eastAsia="SimSun" w:hAnsi="Times New Roman" w:cs="Times New Roman"/>
          <w:lang w:eastAsia="fr-FR"/>
        </w:rPr>
        <w:t xml:space="preserve">dodatočné </w:t>
      </w:r>
      <w:r w:rsidRPr="00E35E38">
        <w:rPr>
          <w:rFonts w:ascii="Times New Roman" w:eastAsia="SimSun" w:hAnsi="Times New Roman" w:cs="Times New Roman"/>
          <w:lang w:eastAsia="fr-FR"/>
        </w:rPr>
        <w:t>metódy antikoncepcie (pozri časti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 a 4.5).</w:t>
      </w:r>
    </w:p>
    <w:p w14:paraId="45CD127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7499E7E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Gravidita</w:t>
      </w:r>
    </w:p>
    <w:p w14:paraId="0E522403" w14:textId="3AE1E44F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Pre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 nie sú k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dispozícii žiadne klinické údaje o</w:t>
      </w:r>
      <w:r w:rsidR="00DC3E54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graviditách</w:t>
      </w:r>
      <w:r w:rsidR="00DC3E54">
        <w:rPr>
          <w:rFonts w:ascii="Times New Roman" w:eastAsia="SimSun" w:hAnsi="Times New Roman" w:cs="Times New Roman"/>
          <w:lang w:eastAsia="fr-FR"/>
        </w:rPr>
        <w:t xml:space="preserve"> vystavených expozícii</w:t>
      </w:r>
      <w:r w:rsidRPr="00E35E38">
        <w:rPr>
          <w:rFonts w:ascii="Times New Roman" w:eastAsia="SimSun" w:hAnsi="Times New Roman" w:cs="Times New Roman"/>
          <w:lang w:eastAsia="fr-FR"/>
        </w:rPr>
        <w:t>. Potenciál aprepitantu na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reprodukčnú toxicitu nebol jasne stanovený, pretože v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štúdiách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zvieratách sa nemohli dosiahnuť vyššie expozičné hladiny ako terapeutická expozícia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ľudí pri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dávkach 125 mg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 mg. Tieto štúdie nepreukázali priame alebo nepriame škodlivé účinky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graviditu, embryonálny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fetálny vývoj, pôrod alebo postnatálny vývoj (pozri časť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5.3). Možné účinky zmien neurokinínovej regulácie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reprodukciu nie sú známe. </w:t>
      </w:r>
      <w:r w:rsidR="007A1F53" w:rsidRPr="00E35E38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prepitant sa nemá používať počas gravidity, pokiaľ to nie je úplne nevyhnutné.</w:t>
      </w:r>
    </w:p>
    <w:p w14:paraId="003C519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51216A6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Dojčenie</w:t>
      </w:r>
    </w:p>
    <w:p w14:paraId="41FB9228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 sa vylučuje do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mlieka </w:t>
      </w:r>
      <w:r w:rsidR="007A1F53" w:rsidRPr="00E35E38">
        <w:rPr>
          <w:rFonts w:ascii="Times New Roman" w:eastAsia="SimSun" w:hAnsi="Times New Roman" w:cs="Times New Roman"/>
          <w:lang w:eastAsia="fr-FR"/>
        </w:rPr>
        <w:t>laktujúcich</w:t>
      </w:r>
      <w:r w:rsidRPr="00E35E38">
        <w:rPr>
          <w:rFonts w:ascii="Times New Roman" w:eastAsia="SimSun" w:hAnsi="Times New Roman" w:cs="Times New Roman"/>
          <w:lang w:eastAsia="fr-FR"/>
        </w:rPr>
        <w:t xml:space="preserve"> potkanov. Nie je známe, či sa aprepitant vylučuje do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ľudského </w:t>
      </w:r>
      <w:r w:rsidR="007A1F53" w:rsidRPr="00E35E38">
        <w:rPr>
          <w:rFonts w:ascii="Times New Roman" w:eastAsia="SimSun" w:hAnsi="Times New Roman" w:cs="Times New Roman"/>
          <w:lang w:eastAsia="fr-FR"/>
        </w:rPr>
        <w:t xml:space="preserve">materského </w:t>
      </w:r>
      <w:r w:rsidRPr="00E35E38">
        <w:rPr>
          <w:rFonts w:ascii="Times New Roman" w:eastAsia="SimSun" w:hAnsi="Times New Roman" w:cs="Times New Roman"/>
          <w:lang w:eastAsia="fr-FR"/>
        </w:rPr>
        <w:t>mlieka, preto sa dojčenie počas liečby aprepitant</w:t>
      </w:r>
      <w:r w:rsidR="007A1F53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neodporúča.</w:t>
      </w:r>
    </w:p>
    <w:p w14:paraId="6B22E51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4BAA387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Fertilita</w:t>
      </w:r>
    </w:p>
    <w:p w14:paraId="772050A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Potenciál účinkov aprepitantu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fertilitu nebol jasne stanovený, pretože v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štúdiách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zvieratách sa nemohli dosiahnuť vyššie expozičné hladiny ako terapeutická expozícia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ľudí. Tieto štúdie fertility nepreukázali priame alebo nepriame škodlivé účinky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reprodukciu, fertilitu, embryonálny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fetálny vývoj alebo počet a pohyblivosť spermií (pozri časť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5.3).</w:t>
      </w:r>
    </w:p>
    <w:p w14:paraId="2DC3E67F" w14:textId="77777777" w:rsidR="005D3283" w:rsidRPr="00DE7BD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sk-SK" w:bidi="sk-SK"/>
        </w:rPr>
      </w:pPr>
    </w:p>
    <w:p w14:paraId="4F6E7479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Ovplyvnenie schopnosti viesť vozidlá a obsluhovať stroje</w:t>
      </w:r>
    </w:p>
    <w:p w14:paraId="5B7713BB" w14:textId="77777777" w:rsidR="005D3283" w:rsidRPr="00CF6EC9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23CDB9B" w14:textId="77777777" w:rsidR="005D3283" w:rsidRPr="00E35E38" w:rsidRDefault="007A1F5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Aprilene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 môže mať malý vplyv na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schopnosť viesť vozidlá, bicyklovať sa a obsluhovať stroje. Po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podaní lieku </w:t>
      </w:r>
      <w:r w:rsidRPr="00E35E38">
        <w:rPr>
          <w:rFonts w:ascii="Times New Roman" w:eastAsia="SimSun" w:hAnsi="Times New Roman" w:cs="Times New Roman"/>
          <w:lang w:eastAsia="fr-FR"/>
        </w:rPr>
        <w:t>Aprilene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 sa môže objaviť závrat a únava (pozri časť</w:t>
      </w:r>
      <w:r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4.8).</w:t>
      </w:r>
    </w:p>
    <w:p w14:paraId="73C187A5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27DC9F1" w14:textId="77777777" w:rsidR="005D3283" w:rsidRPr="00E35E38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Nežiaduce účinky</w:t>
      </w:r>
    </w:p>
    <w:p w14:paraId="0EB8FCD8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9C89939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Súhrn bezpečnostného profilu</w:t>
      </w:r>
    </w:p>
    <w:p w14:paraId="4FAB06B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Bezpečnostný profil aprepitantu sa hodnotil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6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500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vo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viac ako 50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štúdiách a 184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detí a dospievajúcich v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pivotných pediatrických klinických skúšaniach.</w:t>
      </w:r>
    </w:p>
    <w:p w14:paraId="6F2E2AC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92BA48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dostávajúcich vysoko emetogénnu chemoterapiu (HEC) boli najčastejšími nežiaducimi reakciami, pri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ktorých bola hlásená vyššia incidencia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liečených režimom s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aprepitantom ako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liečených štandardnou liečbou: štikútanie (4,6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2,9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%), zvýšenie alanínamino- transferázy (ALT) (2,8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1,1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%), dyspepsia (2,6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2,0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%), zápcha (2,4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2,0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%), bolesť hlavy (2,0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1,8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 a znížená chuť do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jedla (2,0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0,5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%).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dostávajúcich stredne emetogénnu chemoterapiu (MEC) najčastejšou nežiaducou reakciou, ktorá sa vyskytla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vyššou incidenciou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liečených režimom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aprepitantom než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liečených štandardnou terapiou, bola únava (1,4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0,9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%).</w:t>
      </w:r>
    </w:p>
    <w:p w14:paraId="7A549F1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B684ED0" w14:textId="07007F86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Najčastejšími nežiaducimi reakciami hlásenými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väčšou incidenciou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pediatrických pacientov liečených režimom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aprepitantom ako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kontrolným režimom počas </w:t>
      </w:r>
      <w:r w:rsidR="00DC3E54">
        <w:rPr>
          <w:rFonts w:ascii="Times New Roman" w:eastAsia="SimSun" w:hAnsi="Times New Roman" w:cs="Times New Roman"/>
          <w:lang w:eastAsia="fr-FR"/>
        </w:rPr>
        <w:t>podávania</w:t>
      </w:r>
      <w:r w:rsidRPr="00E35E38">
        <w:rPr>
          <w:rFonts w:ascii="Times New Roman" w:eastAsia="SimSun" w:hAnsi="Times New Roman" w:cs="Times New Roman"/>
          <w:lang w:eastAsia="fr-FR"/>
        </w:rPr>
        <w:t xml:space="preserve"> emetogénnej protirakovinovej chemoterapie boli štikútanie (3,3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0,0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 a začervenanie (1,1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0,0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%).</w:t>
      </w:r>
    </w:p>
    <w:p w14:paraId="0BA4350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593924E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lastRenderedPageBreak/>
        <w:t>Tabuľkový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zoznam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nežiaducich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reakcií</w:t>
      </w:r>
    </w:p>
    <w:p w14:paraId="796093B9" w14:textId="173BABB8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združenej analýze štúdií HEC a MEC sa pozorovali nasledujúce nežiaduce reakcie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incidenciou vyššou pri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aprepitante ako </w:t>
      </w:r>
      <w:r w:rsidR="00DC3E54" w:rsidRPr="00DC3E54">
        <w:rPr>
          <w:rFonts w:ascii="Times New Roman" w:eastAsia="SimSun" w:hAnsi="Times New Roman" w:cs="Times New Roman"/>
          <w:lang w:eastAsia="fr-FR"/>
        </w:rPr>
        <w:t xml:space="preserve">pri štandardnej liečbe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alebo pediatrických pacientov alebo pri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používaní lieku po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jeho uvedení na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trh. Kategórie frekvencie uvedené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tabuľke sú založené na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štúdiách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dospelých; pozorované frekvencie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pediatrických štúdiách boli podobné alebo nižšie</w:t>
      </w:r>
      <w:r w:rsidR="006A35D0">
        <w:rPr>
          <w:rFonts w:ascii="Times New Roman" w:eastAsia="SimSun" w:hAnsi="Times New Roman" w:cs="Times New Roman"/>
          <w:lang w:eastAsia="fr-FR"/>
        </w:rPr>
        <w:t>,</w:t>
      </w:r>
      <w:r w:rsidR="006A35D0" w:rsidRPr="006A35D0">
        <w:t xml:space="preserve"> </w:t>
      </w:r>
      <w:r w:rsidR="006A35D0" w:rsidRPr="006A35D0">
        <w:rPr>
          <w:rFonts w:ascii="Times New Roman" w:eastAsia="SimSun" w:hAnsi="Times New Roman" w:cs="Times New Roman"/>
          <w:lang w:eastAsia="fr-FR"/>
        </w:rPr>
        <w:t>pokiaľ nie sú uvedené v tabuľke</w:t>
      </w:r>
      <w:r w:rsidRPr="00E35E38">
        <w:rPr>
          <w:rFonts w:ascii="Times New Roman" w:eastAsia="SimSun" w:hAnsi="Times New Roman" w:cs="Times New Roman"/>
          <w:lang w:eastAsia="fr-FR"/>
        </w:rPr>
        <w:t>. Niektoré menej časté nežiaduce reakcie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populácii dospelých sa nepozorovali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pediatrických štúdiách.</w:t>
      </w:r>
    </w:p>
    <w:p w14:paraId="091014C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8FAA1D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Frekvencie sú definované ako: veľmi časté (≥1/10); časté (≥1/100 až &lt; 1/10); menej časté (≥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1/</w:t>
      </w:r>
      <w:r w:rsidRPr="00E35E38">
        <w:rPr>
          <w:rFonts w:ascii="Times New Roman" w:eastAsia="SimSun" w:hAnsi="Times New Roman" w:cs="Times New Roman"/>
          <w:lang w:eastAsia="fr-FR"/>
        </w:rPr>
        <w:t xml:space="preserve">1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000 a</w:t>
      </w:r>
      <w:r w:rsidRPr="00E35E38">
        <w:rPr>
          <w:rFonts w:ascii="Times New Roman" w:eastAsia="SimSun" w:hAnsi="Times New Roman" w:cs="Times New Roman"/>
          <w:lang w:eastAsia="fr-FR"/>
        </w:rPr>
        <w:t xml:space="preserve">ž&lt; 1/100); zriedkavé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(</w:t>
      </w:r>
      <w:r w:rsidRPr="00E35E38">
        <w:rPr>
          <w:rFonts w:ascii="Times New Roman" w:eastAsia="SimSun" w:hAnsi="Times New Roman" w:cs="Times New Roman"/>
          <w:lang w:eastAsia="fr-FR"/>
        </w:rPr>
        <w:t>≥1/10 000 až &lt;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1/</w:t>
      </w:r>
      <w:r w:rsidRPr="00E35E38">
        <w:rPr>
          <w:rFonts w:ascii="Times New Roman" w:eastAsia="SimSun" w:hAnsi="Times New Roman" w:cs="Times New Roman"/>
          <w:lang w:eastAsia="fr-FR"/>
        </w:rPr>
        <w:t xml:space="preserve">1 000) a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veľm</w:t>
      </w:r>
      <w:r w:rsidRPr="00E35E38">
        <w:rPr>
          <w:rFonts w:ascii="Times New Roman" w:eastAsia="SimSun" w:hAnsi="Times New Roman" w:cs="Times New Roman"/>
          <w:lang w:eastAsia="fr-FR"/>
        </w:rPr>
        <w:t>i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zriedkav</w:t>
      </w:r>
      <w:r w:rsidRPr="00E35E38">
        <w:rPr>
          <w:rFonts w:ascii="Times New Roman" w:eastAsia="SimSun" w:hAnsi="Times New Roman" w:cs="Times New Roman"/>
          <w:lang w:eastAsia="fr-FR"/>
        </w:rPr>
        <w:t>é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(</w:t>
      </w:r>
      <w:r w:rsidRPr="00E35E38">
        <w:rPr>
          <w:rFonts w:ascii="Times New Roman" w:eastAsia="SimSun" w:hAnsi="Times New Roman" w:cs="Times New Roman"/>
          <w:lang w:eastAsia="fr-FR"/>
        </w:rPr>
        <w:t xml:space="preserve">&lt; 1/10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000)</w:t>
      </w:r>
      <w:r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neznáme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(</w:t>
      </w:r>
      <w:r w:rsidRPr="00E35E38">
        <w:rPr>
          <w:rFonts w:ascii="Times New Roman" w:eastAsia="SimSun" w:hAnsi="Times New Roman" w:cs="Times New Roman"/>
          <w:lang w:eastAsia="fr-FR"/>
        </w:rPr>
        <w:t>z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dostupných údajov).</w:t>
      </w:r>
    </w:p>
    <w:p w14:paraId="5220674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4388"/>
        <w:gridCol w:w="1705"/>
      </w:tblGrid>
      <w:tr w:rsidR="005D3283" w:rsidRPr="00E35E38" w14:paraId="25B82A90" w14:textId="77777777" w:rsidTr="00C50E87">
        <w:trPr>
          <w:trHeight w:hRule="exact" w:val="262"/>
        </w:trPr>
        <w:tc>
          <w:tcPr>
            <w:tcW w:w="2983" w:type="dxa"/>
          </w:tcPr>
          <w:p w14:paraId="4026563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lastRenderedPageBreak/>
              <w:t>Trieda orgánových systémov</w:t>
            </w:r>
          </w:p>
        </w:tc>
        <w:tc>
          <w:tcPr>
            <w:tcW w:w="4388" w:type="dxa"/>
          </w:tcPr>
          <w:p w14:paraId="19C69D3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Nežiaduca reakcia</w:t>
            </w:r>
          </w:p>
        </w:tc>
        <w:tc>
          <w:tcPr>
            <w:tcW w:w="1705" w:type="dxa"/>
          </w:tcPr>
          <w:p w14:paraId="738A8FB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Frekvencia</w:t>
            </w:r>
          </w:p>
        </w:tc>
      </w:tr>
      <w:tr w:rsidR="005D3283" w:rsidRPr="00E35E38" w14:paraId="7ADDFD6E" w14:textId="77777777" w:rsidTr="00C50E87">
        <w:trPr>
          <w:trHeight w:hRule="exact" w:val="264"/>
        </w:trPr>
        <w:tc>
          <w:tcPr>
            <w:tcW w:w="2983" w:type="dxa"/>
          </w:tcPr>
          <w:p w14:paraId="25458A1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Infekcie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nákazy</w:t>
            </w:r>
          </w:p>
        </w:tc>
        <w:tc>
          <w:tcPr>
            <w:tcW w:w="4388" w:type="dxa"/>
          </w:tcPr>
          <w:p w14:paraId="77CF5B8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kandidóza, stafylokoková infekcia</w:t>
            </w:r>
          </w:p>
        </w:tc>
        <w:tc>
          <w:tcPr>
            <w:tcW w:w="1705" w:type="dxa"/>
          </w:tcPr>
          <w:p w14:paraId="68F7860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ri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edkavé</w:t>
            </w:r>
          </w:p>
        </w:tc>
      </w:tr>
      <w:tr w:rsidR="005D3283" w:rsidRPr="00E35E38" w14:paraId="50095C30" w14:textId="77777777" w:rsidTr="00C50E87">
        <w:trPr>
          <w:trHeight w:hRule="exact" w:val="516"/>
        </w:trPr>
        <w:tc>
          <w:tcPr>
            <w:tcW w:w="2983" w:type="dxa"/>
          </w:tcPr>
          <w:p w14:paraId="31504FF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Poruchy krvi a lymfatického 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systému</w:t>
            </w:r>
          </w:p>
        </w:tc>
        <w:tc>
          <w:tcPr>
            <w:tcW w:w="4388" w:type="dxa"/>
          </w:tcPr>
          <w:p w14:paraId="7118528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febrilná neutropénia, anémia</w:t>
            </w:r>
          </w:p>
        </w:tc>
        <w:tc>
          <w:tcPr>
            <w:tcW w:w="1705" w:type="dxa"/>
          </w:tcPr>
          <w:p w14:paraId="4D22EDC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16ADF55B" w14:textId="77777777" w:rsidTr="00C50E87">
        <w:trPr>
          <w:trHeight w:hRule="exact" w:val="516"/>
        </w:trPr>
        <w:tc>
          <w:tcPr>
            <w:tcW w:w="2983" w:type="dxa"/>
          </w:tcPr>
          <w:p w14:paraId="1222764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Poruch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y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imunitnéh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o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systému</w:t>
            </w:r>
          </w:p>
        </w:tc>
        <w:tc>
          <w:tcPr>
            <w:tcW w:w="4388" w:type="dxa"/>
          </w:tcPr>
          <w:p w14:paraId="4F21522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reakcie z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precitlivenosti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,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vrátane anafylaktických reakcií</w:t>
            </w:r>
          </w:p>
        </w:tc>
        <w:tc>
          <w:tcPr>
            <w:tcW w:w="1705" w:type="dxa"/>
          </w:tcPr>
          <w:p w14:paraId="4C593E0A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eznáme</w:t>
            </w:r>
          </w:p>
        </w:tc>
      </w:tr>
      <w:tr w:rsidR="005D3283" w:rsidRPr="00E35E38" w14:paraId="2C47173B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2AAA50D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metabolizmu</w:t>
            </w:r>
            <w:r w:rsidR="001166C1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 výživy</w:t>
            </w:r>
          </w:p>
        </w:tc>
        <w:tc>
          <w:tcPr>
            <w:tcW w:w="4388" w:type="dxa"/>
          </w:tcPr>
          <w:p w14:paraId="62ED1FF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znížená chuť do jedla</w:t>
            </w:r>
          </w:p>
        </w:tc>
        <w:tc>
          <w:tcPr>
            <w:tcW w:w="1705" w:type="dxa"/>
          </w:tcPr>
          <w:p w14:paraId="3DEF9C2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07F9847E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3E5304B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1E8582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polydipsia</w:t>
            </w:r>
          </w:p>
        </w:tc>
        <w:tc>
          <w:tcPr>
            <w:tcW w:w="1705" w:type="dxa"/>
          </w:tcPr>
          <w:p w14:paraId="198B16E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ried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k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avé</w:t>
            </w:r>
          </w:p>
        </w:tc>
      </w:tr>
      <w:tr w:rsidR="005D3283" w:rsidRPr="00E35E38" w14:paraId="535A8FEA" w14:textId="77777777" w:rsidTr="00C50E87">
        <w:trPr>
          <w:trHeight w:hRule="exact" w:val="262"/>
        </w:trPr>
        <w:tc>
          <w:tcPr>
            <w:tcW w:w="2983" w:type="dxa"/>
            <w:vMerge w:val="restart"/>
          </w:tcPr>
          <w:p w14:paraId="0A5C859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Psychické poruchy</w:t>
            </w:r>
          </w:p>
        </w:tc>
        <w:tc>
          <w:tcPr>
            <w:tcW w:w="4388" w:type="dxa"/>
          </w:tcPr>
          <w:p w14:paraId="1A7D544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zkosť</w:t>
            </w:r>
          </w:p>
        </w:tc>
        <w:tc>
          <w:tcPr>
            <w:tcW w:w="1705" w:type="dxa"/>
          </w:tcPr>
          <w:p w14:paraId="55164B7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43E2166D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544FE2D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7BF36D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dezorientácia, euforická nálada</w:t>
            </w:r>
          </w:p>
        </w:tc>
        <w:tc>
          <w:tcPr>
            <w:tcW w:w="1705" w:type="dxa"/>
          </w:tcPr>
          <w:p w14:paraId="1DA7A7E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3C8D990E" w14:textId="77777777" w:rsidTr="00C50E87">
        <w:trPr>
          <w:trHeight w:hRule="exact" w:val="262"/>
        </w:trPr>
        <w:tc>
          <w:tcPr>
            <w:tcW w:w="2983" w:type="dxa"/>
            <w:vMerge w:val="restart"/>
          </w:tcPr>
          <w:p w14:paraId="5383199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nervového systému</w:t>
            </w:r>
          </w:p>
        </w:tc>
        <w:tc>
          <w:tcPr>
            <w:tcW w:w="4388" w:type="dxa"/>
          </w:tcPr>
          <w:p w14:paraId="677935A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bolesť hlavy</w:t>
            </w:r>
          </w:p>
        </w:tc>
        <w:tc>
          <w:tcPr>
            <w:tcW w:w="1705" w:type="dxa"/>
          </w:tcPr>
          <w:p w14:paraId="300B4CC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237E76F9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1F35865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6370037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závrat, somnolencia</w:t>
            </w:r>
          </w:p>
        </w:tc>
        <w:tc>
          <w:tcPr>
            <w:tcW w:w="1705" w:type="dxa"/>
          </w:tcPr>
          <w:p w14:paraId="5B428F40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317D4777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45A6F770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316F5A61" w14:textId="67375DE6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kognitívna porucha, letargia,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dysge</w:t>
            </w:r>
            <w:r w:rsidR="001166C1">
              <w:rPr>
                <w:rFonts w:ascii="Times New Roman" w:eastAsia="SimSun" w:hAnsi="Times New Roman" w:cs="Times New Roman"/>
                <w:spacing w:val="-1"/>
                <w:lang w:eastAsia="fr-FR"/>
              </w:rPr>
              <w:t>ú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zia</w:t>
            </w:r>
          </w:p>
        </w:tc>
        <w:tc>
          <w:tcPr>
            <w:tcW w:w="1705" w:type="dxa"/>
          </w:tcPr>
          <w:p w14:paraId="17EB1B2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756C53F0" w14:textId="77777777" w:rsidTr="00C50E87">
        <w:trPr>
          <w:trHeight w:hRule="exact" w:val="262"/>
        </w:trPr>
        <w:tc>
          <w:tcPr>
            <w:tcW w:w="2983" w:type="dxa"/>
          </w:tcPr>
          <w:p w14:paraId="2E2B5EB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oka</w:t>
            </w:r>
          </w:p>
        </w:tc>
        <w:tc>
          <w:tcPr>
            <w:tcW w:w="4388" w:type="dxa"/>
          </w:tcPr>
          <w:p w14:paraId="50DDA56A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k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onjunktivitída</w:t>
            </w:r>
          </w:p>
        </w:tc>
        <w:tc>
          <w:tcPr>
            <w:tcW w:w="1705" w:type="dxa"/>
          </w:tcPr>
          <w:p w14:paraId="621FB4EA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506005BB" w14:textId="77777777" w:rsidTr="00C50E87">
        <w:trPr>
          <w:trHeight w:hRule="exact" w:val="264"/>
        </w:trPr>
        <w:tc>
          <w:tcPr>
            <w:tcW w:w="2983" w:type="dxa"/>
          </w:tcPr>
          <w:p w14:paraId="57DD23B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ucha a labyrintu</w:t>
            </w:r>
          </w:p>
        </w:tc>
        <w:tc>
          <w:tcPr>
            <w:tcW w:w="4388" w:type="dxa"/>
          </w:tcPr>
          <w:p w14:paraId="59AFCAF7" w14:textId="521A3943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t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initus</w:t>
            </w:r>
          </w:p>
        </w:tc>
        <w:tc>
          <w:tcPr>
            <w:tcW w:w="1705" w:type="dxa"/>
          </w:tcPr>
          <w:p w14:paraId="480A5B5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48F6FD75" w14:textId="77777777" w:rsidTr="00C50E87">
        <w:trPr>
          <w:trHeight w:hRule="exact" w:val="262"/>
        </w:trPr>
        <w:tc>
          <w:tcPr>
            <w:tcW w:w="2983" w:type="dxa"/>
            <w:vMerge w:val="restart"/>
          </w:tcPr>
          <w:p w14:paraId="0EC8B5F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srdca a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srdcovej činnosti</w:t>
            </w:r>
          </w:p>
        </w:tc>
        <w:tc>
          <w:tcPr>
            <w:tcW w:w="4388" w:type="dxa"/>
          </w:tcPr>
          <w:p w14:paraId="44F8C4A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palpitácie</w:t>
            </w:r>
          </w:p>
        </w:tc>
        <w:tc>
          <w:tcPr>
            <w:tcW w:w="1705" w:type="dxa"/>
          </w:tcPr>
          <w:p w14:paraId="169E10C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532D6357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466656C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5F1D0CDA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bradykardia, kardiovaskulárna porucha</w:t>
            </w:r>
          </w:p>
        </w:tc>
        <w:tc>
          <w:tcPr>
            <w:tcW w:w="1705" w:type="dxa"/>
          </w:tcPr>
          <w:p w14:paraId="7882F63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553F2D23" w14:textId="77777777" w:rsidTr="00C50E87">
        <w:trPr>
          <w:trHeight w:hRule="exact" w:val="262"/>
        </w:trPr>
        <w:tc>
          <w:tcPr>
            <w:tcW w:w="2983" w:type="dxa"/>
          </w:tcPr>
          <w:p w14:paraId="0F48F11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ciev</w:t>
            </w:r>
          </w:p>
        </w:tc>
        <w:tc>
          <w:tcPr>
            <w:tcW w:w="4388" w:type="dxa"/>
          </w:tcPr>
          <w:p w14:paraId="7C55320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nával tepl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a</w:t>
            </w: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/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ačervenanie</w:t>
            </w:r>
          </w:p>
        </w:tc>
        <w:tc>
          <w:tcPr>
            <w:tcW w:w="1705" w:type="dxa"/>
          </w:tcPr>
          <w:p w14:paraId="6B6D255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27C42CD9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73B3752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dýchacej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sústavy, hrudníka a mediastína</w:t>
            </w:r>
          </w:p>
        </w:tc>
        <w:tc>
          <w:tcPr>
            <w:tcW w:w="4388" w:type="dxa"/>
          </w:tcPr>
          <w:p w14:paraId="46A2200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šti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kútanie</w:t>
            </w:r>
          </w:p>
        </w:tc>
        <w:tc>
          <w:tcPr>
            <w:tcW w:w="1705" w:type="dxa"/>
          </w:tcPr>
          <w:p w14:paraId="54B4664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6070422D" w14:textId="77777777" w:rsidTr="00C50E87">
        <w:trPr>
          <w:trHeight w:hRule="exact" w:val="516"/>
        </w:trPr>
        <w:tc>
          <w:tcPr>
            <w:tcW w:w="2983" w:type="dxa"/>
            <w:vMerge/>
          </w:tcPr>
          <w:p w14:paraId="2BF95B1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8298962" w14:textId="5313B115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orofaryngeálna bolesť, kýchanie, kašeľ, výtok hlienu z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nosa do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h</w:t>
            </w:r>
            <w:r w:rsidR="00FA0256">
              <w:rPr>
                <w:rFonts w:ascii="Times New Roman" w:eastAsia="SimSun" w:hAnsi="Times New Roman" w:cs="Times New Roman"/>
                <w:lang w:eastAsia="fr-FR"/>
              </w:rPr>
              <w:t>l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tanu, podráždenie hrdla</w:t>
            </w:r>
          </w:p>
        </w:tc>
        <w:tc>
          <w:tcPr>
            <w:tcW w:w="1705" w:type="dxa"/>
          </w:tcPr>
          <w:p w14:paraId="0C88354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0CBDBF0F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4DA7955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gastrointestinálneho traktu</w:t>
            </w:r>
          </w:p>
        </w:tc>
        <w:tc>
          <w:tcPr>
            <w:tcW w:w="4388" w:type="dxa"/>
          </w:tcPr>
          <w:p w14:paraId="3118C7A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zápcha, dyspepsia</w:t>
            </w:r>
          </w:p>
        </w:tc>
        <w:tc>
          <w:tcPr>
            <w:tcW w:w="1705" w:type="dxa"/>
          </w:tcPr>
          <w:p w14:paraId="1EB123F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075E5A1E" w14:textId="77777777" w:rsidTr="00C50E87">
        <w:trPr>
          <w:trHeight w:hRule="exact" w:val="913"/>
        </w:trPr>
        <w:tc>
          <w:tcPr>
            <w:tcW w:w="2983" w:type="dxa"/>
            <w:vMerge/>
          </w:tcPr>
          <w:p w14:paraId="66574D6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3E408583" w14:textId="357D4221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eruktácia, nauze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a</w:t>
            </w:r>
            <w:r w:rsidRPr="00E35E38">
              <w:rPr>
                <w:rFonts w:ascii="Times New Roman" w:eastAsia="SimSun" w:hAnsi="Times New Roman" w:cs="Times New Roman"/>
                <w:spacing w:val="2"/>
                <w:position w:val="10"/>
                <w:vertAlign w:val="superscript"/>
                <w:lang w:eastAsia="fr-FR"/>
              </w:rPr>
              <w:t>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,vracani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e</w:t>
            </w:r>
            <w:r w:rsidRPr="00E35E38">
              <w:rPr>
                <w:rFonts w:ascii="Times New Roman" w:eastAsia="SimSun" w:hAnsi="Times New Roman" w:cs="Times New Roman"/>
                <w:spacing w:val="2"/>
                <w:position w:val="10"/>
                <w:vertAlign w:val="superscript"/>
                <w:lang w:eastAsia="fr-FR"/>
              </w:rPr>
              <w:t>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, gastroezof</w:t>
            </w:r>
            <w:r w:rsidR="00FA0256">
              <w:rPr>
                <w:rFonts w:ascii="Times New Roman" w:eastAsia="SimSun" w:hAnsi="Times New Roman" w:cs="Times New Roman"/>
                <w:lang w:eastAsia="fr-FR"/>
              </w:rPr>
              <w:t>ágová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refluxová choroba, bolesť brucha, sucho 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ústach,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flatulencia</w:t>
            </w:r>
          </w:p>
        </w:tc>
        <w:tc>
          <w:tcPr>
            <w:tcW w:w="1705" w:type="dxa"/>
          </w:tcPr>
          <w:p w14:paraId="4C4ED56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31235B9D" w14:textId="77777777" w:rsidTr="00C50E87">
        <w:trPr>
          <w:trHeight w:hRule="exact" w:val="768"/>
        </w:trPr>
        <w:tc>
          <w:tcPr>
            <w:tcW w:w="2983" w:type="dxa"/>
            <w:vMerge/>
          </w:tcPr>
          <w:p w14:paraId="49B3E81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5DCC21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perforácia vredu dvanástnika, stomatitída, abdominálna distenzia, tvrdá stolica, neutropenická kolitída</w:t>
            </w:r>
          </w:p>
        </w:tc>
        <w:tc>
          <w:tcPr>
            <w:tcW w:w="1705" w:type="dxa"/>
          </w:tcPr>
          <w:p w14:paraId="510E6AC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223B4F83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347E718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kože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 podkožného tkaniva</w:t>
            </w:r>
          </w:p>
        </w:tc>
        <w:tc>
          <w:tcPr>
            <w:tcW w:w="4388" w:type="dxa"/>
          </w:tcPr>
          <w:p w14:paraId="71D5F33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vyrážka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,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akné</w:t>
            </w:r>
          </w:p>
        </w:tc>
        <w:tc>
          <w:tcPr>
            <w:tcW w:w="1705" w:type="dxa"/>
          </w:tcPr>
          <w:p w14:paraId="37DFDD5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76CF2E75" w14:textId="77777777" w:rsidTr="00C50E87">
        <w:trPr>
          <w:trHeight w:hRule="exact" w:val="1022"/>
        </w:trPr>
        <w:tc>
          <w:tcPr>
            <w:tcW w:w="2983" w:type="dxa"/>
            <w:vMerge/>
          </w:tcPr>
          <w:p w14:paraId="5866268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61E23136" w14:textId="0ADDC6C2" w:rsidR="005D3283" w:rsidRPr="00E35E38" w:rsidRDefault="005D3283" w:rsidP="00A933E2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fotosenzitívna reakcia, hyperh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i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dróza, seborea, kožná lézia, pruritická vyrážka, Stevenso</w:t>
            </w:r>
            <w:r w:rsidRPr="00E35E38">
              <w:rPr>
                <w:rFonts w:ascii="Times New Roman" w:eastAsia="SimSun" w:hAnsi="Times New Roman" w:cs="Times New Roman"/>
                <w:spacing w:val="-3"/>
                <w:lang w:eastAsia="fr-FR"/>
              </w:rPr>
              <w:t>v</w:t>
            </w:r>
            <w:r w:rsidR="00124BC4" w:rsidRPr="00DE7BD8">
              <w:rPr>
                <w:rFonts w:ascii="Times New Roman" w:eastAsia="SimSun" w:hAnsi="Times New Roman" w:cs="Times New Roman"/>
                <w:spacing w:val="-3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-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3"/>
                <w:lang w:eastAsia="fr-FR"/>
              </w:rPr>
              <w:t>J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o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hnsonov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syndró</w:t>
            </w:r>
            <w:r w:rsidRPr="00E35E38">
              <w:rPr>
                <w:rFonts w:ascii="Times New Roman" w:eastAsia="SimSun" w:hAnsi="Times New Roman" w:cs="Times New Roman"/>
                <w:spacing w:val="-4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/toxická epidermálna 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nekrolýza</w:t>
            </w:r>
          </w:p>
        </w:tc>
        <w:tc>
          <w:tcPr>
            <w:tcW w:w="1705" w:type="dxa"/>
          </w:tcPr>
          <w:p w14:paraId="3D86C8B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0AC4D54A" w14:textId="77777777" w:rsidTr="00C50E87">
        <w:trPr>
          <w:trHeight w:hRule="exact" w:val="262"/>
        </w:trPr>
        <w:tc>
          <w:tcPr>
            <w:tcW w:w="2983" w:type="dxa"/>
            <w:vMerge/>
          </w:tcPr>
          <w:p w14:paraId="053622C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86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08E047D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pruritus, urtikária</w:t>
            </w:r>
          </w:p>
        </w:tc>
        <w:tc>
          <w:tcPr>
            <w:tcW w:w="1705" w:type="dxa"/>
          </w:tcPr>
          <w:p w14:paraId="1F2FE08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eznáme</w:t>
            </w:r>
          </w:p>
        </w:tc>
      </w:tr>
      <w:tr w:rsidR="005D3283" w:rsidRPr="00E35E38" w14:paraId="748FB93E" w14:textId="77777777" w:rsidTr="00C50E87">
        <w:trPr>
          <w:trHeight w:hRule="exact" w:val="516"/>
        </w:trPr>
        <w:tc>
          <w:tcPr>
            <w:tcW w:w="2983" w:type="dxa"/>
          </w:tcPr>
          <w:p w14:paraId="3C37273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kostrovej a svalovej sústavy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spojivového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tkaniva</w:t>
            </w:r>
          </w:p>
        </w:tc>
        <w:tc>
          <w:tcPr>
            <w:tcW w:w="4388" w:type="dxa"/>
          </w:tcPr>
          <w:p w14:paraId="2AE9213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svalová slabosť, svalové kŕče</w:t>
            </w:r>
          </w:p>
        </w:tc>
        <w:tc>
          <w:tcPr>
            <w:tcW w:w="1705" w:type="dxa"/>
          </w:tcPr>
          <w:p w14:paraId="4CABC41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1A79F92F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48C2738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obličiek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močovej sústavy</w:t>
            </w:r>
          </w:p>
        </w:tc>
        <w:tc>
          <w:tcPr>
            <w:tcW w:w="4388" w:type="dxa"/>
          </w:tcPr>
          <w:p w14:paraId="66D6495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dyzúria</w:t>
            </w:r>
          </w:p>
        </w:tc>
        <w:tc>
          <w:tcPr>
            <w:tcW w:w="1705" w:type="dxa"/>
          </w:tcPr>
          <w:p w14:paraId="45C7BBB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3353F333" w14:textId="77777777" w:rsidTr="00C50E87">
        <w:trPr>
          <w:trHeight w:hRule="exact" w:val="262"/>
        </w:trPr>
        <w:tc>
          <w:tcPr>
            <w:tcW w:w="2983" w:type="dxa"/>
            <w:vMerge/>
          </w:tcPr>
          <w:p w14:paraId="54594A6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0088327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polakizúria</w:t>
            </w:r>
          </w:p>
        </w:tc>
        <w:tc>
          <w:tcPr>
            <w:tcW w:w="1705" w:type="dxa"/>
          </w:tcPr>
          <w:p w14:paraId="0404483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52B87EB6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36A5C2DA" w14:textId="77777777" w:rsidR="005D3283" w:rsidRPr="00E35E38" w:rsidRDefault="005D3283" w:rsidP="00124BC4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Celkové poruchy a reakcie 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mieste podania</w:t>
            </w:r>
          </w:p>
        </w:tc>
        <w:tc>
          <w:tcPr>
            <w:tcW w:w="4388" w:type="dxa"/>
          </w:tcPr>
          <w:p w14:paraId="1030FF2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nava</w:t>
            </w:r>
          </w:p>
        </w:tc>
        <w:tc>
          <w:tcPr>
            <w:tcW w:w="1705" w:type="dxa"/>
          </w:tcPr>
          <w:p w14:paraId="42B91DC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185281D0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0AE1EC0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8288F34" w14:textId="215EBB1D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asténi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a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,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</w:t>
            </w:r>
            <w:r w:rsidR="0058212F">
              <w:rPr>
                <w:rFonts w:ascii="Times New Roman" w:eastAsia="SimSun" w:hAnsi="Times New Roman" w:cs="Times New Roman"/>
                <w:spacing w:val="-1"/>
                <w:lang w:eastAsia="fr-FR"/>
              </w:rPr>
              <w:t>nevoľnosť</w:t>
            </w:r>
          </w:p>
        </w:tc>
        <w:tc>
          <w:tcPr>
            <w:tcW w:w="1705" w:type="dxa"/>
          </w:tcPr>
          <w:p w14:paraId="670A7C6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6BE45C46" w14:textId="77777777" w:rsidTr="00C50E87">
        <w:trPr>
          <w:trHeight w:hRule="exact" w:val="262"/>
        </w:trPr>
        <w:tc>
          <w:tcPr>
            <w:tcW w:w="2983" w:type="dxa"/>
            <w:vMerge/>
          </w:tcPr>
          <w:p w14:paraId="304AC39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3F3EF03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edém,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d</w:t>
            </w: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i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skomfort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hrudníka,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porucha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chôdze</w:t>
            </w:r>
          </w:p>
        </w:tc>
        <w:tc>
          <w:tcPr>
            <w:tcW w:w="1705" w:type="dxa"/>
          </w:tcPr>
          <w:p w14:paraId="6C9359A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0DDAA38E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32B4D13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Laboratórne a funkčné vyšetrenia</w:t>
            </w:r>
          </w:p>
        </w:tc>
        <w:tc>
          <w:tcPr>
            <w:tcW w:w="4388" w:type="dxa"/>
          </w:tcPr>
          <w:p w14:paraId="5DCAA7C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zvýšenie 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A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LT</w:t>
            </w:r>
          </w:p>
        </w:tc>
        <w:tc>
          <w:tcPr>
            <w:tcW w:w="1705" w:type="dxa"/>
          </w:tcPr>
          <w:p w14:paraId="42929E9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7EFEE0EA" w14:textId="77777777" w:rsidTr="00C50E87">
        <w:trPr>
          <w:trHeight w:hRule="exact" w:val="516"/>
        </w:trPr>
        <w:tc>
          <w:tcPr>
            <w:tcW w:w="2983" w:type="dxa"/>
            <w:vMerge/>
          </w:tcPr>
          <w:p w14:paraId="17C147D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6CEEDBD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zvýšenie AST, zvýšenie hladiny alkalickej fosfatázy v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 xml:space="preserve"> k</w:t>
            </w:r>
            <w:r w:rsidRPr="00E35E38">
              <w:rPr>
                <w:rFonts w:ascii="Times New Roman" w:eastAsia="SimSun" w:hAnsi="Times New Roman" w:cs="Times New Roman"/>
                <w:spacing w:val="3"/>
                <w:lang w:eastAsia="fr-FR"/>
              </w:rPr>
              <w:t>r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vi</w:t>
            </w:r>
          </w:p>
        </w:tc>
        <w:tc>
          <w:tcPr>
            <w:tcW w:w="1705" w:type="dxa"/>
          </w:tcPr>
          <w:p w14:paraId="2275099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329A9D20" w14:textId="77777777" w:rsidTr="00C50E87">
        <w:trPr>
          <w:trHeight w:hRule="exact" w:val="1274"/>
        </w:trPr>
        <w:tc>
          <w:tcPr>
            <w:tcW w:w="2983" w:type="dxa"/>
            <w:vMerge/>
          </w:tcPr>
          <w:p w14:paraId="13076E2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F191BBE" w14:textId="791EA6FD" w:rsidR="005D3283" w:rsidRPr="00E35E38" w:rsidRDefault="0058212F" w:rsidP="00A933E2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>
              <w:rPr>
                <w:rFonts w:ascii="Times New Roman" w:eastAsia="SimSun" w:hAnsi="Times New Roman" w:cs="Times New Roman"/>
                <w:lang w:eastAsia="fr-FR"/>
              </w:rPr>
              <w:t>p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otvrdená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prítomnosť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erytrocytov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moči, znížená hladina sodíka 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5D3283"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k</w:t>
            </w:r>
            <w:r w:rsidR="005D3283" w:rsidRPr="00E35E38">
              <w:rPr>
                <w:rFonts w:ascii="Times New Roman" w:eastAsia="SimSun" w:hAnsi="Times New Roman" w:cs="Times New Roman"/>
                <w:spacing w:val="3"/>
                <w:lang w:eastAsia="fr-FR"/>
              </w:rPr>
              <w:t>r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vi, pokles hmotnosti, zníženie počtu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neutrofilov, prítomnosť glukózy 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moči,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zvýšené vylučovanie moču</w:t>
            </w:r>
          </w:p>
        </w:tc>
        <w:tc>
          <w:tcPr>
            <w:tcW w:w="1705" w:type="dxa"/>
          </w:tcPr>
          <w:p w14:paraId="214A1880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</w:tbl>
    <w:p w14:paraId="708A980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vertAlign w:val="superscript"/>
          <w:lang w:eastAsia="fr-FR"/>
        </w:rPr>
        <w:t>†</w:t>
      </w:r>
      <w:r w:rsidRPr="00E35E38">
        <w:rPr>
          <w:rFonts w:ascii="Times New Roman" w:eastAsia="SimSun" w:hAnsi="Times New Roman" w:cs="Times New Roman"/>
          <w:lang w:eastAsia="fr-FR"/>
        </w:rPr>
        <w:t>Nauzea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 vracanie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boli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prvých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liečby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chemoterapii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parametrami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účinnosti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až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potom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w w:val="99"/>
          <w:lang w:eastAsia="fr-FR"/>
        </w:rPr>
        <w:t>sa</w:t>
      </w:r>
      <w:r w:rsidR="00124BC4" w:rsidRPr="00E35E38">
        <w:rPr>
          <w:rFonts w:ascii="Times New Roman" w:eastAsia="SimSun" w:hAnsi="Times New Roman" w:cs="Times New Roman"/>
          <w:w w:val="99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w w:val="99"/>
          <w:lang w:eastAsia="fr-FR"/>
        </w:rPr>
        <w:t xml:space="preserve">hlásili </w:t>
      </w:r>
      <w:r w:rsidRPr="00E35E38">
        <w:rPr>
          <w:rFonts w:ascii="Times New Roman" w:eastAsia="SimSun" w:hAnsi="Times New Roman" w:cs="Times New Roman"/>
          <w:lang w:eastAsia="fr-FR"/>
        </w:rPr>
        <w:t>ako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nežiaduce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reakcie.</w:t>
      </w:r>
    </w:p>
    <w:p w14:paraId="0FF8639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710B613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lastRenderedPageBreak/>
        <w:t>Opis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vybraných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nežiaducich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reakcií</w:t>
      </w:r>
    </w:p>
    <w:p w14:paraId="6725CF2A" w14:textId="34596AA6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Profily nežiaducich reakcií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boli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predĺžení štúdií HEC a MEC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="00A96E36">
        <w:rPr>
          <w:rFonts w:ascii="Times New Roman" w:eastAsia="SimSun" w:hAnsi="Times New Roman" w:cs="Times New Roman"/>
          <w:lang w:eastAsia="fr-FR"/>
        </w:rPr>
        <w:t>opakovanými</w:t>
      </w:r>
      <w:r w:rsidRPr="00E35E38">
        <w:rPr>
          <w:rFonts w:ascii="Times New Roman" w:eastAsia="SimSun" w:hAnsi="Times New Roman" w:cs="Times New Roman"/>
          <w:lang w:eastAsia="fr-FR"/>
        </w:rPr>
        <w:t xml:space="preserve"> až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ďalší</w:t>
      </w:r>
      <w:r w:rsidR="0058212F">
        <w:rPr>
          <w:rFonts w:ascii="Times New Roman" w:eastAsia="SimSun" w:hAnsi="Times New Roman" w:cs="Times New Roman"/>
          <w:lang w:eastAsia="fr-FR"/>
        </w:rPr>
        <w:t>mi</w:t>
      </w:r>
      <w:r w:rsidRPr="00E35E38">
        <w:rPr>
          <w:rFonts w:ascii="Times New Roman" w:eastAsia="SimSun" w:hAnsi="Times New Roman" w:cs="Times New Roman"/>
          <w:lang w:eastAsia="fr-FR"/>
        </w:rPr>
        <w:t xml:space="preserve"> cykl</w:t>
      </w:r>
      <w:r w:rsidR="0058212F">
        <w:rPr>
          <w:rFonts w:ascii="Times New Roman" w:eastAsia="SimSun" w:hAnsi="Times New Roman" w:cs="Times New Roman"/>
          <w:lang w:eastAsia="fr-FR"/>
        </w:rPr>
        <w:t>ami</w:t>
      </w:r>
      <w:r w:rsidRPr="00E35E38">
        <w:rPr>
          <w:rFonts w:ascii="Times New Roman" w:eastAsia="SimSun" w:hAnsi="Times New Roman" w:cs="Times New Roman"/>
          <w:lang w:eastAsia="fr-FR"/>
        </w:rPr>
        <w:t xml:space="preserve"> chemoterapie vo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všeobecnosti podobné tým, ktoré sa pozorovali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1.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cykle.</w:t>
      </w:r>
    </w:p>
    <w:p w14:paraId="30897D6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59D085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ďalšej aktívne kontrolovanej klinickej štúdii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169 dospelých pacientov</w:t>
      </w:r>
      <w:r w:rsidR="00983AD4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dostávajúcich aprepitant a HEC</w:t>
      </w:r>
      <w:r w:rsidR="00983AD4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bol profil nežiaducich reakcií vo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všeobecnosti podobný profilu, ktorý sa pozoroval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iných štúdiách HEC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aprepitantom.</w:t>
      </w:r>
    </w:p>
    <w:p w14:paraId="14562B0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48BE811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pacientov liečených aprepitantom na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pooperačnú nevoľnosť a vracanie (PONV) boli pozorované ďalšie nežiaduce reakcie s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vyššou incidenciou ako pri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ondansetróne: bolesť v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hornej časti brucha, abnormálne zvuky čriev, zápcha*, dyzartria, dyspnoe, znížená citlivosť, insomnia, mióza, nauzea, senzorická porucha, žalúdočné ťažkosti, subileus*, zníženie zrakovej ostrosti, sipot.</w:t>
      </w:r>
    </w:p>
    <w:p w14:paraId="4F6A3FD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*Hlásené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83AD4" w:rsidRPr="00DE7BD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paciento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užívaj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ú</w:t>
      </w:r>
      <w:r w:rsidRPr="00E35E38">
        <w:rPr>
          <w:rFonts w:ascii="Times New Roman" w:eastAsia="SimSun" w:hAnsi="Times New Roman" w:cs="Times New Roman"/>
          <w:lang w:eastAsia="fr-FR"/>
        </w:rPr>
        <w:t>cich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vyš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š</w:t>
      </w:r>
      <w:r w:rsidRPr="00E35E38">
        <w:rPr>
          <w:rFonts w:ascii="Times New Roman" w:eastAsia="SimSun" w:hAnsi="Times New Roman" w:cs="Times New Roman"/>
          <w:spacing w:val="2"/>
          <w:lang w:eastAsia="fr-FR"/>
        </w:rPr>
        <w:t>i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dávku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aprepitantu.</w:t>
      </w:r>
    </w:p>
    <w:p w14:paraId="3A21078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02BBF9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Hlásenie</w:t>
      </w:r>
      <w:r w:rsidR="00983AD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podozrení</w:t>
      </w:r>
      <w:r w:rsidR="00983AD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na</w:t>
      </w:r>
      <w:r w:rsidR="00983AD4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nežiaduce</w:t>
      </w:r>
      <w:r w:rsidR="00983AD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reakcie</w:t>
      </w:r>
    </w:p>
    <w:p w14:paraId="49628229" w14:textId="655D43DC" w:rsidR="00E35E38" w:rsidRPr="009A078F" w:rsidRDefault="005D3283" w:rsidP="0015184D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</w:rPr>
      </w:pPr>
      <w:r w:rsidRPr="00E35E38">
        <w:rPr>
          <w:rFonts w:ascii="Times New Roman" w:eastAsia="SimSun" w:hAnsi="Times New Roman" w:cs="Times New Roman"/>
          <w:lang w:eastAsia="fr-FR"/>
        </w:rPr>
        <w:t>Hlásenie podozrení na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nežiaduce reakcie po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registrácii lieku je dôležité. Umožňuje priebežné monitorovanie pomeru prínosu a rizika lieku. Od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zdravotníckych pracovníkov sa vyžaduje, aby hlásili akékoľvek podozrenia na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nežiaduce reakcie </w:t>
      </w:r>
      <w:r w:rsidR="009C7F25" w:rsidRPr="00E35E38">
        <w:rPr>
          <w:rFonts w:ascii="Times New Roman" w:eastAsia="SimSun" w:hAnsi="Times New Roman" w:cs="Times New Roman"/>
          <w:lang w:eastAsia="fr-FR"/>
        </w:rPr>
        <w:t>na </w:t>
      </w:r>
      <w:bookmarkStart w:id="1" w:name="_Hlk531760169"/>
      <w:r w:rsidR="00E35E38" w:rsidRPr="0015184D">
        <w:rPr>
          <w:rFonts w:ascii="Times New Roman" w:hAnsi="Times New Roman" w:cs="Times New Roman"/>
          <w:highlight w:val="lightGray"/>
        </w:rPr>
        <w:t>národné centrum hlásenia uvedené v </w:t>
      </w:r>
      <w:hyperlink r:id="rId9" w:history="1">
        <w:r w:rsidR="00A96E36">
          <w:rPr>
            <w:rStyle w:val="Hypertextovprepojenie"/>
            <w:rFonts w:ascii="Times New Roman" w:hAnsi="Times New Roman" w:cs="Times New Roman"/>
            <w:highlight w:val="lightGray"/>
          </w:rPr>
          <w:t>P</w:t>
        </w:r>
        <w:r w:rsidR="00E35E38" w:rsidRPr="0015184D">
          <w:rPr>
            <w:rStyle w:val="Hypertextovprepojenie"/>
            <w:rFonts w:ascii="Times New Roman" w:hAnsi="Times New Roman" w:cs="Times New Roman"/>
            <w:highlight w:val="lightGray"/>
          </w:rPr>
          <w:t>rílohe V</w:t>
        </w:r>
      </w:hyperlink>
      <w:bookmarkEnd w:id="1"/>
      <w:r w:rsidR="00E35E38">
        <w:t>.</w:t>
      </w:r>
    </w:p>
    <w:p w14:paraId="63284B77" w14:textId="77777777" w:rsidR="00E35E38" w:rsidRPr="0015184D" w:rsidRDefault="00E35E38" w:rsidP="0015184D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BE3F5A4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40" w:firstLine="0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Predávkovanie</w:t>
      </w:r>
    </w:p>
    <w:p w14:paraId="13534D27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DC389F6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prípade predávkovania je potrebné prerušiť liečbu liekom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Aprilene</w:t>
      </w:r>
      <w:r w:rsidRPr="00E35E38">
        <w:rPr>
          <w:rFonts w:ascii="Times New Roman" w:eastAsia="SimSun" w:hAnsi="Times New Roman" w:cs="Times New Roman"/>
          <w:lang w:eastAsia="fr-FR"/>
        </w:rPr>
        <w:t xml:space="preserve"> a prejsť na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celkovú podpornú liečbu a monitorovanie pacienta. Pretože aprepitant má antiemetický účinok, nemusí byť farmakologicky navodené vracanie efektívne.</w:t>
      </w:r>
    </w:p>
    <w:p w14:paraId="5190966E" w14:textId="77777777" w:rsidR="005D3283" w:rsidRPr="00E35E38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2E7E1BD" w14:textId="77777777" w:rsidR="005D3283" w:rsidRPr="00E35E38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 sa nedá odstrániť hemodialýzou.</w:t>
      </w:r>
    </w:p>
    <w:p w14:paraId="04CBD918" w14:textId="77777777" w:rsidR="005D3283" w:rsidRPr="00DE7BD8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1B54217F" w14:textId="77777777" w:rsidR="005D3283" w:rsidRPr="00CF6EC9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0595CC53" w14:textId="77777777" w:rsidR="005D3283" w:rsidRPr="00CF6EC9" w:rsidRDefault="000165A5" w:rsidP="005D3283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40" w:firstLine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FARMAKOLOGICKÉ VLASTNOSTI</w:t>
      </w:r>
    </w:p>
    <w:p w14:paraId="5ECC2EB1" w14:textId="77777777" w:rsidR="005D3283" w:rsidRPr="00CF6EC9" w:rsidRDefault="005D3283" w:rsidP="005D3283">
      <w:pPr>
        <w:keepNext/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5A283263" w14:textId="77777777" w:rsidR="005D3283" w:rsidRPr="00E35E38" w:rsidRDefault="00A41E9C" w:rsidP="005D3283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40" w:firstLine="0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Farmakodynamické vlastnosti</w:t>
      </w:r>
    </w:p>
    <w:p w14:paraId="5321E3FE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563473E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Farmakoterapeutická skupina: antiemetiká a lieky proti nevoľnosti, ATC kód: A04AD12</w:t>
      </w:r>
    </w:p>
    <w:p w14:paraId="354FE6B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55540833" w14:textId="1422BAA0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Aprepitant je </w:t>
      </w:r>
      <w:r w:rsidR="00A96E36">
        <w:rPr>
          <w:rFonts w:ascii="Times New Roman" w:eastAsia="SimSun" w:hAnsi="Times New Roman" w:cs="Times New Roman"/>
          <w:lang w:eastAsia="fr-FR"/>
        </w:rPr>
        <w:t xml:space="preserve">u ľudí </w:t>
      </w:r>
      <w:r w:rsidRPr="00E35E38">
        <w:rPr>
          <w:rFonts w:ascii="Times New Roman" w:eastAsia="SimSun" w:hAnsi="Times New Roman" w:cs="Times New Roman"/>
          <w:lang w:eastAsia="fr-FR"/>
        </w:rPr>
        <w:t>selektívny vysoko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afinitný antagonista na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56745F">
        <w:rPr>
          <w:rFonts w:ascii="Times New Roman" w:eastAsia="SimSun" w:hAnsi="Times New Roman" w:cs="Times New Roman"/>
          <w:lang w:eastAsia="fr-FR"/>
        </w:rPr>
        <w:t>neurokinín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(NK</w:t>
      </w:r>
      <w:r w:rsidRPr="00E35E38">
        <w:rPr>
          <w:rFonts w:ascii="Times New Roman" w:eastAsia="SimSun" w:hAnsi="Times New Roman" w:cs="Times New Roman"/>
          <w:vertAlign w:val="subscript"/>
          <w:lang w:eastAsia="fr-FR"/>
        </w:rPr>
        <w:t>1</w:t>
      </w:r>
      <w:r w:rsidRPr="00E35E38">
        <w:rPr>
          <w:rFonts w:ascii="Times New Roman" w:eastAsia="SimSun" w:hAnsi="Times New Roman" w:cs="Times New Roman"/>
          <w:lang w:eastAsia="fr-FR"/>
        </w:rPr>
        <w:t>) receptoroch pre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substanciu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P.</w:t>
      </w:r>
    </w:p>
    <w:p w14:paraId="13CB6C1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DFD6BF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6745F">
        <w:rPr>
          <w:rFonts w:ascii="Times New Roman" w:eastAsia="SimSun" w:hAnsi="Times New Roman" w:cs="Times New Roman"/>
          <w:u w:val="single"/>
          <w:lang w:eastAsia="fr-FR"/>
        </w:rPr>
        <w:t>3</w:t>
      </w:r>
      <w:r w:rsidRPr="0056745F">
        <w:rPr>
          <w:rFonts w:ascii="Times New Roman" w:eastAsia="SimSun" w:hAnsi="Times New Roman" w:cs="Times New Roman"/>
          <w:spacing w:val="-4"/>
          <w:u w:val="single"/>
          <w:lang w:eastAsia="fr-FR"/>
        </w:rPr>
        <w:t>-</w:t>
      </w:r>
      <w:r w:rsidRPr="0056745F">
        <w:rPr>
          <w:rFonts w:ascii="Times New Roman" w:eastAsia="SimSun" w:hAnsi="Times New Roman" w:cs="Times New Roman"/>
          <w:u w:val="single"/>
          <w:lang w:eastAsia="fr-FR"/>
        </w:rPr>
        <w:t>dňový</w:t>
      </w:r>
      <w:r w:rsidR="001F3C7A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režim</w:t>
      </w:r>
      <w:r w:rsidR="001F3C7A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s</w:t>
      </w:r>
      <w:r w:rsidR="001F3C7A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aprepitantom</w:t>
      </w:r>
      <w:r w:rsidR="001F3C7A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u</w:t>
      </w:r>
      <w:r w:rsidR="001F3C7A" w:rsidRPr="00DE7BD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dospelých</w:t>
      </w:r>
    </w:p>
    <w:p w14:paraId="7E24C25E" w14:textId="135E47C5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randomizovaných dvojito zaslepených štúdiách, ktoré celkovo zahŕňali 1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094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pacientov dostávajúcich chemoterapiu obsahujúcu cisplatinu ≥ 70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m2, sa porovnával režim s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aprepitantom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kombinácii s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ondansetrónom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dexametazónom (pozri časť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4.2) a štandardný režim (placebo plus ondansetrón 32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intravenózne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plus dexametazón 20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dvakrát denne počas dní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až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4). Aj keď sa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klinických skúšaniach použila intravenózna dávka 32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ondansetrónu, táto dávka už nie je odporúčanou dávkou. Príslušné informácie o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dávkovaní pozri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="0056745F">
        <w:rPr>
          <w:rFonts w:ascii="Times New Roman" w:eastAsia="SimSun" w:hAnsi="Times New Roman" w:cs="Times New Roman"/>
          <w:lang w:eastAsia="fr-FR"/>
        </w:rPr>
        <w:t>informáciách</w:t>
      </w:r>
      <w:r w:rsidRPr="00E35E38">
        <w:rPr>
          <w:rFonts w:ascii="Times New Roman" w:eastAsia="SimSun" w:hAnsi="Times New Roman" w:cs="Times New Roman"/>
          <w:lang w:eastAsia="fr-FR"/>
        </w:rPr>
        <w:t xml:space="preserve"> vybraného lieku obsahujúceho antagonistu 5-HT</w:t>
      </w:r>
      <w:r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63417AE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215836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Účinnosť vychádzala z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hodnotenia nasledujúceho kompozitného ukazovateľa: úplná odpoveď (definovaná ako stav bez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epizód vracania a bez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použitia záchrannej liečby) hlavne počas 1.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cyklu. Výsledky sa hodnotili pre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každú individuálnu štúdiu a pre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štúdie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kombinácii.</w:t>
      </w:r>
    </w:p>
    <w:p w14:paraId="6E5FE8A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06E2D4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 tabuľke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je súhrn kľúčových výsledkov štúdií 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kombinovanej analýzy.</w:t>
      </w:r>
    </w:p>
    <w:p w14:paraId="4DCB12E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2A1A867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lastRenderedPageBreak/>
        <w:t>Tabuľka 1</w:t>
      </w:r>
    </w:p>
    <w:p w14:paraId="0EC62188" w14:textId="6420EFB5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Percento dospelých pacientov</w:t>
      </w:r>
      <w:r w:rsidR="0056745F" w:rsidRPr="0056745F">
        <w:t xml:space="preserve"> </w:t>
      </w:r>
      <w:r w:rsidR="0056745F" w:rsidRPr="0056745F">
        <w:rPr>
          <w:rFonts w:ascii="Times New Roman" w:eastAsia="SimSun" w:hAnsi="Times New Roman" w:cs="Times New Roman"/>
          <w:lang w:eastAsia="fr-FR"/>
        </w:rPr>
        <w:t>odpovedajúcich na liečbu</w:t>
      </w:r>
      <w:r w:rsidRPr="00E35E38">
        <w:rPr>
          <w:rFonts w:ascii="Times New Roman" w:eastAsia="SimSun" w:hAnsi="Times New Roman" w:cs="Times New Roman"/>
          <w:lang w:eastAsia="fr-FR"/>
        </w:rPr>
        <w:t xml:space="preserve">, ktorí dostávali vysoko emetogénnu chemoterapiu, podľa liečebnej skupiny a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fáz</w:t>
      </w:r>
      <w:r w:rsidRPr="00E35E38">
        <w:rPr>
          <w:rFonts w:ascii="Times New Roman" w:eastAsia="SimSun" w:hAnsi="Times New Roman" w:cs="Times New Roman"/>
          <w:lang w:eastAsia="fr-FR"/>
        </w:rPr>
        <w:t>y– 1.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cyklus</w:t>
      </w:r>
    </w:p>
    <w:p w14:paraId="62011508" w14:textId="77777777" w:rsidR="00ED7FB2" w:rsidRPr="00E35E38" w:rsidRDefault="00ED7FB2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spacing w:val="-1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559"/>
        <w:gridCol w:w="1494"/>
        <w:gridCol w:w="1098"/>
        <w:gridCol w:w="1767"/>
      </w:tblGrid>
      <w:tr w:rsidR="005D3283" w:rsidRPr="00E35E38" w14:paraId="3EC39B74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0AE58" w14:textId="77777777" w:rsidR="005D3283" w:rsidRPr="00E35E38" w:rsidRDefault="005D3283" w:rsidP="00DF6D7B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D4905" w14:textId="77777777" w:rsidR="00ED7FB2" w:rsidRPr="00E35E38" w:rsidRDefault="005D3283" w:rsidP="0027069F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Režim s</w:t>
            </w:r>
            <w:r w:rsidR="00DF6D7B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aprepitantom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749F7" w14:textId="77777777" w:rsidR="00ED7FB2" w:rsidRPr="00E35E38" w:rsidRDefault="005D3283" w:rsidP="0027069F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liečba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D5A06" w14:textId="77777777" w:rsidR="005D3283" w:rsidRPr="00E35E38" w:rsidRDefault="005D3283" w:rsidP="00DF6D7B">
            <w:pPr>
              <w:keepNext/>
              <w:spacing w:after="0" w:line="240" w:lineRule="auto"/>
              <w:ind w:left="4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Rozdiely*</w:t>
            </w:r>
          </w:p>
        </w:tc>
      </w:tr>
      <w:tr w:rsidR="005D3283" w:rsidRPr="00E35E38" w14:paraId="3891F08E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F93F8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KOMPOZITNÉ</w:t>
            </w:r>
            <w:r w:rsidR="00DF6D7B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UKAZOVATELE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C815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(N=521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A9DF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(N=524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B6294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18AAE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5E1491A6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C64C08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5F9D95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2D2C5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0A6C22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3111E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(95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 IS)</w:t>
            </w:r>
          </w:p>
        </w:tc>
      </w:tr>
      <w:tr w:rsidR="005D3283" w:rsidRPr="00E35E38" w14:paraId="51729BA0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2480EB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2382ED14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C92450" w14:textId="77777777" w:rsidR="005D3283" w:rsidRPr="00DE7BD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Úplná odpoveď (žiadne vracanie a žiadna záchranná terapia)</w:t>
            </w:r>
          </w:p>
        </w:tc>
      </w:tr>
      <w:tr w:rsidR="005D3283" w:rsidRPr="00E35E38" w14:paraId="186D0DB1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DCDD6" w14:textId="77777777" w:rsidR="005D3283" w:rsidRPr="00E35E38" w:rsidRDefault="00CF6EC9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Celkovo</w:t>
            </w:r>
            <w:r w:rsidR="005D3283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(0-120 hodín)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8614" w14:textId="5E98E4A5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A6025" w14:textId="2A886B61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72BBC" w14:textId="4E8C2F1F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578EE" w14:textId="169AE2B2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(14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8)</w:t>
            </w:r>
          </w:p>
        </w:tc>
      </w:tr>
      <w:tr w:rsidR="005D3283" w:rsidRPr="00E35E38" w14:paraId="04ABFDA6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300D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4F5A7" w14:textId="4EF774AB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0D990" w14:textId="0643B232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7579B" w14:textId="6E17D51E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8BD89" w14:textId="397C4409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(7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6)</w:t>
            </w:r>
          </w:p>
        </w:tc>
      </w:tr>
      <w:tr w:rsidR="005D3283" w:rsidRPr="00E35E38" w14:paraId="7D8B60CC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2E8AB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C7E45" w14:textId="6F4AD486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D51D92" w14:textId="24C80EEB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DC314B" w14:textId="29F11920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C007B" w14:textId="7BFC4988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(14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26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1)</w:t>
            </w:r>
          </w:p>
        </w:tc>
      </w:tr>
      <w:tr w:rsidR="005D3283" w:rsidRPr="00E35E38" w14:paraId="43DF21AD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0D6486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  <w:p w14:paraId="07D6509C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JEDNOTLIVÉ UKAZOVATELE</w:t>
            </w:r>
          </w:p>
        </w:tc>
      </w:tr>
      <w:tr w:rsidR="005D3283" w:rsidRPr="00E35E38" w14:paraId="5CFE5651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1BBBBE" w14:textId="77777777" w:rsidR="005D3283" w:rsidRPr="00CF6EC9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DF6D7B" w:rsidRPr="00DE7BD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vracania (žiadne epizódy vracania bez</w:t>
            </w:r>
            <w:r w:rsidR="00DF6D7B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ohľadu na</w:t>
            </w:r>
            <w:r w:rsidR="00DF6D7B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použitie záchrannej terapie)</w:t>
            </w:r>
          </w:p>
        </w:tc>
      </w:tr>
      <w:tr w:rsidR="005D3283" w:rsidRPr="00E35E38" w14:paraId="6B1CF0FE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4249A7" w14:textId="7C03C7A8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982790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982790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10588C" w14:textId="380F7F5A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21B445" w14:textId="45957B55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0DAADC" w14:textId="12A94B5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609410" w14:textId="7FF6D766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7DD50476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62F8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AB74C" w14:textId="3BB25A98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6A33F" w14:textId="444A3A7B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16A0D" w14:textId="6EB2628A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E371C" w14:textId="1BBC15C9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5)</w:t>
            </w:r>
          </w:p>
        </w:tc>
      </w:tr>
      <w:tr w:rsidR="005D3283" w:rsidRPr="00E35E38" w14:paraId="3E6CF27D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19142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734F3" w14:textId="199C8E79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0FD7" w14:textId="26127241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978278" w14:textId="2CB5E73B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752DDB" w14:textId="07243BE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2)</w:t>
            </w:r>
          </w:p>
        </w:tc>
      </w:tr>
      <w:tr w:rsidR="005D3283" w:rsidRPr="00E35E38" w14:paraId="28097318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9F8DA2" w14:textId="27F91FB0" w:rsidR="005D3283" w:rsidRPr="00E35E38" w:rsidRDefault="005D3283" w:rsidP="00A933E2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signifikantnej nauzey (maximáln</w:t>
            </w:r>
            <w:r w:rsidR="00982790">
              <w:rPr>
                <w:rFonts w:ascii="Times New Roman" w:eastAsia="SimSun" w:hAnsi="Times New Roman" w:cs="Times New Roman"/>
                <w:b/>
                <w:lang w:eastAsia="fr-FR"/>
              </w:rPr>
              <w:t>a hodnota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 xml:space="preserve"> VAS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&lt;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25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 na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stupnici 0-100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mm)</w:t>
            </w:r>
          </w:p>
        </w:tc>
      </w:tr>
      <w:tr w:rsidR="005D3283" w:rsidRPr="00E35E38" w14:paraId="5FD894B4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912149" w14:textId="55ACB683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7051C5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7051C5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B69E87" w14:textId="5DE2ACD5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EC4C93" w14:textId="5C0D6123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4291B3" w14:textId="08545BED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DC41E4" w14:textId="270A789C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8)</w:t>
            </w:r>
          </w:p>
        </w:tc>
      </w:tr>
      <w:tr w:rsidR="005D3283" w:rsidRPr="00E35E38" w14:paraId="0E7030FD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CDA52B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462C0C" w14:textId="57C1CBFE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14C8DC" w14:textId="40BBA883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6A8D8B" w14:textId="7A3C903D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C4DD73" w14:textId="2FB02F4B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6)</w:t>
            </w:r>
          </w:p>
        </w:tc>
      </w:tr>
      <w:tr w:rsidR="005D3283" w:rsidRPr="00E35E38" w14:paraId="73F9B933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1413D5" w14:textId="77777777" w:rsidR="005D3283" w:rsidRPr="00CF6EC9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Times New Roman" w:hAnsi="Times New Roman" w:cs="Times New Roman"/>
                <w:lang w:eastAsia="sk-SK" w:bidi="sk-SK"/>
              </w:rPr>
              <w:t>* Intervaly spoľahlivosti boli vypočítané bez</w:t>
            </w:r>
            <w:r w:rsidR="00DF6D7B" w:rsidRPr="00DE7BD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úpravy podľa pohlavia a súbežnej chemoterapie, ktoré boli zahrnuté v</w:t>
            </w:r>
            <w:r w:rsidR="00DF6D7B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primárnej analýze mier pravdepodobnosti a logistických modeloch.</w:t>
            </w:r>
          </w:p>
          <w:p w14:paraId="7A499583" w14:textId="77777777" w:rsidR="005D3283" w:rsidRPr="00E35E38" w:rsidRDefault="005D3283" w:rsidP="00DF6D7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CF6EC9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 xml:space="preserve">† 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U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jedného pacienta v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režime s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aprepitantom boli dostupné iba údaje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akútnej fázy a bol vylúčený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celkovej analýzy a analýzy oneskorenej fázy; u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jedného pacienta so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štandardnou liečbou boli dostupné iba údaje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oneskorenej fázy a bol vylúčený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celkovej analýzy a analýzy akútnej fázy.</w:t>
            </w:r>
          </w:p>
        </w:tc>
      </w:tr>
    </w:tbl>
    <w:p w14:paraId="4E42D396" w14:textId="77777777" w:rsidR="005D3283" w:rsidRPr="00DE7BD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NewRoman" w:hAnsi="Times New Roman" w:cs="Times New Roman"/>
          <w:lang w:eastAsia="fr-FR"/>
        </w:rPr>
      </w:pPr>
    </w:p>
    <w:p w14:paraId="74BBF74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lang w:eastAsia="fr-FR"/>
        </w:rPr>
        <w:t>Odhadovaný čas do</w:t>
      </w:r>
      <w:r w:rsidR="00DF6D7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prvého vracania v</w:t>
      </w:r>
      <w:r w:rsidR="00DF6D7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kombinovanej analýze je zobrazený na</w:t>
      </w:r>
      <w:r w:rsidR="00DF6D7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Kaplan</w:t>
      </w:r>
      <w:r w:rsidR="00982790">
        <w:rPr>
          <w:rFonts w:ascii="Times New Roman" w:eastAsia="SimSun" w:hAnsi="Times New Roman" w:cs="Times New Roman"/>
          <w:lang w:eastAsia="fr-FR"/>
        </w:rPr>
        <w:t>ovom</w:t>
      </w:r>
      <w:r w:rsidRPr="00CF6EC9">
        <w:rPr>
          <w:rFonts w:ascii="Times New Roman" w:eastAsia="SimSun" w:hAnsi="Times New Roman" w:cs="Times New Roman"/>
          <w:lang w:eastAsia="fr-FR"/>
        </w:rPr>
        <w:t>-Meierovom grafe na</w:t>
      </w:r>
      <w:r w:rsidR="00DF6D7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obrázku</w:t>
      </w:r>
      <w:r w:rsidR="00DF6D7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1.</w:t>
      </w:r>
    </w:p>
    <w:p w14:paraId="6A0A8488" w14:textId="77777777" w:rsidR="005D3283" w:rsidRPr="00E35E38" w:rsidRDefault="005D3283" w:rsidP="005D3283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08B4D84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>Obrázo</w:t>
      </w:r>
      <w:r w:rsidRPr="00E35E38">
        <w:rPr>
          <w:rFonts w:ascii="Times New Roman" w:eastAsia="SimSun" w:hAnsi="Times New Roman" w:cs="Times New Roman"/>
          <w:lang w:eastAsia="fr-FR"/>
        </w:rPr>
        <w:t>k1</w:t>
      </w:r>
    </w:p>
    <w:p w14:paraId="6B29A14F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Percento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pacientov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dostávajúcich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vysoko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emetogé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>n</w:t>
      </w:r>
      <w:r w:rsidRPr="00CF6EC9">
        <w:rPr>
          <w:rFonts w:ascii="Times New Roman" w:eastAsia="SimSun" w:hAnsi="Times New Roman" w:cs="Times New Roman"/>
          <w:lang w:eastAsia="fr-FR"/>
        </w:rPr>
        <w:t>nu chemoterapiu, ktorí boli bez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vracania,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čase – 1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cyklus</w:t>
      </w:r>
    </w:p>
    <w:p w14:paraId="371E442B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</w:p>
    <w:p w14:paraId="1F29F1D3" w14:textId="77777777" w:rsidR="005D3283" w:rsidRPr="00E35E38" w:rsidRDefault="005D3283" w:rsidP="005D3283">
      <w:pPr>
        <w:keepNext/>
        <w:tabs>
          <w:tab w:val="left" w:pos="2175"/>
        </w:tabs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noProof/>
          <w:lang w:eastAsia="sk-SK"/>
        </w:rPr>
        <w:drawing>
          <wp:inline distT="0" distB="0" distL="0" distR="0" wp14:anchorId="0D94A82C" wp14:editId="1B045D21">
            <wp:extent cx="5208270" cy="320421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EFB1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5062F66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lastRenderedPageBreak/>
        <w:t>Štatisticky významné rozdiely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účinnosti sa pozorovali aj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každej 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individuálnych štúdií.</w:t>
      </w:r>
    </w:p>
    <w:p w14:paraId="7F9463F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ACD3AE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tých istých 2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klinických štúdiách pokračovalo 851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pacientov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predĺžení s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opakovanými cyklami, až do</w:t>
      </w:r>
      <w:r w:rsidR="00DF6D7B" w:rsidRPr="00E35E38">
        <w:rPr>
          <w:rFonts w:ascii="Times New Roman" w:eastAsia="SimSun" w:hAnsi="Times New Roman" w:cs="Times New Roman"/>
          <w:lang w:eastAsia="fr-FR"/>
        </w:rPr>
        <w:t> 5 </w:t>
      </w:r>
      <w:r w:rsidRPr="00E35E38">
        <w:rPr>
          <w:rFonts w:ascii="Times New Roman" w:eastAsia="SimSun" w:hAnsi="Times New Roman" w:cs="Times New Roman"/>
          <w:lang w:eastAsia="fr-FR"/>
        </w:rPr>
        <w:t>ďalších cyklov chemoterapie. Režim s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aprepitantom si </w:t>
      </w:r>
      <w:r w:rsidR="00415BA7">
        <w:rPr>
          <w:rFonts w:ascii="Times New Roman" w:eastAsia="SimSun" w:hAnsi="Times New Roman" w:cs="Times New Roman"/>
          <w:lang w:eastAsia="fr-FR"/>
        </w:rPr>
        <w:t xml:space="preserve">zjavne </w:t>
      </w:r>
      <w:r w:rsidRPr="00E35E38">
        <w:rPr>
          <w:rFonts w:ascii="Times New Roman" w:eastAsia="SimSun" w:hAnsi="Times New Roman" w:cs="Times New Roman"/>
          <w:lang w:eastAsia="fr-FR"/>
        </w:rPr>
        <w:t>zachoval účinnosť počas všetkých cyklov.</w:t>
      </w:r>
    </w:p>
    <w:p w14:paraId="2E588C5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60D1E9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randomizovanej, dvojito zaslepenej štúdii u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celkovo 866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pacientov (864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žien, 2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muži) dostávajúcich chemoterapiu, ktorá zahŕňala cyklofosfamid 750-1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500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mg/m</w:t>
      </w:r>
      <w:r w:rsidRPr="00F036B5">
        <w:rPr>
          <w:rFonts w:ascii="Times New Roman" w:eastAsia="SimSun" w:hAnsi="Times New Roman" w:cs="Times New Roman"/>
          <w:vertAlign w:val="superscript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 xml:space="preserve"> alebo cyklofosfamid 500-1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500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mg/m</w:t>
      </w:r>
      <w:r w:rsidRPr="00F036B5">
        <w:rPr>
          <w:rFonts w:ascii="Times New Roman" w:eastAsia="SimSun" w:hAnsi="Times New Roman" w:cs="Times New Roman"/>
          <w:vertAlign w:val="superscript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 xml:space="preserve"> a doxorubicín (≤ 60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mg/m</w:t>
      </w:r>
      <w:r w:rsidRPr="00F036B5">
        <w:rPr>
          <w:rFonts w:ascii="Times New Roman" w:eastAsia="SimSun" w:hAnsi="Times New Roman" w:cs="Times New Roman"/>
          <w:vertAlign w:val="superscript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>) alebo epirubicín (≤ 100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mg/m</w:t>
      </w:r>
      <w:r w:rsidRPr="00F036B5">
        <w:rPr>
          <w:rFonts w:ascii="Times New Roman" w:eastAsia="SimSun" w:hAnsi="Times New Roman" w:cs="Times New Roman"/>
          <w:vertAlign w:val="superscript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>), sa porovnával režim s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aprepitantom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kombinácii s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ondansetrónom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dexametazónom (pozri časť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4.2) so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štandardnou terapiou (placebo plus ondansetrón 8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(dvakrát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každých 12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 3) plus dexametazón 20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1).</w:t>
      </w:r>
    </w:p>
    <w:p w14:paraId="105BE5D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08D588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Účinnosť vychádzala 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hodnotenia kompozitného ukazovateľa: úplná odpoveď (definovaná ako stav bez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epizód vracania a bez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použitia záchrannej liečby) hlavne počas 1.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cyklu.</w:t>
      </w:r>
    </w:p>
    <w:p w14:paraId="3989EA5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AEFE764" w14:textId="77777777" w:rsidR="005D3283" w:rsidRPr="00E35E38" w:rsidRDefault="005D3283" w:rsidP="005D3283">
      <w:pPr>
        <w:tabs>
          <w:tab w:val="left" w:pos="5685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Súhrn kľúčových výsledkov štúdie je uvedený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tabuľke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2.</w:t>
      </w:r>
    </w:p>
    <w:p w14:paraId="608CD4B9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5C99E8B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Tabuľka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</w:t>
      </w:r>
    </w:p>
    <w:p w14:paraId="72D3EC19" w14:textId="46F09B36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Percento dospelých pacientov </w:t>
      </w:r>
      <w:r w:rsidR="00E1464C" w:rsidRPr="00E1464C">
        <w:rPr>
          <w:rFonts w:ascii="Times New Roman" w:eastAsia="SimSun" w:hAnsi="Times New Roman" w:cs="Times New Roman"/>
          <w:lang w:eastAsia="fr-FR"/>
        </w:rPr>
        <w:t xml:space="preserve">odpovedajúcich na liečbu </w:t>
      </w:r>
      <w:r w:rsidRPr="00E35E38">
        <w:rPr>
          <w:rFonts w:ascii="Times New Roman" w:eastAsia="SimSun" w:hAnsi="Times New Roman" w:cs="Times New Roman"/>
          <w:lang w:eastAsia="fr-FR"/>
        </w:rPr>
        <w:t>podľa liečebnej skupiny a fázy - 1.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="00E1464C">
        <w:rPr>
          <w:rFonts w:ascii="Times New Roman" w:eastAsia="SimSun" w:hAnsi="Times New Roman" w:cs="Times New Roman"/>
          <w:lang w:eastAsia="fr-FR"/>
        </w:rPr>
        <w:t>c</w:t>
      </w:r>
      <w:r w:rsidRPr="00E35E38">
        <w:rPr>
          <w:rFonts w:ascii="Times New Roman" w:eastAsia="SimSun" w:hAnsi="Times New Roman" w:cs="Times New Roman"/>
          <w:lang w:eastAsia="fr-FR"/>
        </w:rPr>
        <w:t>yklus stredne emetogénn</w:t>
      </w:r>
      <w:r w:rsidR="00E1464C">
        <w:rPr>
          <w:rFonts w:ascii="Times New Roman" w:eastAsia="SimSun" w:hAnsi="Times New Roman" w:cs="Times New Roman"/>
          <w:lang w:eastAsia="fr-FR"/>
        </w:rPr>
        <w:t>ej</w:t>
      </w:r>
      <w:r w:rsidRPr="00E35E38">
        <w:rPr>
          <w:rFonts w:ascii="Times New Roman" w:eastAsia="SimSun" w:hAnsi="Times New Roman" w:cs="Times New Roman"/>
          <w:lang w:eastAsia="fr-FR"/>
        </w:rPr>
        <w:t xml:space="preserve"> chemoterapi</w:t>
      </w:r>
      <w:r w:rsidR="00E1464C">
        <w:rPr>
          <w:rFonts w:ascii="Times New Roman" w:eastAsia="SimSun" w:hAnsi="Times New Roman" w:cs="Times New Roman"/>
          <w:lang w:eastAsia="fr-FR"/>
        </w:rPr>
        <w:t>e</w:t>
      </w:r>
    </w:p>
    <w:p w14:paraId="47155E5D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1636"/>
        <w:gridCol w:w="1098"/>
        <w:gridCol w:w="1767"/>
      </w:tblGrid>
      <w:tr w:rsidR="005D3283" w:rsidRPr="00E35E38" w14:paraId="23D6A913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1E330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57444" w14:textId="77777777" w:rsidR="005D3283" w:rsidRPr="00E35E38" w:rsidRDefault="005D3283" w:rsidP="00DF6D7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Režim s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aprepitantom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A27A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liečba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FE811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Rozdiely*</w:t>
            </w:r>
          </w:p>
        </w:tc>
      </w:tr>
      <w:tr w:rsidR="005D3283" w:rsidRPr="00E35E38" w14:paraId="342CA493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0F80B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KOMPOZITNÉUKAZOVATELE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8BC66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(N=433) 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07F61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(N=424) 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37C7D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B8F7E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78C410E1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B2600A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B21CB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C517F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FF4C6E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23E2E4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(95% IS)</w:t>
            </w:r>
          </w:p>
        </w:tc>
      </w:tr>
      <w:tr w:rsidR="005D3283" w:rsidRPr="00E35E38" w14:paraId="686DC467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C86F98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6C9A2D30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14875F" w14:textId="77777777" w:rsidR="005D3283" w:rsidRPr="00DE7BD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Úplná odpoveď (žiadne vracanie a žiadna záchranná terapia)</w:t>
            </w:r>
          </w:p>
        </w:tc>
      </w:tr>
      <w:tr w:rsidR="005D3283" w:rsidRPr="00E35E38" w14:paraId="07D652A5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476EE" w14:textId="05ED104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38944" w14:textId="7296CE6E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5B279" w14:textId="1E7A533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C8B59" w14:textId="55D72531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AA26F" w14:textId="6398605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38C64B17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4102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3C4FE" w14:textId="67B55DF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900E4" w14:textId="33E1F36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402A5" w14:textId="7E4415ED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64948" w14:textId="106D465E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7)</w:t>
            </w:r>
          </w:p>
        </w:tc>
      </w:tr>
      <w:tr w:rsidR="005D3283" w:rsidRPr="00E35E38" w14:paraId="0BA5453E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3B759E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1BF415" w14:textId="4B3150A6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6FA09F" w14:textId="3DEFDB9A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71C92F" w14:textId="35C880FB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3FC63F" w14:textId="02F13EE3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(-0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44CEF918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5E13A5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  <w:p w14:paraId="5A247CA7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JEDNOTLIVÉ UKAZOVATELE</w:t>
            </w:r>
          </w:p>
        </w:tc>
      </w:tr>
      <w:tr w:rsidR="005D3283" w:rsidRPr="00E35E38" w14:paraId="7E1BB692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36F32C" w14:textId="77777777" w:rsidR="005D3283" w:rsidRPr="00CF6EC9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DF6D7B" w:rsidRPr="00DE7BD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vracania (žiadne epizódy vracania bez</w:t>
            </w:r>
            <w:r w:rsidR="00DF6D7B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ohľadu na</w:t>
            </w:r>
            <w:r w:rsidR="00DF6D7B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použitie záchrannej terapie)</w:t>
            </w:r>
          </w:p>
        </w:tc>
      </w:tr>
      <w:tr w:rsidR="005D3283" w:rsidRPr="00E35E38" w14:paraId="3FE40038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380C35" w14:textId="1397B9DA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3908D2" w14:textId="3EC1A79A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1449A3" w14:textId="26479CC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59DAE4" w14:textId="245581D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2F2D27" w14:textId="642D806D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23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2)</w:t>
            </w:r>
          </w:p>
        </w:tc>
      </w:tr>
      <w:tr w:rsidR="005D3283" w:rsidRPr="00E35E38" w14:paraId="4667A533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93006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41B31" w14:textId="40A4BD00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3E572" w14:textId="0AF375F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5F432" w14:textId="3900DA06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5FB54" w14:textId="0515EDC3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0C05142F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396DA5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301DCB" w14:textId="354F063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F3E031" w14:textId="33AE448C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ECA3C5" w14:textId="3F887D29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53B2F5" w14:textId="52447FF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5)</w:t>
            </w:r>
          </w:p>
        </w:tc>
      </w:tr>
      <w:tr w:rsidR="005D3283" w:rsidRPr="00E35E38" w14:paraId="7B9BC8E2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404E0" w14:textId="28ED3EE2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signifikantnej nauzey (maximáln</w:t>
            </w:r>
            <w:r w:rsidR="00E1464C">
              <w:rPr>
                <w:rFonts w:ascii="Times New Roman" w:eastAsia="SimSun" w:hAnsi="Times New Roman" w:cs="Times New Roman"/>
                <w:b/>
                <w:lang w:eastAsia="fr-FR"/>
              </w:rPr>
              <w:t>a hodnota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 xml:space="preserve"> VAS &lt; 25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 na stupnici 0-100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mm)</w:t>
            </w:r>
          </w:p>
        </w:tc>
      </w:tr>
      <w:tr w:rsidR="005D3283" w:rsidRPr="00E35E38" w14:paraId="68D3D696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767932" w14:textId="71098A2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1426A4" w14:textId="1605724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1B3340" w14:textId="69FECB1D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9F7A4" w14:textId="6EC2FAE3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EE1CCE" w14:textId="618D9C18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spacing w:val="1"/>
                <w:lang w:eastAsia="sk-SK" w:bidi="sk-SK"/>
              </w:rPr>
              <w:t>(</w:t>
            </w:r>
            <w:r w:rsidRPr="00E35E38">
              <w:rPr>
                <w:rFonts w:ascii="Times New Roman" w:eastAsia="Times New Roman" w:hAnsi="Times New Roman" w:cs="Times New Roman"/>
                <w:spacing w:val="-4"/>
                <w:lang w:eastAsia="sk-SK" w:bidi="sk-SK"/>
              </w:rPr>
              <w:t>-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9)</w:t>
            </w:r>
          </w:p>
        </w:tc>
      </w:tr>
      <w:tr w:rsidR="005D3283" w:rsidRPr="00E35E38" w14:paraId="58F4D01A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C2AD6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40E44" w14:textId="10AA3FD4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3F4DD" w14:textId="6E5F6C33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57191" w14:textId="5DC6C59B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292C1" w14:textId="4D1FB7B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spacing w:val="1"/>
                <w:lang w:eastAsia="sk-SK" w:bidi="sk-SK"/>
              </w:rPr>
              <w:t>(</w:t>
            </w:r>
            <w:r w:rsidRPr="00E35E38">
              <w:rPr>
                <w:rFonts w:ascii="Times New Roman" w:eastAsia="Times New Roman" w:hAnsi="Times New Roman" w:cs="Times New Roman"/>
                <w:spacing w:val="-4"/>
                <w:lang w:eastAsia="sk-SK" w:bidi="sk-SK"/>
              </w:rPr>
              <w:t>-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8)</w:t>
            </w:r>
          </w:p>
        </w:tc>
      </w:tr>
      <w:tr w:rsidR="005D3283" w:rsidRPr="00E35E38" w14:paraId="349F1762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0550E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2BCB3C" w14:textId="54D8C8F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208BC6" w14:textId="1BA3915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EEFA4" w14:textId="6D0C757F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5C2FB5" w14:textId="4882B98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spacing w:val="1"/>
                <w:lang w:eastAsia="sk-SK" w:bidi="sk-SK"/>
              </w:rPr>
              <w:t>(</w:t>
            </w:r>
            <w:r w:rsidRPr="00E35E38">
              <w:rPr>
                <w:rFonts w:ascii="Times New Roman" w:eastAsia="Times New Roman" w:hAnsi="Times New Roman" w:cs="Times New Roman"/>
                <w:spacing w:val="-4"/>
                <w:lang w:eastAsia="sk-SK" w:bidi="sk-SK"/>
              </w:rPr>
              <w:t>-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7B5457C4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50E244" w14:textId="1B416C72" w:rsidR="005D3283" w:rsidRPr="00CF6EC9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Times New Roman" w:hAnsi="Times New Roman" w:cs="Times New Roman"/>
                <w:lang w:eastAsia="sk-SK" w:bidi="sk-SK"/>
              </w:rPr>
              <w:t>* Intervaly spoľahlivosti boli vypočítané bez</w:t>
            </w:r>
            <w:r w:rsidR="00DF6D7B" w:rsidRPr="00DE7BD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úpravy podľa vekovej kategórie (&lt; 55</w:t>
            </w:r>
            <w:r w:rsidR="00DF6D7B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rokov, ≥ 55</w:t>
            </w:r>
            <w:r w:rsidR="00DF6D7B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rokov) a vyšetrovanej skupiny, ktoré boli zahrnuté v</w:t>
            </w:r>
            <w:r w:rsidR="00DF6D7B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primárnej analýze mier pravdepodobnosti a logistických modeloch.</w:t>
            </w:r>
          </w:p>
          <w:p w14:paraId="78053878" w14:textId="77777777" w:rsidR="005D3283" w:rsidRPr="00E35E38" w:rsidRDefault="005D3283" w:rsidP="00DF6D7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CF6EC9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U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jedného pacienta v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režime s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aprepitantom boli dostupné iba údaje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akútnej fázy a bol vylúčený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celkovej analýzy a analýzy oneskorenej fázy.</w:t>
            </w:r>
          </w:p>
        </w:tc>
      </w:tr>
    </w:tbl>
    <w:p w14:paraId="6DB7E3ED" w14:textId="77777777" w:rsidR="005D3283" w:rsidRPr="00DE7BD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42AFE053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lang w:eastAsia="sk-SK" w:bidi="sk-SK"/>
        </w:rPr>
        <w:t>V</w:t>
      </w:r>
      <w:r w:rsidR="00DF6D7B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tej istej klinickej štúdii pokračovalo 744</w:t>
      </w:r>
      <w:r w:rsidR="00DF6D7B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dospelých pacientov v</w:t>
      </w:r>
      <w:r w:rsidR="00DF6D7B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predĺžení s</w:t>
      </w:r>
      <w:r w:rsidR="00DF6D7B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opakovanými cyklami až do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ďalších cyklov chemoterapie. 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aprepitantom si zjavne zachoval účinnosť počas všetkých cyklov.</w:t>
      </w:r>
    </w:p>
    <w:p w14:paraId="703DB94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AF9AC9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druhej multicentrickej, randomizovanej, dvojito zaslepenej klinickej štúdii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paralelnými skupinami sa 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aprepitantom porovnával so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štandardnou terapiou u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848 dospelých pacientov (652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žien, 196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mužov) dostávajúcich chemoterapiu, ktorá zahŕňala akúkoľvek intravenóznu dávku oxaliplatiny, karboplatiny, epirubicínu, idarubicínu, ifosfamidu, irinotekánu, daunorubicínu, doxorubicínu, intravenózneho cyklofosfamidu (&lt; 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500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</w:t>
      </w:r>
      <w:r w:rsidRPr="00E35E38">
        <w:rPr>
          <w:rFonts w:ascii="Times New Roman" w:eastAsia="Times New Roman" w:hAnsi="Times New Roman" w:cs="Times New Roman"/>
          <w:vertAlign w:val="superscript"/>
          <w:lang w:eastAsia="sk-SK" w:bidi="sk-SK"/>
        </w:rPr>
        <w:t>2</w:t>
      </w:r>
      <w:r w:rsidRPr="00E35E38">
        <w:rPr>
          <w:rFonts w:ascii="Times New Roman" w:eastAsia="Times New Roman" w:hAnsi="Times New Roman" w:cs="Times New Roman"/>
          <w:lang w:eastAsia="sk-SK" w:bidi="sk-SK"/>
        </w:rPr>
        <w:t>) alebo intravenózneho cytarabínu (&gt; 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g/m</w:t>
      </w:r>
      <w:r w:rsidRPr="00E35E38">
        <w:rPr>
          <w:rFonts w:ascii="Times New Roman" w:eastAsia="Times New Roman" w:hAnsi="Times New Roman" w:cs="Times New Roman"/>
          <w:vertAlign w:val="superscript"/>
          <w:lang w:eastAsia="sk-SK" w:bidi="sk-SK"/>
        </w:rPr>
        <w:t>2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). </w:t>
      </w:r>
      <w:r w:rsidRPr="00E35E38">
        <w:rPr>
          <w:rFonts w:ascii="Times New Roman" w:eastAsia="Times New Roman" w:hAnsi="Times New Roman" w:cs="Times New Roman"/>
          <w:lang w:eastAsia="sk-SK" w:bidi="sk-SK"/>
        </w:rPr>
        <w:lastRenderedPageBreak/>
        <w:t>Pacienti dostávajúci 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aprepitantom dostávali chemoterapiu na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viaceré typy tumorov, ktoré zahŕňali 52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 karcinómov prsníka, 21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 gastrointestinálnych karcinómov vrátane kolorektálneho karcinómu, 13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 pľúcnych karcinómov 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 gynekologických karcinómov. 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aprepitantom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režimom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ondansetrónom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dexametazónom (pozri časť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4.2) sa porovnával so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štandardnou terapiou (placebo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ondansetrónom 8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perorálne (dvakrát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a každých 12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hodín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dňoch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 a 3) plus dexametazón 20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perorálne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1).</w:t>
      </w:r>
    </w:p>
    <w:p w14:paraId="275DED2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95FA6AA" w14:textId="323E881C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Účinnosť vychádzala 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hodnotenia nasledujúcich primárnych a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kľúčových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sekundárnych</w:t>
      </w:r>
      <w:r w:rsidR="005F03DF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cieľových ukazovateľov: bez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vracania počas celého </w:t>
      </w:r>
      <w:r w:rsidR="005F03DF" w:rsidRPr="00E35E38">
        <w:rPr>
          <w:rFonts w:ascii="Times New Roman" w:eastAsia="SimSun" w:hAnsi="Times New Roman" w:cs="Times New Roman"/>
          <w:lang w:eastAsia="fr-FR"/>
        </w:rPr>
        <w:t>obdobia</w:t>
      </w:r>
      <w:r w:rsidRPr="00E35E38">
        <w:rPr>
          <w:rFonts w:ascii="Times New Roman" w:eastAsia="SimSun" w:hAnsi="Times New Roman" w:cs="Times New Roman"/>
          <w:lang w:eastAsia="fr-FR"/>
        </w:rPr>
        <w:t xml:space="preserve"> (0 až 120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po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chemoterapii), hodnotenie bezpečnosti a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toleranci</w:t>
      </w:r>
      <w:r w:rsidRPr="00E35E38">
        <w:rPr>
          <w:rFonts w:ascii="Times New Roman" w:eastAsia="SimSun" w:hAnsi="Times New Roman" w:cs="Times New Roman"/>
          <w:lang w:eastAsia="fr-FR"/>
        </w:rPr>
        <w:t>e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režim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5F03DF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s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to</w:t>
      </w:r>
      <w:r w:rsidRPr="00E35E38">
        <w:rPr>
          <w:rFonts w:ascii="Times New Roman" w:eastAsia="SimSun" w:hAnsi="Times New Roman" w:cs="Times New Roman"/>
          <w:lang w:eastAsia="fr-FR"/>
        </w:rPr>
        <w:t>m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="00E1464C">
        <w:rPr>
          <w:rFonts w:ascii="Times New Roman" w:eastAsia="SimSun" w:hAnsi="Times New Roman" w:cs="Times New Roman"/>
          <w:lang w:eastAsia="fr-FR"/>
        </w:rPr>
        <w:t>pri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chemoterapiou vyvolan</w:t>
      </w:r>
      <w:r w:rsidR="00E1464C">
        <w:rPr>
          <w:rFonts w:ascii="Times New Roman" w:eastAsia="SimSun" w:hAnsi="Times New Roman" w:cs="Times New Roman"/>
          <w:lang w:eastAsia="fr-FR"/>
        </w:rPr>
        <w:t>ej</w:t>
      </w:r>
      <w:r w:rsidRPr="00E35E38">
        <w:rPr>
          <w:rFonts w:ascii="Times New Roman" w:eastAsia="SimSun" w:hAnsi="Times New Roman" w:cs="Times New Roman"/>
          <w:lang w:eastAsia="fr-FR"/>
        </w:rPr>
        <w:t xml:space="preserve"> nevoľnos</w:t>
      </w:r>
      <w:r w:rsidR="00E1464C">
        <w:rPr>
          <w:rFonts w:ascii="Times New Roman" w:eastAsia="SimSun" w:hAnsi="Times New Roman" w:cs="Times New Roman"/>
          <w:lang w:eastAsia="fr-FR"/>
        </w:rPr>
        <w:t>ti</w:t>
      </w:r>
      <w:r w:rsidRPr="00E35E38">
        <w:rPr>
          <w:rFonts w:ascii="Times New Roman" w:eastAsia="SimSun" w:hAnsi="Times New Roman" w:cs="Times New Roman"/>
          <w:lang w:eastAsia="fr-FR"/>
        </w:rPr>
        <w:t xml:space="preserve"> a vracan</w:t>
      </w:r>
      <w:r w:rsidR="00E1464C">
        <w:rPr>
          <w:rFonts w:ascii="Times New Roman" w:eastAsia="SimSun" w:hAnsi="Times New Roman" w:cs="Times New Roman"/>
          <w:lang w:eastAsia="fr-FR"/>
        </w:rPr>
        <w:t>í</w:t>
      </w:r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(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CIN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V</w:t>
      </w:r>
      <w:r w:rsidRPr="00E35E38">
        <w:rPr>
          <w:rFonts w:ascii="Times New Roman" w:eastAsia="SimSun" w:hAnsi="Times New Roman" w:cs="Times New Roman"/>
          <w:lang w:eastAsia="fr-FR"/>
        </w:rPr>
        <w:t>)</w:t>
      </w:r>
      <w:r w:rsidR="005F03DF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5F03DF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úplná odpoveď (definovaná ako stav bez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vracania a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bez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použitia záchrannej liečby) počas celého </w:t>
      </w:r>
      <w:r w:rsidR="005F03DF" w:rsidRPr="00E35E38">
        <w:rPr>
          <w:rFonts w:ascii="Times New Roman" w:eastAsia="SimSun" w:hAnsi="Times New Roman" w:cs="Times New Roman"/>
          <w:lang w:eastAsia="fr-FR"/>
        </w:rPr>
        <w:t>obdobia</w:t>
      </w:r>
      <w:r w:rsidRPr="00E35E38">
        <w:rPr>
          <w:rFonts w:ascii="Times New Roman" w:eastAsia="SimSun" w:hAnsi="Times New Roman" w:cs="Times New Roman"/>
          <w:lang w:eastAsia="fr-FR"/>
        </w:rPr>
        <w:t xml:space="preserve"> (0 až 120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po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chemoterapii). Ďalej sa hodnotilo percento bez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signifikantnej nauzey počas c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e</w:t>
      </w:r>
      <w:r w:rsidRPr="00E35E38">
        <w:rPr>
          <w:rFonts w:ascii="Times New Roman" w:eastAsia="SimSun" w:hAnsi="Times New Roman" w:cs="Times New Roman"/>
          <w:lang w:eastAsia="fr-FR"/>
        </w:rPr>
        <w:t xml:space="preserve">lého </w:t>
      </w:r>
      <w:r w:rsidR="005F03DF" w:rsidRPr="00E35E38">
        <w:rPr>
          <w:rFonts w:ascii="Times New Roman" w:eastAsia="SimSun" w:hAnsi="Times New Roman" w:cs="Times New Roman"/>
          <w:lang w:eastAsia="fr-FR"/>
        </w:rPr>
        <w:t>obdobia</w:t>
      </w:r>
      <w:r w:rsidRPr="00E35E38">
        <w:rPr>
          <w:rFonts w:ascii="Times New Roman" w:eastAsia="SimSun" w:hAnsi="Times New Roman" w:cs="Times New Roman"/>
          <w:lang w:eastAsia="fr-FR"/>
        </w:rPr>
        <w:t xml:space="preserve"> (0 až 120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po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chemoterapii) ako exploratívny cieľový ukazovateľ, a</w:t>
      </w:r>
      <w:r w:rsidR="007051C5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7051C5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akútnej a</w:t>
      </w:r>
      <w:r w:rsidR="007051C5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oneskorenej fáze ako pos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t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-</w:t>
      </w:r>
      <w:r w:rsidRPr="00E35E38">
        <w:rPr>
          <w:rFonts w:ascii="Times New Roman" w:eastAsia="SimSun" w:hAnsi="Times New Roman" w:cs="Times New Roman"/>
          <w:lang w:eastAsia="fr-FR"/>
        </w:rPr>
        <w:t>hoc analýza.</w:t>
      </w:r>
    </w:p>
    <w:p w14:paraId="4589BC1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002CE79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Súhrn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kľúčovýc</w:t>
      </w:r>
      <w:r w:rsidRPr="00E35E38">
        <w:rPr>
          <w:rFonts w:ascii="Times New Roman" w:eastAsia="SimSun" w:hAnsi="Times New Roman" w:cs="Times New Roman"/>
          <w:lang w:eastAsia="fr-FR"/>
        </w:rPr>
        <w:t>h výsledkov štúdie je uvedený v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tabuľke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3.</w:t>
      </w:r>
    </w:p>
    <w:p w14:paraId="16B7D04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1"/>
          <w:lang w:eastAsia="fr-FR"/>
        </w:rPr>
      </w:pPr>
    </w:p>
    <w:p w14:paraId="24BED35F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>Tabuľka 3</w:t>
      </w:r>
    </w:p>
    <w:p w14:paraId="47BF9C3B" w14:textId="38F9CC58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Percento dospelých pacientov </w:t>
      </w:r>
      <w:r w:rsidR="00B83F37" w:rsidRPr="00B83F37">
        <w:rPr>
          <w:rFonts w:ascii="Times New Roman" w:eastAsia="SimSun" w:hAnsi="Times New Roman" w:cs="Times New Roman"/>
          <w:spacing w:val="-1"/>
          <w:lang w:eastAsia="fr-FR"/>
        </w:rPr>
        <w:t xml:space="preserve">odpovedajúcich na liečbu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podľa liečebnej skupiny a fázy v štúdii 2 - 1. cyklus stredne emetogénn</w:t>
      </w:r>
      <w:r w:rsidR="00B83F37">
        <w:rPr>
          <w:rFonts w:ascii="Times New Roman" w:eastAsia="SimSun" w:hAnsi="Times New Roman" w:cs="Times New Roman"/>
          <w:spacing w:val="-1"/>
          <w:lang w:eastAsia="fr-FR"/>
        </w:rPr>
        <w:t>ej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chemoterapi</w:t>
      </w:r>
      <w:r w:rsidR="00B83F37">
        <w:rPr>
          <w:rFonts w:ascii="Times New Roman" w:eastAsia="SimSun" w:hAnsi="Times New Roman" w:cs="Times New Roman"/>
          <w:spacing w:val="-1"/>
          <w:lang w:eastAsia="fr-FR"/>
        </w:rPr>
        <w:t>e</w:t>
      </w:r>
    </w:p>
    <w:p w14:paraId="1CD97088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6"/>
        <w:gridCol w:w="1917"/>
        <w:gridCol w:w="1100"/>
        <w:gridCol w:w="1765"/>
      </w:tblGrid>
      <w:tr w:rsidR="005D3283" w:rsidRPr="00E35E38" w14:paraId="0D53E1C5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ED6DD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5C4B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Režim s aprepitan</w:t>
            </w:r>
            <w:r w:rsidR="00B83F37">
              <w:rPr>
                <w:rFonts w:ascii="Times New Roman" w:eastAsia="SimSun" w:hAnsi="Times New Roman" w:cs="Times New Roman"/>
                <w:lang w:eastAsia="fr-FR"/>
              </w:rPr>
              <w:t>-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tom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9421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liečba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8D4AE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Rozdiely*</w:t>
            </w:r>
          </w:p>
        </w:tc>
      </w:tr>
      <w:tr w:rsidR="005D3283" w:rsidRPr="00E35E38" w14:paraId="30180302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8EBC6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KOMPOZITNÉ</w:t>
            </w:r>
            <w:r w:rsidR="00B83F37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UKAZOVATELE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A0762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(N=425)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A2F7D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(N=406)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CB609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05920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1CBE9F59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82A29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B636D8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62CF09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AD92EB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EA0495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(95% IS)</w:t>
            </w:r>
          </w:p>
        </w:tc>
      </w:tr>
      <w:tr w:rsidR="005D3283" w:rsidRPr="00E35E38" w14:paraId="417D566B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3DD4A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5E23E040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692E5A" w14:textId="77777777" w:rsidR="005D3283" w:rsidRPr="00DE7BD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Úplná odpoveď (žiadne vracanie a žiadna záchranná terapia)</w:t>
            </w:r>
          </w:p>
        </w:tc>
      </w:tr>
      <w:tr w:rsidR="005D3283" w:rsidRPr="00E35E38" w14:paraId="2A6E7D30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EE1E0" w14:textId="2AB1BF06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C2272" w14:textId="7FFA04F8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2419B" w14:textId="359D9C59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BE17B" w14:textId="7A83DEB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5DD10" w14:textId="37298F5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9)</w:t>
            </w:r>
          </w:p>
        </w:tc>
      </w:tr>
      <w:tr w:rsidR="005D3283" w:rsidRPr="00E35E38" w14:paraId="23024FED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57420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4D9BA" w14:textId="506D5D2A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16FD8" w14:textId="0E9BFC90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C5895" w14:textId="1134CDCC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F1EED" w14:textId="71501E5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8)</w:t>
            </w:r>
          </w:p>
        </w:tc>
      </w:tr>
      <w:tr w:rsidR="005D3283" w:rsidRPr="00E35E38" w14:paraId="66E6C365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C10B2B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642D1" w14:textId="29A82F18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E2FBC" w14:textId="34237693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09F0AD" w14:textId="4F88AA7C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62EB39" w14:textId="5074E6D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5, 16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44499E04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E2E3CA" w14:textId="77777777" w:rsidR="005D3283" w:rsidRPr="00CF6EC9" w:rsidRDefault="005D3283" w:rsidP="005F03DF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5F03DF" w:rsidRPr="00DE7BD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vracania (žiadne epizódy vracania bez</w:t>
            </w:r>
            <w:r w:rsidR="005F03DF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ohľadu na</w:t>
            </w:r>
            <w:r w:rsidR="005F03DF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použitie záchrannej terapie)</w:t>
            </w:r>
          </w:p>
        </w:tc>
      </w:tr>
      <w:tr w:rsidR="005D3283" w:rsidRPr="00E35E38" w14:paraId="191EF3C0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3FCCEE" w14:textId="3EA1591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A59942" w14:textId="4EE4245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F547CC" w14:textId="21522A85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D0609B" w14:textId="6835E3CA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17121F" w14:textId="3D8246A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45615BF3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9C0F9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D0174" w14:textId="49DCD44C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D6F52" w14:textId="37C955D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46EC3" w14:textId="41EE8746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A093E" w14:textId="5FBCD6F3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7)</w:t>
            </w:r>
          </w:p>
        </w:tc>
      </w:tr>
      <w:tr w:rsidR="005D3283" w:rsidRPr="00E35E38" w14:paraId="61C086AE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115D9B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40E578" w14:textId="6A8F1718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FDE1F" w14:textId="0E75E65D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92792" w14:textId="5C132DD0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A003DA" w14:textId="478C2095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1)</w:t>
            </w:r>
          </w:p>
        </w:tc>
      </w:tr>
      <w:tr w:rsidR="005D3283" w:rsidRPr="00E35E38" w14:paraId="1C94D21B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FB9BCD" w14:textId="65CAC86C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5F03DF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signifikantnej nauzey (maximáln</w:t>
            </w:r>
            <w:r w:rsidR="00B83F37">
              <w:rPr>
                <w:rFonts w:ascii="Times New Roman" w:eastAsia="SimSun" w:hAnsi="Times New Roman" w:cs="Times New Roman"/>
                <w:b/>
                <w:lang w:eastAsia="fr-FR"/>
              </w:rPr>
              <w:t>a hodnota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 xml:space="preserve"> VAS &lt; 25</w:t>
            </w:r>
            <w:r w:rsidR="005F03DF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 na</w:t>
            </w:r>
            <w:r w:rsidR="005F03DF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stupnici 0-100</w:t>
            </w:r>
            <w:r w:rsidR="005F03DF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mm)</w:t>
            </w:r>
          </w:p>
        </w:tc>
      </w:tr>
      <w:tr w:rsidR="005D3283" w:rsidRPr="00E35E38" w14:paraId="2289A9C8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4D05FE" w14:textId="1FCDC0B0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EB8CE1" w14:textId="3365D271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888901" w14:textId="6446FCDC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FCA91A" w14:textId="125F6C86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F03E10" w14:textId="28BD2081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4)</w:t>
            </w:r>
          </w:p>
        </w:tc>
      </w:tr>
      <w:tr w:rsidR="005D3283" w:rsidRPr="00E35E38" w14:paraId="657ACC18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31974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428AC" w14:textId="7A94CB5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90470" w14:textId="394946E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BE7C5" w14:textId="4B311F3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75B6B" w14:textId="1C960F10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16A28944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F4A5B6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860DA8" w14:textId="43CC883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6DE5E" w14:textId="18938B8A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D8B33" w14:textId="6F5CFEE1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1EF35" w14:textId="377FD04F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(-0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5)</w:t>
            </w:r>
          </w:p>
        </w:tc>
      </w:tr>
      <w:tr w:rsidR="005D3283" w:rsidRPr="00E35E38" w14:paraId="55AB681D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78B457" w14:textId="77777777" w:rsidR="005D3283" w:rsidRPr="00CF6EC9" w:rsidRDefault="005D3283" w:rsidP="005F03D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DE7BD8">
              <w:rPr>
                <w:rFonts w:ascii="Times New Roman" w:eastAsia="Times New Roman" w:hAnsi="Times New Roman" w:cs="Times New Roman"/>
                <w:lang w:eastAsia="sk-SK" w:bidi="sk-SK"/>
              </w:rPr>
              <w:t>* Intervaly spoľahlivosti boli vypočítané bez</w:t>
            </w:r>
            <w:r w:rsidR="005F03DF" w:rsidRPr="00DE7BD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úpravy podľa pohlavia a regiónu, ktoré boli zahrnuté v</w:t>
            </w:r>
            <w:r w:rsidR="005F03DF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primárnej analýze používajúcej logistické modely.</w:t>
            </w:r>
          </w:p>
        </w:tc>
      </w:tr>
    </w:tbl>
    <w:p w14:paraId="2BC5F9C7" w14:textId="77777777" w:rsidR="005D3283" w:rsidRPr="00DE7BD8" w:rsidRDefault="005D3283" w:rsidP="005D328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50C0794" w14:textId="3D672710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lang w:eastAsia="sk-SK" w:bidi="sk-SK"/>
        </w:rPr>
        <w:t>Prínos kombinovanej terapie s</w:t>
      </w:r>
      <w:r w:rsidR="005F03DF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aprepitantom v</w:t>
      </w:r>
      <w:r w:rsidR="005F03DF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celej populácii štúdie bol daný najmä výsledkami pozorovanými u</w:t>
      </w:r>
      <w:r w:rsidR="005F03DF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pacientov so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slabou kontrolou 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pri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štandardnom režime, </w:t>
      </w:r>
      <w:r w:rsidR="00B83F37">
        <w:rPr>
          <w:rFonts w:ascii="Times New Roman" w:eastAsia="Times New Roman" w:hAnsi="Times New Roman" w:cs="Times New Roman"/>
          <w:lang w:eastAsia="sk-SK" w:bidi="sk-SK"/>
        </w:rPr>
        <w:t>tak ako aj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u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žien, i keď výsledky boli číselne lepšie bez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ohľadu na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vek, typ tumoru alebo pohlavie. Úplná odpoveď na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aprepitantom, resp. štandardnú terapiu sa dosiahla u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209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324 (65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%), resp. 161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320 (50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%) žien 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83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101 (82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%), resp. 68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87 (78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%) mužov.</w:t>
      </w:r>
    </w:p>
    <w:p w14:paraId="198BB32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1F639DDB" w14:textId="77777777" w:rsidR="005D3283" w:rsidRPr="00FD1253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FD1253">
        <w:rPr>
          <w:rFonts w:ascii="Times New Roman" w:eastAsia="Times New Roman" w:hAnsi="Times New Roman" w:cs="Times New Roman"/>
          <w:u w:val="single"/>
          <w:lang w:eastAsia="sk-SK" w:bidi="sk-SK"/>
        </w:rPr>
        <w:t>Pediatrická populácia</w:t>
      </w:r>
    </w:p>
    <w:p w14:paraId="4BAB9C1F" w14:textId="28E143F5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D1253">
        <w:rPr>
          <w:rFonts w:ascii="Times New Roman" w:eastAsia="Times New Roman" w:hAnsi="Times New Roman" w:cs="Times New Roman"/>
          <w:lang w:eastAsia="sk-SK" w:bidi="sk-SK"/>
        </w:rPr>
        <w:t>V</w:t>
      </w:r>
      <w:r w:rsidR="005F03DF" w:rsidRPr="00FD1253">
        <w:rPr>
          <w:rFonts w:ascii="Times New Roman" w:eastAsia="Times New Roman" w:hAnsi="Times New Roman" w:cs="Times New Roman"/>
          <w:lang w:eastAsia="sk-SK" w:bidi="sk-SK"/>
        </w:rPr>
        <w:t> </w:t>
      </w:r>
      <w:r w:rsidRPr="00FD1253">
        <w:rPr>
          <w:rFonts w:ascii="Times New Roman" w:eastAsia="Times New Roman" w:hAnsi="Times New Roman" w:cs="Times New Roman"/>
          <w:lang w:eastAsia="sk-SK" w:bidi="sk-SK"/>
        </w:rPr>
        <w:t>random</w:t>
      </w:r>
      <w:r w:rsidRPr="00E35E38">
        <w:rPr>
          <w:rFonts w:ascii="Times New Roman" w:eastAsia="Times New Roman" w:hAnsi="Times New Roman" w:cs="Times New Roman"/>
          <w:lang w:eastAsia="sk-SK" w:bidi="sk-SK"/>
        </w:rPr>
        <w:t>izovanej, dvojito zaslepenej, aktívnym komparátorom kontrolovanej klinickej štúdii, ktorá zahŕňala 302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detí a dospievajúcich (vo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17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rokov) dostávajúcich stredne až vysoko emetogénnu chemoterapiu, bol aprepitant porovnávaný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kontrolným režimom na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prevenciu CINV. Účinnosť režimu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aprepitantom bola vyhodnocovaná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jedno</w:t>
      </w:r>
      <w:r w:rsidR="00B83F37">
        <w:rPr>
          <w:rFonts w:ascii="Times New Roman" w:eastAsia="Times New Roman" w:hAnsi="Times New Roman" w:cs="Times New Roman"/>
          <w:lang w:eastAsia="sk-SK" w:bidi="sk-SK"/>
        </w:rPr>
        <w:t>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cykle (1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.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cyklus).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nasledujúcich cykloch mali pacienti možnosť dostávať aprepitant </w:t>
      </w:r>
      <w:r w:rsidR="00FD1253" w:rsidRPr="00FD1253">
        <w:rPr>
          <w:rFonts w:ascii="Times New Roman" w:eastAsia="Times New Roman" w:hAnsi="Times New Roman" w:cs="Times New Roman"/>
          <w:lang w:eastAsia="sk-SK" w:bidi="sk-SK"/>
        </w:rPr>
        <w:t xml:space="preserve">v otvorenom usporiadaní štúdie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(voliteľný 2. - 6.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cyklus).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týchto voliteľných cykloch sa však účinnosť nehodnotila. Režim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aprepitantom pre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dospievajúcich vo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12 až 17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(n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=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47) pozostával z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kapsúl aprepitant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u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125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mg perorálne </w:t>
      </w:r>
      <w:r w:rsidRPr="00E35E38">
        <w:rPr>
          <w:rFonts w:ascii="Times New Roman" w:eastAsia="Times New Roman" w:hAnsi="Times New Roman" w:cs="Times New Roman"/>
          <w:lang w:eastAsia="sk-SK" w:bidi="sk-SK"/>
        </w:rPr>
        <w:lastRenderedPageBreak/>
        <w:t>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 1 a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 a 3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ondansetrónom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1. Režim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aprepitantom pre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deti vo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menej ako 12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(n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=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105) pozostával z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prášku na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perorálnu suspenziu aprepitant 3,0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 (až do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125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mg) perorálne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a 2,0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 (až do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 mg) perorálne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 a 3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ondansetrónom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1. Kontrolný režim u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dospievajúcich vo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12 až 17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(n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=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48) a detí vo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menej ako 12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(n =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102) pozostával z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placeba </w:t>
      </w:r>
      <w:r w:rsidR="00000476">
        <w:rPr>
          <w:rFonts w:ascii="Times New Roman" w:eastAsia="Times New Roman" w:hAnsi="Times New Roman" w:cs="Times New Roman"/>
          <w:lang w:eastAsia="sk-SK" w:bidi="sk-SK"/>
        </w:rPr>
        <w:t>namiesto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aprepitant</w:t>
      </w:r>
      <w:r w:rsidR="00000476">
        <w:rPr>
          <w:rFonts w:ascii="Times New Roman" w:eastAsia="Times New Roman" w:hAnsi="Times New Roman" w:cs="Times New Roman"/>
          <w:lang w:eastAsia="sk-SK" w:bidi="sk-SK"/>
        </w:rPr>
        <w:t>u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1, 2 a 3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ondansetrónom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1. 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A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prepitant alebo placebo sa podával 1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hodinu pred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začiatkom chemoterapie a ondasetrón sa podával 30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minút pred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začiatkom chemoterapie. Ako súčasť antiemetického režimu u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pediatrických pacientov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obidvoch vekových </w:t>
      </w:r>
      <w:r w:rsidRPr="00E35E38">
        <w:rPr>
          <w:rFonts w:ascii="Times New Roman" w:eastAsia="SimSun" w:hAnsi="Times New Roman" w:cs="Times New Roman"/>
          <w:lang w:eastAsia="fr-FR"/>
        </w:rPr>
        <w:t>skupinách bol povolený intravenózny dex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metazón na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základe rozhodnutia lekára. U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pediatrických pacientov dostávajúcich aprepitant sa vyžadovalo zníženie dávky (50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</w:t>
      </w:r>
      <w:r w:rsidR="00611CC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dexametazónu. U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pediatrických pacientov dostávajúcich kontrolný režim sa nevyžadovalo žiadne zníženie dávky. Z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týchto pacientov sa u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29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aprepitantom a u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28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kontrolnom</w:t>
      </w:r>
      <w:r w:rsidR="00611CC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režime</w:t>
      </w:r>
      <w:r w:rsidR="00611CC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používal dexametazón ako súčasť režimu v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1.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cykle.</w:t>
      </w:r>
    </w:p>
    <w:p w14:paraId="119128A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8D07A63" w14:textId="3967D7B9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Antiemetický účinok aprepitant</w:t>
      </w:r>
      <w:r w:rsidR="00611CCD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bol vyhodnocovaný počas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5</w:t>
      </w:r>
      <w:r w:rsidR="007D0A5C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-</w:t>
      </w:r>
      <w:r w:rsidR="007D0A5C" w:rsidRPr="00E35E38">
        <w:rPr>
          <w:rFonts w:ascii="Times New Roman" w:eastAsia="SimSun" w:hAnsi="Times New Roman" w:cs="Times New Roman"/>
          <w:spacing w:val="-4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dňového (120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hodín) obdobia po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začatí chemoterapie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1.Primárnym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cieľovým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ukazo</w:t>
      </w:r>
      <w:r w:rsidRPr="00E35E38">
        <w:rPr>
          <w:rFonts w:ascii="Times New Roman" w:eastAsia="SimSun" w:hAnsi="Times New Roman" w:cs="Times New Roman"/>
          <w:spacing w:val="-3"/>
          <w:lang w:eastAsia="fr-FR"/>
        </w:rPr>
        <w:t>v</w:t>
      </w:r>
      <w:r w:rsidRPr="00E35E38">
        <w:rPr>
          <w:rFonts w:ascii="Times New Roman" w:eastAsia="SimSun" w:hAnsi="Times New Roman" w:cs="Times New Roman"/>
          <w:lang w:eastAsia="fr-FR"/>
        </w:rPr>
        <w:t>ateľom bola úplná odpoveď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oneskorenej fáze (25 až 120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začatí chemoterapie)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cykle. Súhrn kľúčových výsledkov štúdie je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uveden</w:t>
      </w:r>
      <w:r w:rsidRPr="00E35E38">
        <w:rPr>
          <w:rFonts w:ascii="Times New Roman" w:eastAsia="SimSun" w:hAnsi="Times New Roman" w:cs="Times New Roman"/>
          <w:lang w:eastAsia="fr-FR"/>
        </w:rPr>
        <w:t>ý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tabuľke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</w:t>
      </w:r>
    </w:p>
    <w:p w14:paraId="40F3EFE5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9470C6A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Tabuľka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</w:t>
      </w:r>
    </w:p>
    <w:p w14:paraId="65B431BF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Počet (%) pediatrických pacientov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úplnou odpoveďou 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bez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vracania podľa liečebnej skupiny a fázy – 1.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cyklus (populácia so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zámerom liečiť)</w:t>
      </w:r>
    </w:p>
    <w:p w14:paraId="4CE55429" w14:textId="77777777" w:rsidR="00ED7FB2" w:rsidRPr="00E35E38" w:rsidRDefault="00ED7FB2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7"/>
        <w:gridCol w:w="3094"/>
      </w:tblGrid>
      <w:tr w:rsidR="005D3283" w:rsidRPr="00E35E38" w14:paraId="187E8083" w14:textId="77777777" w:rsidTr="00C50E87">
        <w:tc>
          <w:tcPr>
            <w:tcW w:w="3096" w:type="dxa"/>
            <w:shd w:val="clear" w:color="auto" w:fill="auto"/>
          </w:tcPr>
          <w:p w14:paraId="14DA98B1" w14:textId="77777777" w:rsidR="00ED7FB2" w:rsidRPr="00E35E38" w:rsidRDefault="00ED7FB2" w:rsidP="0027069F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3097" w:type="dxa"/>
            <w:shd w:val="clear" w:color="auto" w:fill="auto"/>
          </w:tcPr>
          <w:p w14:paraId="21207214" w14:textId="77777777" w:rsidR="00ED7FB2" w:rsidRPr="00E35E38" w:rsidRDefault="005D3283" w:rsidP="0027069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režim s aprepitantom</w:t>
            </w:r>
          </w:p>
          <w:p w14:paraId="74C53072" w14:textId="77777777" w:rsidR="00ED7FB2" w:rsidRPr="00E35E38" w:rsidRDefault="005D3283" w:rsidP="0027069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n/m (%)</w:t>
            </w:r>
          </w:p>
        </w:tc>
        <w:tc>
          <w:tcPr>
            <w:tcW w:w="3094" w:type="dxa"/>
            <w:shd w:val="clear" w:color="auto" w:fill="auto"/>
          </w:tcPr>
          <w:p w14:paraId="4BE074AF" w14:textId="77777777" w:rsidR="00ED7FB2" w:rsidRPr="00E35E38" w:rsidRDefault="005D3283" w:rsidP="0027069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režim s aprepitantom</w:t>
            </w:r>
          </w:p>
          <w:p w14:paraId="7CE92D5F" w14:textId="77777777" w:rsidR="00ED7FB2" w:rsidRPr="00E35E38" w:rsidRDefault="005D3283" w:rsidP="0027069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n/m (%)</w:t>
            </w:r>
          </w:p>
        </w:tc>
      </w:tr>
      <w:tr w:rsidR="005D3283" w:rsidRPr="00E35E38" w14:paraId="6472257F" w14:textId="77777777" w:rsidTr="00C50E87">
        <w:tc>
          <w:tcPr>
            <w:tcW w:w="9287" w:type="dxa"/>
            <w:gridSpan w:val="3"/>
            <w:shd w:val="clear" w:color="auto" w:fill="auto"/>
          </w:tcPr>
          <w:p w14:paraId="4814E3C0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PRIMÁRNY CIEĽOVÝ UKAZOVATEĽ</w:t>
            </w:r>
          </w:p>
        </w:tc>
      </w:tr>
      <w:tr w:rsidR="005D3283" w:rsidRPr="00E35E38" w14:paraId="75F6EB7A" w14:textId="77777777" w:rsidTr="00C50E87">
        <w:tc>
          <w:tcPr>
            <w:tcW w:w="3096" w:type="dxa"/>
            <w:shd w:val="clear" w:color="auto" w:fill="auto"/>
          </w:tcPr>
          <w:p w14:paraId="0A1576CC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Úplná odpoveď* – oneskorená fáza</w:t>
            </w:r>
          </w:p>
        </w:tc>
        <w:tc>
          <w:tcPr>
            <w:tcW w:w="3097" w:type="dxa"/>
            <w:shd w:val="clear" w:color="auto" w:fill="auto"/>
          </w:tcPr>
          <w:p w14:paraId="747B14AC" w14:textId="45397BE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77/152 (50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3094" w:type="dxa"/>
            <w:shd w:val="clear" w:color="auto" w:fill="auto"/>
          </w:tcPr>
          <w:p w14:paraId="30D4FCE7" w14:textId="495330A6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39/150 (26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592CB5C5" w14:textId="77777777" w:rsidTr="00C50E87">
        <w:tc>
          <w:tcPr>
            <w:tcW w:w="9287" w:type="dxa"/>
            <w:gridSpan w:val="3"/>
            <w:shd w:val="clear" w:color="auto" w:fill="auto"/>
          </w:tcPr>
          <w:p w14:paraId="1CB4A50D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ĎALŠIE VOPRED DEFINOVANÉ CIEĽOVÉ UKAZOVATELE</w:t>
            </w:r>
          </w:p>
        </w:tc>
      </w:tr>
      <w:tr w:rsidR="005D3283" w:rsidRPr="00E35E38" w14:paraId="36C882E3" w14:textId="77777777" w:rsidTr="00C50E87">
        <w:tc>
          <w:tcPr>
            <w:tcW w:w="3096" w:type="dxa"/>
            <w:shd w:val="clear" w:color="auto" w:fill="auto"/>
          </w:tcPr>
          <w:p w14:paraId="23461C70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Úplná odpoveď* – akútna fáza</w:t>
            </w:r>
          </w:p>
        </w:tc>
        <w:tc>
          <w:tcPr>
            <w:tcW w:w="3097" w:type="dxa"/>
            <w:shd w:val="clear" w:color="auto" w:fill="auto"/>
          </w:tcPr>
          <w:p w14:paraId="53BDAE4E" w14:textId="177E2115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101/152 (66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‡</w:t>
            </w:r>
          </w:p>
        </w:tc>
        <w:tc>
          <w:tcPr>
            <w:tcW w:w="3094" w:type="dxa"/>
            <w:shd w:val="clear" w:color="auto" w:fill="auto"/>
          </w:tcPr>
          <w:p w14:paraId="2ED4DA54" w14:textId="5CC7CEC3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78/150 (52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34722103" w14:textId="77777777" w:rsidTr="00C50E87">
        <w:tc>
          <w:tcPr>
            <w:tcW w:w="3096" w:type="dxa"/>
            <w:shd w:val="clear" w:color="auto" w:fill="auto"/>
          </w:tcPr>
          <w:p w14:paraId="4552050C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Úplná odpoveď* – celková fáza</w:t>
            </w:r>
          </w:p>
        </w:tc>
        <w:tc>
          <w:tcPr>
            <w:tcW w:w="3097" w:type="dxa"/>
            <w:shd w:val="clear" w:color="auto" w:fill="auto"/>
          </w:tcPr>
          <w:p w14:paraId="76987B3E" w14:textId="7853E82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61/152 (40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3094" w:type="dxa"/>
            <w:shd w:val="clear" w:color="auto" w:fill="auto"/>
          </w:tcPr>
          <w:p w14:paraId="52BCEA37" w14:textId="45FE0DCA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30/150 (20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296FA492" w14:textId="77777777" w:rsidTr="00C50E87">
        <w:tc>
          <w:tcPr>
            <w:tcW w:w="3096" w:type="dxa"/>
            <w:shd w:val="clear" w:color="auto" w:fill="auto"/>
          </w:tcPr>
          <w:p w14:paraId="1969528C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  <w:r w:rsidR="007D0A5C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vracania</w:t>
            </w:r>
            <w:r w:rsidRPr="00E35E38">
              <w:rPr>
                <w:rFonts w:ascii="Times New Roman" w:eastAsia="SimSun" w:hAnsi="Times New Roman" w:cs="Times New Roman"/>
                <w:vertAlign w:val="superscript"/>
                <w:lang w:eastAsia="fr-FR"/>
              </w:rPr>
              <w:t>§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– celková fáza</w:t>
            </w:r>
          </w:p>
        </w:tc>
        <w:tc>
          <w:tcPr>
            <w:tcW w:w="3097" w:type="dxa"/>
            <w:shd w:val="clear" w:color="auto" w:fill="auto"/>
          </w:tcPr>
          <w:p w14:paraId="78909242" w14:textId="3E63CE55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71/152 (46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3094" w:type="dxa"/>
            <w:shd w:val="clear" w:color="auto" w:fill="auto"/>
          </w:tcPr>
          <w:p w14:paraId="5D47E02A" w14:textId="15EF6574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32/150 (21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5A94943C" w14:textId="77777777" w:rsidTr="00C50E87">
        <w:tc>
          <w:tcPr>
            <w:tcW w:w="9287" w:type="dxa"/>
            <w:gridSpan w:val="3"/>
            <w:shd w:val="clear" w:color="auto" w:fill="auto"/>
          </w:tcPr>
          <w:p w14:paraId="3B092B70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* </w:t>
            </w:r>
            <w:r w:rsidR="007D0A5C" w:rsidRPr="00DE7BD8">
              <w:rPr>
                <w:rFonts w:ascii="Times New Roman" w:eastAsia="Times New Roman" w:hAnsi="Times New Roman" w:cs="Times New Roman"/>
                <w:lang w:eastAsia="sk-SK" w:bidi="sk-SK"/>
              </w:rPr>
              <w:t>ú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plná odpoveď = bez</w:t>
            </w:r>
            <w:r w:rsidR="007D0A5C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vracania alebo pocitu na</w:t>
            </w:r>
            <w:r w:rsidR="007D0A5C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vracanie alebo napínania na</w:t>
            </w:r>
            <w:r w:rsidR="007D0A5C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vracanie bez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použitia záchrannej liečby.</w:t>
            </w:r>
          </w:p>
          <w:p w14:paraId="69D43C94" w14:textId="22514602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†p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&lt;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0,01 pri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porovnaní s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kontrolným režimom</w:t>
            </w:r>
          </w:p>
          <w:p w14:paraId="0E24F241" w14:textId="0E9575A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‡p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&lt;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0,05 pri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porovnaní s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kontrolným režimom</w:t>
            </w:r>
          </w:p>
          <w:p w14:paraId="3A6E5E16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vertAlign w:val="superscript"/>
                <w:lang w:eastAsia="sk-SK" w:bidi="sk-SK"/>
              </w:rPr>
              <w:t>§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Bez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vracania = bez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vracania alebo pocitu na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vracanie alebo napínania na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vracanie</w:t>
            </w:r>
          </w:p>
          <w:p w14:paraId="371C4DDB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n/m = počet pacientov s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požadovanou odpoveďou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/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počet pacientov zahrnutých v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časovom bode. Akútna fáza: 0 až 24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hodín po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začatí chemoterapie.</w:t>
            </w:r>
          </w:p>
          <w:p w14:paraId="53E3988F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Oneskorená fáza: 25 až 12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hodín po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začatí chemoterapie.</w:t>
            </w:r>
          </w:p>
          <w:p w14:paraId="5D608329" w14:textId="1C13CD10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Celková fáza: 0 až 120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hodín po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začatí chemoterapie.</w:t>
            </w:r>
          </w:p>
        </w:tc>
      </w:tr>
    </w:tbl>
    <w:p w14:paraId="1107A18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CCDA3AB" w14:textId="1E6F0464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Odhadovaný čas do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prvého vracania po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začatí liečby chemoterapiou bol dlhší pri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aprepitantom (odhadovaný medián času do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prvého vracania bol 94,5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hodín)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porovnaní so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skupinou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kontrolným režimom (odhadovaný medián času do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prvého vracania bol 26,0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hodín) ako je znázornené na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Kaplan</w:t>
      </w:r>
      <w:r w:rsidR="00FB4CAC">
        <w:rPr>
          <w:rFonts w:ascii="Times New Roman" w:eastAsia="SimSun" w:hAnsi="Times New Roman" w:cs="Times New Roman"/>
          <w:lang w:eastAsia="fr-FR"/>
        </w:rPr>
        <w:t>ových</w:t>
      </w:r>
      <w:r w:rsidRPr="00E35E38">
        <w:rPr>
          <w:rFonts w:ascii="Times New Roman" w:eastAsia="SimSun" w:hAnsi="Times New Roman" w:cs="Times New Roman"/>
          <w:lang w:eastAsia="fr-FR"/>
        </w:rPr>
        <w:t>-Meierových grafoch na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obrázku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2.</w:t>
      </w:r>
    </w:p>
    <w:p w14:paraId="280CC43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CD05DCE" w14:textId="77777777" w:rsidR="00ED7FB2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DE7BD8">
        <w:rPr>
          <w:rFonts w:ascii="Times New Roman" w:eastAsia="SimSun" w:hAnsi="Times New Roman" w:cs="Times New Roman"/>
          <w:lang w:eastAsia="fr-FR"/>
        </w:rPr>
        <w:lastRenderedPageBreak/>
        <w:t>Obrázok</w:t>
      </w:r>
      <w:r w:rsidR="007D0A5C" w:rsidRPr="00DE7BD8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2</w:t>
      </w:r>
    </w:p>
    <w:p w14:paraId="30AB69ED" w14:textId="0D987E21" w:rsidR="005D3283" w:rsidRPr="00E35E38" w:rsidRDefault="005D3283" w:rsidP="007D0A5C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Čas do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prvej epizódy vracania od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začiatku podávania chemoterapie–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pediat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r</w:t>
      </w:r>
      <w:r w:rsidRPr="00E35E38">
        <w:rPr>
          <w:rFonts w:ascii="Times New Roman" w:eastAsia="SimSun" w:hAnsi="Times New Roman" w:cs="Times New Roman"/>
          <w:lang w:eastAsia="fr-FR"/>
        </w:rPr>
        <w:t>ic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k</w:t>
      </w:r>
      <w:r w:rsidRPr="00E35E38">
        <w:rPr>
          <w:rFonts w:ascii="Times New Roman" w:eastAsia="SimSun" w:hAnsi="Times New Roman" w:cs="Times New Roman"/>
          <w:lang w:eastAsia="fr-FR"/>
        </w:rPr>
        <w:t>í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pacien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t</w:t>
      </w:r>
      <w:r w:rsidRPr="00E35E38">
        <w:rPr>
          <w:rFonts w:ascii="Times New Roman" w:eastAsia="SimSun" w:hAnsi="Times New Roman" w:cs="Times New Roman"/>
          <w:lang w:eastAsia="fr-FR"/>
        </w:rPr>
        <w:t>i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cel</w:t>
      </w:r>
      <w:r w:rsidR="00FB4CAC">
        <w:rPr>
          <w:rFonts w:ascii="Times New Roman" w:eastAsia="SimSun" w:hAnsi="Times New Roman" w:cs="Times New Roman"/>
          <w:spacing w:val="1"/>
          <w:lang w:eastAsia="fr-FR"/>
        </w:rPr>
        <w:t>ej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 xml:space="preserve"> f</w:t>
      </w:r>
      <w:r w:rsidRPr="00E35E38">
        <w:rPr>
          <w:rFonts w:ascii="Times New Roman" w:eastAsia="SimSun" w:hAnsi="Times New Roman" w:cs="Times New Roman"/>
          <w:lang w:eastAsia="fr-FR"/>
        </w:rPr>
        <w:t>á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z</w:t>
      </w:r>
      <w:r w:rsidRPr="00E35E38">
        <w:rPr>
          <w:rFonts w:ascii="Times New Roman" w:eastAsia="SimSun" w:hAnsi="Times New Roman" w:cs="Times New Roman"/>
          <w:lang w:eastAsia="fr-FR"/>
        </w:rPr>
        <w:t>e– 1.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cyklus (populácia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so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zámerom liečiť)</w:t>
      </w:r>
    </w:p>
    <w:p w14:paraId="3B0B6484" w14:textId="77777777" w:rsidR="005D3283" w:rsidRPr="00E35E38" w:rsidRDefault="005D3283" w:rsidP="007D0A5C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</w:p>
    <w:p w14:paraId="3F1BF75E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noProof/>
          <w:lang w:eastAsia="sk-SK"/>
        </w:rPr>
        <w:drawing>
          <wp:inline distT="0" distB="0" distL="0" distR="0" wp14:anchorId="117576DC" wp14:editId="625D8E6B">
            <wp:extent cx="3379470" cy="2639695"/>
            <wp:effectExtent l="0" t="0" r="0" b="825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D9BB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C7B17F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SimSun" w:hAnsi="Times New Roman" w:cs="Times New Roman"/>
          <w:lang w:eastAsia="fr-FR"/>
        </w:rPr>
        <w:t>Analýza účinnosti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podskupinách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1.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cykle preukázala, že bez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ohľadu na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vekovú kategóriu, pohlavie, používanie dexametazónu pri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antiemetickej profylaxii a emetogénnej chemoterapii, režim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aprepitantom poskytoval lepšiu kontrolu ako kontrolný režim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ohľadom na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cieľové ukazovatele úplnej odpovede.</w:t>
      </w:r>
    </w:p>
    <w:p w14:paraId="495334D3" w14:textId="77777777" w:rsidR="005D3283" w:rsidRPr="00DE7BD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181E5141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Farmakokinetické vlastnosti</w:t>
      </w:r>
    </w:p>
    <w:p w14:paraId="5E1FF2D8" w14:textId="77777777" w:rsidR="005D3283" w:rsidRPr="00CF6EC9" w:rsidRDefault="005D328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</w:p>
    <w:p w14:paraId="0AB42635" w14:textId="77777777" w:rsidR="005D3283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lang w:eastAsia="fr-FR"/>
        </w:rPr>
        <w:t>Aprepitant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spacing w:val="-2"/>
          <w:lang w:eastAsia="fr-FR"/>
        </w:rPr>
        <w:t>vyk</w:t>
      </w:r>
      <w:r w:rsidRPr="00CF6EC9">
        <w:rPr>
          <w:rFonts w:ascii="Times New Roman" w:eastAsia="SimSun" w:hAnsi="Times New Roman" w:cs="Times New Roman"/>
          <w:spacing w:val="3"/>
          <w:lang w:eastAsia="fr-FR"/>
        </w:rPr>
        <w:t>a</w:t>
      </w:r>
      <w:r w:rsidRPr="00CF6EC9">
        <w:rPr>
          <w:rFonts w:ascii="Times New Roman" w:eastAsia="SimSun" w:hAnsi="Times New Roman" w:cs="Times New Roman"/>
          <w:lang w:eastAsia="fr-FR"/>
        </w:rPr>
        <w:t>zuje nelineárnu farmakokinetiku.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 xml:space="preserve"> K</w:t>
      </w:r>
      <w:r w:rsidRPr="00CF6EC9">
        <w:rPr>
          <w:rFonts w:ascii="Times New Roman" w:eastAsia="SimSun" w:hAnsi="Times New Roman" w:cs="Times New Roman"/>
          <w:lang w:eastAsia="fr-FR"/>
        </w:rPr>
        <w:t>lírens aj absolútna biologická dostupnosť klesajú so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stúpajúcou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dávkou.</w:t>
      </w:r>
    </w:p>
    <w:p w14:paraId="3C2A7BA6" w14:textId="77777777" w:rsidR="005D3283" w:rsidRPr="00CF6EC9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4D65237" w14:textId="77777777" w:rsidR="005D3283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u w:val="single"/>
          <w:lang w:eastAsia="fr-FR"/>
        </w:rPr>
        <w:t>Absorpcia</w:t>
      </w:r>
    </w:p>
    <w:p w14:paraId="6D1CE9AF" w14:textId="7FF3B5FA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lang w:eastAsia="fr-FR"/>
        </w:rPr>
        <w:t xml:space="preserve">Priemerná absolútna biologická dostupnosť </w:t>
      </w:r>
      <w:r w:rsidR="00FB4CAC" w:rsidRPr="00FB4CAC">
        <w:rPr>
          <w:rFonts w:ascii="Times New Roman" w:eastAsia="SimSun" w:hAnsi="Times New Roman" w:cs="Times New Roman"/>
          <w:lang w:eastAsia="fr-FR"/>
        </w:rPr>
        <w:t xml:space="preserve">perorálne podaného </w:t>
      </w:r>
      <w:r w:rsidRPr="00CF6EC9">
        <w:rPr>
          <w:rFonts w:ascii="Times New Roman" w:eastAsia="SimSun" w:hAnsi="Times New Roman" w:cs="Times New Roman"/>
          <w:lang w:eastAsia="fr-FR"/>
        </w:rPr>
        <w:t>aprepitantu je 67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% pre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7D0A5C" w:rsidRPr="00E35E38">
        <w:rPr>
          <w:rFonts w:ascii="Times New Roman" w:eastAsia="SimSun" w:hAnsi="Times New Roman" w:cs="Times New Roman"/>
          <w:spacing w:val="-4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kapsulu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59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pre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125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 xml:space="preserve"> mg </w:t>
      </w:r>
      <w:r w:rsidRPr="00E35E38">
        <w:rPr>
          <w:rFonts w:ascii="Times New Roman" w:eastAsia="SimSun" w:hAnsi="Times New Roman" w:cs="Times New Roman"/>
          <w:lang w:eastAsia="fr-FR"/>
        </w:rPr>
        <w:t>kapsulu.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Priemerná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maximálna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plazmatická koncentrácia (</w:t>
      </w:r>
      <w:r w:rsidRPr="00CF6EC9">
        <w:rPr>
          <w:rFonts w:ascii="Times New Roman" w:eastAsia="SimSun" w:hAnsi="Times New Roman" w:cs="Times New Roman"/>
          <w:spacing w:val="1"/>
          <w:lang w:eastAsia="fr-FR"/>
        </w:rPr>
        <w:t>C</w:t>
      </w:r>
      <w:r w:rsidRPr="00F036B5">
        <w:rPr>
          <w:rFonts w:ascii="Times New Roman" w:eastAsia="SimSun" w:hAnsi="Times New Roman" w:cs="Times New Roman"/>
          <w:spacing w:val="-5"/>
          <w:position w:val="-3"/>
          <w:vertAlign w:val="subscript"/>
          <w:lang w:eastAsia="fr-FR"/>
        </w:rPr>
        <w:t>m</w:t>
      </w:r>
      <w:r w:rsidRPr="00F036B5">
        <w:rPr>
          <w:rFonts w:ascii="Times New Roman" w:eastAsia="SimSun" w:hAnsi="Times New Roman" w:cs="Times New Roman"/>
          <w:spacing w:val="3"/>
          <w:position w:val="-3"/>
          <w:vertAlign w:val="subscript"/>
          <w:lang w:eastAsia="fr-FR"/>
        </w:rPr>
        <w:t>a</w:t>
      </w:r>
      <w:r w:rsidRPr="00F036B5">
        <w:rPr>
          <w:rFonts w:ascii="Times New Roman" w:eastAsia="SimSun" w:hAnsi="Times New Roman" w:cs="Times New Roman"/>
          <w:spacing w:val="-2"/>
          <w:position w:val="-3"/>
          <w:vertAlign w:val="subscript"/>
          <w:lang w:eastAsia="fr-FR"/>
        </w:rPr>
        <w:t>x</w:t>
      </w:r>
      <w:r w:rsidRPr="00CF6EC9">
        <w:rPr>
          <w:rFonts w:ascii="Times New Roman" w:eastAsia="SimSun" w:hAnsi="Times New Roman" w:cs="Times New Roman"/>
          <w:lang w:eastAsia="fr-FR"/>
        </w:rPr>
        <w:t>)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aprepitantu sa dosiahla približne po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4</w:t>
      </w:r>
      <w:r w:rsidR="007D0A5C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hodinách (</w:t>
      </w:r>
      <w:r w:rsidRPr="00E35E38">
        <w:rPr>
          <w:rFonts w:ascii="Times New Roman" w:eastAsia="SimSun" w:hAnsi="Times New Roman" w:cs="Times New Roman"/>
          <w:spacing w:val="1"/>
          <w:position w:val="1"/>
          <w:lang w:eastAsia="fr-FR"/>
        </w:rPr>
        <w:t>t</w:t>
      </w:r>
      <w:r w:rsidRPr="00F036B5">
        <w:rPr>
          <w:rFonts w:ascii="Times New Roman" w:eastAsia="SimSun" w:hAnsi="Times New Roman" w:cs="Times New Roman"/>
          <w:spacing w:val="-5"/>
          <w:position w:val="-2"/>
          <w:vertAlign w:val="subscript"/>
          <w:lang w:eastAsia="fr-FR"/>
        </w:rPr>
        <w:t>m</w:t>
      </w:r>
      <w:r w:rsidRPr="00F036B5">
        <w:rPr>
          <w:rFonts w:ascii="Times New Roman" w:eastAsia="SimSun" w:hAnsi="Times New Roman" w:cs="Times New Roman"/>
          <w:spacing w:val="3"/>
          <w:position w:val="-2"/>
          <w:vertAlign w:val="subscript"/>
          <w:lang w:eastAsia="fr-FR"/>
        </w:rPr>
        <w:t>a</w:t>
      </w:r>
      <w:r w:rsidRPr="00F036B5">
        <w:rPr>
          <w:rFonts w:ascii="Times New Roman" w:eastAsia="SimSun" w:hAnsi="Times New Roman" w:cs="Times New Roman"/>
          <w:spacing w:val="-2"/>
          <w:position w:val="-2"/>
          <w:vertAlign w:val="subscript"/>
          <w:lang w:eastAsia="fr-FR"/>
        </w:rPr>
        <w:t>x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).</w:t>
      </w:r>
      <w:r w:rsidR="00FB4CAC">
        <w:rPr>
          <w:rFonts w:ascii="Times New Roman" w:eastAsia="SimSun" w:hAnsi="Times New Roman" w:cs="Times New Roman"/>
          <w:position w:val="1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Perorálne podanie kapsuly aprepitantu spolu so</w:t>
      </w:r>
      <w:r w:rsidR="007D0A5C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štandardnými raňajkami, približne </w:t>
      </w:r>
      <w:r w:rsidRPr="00E35E38">
        <w:rPr>
          <w:rFonts w:ascii="Times New Roman" w:eastAsia="SimSun" w:hAnsi="Times New Roman" w:cs="Times New Roman"/>
          <w:lang w:eastAsia="fr-FR"/>
        </w:rPr>
        <w:t>800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kcal,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malo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za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následok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až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zvýšenie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AUC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aprepitantu.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Toto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zvýšenie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sa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nepovažuje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za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k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l</w:t>
      </w:r>
      <w:r w:rsidRPr="00E35E38">
        <w:rPr>
          <w:rFonts w:ascii="Times New Roman" w:eastAsia="SimSun" w:hAnsi="Times New Roman" w:cs="Times New Roman"/>
          <w:lang w:eastAsia="fr-FR"/>
        </w:rPr>
        <w:t>inicky významné.</w:t>
      </w:r>
    </w:p>
    <w:p w14:paraId="093DD96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4C9535A" w14:textId="5145573B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Farmakokinetika aprepitantu je 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rozsahu klinického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dávkovania nelineárna. U</w:t>
      </w:r>
      <w:r w:rsidR="005E126B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zdravýc</w:t>
      </w:r>
      <w:r w:rsidRPr="00E35E38">
        <w:rPr>
          <w:rFonts w:ascii="Times New Roman" w:eastAsia="SimSun" w:hAnsi="Times New Roman" w:cs="Times New Roman"/>
          <w:lang w:eastAsia="fr-FR"/>
        </w:rPr>
        <w:t>h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mladých </w:t>
      </w:r>
      <w:r w:rsidRPr="00E35E38">
        <w:rPr>
          <w:rFonts w:ascii="Times New Roman" w:eastAsia="SimSun" w:hAnsi="Times New Roman" w:cs="Times New Roman"/>
          <w:lang w:eastAsia="fr-FR"/>
        </w:rPr>
        <w:t>dospelých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bolo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zvýšenie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AU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-1"/>
          <w:vertAlign w:val="subscript"/>
          <w:lang w:eastAsia="sk-SK" w:bidi="sk-SK"/>
        </w:rPr>
        <w:t>0-∞</w:t>
      </w:r>
      <w:r w:rsidRPr="00E35E38">
        <w:rPr>
          <w:rFonts w:ascii="Times New Roman" w:eastAsia="SimSun" w:hAnsi="Times New Roman" w:cs="Times New Roman"/>
          <w:lang w:eastAsia="fr-FR"/>
        </w:rPr>
        <w:t>o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26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% väčšie, ako by zodpovedalo dávke </w:t>
      </w:r>
      <w:r w:rsidR="007924A3" w:rsidRPr="007924A3">
        <w:rPr>
          <w:rFonts w:ascii="Times New Roman" w:eastAsia="SimSun" w:hAnsi="Times New Roman" w:cs="Times New Roman"/>
          <w:lang w:eastAsia="fr-FR"/>
        </w:rPr>
        <w:t>po podaní</w:t>
      </w:r>
      <w:r w:rsidR="007924A3">
        <w:rPr>
          <w:rFonts w:ascii="Times New Roman" w:eastAsia="SimSun" w:hAnsi="Times New Roman" w:cs="Times New Roman"/>
          <w:lang w:eastAsia="fr-FR"/>
        </w:rPr>
        <w:t xml:space="preserve"> jednorazových dávok v rozmedzí</w:t>
      </w:r>
      <w:r w:rsidRPr="00E35E38">
        <w:rPr>
          <w:rFonts w:ascii="Times New Roman" w:eastAsia="SimSun" w:hAnsi="Times New Roman" w:cs="Times New Roman"/>
          <w:lang w:eastAsia="fr-FR"/>
        </w:rPr>
        <w:t xml:space="preserve"> 8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0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g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 125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 xml:space="preserve"> mg </w:t>
      </w: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jedle.</w:t>
      </w:r>
    </w:p>
    <w:p w14:paraId="5A8F79D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D42E8C7" w14:textId="16CF4A35" w:rsidR="005D3283" w:rsidRPr="00CF6EC9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jednorazovom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perorálnom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podaní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125</w:t>
      </w:r>
      <w:r w:rsidR="005E126B"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g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dávk</w:t>
      </w:r>
      <w:r w:rsidRPr="00E35E38">
        <w:rPr>
          <w:rFonts w:ascii="Times New Roman" w:eastAsia="SimSun" w:hAnsi="Times New Roman" w:cs="Times New Roman"/>
          <w:lang w:eastAsia="fr-FR"/>
        </w:rPr>
        <w:t>y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aprepitant</w:t>
      </w:r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raz denne 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 xml:space="preserve">3 bola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AU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-1"/>
          <w:vertAlign w:val="subscript"/>
          <w:lang w:eastAsia="sk-SK" w:bidi="sk-SK"/>
        </w:rPr>
        <w:t>0-24h</w:t>
      </w:r>
      <w:r w:rsidR="007924A3">
        <w:rPr>
          <w:rFonts w:ascii="Times New Roman" w:eastAsia="Times New Roman" w:hAnsi="Times New Roman" w:cs="Times New Roman"/>
          <w:spacing w:val="-1"/>
          <w:vertAlign w:val="subscript"/>
          <w:lang w:eastAsia="sk-SK" w:bidi="sk-SK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(priemer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±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SD)</w:t>
      </w:r>
      <w:r w:rsidR="007924A3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19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 ±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5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µ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g●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</w:t>
      </w:r>
      <w:r w:rsidR="007924A3">
        <w:rPr>
          <w:rFonts w:ascii="Times New Roman" w:eastAsia="Times New Roman" w:hAnsi="Times New Roman" w:cs="Times New Roman"/>
          <w:lang w:eastAsia="sk-SK" w:bidi="sk-SK"/>
        </w:rPr>
        <w:t>l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</w:t>
      </w:r>
      <w:r w:rsidR="007924A3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21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 ±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µ</w:t>
      </w:r>
      <w:r w:rsidRPr="00E35E38">
        <w:rPr>
          <w:rFonts w:ascii="Times New Roman" w:eastAsia="Times New Roman" w:hAnsi="Times New Roman" w:cs="Times New Roman"/>
          <w:lang w:eastAsia="sk-SK" w:bidi="sk-SK"/>
        </w:rPr>
        <w:t>g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●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</w:t>
      </w:r>
      <w:r w:rsidR="007924A3">
        <w:rPr>
          <w:rFonts w:ascii="Times New Roman" w:eastAsia="Times New Roman" w:hAnsi="Times New Roman" w:cs="Times New Roman"/>
          <w:lang w:eastAsia="sk-SK" w:bidi="sk-SK"/>
        </w:rPr>
        <w:t>l</w:t>
      </w:r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3. </w:t>
      </w:r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1"/>
          <w:vertAlign w:val="subscript"/>
          <w:lang w:eastAsia="sk-SK" w:bidi="sk-SK"/>
        </w:rPr>
        <w:t>max</w:t>
      </w:r>
      <w:r w:rsidR="00CF6EC9">
        <w:rPr>
          <w:rFonts w:ascii="Times New Roman" w:eastAsia="Times New Roman" w:hAnsi="Times New Roman" w:cs="Times New Roman"/>
          <w:spacing w:val="1"/>
          <w:vertAlign w:val="subscript"/>
          <w:lang w:eastAsia="sk-SK" w:bidi="sk-SK"/>
        </w:rPr>
        <w:t xml:space="preserve"> </w:t>
      </w:r>
      <w:r w:rsidRPr="00DE7BD8">
        <w:rPr>
          <w:rFonts w:ascii="Times New Roman" w:eastAsia="SimSun" w:hAnsi="Times New Roman" w:cs="Times New Roman"/>
          <w:lang w:eastAsia="fr-FR"/>
        </w:rPr>
        <w:t xml:space="preserve">bola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 ±</w:t>
      </w:r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0</w:t>
      </w:r>
      <w:r w:rsidR="007924A3">
        <w:rPr>
          <w:rFonts w:ascii="Times New Roman" w:eastAsia="Times New Roman" w:hAnsi="Times New Roman" w:cs="Times New Roman"/>
          <w:spacing w:val="-1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3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 µg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</w:t>
      </w:r>
      <w:r w:rsidR="007924A3">
        <w:rPr>
          <w:rFonts w:ascii="Times New Roman" w:eastAsia="Times New Roman" w:hAnsi="Times New Roman" w:cs="Times New Roman"/>
          <w:lang w:eastAsia="sk-SK" w:bidi="sk-SK"/>
        </w:rPr>
        <w:t>l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DE7BD8">
        <w:rPr>
          <w:rFonts w:ascii="Times New Roman" w:eastAsia="SimSun" w:hAnsi="Times New Roman" w:cs="Times New Roman"/>
          <w:lang w:eastAsia="fr-FR"/>
        </w:rPr>
        <w:t>v</w:t>
      </w:r>
      <w:r w:rsidR="005E126B" w:rsidRPr="00DE7BD8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deň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1 a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±</w:t>
      </w:r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0</w:t>
      </w:r>
      <w:r w:rsidR="007924A3">
        <w:rPr>
          <w:rFonts w:ascii="Times New Roman" w:eastAsia="Times New Roman" w:hAnsi="Times New Roman" w:cs="Times New Roman"/>
          <w:spacing w:val="-1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2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µg</w:t>
      </w:r>
      <w:r w:rsidR="005E126B"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/</w:t>
      </w:r>
      <w:r w:rsidR="005E126B"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m</w:t>
      </w:r>
      <w:r w:rsidR="007924A3">
        <w:rPr>
          <w:rFonts w:ascii="Times New Roman" w:eastAsia="Times New Roman" w:hAnsi="Times New Roman" w:cs="Times New Roman"/>
          <w:lang w:eastAsia="sk-SK" w:bidi="sk-SK"/>
        </w:rPr>
        <w:t>l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DE7BD8">
        <w:rPr>
          <w:rFonts w:ascii="Times New Roman" w:eastAsia="SimSun" w:hAnsi="Times New Roman" w:cs="Times New Roman"/>
          <w:lang w:eastAsia="fr-FR"/>
        </w:rPr>
        <w:t>v</w:t>
      </w:r>
      <w:r w:rsidR="005E126B" w:rsidRPr="00DE7BD8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deň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3.</w:t>
      </w:r>
    </w:p>
    <w:p w14:paraId="1AE8FDCD" w14:textId="77777777" w:rsidR="005D3283" w:rsidRPr="00CF6EC9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75D5D56" w14:textId="77777777" w:rsidR="005D3283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u w:val="single"/>
          <w:lang w:eastAsia="fr-FR"/>
        </w:rPr>
        <w:t>Distribúcia</w:t>
      </w:r>
    </w:p>
    <w:p w14:paraId="53D2B177" w14:textId="295E921F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lang w:eastAsia="fr-FR"/>
        </w:rPr>
        <w:t>Aprepitant sa silne viaže na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proteíny, v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priemere 97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%. Geometrický priemer zdanlivého distribučného objemu 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rovnovážnom stave (Vd</w:t>
      </w:r>
      <w:r w:rsidRPr="00F036B5">
        <w:rPr>
          <w:rFonts w:ascii="Times New Roman" w:eastAsia="SimSun" w:hAnsi="Times New Roman" w:cs="Times New Roman"/>
          <w:spacing w:val="-1"/>
          <w:position w:val="-3"/>
          <w:vertAlign w:val="subscript"/>
          <w:lang w:eastAsia="fr-FR"/>
        </w:rPr>
        <w:t>s</w:t>
      </w:r>
      <w:r w:rsidRPr="00F036B5">
        <w:rPr>
          <w:rFonts w:ascii="Times New Roman" w:eastAsia="SimSun" w:hAnsi="Times New Roman" w:cs="Times New Roman"/>
          <w:spacing w:val="1"/>
          <w:position w:val="-3"/>
          <w:vertAlign w:val="subscript"/>
          <w:lang w:eastAsia="fr-FR"/>
        </w:rPr>
        <w:t>s</w:t>
      </w:r>
      <w:r w:rsidRPr="00E35E38">
        <w:rPr>
          <w:rFonts w:ascii="Times New Roman" w:eastAsia="SimSun" w:hAnsi="Times New Roman" w:cs="Times New Roman"/>
          <w:lang w:eastAsia="fr-FR"/>
        </w:rPr>
        <w:t>)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je u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ľudí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približne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66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l.</w:t>
      </w:r>
    </w:p>
    <w:p w14:paraId="54EEFA9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F0F92CB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Biotransformácia</w:t>
      </w:r>
    </w:p>
    <w:p w14:paraId="437F7B32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 je značne metabolizovaný. U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zdravých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mladých dospelých po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podaní jedno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r</w:t>
      </w:r>
      <w:r w:rsidRPr="00E35E38">
        <w:rPr>
          <w:rFonts w:ascii="Times New Roman" w:eastAsia="SimSun" w:hAnsi="Times New Roman" w:cs="Times New Roman"/>
          <w:lang w:eastAsia="fr-FR"/>
        </w:rPr>
        <w:t xml:space="preserve">azovej intravenóznej 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dávky </w:t>
      </w:r>
      <w:r w:rsidRPr="00E35E38">
        <w:rPr>
          <w:rFonts w:ascii="Times New Roman" w:eastAsia="SimSun" w:hAnsi="Times New Roman" w:cs="Times New Roman"/>
          <w:lang w:eastAsia="fr-FR"/>
        </w:rPr>
        <w:t>100</w:t>
      </w:r>
      <w:r w:rsidR="0092636D"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g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[</w:t>
      </w:r>
      <w:r w:rsidRPr="00E35E38">
        <w:rPr>
          <w:rFonts w:ascii="Times New Roman" w:eastAsia="Times New Roman" w:hAnsi="Times New Roman" w:cs="Times New Roman"/>
          <w:spacing w:val="-1"/>
          <w:vertAlign w:val="superscript"/>
          <w:lang w:eastAsia="sk-SK" w:bidi="sk-SK"/>
        </w:rPr>
        <w:t>14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]</w:t>
      </w:r>
      <w:r w:rsidRPr="00E35E38">
        <w:rPr>
          <w:rFonts w:ascii="Times New Roman" w:eastAsia="Times New Roman" w:hAnsi="Times New Roman" w:cs="Times New Roman"/>
          <w:spacing w:val="-4"/>
          <w:lang w:eastAsia="sk-SK" w:bidi="sk-SK"/>
        </w:rPr>
        <w:t>-</w:t>
      </w:r>
      <w:r w:rsidRPr="00E35E38">
        <w:rPr>
          <w:rFonts w:ascii="Times New Roman" w:eastAsia="SimSun" w:hAnsi="Times New Roman" w:cs="Times New Roman"/>
          <w:lang w:eastAsia="fr-FR"/>
        </w:rPr>
        <w:t>fosaprepitantu,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proliečiva aprepitantu,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tvorí aprepitant počas 72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približne 19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rádioaktivity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plazme, čo ukazuje na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významnú prítomnosť metabolitov v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plazme. V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ľudskej plazme sa identifikovalo dvanásť metabolitov aprepitantu. Aprepitant sa </w:t>
      </w:r>
      <w:r w:rsidRPr="00E35E38">
        <w:rPr>
          <w:rFonts w:ascii="Times New Roman" w:eastAsia="SimSun" w:hAnsi="Times New Roman" w:cs="Times New Roman"/>
          <w:lang w:eastAsia="fr-FR"/>
        </w:rPr>
        <w:lastRenderedPageBreak/>
        <w:t>do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značnej miery metabolizuje oxidáciou na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morfolínovom kruhu a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jeho vedľajších reťazcoch, a výsledné metabolity boli iba slabo aktívn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e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. In vitro </w:t>
      </w:r>
      <w:r w:rsidRPr="00E35E38">
        <w:rPr>
          <w:rFonts w:ascii="Times New Roman" w:eastAsia="SimSun" w:hAnsi="Times New Roman" w:cs="Times New Roman"/>
          <w:lang w:eastAsia="fr-FR"/>
        </w:rPr>
        <w:t>štúdie s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použití</w:t>
      </w:r>
      <w:r w:rsidRPr="00E35E38">
        <w:rPr>
          <w:rFonts w:ascii="Times New Roman" w:eastAsia="SimSun" w:hAnsi="Times New Roman" w:cs="Times New Roman"/>
          <w:lang w:eastAsia="fr-FR"/>
        </w:rPr>
        <w:t>m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ľudskýc</w:t>
      </w:r>
      <w:r w:rsidRPr="00E35E38">
        <w:rPr>
          <w:rFonts w:ascii="Times New Roman" w:eastAsia="SimSun" w:hAnsi="Times New Roman" w:cs="Times New Roman"/>
          <w:lang w:eastAsia="fr-FR"/>
        </w:rPr>
        <w:t>h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hepatálnyc</w:t>
      </w:r>
      <w:r w:rsidRPr="00E35E38">
        <w:rPr>
          <w:rFonts w:ascii="Times New Roman" w:eastAsia="SimSun" w:hAnsi="Times New Roman" w:cs="Times New Roman"/>
          <w:lang w:eastAsia="fr-FR"/>
        </w:rPr>
        <w:t>h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mikrozómov </w:t>
      </w:r>
      <w:r w:rsidRPr="00E35E38">
        <w:rPr>
          <w:rFonts w:ascii="Times New Roman" w:eastAsia="SimSun" w:hAnsi="Times New Roman" w:cs="Times New Roman"/>
          <w:lang w:eastAsia="fr-FR"/>
        </w:rPr>
        <w:t>naznačujú, že aprepitant je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primárne metabolizovaný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CYP3A4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potenciálne s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malý</w:t>
      </w:r>
      <w:r w:rsidRPr="00E35E38">
        <w:rPr>
          <w:rFonts w:ascii="Times New Roman" w:eastAsia="SimSun" w:hAnsi="Times New Roman" w:cs="Times New Roman"/>
          <w:lang w:eastAsia="fr-FR"/>
        </w:rPr>
        <w:t>m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prispením </w:t>
      </w:r>
      <w:r w:rsidRPr="00E35E38">
        <w:rPr>
          <w:rFonts w:ascii="Times New Roman" w:eastAsia="SimSun" w:hAnsi="Times New Roman" w:cs="Times New Roman"/>
          <w:lang w:eastAsia="fr-FR"/>
        </w:rPr>
        <w:t>CYP1A2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CYP2C19.</w:t>
      </w:r>
    </w:p>
    <w:p w14:paraId="0CA5F3FA" w14:textId="77777777" w:rsidR="005D3283" w:rsidRPr="00DE7BD8" w:rsidRDefault="005D3283" w:rsidP="005D3283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58D63E2" w14:textId="77777777" w:rsidR="005D3283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  <w:r w:rsidRPr="00CF6EC9">
        <w:rPr>
          <w:rFonts w:ascii="Times New Roman" w:eastAsia="SimSun" w:hAnsi="Times New Roman" w:cs="Times New Roman"/>
          <w:u w:val="single"/>
          <w:lang w:eastAsia="fr-FR"/>
        </w:rPr>
        <w:t>Eliminácia</w:t>
      </w:r>
    </w:p>
    <w:p w14:paraId="2C3DB96F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  <w:r w:rsidRPr="00CF6EC9">
        <w:rPr>
          <w:rFonts w:ascii="Times New Roman" w:eastAsia="SimSun" w:hAnsi="Times New Roman" w:cs="Times New Roman"/>
          <w:spacing w:val="-1"/>
          <w:lang w:eastAsia="fr-FR"/>
        </w:rPr>
        <w:t>Aprepitant sa nevylučuje močom nezmenený. Metabolity sú vylučované v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>moči a prostredníctvom biliárnej exkrécie v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>stolici. Po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 xml:space="preserve">podaní jednorazovej intravenóznej 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 xml:space="preserve">dávky 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>100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 [</w:t>
      </w:r>
      <w:r w:rsidRPr="00E35E38">
        <w:rPr>
          <w:rFonts w:ascii="Times New Roman" w:eastAsia="SimSun" w:hAnsi="Times New Roman" w:cs="Times New Roman"/>
          <w:spacing w:val="-1"/>
          <w:vertAlign w:val="superscript"/>
          <w:lang w:eastAsia="fr-FR"/>
        </w:rPr>
        <w:t>14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C]-fosaprepitantu, proliečiva aprepitantu, zdravým jedincom sa 57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rádioaktivity vylúčilo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moči a 45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stolici.</w:t>
      </w:r>
    </w:p>
    <w:p w14:paraId="56FF931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5BBBDC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>Plazmatický klírens aprepitantu je závislý od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dávky, znižuje sa so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zvyšujúcou dávkou 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rozsahu terapeutickej dávky sa pohybuje medzi približne 60 až 72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ml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/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min. Terminálny polčas sa pohybuje približne od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9 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d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13 hodín.</w:t>
      </w:r>
    </w:p>
    <w:p w14:paraId="2E6CCAB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EA8E01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Farmakokinetika</w:t>
      </w:r>
      <w:r w:rsidR="0092636D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v</w:t>
      </w:r>
      <w:r w:rsidR="0092636D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osobitných</w:t>
      </w:r>
      <w:r w:rsidR="0092636D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skupinách</w:t>
      </w:r>
      <w:r w:rsidR="0092636D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pacientov</w:t>
      </w:r>
    </w:p>
    <w:p w14:paraId="4FAA7D0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Star</w:t>
      </w:r>
      <w:r w:rsidRPr="00E35E38">
        <w:rPr>
          <w:rFonts w:ascii="Times New Roman" w:eastAsia="SimSun" w:hAnsi="Times New Roman" w:cs="Times New Roman"/>
          <w:i/>
          <w:iCs/>
          <w:spacing w:val="1"/>
          <w:lang w:eastAsia="fr-FR"/>
        </w:rPr>
        <w:t>ši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e</w:t>
      </w:r>
      <w:r w:rsidR="0092636D" w:rsidRPr="00E35E38">
        <w:rPr>
          <w:rFonts w:ascii="Times New Roman" w:eastAsia="SimSun" w:hAnsi="Times New Roman" w:cs="Times New Roman"/>
          <w:i/>
          <w:iCs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osoby</w:t>
      </w:r>
      <w:r w:rsidRPr="00E35E38">
        <w:rPr>
          <w:rFonts w:ascii="Times New Roman" w:eastAsia="SimSun" w:hAnsi="Times New Roman" w:cs="Times New Roman"/>
          <w:lang w:eastAsia="fr-FR"/>
        </w:rPr>
        <w:t xml:space="preserve">: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podaní jednorazovej perorálnej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dávky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125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 aprepitantu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 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80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 raz denne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dňoch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 až 5 bola AUC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 xml:space="preserve">0-24h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aprepitantu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starších (≥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65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rokov)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 vyššia 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21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vyššia 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36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porovnaní s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mladšími dospelými. 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>max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bola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starších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porovnaní s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mladšími dospelými vyššia 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10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 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24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5. Tieto rozdiely sa nepovažujú za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klinicky relevantné.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starších pacientov nie je nutná žiadna úprava dávky </w:t>
      </w:r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a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prepitant</w:t>
      </w:r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.</w:t>
      </w:r>
    </w:p>
    <w:p w14:paraId="5A8B036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20E7769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Pohlavi</w:t>
      </w:r>
      <w:r w:rsidRPr="00E35E38">
        <w:rPr>
          <w:rFonts w:ascii="Times New Roman" w:eastAsia="SimSun" w:hAnsi="Times New Roman" w:cs="Times New Roman"/>
          <w:i/>
          <w:iCs/>
          <w:spacing w:val="-2"/>
          <w:lang w:eastAsia="fr-FR"/>
        </w:rPr>
        <w:t>e</w:t>
      </w:r>
      <w:r w:rsidRPr="00E35E38">
        <w:rPr>
          <w:rFonts w:ascii="Times New Roman" w:eastAsia="SimSun" w:hAnsi="Times New Roman" w:cs="Times New Roman"/>
          <w:lang w:eastAsia="fr-FR"/>
        </w:rPr>
        <w:t xml:space="preserve">: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perorálnom podaní jednorazovej 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dávky aprepitantu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125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 je 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>max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aprepitantu 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16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vyššia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žien ako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mužov. Polčas aprepitantu je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žien o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25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nižší ako u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mužov a jeho t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>max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sa dosahuje približne v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rovnakom čase. Tieto rozdiely sa nepovažujú za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klinicky relevantné. 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S ohľadom na pohlavie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nie je nutné upravovať dávku aprepitant</w:t>
      </w:r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.</w:t>
      </w:r>
    </w:p>
    <w:p w14:paraId="2007CDB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66AAAE8" w14:textId="7D38A068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Po</w:t>
      </w:r>
      <w:r w:rsidR="00ED73DF"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rucha funkcie 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pečen</w:t>
      </w:r>
      <w:r w:rsidRPr="00E35E38">
        <w:rPr>
          <w:rFonts w:ascii="Times New Roman" w:eastAsia="SimSun" w:hAnsi="Times New Roman" w:cs="Times New Roman"/>
          <w:i/>
          <w:iCs/>
          <w:spacing w:val="-3"/>
          <w:lang w:eastAsia="fr-FR"/>
        </w:rPr>
        <w:t>e</w:t>
      </w:r>
      <w:r w:rsidRPr="00E35E38">
        <w:rPr>
          <w:rFonts w:ascii="Times New Roman" w:eastAsia="SimSun" w:hAnsi="Times New Roman" w:cs="Times New Roman"/>
          <w:lang w:eastAsia="fr-FR"/>
        </w:rPr>
        <w:t xml:space="preserve">: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miern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a porucha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pečene (Child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-Pugh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trieda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A) neovplyvňuje klinicky relevantne farmakokinetiku aprepitantu. Pri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miern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ej poruche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pečene nie je potrebná úprava dávky. Z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dostupných údajov nie je možné urobiť závery o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vplyve stredne ťažk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ej poruchy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pečene (Child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- Pugh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trieda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B) na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farmakokinetiku aprepitantu. U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ťažk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pečene (Child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- Pugh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trieda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C) nie sú dostupné žiadne klinické alebo farmakokinetické údaje.</w:t>
      </w:r>
    </w:p>
    <w:p w14:paraId="252B7B8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02F679B" w14:textId="77777777" w:rsidR="005D3283" w:rsidRPr="00DE7BD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position w:val="1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Po</w:t>
      </w:r>
      <w:r w:rsidR="00ED73DF"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rucha funkcie 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obličie</w:t>
      </w:r>
      <w:r w:rsidRPr="00E35E38">
        <w:rPr>
          <w:rFonts w:ascii="Times New Roman" w:eastAsia="SimSun" w:hAnsi="Times New Roman" w:cs="Times New Roman"/>
          <w:i/>
          <w:iCs/>
          <w:spacing w:val="-3"/>
          <w:lang w:eastAsia="fr-FR"/>
        </w:rPr>
        <w:t>k</w:t>
      </w:r>
      <w:r w:rsidRPr="00E35E38">
        <w:rPr>
          <w:rFonts w:ascii="Times New Roman" w:eastAsia="SimSun" w:hAnsi="Times New Roman" w:cs="Times New Roman"/>
          <w:lang w:eastAsia="fr-FR"/>
        </w:rPr>
        <w:t>: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jednorazová 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dávka aprepitantu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240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 sa podala pacientom s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ťažk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obličiek (klírens kreatinínu &lt;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30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ml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/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min) a pacientom v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terminálnom štádiu renálneho ochorenia (</w:t>
      </w:r>
      <w:r w:rsidR="00ED73DF" w:rsidRPr="00E35E38">
        <w:rPr>
          <w:rFonts w:ascii="Times New Roman" w:eastAsia="Times New Roman" w:hAnsi="Times New Roman" w:cs="Times New Roman"/>
        </w:rPr>
        <w:t xml:space="preserve">end stage renal disease, </w:t>
      </w:r>
      <w:r w:rsidRPr="00DE7BD8">
        <w:rPr>
          <w:rFonts w:ascii="Times New Roman" w:eastAsia="SimSun" w:hAnsi="Times New Roman" w:cs="Times New Roman"/>
          <w:position w:val="1"/>
          <w:lang w:eastAsia="fr-FR"/>
        </w:rPr>
        <w:t>ESRD) vyžadujúcom hemodialýzu.</w:t>
      </w:r>
    </w:p>
    <w:p w14:paraId="05A64C33" w14:textId="77777777" w:rsidR="005D3283" w:rsidRPr="00CF6EC9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position w:val="1"/>
          <w:lang w:eastAsia="fr-FR"/>
        </w:rPr>
      </w:pPr>
    </w:p>
    <w:p w14:paraId="57C5FE6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position w:val="1"/>
          <w:lang w:eastAsia="fr-FR"/>
        </w:rPr>
      </w:pPr>
      <w:r w:rsidRPr="00CF6EC9">
        <w:rPr>
          <w:rFonts w:ascii="Times New Roman" w:eastAsia="SimSun" w:hAnsi="Times New Roman" w:cs="Times New Roman"/>
          <w:position w:val="1"/>
          <w:lang w:eastAsia="fr-FR"/>
        </w:rPr>
        <w:t>U</w:t>
      </w:r>
      <w:r w:rsidR="00ED73DF" w:rsidRPr="00CF6EC9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CF6EC9">
        <w:rPr>
          <w:rFonts w:ascii="Times New Roman" w:eastAsia="SimSun" w:hAnsi="Times New Roman" w:cs="Times New Roman"/>
          <w:position w:val="1"/>
          <w:lang w:eastAsia="fr-FR"/>
        </w:rPr>
        <w:t>pacientov s</w:t>
      </w:r>
      <w:r w:rsidR="00ED73DF" w:rsidRPr="00CF6EC9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ťažk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obličiek poklesla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AU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-2"/>
          <w:vertAlign w:val="subscript"/>
          <w:lang w:eastAsia="sk-SK" w:bidi="sk-SK"/>
        </w:rPr>
        <w:t>0-∞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celkového aprepitantu (neviazaného a viazaného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proteíny) v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porovnaní so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zdravými jedincami 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21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 a 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 xml:space="preserve">max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poklesla 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32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%. U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ESRD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hemodialýze poklesla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AU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-2"/>
          <w:vertAlign w:val="subscript"/>
          <w:lang w:eastAsia="sk-SK" w:bidi="sk-SK"/>
        </w:rPr>
        <w:t>0-∞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celkového aprepitantu 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42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 a 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>max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poklesla 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32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%. Vzhľadom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mierne zníženie väzby aprepitantu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proteíny u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renálnym ochorením nebola AUC farmakologicky aktívneho neviazaného aprepitantu u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ruchou funkcie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obličiek v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porovnaní so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zdravými jedincami signifikantne ovplyvnená. Hemodialýza, ktorá prebehla 4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až 48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hodín po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podaní dávky, nemala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farmakokinetiku aprepitantu žiaden signifikantný vplyv, v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dialyzáte sa vylúčilo menej ako 0,2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dávky.</w:t>
      </w:r>
    </w:p>
    <w:p w14:paraId="61BE2A0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7605D7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ruchou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obličiek alebo u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ESRD na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hemodialýze nie je potrebná úprava dávky aprepitant</w:t>
      </w:r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.</w:t>
      </w:r>
    </w:p>
    <w:p w14:paraId="26EE53C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</w:p>
    <w:p w14:paraId="2011DACF" w14:textId="78320442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Pediatrická populácia:</w:t>
      </w:r>
      <w:r w:rsidR="007051C5">
        <w:rPr>
          <w:rFonts w:ascii="Times New Roman" w:eastAsia="SimSun" w:hAnsi="Times New Roman" w:cs="Times New Roman"/>
          <w:i/>
          <w:iCs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ako súčasť 3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-</w:t>
      </w:r>
      <w:r w:rsidR="00CE3C4D" w:rsidRPr="00E35E38">
        <w:rPr>
          <w:rFonts w:ascii="Times New Roman" w:eastAsia="SimSun" w:hAnsi="Times New Roman" w:cs="Times New Roman"/>
          <w:spacing w:val="-4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dňového režimu sa pri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podávaní kapsúl aprepitantu (125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/80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/80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</w:t>
      </w:r>
      <w:r w:rsidRPr="00E35E38">
        <w:rPr>
          <w:rFonts w:ascii="Times New Roman" w:eastAsia="SimSun" w:hAnsi="Times New Roman" w:cs="Times New Roman"/>
          <w:lang w:eastAsia="fr-FR"/>
        </w:rPr>
        <w:t>)</w:t>
      </w:r>
      <w:r w:rsidR="00CE3C4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dospievajúcich</w:t>
      </w:r>
      <w:r w:rsidR="00CE3C4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pacientov (vo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veku 12 až 17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rokov) dosiahla hodnota AU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C</w:t>
      </w:r>
      <w:r w:rsidRPr="00E35E38">
        <w:rPr>
          <w:rFonts w:ascii="Times New Roman" w:eastAsia="SimSun" w:hAnsi="Times New Roman" w:cs="Times New Roman"/>
          <w:position w:val="-3"/>
          <w:vertAlign w:val="subscript"/>
          <w:lang w:eastAsia="fr-FR"/>
        </w:rPr>
        <w:t>0</w:t>
      </w:r>
      <w:r w:rsidRPr="00E35E38">
        <w:rPr>
          <w:rFonts w:ascii="Times New Roman" w:eastAsia="SimSun" w:hAnsi="Times New Roman" w:cs="Times New Roman"/>
          <w:spacing w:val="-1"/>
          <w:position w:val="-3"/>
          <w:vertAlign w:val="subscript"/>
          <w:lang w:eastAsia="fr-FR"/>
        </w:rPr>
        <w:t>-</w:t>
      </w:r>
      <w:r w:rsidRPr="00E35E38">
        <w:rPr>
          <w:rFonts w:ascii="Times New Roman" w:eastAsia="SimSun" w:hAnsi="Times New Roman" w:cs="Times New Roman"/>
          <w:position w:val="-3"/>
          <w:vertAlign w:val="subscript"/>
          <w:lang w:eastAsia="fr-FR"/>
        </w:rPr>
        <w:t>24</w:t>
      </w:r>
      <w:r w:rsidRPr="00E35E38">
        <w:rPr>
          <w:rFonts w:ascii="Times New Roman" w:eastAsia="SimSun" w:hAnsi="Times New Roman" w:cs="Times New Roman"/>
          <w:spacing w:val="-1"/>
          <w:position w:val="-3"/>
          <w:vertAlign w:val="subscript"/>
          <w:lang w:eastAsia="fr-FR"/>
        </w:rPr>
        <w:t>ho</w:t>
      </w:r>
      <w:r w:rsidRPr="00E35E38">
        <w:rPr>
          <w:rFonts w:ascii="Times New Roman" w:eastAsia="SimSun" w:hAnsi="Times New Roman" w:cs="Times New Roman"/>
          <w:position w:val="-3"/>
          <w:vertAlign w:val="subscript"/>
          <w:lang w:eastAsia="fr-FR"/>
        </w:rPr>
        <w:t>d</w:t>
      </w:r>
      <w:r w:rsidR="00FD120A">
        <w:rPr>
          <w:rFonts w:ascii="Times New Roman" w:eastAsia="SimSun" w:hAnsi="Times New Roman" w:cs="Times New Roman"/>
          <w:position w:val="-3"/>
          <w:vertAlign w:val="subscript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nad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17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µ</w:t>
      </w:r>
      <w:r w:rsidRPr="00E35E38">
        <w:rPr>
          <w:rFonts w:ascii="Times New Roman" w:eastAsia="SimSun" w:hAnsi="Times New Roman" w:cs="Times New Roman"/>
          <w:spacing w:val="-2"/>
          <w:position w:val="1"/>
          <w:lang w:eastAsia="fr-FR"/>
        </w:rPr>
        <w:t>g</w:t>
      </w:r>
      <w:r w:rsidR="00CF6EC9">
        <w:rPr>
          <w:rFonts w:ascii="Times New Roman" w:eastAsia="SimSun" w:hAnsi="Times New Roman" w:cs="Times New Roman"/>
          <w:spacing w:val="-2"/>
          <w:position w:val="1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position w:val="1"/>
          <w:lang w:eastAsia="fr-FR"/>
        </w:rPr>
        <w:t>h</w:t>
      </w:r>
      <w:r w:rsidR="00CE3C4D" w:rsidRPr="00CF6EC9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CF6EC9">
        <w:rPr>
          <w:rFonts w:ascii="Times New Roman" w:eastAsia="SimSun" w:hAnsi="Times New Roman" w:cs="Times New Roman"/>
          <w:position w:val="1"/>
          <w:lang w:eastAsia="fr-FR"/>
        </w:rPr>
        <w:t>/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ml v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deň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1 s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koncentráciami (</w:t>
      </w:r>
      <w:r w:rsidRPr="00E35E38">
        <w:rPr>
          <w:rFonts w:ascii="Times New Roman" w:eastAsia="Times New Roman" w:hAnsi="Times New Roman" w:cs="Times New Roman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min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)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na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konci dňa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2 a 3 nad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0,4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µg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/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ml pri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väčšine pacientov.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Medián maximálnej plazmatickej koncentrácie (C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max</w:t>
      </w:r>
      <w:r w:rsidRPr="00E35E38">
        <w:rPr>
          <w:rFonts w:ascii="Times New Roman" w:eastAsia="Times New Roman" w:hAnsi="Times New Roman" w:cs="Times New Roman"/>
          <w:lang w:eastAsia="sk-SK" w:bidi="sk-SK"/>
        </w:rPr>
        <w:t>) bol približne 1,3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µg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ml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s výskytom približne za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hodiny. Ako súčasť 3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-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dňového režimu sa 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podávaní prášku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perorálnu suspenziu aprepitantu (3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/2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kg)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pacientov vo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menej ako 12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dosiahla hodnota AUC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0-24 hod</w:t>
      </w:r>
      <w:r w:rsidR="00CE3C4D"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nad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17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µ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g</w:t>
      </w:r>
      <w:r w:rsidRPr="00E35E38">
        <w:rPr>
          <w:rFonts w:ascii="Times New Roman" w:eastAsia="SimSun" w:hAnsi="Times New Roman" w:cs="Times New Roman"/>
          <w:lang w:eastAsia="fr-FR"/>
        </w:rPr>
        <w:t>•h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ml v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s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koncentráciami (</w:t>
      </w:r>
      <w:r w:rsidRPr="00E35E38">
        <w:rPr>
          <w:rFonts w:ascii="Times New Roman" w:eastAsia="Times New Roman" w:hAnsi="Times New Roman" w:cs="Times New Roman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min</w:t>
      </w:r>
      <w:r w:rsidRPr="00E35E38">
        <w:rPr>
          <w:rFonts w:ascii="Times New Roman" w:eastAsia="SimSun" w:hAnsi="Times New Roman" w:cs="Times New Roman"/>
          <w:lang w:eastAsia="fr-FR"/>
        </w:rPr>
        <w:t>)</w:t>
      </w:r>
      <w:r w:rsidR="00CE3C4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na</w:t>
      </w:r>
      <w:r w:rsidR="00CE3C4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konci dňa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2 a 3 </w:t>
      </w:r>
      <w:r w:rsidRPr="00E35E38">
        <w:rPr>
          <w:rFonts w:ascii="Times New Roman" w:eastAsia="SimSun" w:hAnsi="Times New Roman" w:cs="Times New Roman"/>
          <w:lang w:eastAsia="fr-FR"/>
        </w:rPr>
        <w:lastRenderedPageBreak/>
        <w:t>nad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0,1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µg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ml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väčšine pacientov. Medián maximálnej plazmatickej koncentrácie (C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max</w:t>
      </w:r>
      <w:r w:rsidRPr="00E35E38">
        <w:rPr>
          <w:rFonts w:ascii="Times New Roman" w:eastAsia="Times New Roman" w:hAnsi="Times New Roman" w:cs="Times New Roman"/>
          <w:lang w:eastAsia="sk-SK" w:bidi="sk-SK"/>
        </w:rPr>
        <w:t>) bol približne 1,2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µg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ml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s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výskytom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rozmedzí 5 až 7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hodín.</w:t>
      </w:r>
    </w:p>
    <w:p w14:paraId="6803E9EC" w14:textId="77777777" w:rsidR="005D3283" w:rsidRPr="00E35E38" w:rsidRDefault="005D3283" w:rsidP="001518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93201CF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Analýza populačnej farmakokinetiky aprepitantu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pediatrických pacientov (vo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17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rokov) naznačuje, že pohlavie a rasa nemajú žiadny klinicky významný účinok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farmakokinetiku aprepitantu.</w:t>
      </w:r>
    </w:p>
    <w:p w14:paraId="0E7C64CD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</w:p>
    <w:p w14:paraId="5533D706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Vzťah medzi koncentráciou a účinkom</w:t>
      </w:r>
    </w:p>
    <w:p w14:paraId="40CCF71E" w14:textId="2086EDAF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Zobrazovacie štúdie s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pozitrónovou emisnou tomografiou (</w:t>
      </w:r>
      <w:r w:rsidR="00CE3C4D" w:rsidRPr="00E35E38">
        <w:rPr>
          <w:rFonts w:ascii="Times New Roman" w:eastAsia="Times New Roman" w:hAnsi="Times New Roman" w:cs="Times New Roman"/>
        </w:rPr>
        <w:t xml:space="preserve">positron emission tomography, </w:t>
      </w:r>
      <w:r w:rsidRPr="00DE7BD8">
        <w:rPr>
          <w:rFonts w:ascii="Times New Roman" w:eastAsia="Times New Roman" w:hAnsi="Times New Roman" w:cs="Times New Roman"/>
          <w:lang w:eastAsia="sk-SK" w:bidi="sk-SK"/>
        </w:rPr>
        <w:t>PET) s</w:t>
      </w:r>
      <w:r w:rsidR="00CE3C4D" w:rsidRPr="00DE7BD8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použitím vysoko špecifického znač</w:t>
      </w:r>
      <w:r w:rsidR="00FD120A">
        <w:rPr>
          <w:rFonts w:ascii="Times New Roman" w:eastAsia="Times New Roman" w:hAnsi="Times New Roman" w:cs="Times New Roman"/>
          <w:lang w:eastAsia="sk-SK" w:bidi="sk-SK"/>
        </w:rPr>
        <w:t>enia</w:t>
      </w:r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 NK</w:t>
      </w:r>
      <w:r w:rsidRPr="00CF6EC9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 receptor</w:t>
      </w:r>
      <w:r w:rsidR="00FD120A">
        <w:rPr>
          <w:rFonts w:ascii="Times New Roman" w:eastAsia="Times New Roman" w:hAnsi="Times New Roman" w:cs="Times New Roman"/>
          <w:lang w:eastAsia="sk-SK" w:bidi="sk-SK"/>
        </w:rPr>
        <w:t>ov</w:t>
      </w:r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 u</w:t>
      </w:r>
      <w:r w:rsidR="00CE3C4D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zdravých mladých mužov preukázali, že aprepitant preniká do</w:t>
      </w:r>
      <w:r w:rsidR="00CE3C4D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mozgu a obsadzuje NK</w:t>
      </w:r>
      <w:r w:rsidRPr="00CF6EC9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receptory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závislosti od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dávky a plazmatickej koncentrácie. Predpokladá sa, že plazmatické koncentrácie aprepitantu, ktoré sa dosahujú po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-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dňovom režime podávania aprepitant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u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dospelých, zabezpečujú obsadenie viac ako 95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 mozgových NK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receptorov.</w:t>
      </w:r>
    </w:p>
    <w:p w14:paraId="12310FFF" w14:textId="77777777" w:rsidR="005D3283" w:rsidRPr="00E35E38" w:rsidRDefault="005D3283" w:rsidP="005D3283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F3F51CB" w14:textId="77777777" w:rsidR="00ED7FB2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Predklinické údaje o bezpečnosti</w:t>
      </w:r>
    </w:p>
    <w:p w14:paraId="3B31E6BC" w14:textId="77777777" w:rsidR="00ED7FB2" w:rsidRPr="00E35E38" w:rsidRDefault="00ED7FB2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46D9C3B" w14:textId="77777777" w:rsidR="00ED7FB2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Predklinické údaje získané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základe obvyklých štúdií toxicity po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jednorazovom a opakovanom podávaní, genotoxicity, karcinogénneho potenciálu, reprodukčnej toxicity a vývinu neodhalili žiadne osobitné riziko pre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ľudí. Treba však podotknúť, že systémová expozícia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hlodavcov bola podobná alebo dokonca nižšia ako terapeutická expozícia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ľudí 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125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mg. Hoci sa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reprodukčných štúdiách 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ľudských expozičných hladinách nezistili žiadne nežiaduce účinky, expozície zvierat nie sú dostatočné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adekvátne zhodnotenie rizika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človeka.</w:t>
      </w:r>
    </w:p>
    <w:p w14:paraId="7C0F466B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10D5F8B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štúdiách juvenilnej toxicity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potkanoch liečených od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10.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dňa po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narodení do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63.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dňa viedol aprepitant 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250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 dvakrát denne k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skoršiemu otvoreniu vagíny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samíc 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10 mg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 dvakrát denne k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oneskorenému oddeleniu predkožky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samcov. Neobjavili sa žiadne limity klinicky významnej expozície. Neobjavili sa žiadne účinky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reprodukciu, fertilitu alebo prežívanie embrya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plodu a žiadne patologické zmeny v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E35E38">
        <w:rPr>
          <w:rFonts w:ascii="Times New Roman" w:eastAsia="Times New Roman" w:hAnsi="Times New Roman" w:cs="Times New Roman"/>
          <w:lang w:eastAsia="sk-SK" w:bidi="sk-SK"/>
        </w:rPr>
        <w:t>r</w:t>
      </w:r>
      <w:r w:rsidRPr="00E35E38">
        <w:rPr>
          <w:rFonts w:ascii="Times New Roman" w:eastAsia="Times New Roman" w:hAnsi="Times New Roman" w:cs="Times New Roman"/>
          <w:lang w:eastAsia="sk-SK" w:bidi="sk-SK"/>
        </w:rPr>
        <w:t>eprodukčných orgánoch. V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štúdiách juvenilnej toxicity na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psoch liečených od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14.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dňa po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narodení do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42.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dňa sa pri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6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 pozoroval pokles hmotnosti semenníkov a veľkosti Leydigových buniek u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samcov a pri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4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 zvýšenie hmotnosti maternice, hypertrofia maternice a cervixu a opuch vaginálnych tkanív u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samíc. Neobjavili sa žiadne limity klinicky významnej expozície aprepitantu. Pri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krátkodobej liečbe v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súlade s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odporúčaným dávkovacím režimom sa pri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týchto nálezoch považuje za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nepravdepodobné, že by boli klinicky významné.</w:t>
      </w:r>
    </w:p>
    <w:p w14:paraId="29174E42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E221011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BCF5110" w14:textId="77777777" w:rsidR="005D3283" w:rsidRPr="00E35E38" w:rsidRDefault="005D3283" w:rsidP="0027069F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FARMACEUTICKÉ INFORMÁCIE</w:t>
      </w:r>
    </w:p>
    <w:p w14:paraId="5B65BA70" w14:textId="77777777" w:rsidR="005D3283" w:rsidRPr="00E35E38" w:rsidRDefault="005D3283" w:rsidP="009C7F25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8AE3C9E" w14:textId="77777777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Zoznam pomocných látok</w:t>
      </w:r>
    </w:p>
    <w:p w14:paraId="7F5862BE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CD1220F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Obsah kapsuly</w:t>
      </w:r>
    </w:p>
    <w:p w14:paraId="7E149035" w14:textId="77777777" w:rsidR="005D3283" w:rsidRPr="00E35E38" w:rsidRDefault="007744EC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h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ydroxypropylcelulóza</w:t>
      </w:r>
    </w:p>
    <w:p w14:paraId="75ED3DB5" w14:textId="73591A34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lauryls</w:t>
      </w:r>
      <w:r w:rsidR="00D76B55">
        <w:rPr>
          <w:rFonts w:ascii="Times New Roman" w:eastAsia="Times New Roman" w:hAnsi="Times New Roman" w:cs="Times New Roman"/>
          <w:lang w:eastAsia="sk-SK" w:bidi="sk-SK"/>
        </w:rPr>
        <w:t>íran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 xml:space="preserve"> sodný</w:t>
      </w:r>
    </w:p>
    <w:p w14:paraId="29653DB8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sacharóza</w:t>
      </w:r>
    </w:p>
    <w:p w14:paraId="2BFD8427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mikrokryštalická celulóza</w:t>
      </w:r>
    </w:p>
    <w:p w14:paraId="37C38A82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3A57BDC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Obal kapsuly (125 mg)</w:t>
      </w:r>
    </w:p>
    <w:p w14:paraId="5E8D9092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oxid titaničitý (E 171)</w:t>
      </w:r>
    </w:p>
    <w:p w14:paraId="77F00F39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červený oxid železitý (E 172)</w:t>
      </w:r>
    </w:p>
    <w:p w14:paraId="4F84E3E9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želatína</w:t>
      </w:r>
    </w:p>
    <w:p w14:paraId="38283231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91A65C1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Obal kapsuly (80 mg)</w:t>
      </w:r>
    </w:p>
    <w:p w14:paraId="04BE82CC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oxid titaničitý (E 171)</w:t>
      </w:r>
    </w:p>
    <w:p w14:paraId="1BAC6BF5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želatína</w:t>
      </w:r>
    </w:p>
    <w:p w14:paraId="40B6510C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D50184C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lastRenderedPageBreak/>
        <w:t>Atrament potlače</w:t>
      </w:r>
    </w:p>
    <w:p w14:paraId="74C0D467" w14:textId="77777777" w:rsidR="005D3283" w:rsidRPr="00E35E38" w:rsidRDefault="007744EC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š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elak</w:t>
      </w:r>
    </w:p>
    <w:p w14:paraId="24A1677C" w14:textId="77777777" w:rsidR="005D3283" w:rsidRPr="00E35E38" w:rsidRDefault="007744EC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r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oztok amoniaku, koncentrovaný</w:t>
      </w:r>
    </w:p>
    <w:p w14:paraId="5F0BC175" w14:textId="77777777" w:rsidR="005D3283" w:rsidRPr="00E35E38" w:rsidRDefault="007744EC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p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ropylénglykol</w:t>
      </w:r>
    </w:p>
    <w:p w14:paraId="6109954C" w14:textId="77777777" w:rsidR="005D3283" w:rsidRPr="00E35E38" w:rsidRDefault="007744EC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h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ydroxid draselný</w:t>
      </w:r>
    </w:p>
    <w:p w14:paraId="47B15EBF" w14:textId="209EF070" w:rsidR="005D3283" w:rsidRPr="00E35E38" w:rsidRDefault="00D76B55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>č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ierny oxid želez</w:t>
      </w:r>
      <w:r w:rsidR="00F036B5">
        <w:rPr>
          <w:rFonts w:ascii="Times New Roman" w:eastAsia="Times New Roman" w:hAnsi="Times New Roman" w:cs="Times New Roman"/>
          <w:lang w:eastAsia="sk-SK" w:bidi="sk-SK"/>
        </w:rPr>
        <w:t>itý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 xml:space="preserve"> (E 172)</w:t>
      </w:r>
    </w:p>
    <w:p w14:paraId="7A8CB2EE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2B943BC" w14:textId="77777777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Inkompatibility</w:t>
      </w:r>
    </w:p>
    <w:p w14:paraId="18682CBC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F88ECEE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Neaplikovateľné.</w:t>
      </w:r>
    </w:p>
    <w:p w14:paraId="72F665FC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1B37ABE" w14:textId="77777777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Čas použiteľnosti</w:t>
      </w:r>
    </w:p>
    <w:p w14:paraId="0D78B127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A30EED2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30 mesiacov</w:t>
      </w:r>
    </w:p>
    <w:p w14:paraId="7246DD54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3A5E710" w14:textId="77777777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Špeciálne upozornenia na uchovávanie</w:t>
      </w:r>
    </w:p>
    <w:p w14:paraId="2E9E1AEB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14:paraId="027B7581" w14:textId="7E361595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Tento liek nevyžaduje žiadne zvláštne podmienky na uchovávanie</w:t>
      </w:r>
      <w:r w:rsidR="00983567">
        <w:rPr>
          <w:rFonts w:ascii="Times New Roman" w:eastAsia="SimSun" w:hAnsi="Times New Roman" w:cs="Times New Roman"/>
          <w:lang w:eastAsia="fr-FR"/>
        </w:rPr>
        <w:t>.</w:t>
      </w:r>
    </w:p>
    <w:p w14:paraId="555777F4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7A1BE49" w14:textId="520117AC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Druh obalu a obsah balenia</w:t>
      </w:r>
    </w:p>
    <w:p w14:paraId="330DBD8D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12DAB8E" w14:textId="0EF5FC2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Dostupné sú rôzne veľkosti balenia vrátane rôznych 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síl lieku.</w:t>
      </w:r>
    </w:p>
    <w:p w14:paraId="401B3E8D" w14:textId="76284543" w:rsidR="005D3283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61EBCC3" w14:textId="77777777" w:rsidR="003E4221" w:rsidRPr="00021FB0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021FB0">
        <w:rPr>
          <w:rFonts w:ascii="Times New Roman" w:eastAsia="Times New Roman" w:hAnsi="Times New Roman" w:cs="Times New Roman"/>
          <w:u w:val="single"/>
          <w:lang w:eastAsia="sk-SK" w:bidi="sk-SK"/>
        </w:rPr>
        <w:t>80</w:t>
      </w:r>
      <w:r>
        <w:rPr>
          <w:rFonts w:ascii="Times New Roman" w:eastAsia="Times New Roman" w:hAnsi="Times New Roman" w:cs="Times New Roman"/>
          <w:u w:val="single"/>
          <w:lang w:eastAsia="sk-SK" w:bidi="sk-SK"/>
        </w:rPr>
        <w:t> </w:t>
      </w:r>
      <w:r w:rsidRPr="00021FB0">
        <w:rPr>
          <w:rFonts w:ascii="Times New Roman" w:eastAsia="Times New Roman" w:hAnsi="Times New Roman" w:cs="Times New Roman"/>
          <w:u w:val="single"/>
          <w:lang w:eastAsia="sk-SK" w:bidi="sk-SK"/>
        </w:rPr>
        <w:t>mg</w:t>
      </w:r>
    </w:p>
    <w:p w14:paraId="743C6319" w14:textId="7E1504DD" w:rsidR="003E4221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>PA/hliník/PVC/hliníkové perforované jednodávkové blistre v baleniach veľkosti 1 x 1, 2 x 1 a 5 x 1 kapsula.</w:t>
      </w:r>
    </w:p>
    <w:p w14:paraId="4BB2BA41" w14:textId="77777777" w:rsidR="003E4221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2A03957" w14:textId="77777777" w:rsidR="003E4221" w:rsidRPr="00021FB0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>
        <w:rPr>
          <w:rFonts w:ascii="Times New Roman" w:eastAsia="Times New Roman" w:hAnsi="Times New Roman" w:cs="Times New Roman"/>
          <w:u w:val="single"/>
          <w:lang w:eastAsia="sk-SK" w:bidi="sk-SK"/>
        </w:rPr>
        <w:t>125 </w:t>
      </w:r>
      <w:r w:rsidRPr="00021FB0">
        <w:rPr>
          <w:rFonts w:ascii="Times New Roman" w:eastAsia="Times New Roman" w:hAnsi="Times New Roman" w:cs="Times New Roman"/>
          <w:u w:val="single"/>
          <w:lang w:eastAsia="sk-SK" w:bidi="sk-SK"/>
        </w:rPr>
        <w:t>mg</w:t>
      </w:r>
    </w:p>
    <w:p w14:paraId="77C47D64" w14:textId="6AD38509" w:rsidR="003E4221" w:rsidRPr="00E35E38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>PA/hliník/PVC/hliníkové perforované jednodávkové blistre v baleniach veľkosti 1 x 1 a 5 x 1 kapsula.</w:t>
      </w:r>
    </w:p>
    <w:p w14:paraId="480B6DC6" w14:textId="77777777" w:rsidR="003E4221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97F15ED" w14:textId="77777777" w:rsidR="003E4221" w:rsidRPr="00021FB0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>
        <w:rPr>
          <w:rFonts w:ascii="Times New Roman" w:eastAsia="Times New Roman" w:hAnsi="Times New Roman" w:cs="Times New Roman"/>
          <w:u w:val="single"/>
          <w:lang w:eastAsia="sk-SK" w:bidi="sk-SK"/>
        </w:rPr>
        <w:t>80 mg/125 </w:t>
      </w:r>
      <w:r w:rsidRPr="00021FB0">
        <w:rPr>
          <w:rFonts w:ascii="Times New Roman" w:eastAsia="Times New Roman" w:hAnsi="Times New Roman" w:cs="Times New Roman"/>
          <w:u w:val="single"/>
          <w:lang w:eastAsia="sk-SK" w:bidi="sk-SK"/>
        </w:rPr>
        <w:t>mg</w:t>
      </w:r>
    </w:p>
    <w:p w14:paraId="01F604B1" w14:textId="5214B251" w:rsidR="003E4221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>PA/hliník/PVC/hliníkové perforované jednodávkové blistre v baleniach veľkosti 1 x 1 (125 mg) a 2 x 1 (80 mg) kapsula.</w:t>
      </w:r>
    </w:p>
    <w:p w14:paraId="3F6E773D" w14:textId="77777777" w:rsidR="003E4221" w:rsidRPr="00E35E38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DAC7D77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Na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trh nemusia byť uvedené všetky veľkosti balenia.</w:t>
      </w:r>
    </w:p>
    <w:p w14:paraId="3D56190B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B0B9A88" w14:textId="1EB438E1" w:rsidR="005D3283" w:rsidRPr="00E35E38" w:rsidRDefault="005D3283" w:rsidP="005D3283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bookmarkStart w:id="2" w:name="OLE_LINK1"/>
      <w:r w:rsidRPr="00E35E38">
        <w:rPr>
          <w:rFonts w:ascii="Times New Roman" w:eastAsia="Times New Roman" w:hAnsi="Times New Roman" w:cs="Times New Roman"/>
          <w:b/>
          <w:lang w:eastAsia="sk-SK" w:bidi="sk-SK"/>
        </w:rPr>
        <w:t>Špeciálne opatrenia na likvidáciu</w:t>
      </w:r>
    </w:p>
    <w:bookmarkEnd w:id="2"/>
    <w:p w14:paraId="77341D95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</w:p>
    <w:p w14:paraId="255FD697" w14:textId="77777777" w:rsidR="005D3283" w:rsidRPr="00CF6EC9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E7BD8">
        <w:rPr>
          <w:rFonts w:ascii="Times New Roman" w:eastAsia="Times New Roman" w:hAnsi="Times New Roman" w:cs="Times New Roman"/>
          <w:lang w:eastAsia="sk-SK" w:bidi="sk-SK"/>
        </w:rPr>
        <w:t>Žiadne zvláštne požiadavky na</w:t>
      </w:r>
      <w:r w:rsidR="007744EC" w:rsidRPr="00DE7BD8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likvidáciu.</w:t>
      </w:r>
    </w:p>
    <w:p w14:paraId="68B82343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B2DBB52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4782DE7" w14:textId="77777777" w:rsidR="005D3283" w:rsidRPr="00E35E38" w:rsidRDefault="005D3283" w:rsidP="0027069F">
      <w:pPr>
        <w:keepNext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DRŽITEĽ ROZHODNUTIA O REGISTRÁCII</w:t>
      </w:r>
    </w:p>
    <w:p w14:paraId="3185CD29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27C1458" w14:textId="77777777" w:rsidR="000F5FEB" w:rsidRDefault="000F5FEB" w:rsidP="000F5FEB">
      <w:pPr>
        <w:keepNext/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Mylan Ireland Limited</w:t>
      </w:r>
    </w:p>
    <w:p w14:paraId="2D2554ED" w14:textId="77777777" w:rsidR="000F5FEB" w:rsidRDefault="000F5FEB" w:rsidP="000F5FEB">
      <w:pPr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Unit 35/36 Grange Parade</w:t>
      </w:r>
    </w:p>
    <w:p w14:paraId="0C37E397" w14:textId="77777777" w:rsidR="000F5FEB" w:rsidRDefault="000F5FEB" w:rsidP="000F5FEB">
      <w:pPr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Baldoyle Industrial Estate</w:t>
      </w:r>
    </w:p>
    <w:p w14:paraId="70F3DFF3" w14:textId="77777777" w:rsidR="000F5FEB" w:rsidRDefault="000F5FEB" w:rsidP="000F5FEB">
      <w:pPr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Dublin 13</w:t>
      </w:r>
    </w:p>
    <w:p w14:paraId="5722C303" w14:textId="5DADD5E7" w:rsidR="000F5FEB" w:rsidRDefault="000F5FEB" w:rsidP="000F5FEB">
      <w:pPr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Írsko</w:t>
      </w:r>
    </w:p>
    <w:p w14:paraId="7C828EFC" w14:textId="77777777" w:rsidR="005D3283" w:rsidRPr="00DE7BD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7B453FB" w14:textId="77777777" w:rsidR="005D3283" w:rsidRPr="00CF6EC9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C069688" w14:textId="0A48ED9A" w:rsidR="005D3283" w:rsidRPr="00E35E38" w:rsidRDefault="005D3283" w:rsidP="005D3283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REGISTRAČNÉ ČÍSL</w:t>
      </w:r>
      <w:r w:rsidR="00F036B5">
        <w:rPr>
          <w:rFonts w:ascii="Times New Roman" w:eastAsia="Times New Roman" w:hAnsi="Times New Roman" w:cs="Times New Roman"/>
          <w:b/>
          <w:lang w:eastAsia="sk-SK" w:bidi="sk-SK"/>
        </w:rPr>
        <w:t>A</w:t>
      </w:r>
    </w:p>
    <w:p w14:paraId="43C9AAC9" w14:textId="77777777" w:rsidR="005D3283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A3803BA" w14:textId="1720A085" w:rsidR="00F036B5" w:rsidRDefault="00F036B5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036B5">
        <w:rPr>
          <w:rFonts w:ascii="Times New Roman" w:eastAsia="Times New Roman" w:hAnsi="Times New Roman" w:cs="Times New Roman"/>
          <w:lang w:eastAsia="sk-SK" w:bidi="sk-SK"/>
        </w:rPr>
        <w:t>Aprilene 80 mg</w:t>
      </w:r>
      <w:r>
        <w:rPr>
          <w:rFonts w:ascii="Times New Roman" w:eastAsia="Times New Roman" w:hAnsi="Times New Roman" w:cs="Times New Roman"/>
          <w:lang w:eastAsia="sk-SK" w:bidi="sk-SK"/>
        </w:rPr>
        <w:t xml:space="preserve">: </w:t>
      </w:r>
      <w:r w:rsidRPr="00F036B5">
        <w:rPr>
          <w:rFonts w:ascii="Times New Roman" w:eastAsia="Times New Roman" w:hAnsi="Times New Roman" w:cs="Times New Roman"/>
          <w:lang w:eastAsia="sk-SK" w:bidi="sk-SK"/>
        </w:rPr>
        <w:t>20/0405/18-S</w:t>
      </w:r>
    </w:p>
    <w:p w14:paraId="01F3E59E" w14:textId="14B62B3A" w:rsidR="00F036B5" w:rsidRDefault="00F036B5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>Aprilene 125</w:t>
      </w:r>
      <w:r w:rsidRPr="00F036B5">
        <w:rPr>
          <w:rFonts w:ascii="Times New Roman" w:eastAsia="Times New Roman" w:hAnsi="Times New Roman" w:cs="Times New Roman"/>
          <w:lang w:eastAsia="sk-SK" w:bidi="sk-SK"/>
        </w:rPr>
        <w:t xml:space="preserve"> mg</w:t>
      </w:r>
      <w:r>
        <w:rPr>
          <w:rFonts w:ascii="Times New Roman" w:eastAsia="Times New Roman" w:hAnsi="Times New Roman" w:cs="Times New Roman"/>
          <w:lang w:eastAsia="sk-SK" w:bidi="sk-SK"/>
        </w:rPr>
        <w:t>: 20/0406</w:t>
      </w:r>
      <w:r w:rsidRPr="00F036B5">
        <w:rPr>
          <w:rFonts w:ascii="Times New Roman" w:eastAsia="Times New Roman" w:hAnsi="Times New Roman" w:cs="Times New Roman"/>
          <w:lang w:eastAsia="sk-SK" w:bidi="sk-SK"/>
        </w:rPr>
        <w:t>/18-S</w:t>
      </w:r>
    </w:p>
    <w:p w14:paraId="04BC9939" w14:textId="74636515" w:rsidR="00F036B5" w:rsidRDefault="00F036B5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036B5">
        <w:rPr>
          <w:rFonts w:ascii="Times New Roman" w:eastAsia="Times New Roman" w:hAnsi="Times New Roman" w:cs="Times New Roman"/>
          <w:lang w:eastAsia="sk-SK" w:bidi="sk-SK"/>
        </w:rPr>
        <w:t>Aprilene 80 mg</w:t>
      </w:r>
      <w:r>
        <w:rPr>
          <w:rFonts w:ascii="Times New Roman" w:eastAsia="Times New Roman" w:hAnsi="Times New Roman" w:cs="Times New Roman"/>
          <w:lang w:eastAsia="sk-SK" w:bidi="sk-SK"/>
        </w:rPr>
        <w:t xml:space="preserve"> a Aprilene 125 mg: 20/0407</w:t>
      </w:r>
      <w:r w:rsidRPr="00F036B5">
        <w:rPr>
          <w:rFonts w:ascii="Times New Roman" w:eastAsia="Times New Roman" w:hAnsi="Times New Roman" w:cs="Times New Roman"/>
          <w:lang w:eastAsia="sk-SK" w:bidi="sk-SK"/>
        </w:rPr>
        <w:t>/18-S</w:t>
      </w:r>
    </w:p>
    <w:p w14:paraId="46A690CA" w14:textId="77777777" w:rsidR="00F036B5" w:rsidRPr="00E35E38" w:rsidRDefault="00F036B5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AA9B085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AE5AD71" w14:textId="638BB50A" w:rsidR="005D3283" w:rsidRPr="00E35E38" w:rsidRDefault="005D3283" w:rsidP="0027069F">
      <w:pPr>
        <w:keepNext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DÁTUM PRVEJ REGISTRÁCIE/PREDĹŽENIA R</w:t>
      </w:r>
      <w:r w:rsidR="001C57D6">
        <w:rPr>
          <w:rFonts w:ascii="Times New Roman" w:eastAsia="Times New Roman" w:hAnsi="Times New Roman" w:cs="Times New Roman"/>
          <w:b/>
          <w:lang w:eastAsia="sk-SK" w:bidi="sk-SK"/>
        </w:rPr>
        <w:t>E</w:t>
      </w:r>
      <w:r w:rsidRPr="00E35E38">
        <w:rPr>
          <w:rFonts w:ascii="Times New Roman" w:eastAsia="Times New Roman" w:hAnsi="Times New Roman" w:cs="Times New Roman"/>
          <w:b/>
          <w:lang w:eastAsia="sk-SK" w:bidi="sk-SK"/>
        </w:rPr>
        <w:t>GISTRÁCIE</w:t>
      </w:r>
    </w:p>
    <w:p w14:paraId="683B9AB2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sk-SK" w:bidi="sk-SK"/>
        </w:rPr>
      </w:pPr>
    </w:p>
    <w:p w14:paraId="51AA85EA" w14:textId="6D5CCDE8" w:rsid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Dátum prvej registrácie: </w:t>
      </w:r>
      <w:r w:rsidR="001C57D6">
        <w:rPr>
          <w:rFonts w:ascii="Times New Roman" w:eastAsia="Times New Roman" w:hAnsi="Times New Roman" w:cs="Times New Roman"/>
          <w:lang w:eastAsia="sk-SK" w:bidi="sk-SK"/>
        </w:rPr>
        <w:t>14. december 2018</w:t>
      </w:r>
    </w:p>
    <w:p w14:paraId="581F7196" w14:textId="77777777" w:rsidR="005D3283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955726A" w14:textId="77777777" w:rsidR="00E35E38" w:rsidRPr="00E35E38" w:rsidRDefault="00E35E38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E132E10" w14:textId="77777777" w:rsidR="005D3283" w:rsidRPr="00E35E38" w:rsidRDefault="005D3283" w:rsidP="005D3283">
      <w:pPr>
        <w:keepNext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DÁTUM REVÍZIE TEXTU</w:t>
      </w:r>
    </w:p>
    <w:p w14:paraId="70DB08AE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4511760" w14:textId="02F6DF04" w:rsidR="00D76B55" w:rsidRPr="00E35E38" w:rsidRDefault="00983567" w:rsidP="005D3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02/2019</w:t>
      </w:r>
    </w:p>
    <w:sectPr w:rsidR="00D76B55" w:rsidRPr="00E35E38" w:rsidSect="00A933E2">
      <w:headerReference w:type="default" r:id="rId12"/>
      <w:footerReference w:type="default" r:id="rId13"/>
      <w:pgSz w:w="11906" w:h="16838"/>
      <w:pgMar w:top="1390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F8C2A" w14:textId="77777777" w:rsidR="00983567" w:rsidRDefault="00983567" w:rsidP="00784CAA">
      <w:pPr>
        <w:spacing w:after="0" w:line="240" w:lineRule="auto"/>
      </w:pPr>
      <w:r>
        <w:separator/>
      </w:r>
    </w:p>
  </w:endnote>
  <w:endnote w:type="continuationSeparator" w:id="0">
    <w:p w14:paraId="4BAD3101" w14:textId="77777777" w:rsidR="00983567" w:rsidRDefault="00983567" w:rsidP="0078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60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E414141" w14:textId="00D0E779" w:rsidR="00983567" w:rsidRPr="001C57D6" w:rsidRDefault="00983567" w:rsidP="00A933E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1C57D6">
          <w:rPr>
            <w:rFonts w:ascii="Times New Roman" w:hAnsi="Times New Roman"/>
            <w:sz w:val="18"/>
            <w:szCs w:val="18"/>
          </w:rPr>
          <w:fldChar w:fldCharType="begin"/>
        </w:r>
        <w:r w:rsidRPr="00A933E2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1C57D6">
          <w:rPr>
            <w:rFonts w:ascii="Times New Roman" w:hAnsi="Times New Roman"/>
            <w:sz w:val="18"/>
            <w:szCs w:val="18"/>
          </w:rPr>
          <w:fldChar w:fldCharType="separate"/>
        </w:r>
        <w:r w:rsidR="00CC19D2">
          <w:rPr>
            <w:rFonts w:ascii="Times New Roman" w:hAnsi="Times New Roman"/>
            <w:sz w:val="18"/>
            <w:szCs w:val="18"/>
          </w:rPr>
          <w:t>19</w:t>
        </w:r>
        <w:r w:rsidRPr="001C57D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131B1" w14:textId="77777777" w:rsidR="00983567" w:rsidRDefault="00983567" w:rsidP="00784CAA">
      <w:pPr>
        <w:spacing w:after="0" w:line="240" w:lineRule="auto"/>
      </w:pPr>
      <w:r>
        <w:separator/>
      </w:r>
    </w:p>
  </w:footnote>
  <w:footnote w:type="continuationSeparator" w:id="0">
    <w:p w14:paraId="3A3E3066" w14:textId="77777777" w:rsidR="00983567" w:rsidRDefault="00983567" w:rsidP="00784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E9F03" w14:textId="07B5500B" w:rsidR="00983567" w:rsidRPr="00A933E2" w:rsidRDefault="00983567" w:rsidP="00A933E2">
    <w:pPr>
      <w:pStyle w:val="Hlavika"/>
      <w:spacing w:line="240" w:lineRule="auto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1 k notifikácii o zmene, ev. č.: 2018/08125-Z1A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A754B2"/>
    <w:multiLevelType w:val="hybridMultilevel"/>
    <w:tmpl w:val="5C220952"/>
    <w:lvl w:ilvl="0" w:tplc="CE2880FA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769F"/>
    <w:multiLevelType w:val="hybridMultilevel"/>
    <w:tmpl w:val="56B256CA"/>
    <w:lvl w:ilvl="0" w:tplc="3192171C">
      <w:start w:val="1"/>
      <w:numFmt w:val="decimal"/>
      <w:lvlText w:val="%1."/>
      <w:lvlJc w:val="left"/>
      <w:pPr>
        <w:ind w:left="2283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EB590C"/>
    <w:multiLevelType w:val="multilevel"/>
    <w:tmpl w:val="F2AA1D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7137B"/>
    <w:multiLevelType w:val="hybridMultilevel"/>
    <w:tmpl w:val="C6A0872C"/>
    <w:lvl w:ilvl="0" w:tplc="162299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06535"/>
    <w:multiLevelType w:val="hybridMultilevel"/>
    <w:tmpl w:val="F3E097E2"/>
    <w:lvl w:ilvl="0" w:tplc="5756D5A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46175"/>
    <w:multiLevelType w:val="hybridMultilevel"/>
    <w:tmpl w:val="3D541A66"/>
    <w:lvl w:ilvl="0" w:tplc="836C3C4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D0908"/>
    <w:multiLevelType w:val="hybridMultilevel"/>
    <w:tmpl w:val="5C220952"/>
    <w:lvl w:ilvl="0" w:tplc="CE2880FA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B705F"/>
    <w:multiLevelType w:val="hybridMultilevel"/>
    <w:tmpl w:val="56B256CA"/>
    <w:lvl w:ilvl="0" w:tplc="3192171C">
      <w:start w:val="1"/>
      <w:numFmt w:val="decimal"/>
      <w:lvlText w:val="%1."/>
      <w:lvlJc w:val="left"/>
      <w:pPr>
        <w:ind w:left="2283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00A91"/>
    <w:multiLevelType w:val="hybridMultilevel"/>
    <w:tmpl w:val="8C924966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582D0F0B"/>
    <w:multiLevelType w:val="hybridMultilevel"/>
    <w:tmpl w:val="BA78298C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10C70"/>
    <w:multiLevelType w:val="multilevel"/>
    <w:tmpl w:val="CDB29D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7"/>
  </w:num>
  <w:num w:numId="5">
    <w:abstractNumId w:val="16"/>
  </w:num>
  <w:num w:numId="6">
    <w:abstractNumId w:val="13"/>
  </w:num>
  <w:num w:numId="7">
    <w:abstractNumId w:val="18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12"/>
  </w:num>
  <w:num w:numId="13">
    <w:abstractNumId w:val="1"/>
  </w:num>
  <w:num w:numId="14">
    <w:abstractNumId w:val="2"/>
  </w:num>
  <w:num w:numId="15">
    <w:abstractNumId w:val="9"/>
  </w:num>
  <w:num w:numId="16">
    <w:abstractNumId w:val="10"/>
  </w:num>
  <w:num w:numId="17">
    <w:abstractNumId w:val="14"/>
  </w:num>
  <w:num w:numId="18">
    <w:abstractNumId w:val="8"/>
  </w:num>
  <w:num w:numId="19">
    <w:abstractNumId w:val="15"/>
  </w:num>
  <w:num w:numId="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bara Hodos Durove">
    <w15:presenceInfo w15:providerId="AD" w15:userId="S-1-5-21-1074136629-4081378027-2755238289-3233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trackRevisio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83"/>
    <w:rsid w:val="00000476"/>
    <w:rsid w:val="000165A5"/>
    <w:rsid w:val="00036CAA"/>
    <w:rsid w:val="000F5FEB"/>
    <w:rsid w:val="00106783"/>
    <w:rsid w:val="001156DD"/>
    <w:rsid w:val="001166C1"/>
    <w:rsid w:val="00124BC4"/>
    <w:rsid w:val="0015184D"/>
    <w:rsid w:val="001C1F0E"/>
    <w:rsid w:val="001C57D6"/>
    <w:rsid w:val="001F3C7A"/>
    <w:rsid w:val="00252647"/>
    <w:rsid w:val="0027069F"/>
    <w:rsid w:val="002F3EE4"/>
    <w:rsid w:val="0036667E"/>
    <w:rsid w:val="003B7B4E"/>
    <w:rsid w:val="003D6886"/>
    <w:rsid w:val="003E4221"/>
    <w:rsid w:val="003F07A1"/>
    <w:rsid w:val="00415BA7"/>
    <w:rsid w:val="00420D6D"/>
    <w:rsid w:val="00434DE5"/>
    <w:rsid w:val="00435B22"/>
    <w:rsid w:val="004A2828"/>
    <w:rsid w:val="005640A6"/>
    <w:rsid w:val="0056745F"/>
    <w:rsid w:val="0058212F"/>
    <w:rsid w:val="005D3283"/>
    <w:rsid w:val="005E126B"/>
    <w:rsid w:val="005F03DF"/>
    <w:rsid w:val="00611CCD"/>
    <w:rsid w:val="00646710"/>
    <w:rsid w:val="006A35D0"/>
    <w:rsid w:val="00701B39"/>
    <w:rsid w:val="007051C5"/>
    <w:rsid w:val="00725314"/>
    <w:rsid w:val="00745935"/>
    <w:rsid w:val="007744EC"/>
    <w:rsid w:val="00784CAA"/>
    <w:rsid w:val="007924A3"/>
    <w:rsid w:val="007A1F53"/>
    <w:rsid w:val="007B02D8"/>
    <w:rsid w:val="007D0A5C"/>
    <w:rsid w:val="007E5F7B"/>
    <w:rsid w:val="008B0436"/>
    <w:rsid w:val="00900327"/>
    <w:rsid w:val="0092636D"/>
    <w:rsid w:val="00982790"/>
    <w:rsid w:val="00983567"/>
    <w:rsid w:val="00983AD4"/>
    <w:rsid w:val="0099174A"/>
    <w:rsid w:val="009A078F"/>
    <w:rsid w:val="009C7F25"/>
    <w:rsid w:val="009E67BB"/>
    <w:rsid w:val="00A41E9C"/>
    <w:rsid w:val="00A933E2"/>
    <w:rsid w:val="00A96E36"/>
    <w:rsid w:val="00AD697A"/>
    <w:rsid w:val="00B00D01"/>
    <w:rsid w:val="00B742F0"/>
    <w:rsid w:val="00B83F37"/>
    <w:rsid w:val="00B86F74"/>
    <w:rsid w:val="00BF693F"/>
    <w:rsid w:val="00BF7F15"/>
    <w:rsid w:val="00C139F7"/>
    <w:rsid w:val="00C50E87"/>
    <w:rsid w:val="00C808D4"/>
    <w:rsid w:val="00C822D5"/>
    <w:rsid w:val="00C97975"/>
    <w:rsid w:val="00CC19D2"/>
    <w:rsid w:val="00CE3C4D"/>
    <w:rsid w:val="00CF6EC9"/>
    <w:rsid w:val="00D76B55"/>
    <w:rsid w:val="00DC3E54"/>
    <w:rsid w:val="00DE7BD8"/>
    <w:rsid w:val="00DF6D7B"/>
    <w:rsid w:val="00E1464C"/>
    <w:rsid w:val="00E35E38"/>
    <w:rsid w:val="00EA0C8E"/>
    <w:rsid w:val="00EC461B"/>
    <w:rsid w:val="00ED04F2"/>
    <w:rsid w:val="00ED73DF"/>
    <w:rsid w:val="00ED7FB2"/>
    <w:rsid w:val="00F036B5"/>
    <w:rsid w:val="00F36751"/>
    <w:rsid w:val="00F41D30"/>
    <w:rsid w:val="00F42D77"/>
    <w:rsid w:val="00F64896"/>
    <w:rsid w:val="00FA0256"/>
    <w:rsid w:val="00FB4CAC"/>
    <w:rsid w:val="00FD120A"/>
    <w:rsid w:val="00FD1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2B3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48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zoznamu1">
    <w:name w:val="Bez zoznamu1"/>
    <w:next w:val="Bezzoznamu"/>
    <w:uiPriority w:val="99"/>
    <w:semiHidden/>
    <w:unhideWhenUsed/>
    <w:rsid w:val="005D3283"/>
  </w:style>
  <w:style w:type="paragraph" w:styleId="Pta">
    <w:name w:val="footer"/>
    <w:basedOn w:val="Normlny"/>
    <w:link w:val="PtaChar"/>
    <w:uiPriority w:val="99"/>
    <w:rsid w:val="005D3283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character" w:customStyle="1" w:styleId="PtaChar">
    <w:name w:val="Päta Char"/>
    <w:basedOn w:val="Predvolenpsmoodseku"/>
    <w:link w:val="Pta"/>
    <w:uiPriority w:val="99"/>
    <w:rsid w:val="005D3283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rsid w:val="005D3283"/>
    <w:pPr>
      <w:tabs>
        <w:tab w:val="left" w:pos="567"/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k-SK" w:bidi="sk-SK"/>
    </w:rPr>
  </w:style>
  <w:style w:type="character" w:customStyle="1" w:styleId="HlavikaChar">
    <w:name w:val="Hlavička Char"/>
    <w:basedOn w:val="Predvolenpsmoodseku"/>
    <w:link w:val="Hlavika"/>
    <w:uiPriority w:val="99"/>
    <w:rsid w:val="005D3283"/>
    <w:rPr>
      <w:rFonts w:ascii="Arial" w:eastAsia="Times New Roman" w:hAnsi="Arial" w:cs="Times New Roman"/>
      <w:sz w:val="20"/>
      <w:szCs w:val="20"/>
      <w:lang w:eastAsia="sk-SK" w:bidi="sk-SK"/>
    </w:rPr>
  </w:style>
  <w:style w:type="paragraph" w:customStyle="1" w:styleId="MemoHeaderStyle">
    <w:name w:val="MemoHeaderStyle"/>
    <w:basedOn w:val="Normlny"/>
    <w:next w:val="Normlny"/>
    <w:rsid w:val="005D3283"/>
    <w:pPr>
      <w:tabs>
        <w:tab w:val="left" w:pos="567"/>
      </w:tabs>
      <w:spacing w:after="0" w:line="120" w:lineRule="atLeast"/>
      <w:ind w:left="1418"/>
      <w:jc w:val="both"/>
    </w:pPr>
    <w:rPr>
      <w:rFonts w:ascii="Arial" w:eastAsia="Times New Roman" w:hAnsi="Arial" w:cs="Times New Roman"/>
      <w:b/>
      <w:smallCaps/>
      <w:szCs w:val="20"/>
      <w:lang w:eastAsia="sk-SK" w:bidi="sk-SK"/>
    </w:rPr>
  </w:style>
  <w:style w:type="character" w:styleId="slostrany">
    <w:name w:val="page number"/>
    <w:basedOn w:val="Predvolenpsmoodseku"/>
    <w:uiPriority w:val="99"/>
    <w:rsid w:val="005D3283"/>
  </w:style>
  <w:style w:type="paragraph" w:styleId="Zkladntext">
    <w:name w:val="Body Text"/>
    <w:basedOn w:val="Normlny"/>
    <w:link w:val="ZkladntextChar"/>
    <w:rsid w:val="005D3283"/>
    <w:pPr>
      <w:spacing w:after="0" w:line="240" w:lineRule="auto"/>
    </w:pPr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rsid w:val="005D3283"/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unhideWhenUsed/>
    <w:rsid w:val="005D3283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D328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rsid w:val="005D3283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5D328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rsid w:val="005D3283"/>
    <w:pPr>
      <w:tabs>
        <w:tab w:val="left" w:pos="567"/>
      </w:tabs>
      <w:spacing w:after="0" w:line="260" w:lineRule="exact"/>
    </w:pPr>
    <w:rPr>
      <w:rFonts w:ascii="Tahoma" w:eastAsia="Times New Roman" w:hAnsi="Tahoma" w:cs="Tahoma"/>
      <w:sz w:val="16"/>
      <w:szCs w:val="16"/>
      <w:lang w:eastAsia="sk-SK" w:bidi="sk-SK"/>
    </w:rPr>
  </w:style>
  <w:style w:type="character" w:customStyle="1" w:styleId="TextbublinyChar">
    <w:name w:val="Text bubliny Char"/>
    <w:basedOn w:val="Predvolenpsmoodseku"/>
    <w:link w:val="Textbubliny"/>
    <w:uiPriority w:val="99"/>
    <w:rsid w:val="005D3283"/>
    <w:rPr>
      <w:rFonts w:ascii="Tahoma" w:eastAsia="Times New Roman" w:hAnsi="Tahoma" w:cs="Tahoma"/>
      <w:sz w:val="16"/>
      <w:szCs w:val="16"/>
      <w:lang w:eastAsia="sk-SK"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5D3283"/>
    <w:pPr>
      <w:spacing w:after="140" w:line="280" w:lineRule="atLeast"/>
    </w:pPr>
    <w:rPr>
      <w:rFonts w:ascii="Verdana" w:eastAsia="Verdana" w:hAnsi="Verdana" w:cs="Verdana"/>
      <w:sz w:val="18"/>
      <w:szCs w:val="18"/>
      <w:lang w:eastAsia="sk-SK" w:bidi="sk-SK"/>
    </w:rPr>
  </w:style>
  <w:style w:type="character" w:customStyle="1" w:styleId="BodytextAgencyChar">
    <w:name w:val="Body text (Agency) Char"/>
    <w:link w:val="BodytextAgency"/>
    <w:rsid w:val="005D3283"/>
    <w:rPr>
      <w:rFonts w:ascii="Verdana" w:eastAsia="Verdana" w:hAnsi="Verdana" w:cs="Verdana"/>
      <w:sz w:val="18"/>
      <w:szCs w:val="18"/>
      <w:lang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5D3283"/>
    <w:pPr>
      <w:spacing w:after="140" w:line="280" w:lineRule="atLeast"/>
    </w:pPr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character" w:customStyle="1" w:styleId="DraftingNotesAgencyChar">
    <w:name w:val="Drafting Notes (Agency) Char"/>
    <w:link w:val="DraftingNotesAgency"/>
    <w:rsid w:val="005D3283"/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paragraph" w:customStyle="1" w:styleId="NormalAgency">
    <w:name w:val="Normal (Agency)"/>
    <w:link w:val="NormalAgencyChar"/>
    <w:uiPriority w:val="99"/>
    <w:rsid w:val="005D3283"/>
    <w:pPr>
      <w:spacing w:after="0" w:line="240" w:lineRule="auto"/>
    </w:pPr>
    <w:rPr>
      <w:rFonts w:ascii="Verdana" w:eastAsia="Verdana" w:hAnsi="Verdana" w:cs="Verdana"/>
      <w:sz w:val="18"/>
      <w:szCs w:val="18"/>
      <w:lang w:eastAsia="sk-SK" w:bidi="sk-SK"/>
    </w:rPr>
  </w:style>
  <w:style w:type="table" w:customStyle="1" w:styleId="TablegridAgencyblack">
    <w:name w:val="Table grid (Agency) black"/>
    <w:basedOn w:val="Normlnatabuka"/>
    <w:semiHidden/>
    <w:rsid w:val="005D3283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DengXian" w:hAnsi="DengXi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5D3283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5D3283"/>
    <w:pPr>
      <w:spacing w:after="0" w:line="280" w:lineRule="exact"/>
    </w:pPr>
    <w:rPr>
      <w:rFonts w:ascii="Verdana" w:eastAsia="Times New Roman" w:hAnsi="Verdana" w:cs="Verdana"/>
      <w:sz w:val="18"/>
      <w:szCs w:val="18"/>
      <w:lang w:eastAsia="sk-SK" w:bidi="sk-SK"/>
    </w:rPr>
  </w:style>
  <w:style w:type="character" w:customStyle="1" w:styleId="NormalAgencyChar">
    <w:name w:val="Normal (Agency) Char"/>
    <w:link w:val="NormalAgency"/>
    <w:rsid w:val="005D3283"/>
    <w:rPr>
      <w:rFonts w:ascii="Verdana" w:eastAsia="Verdana" w:hAnsi="Verdana" w:cs="Verdana"/>
      <w:sz w:val="18"/>
      <w:szCs w:val="18"/>
      <w:lang w:eastAsia="sk-SK" w:bidi="sk-SK"/>
    </w:rPr>
  </w:style>
  <w:style w:type="character" w:styleId="Odkaznakomentr">
    <w:name w:val="annotation reference"/>
    <w:uiPriority w:val="99"/>
    <w:unhideWhenUsed/>
    <w:rsid w:val="005D328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D32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5D3283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DoNotTranslateExternal1">
    <w:name w:val="DoNotTranslateExternal1"/>
    <w:qFormat/>
    <w:rsid w:val="005D3283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5D3283"/>
    <w:pPr>
      <w:tabs>
        <w:tab w:val="left" w:pos="567"/>
      </w:tabs>
      <w:spacing w:after="0" w:line="260" w:lineRule="exact"/>
      <w:ind w:left="720"/>
      <w:contextualSpacing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customStyle="1" w:styleId="FooterChar">
    <w:name w:val="Footer Char"/>
    <w:uiPriority w:val="99"/>
    <w:rsid w:val="005D3283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5D3283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5D3283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5D328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D3283"/>
    <w:rPr>
      <w:color w:val="0000FF"/>
    </w:rPr>
  </w:style>
  <w:style w:type="character" w:customStyle="1" w:styleId="tw4winPopup">
    <w:name w:val="tw4winPopup"/>
    <w:uiPriority w:val="99"/>
    <w:rsid w:val="005D328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D328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D328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D328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D3283"/>
    <w:rPr>
      <w:rFonts w:ascii="Courier New" w:hAnsi="Courier New"/>
      <w:noProof/>
      <w:color w:val="800000"/>
    </w:rPr>
  </w:style>
  <w:style w:type="character" w:styleId="PouitHypertextovPrepojenie">
    <w:name w:val="FollowedHyperlink"/>
    <w:uiPriority w:val="99"/>
    <w:rsid w:val="005D3283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5D3283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table" w:styleId="Mriekatabuky">
    <w:name w:val="Table Grid"/>
    <w:basedOn w:val="Normlnatabuka"/>
    <w:uiPriority w:val="59"/>
    <w:rsid w:val="005D32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1">
    <w:name w:val="Text Char1"/>
    <w:link w:val="Text"/>
    <w:locked/>
    <w:rsid w:val="005D3283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5D3283"/>
    <w:pPr>
      <w:spacing w:after="240" w:line="276" w:lineRule="auto"/>
      <w:ind w:left="1134"/>
      <w:jc w:val="both"/>
    </w:pPr>
    <w:rPr>
      <w:rFonts w:ascii="SimSun" w:hAnsi="SimSun"/>
      <w:color w:val="000000"/>
    </w:rPr>
  </w:style>
  <w:style w:type="paragraph" w:customStyle="1" w:styleId="AmmCorpsTexte">
    <w:name w:val="AmmCorpsTexte"/>
    <w:basedOn w:val="Normlny"/>
    <w:link w:val="AmmCorpsTexteCar"/>
    <w:rsid w:val="005D3283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Car">
    <w:name w:val="AmmCorpsTexte Car"/>
    <w:link w:val="AmmCorpsTexte"/>
    <w:rsid w:val="005D3283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5D3283"/>
    <w:rPr>
      <w:b/>
      <w:bCs/>
    </w:rPr>
  </w:style>
  <w:style w:type="character" w:customStyle="1" w:styleId="AmmCorpsTexteGrasCar">
    <w:name w:val="AmmCorpsTexteGras Car"/>
    <w:link w:val="AmmCorpsTexteGras"/>
    <w:rsid w:val="005D3283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numbering" w:customStyle="1" w:styleId="Bezzoznamu2">
    <w:name w:val="Bez zoznamu2"/>
    <w:next w:val="Bezzoznamu"/>
    <w:uiPriority w:val="99"/>
    <w:semiHidden/>
    <w:unhideWhenUsed/>
    <w:rsid w:val="005D3283"/>
  </w:style>
  <w:style w:type="table" w:customStyle="1" w:styleId="TablegridAgencyblack1">
    <w:name w:val="Table grid (Agency) black1"/>
    <w:basedOn w:val="Normlnatabuka"/>
    <w:semiHidden/>
    <w:rsid w:val="005D3283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DengXian" w:hAnsi="DengXi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Mriekatabuky1">
    <w:name w:val="Mriežka tabuľky1"/>
    <w:basedOn w:val="Normlnatabuka"/>
    <w:next w:val="Mriekatabuky"/>
    <w:uiPriority w:val="59"/>
    <w:rsid w:val="005D32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48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zoznamu1">
    <w:name w:val="Bez zoznamu1"/>
    <w:next w:val="Bezzoznamu"/>
    <w:uiPriority w:val="99"/>
    <w:semiHidden/>
    <w:unhideWhenUsed/>
    <w:rsid w:val="005D3283"/>
  </w:style>
  <w:style w:type="paragraph" w:styleId="Pta">
    <w:name w:val="footer"/>
    <w:basedOn w:val="Normlny"/>
    <w:link w:val="PtaChar"/>
    <w:uiPriority w:val="99"/>
    <w:rsid w:val="005D3283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character" w:customStyle="1" w:styleId="PtaChar">
    <w:name w:val="Päta Char"/>
    <w:basedOn w:val="Predvolenpsmoodseku"/>
    <w:link w:val="Pta"/>
    <w:uiPriority w:val="99"/>
    <w:rsid w:val="005D3283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rsid w:val="005D3283"/>
    <w:pPr>
      <w:tabs>
        <w:tab w:val="left" w:pos="567"/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k-SK" w:bidi="sk-SK"/>
    </w:rPr>
  </w:style>
  <w:style w:type="character" w:customStyle="1" w:styleId="HlavikaChar">
    <w:name w:val="Hlavička Char"/>
    <w:basedOn w:val="Predvolenpsmoodseku"/>
    <w:link w:val="Hlavika"/>
    <w:uiPriority w:val="99"/>
    <w:rsid w:val="005D3283"/>
    <w:rPr>
      <w:rFonts w:ascii="Arial" w:eastAsia="Times New Roman" w:hAnsi="Arial" w:cs="Times New Roman"/>
      <w:sz w:val="20"/>
      <w:szCs w:val="20"/>
      <w:lang w:eastAsia="sk-SK" w:bidi="sk-SK"/>
    </w:rPr>
  </w:style>
  <w:style w:type="paragraph" w:customStyle="1" w:styleId="MemoHeaderStyle">
    <w:name w:val="MemoHeaderStyle"/>
    <w:basedOn w:val="Normlny"/>
    <w:next w:val="Normlny"/>
    <w:rsid w:val="005D3283"/>
    <w:pPr>
      <w:tabs>
        <w:tab w:val="left" w:pos="567"/>
      </w:tabs>
      <w:spacing w:after="0" w:line="120" w:lineRule="atLeast"/>
      <w:ind w:left="1418"/>
      <w:jc w:val="both"/>
    </w:pPr>
    <w:rPr>
      <w:rFonts w:ascii="Arial" w:eastAsia="Times New Roman" w:hAnsi="Arial" w:cs="Times New Roman"/>
      <w:b/>
      <w:smallCaps/>
      <w:szCs w:val="20"/>
      <w:lang w:eastAsia="sk-SK" w:bidi="sk-SK"/>
    </w:rPr>
  </w:style>
  <w:style w:type="character" w:styleId="slostrany">
    <w:name w:val="page number"/>
    <w:basedOn w:val="Predvolenpsmoodseku"/>
    <w:uiPriority w:val="99"/>
    <w:rsid w:val="005D3283"/>
  </w:style>
  <w:style w:type="paragraph" w:styleId="Zkladntext">
    <w:name w:val="Body Text"/>
    <w:basedOn w:val="Normlny"/>
    <w:link w:val="ZkladntextChar"/>
    <w:rsid w:val="005D3283"/>
    <w:pPr>
      <w:spacing w:after="0" w:line="240" w:lineRule="auto"/>
    </w:pPr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rsid w:val="005D3283"/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unhideWhenUsed/>
    <w:rsid w:val="005D3283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D328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rsid w:val="005D3283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5D328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rsid w:val="005D3283"/>
    <w:pPr>
      <w:tabs>
        <w:tab w:val="left" w:pos="567"/>
      </w:tabs>
      <w:spacing w:after="0" w:line="260" w:lineRule="exact"/>
    </w:pPr>
    <w:rPr>
      <w:rFonts w:ascii="Tahoma" w:eastAsia="Times New Roman" w:hAnsi="Tahoma" w:cs="Tahoma"/>
      <w:sz w:val="16"/>
      <w:szCs w:val="16"/>
      <w:lang w:eastAsia="sk-SK" w:bidi="sk-SK"/>
    </w:rPr>
  </w:style>
  <w:style w:type="character" w:customStyle="1" w:styleId="TextbublinyChar">
    <w:name w:val="Text bubliny Char"/>
    <w:basedOn w:val="Predvolenpsmoodseku"/>
    <w:link w:val="Textbubliny"/>
    <w:uiPriority w:val="99"/>
    <w:rsid w:val="005D3283"/>
    <w:rPr>
      <w:rFonts w:ascii="Tahoma" w:eastAsia="Times New Roman" w:hAnsi="Tahoma" w:cs="Tahoma"/>
      <w:sz w:val="16"/>
      <w:szCs w:val="16"/>
      <w:lang w:eastAsia="sk-SK"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5D3283"/>
    <w:pPr>
      <w:spacing w:after="140" w:line="280" w:lineRule="atLeast"/>
    </w:pPr>
    <w:rPr>
      <w:rFonts w:ascii="Verdana" w:eastAsia="Verdana" w:hAnsi="Verdana" w:cs="Verdana"/>
      <w:sz w:val="18"/>
      <w:szCs w:val="18"/>
      <w:lang w:eastAsia="sk-SK" w:bidi="sk-SK"/>
    </w:rPr>
  </w:style>
  <w:style w:type="character" w:customStyle="1" w:styleId="BodytextAgencyChar">
    <w:name w:val="Body text (Agency) Char"/>
    <w:link w:val="BodytextAgency"/>
    <w:rsid w:val="005D3283"/>
    <w:rPr>
      <w:rFonts w:ascii="Verdana" w:eastAsia="Verdana" w:hAnsi="Verdana" w:cs="Verdana"/>
      <w:sz w:val="18"/>
      <w:szCs w:val="18"/>
      <w:lang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5D3283"/>
    <w:pPr>
      <w:spacing w:after="140" w:line="280" w:lineRule="atLeast"/>
    </w:pPr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character" w:customStyle="1" w:styleId="DraftingNotesAgencyChar">
    <w:name w:val="Drafting Notes (Agency) Char"/>
    <w:link w:val="DraftingNotesAgency"/>
    <w:rsid w:val="005D3283"/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paragraph" w:customStyle="1" w:styleId="NormalAgency">
    <w:name w:val="Normal (Agency)"/>
    <w:link w:val="NormalAgencyChar"/>
    <w:uiPriority w:val="99"/>
    <w:rsid w:val="005D3283"/>
    <w:pPr>
      <w:spacing w:after="0" w:line="240" w:lineRule="auto"/>
    </w:pPr>
    <w:rPr>
      <w:rFonts w:ascii="Verdana" w:eastAsia="Verdana" w:hAnsi="Verdana" w:cs="Verdana"/>
      <w:sz w:val="18"/>
      <w:szCs w:val="18"/>
      <w:lang w:eastAsia="sk-SK" w:bidi="sk-SK"/>
    </w:rPr>
  </w:style>
  <w:style w:type="table" w:customStyle="1" w:styleId="TablegridAgencyblack">
    <w:name w:val="Table grid (Agency) black"/>
    <w:basedOn w:val="Normlnatabuka"/>
    <w:semiHidden/>
    <w:rsid w:val="005D3283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DengXian" w:hAnsi="DengXi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5D3283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5D3283"/>
    <w:pPr>
      <w:spacing w:after="0" w:line="280" w:lineRule="exact"/>
    </w:pPr>
    <w:rPr>
      <w:rFonts w:ascii="Verdana" w:eastAsia="Times New Roman" w:hAnsi="Verdana" w:cs="Verdana"/>
      <w:sz w:val="18"/>
      <w:szCs w:val="18"/>
      <w:lang w:eastAsia="sk-SK" w:bidi="sk-SK"/>
    </w:rPr>
  </w:style>
  <w:style w:type="character" w:customStyle="1" w:styleId="NormalAgencyChar">
    <w:name w:val="Normal (Agency) Char"/>
    <w:link w:val="NormalAgency"/>
    <w:rsid w:val="005D3283"/>
    <w:rPr>
      <w:rFonts w:ascii="Verdana" w:eastAsia="Verdana" w:hAnsi="Verdana" w:cs="Verdana"/>
      <w:sz w:val="18"/>
      <w:szCs w:val="18"/>
      <w:lang w:eastAsia="sk-SK" w:bidi="sk-SK"/>
    </w:rPr>
  </w:style>
  <w:style w:type="character" w:styleId="Odkaznakomentr">
    <w:name w:val="annotation reference"/>
    <w:uiPriority w:val="99"/>
    <w:unhideWhenUsed/>
    <w:rsid w:val="005D328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D32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5D3283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DoNotTranslateExternal1">
    <w:name w:val="DoNotTranslateExternal1"/>
    <w:qFormat/>
    <w:rsid w:val="005D3283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5D3283"/>
    <w:pPr>
      <w:tabs>
        <w:tab w:val="left" w:pos="567"/>
      </w:tabs>
      <w:spacing w:after="0" w:line="260" w:lineRule="exact"/>
      <w:ind w:left="720"/>
      <w:contextualSpacing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customStyle="1" w:styleId="FooterChar">
    <w:name w:val="Footer Char"/>
    <w:uiPriority w:val="99"/>
    <w:rsid w:val="005D3283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5D3283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5D3283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5D328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D3283"/>
    <w:rPr>
      <w:color w:val="0000FF"/>
    </w:rPr>
  </w:style>
  <w:style w:type="character" w:customStyle="1" w:styleId="tw4winPopup">
    <w:name w:val="tw4winPopup"/>
    <w:uiPriority w:val="99"/>
    <w:rsid w:val="005D328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D328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D328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D328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D3283"/>
    <w:rPr>
      <w:rFonts w:ascii="Courier New" w:hAnsi="Courier New"/>
      <w:noProof/>
      <w:color w:val="800000"/>
    </w:rPr>
  </w:style>
  <w:style w:type="character" w:styleId="PouitHypertextovPrepojenie">
    <w:name w:val="FollowedHyperlink"/>
    <w:uiPriority w:val="99"/>
    <w:rsid w:val="005D3283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5D3283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table" w:styleId="Mriekatabuky">
    <w:name w:val="Table Grid"/>
    <w:basedOn w:val="Normlnatabuka"/>
    <w:uiPriority w:val="59"/>
    <w:rsid w:val="005D32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1">
    <w:name w:val="Text Char1"/>
    <w:link w:val="Text"/>
    <w:locked/>
    <w:rsid w:val="005D3283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5D3283"/>
    <w:pPr>
      <w:spacing w:after="240" w:line="276" w:lineRule="auto"/>
      <w:ind w:left="1134"/>
      <w:jc w:val="both"/>
    </w:pPr>
    <w:rPr>
      <w:rFonts w:ascii="SimSun" w:hAnsi="SimSun"/>
      <w:color w:val="000000"/>
    </w:rPr>
  </w:style>
  <w:style w:type="paragraph" w:customStyle="1" w:styleId="AmmCorpsTexte">
    <w:name w:val="AmmCorpsTexte"/>
    <w:basedOn w:val="Normlny"/>
    <w:link w:val="AmmCorpsTexteCar"/>
    <w:rsid w:val="005D3283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Car">
    <w:name w:val="AmmCorpsTexte Car"/>
    <w:link w:val="AmmCorpsTexte"/>
    <w:rsid w:val="005D3283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5D3283"/>
    <w:rPr>
      <w:b/>
      <w:bCs/>
    </w:rPr>
  </w:style>
  <w:style w:type="character" w:customStyle="1" w:styleId="AmmCorpsTexteGrasCar">
    <w:name w:val="AmmCorpsTexteGras Car"/>
    <w:link w:val="AmmCorpsTexteGras"/>
    <w:rsid w:val="005D3283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numbering" w:customStyle="1" w:styleId="Bezzoznamu2">
    <w:name w:val="Bez zoznamu2"/>
    <w:next w:val="Bezzoznamu"/>
    <w:uiPriority w:val="99"/>
    <w:semiHidden/>
    <w:unhideWhenUsed/>
    <w:rsid w:val="005D3283"/>
  </w:style>
  <w:style w:type="table" w:customStyle="1" w:styleId="TablegridAgencyblack1">
    <w:name w:val="Table grid (Agency) black1"/>
    <w:basedOn w:val="Normlnatabuka"/>
    <w:semiHidden/>
    <w:rsid w:val="005D3283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DengXian" w:hAnsi="DengXi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Mriekatabuky1">
    <w:name w:val="Mriežka tabuľky1"/>
    <w:basedOn w:val="Normlnatabuka"/>
    <w:next w:val="Mriekatabuky"/>
    <w:uiPriority w:val="59"/>
    <w:rsid w:val="005D32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1554-3D8B-48D7-A4BD-B8684ADB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6905</Words>
  <Characters>39364</Characters>
  <Application>Microsoft Office Word</Application>
  <DocSecurity>0</DocSecurity>
  <Lines>328</Lines>
  <Paragraphs>92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Pestunova</dc:creator>
  <cp:lastModifiedBy>marianna forgacova</cp:lastModifiedBy>
  <cp:revision>2</cp:revision>
  <dcterms:created xsi:type="dcterms:W3CDTF">2019-02-19T06:54:00Z</dcterms:created>
  <dcterms:modified xsi:type="dcterms:W3CDTF">2019-02-19T06:54:00Z</dcterms:modified>
</cp:coreProperties>
</file>