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16A85" w14:textId="77777777" w:rsidR="007A58F5" w:rsidRDefault="007A58F5" w:rsidP="00540574">
      <w:pPr>
        <w:pStyle w:val="Nadpis1"/>
        <w:tabs>
          <w:tab w:val="left" w:pos="882"/>
          <w:tab w:val="left" w:pos="883"/>
        </w:tabs>
        <w:ind w:left="0"/>
        <w:jc w:val="center"/>
      </w:pPr>
    </w:p>
    <w:p w14:paraId="0C097521" w14:textId="002DF0BD" w:rsidR="00540574" w:rsidRDefault="00540574" w:rsidP="00540574">
      <w:pPr>
        <w:pStyle w:val="Nadpis1"/>
        <w:tabs>
          <w:tab w:val="left" w:pos="882"/>
          <w:tab w:val="left" w:pos="883"/>
        </w:tabs>
        <w:ind w:left="0"/>
        <w:jc w:val="center"/>
      </w:pPr>
      <w:r>
        <w:t>SÚHRN CHARAKTERISTICKÝCH VLASTNOSTÍ LIEKU</w:t>
      </w:r>
    </w:p>
    <w:p w14:paraId="7D792473" w14:textId="77777777" w:rsidR="00540574" w:rsidRDefault="00540574" w:rsidP="00540574">
      <w:pPr>
        <w:pStyle w:val="Nadpis1"/>
        <w:tabs>
          <w:tab w:val="left" w:pos="882"/>
          <w:tab w:val="left" w:pos="883"/>
        </w:tabs>
        <w:ind w:left="0"/>
        <w:jc w:val="center"/>
      </w:pPr>
    </w:p>
    <w:p w14:paraId="2B784CE9" w14:textId="77777777" w:rsidR="00540574" w:rsidRDefault="00540574" w:rsidP="00540574">
      <w:pPr>
        <w:pStyle w:val="Nadpis1"/>
        <w:tabs>
          <w:tab w:val="left" w:pos="882"/>
          <w:tab w:val="left" w:pos="883"/>
        </w:tabs>
        <w:ind w:left="0"/>
        <w:jc w:val="center"/>
      </w:pPr>
    </w:p>
    <w:p w14:paraId="32846BF6" w14:textId="77777777" w:rsidR="004422A3" w:rsidRPr="003704FD" w:rsidRDefault="00CF7044" w:rsidP="007A58F5">
      <w:pPr>
        <w:pStyle w:val="Nadpis1"/>
        <w:numPr>
          <w:ilvl w:val="0"/>
          <w:numId w:val="9"/>
        </w:numPr>
        <w:tabs>
          <w:tab w:val="left" w:pos="882"/>
          <w:tab w:val="left" w:pos="883"/>
        </w:tabs>
        <w:ind w:left="0" w:firstLine="0"/>
      </w:pPr>
      <w:r w:rsidRPr="003704FD">
        <w:t>NÁZOV</w:t>
      </w:r>
      <w:r w:rsidRPr="003704FD">
        <w:rPr>
          <w:spacing w:val="-1"/>
        </w:rPr>
        <w:t xml:space="preserve"> </w:t>
      </w:r>
      <w:r w:rsidRPr="003704FD">
        <w:t>LIEKU</w:t>
      </w:r>
    </w:p>
    <w:p w14:paraId="1D2E81D4" w14:textId="77777777" w:rsidR="004422A3" w:rsidRDefault="004422A3" w:rsidP="007A58F5">
      <w:pPr>
        <w:pStyle w:val="Zkladntext"/>
        <w:spacing w:before="7"/>
        <w:rPr>
          <w:b/>
          <w:sz w:val="21"/>
        </w:rPr>
      </w:pPr>
    </w:p>
    <w:p w14:paraId="1C37641B" w14:textId="77777777" w:rsidR="004422A3" w:rsidRDefault="00751269" w:rsidP="007A58F5">
      <w:pPr>
        <w:pStyle w:val="Zkladntext"/>
      </w:pPr>
      <w:r>
        <w:t>Tadalafil AOP</w:t>
      </w:r>
      <w:r w:rsidR="00CF7044">
        <w:t xml:space="preserve"> 20 mg filmom obalené tablety</w:t>
      </w:r>
    </w:p>
    <w:p w14:paraId="14081B3B" w14:textId="77777777" w:rsidR="004422A3" w:rsidRDefault="004422A3" w:rsidP="007A58F5">
      <w:pPr>
        <w:pStyle w:val="Zkladntext"/>
        <w:rPr>
          <w:sz w:val="24"/>
        </w:rPr>
      </w:pPr>
    </w:p>
    <w:p w14:paraId="16095B7C" w14:textId="77777777" w:rsidR="004422A3" w:rsidRDefault="004422A3" w:rsidP="007A58F5">
      <w:pPr>
        <w:pStyle w:val="Zkladntext"/>
        <w:spacing w:before="7"/>
        <w:rPr>
          <w:sz w:val="20"/>
        </w:rPr>
      </w:pPr>
    </w:p>
    <w:p w14:paraId="00076E9B" w14:textId="77777777" w:rsidR="004422A3" w:rsidRDefault="00CF7044" w:rsidP="007A58F5">
      <w:pPr>
        <w:pStyle w:val="Nadpis1"/>
        <w:numPr>
          <w:ilvl w:val="0"/>
          <w:numId w:val="9"/>
        </w:numPr>
        <w:tabs>
          <w:tab w:val="left" w:pos="882"/>
          <w:tab w:val="left" w:pos="883"/>
        </w:tabs>
        <w:ind w:left="0" w:firstLine="0"/>
      </w:pPr>
      <w:r>
        <w:t>KVALITATÍVNE A KVANTITATÍVNE</w:t>
      </w:r>
      <w:r>
        <w:rPr>
          <w:spacing w:val="-2"/>
        </w:rPr>
        <w:t xml:space="preserve"> </w:t>
      </w:r>
      <w:r>
        <w:t>ZLOŽENIE</w:t>
      </w:r>
    </w:p>
    <w:p w14:paraId="382AD985" w14:textId="77777777" w:rsidR="00751269" w:rsidRDefault="00751269" w:rsidP="007A58F5">
      <w:pPr>
        <w:pStyle w:val="Zkladntext"/>
        <w:spacing w:before="1"/>
      </w:pPr>
    </w:p>
    <w:p w14:paraId="5EE79969" w14:textId="77777777" w:rsidR="00751269" w:rsidRDefault="00CF7044" w:rsidP="007A58F5">
      <w:pPr>
        <w:pStyle w:val="Zkladntext"/>
        <w:spacing w:before="1"/>
      </w:pPr>
      <w:r>
        <w:t>Každá filmom obalená tab</w:t>
      </w:r>
      <w:r w:rsidR="00751269">
        <w:t>leta obsahuje 20 mg tadalafilu.</w:t>
      </w:r>
    </w:p>
    <w:p w14:paraId="75F52D4E" w14:textId="77777777" w:rsidR="00751269" w:rsidRDefault="00751269" w:rsidP="007A58F5">
      <w:pPr>
        <w:pStyle w:val="Zkladntext"/>
        <w:spacing w:before="1"/>
      </w:pPr>
    </w:p>
    <w:p w14:paraId="59D7F335" w14:textId="4AC0310E" w:rsidR="004422A3" w:rsidRPr="00751269" w:rsidRDefault="00CF7044" w:rsidP="007A58F5">
      <w:pPr>
        <w:pStyle w:val="Zkladntext"/>
        <w:spacing w:before="1"/>
        <w:rPr>
          <w:u w:val="single"/>
        </w:rPr>
      </w:pPr>
      <w:r w:rsidRPr="00751269">
        <w:rPr>
          <w:u w:val="single"/>
        </w:rPr>
        <w:t>Pomocn</w:t>
      </w:r>
      <w:r w:rsidR="00A71A59">
        <w:rPr>
          <w:u w:val="single"/>
        </w:rPr>
        <w:t>é</w:t>
      </w:r>
      <w:r w:rsidR="007A58F5">
        <w:rPr>
          <w:u w:val="single"/>
        </w:rPr>
        <w:t xml:space="preserve"> </w:t>
      </w:r>
      <w:r w:rsidRPr="00751269">
        <w:rPr>
          <w:u w:val="single"/>
        </w:rPr>
        <w:t>látk</w:t>
      </w:r>
      <w:r w:rsidR="00A71A59">
        <w:rPr>
          <w:u w:val="single"/>
        </w:rPr>
        <w:t>y</w:t>
      </w:r>
      <w:r w:rsidRPr="00751269">
        <w:rPr>
          <w:u w:val="single"/>
        </w:rPr>
        <w:t xml:space="preserve"> so známym účinkom:</w:t>
      </w:r>
    </w:p>
    <w:p w14:paraId="4C9A2B6B" w14:textId="77777777" w:rsidR="004422A3" w:rsidRDefault="008D79AF" w:rsidP="007A58F5">
      <w:pPr>
        <w:pStyle w:val="Zkladntext"/>
        <w:spacing w:before="1"/>
      </w:pPr>
      <w:r w:rsidRPr="008D79AF">
        <w:t xml:space="preserve">Každá 20 mg tableta obsahuje 313 mg laktózy a 3 mg monohydrátu laktózy. </w:t>
      </w:r>
    </w:p>
    <w:p w14:paraId="518088AD" w14:textId="77777777" w:rsidR="004422A3" w:rsidRPr="00751269" w:rsidRDefault="004422A3" w:rsidP="007A58F5">
      <w:pPr>
        <w:pStyle w:val="Zkladntext"/>
        <w:spacing w:before="1"/>
      </w:pPr>
    </w:p>
    <w:p w14:paraId="4B0848C3" w14:textId="77777777" w:rsidR="004422A3" w:rsidRDefault="00CF7044" w:rsidP="007A58F5">
      <w:pPr>
        <w:pStyle w:val="Zkladntext"/>
        <w:spacing w:before="1"/>
      </w:pPr>
      <w:r>
        <w:t>Úplný zoznam pomocných látok, pozri časť 6.1.</w:t>
      </w:r>
    </w:p>
    <w:p w14:paraId="17DC3A9B" w14:textId="77777777" w:rsidR="004422A3" w:rsidRPr="00751269" w:rsidRDefault="004422A3" w:rsidP="007A58F5">
      <w:pPr>
        <w:pStyle w:val="Zkladntext"/>
        <w:spacing w:before="1"/>
      </w:pPr>
    </w:p>
    <w:p w14:paraId="76C11702" w14:textId="77777777" w:rsidR="004422A3" w:rsidRDefault="004422A3" w:rsidP="007A58F5">
      <w:pPr>
        <w:pStyle w:val="Zkladntext"/>
        <w:spacing w:before="7"/>
        <w:rPr>
          <w:sz w:val="20"/>
        </w:rPr>
      </w:pPr>
    </w:p>
    <w:p w14:paraId="689CAB99" w14:textId="77777777" w:rsidR="004422A3" w:rsidRDefault="00CF7044" w:rsidP="007A58F5">
      <w:pPr>
        <w:pStyle w:val="Nadpis1"/>
        <w:numPr>
          <w:ilvl w:val="0"/>
          <w:numId w:val="9"/>
        </w:numPr>
        <w:tabs>
          <w:tab w:val="left" w:pos="882"/>
          <w:tab w:val="left" w:pos="884"/>
        </w:tabs>
        <w:ind w:left="0" w:firstLine="0"/>
      </w:pPr>
      <w:r>
        <w:t>LIEKOVÁ</w:t>
      </w:r>
      <w:r>
        <w:rPr>
          <w:spacing w:val="-4"/>
        </w:rPr>
        <w:t xml:space="preserve"> </w:t>
      </w:r>
      <w:r>
        <w:t>FORMA</w:t>
      </w:r>
    </w:p>
    <w:p w14:paraId="5D7000CB" w14:textId="77777777" w:rsidR="004422A3" w:rsidRDefault="004422A3" w:rsidP="007A58F5">
      <w:pPr>
        <w:pStyle w:val="Zkladntext"/>
        <w:spacing w:before="4"/>
        <w:rPr>
          <w:b/>
          <w:sz w:val="21"/>
        </w:rPr>
      </w:pPr>
    </w:p>
    <w:p w14:paraId="2CDB6163" w14:textId="1C2B71A2" w:rsidR="004422A3" w:rsidRDefault="00CF7044" w:rsidP="007A58F5">
      <w:pPr>
        <w:pStyle w:val="Zkladntext"/>
        <w:spacing w:before="1"/>
      </w:pPr>
      <w:r>
        <w:t>Filmom obalená tableta.</w:t>
      </w:r>
    </w:p>
    <w:p w14:paraId="7733CD2E" w14:textId="77777777" w:rsidR="004422A3" w:rsidRDefault="004422A3" w:rsidP="007A58F5">
      <w:pPr>
        <w:pStyle w:val="Zkladntext"/>
      </w:pPr>
    </w:p>
    <w:p w14:paraId="19536316" w14:textId="2B52E33D" w:rsidR="004422A3" w:rsidRDefault="00751269" w:rsidP="007A58F5">
      <w:pPr>
        <w:pStyle w:val="Zkladntext"/>
      </w:pPr>
      <w:bookmarkStart w:id="0" w:name="_Hlk518312694"/>
      <w:r w:rsidRPr="00751269">
        <w:rPr>
          <w:lang w:val="sk-SK"/>
        </w:rPr>
        <w:t>Žlt</w:t>
      </w:r>
      <w:r w:rsidR="00A71A59">
        <w:rPr>
          <w:lang w:val="sk-SK"/>
        </w:rPr>
        <w:t>osfarbená</w:t>
      </w:r>
      <w:r w:rsidRPr="00751269">
        <w:rPr>
          <w:lang w:val="sk-SK"/>
        </w:rPr>
        <w:t xml:space="preserve">, bikonvexná, filmom obalená tableta </w:t>
      </w:r>
      <w:r w:rsidR="00A71A59">
        <w:rPr>
          <w:lang w:val="sk-SK"/>
        </w:rPr>
        <w:t xml:space="preserve">v </w:t>
      </w:r>
      <w:r w:rsidRPr="00751269">
        <w:rPr>
          <w:lang w:val="sk-SK"/>
        </w:rPr>
        <w:t>tvar</w:t>
      </w:r>
      <w:r w:rsidR="00A71A59">
        <w:rPr>
          <w:lang w:val="sk-SK"/>
        </w:rPr>
        <w:t>e</w:t>
      </w:r>
      <w:r w:rsidRPr="00751269">
        <w:rPr>
          <w:lang w:val="sk-SK"/>
        </w:rPr>
        <w:t xml:space="preserve"> kaps</w:t>
      </w:r>
      <w:r w:rsidR="00A71A59">
        <w:rPr>
          <w:lang w:val="sk-SK"/>
        </w:rPr>
        <w:t>uly</w:t>
      </w:r>
      <w:r w:rsidRPr="00751269">
        <w:rPr>
          <w:lang w:val="sk-SK"/>
        </w:rPr>
        <w:t xml:space="preserve">, </w:t>
      </w:r>
      <w:r w:rsidR="00A71A59">
        <w:rPr>
          <w:lang w:val="sk-SK"/>
        </w:rPr>
        <w:t xml:space="preserve">s označením </w:t>
      </w:r>
      <w:r w:rsidR="00A71A59" w:rsidRPr="00751269">
        <w:rPr>
          <w:lang w:val="sk-SK"/>
        </w:rPr>
        <w:t xml:space="preserve">"T 20"  </w:t>
      </w:r>
      <w:r w:rsidRPr="00751269">
        <w:rPr>
          <w:lang w:val="sk-SK"/>
        </w:rPr>
        <w:t>na jednej strane a</w:t>
      </w:r>
      <w:r w:rsidR="00A71A59">
        <w:rPr>
          <w:lang w:val="sk-SK"/>
        </w:rPr>
        <w:t> bez označenia</w:t>
      </w:r>
      <w:r w:rsidRPr="00751269">
        <w:rPr>
          <w:lang w:val="sk-SK"/>
        </w:rPr>
        <w:t xml:space="preserve"> na druhej</w:t>
      </w:r>
      <w:r w:rsidR="00A71A59">
        <w:rPr>
          <w:lang w:val="sk-SK"/>
        </w:rPr>
        <w:t>,</w:t>
      </w:r>
      <w:r w:rsidRPr="00751269">
        <w:rPr>
          <w:lang w:val="sk-SK"/>
        </w:rPr>
        <w:t xml:space="preserve"> s </w:t>
      </w:r>
      <w:r w:rsidR="00A71A59">
        <w:rPr>
          <w:lang w:val="sk-SK"/>
        </w:rPr>
        <w:t>nominálnymi</w:t>
      </w:r>
      <w:r w:rsidR="00A71A59" w:rsidRPr="00751269">
        <w:rPr>
          <w:lang w:val="sk-SK"/>
        </w:rPr>
        <w:t xml:space="preserve"> </w:t>
      </w:r>
      <w:r w:rsidRPr="00751269">
        <w:rPr>
          <w:lang w:val="sk-SK"/>
        </w:rPr>
        <w:t>rozmermi 13,5 mm x 6,6 mm</w:t>
      </w:r>
      <w:r>
        <w:t>.</w:t>
      </w:r>
    </w:p>
    <w:bookmarkEnd w:id="0"/>
    <w:p w14:paraId="2F0D02C2" w14:textId="77777777" w:rsidR="004422A3" w:rsidRDefault="004422A3" w:rsidP="007A58F5">
      <w:pPr>
        <w:pStyle w:val="Zkladntext"/>
        <w:rPr>
          <w:sz w:val="24"/>
        </w:rPr>
      </w:pPr>
    </w:p>
    <w:p w14:paraId="212F960F" w14:textId="77777777" w:rsidR="004422A3" w:rsidRDefault="004422A3" w:rsidP="007A58F5">
      <w:pPr>
        <w:pStyle w:val="Zkladntext"/>
        <w:spacing w:before="4"/>
        <w:rPr>
          <w:sz w:val="20"/>
        </w:rPr>
      </w:pPr>
    </w:p>
    <w:p w14:paraId="399C7F29" w14:textId="77777777" w:rsidR="004422A3" w:rsidRDefault="00CF7044" w:rsidP="007A58F5">
      <w:pPr>
        <w:pStyle w:val="Nadpis1"/>
        <w:numPr>
          <w:ilvl w:val="0"/>
          <w:numId w:val="9"/>
        </w:numPr>
        <w:tabs>
          <w:tab w:val="left" w:pos="882"/>
          <w:tab w:val="left" w:pos="883"/>
        </w:tabs>
        <w:ind w:left="0" w:firstLine="0"/>
      </w:pPr>
      <w:r>
        <w:t>KLINICKÉ</w:t>
      </w:r>
      <w:r>
        <w:rPr>
          <w:spacing w:val="-2"/>
        </w:rPr>
        <w:t xml:space="preserve"> </w:t>
      </w:r>
      <w:r>
        <w:t>ÚDAJE</w:t>
      </w:r>
    </w:p>
    <w:p w14:paraId="43C72D33" w14:textId="77777777" w:rsidR="004422A3" w:rsidRDefault="004422A3" w:rsidP="007A58F5">
      <w:pPr>
        <w:pStyle w:val="Zkladntext"/>
        <w:rPr>
          <w:b/>
        </w:rPr>
      </w:pPr>
    </w:p>
    <w:p w14:paraId="4B1DC72E" w14:textId="77777777" w:rsidR="004422A3" w:rsidRDefault="00CF7044" w:rsidP="007A58F5">
      <w:pPr>
        <w:pStyle w:val="Odsekzoznamu"/>
        <w:numPr>
          <w:ilvl w:val="1"/>
          <w:numId w:val="9"/>
        </w:numPr>
        <w:tabs>
          <w:tab w:val="left" w:pos="882"/>
          <w:tab w:val="left" w:pos="883"/>
        </w:tabs>
        <w:ind w:left="0" w:firstLine="0"/>
        <w:rPr>
          <w:b/>
        </w:rPr>
      </w:pPr>
      <w:r>
        <w:rPr>
          <w:b/>
        </w:rPr>
        <w:t>Terapeutické</w:t>
      </w:r>
      <w:r>
        <w:rPr>
          <w:b/>
          <w:spacing w:val="-1"/>
        </w:rPr>
        <w:t xml:space="preserve"> </w:t>
      </w:r>
      <w:r>
        <w:rPr>
          <w:b/>
        </w:rPr>
        <w:t>indikácie</w:t>
      </w:r>
    </w:p>
    <w:p w14:paraId="506F1EC1" w14:textId="77777777" w:rsidR="004422A3" w:rsidRDefault="004422A3" w:rsidP="007A58F5">
      <w:pPr>
        <w:pStyle w:val="Zkladntext"/>
        <w:spacing w:before="7"/>
        <w:rPr>
          <w:b/>
          <w:sz w:val="21"/>
        </w:rPr>
      </w:pPr>
    </w:p>
    <w:p w14:paraId="51FBB34B" w14:textId="248AF0F1" w:rsidR="004422A3" w:rsidRDefault="00751269" w:rsidP="007A58F5">
      <w:pPr>
        <w:pStyle w:val="Zkladntext"/>
      </w:pPr>
      <w:r>
        <w:t>Tadalafil AOP</w:t>
      </w:r>
      <w:r w:rsidR="00CF7044">
        <w:t xml:space="preserve"> je indikovan</w:t>
      </w:r>
      <w:r w:rsidR="00A71A59">
        <w:t>ý dospelým</w:t>
      </w:r>
      <w:r w:rsidR="00CF7044">
        <w:t xml:space="preserve"> na liečbu pľúcnej art</w:t>
      </w:r>
      <w:r w:rsidR="00A71A59">
        <w:t>ériovej</w:t>
      </w:r>
      <w:r w:rsidR="00CF7044">
        <w:t xml:space="preserve"> hypertenzie (PAH) tried</w:t>
      </w:r>
      <w:r w:rsidR="00A71A59">
        <w:t>y</w:t>
      </w:r>
      <w:r w:rsidR="00CF7044">
        <w:t xml:space="preserve"> II a III podľa </w:t>
      </w:r>
      <w:r w:rsidR="00A71A59">
        <w:t xml:space="preserve">funkčnej klasifikácie </w:t>
      </w:r>
      <w:r w:rsidR="00CF7044">
        <w:t>WHO na zlepšenie záťažovej kapacity (pozri časť 5.1).</w:t>
      </w:r>
    </w:p>
    <w:p w14:paraId="401A34A4" w14:textId="77777777" w:rsidR="00A71A59" w:rsidRDefault="00A71A59" w:rsidP="007A58F5">
      <w:pPr>
        <w:pStyle w:val="Zkladntext"/>
      </w:pPr>
    </w:p>
    <w:p w14:paraId="48623CBD" w14:textId="77777777" w:rsidR="004422A3" w:rsidRDefault="00CF7044" w:rsidP="007A58F5">
      <w:pPr>
        <w:pStyle w:val="Zkladntext"/>
        <w:spacing w:before="1"/>
      </w:pPr>
      <w:r>
        <w:t>Účinnosť sa preukázala pri idiopatickej PAH (IPAH) a u PAH v súvislosti so systémovou vaskulárnou kolagenózou.</w:t>
      </w:r>
    </w:p>
    <w:p w14:paraId="7BC0EB3C" w14:textId="77777777" w:rsidR="004422A3" w:rsidRDefault="004422A3" w:rsidP="007A58F5">
      <w:pPr>
        <w:pStyle w:val="Zkladntext"/>
        <w:spacing w:before="4"/>
      </w:pPr>
    </w:p>
    <w:p w14:paraId="330D4F10" w14:textId="77777777" w:rsidR="004422A3" w:rsidRDefault="00CF7044" w:rsidP="007A58F5">
      <w:pPr>
        <w:pStyle w:val="Nadpis1"/>
        <w:numPr>
          <w:ilvl w:val="1"/>
          <w:numId w:val="9"/>
        </w:numPr>
        <w:tabs>
          <w:tab w:val="left" w:pos="882"/>
          <w:tab w:val="left" w:pos="884"/>
        </w:tabs>
        <w:ind w:left="0" w:firstLine="0"/>
      </w:pPr>
      <w:r>
        <w:t>Dávkovanie a spôsob</w:t>
      </w:r>
      <w:r>
        <w:rPr>
          <w:spacing w:val="-4"/>
        </w:rPr>
        <w:t xml:space="preserve"> </w:t>
      </w:r>
      <w:r>
        <w:t>podávania</w:t>
      </w:r>
    </w:p>
    <w:p w14:paraId="209EF2CE" w14:textId="77777777" w:rsidR="00751269" w:rsidRDefault="00751269" w:rsidP="007A58F5">
      <w:pPr>
        <w:pStyle w:val="Zkladntext"/>
        <w:rPr>
          <w:lang w:val="sk-SK"/>
        </w:rPr>
      </w:pPr>
    </w:p>
    <w:p w14:paraId="0CD58216" w14:textId="1257D5B7" w:rsidR="00751269" w:rsidRPr="00751269" w:rsidRDefault="00CF7044" w:rsidP="007A58F5">
      <w:pPr>
        <w:pStyle w:val="Zkladntext"/>
        <w:rPr>
          <w:lang w:val="sk-SK"/>
        </w:rPr>
      </w:pPr>
      <w:r w:rsidRPr="00751269">
        <w:rPr>
          <w:lang w:val="sk-SK"/>
        </w:rPr>
        <w:t>Liečbu má začať a sledovať leká</w:t>
      </w:r>
      <w:r w:rsidR="00751269" w:rsidRPr="00751269">
        <w:rPr>
          <w:lang w:val="sk-SK"/>
        </w:rPr>
        <w:t xml:space="preserve">r so skúsenosťami </w:t>
      </w:r>
      <w:r w:rsidR="00A71A59">
        <w:rPr>
          <w:lang w:val="sk-SK"/>
        </w:rPr>
        <w:t>s</w:t>
      </w:r>
      <w:r w:rsidR="00751269" w:rsidRPr="00751269">
        <w:rPr>
          <w:lang w:val="sk-SK"/>
        </w:rPr>
        <w:t xml:space="preserve"> liečb</w:t>
      </w:r>
      <w:r w:rsidR="00A71A59">
        <w:rPr>
          <w:lang w:val="sk-SK"/>
        </w:rPr>
        <w:t>ou</w:t>
      </w:r>
      <w:r w:rsidR="00751269" w:rsidRPr="00751269">
        <w:rPr>
          <w:lang w:val="sk-SK"/>
        </w:rPr>
        <w:t xml:space="preserve"> PAH.</w:t>
      </w:r>
    </w:p>
    <w:p w14:paraId="75EC30C6" w14:textId="77777777" w:rsidR="00751269" w:rsidRDefault="00751269" w:rsidP="007A58F5">
      <w:pPr>
        <w:pStyle w:val="Zkladntext"/>
        <w:rPr>
          <w:lang w:val="sk-SK"/>
        </w:rPr>
      </w:pPr>
    </w:p>
    <w:p w14:paraId="01181146" w14:textId="77777777" w:rsidR="004422A3" w:rsidRPr="00751269" w:rsidRDefault="00CF7044" w:rsidP="007A58F5">
      <w:pPr>
        <w:pStyle w:val="Zkladntext"/>
        <w:rPr>
          <w:u w:val="single"/>
          <w:lang w:val="sk-SK"/>
        </w:rPr>
      </w:pPr>
      <w:r w:rsidRPr="00751269">
        <w:rPr>
          <w:u w:val="single"/>
          <w:lang w:val="sk-SK"/>
        </w:rPr>
        <w:t>Dávkovanie</w:t>
      </w:r>
    </w:p>
    <w:p w14:paraId="135B48EE" w14:textId="77777777" w:rsidR="004422A3" w:rsidRPr="00751269" w:rsidRDefault="00CF7044" w:rsidP="007A58F5">
      <w:pPr>
        <w:pStyle w:val="Zkladntext"/>
        <w:rPr>
          <w:lang w:val="sk-SK"/>
        </w:rPr>
      </w:pPr>
      <w:r w:rsidRPr="00751269">
        <w:rPr>
          <w:lang w:val="sk-SK"/>
        </w:rPr>
        <w:t>Odporúčaná dávka je 40 mg (2 x 20 mg) užívaná jedenkrát denne s jedlom alebo bez jedla.</w:t>
      </w:r>
    </w:p>
    <w:p w14:paraId="3009832B" w14:textId="77777777" w:rsidR="004422A3" w:rsidRDefault="004422A3" w:rsidP="007A58F5">
      <w:pPr>
        <w:pStyle w:val="Zkladntext"/>
        <w:spacing w:before="1"/>
      </w:pPr>
    </w:p>
    <w:p w14:paraId="77F9CA25" w14:textId="77777777" w:rsidR="004422A3" w:rsidRDefault="00CF7044" w:rsidP="007A58F5">
      <w:pPr>
        <w:spacing w:line="252" w:lineRule="exact"/>
        <w:rPr>
          <w:i/>
        </w:rPr>
      </w:pPr>
      <w:r>
        <w:rPr>
          <w:i/>
        </w:rPr>
        <w:t>Starší pacienti</w:t>
      </w:r>
    </w:p>
    <w:p w14:paraId="44CCD481" w14:textId="77777777" w:rsidR="004422A3" w:rsidRDefault="00CF7044" w:rsidP="007A58F5">
      <w:pPr>
        <w:pStyle w:val="Zkladntext"/>
        <w:spacing w:line="252" w:lineRule="exact"/>
      </w:pPr>
      <w:r>
        <w:t>U starších pacientov nie je potrebné upravovať dávku.</w:t>
      </w:r>
    </w:p>
    <w:p w14:paraId="0101400B" w14:textId="77777777" w:rsidR="004422A3" w:rsidRDefault="004422A3" w:rsidP="007A58F5">
      <w:pPr>
        <w:pStyle w:val="Zkladntext"/>
      </w:pPr>
    </w:p>
    <w:p w14:paraId="28029E0B" w14:textId="77777777" w:rsidR="004422A3" w:rsidRDefault="00CF7044" w:rsidP="007A58F5">
      <w:pPr>
        <w:rPr>
          <w:i/>
        </w:rPr>
      </w:pPr>
      <w:r>
        <w:rPr>
          <w:i/>
        </w:rPr>
        <w:t>Pacienti s poruchou funkcie obličiek</w:t>
      </w:r>
    </w:p>
    <w:p w14:paraId="0775E0BF" w14:textId="77777777" w:rsidR="004422A3" w:rsidRDefault="00CF7044" w:rsidP="007A58F5">
      <w:pPr>
        <w:pStyle w:val="Zkladntext"/>
        <w:spacing w:before="1"/>
      </w:pPr>
      <w:r>
        <w:t>U pacientov s miernou až stredne závažnou poruchou funkcie obličiek sa odporúča úvodná dávka 20 mg jedenkrát denne. Dávka sa môže zvýšiť na 40 mg jedenkrát denne na základe individuálnej</w:t>
      </w:r>
    </w:p>
    <w:p w14:paraId="503BA8B6" w14:textId="77777777" w:rsidR="004422A3" w:rsidRDefault="00CF7044" w:rsidP="007A58F5">
      <w:pPr>
        <w:pStyle w:val="Zkladntext"/>
        <w:spacing w:line="242" w:lineRule="auto"/>
      </w:pPr>
      <w:r>
        <w:t>účinnosti a znášanlivosti. U pacientov so závažnou poruchou funkcie obličiek sa používanie tadalafilu neodporúča (pozri časti 4.4 a 5.2).</w:t>
      </w:r>
    </w:p>
    <w:p w14:paraId="1BC41B7C" w14:textId="77777777" w:rsidR="004422A3" w:rsidRDefault="004422A3" w:rsidP="007A58F5">
      <w:pPr>
        <w:pStyle w:val="Zkladntext"/>
        <w:spacing w:before="6"/>
        <w:rPr>
          <w:sz w:val="21"/>
        </w:rPr>
      </w:pPr>
    </w:p>
    <w:p w14:paraId="4D5F193F" w14:textId="77777777" w:rsidR="004422A3" w:rsidRDefault="00CF7044" w:rsidP="007A58F5">
      <w:pPr>
        <w:spacing w:before="1" w:line="252" w:lineRule="exact"/>
        <w:rPr>
          <w:i/>
        </w:rPr>
      </w:pPr>
      <w:r>
        <w:rPr>
          <w:i/>
        </w:rPr>
        <w:t>Pacienti s poruchou funkcie pečene</w:t>
      </w:r>
    </w:p>
    <w:p w14:paraId="54585E60" w14:textId="77777777" w:rsidR="004422A3" w:rsidRDefault="00CF7044" w:rsidP="007A58F5">
      <w:pPr>
        <w:pStyle w:val="Zkladntext"/>
      </w:pPr>
      <w:r>
        <w:t xml:space="preserve">Vzhľadom na obmedzené klinické skúsenosti u pacientov s miernou až stredne závažnou cirhózou pečene (trieda A a B </w:t>
      </w:r>
      <w:r w:rsidR="00A71A59">
        <w:t xml:space="preserve">podľa </w:t>
      </w:r>
      <w:r>
        <w:t xml:space="preserve">Childovej-Pughovej klasifikácie) sa po jednorazových dávkach 10 mg môže zvážiť úvodná dávka 20 mg jedenkrát denne. V prípade predpísania tadalafilu má predpisujúci </w:t>
      </w:r>
      <w:r>
        <w:lastRenderedPageBreak/>
        <w:t xml:space="preserve">lekár dôsledne zvážiť individuálny pomer prínosu a rizika. Pacienti so závažnou cirhózou pečene (trieda C </w:t>
      </w:r>
      <w:r w:rsidR="00A71A59">
        <w:t xml:space="preserve">podľa </w:t>
      </w:r>
      <w:r>
        <w:t>Childovej-Pughovej klasifikácie) sa neskúmali</w:t>
      </w:r>
      <w:r w:rsidR="00A71A59">
        <w:t>,</w:t>
      </w:r>
      <w:r>
        <w:t xml:space="preserve"> a preto sa im podávanie tadalafilu neodporúča (pozri časti 4.4 a 5.2).</w:t>
      </w:r>
    </w:p>
    <w:p w14:paraId="5D297692" w14:textId="77777777" w:rsidR="00CF7044" w:rsidRDefault="00CF7044" w:rsidP="007A58F5">
      <w:pPr>
        <w:spacing w:before="66"/>
        <w:rPr>
          <w:i/>
        </w:rPr>
      </w:pPr>
    </w:p>
    <w:p w14:paraId="1AB695E2" w14:textId="77777777" w:rsidR="004422A3" w:rsidRDefault="00CF7044" w:rsidP="007A58F5">
      <w:pPr>
        <w:spacing w:before="66"/>
        <w:rPr>
          <w:i/>
        </w:rPr>
      </w:pPr>
      <w:r>
        <w:rPr>
          <w:i/>
        </w:rPr>
        <w:t>Pediatrická populácia</w:t>
      </w:r>
    </w:p>
    <w:p w14:paraId="69A0C695" w14:textId="16A49F0B" w:rsidR="004422A3" w:rsidRDefault="00CF7044" w:rsidP="007A58F5">
      <w:pPr>
        <w:pStyle w:val="Zkladntext"/>
        <w:spacing w:before="1"/>
      </w:pPr>
      <w:r>
        <w:t xml:space="preserve">Bezpečnosť a účinnosť </w:t>
      </w:r>
      <w:r w:rsidR="00751269">
        <w:t>Tadalafil</w:t>
      </w:r>
      <w:r w:rsidR="00A71A59">
        <w:t>u</w:t>
      </w:r>
      <w:r w:rsidR="00751269">
        <w:t xml:space="preserve"> AOP</w:t>
      </w:r>
      <w:r>
        <w:t xml:space="preserve"> </w:t>
      </w:r>
      <w:r w:rsidR="00A71A59">
        <w:t>v</w:t>
      </w:r>
      <w:r>
        <w:t xml:space="preserve"> pediatrickej populáci</w:t>
      </w:r>
      <w:r w:rsidR="00A71A59">
        <w:t>i</w:t>
      </w:r>
      <w:r>
        <w:t xml:space="preserve"> neboli doteraz stanovené. V súčasnosti dostupné údaje sú k dispozícii v časti 5.1.</w:t>
      </w:r>
    </w:p>
    <w:p w14:paraId="57EF26E8" w14:textId="77777777" w:rsidR="004422A3" w:rsidRDefault="004422A3" w:rsidP="007A58F5">
      <w:pPr>
        <w:pStyle w:val="Zkladntext"/>
        <w:spacing w:before="11"/>
        <w:rPr>
          <w:sz w:val="21"/>
        </w:rPr>
      </w:pPr>
    </w:p>
    <w:p w14:paraId="0CB477E3" w14:textId="77777777" w:rsidR="004422A3" w:rsidRDefault="00CF7044" w:rsidP="007A58F5">
      <w:pPr>
        <w:pStyle w:val="Zkladntext"/>
      </w:pPr>
      <w:r>
        <w:rPr>
          <w:u w:val="single"/>
        </w:rPr>
        <w:t>Spôsob podávania</w:t>
      </w:r>
    </w:p>
    <w:p w14:paraId="0267FEA2" w14:textId="77777777" w:rsidR="004422A3" w:rsidRDefault="00751269" w:rsidP="007A58F5">
      <w:pPr>
        <w:pStyle w:val="Zkladntext"/>
        <w:spacing w:before="1"/>
      </w:pPr>
      <w:r>
        <w:t>Tadalafil AOP</w:t>
      </w:r>
      <w:r w:rsidR="00CF7044">
        <w:t xml:space="preserve"> je na perorálne použitie.</w:t>
      </w:r>
    </w:p>
    <w:p w14:paraId="6AA0450C" w14:textId="77777777" w:rsidR="004422A3" w:rsidRDefault="004422A3" w:rsidP="007A58F5">
      <w:pPr>
        <w:pStyle w:val="Zkladntext"/>
        <w:spacing w:before="3"/>
      </w:pPr>
    </w:p>
    <w:p w14:paraId="2185C00B" w14:textId="77777777" w:rsidR="004422A3" w:rsidRDefault="00CF7044" w:rsidP="007A58F5">
      <w:pPr>
        <w:pStyle w:val="Nadpis1"/>
        <w:numPr>
          <w:ilvl w:val="1"/>
          <w:numId w:val="9"/>
        </w:numPr>
        <w:tabs>
          <w:tab w:val="left" w:pos="882"/>
          <w:tab w:val="left" w:pos="883"/>
        </w:tabs>
        <w:ind w:left="0" w:firstLine="0"/>
      </w:pPr>
      <w:r>
        <w:t>Kontraindikácie</w:t>
      </w:r>
    </w:p>
    <w:p w14:paraId="232538F2" w14:textId="77777777" w:rsidR="004422A3" w:rsidRDefault="004422A3" w:rsidP="007A58F5">
      <w:pPr>
        <w:pStyle w:val="Zkladntext"/>
        <w:spacing w:before="7"/>
        <w:rPr>
          <w:b/>
          <w:sz w:val="21"/>
        </w:rPr>
      </w:pPr>
    </w:p>
    <w:p w14:paraId="6606524F" w14:textId="77777777" w:rsidR="00A71A59" w:rsidRDefault="00CF7044" w:rsidP="007A58F5">
      <w:pPr>
        <w:pStyle w:val="Zkladntext"/>
        <w:spacing w:line="480" w:lineRule="auto"/>
      </w:pPr>
      <w:r>
        <w:t xml:space="preserve">Precitlivenosť na liečivo alebo na ktorúkoľvek z pomocných látok uvedených v časti 6.1. </w:t>
      </w:r>
    </w:p>
    <w:p w14:paraId="1B909BF5" w14:textId="77777777" w:rsidR="004422A3" w:rsidRDefault="00CF7044" w:rsidP="007A58F5">
      <w:pPr>
        <w:pStyle w:val="Zkladntext"/>
        <w:spacing w:line="480" w:lineRule="auto"/>
      </w:pPr>
      <w:r>
        <w:t>Akútny infarkt myokardu v priebehu posledných 90 dní.</w:t>
      </w:r>
    </w:p>
    <w:p w14:paraId="15BBD821" w14:textId="77777777" w:rsidR="004422A3" w:rsidRDefault="00CF7044" w:rsidP="007A58F5">
      <w:pPr>
        <w:pStyle w:val="Zkladntext"/>
        <w:spacing w:before="1"/>
      </w:pPr>
      <w:r>
        <w:t>Závažná hypotenzia (&lt; 90/50 mm Hg).</w:t>
      </w:r>
    </w:p>
    <w:p w14:paraId="625F2076" w14:textId="77777777" w:rsidR="004422A3" w:rsidRDefault="004422A3" w:rsidP="007A58F5">
      <w:pPr>
        <w:pStyle w:val="Zkladntext"/>
        <w:spacing w:before="5"/>
      </w:pPr>
    </w:p>
    <w:p w14:paraId="766D2ABA" w14:textId="0470E5A3" w:rsidR="004422A3" w:rsidRPr="008D79AF" w:rsidRDefault="00CF7044" w:rsidP="007A58F5">
      <w:pPr>
        <w:pStyle w:val="Odsekzoznamu"/>
        <w:widowControl/>
        <w:autoSpaceDE/>
        <w:autoSpaceDN/>
        <w:spacing w:after="5" w:line="249" w:lineRule="auto"/>
        <w:ind w:left="720" w:right="6" w:hanging="360"/>
        <w:contextualSpacing/>
        <w:rPr>
          <w:color w:val="000000"/>
          <w:lang w:eastAsia="de-AT"/>
        </w:rPr>
      </w:pPr>
      <w:r>
        <w:rPr>
          <w:rFonts w:ascii="Calibri" w:hAnsi="Calibri"/>
        </w:rPr>
        <w:t>-</w:t>
      </w:r>
      <w:r>
        <w:rPr>
          <w:rFonts w:ascii="Calibri" w:hAnsi="Calibri"/>
        </w:rPr>
        <w:tab/>
      </w:r>
      <w:r w:rsidRPr="008D79AF">
        <w:rPr>
          <w:color w:val="000000"/>
          <w:lang w:eastAsia="de-AT"/>
        </w:rPr>
        <w:t xml:space="preserve">V klinických štúdiách sa zistilo, že tadalafil zosilňuje hypotenzívne účinky nitrátov. </w:t>
      </w:r>
      <w:r w:rsidR="00A71A59">
        <w:rPr>
          <w:color w:val="000000"/>
          <w:lang w:eastAsia="de-AT"/>
        </w:rPr>
        <w:t>Vyplýva to p</w:t>
      </w:r>
      <w:r w:rsidRPr="008D79AF">
        <w:rPr>
          <w:color w:val="000000"/>
          <w:lang w:eastAsia="de-AT"/>
        </w:rPr>
        <w:t>ravdepodobne  z kombinovaných účinkov nitrátov a tadalafilu na metabolickú dráhu oxid dusnatý/cGMP. Z toho dôvodu je kontraindikované podávanie tadalafilu pacientom užívajúcim organické nitráty v akejkoľvek forme (pozri časť 4.5).</w:t>
      </w:r>
    </w:p>
    <w:p w14:paraId="550D15EF" w14:textId="77777777" w:rsidR="004422A3" w:rsidRDefault="004422A3" w:rsidP="007A58F5">
      <w:pPr>
        <w:pStyle w:val="Zkladntext"/>
        <w:spacing w:before="2"/>
      </w:pPr>
    </w:p>
    <w:p w14:paraId="720F4F1B" w14:textId="7A2660E6" w:rsidR="004422A3" w:rsidRDefault="00CF7044" w:rsidP="007A58F5">
      <w:pPr>
        <w:pStyle w:val="Zkladntext"/>
      </w:pPr>
      <w:r>
        <w:t xml:space="preserve">Súbežné podanie </w:t>
      </w:r>
      <w:r w:rsidR="00A71A59">
        <w:t xml:space="preserve">inhibítorov </w:t>
      </w:r>
      <w:r>
        <w:t xml:space="preserve">PDE5, vrátane tadalafilu, so </w:t>
      </w:r>
      <w:r w:rsidRPr="004428BA">
        <w:t>stimulátormi</w:t>
      </w:r>
      <w:r>
        <w:t xml:space="preserve"> guanylátcyklázy, akým je napr. riociguát, je kontraindikované, pretože môže viesť k symptomatickej hypotenzii (pozri časť 4.5).</w:t>
      </w:r>
    </w:p>
    <w:p w14:paraId="505AC47B" w14:textId="77777777" w:rsidR="004422A3" w:rsidRDefault="004422A3" w:rsidP="007A58F5">
      <w:pPr>
        <w:pStyle w:val="Zkladntext"/>
        <w:spacing w:before="2"/>
      </w:pPr>
    </w:p>
    <w:p w14:paraId="45307E52" w14:textId="77777777" w:rsidR="004422A3" w:rsidRDefault="00CF7044" w:rsidP="007A58F5">
      <w:pPr>
        <w:pStyle w:val="Zkladntext"/>
      </w:pPr>
      <w:r>
        <w:t>Pacienti, ktorí stratili zrak v jednom oku v dôsledku nearteritickej prednej ischemickej neuropatie zrakového nervu (non-arteritic anterior ischaemic optic neuropathy, NAION) bez ohľadu na to, či táto príhoda súvisela alebo nesúvisela s predchádzajúcou expozíciou inhibítoru PDE5 (pozri časť 4.4).</w:t>
      </w:r>
    </w:p>
    <w:p w14:paraId="706AEF3F" w14:textId="77777777" w:rsidR="004422A3" w:rsidRDefault="004422A3" w:rsidP="007A58F5">
      <w:pPr>
        <w:pStyle w:val="Zkladntext"/>
        <w:spacing w:before="3"/>
      </w:pPr>
    </w:p>
    <w:p w14:paraId="51692D76" w14:textId="77777777" w:rsidR="004422A3" w:rsidRDefault="00CF7044" w:rsidP="007A58F5">
      <w:pPr>
        <w:pStyle w:val="Nadpis1"/>
        <w:numPr>
          <w:ilvl w:val="1"/>
          <w:numId w:val="9"/>
        </w:numPr>
        <w:tabs>
          <w:tab w:val="left" w:pos="882"/>
          <w:tab w:val="left" w:pos="883"/>
        </w:tabs>
        <w:ind w:left="0" w:firstLine="0"/>
      </w:pPr>
      <w:r>
        <w:t>Osobitné upozornenia a opatrenia pri používaní</w:t>
      </w:r>
    </w:p>
    <w:p w14:paraId="4B01DF29" w14:textId="77777777" w:rsidR="004422A3" w:rsidRDefault="004422A3" w:rsidP="007A58F5">
      <w:pPr>
        <w:pStyle w:val="Zkladntext"/>
        <w:spacing w:before="8"/>
        <w:rPr>
          <w:b/>
          <w:sz w:val="21"/>
        </w:rPr>
      </w:pPr>
    </w:p>
    <w:p w14:paraId="21DAF2D3" w14:textId="77777777" w:rsidR="004422A3" w:rsidRDefault="00CF7044" w:rsidP="007A58F5">
      <w:pPr>
        <w:pStyle w:val="Zkladntext"/>
        <w:spacing w:line="252" w:lineRule="exact"/>
      </w:pPr>
      <w:r>
        <w:rPr>
          <w:u w:val="single"/>
        </w:rPr>
        <w:t>Kardiovaskulárne</w:t>
      </w:r>
    </w:p>
    <w:p w14:paraId="5998653D" w14:textId="4A26BD87" w:rsidR="004422A3" w:rsidRDefault="00CF7044" w:rsidP="007A58F5">
      <w:pPr>
        <w:pStyle w:val="Zkladntext"/>
      </w:pPr>
      <w:r>
        <w:t>Do klinických štúdií s PAH neboli zaradené nasledujúce skupiny pacientov s kardiovaskulárnym ochorením:</w:t>
      </w:r>
    </w:p>
    <w:p w14:paraId="4670CBEC" w14:textId="77777777" w:rsidR="004422A3" w:rsidRPr="008D79AF" w:rsidRDefault="00CF7044" w:rsidP="007A58F5">
      <w:pPr>
        <w:pStyle w:val="Odsekzoznamu"/>
        <w:widowControl/>
        <w:numPr>
          <w:ilvl w:val="0"/>
          <w:numId w:val="8"/>
        </w:numPr>
        <w:autoSpaceDE/>
        <w:autoSpaceDN/>
        <w:spacing w:after="5" w:line="249" w:lineRule="auto"/>
        <w:ind w:left="567" w:right="6" w:hanging="283"/>
        <w:contextualSpacing/>
        <w:rPr>
          <w:color w:val="000000"/>
          <w:lang w:eastAsia="de-AT"/>
        </w:rPr>
      </w:pPr>
      <w:r w:rsidRPr="008D79AF">
        <w:rPr>
          <w:color w:val="000000"/>
          <w:lang w:eastAsia="de-AT"/>
        </w:rPr>
        <w:t>pacienti s klinicky významným ochorením aortálnej a mitrálnej chlopne</w:t>
      </w:r>
    </w:p>
    <w:p w14:paraId="704BF2C0" w14:textId="2D604AB9" w:rsidR="004422A3" w:rsidRPr="00751269" w:rsidRDefault="00CF7044" w:rsidP="007A58F5">
      <w:pPr>
        <w:pStyle w:val="Odsekzoznamu"/>
        <w:widowControl/>
        <w:numPr>
          <w:ilvl w:val="0"/>
          <w:numId w:val="8"/>
        </w:numPr>
        <w:autoSpaceDE/>
        <w:autoSpaceDN/>
        <w:spacing w:after="5" w:line="249" w:lineRule="auto"/>
        <w:ind w:left="567" w:right="6" w:hanging="283"/>
        <w:contextualSpacing/>
        <w:rPr>
          <w:color w:val="000000"/>
          <w:lang w:val="en-US" w:eastAsia="de-AT"/>
        </w:rPr>
      </w:pPr>
      <w:r w:rsidRPr="00751269">
        <w:rPr>
          <w:color w:val="000000"/>
          <w:lang w:val="en-US" w:eastAsia="de-AT"/>
        </w:rPr>
        <w:t>pacienti s perikard</w:t>
      </w:r>
      <w:r w:rsidR="005F0BBE">
        <w:rPr>
          <w:color w:val="000000"/>
          <w:lang w:val="en-US" w:eastAsia="de-AT"/>
        </w:rPr>
        <w:t>iálnou</w:t>
      </w:r>
      <w:r w:rsidRPr="00751269">
        <w:rPr>
          <w:color w:val="000000"/>
          <w:lang w:val="en-US" w:eastAsia="de-AT"/>
        </w:rPr>
        <w:t xml:space="preserve"> konstrikciou</w:t>
      </w:r>
    </w:p>
    <w:p w14:paraId="2CAC9DAC" w14:textId="621F55B9" w:rsidR="004422A3" w:rsidRPr="00751269" w:rsidRDefault="00CF7044" w:rsidP="007A58F5">
      <w:pPr>
        <w:pStyle w:val="Odsekzoznamu"/>
        <w:widowControl/>
        <w:numPr>
          <w:ilvl w:val="0"/>
          <w:numId w:val="8"/>
        </w:numPr>
        <w:autoSpaceDE/>
        <w:autoSpaceDN/>
        <w:spacing w:after="5" w:line="249" w:lineRule="auto"/>
        <w:ind w:left="567" w:right="6" w:hanging="283"/>
        <w:contextualSpacing/>
        <w:rPr>
          <w:color w:val="000000"/>
          <w:lang w:val="en-US" w:eastAsia="de-AT"/>
        </w:rPr>
      </w:pPr>
      <w:r w:rsidRPr="00751269">
        <w:rPr>
          <w:color w:val="000000"/>
          <w:lang w:val="en-US" w:eastAsia="de-AT"/>
        </w:rPr>
        <w:t xml:space="preserve">pacienti s </w:t>
      </w:r>
      <w:r w:rsidR="005F0BBE">
        <w:rPr>
          <w:color w:val="000000"/>
          <w:lang w:val="en-US" w:eastAsia="de-AT"/>
        </w:rPr>
        <w:t>reštrikčnou</w:t>
      </w:r>
      <w:r w:rsidR="005F0BBE" w:rsidRPr="00751269">
        <w:rPr>
          <w:color w:val="000000"/>
          <w:lang w:val="en-US" w:eastAsia="de-AT"/>
        </w:rPr>
        <w:t xml:space="preserve"> </w:t>
      </w:r>
      <w:r w:rsidRPr="00751269">
        <w:rPr>
          <w:color w:val="000000"/>
          <w:lang w:val="en-US" w:eastAsia="de-AT"/>
        </w:rPr>
        <w:t>alebo kongestívnou kardiomyopatiou</w:t>
      </w:r>
    </w:p>
    <w:p w14:paraId="752994F1" w14:textId="67289516" w:rsidR="004422A3" w:rsidRPr="00751269" w:rsidRDefault="00CF7044" w:rsidP="007A58F5">
      <w:pPr>
        <w:pStyle w:val="Odsekzoznamu"/>
        <w:widowControl/>
        <w:numPr>
          <w:ilvl w:val="0"/>
          <w:numId w:val="8"/>
        </w:numPr>
        <w:autoSpaceDE/>
        <w:autoSpaceDN/>
        <w:spacing w:after="5" w:line="249" w:lineRule="auto"/>
        <w:ind w:left="567" w:right="6" w:hanging="283"/>
        <w:contextualSpacing/>
        <w:rPr>
          <w:color w:val="000000"/>
          <w:lang w:val="en-US" w:eastAsia="de-AT"/>
        </w:rPr>
      </w:pPr>
      <w:r w:rsidRPr="00751269">
        <w:rPr>
          <w:color w:val="000000"/>
          <w:lang w:val="en-US" w:eastAsia="de-AT"/>
        </w:rPr>
        <w:t xml:space="preserve">pacienti s významnou </w:t>
      </w:r>
      <w:r w:rsidR="005F0BBE">
        <w:rPr>
          <w:color w:val="000000"/>
          <w:lang w:val="en-US" w:eastAsia="de-AT"/>
        </w:rPr>
        <w:t>poruchou funkcie</w:t>
      </w:r>
      <w:r w:rsidR="005F0BBE" w:rsidRPr="00751269">
        <w:rPr>
          <w:color w:val="000000"/>
          <w:lang w:val="en-US" w:eastAsia="de-AT"/>
        </w:rPr>
        <w:t xml:space="preserve"> </w:t>
      </w:r>
      <w:r w:rsidRPr="00751269">
        <w:rPr>
          <w:color w:val="000000"/>
          <w:lang w:val="en-US" w:eastAsia="de-AT"/>
        </w:rPr>
        <w:t>ľavej komory</w:t>
      </w:r>
    </w:p>
    <w:p w14:paraId="5743CA00" w14:textId="77777777" w:rsidR="004422A3" w:rsidRPr="00751269" w:rsidRDefault="00CF7044" w:rsidP="007A58F5">
      <w:pPr>
        <w:pStyle w:val="Odsekzoznamu"/>
        <w:widowControl/>
        <w:numPr>
          <w:ilvl w:val="0"/>
          <w:numId w:val="8"/>
        </w:numPr>
        <w:autoSpaceDE/>
        <w:autoSpaceDN/>
        <w:spacing w:after="5" w:line="249" w:lineRule="auto"/>
        <w:ind w:left="567" w:right="6" w:hanging="283"/>
        <w:contextualSpacing/>
        <w:rPr>
          <w:color w:val="000000"/>
          <w:lang w:val="en-US" w:eastAsia="de-AT"/>
        </w:rPr>
      </w:pPr>
      <w:r w:rsidRPr="00751269">
        <w:rPr>
          <w:color w:val="000000"/>
          <w:lang w:val="en-US" w:eastAsia="de-AT"/>
        </w:rPr>
        <w:t>pacienti so život ohrozujúcimi arytmiami</w:t>
      </w:r>
    </w:p>
    <w:p w14:paraId="5EA943EE" w14:textId="77777777" w:rsidR="004422A3" w:rsidRPr="00751269" w:rsidRDefault="00CF7044" w:rsidP="007A58F5">
      <w:pPr>
        <w:pStyle w:val="Odsekzoznamu"/>
        <w:widowControl/>
        <w:numPr>
          <w:ilvl w:val="0"/>
          <w:numId w:val="8"/>
        </w:numPr>
        <w:autoSpaceDE/>
        <w:autoSpaceDN/>
        <w:spacing w:after="5" w:line="249" w:lineRule="auto"/>
        <w:ind w:left="567" w:right="6" w:hanging="283"/>
        <w:contextualSpacing/>
        <w:rPr>
          <w:color w:val="000000"/>
          <w:lang w:val="en-US" w:eastAsia="de-AT"/>
        </w:rPr>
      </w:pPr>
      <w:r w:rsidRPr="00751269">
        <w:rPr>
          <w:color w:val="000000"/>
          <w:lang w:val="en-US" w:eastAsia="de-AT"/>
        </w:rPr>
        <w:t>pacienti so symptomatickým ochorením koronárnych artérií</w:t>
      </w:r>
    </w:p>
    <w:p w14:paraId="1E9FEAD0" w14:textId="1AEC6900" w:rsidR="004422A3" w:rsidRPr="00751269" w:rsidRDefault="00CF7044" w:rsidP="007A58F5">
      <w:pPr>
        <w:pStyle w:val="Odsekzoznamu"/>
        <w:widowControl/>
        <w:numPr>
          <w:ilvl w:val="0"/>
          <w:numId w:val="8"/>
        </w:numPr>
        <w:autoSpaceDE/>
        <w:autoSpaceDN/>
        <w:spacing w:after="5" w:line="249" w:lineRule="auto"/>
        <w:ind w:left="567" w:right="6" w:hanging="283"/>
        <w:contextualSpacing/>
        <w:rPr>
          <w:color w:val="000000"/>
          <w:lang w:val="en-US" w:eastAsia="de-AT"/>
        </w:rPr>
      </w:pPr>
      <w:r w:rsidRPr="00751269">
        <w:rPr>
          <w:color w:val="000000"/>
          <w:lang w:val="en-US" w:eastAsia="de-AT"/>
        </w:rPr>
        <w:t>pacienti s ne</w:t>
      </w:r>
      <w:r w:rsidR="00794047">
        <w:rPr>
          <w:color w:val="000000"/>
          <w:lang w:val="en-US" w:eastAsia="de-AT"/>
        </w:rPr>
        <w:t>liečenou</w:t>
      </w:r>
      <w:r w:rsidRPr="00751269">
        <w:rPr>
          <w:color w:val="000000"/>
          <w:lang w:val="en-US" w:eastAsia="de-AT"/>
        </w:rPr>
        <w:t xml:space="preserve"> hypertenziou.</w:t>
      </w:r>
    </w:p>
    <w:p w14:paraId="77FFEFDF" w14:textId="77777777" w:rsidR="004422A3" w:rsidRDefault="004422A3" w:rsidP="007A58F5">
      <w:pPr>
        <w:pStyle w:val="Zkladntext"/>
      </w:pPr>
    </w:p>
    <w:p w14:paraId="30A234B3" w14:textId="77777777" w:rsidR="004422A3" w:rsidRDefault="00CF7044" w:rsidP="007A58F5">
      <w:pPr>
        <w:pStyle w:val="Zkladntext"/>
        <w:spacing w:before="1"/>
      </w:pPr>
      <w:r>
        <w:t>Keďže neexistujú žiadne klinické údaje o bezpečnosti tadalafilu u týchto pacientov, používanie tadalafilu sa im neodporúča.</w:t>
      </w:r>
    </w:p>
    <w:p w14:paraId="59CC8613" w14:textId="77777777" w:rsidR="004422A3" w:rsidRDefault="004422A3" w:rsidP="007A58F5">
      <w:pPr>
        <w:pStyle w:val="Zkladntext"/>
        <w:spacing w:before="10"/>
        <w:rPr>
          <w:sz w:val="21"/>
        </w:rPr>
      </w:pPr>
    </w:p>
    <w:p w14:paraId="164078F2" w14:textId="58FB0941" w:rsidR="004422A3" w:rsidRDefault="00CF7044" w:rsidP="007A58F5">
      <w:pPr>
        <w:pStyle w:val="Zkladntext"/>
      </w:pPr>
      <w:r>
        <w:t xml:space="preserve">Pľúcne vazodilatanciá môžu významne zhoršiť kardiovaskulárny stav pacientov s </w:t>
      </w:r>
      <w:r w:rsidRPr="004428BA">
        <w:t>pľúcnou venookluzívnou chorobou (</w:t>
      </w:r>
      <w:r>
        <w:t xml:space="preserve">PVOCH). Keďže neexistujú žiadne klinické údaje o podávaní tadalafilu pacientom s venookluzívnou chorobou, podávanie tadalafilu </w:t>
      </w:r>
      <w:r w:rsidR="00794047">
        <w:t xml:space="preserve">sa </w:t>
      </w:r>
      <w:r>
        <w:t>týmto pacientom  neodporúča. Ak sa pri podávaní tadalafilu objavia pr</w:t>
      </w:r>
      <w:r w:rsidR="00794047">
        <w:t>ejavy</w:t>
      </w:r>
      <w:r>
        <w:t xml:space="preserve"> pľúcneho edému, je potrebné zvážiť možnosť pridruženej PVOCH.</w:t>
      </w:r>
    </w:p>
    <w:p w14:paraId="426CA0EC" w14:textId="77777777" w:rsidR="004422A3" w:rsidRDefault="004422A3" w:rsidP="007A58F5">
      <w:pPr>
        <w:pStyle w:val="Zkladntext"/>
        <w:spacing w:before="1"/>
      </w:pPr>
    </w:p>
    <w:p w14:paraId="5C6662BC" w14:textId="3CD36065" w:rsidR="00CF7044" w:rsidRDefault="00CF7044" w:rsidP="007A58F5">
      <w:pPr>
        <w:pStyle w:val="Zkladntext"/>
      </w:pPr>
      <w:r>
        <w:t xml:space="preserve">Tadalafil </w:t>
      </w:r>
      <w:r w:rsidR="00794047">
        <w:t xml:space="preserve">má </w:t>
      </w:r>
      <w:r>
        <w:t xml:space="preserve">systémové vazodilatačné vlastnosti, ktoré môžu viesť k prechodnému zníženiu tlaku krvi. Lekári majú starostlivo zvážiť, či ich pacienti s niektorými prebiehajúcimi ochoreniami, ako je závažná obštrukcia výtokovej časti ľavej komory, deplécia tekutín, vegetatívna hypotenzia alebo </w:t>
      </w:r>
      <w:r>
        <w:lastRenderedPageBreak/>
        <w:t xml:space="preserve">pacienti s pokojovou hypotenziou, by mohli byť negatívne ovplyvnení týmito vazodilatačnými účinkami. </w:t>
      </w:r>
    </w:p>
    <w:p w14:paraId="5EE6C0CE" w14:textId="375C55BA" w:rsidR="004422A3" w:rsidRDefault="00CF7044" w:rsidP="007A58F5">
      <w:pPr>
        <w:pStyle w:val="Zkladntext"/>
      </w:pPr>
      <w:r>
        <w:rPr>
          <w:position w:val="2"/>
        </w:rPr>
        <w:t>U pacientov užívajúcich alfa</w:t>
      </w:r>
      <w:r>
        <w:rPr>
          <w:position w:val="2"/>
          <w:vertAlign w:val="subscript"/>
        </w:rPr>
        <w:t>1</w:t>
      </w:r>
      <w:r w:rsidR="00794047">
        <w:rPr>
          <w:position w:val="2"/>
        </w:rPr>
        <w:t>-</w:t>
      </w:r>
      <w:r>
        <w:rPr>
          <w:position w:val="2"/>
        </w:rPr>
        <w:t>blokátory môže sú</w:t>
      </w:r>
      <w:r w:rsidR="00794047">
        <w:rPr>
          <w:position w:val="2"/>
        </w:rPr>
        <w:t>bežné</w:t>
      </w:r>
      <w:r>
        <w:rPr>
          <w:position w:val="2"/>
        </w:rPr>
        <w:t xml:space="preserve"> podanie tadalafilu viesť u niektorých pacientov </w:t>
      </w:r>
      <w:r>
        <w:t>k symptomatickej hypotenzii (pozri časť 4.5). Preto sa kombinácia tadalafilu s doxazosínom neodporúča.</w:t>
      </w:r>
    </w:p>
    <w:p w14:paraId="557F7800" w14:textId="77777777" w:rsidR="004422A3" w:rsidRDefault="004422A3" w:rsidP="007A58F5">
      <w:pPr>
        <w:pStyle w:val="Zkladntext"/>
        <w:spacing w:before="4"/>
      </w:pPr>
    </w:p>
    <w:p w14:paraId="162B77B0" w14:textId="77777777" w:rsidR="004422A3" w:rsidRDefault="00CF7044" w:rsidP="007A58F5">
      <w:pPr>
        <w:pStyle w:val="Zkladntext"/>
      </w:pPr>
      <w:r>
        <w:rPr>
          <w:u w:val="single"/>
        </w:rPr>
        <w:t>Zrak</w:t>
      </w:r>
    </w:p>
    <w:p w14:paraId="1C9B4CB1" w14:textId="77777777" w:rsidR="004422A3" w:rsidRDefault="00CF7044" w:rsidP="007A58F5">
      <w:pPr>
        <w:pStyle w:val="Zkladntext"/>
        <w:spacing w:before="1"/>
      </w:pPr>
      <w:r>
        <w:t>V súvislosti s užívaním tadalafilu a iných inhibítorov PDE5 boli hlásené poruchy zraku a prípady NAION. Analýzy sledovaných údajov naznačujú zvýšené riziko akútneho NAION u mužov</w:t>
      </w:r>
    </w:p>
    <w:p w14:paraId="0CD9ED28" w14:textId="51595ED7" w:rsidR="004422A3" w:rsidRDefault="00CF7044" w:rsidP="007A58F5">
      <w:pPr>
        <w:pStyle w:val="Zkladntext"/>
      </w:pPr>
      <w:r>
        <w:t xml:space="preserve">s erektilnou dysfunkciou </w:t>
      </w:r>
      <w:r w:rsidR="00794047">
        <w:t>pri expozícii</w:t>
      </w:r>
      <w:r>
        <w:t xml:space="preserve"> tadalafilu alebo iným</w:t>
      </w:r>
      <w:r w:rsidR="00794047">
        <w:t xml:space="preserve"> inhibítorom</w:t>
      </w:r>
      <w:r>
        <w:t xml:space="preserve"> PDE5. Keďže sa to môže týkať všetkých pacientov vystavených</w:t>
      </w:r>
      <w:r w:rsidR="00894CA2">
        <w:t xml:space="preserve"> pôsobeniu</w:t>
      </w:r>
      <w:r>
        <w:t xml:space="preserve"> tadalafilu, pacient má byť poučený, aby v prípade náhlej poruchy videnia prestal užívať </w:t>
      </w:r>
      <w:r w:rsidR="00894CA2">
        <w:t>t</w:t>
      </w:r>
      <w:r w:rsidR="00751269">
        <w:t>adalafil</w:t>
      </w:r>
      <w:r>
        <w:t xml:space="preserve"> a okamžite sa poradil s lekárom (pozri časť 4.3).</w:t>
      </w:r>
    </w:p>
    <w:p w14:paraId="1F6BDC9E" w14:textId="255F5F55" w:rsidR="004422A3" w:rsidRDefault="00CF7044" w:rsidP="007A58F5">
      <w:pPr>
        <w:pStyle w:val="Zkladntext"/>
      </w:pPr>
      <w:r>
        <w:t xml:space="preserve">Pacienti so známymi dedičnými degeneratívnymi poruchami sietnice, vrátane pigmentovej retinitídy, neboli zaradení do klinických štúdií a používanie </w:t>
      </w:r>
      <w:r w:rsidR="00894CA2">
        <w:t>sa týmto pacientom</w:t>
      </w:r>
      <w:r>
        <w:t xml:space="preserve">  neodporúča.</w:t>
      </w:r>
    </w:p>
    <w:p w14:paraId="07FB5F03" w14:textId="77777777" w:rsidR="004422A3" w:rsidRDefault="004422A3" w:rsidP="007A58F5">
      <w:pPr>
        <w:pStyle w:val="Zkladntext"/>
        <w:spacing w:before="11"/>
        <w:rPr>
          <w:sz w:val="21"/>
        </w:rPr>
      </w:pPr>
    </w:p>
    <w:p w14:paraId="51789FC0" w14:textId="77777777" w:rsidR="004422A3" w:rsidRDefault="00CF7044" w:rsidP="007A58F5">
      <w:pPr>
        <w:pStyle w:val="Zkladntext"/>
        <w:spacing w:line="252" w:lineRule="exact"/>
      </w:pPr>
      <w:r>
        <w:rPr>
          <w:u w:val="single"/>
        </w:rPr>
        <w:t>Zhoršenie alebo náhla strata sluchu</w:t>
      </w:r>
    </w:p>
    <w:p w14:paraId="1B95624B" w14:textId="77777777" w:rsidR="004422A3" w:rsidRDefault="00CF7044" w:rsidP="007A58F5">
      <w:pPr>
        <w:pStyle w:val="Zkladntext"/>
      </w:pPr>
      <w:r>
        <w:t>Po užití tadalafilu boli hlásené prípady náhlej straty sluchu. Hoci v niektorých prípadoch boli prítomné aj iné rizikové faktory (akými sú vek, diabetes, hypertenzia a anamnéza straty sluchu), v prípade náhleho zhoršenia alebo straty sluchu majú byť pacienti poučení, aby prestali užívať tadalafil</w:t>
      </w:r>
    </w:p>
    <w:p w14:paraId="4CE88D0B" w14:textId="77777777" w:rsidR="004422A3" w:rsidRDefault="00CF7044" w:rsidP="007A58F5">
      <w:pPr>
        <w:pStyle w:val="Zkladntext"/>
        <w:spacing w:line="252" w:lineRule="exact"/>
      </w:pPr>
      <w:r>
        <w:t>a vyhľadali okamžitú zdravotnú starostlivosť.</w:t>
      </w:r>
    </w:p>
    <w:p w14:paraId="1077C8DF" w14:textId="77777777" w:rsidR="004422A3" w:rsidRDefault="004422A3" w:rsidP="007A58F5">
      <w:pPr>
        <w:pStyle w:val="Zkladntext"/>
      </w:pPr>
    </w:p>
    <w:p w14:paraId="5E61DFBD" w14:textId="77777777" w:rsidR="004422A3" w:rsidRDefault="00CF7044" w:rsidP="007A58F5">
      <w:pPr>
        <w:pStyle w:val="Zkladntext"/>
      </w:pPr>
      <w:r>
        <w:rPr>
          <w:u w:val="single"/>
        </w:rPr>
        <w:t>Poškodenie obličiek a pečene</w:t>
      </w:r>
    </w:p>
    <w:p w14:paraId="6BD12F7F" w14:textId="5D55AC36" w:rsidR="004422A3" w:rsidRDefault="00CF7044" w:rsidP="007A58F5">
      <w:pPr>
        <w:pStyle w:val="Zkladntext"/>
        <w:spacing w:before="2"/>
      </w:pPr>
      <w:r>
        <w:t xml:space="preserve">Vzhľadom na zvýšenú expozíciu tadalafilu (AUC), obmedzené klinické skúsenosti a </w:t>
      </w:r>
      <w:r w:rsidR="00894CA2">
        <w:t>nemožnosť</w:t>
      </w:r>
      <w:r>
        <w:t xml:space="preserve"> ovplyvniť klírens dialýzou sa tadalafil neodporúča používať u pacientov so závažnou poruchou funkcie obličiek.</w:t>
      </w:r>
    </w:p>
    <w:p w14:paraId="5318132C" w14:textId="77777777" w:rsidR="004422A3" w:rsidRDefault="004422A3" w:rsidP="007A58F5">
      <w:pPr>
        <w:pStyle w:val="Zkladntext"/>
        <w:spacing w:before="9"/>
        <w:rPr>
          <w:sz w:val="21"/>
        </w:rPr>
      </w:pPr>
    </w:p>
    <w:p w14:paraId="5DA45886" w14:textId="3078C88C" w:rsidR="004422A3" w:rsidRDefault="00CF7044" w:rsidP="007A58F5">
      <w:pPr>
        <w:pStyle w:val="Zkladntext"/>
      </w:pPr>
      <w:r>
        <w:t xml:space="preserve">Pacienti so závažnou cirhózou pečene (trieda C </w:t>
      </w:r>
      <w:r w:rsidR="00894CA2">
        <w:t xml:space="preserve">podľa </w:t>
      </w:r>
      <w:r>
        <w:t>Childovej-Pughovej klasifikácie) sa neskúmali</w:t>
      </w:r>
      <w:r w:rsidR="00894CA2">
        <w:t>,</w:t>
      </w:r>
      <w:r>
        <w:t xml:space="preserve"> a preto sa im podávanie tadalafilu neodporúča.</w:t>
      </w:r>
    </w:p>
    <w:p w14:paraId="04E4E8D8" w14:textId="77777777" w:rsidR="004422A3" w:rsidRDefault="004422A3" w:rsidP="007A58F5">
      <w:pPr>
        <w:pStyle w:val="Zkladntext"/>
        <w:spacing w:before="2"/>
      </w:pPr>
    </w:p>
    <w:p w14:paraId="5CC569FA" w14:textId="77777777" w:rsidR="004422A3" w:rsidRDefault="00CF7044" w:rsidP="007A58F5">
      <w:pPr>
        <w:pStyle w:val="Zkladntext"/>
        <w:spacing w:line="252" w:lineRule="exact"/>
      </w:pPr>
      <w:r>
        <w:rPr>
          <w:u w:val="single"/>
        </w:rPr>
        <w:t>Priaprizmus a anatomická deformácia penisu</w:t>
      </w:r>
    </w:p>
    <w:p w14:paraId="1C7F8EEA" w14:textId="77777777" w:rsidR="004422A3" w:rsidRDefault="00CF7044" w:rsidP="007A58F5">
      <w:pPr>
        <w:pStyle w:val="Zkladntext"/>
        <w:spacing w:line="252" w:lineRule="exact"/>
      </w:pPr>
      <w:r>
        <w:t>U mužov liečených inhibítormi PDE5 bol hlásený priapizmus. Pacientov, u ktorých trvá erekcia</w:t>
      </w:r>
    </w:p>
    <w:p w14:paraId="649A5A7B" w14:textId="3ABC7134" w:rsidR="004422A3" w:rsidRDefault="00CF7044" w:rsidP="007A58F5">
      <w:pPr>
        <w:pStyle w:val="Zkladntext"/>
      </w:pPr>
      <w:r>
        <w:t xml:space="preserve">4 hodiny a </w:t>
      </w:r>
      <w:r w:rsidR="00894CA2">
        <w:t>dlhšie</w:t>
      </w:r>
      <w:r>
        <w:t>, je potrebné poučiť o nutnosti okamžitého vyhľadania lekára. Ak nedôjde k okamžitej liečbe priapizmu, môže dôjsť k poškodeniu tkaniva penisu a k trvalej strate potencie.</w:t>
      </w:r>
    </w:p>
    <w:p w14:paraId="108E18B9" w14:textId="77777777" w:rsidR="004422A3" w:rsidRDefault="004422A3" w:rsidP="007A58F5">
      <w:pPr>
        <w:pStyle w:val="Zkladntext"/>
        <w:spacing w:before="1"/>
      </w:pPr>
    </w:p>
    <w:p w14:paraId="3657243C" w14:textId="4B41BCE8" w:rsidR="004422A3" w:rsidRDefault="00CF7044" w:rsidP="007A58F5">
      <w:pPr>
        <w:pStyle w:val="Zkladntext"/>
        <w:spacing w:before="1"/>
      </w:pPr>
      <w:r>
        <w:t>Tadalafil sa má užívať s opatrnosťou u pacientov s anatomickými deformáciami penisu (ako je angulácia, fibróza kavernózny</w:t>
      </w:r>
      <w:r w:rsidR="00894CA2">
        <w:t>c</w:t>
      </w:r>
      <w:r>
        <w:t xml:space="preserve">h telies alebo Peyronieho choroba) alebo u pacientov </w:t>
      </w:r>
      <w:r w:rsidR="00894CA2">
        <w:t xml:space="preserve">s </w:t>
      </w:r>
      <w:r>
        <w:t>ochoreniami, ktoré môžu predisponovať ku vzniku priapizmu (</w:t>
      </w:r>
      <w:r w:rsidRPr="00CD6612">
        <w:t>ako je kosáčikov</w:t>
      </w:r>
      <w:r w:rsidR="007A58F5" w:rsidRPr="00CD6612">
        <w:t>it</w:t>
      </w:r>
      <w:r w:rsidRPr="00CD6612">
        <w:t>á anémia</w:t>
      </w:r>
      <w:r>
        <w:t>, mnohopočetný myelóm alebo leukémia).</w:t>
      </w:r>
    </w:p>
    <w:p w14:paraId="4815E006" w14:textId="77777777" w:rsidR="004422A3" w:rsidRDefault="004422A3" w:rsidP="007A58F5">
      <w:pPr>
        <w:pStyle w:val="Zkladntext"/>
      </w:pPr>
    </w:p>
    <w:p w14:paraId="0A4011F0" w14:textId="0DA18D46" w:rsidR="004422A3" w:rsidRDefault="00CF7044" w:rsidP="007A58F5">
      <w:pPr>
        <w:pStyle w:val="Zkladntext"/>
        <w:spacing w:line="252" w:lineRule="exact"/>
      </w:pPr>
      <w:r>
        <w:rPr>
          <w:u w:val="single"/>
        </w:rPr>
        <w:t>Použitie s induktormi alebo inhibítormi</w:t>
      </w:r>
      <w:r w:rsidR="00894CA2">
        <w:rPr>
          <w:u w:val="single"/>
        </w:rPr>
        <w:t xml:space="preserve"> CYP3A4</w:t>
      </w:r>
    </w:p>
    <w:p w14:paraId="56FCC9CD" w14:textId="77777777" w:rsidR="004422A3" w:rsidRDefault="00CF7044" w:rsidP="007A58F5">
      <w:pPr>
        <w:pStyle w:val="Zkladntext"/>
      </w:pPr>
      <w:r>
        <w:t>U pacientov, ktorí dlhodobo užívajú silné induktory CYP3A4, ako je rifampicín, sa používanie tadalafilu neodporúča (pozri časť 4.5).</w:t>
      </w:r>
    </w:p>
    <w:p w14:paraId="3AD69E5B" w14:textId="77777777" w:rsidR="004422A3" w:rsidRDefault="004422A3" w:rsidP="007A58F5">
      <w:pPr>
        <w:pStyle w:val="Zkladntext"/>
        <w:spacing w:before="10"/>
        <w:rPr>
          <w:sz w:val="21"/>
        </w:rPr>
      </w:pPr>
    </w:p>
    <w:p w14:paraId="5685DD94" w14:textId="77777777" w:rsidR="004422A3" w:rsidRDefault="00CF7044" w:rsidP="007A58F5">
      <w:pPr>
        <w:pStyle w:val="Zkladntext"/>
      </w:pPr>
      <w:r>
        <w:t>U pacientov súbežne užívajúcich silné inhibítory CYP3A4, ako je ketokonazol a ritonavir, sa používanie tadalafilu neodporúča (pozri časť 4.5).</w:t>
      </w:r>
    </w:p>
    <w:p w14:paraId="68924C68" w14:textId="77777777" w:rsidR="004422A3" w:rsidRDefault="004422A3" w:rsidP="007A58F5">
      <w:pPr>
        <w:pStyle w:val="Zkladntext"/>
        <w:spacing w:before="11"/>
        <w:rPr>
          <w:sz w:val="21"/>
        </w:rPr>
      </w:pPr>
    </w:p>
    <w:p w14:paraId="4F8A2339" w14:textId="77777777" w:rsidR="004422A3" w:rsidRDefault="00CF7044" w:rsidP="007A58F5">
      <w:pPr>
        <w:pStyle w:val="Zkladntext"/>
      </w:pPr>
      <w:r>
        <w:rPr>
          <w:u w:val="single"/>
        </w:rPr>
        <w:t>Liečba erektilnej dysfunkcie</w:t>
      </w:r>
    </w:p>
    <w:p w14:paraId="01761BB3" w14:textId="09B57107" w:rsidR="004422A3" w:rsidRDefault="00CF7044" w:rsidP="007A58F5">
      <w:pPr>
        <w:pStyle w:val="Zkladntext"/>
        <w:spacing w:before="2"/>
      </w:pPr>
      <w:r>
        <w:t xml:space="preserve">Bezpečnosť a účinnosť kombinácie tadalafilu s inými </w:t>
      </w:r>
      <w:r w:rsidR="00894CA2">
        <w:t xml:space="preserve">inhibítormi </w:t>
      </w:r>
      <w:r>
        <w:t xml:space="preserve">PDE5 alebo inou liečbou erektilnej dysfunkcie sa neskúmali. Pacienti majú byť poučení, aby neužívali </w:t>
      </w:r>
      <w:r w:rsidR="00751269">
        <w:t>Tadalafil AOP</w:t>
      </w:r>
      <w:r>
        <w:t xml:space="preserve"> spolu s týmito liekmi.</w:t>
      </w:r>
    </w:p>
    <w:p w14:paraId="2B115B46" w14:textId="77777777" w:rsidR="004422A3" w:rsidRDefault="004422A3" w:rsidP="007A58F5">
      <w:pPr>
        <w:pStyle w:val="Zkladntext"/>
        <w:spacing w:before="10"/>
        <w:rPr>
          <w:sz w:val="21"/>
        </w:rPr>
      </w:pPr>
    </w:p>
    <w:p w14:paraId="53E75D94" w14:textId="77777777" w:rsidR="004422A3" w:rsidRDefault="00CF7044" w:rsidP="007A58F5">
      <w:pPr>
        <w:pStyle w:val="Zkladntext"/>
        <w:spacing w:before="1" w:line="252" w:lineRule="exact"/>
      </w:pPr>
      <w:r>
        <w:rPr>
          <w:u w:val="single"/>
        </w:rPr>
        <w:t>Prostacyklín a jeho analógy</w:t>
      </w:r>
    </w:p>
    <w:p w14:paraId="6DFDD13D" w14:textId="77777777" w:rsidR="004422A3" w:rsidRDefault="00CF7044" w:rsidP="007A58F5">
      <w:pPr>
        <w:pStyle w:val="Zkladntext"/>
      </w:pPr>
      <w:r>
        <w:t>Účinnosť a bezpečnosť tadalafilu pri súbežnom podávaní s prostacyklínom alebo jeho analógmi sa neskúmala v kontrolovaných klinických štúdiách. Preto sa odporúča opatrnosť v prípade súbežného podávania.</w:t>
      </w:r>
    </w:p>
    <w:p w14:paraId="3D510AD8" w14:textId="77777777" w:rsidR="004422A3" w:rsidRDefault="004422A3" w:rsidP="007A58F5">
      <w:pPr>
        <w:pStyle w:val="Zkladntext"/>
      </w:pPr>
    </w:p>
    <w:p w14:paraId="6919D9B5" w14:textId="10BDCEAC" w:rsidR="004422A3" w:rsidRDefault="00CF7044" w:rsidP="007A58F5">
      <w:pPr>
        <w:pStyle w:val="Zkladntext"/>
      </w:pPr>
      <w:r>
        <w:rPr>
          <w:u w:val="single"/>
        </w:rPr>
        <w:t>Bosent</w:t>
      </w:r>
      <w:r w:rsidR="00894CA2">
        <w:rPr>
          <w:u w:val="single"/>
        </w:rPr>
        <w:t>á</w:t>
      </w:r>
      <w:r>
        <w:rPr>
          <w:u w:val="single"/>
        </w:rPr>
        <w:t>n</w:t>
      </w:r>
    </w:p>
    <w:p w14:paraId="1FC1DB68" w14:textId="71BC0928" w:rsidR="004422A3" w:rsidRDefault="00CF7044" w:rsidP="007A58F5">
      <w:pPr>
        <w:pStyle w:val="Zkladntext"/>
        <w:spacing w:before="1"/>
      </w:pPr>
      <w:r>
        <w:lastRenderedPageBreak/>
        <w:t xml:space="preserve">Účinnosť tadalafilu u pacientov </w:t>
      </w:r>
      <w:r w:rsidR="00894CA2">
        <w:t xml:space="preserve">už </w:t>
      </w:r>
      <w:r>
        <w:t>liečených bosent</w:t>
      </w:r>
      <w:r w:rsidR="00894CA2">
        <w:t>á</w:t>
      </w:r>
      <w:r>
        <w:t xml:space="preserve">nom sa </w:t>
      </w:r>
      <w:r w:rsidR="00894CA2">
        <w:t xml:space="preserve">presvedčivo </w:t>
      </w:r>
      <w:r>
        <w:t>ne</w:t>
      </w:r>
      <w:r w:rsidR="00894CA2">
        <w:t>do</w:t>
      </w:r>
      <w:r>
        <w:t>kázala (pozri časti 4.5 a 5.1).</w:t>
      </w:r>
    </w:p>
    <w:p w14:paraId="6B0AF8C6" w14:textId="77777777" w:rsidR="00CF7044" w:rsidRDefault="00CF7044" w:rsidP="007A58F5">
      <w:pPr>
        <w:pStyle w:val="Zkladntext"/>
        <w:spacing w:before="66"/>
        <w:rPr>
          <w:u w:val="single"/>
        </w:rPr>
      </w:pPr>
    </w:p>
    <w:p w14:paraId="1EF6B586" w14:textId="77777777" w:rsidR="004422A3" w:rsidRDefault="00CF7044" w:rsidP="007A58F5">
      <w:pPr>
        <w:pStyle w:val="Zkladntext"/>
        <w:spacing w:before="66"/>
      </w:pPr>
      <w:r>
        <w:rPr>
          <w:u w:val="single"/>
        </w:rPr>
        <w:t>Laktóza</w:t>
      </w:r>
    </w:p>
    <w:p w14:paraId="799E973D" w14:textId="7CE5D003" w:rsidR="004422A3" w:rsidRDefault="00751269" w:rsidP="007A58F5">
      <w:pPr>
        <w:pStyle w:val="Zkladntext"/>
        <w:spacing w:before="1"/>
      </w:pPr>
      <w:r>
        <w:t>Tadalafil AOP</w:t>
      </w:r>
      <w:r w:rsidR="00CF7044">
        <w:t xml:space="preserve"> obsahuje laktóz</w:t>
      </w:r>
      <w:r w:rsidR="00894CA2">
        <w:t>u</w:t>
      </w:r>
      <w:r w:rsidR="00CF7044">
        <w:t xml:space="preserve">. </w:t>
      </w:r>
      <w:r w:rsidR="00894CA2" w:rsidRPr="00894CA2">
        <w:t>Pacienti so zriedkavými dedičnými problémami galaktózovej intolerancie, celkovým deficitom laktázy alebo glukózo-galaktózovou malabsorpciou nesmú užívať tento liek.</w:t>
      </w:r>
    </w:p>
    <w:p w14:paraId="541CFCE4" w14:textId="77777777" w:rsidR="004422A3" w:rsidRDefault="004422A3" w:rsidP="007A58F5">
      <w:pPr>
        <w:pStyle w:val="Zkladntext"/>
        <w:spacing w:before="4"/>
      </w:pPr>
    </w:p>
    <w:p w14:paraId="771E88DF" w14:textId="77777777" w:rsidR="004422A3" w:rsidRDefault="00CF7044" w:rsidP="007A58F5">
      <w:pPr>
        <w:pStyle w:val="Nadpis1"/>
        <w:numPr>
          <w:ilvl w:val="1"/>
          <w:numId w:val="9"/>
        </w:numPr>
        <w:tabs>
          <w:tab w:val="left" w:pos="877"/>
          <w:tab w:val="left" w:pos="878"/>
        </w:tabs>
        <w:ind w:left="0" w:firstLine="0"/>
      </w:pPr>
      <w:r>
        <w:t>Liekové a iné</w:t>
      </w:r>
      <w:r>
        <w:rPr>
          <w:spacing w:val="-3"/>
        </w:rPr>
        <w:t xml:space="preserve"> </w:t>
      </w:r>
      <w:r>
        <w:t>interakcie</w:t>
      </w:r>
    </w:p>
    <w:p w14:paraId="6975CF3E" w14:textId="77777777" w:rsidR="004422A3" w:rsidRDefault="004422A3" w:rsidP="007A58F5">
      <w:pPr>
        <w:pStyle w:val="Zkladntext"/>
        <w:rPr>
          <w:b/>
          <w:sz w:val="21"/>
        </w:rPr>
      </w:pPr>
    </w:p>
    <w:p w14:paraId="679C5DA8" w14:textId="77777777" w:rsidR="004422A3" w:rsidRDefault="00CF7044" w:rsidP="007A58F5">
      <w:pPr>
        <w:pStyle w:val="Zkladntext"/>
      </w:pPr>
      <w:r>
        <w:rPr>
          <w:u w:val="single"/>
        </w:rPr>
        <w:t>Vplyv iných liečiv na tadalafil</w:t>
      </w:r>
    </w:p>
    <w:p w14:paraId="74C1D197" w14:textId="77777777" w:rsidR="004422A3" w:rsidRPr="00751269" w:rsidRDefault="004422A3" w:rsidP="007A58F5">
      <w:pPr>
        <w:pStyle w:val="Zkladntext"/>
        <w:rPr>
          <w:u w:val="single"/>
        </w:rPr>
      </w:pPr>
    </w:p>
    <w:p w14:paraId="4A928CB5" w14:textId="77777777" w:rsidR="004422A3" w:rsidRPr="00751269" w:rsidRDefault="00CF7044" w:rsidP="007A58F5">
      <w:pPr>
        <w:pStyle w:val="Zkladntext"/>
        <w:rPr>
          <w:i/>
        </w:rPr>
      </w:pPr>
      <w:r w:rsidRPr="00751269">
        <w:rPr>
          <w:i/>
          <w:u w:val="single"/>
        </w:rPr>
        <w:t>Inhibítory cytochrómu P450</w:t>
      </w:r>
    </w:p>
    <w:p w14:paraId="732CE985" w14:textId="77777777" w:rsidR="004422A3" w:rsidRPr="00751269" w:rsidRDefault="004422A3" w:rsidP="007A58F5">
      <w:pPr>
        <w:pStyle w:val="Zkladntext"/>
      </w:pPr>
    </w:p>
    <w:p w14:paraId="1D07977E" w14:textId="77777777" w:rsidR="004422A3" w:rsidRDefault="00CF7044" w:rsidP="007A58F5">
      <w:pPr>
        <w:spacing w:before="91" w:line="252" w:lineRule="exact"/>
        <w:rPr>
          <w:i/>
        </w:rPr>
      </w:pPr>
      <w:r>
        <w:rPr>
          <w:i/>
        </w:rPr>
        <w:t>Azolové antimykotiká (napr. ketokonazol)</w:t>
      </w:r>
    </w:p>
    <w:p w14:paraId="474B8022" w14:textId="1769FC54" w:rsidR="004422A3" w:rsidRDefault="00CF7044" w:rsidP="007A58F5">
      <w:pPr>
        <w:pStyle w:val="Zkladntext"/>
        <w:spacing w:before="10" w:line="228" w:lineRule="auto"/>
      </w:pPr>
      <w:r>
        <w:t>Ketokonazol (200 mg denne) zvýšil expozíciu (AUC) tadalafilu (10 mg) po jednorazovej dávke 2-</w:t>
      </w:r>
      <w:r>
        <w:rPr>
          <w:position w:val="2"/>
        </w:rPr>
        <w:t>násobne a C</w:t>
      </w:r>
      <w:r>
        <w:rPr>
          <w:position w:val="2"/>
          <w:vertAlign w:val="subscript"/>
        </w:rPr>
        <w:t>max</w:t>
      </w:r>
      <w:r>
        <w:rPr>
          <w:position w:val="2"/>
        </w:rPr>
        <w:t xml:space="preserve"> o 15 % v porovnaní s hodnotami AUC a C</w:t>
      </w:r>
      <w:r>
        <w:rPr>
          <w:position w:val="2"/>
          <w:vertAlign w:val="subscript"/>
        </w:rPr>
        <w:t>max</w:t>
      </w:r>
      <w:r>
        <w:rPr>
          <w:position w:val="2"/>
        </w:rPr>
        <w:t xml:space="preserve"> pre samotný tadalafil. Ketokonazol (400 mg denne) zvýšil expozíciu (AUC) tadalafilu (20 mg) po jednorazovej dávke 4-násobne a C</w:t>
      </w:r>
      <w:r>
        <w:rPr>
          <w:position w:val="2"/>
          <w:vertAlign w:val="subscript"/>
        </w:rPr>
        <w:t>max</w:t>
      </w:r>
      <w:r>
        <w:rPr>
          <w:position w:val="2"/>
        </w:rPr>
        <w:t xml:space="preserve"> </w:t>
      </w:r>
      <w:r>
        <w:t>o 22 %.</w:t>
      </w:r>
    </w:p>
    <w:p w14:paraId="367F7D81" w14:textId="77777777" w:rsidR="004422A3" w:rsidRDefault="004422A3" w:rsidP="007A58F5">
      <w:pPr>
        <w:pStyle w:val="Zkladntext"/>
      </w:pPr>
    </w:p>
    <w:p w14:paraId="53FE9FF2" w14:textId="77777777" w:rsidR="004422A3" w:rsidRDefault="00CF7044" w:rsidP="007A58F5">
      <w:pPr>
        <w:spacing w:line="252" w:lineRule="exact"/>
        <w:rPr>
          <w:i/>
        </w:rPr>
      </w:pPr>
      <w:r>
        <w:rPr>
          <w:i/>
        </w:rPr>
        <w:t>Inhibítory proteázy (napr. ritonavir)</w:t>
      </w:r>
    </w:p>
    <w:p w14:paraId="6A4AD7D6" w14:textId="77777777" w:rsidR="004422A3" w:rsidRDefault="00CF7044" w:rsidP="007A58F5">
      <w:pPr>
        <w:pStyle w:val="Zkladntext"/>
        <w:spacing w:before="10" w:line="228" w:lineRule="auto"/>
      </w:pPr>
      <w:r>
        <w:t xml:space="preserve">Ritonavir (200 mg dvakrát denne), ktorý je inhibítorom CYP3A4, CYP2C9, CYP2C19 a CYP2D6, </w:t>
      </w:r>
      <w:r w:rsidRPr="00751269">
        <w:t>zvýšil expozíciu (AUC) tadalafilu (20 mg) po jednorazovej dávke 2-násobne bez zmeny C</w:t>
      </w:r>
      <w:r w:rsidRPr="00751269">
        <w:rPr>
          <w:vertAlign w:val="subscript"/>
        </w:rPr>
        <w:t>max</w:t>
      </w:r>
      <w:r w:rsidRPr="00751269">
        <w:t>.</w:t>
      </w:r>
      <w:r w:rsidR="00751269">
        <w:t xml:space="preserve"> </w:t>
      </w:r>
      <w:r>
        <w:t>Ritonavir (500 mg alebo 600 mg dvakrát denne) zvýšil expozíciu (AUC) tadalafilu (20 mg) po</w:t>
      </w:r>
    </w:p>
    <w:p w14:paraId="54470D2D" w14:textId="77777777" w:rsidR="00751269" w:rsidRDefault="00CF7044" w:rsidP="007A58F5">
      <w:pPr>
        <w:pStyle w:val="Zkladntext"/>
        <w:spacing w:before="10" w:line="228" w:lineRule="auto"/>
      </w:pPr>
      <w:r w:rsidRPr="00751269">
        <w:t>jednorazovej dávke o 32 % a znížil C</w:t>
      </w:r>
      <w:r w:rsidRPr="00751269">
        <w:rPr>
          <w:vertAlign w:val="subscript"/>
        </w:rPr>
        <w:t>max</w:t>
      </w:r>
      <w:r w:rsidRPr="00751269">
        <w:t xml:space="preserve"> o 30 %. </w:t>
      </w:r>
    </w:p>
    <w:p w14:paraId="44D1486C" w14:textId="77777777" w:rsidR="00751269" w:rsidRPr="00751269" w:rsidRDefault="00751269" w:rsidP="007A58F5">
      <w:pPr>
        <w:pStyle w:val="Zkladntext"/>
        <w:spacing w:before="10" w:line="228" w:lineRule="auto"/>
      </w:pPr>
    </w:p>
    <w:p w14:paraId="2BD41F3E" w14:textId="77777777" w:rsidR="004422A3" w:rsidRDefault="00CF7044" w:rsidP="007A58F5">
      <w:pPr>
        <w:pStyle w:val="Zkladntext"/>
        <w:rPr>
          <w:i/>
          <w:u w:val="single"/>
        </w:rPr>
      </w:pPr>
      <w:r w:rsidRPr="00751269">
        <w:rPr>
          <w:i/>
          <w:u w:val="single"/>
        </w:rPr>
        <w:t>Induktory cytochrómu P450</w:t>
      </w:r>
    </w:p>
    <w:p w14:paraId="03BF565C" w14:textId="77777777" w:rsidR="00751269" w:rsidRPr="00751269" w:rsidRDefault="00751269" w:rsidP="007A58F5">
      <w:pPr>
        <w:pStyle w:val="Zkladntext"/>
        <w:rPr>
          <w:i/>
          <w:u w:val="single"/>
        </w:rPr>
      </w:pPr>
    </w:p>
    <w:p w14:paraId="5E60A9D0" w14:textId="5801D218" w:rsidR="004422A3" w:rsidRDefault="00CF7044" w:rsidP="007A58F5">
      <w:pPr>
        <w:spacing w:before="20"/>
        <w:rPr>
          <w:i/>
        </w:rPr>
      </w:pPr>
      <w:r>
        <w:rPr>
          <w:i/>
        </w:rPr>
        <w:t>Antagonisti receptora pre endotelín-1 (napr. bosent</w:t>
      </w:r>
      <w:r w:rsidR="00894CA2">
        <w:rPr>
          <w:i/>
        </w:rPr>
        <w:t>á</w:t>
      </w:r>
      <w:r>
        <w:rPr>
          <w:i/>
        </w:rPr>
        <w:t>n)</w:t>
      </w:r>
    </w:p>
    <w:p w14:paraId="3D5F78B7" w14:textId="1A3E8F05" w:rsidR="004422A3" w:rsidRDefault="00CF7044" w:rsidP="007A58F5">
      <w:pPr>
        <w:pStyle w:val="Zkladntext"/>
        <w:spacing w:before="6" w:line="235" w:lineRule="auto"/>
      </w:pPr>
      <w:r>
        <w:t>Bosent</w:t>
      </w:r>
      <w:r w:rsidR="00894CA2">
        <w:t>á</w:t>
      </w:r>
      <w:r>
        <w:t xml:space="preserve">n (125 mg dvakrát denne), substrát CYP2C9 a CYP3A4 a stredne silný induktor CYP3A4, CYP2C9 a možno CYP2C19, znížil systémovú expozíciu tadalafilu (40 mg jedenkrát denne) o 42 % a </w:t>
      </w:r>
      <w:r>
        <w:rPr>
          <w:position w:val="2"/>
        </w:rPr>
        <w:t>C</w:t>
      </w:r>
      <w:r>
        <w:rPr>
          <w:position w:val="2"/>
          <w:vertAlign w:val="subscript"/>
        </w:rPr>
        <w:t>max</w:t>
      </w:r>
      <w:r>
        <w:rPr>
          <w:position w:val="2"/>
        </w:rPr>
        <w:t xml:space="preserve"> o 27 % po viacnásobnom súbežnom podaní dávky. Účinnosť tadalafilu u pacientov, ktorí sú už </w:t>
      </w:r>
      <w:r>
        <w:t>liečení bosent</w:t>
      </w:r>
      <w:r w:rsidR="00894CA2">
        <w:t>á</w:t>
      </w:r>
      <w:r>
        <w:t xml:space="preserve">nom, sa dostatočne nepreukázala (pozri časti 4.4 a 5.1). Tadalafil neovplyvnil expozíciu </w:t>
      </w:r>
      <w:r>
        <w:rPr>
          <w:position w:val="2"/>
        </w:rPr>
        <w:t>(AUC a C</w:t>
      </w:r>
      <w:r>
        <w:rPr>
          <w:position w:val="2"/>
          <w:vertAlign w:val="subscript"/>
        </w:rPr>
        <w:t>max</w:t>
      </w:r>
      <w:r>
        <w:rPr>
          <w:position w:val="2"/>
        </w:rPr>
        <w:t>) bosent</w:t>
      </w:r>
      <w:r w:rsidR="00894CA2">
        <w:rPr>
          <w:position w:val="2"/>
        </w:rPr>
        <w:t>á</w:t>
      </w:r>
      <w:r>
        <w:rPr>
          <w:position w:val="2"/>
        </w:rPr>
        <w:t>nu a jeho metabolitov.</w:t>
      </w:r>
    </w:p>
    <w:p w14:paraId="12A6CA64" w14:textId="77777777" w:rsidR="004422A3" w:rsidRDefault="00CF7044" w:rsidP="007A58F5">
      <w:pPr>
        <w:pStyle w:val="Zkladntext"/>
        <w:spacing w:line="234" w:lineRule="exact"/>
      </w:pPr>
      <w:r>
        <w:t>Bezpečnosť a účinnosť kombinácií tadalafilu a iných antagonistov receptora pre endotelín-1 sa</w:t>
      </w:r>
    </w:p>
    <w:p w14:paraId="23AF23DD" w14:textId="77777777" w:rsidR="004422A3" w:rsidRDefault="00CF7044" w:rsidP="007A58F5">
      <w:pPr>
        <w:pStyle w:val="Zkladntext"/>
        <w:spacing w:line="252" w:lineRule="exact"/>
      </w:pPr>
      <w:r>
        <w:t>neskúmala.</w:t>
      </w:r>
    </w:p>
    <w:p w14:paraId="10FF9E58" w14:textId="77777777" w:rsidR="004422A3" w:rsidRDefault="004422A3" w:rsidP="007A58F5">
      <w:pPr>
        <w:pStyle w:val="Zkladntext"/>
      </w:pPr>
    </w:p>
    <w:p w14:paraId="396A4D44" w14:textId="77777777" w:rsidR="004422A3" w:rsidRDefault="00CF7044" w:rsidP="007A58F5">
      <w:pPr>
        <w:spacing w:line="252" w:lineRule="exact"/>
        <w:rPr>
          <w:i/>
        </w:rPr>
      </w:pPr>
      <w:r>
        <w:rPr>
          <w:i/>
        </w:rPr>
        <w:t>Antimikrobiálne lieky (napr. rifampicín)</w:t>
      </w:r>
    </w:p>
    <w:p w14:paraId="3E23057E" w14:textId="77777777" w:rsidR="004422A3" w:rsidRDefault="00CF7044" w:rsidP="007A58F5">
      <w:pPr>
        <w:pStyle w:val="Zkladntext"/>
        <w:spacing w:before="13" w:line="223" w:lineRule="auto"/>
      </w:pPr>
      <w:r>
        <w:rPr>
          <w:position w:val="2"/>
        </w:rPr>
        <w:t>Induktor CYP3A4, rifampicín (600 mg denne), znížil AUC tadalafilu o 88 % a C</w:t>
      </w:r>
      <w:r>
        <w:rPr>
          <w:position w:val="2"/>
          <w:vertAlign w:val="subscript"/>
        </w:rPr>
        <w:t>max</w:t>
      </w:r>
      <w:r>
        <w:rPr>
          <w:position w:val="2"/>
        </w:rPr>
        <w:t xml:space="preserve"> o 46 % v porovnaní s hodnotami AUC a C</w:t>
      </w:r>
      <w:r>
        <w:rPr>
          <w:position w:val="2"/>
          <w:vertAlign w:val="subscript"/>
        </w:rPr>
        <w:t>max</w:t>
      </w:r>
      <w:r>
        <w:rPr>
          <w:position w:val="2"/>
        </w:rPr>
        <w:t xml:space="preserve"> po podaní samotného tadalafilu (10 mg).</w:t>
      </w:r>
    </w:p>
    <w:p w14:paraId="609679CE" w14:textId="77777777" w:rsidR="004422A3" w:rsidRDefault="004422A3" w:rsidP="007A58F5">
      <w:pPr>
        <w:pStyle w:val="Zkladntext"/>
        <w:spacing w:before="7"/>
        <w:rPr>
          <w:sz w:val="20"/>
        </w:rPr>
      </w:pPr>
    </w:p>
    <w:p w14:paraId="07CBB52C" w14:textId="77777777" w:rsidR="004422A3" w:rsidRDefault="00CF7044" w:rsidP="007A58F5">
      <w:pPr>
        <w:pStyle w:val="Zkladntext"/>
      </w:pPr>
      <w:r>
        <w:rPr>
          <w:u w:val="single"/>
        </w:rPr>
        <w:t>Vplyv tadalafilu na iné lieky</w:t>
      </w:r>
    </w:p>
    <w:p w14:paraId="2CF20A97" w14:textId="77777777" w:rsidR="004422A3" w:rsidRPr="00751269" w:rsidRDefault="004422A3" w:rsidP="007A58F5">
      <w:pPr>
        <w:pStyle w:val="Zkladntext"/>
      </w:pPr>
    </w:p>
    <w:p w14:paraId="5C8CFFC5" w14:textId="77777777" w:rsidR="004422A3" w:rsidRDefault="00CF7044" w:rsidP="007A58F5">
      <w:pPr>
        <w:pStyle w:val="Zkladntext"/>
        <w:rPr>
          <w:i/>
        </w:rPr>
      </w:pPr>
      <w:r>
        <w:rPr>
          <w:i/>
        </w:rPr>
        <w:t>Nitráty</w:t>
      </w:r>
    </w:p>
    <w:p w14:paraId="283D1C42" w14:textId="6C141905" w:rsidR="004422A3" w:rsidRDefault="00CF7044" w:rsidP="007A58F5">
      <w:pPr>
        <w:pStyle w:val="Zkladntext"/>
        <w:spacing w:before="1"/>
      </w:pPr>
      <w:r>
        <w:t>V klinických štúdiách sa zistilo, že tadalafil (5, 10 a 20 mg) zosilňuje hypotenzívne účinky nitrátov. Táto interakcia pretrvávala viac ako 24 hodín a po uplynutí 48 hodín po poslednej dávke tadalafilu sa už nepozorovala. Z toho dôvodu je kontraindikované podávanie tadalafilu pacientom, ktorí užívajú ktorúkoľvek formu organick</w:t>
      </w:r>
      <w:r w:rsidR="00894CA2">
        <w:t>ých</w:t>
      </w:r>
      <w:r>
        <w:t xml:space="preserve"> nitrát</w:t>
      </w:r>
      <w:r w:rsidR="00894CA2">
        <w:t>ov</w:t>
      </w:r>
      <w:r>
        <w:t xml:space="preserve"> (pozri časť 4.3).</w:t>
      </w:r>
    </w:p>
    <w:p w14:paraId="4B71D4D6" w14:textId="77777777" w:rsidR="004422A3" w:rsidRDefault="004422A3" w:rsidP="007A58F5">
      <w:pPr>
        <w:pStyle w:val="Zkladntext"/>
        <w:spacing w:before="11"/>
        <w:rPr>
          <w:sz w:val="21"/>
        </w:rPr>
      </w:pPr>
    </w:p>
    <w:p w14:paraId="68FEECCF" w14:textId="77777777" w:rsidR="004422A3" w:rsidRDefault="00CF7044" w:rsidP="007A58F5">
      <w:pPr>
        <w:spacing w:line="252" w:lineRule="exact"/>
        <w:rPr>
          <w:i/>
        </w:rPr>
      </w:pPr>
      <w:r>
        <w:rPr>
          <w:i/>
        </w:rPr>
        <w:t>Antihypertenzíva (vrátane blokátorov vápnikových kanálov)</w:t>
      </w:r>
    </w:p>
    <w:p w14:paraId="16CF9D97" w14:textId="6AFD73B0" w:rsidR="004422A3" w:rsidRDefault="00CF7044" w:rsidP="007A58F5">
      <w:pPr>
        <w:pStyle w:val="Zkladntext"/>
      </w:pPr>
      <w:r>
        <w:t>Sú</w:t>
      </w:r>
      <w:r w:rsidR="00894CA2">
        <w:t>bežné</w:t>
      </w:r>
      <w:r>
        <w:t xml:space="preserve"> podanie doxazosínu (4 mg a 8 mg denne) a tadalafilu (denná dávka 5 mg a 20 mg vo forme jednorazovej dávky) vo významnej miere zvyšuje hypotenz</w:t>
      </w:r>
      <w:r w:rsidR="00894CA2">
        <w:t>ív</w:t>
      </w:r>
      <w:r>
        <w:t>n</w:t>
      </w:r>
      <w:r w:rsidR="00894CA2">
        <w:t>y</w:t>
      </w:r>
      <w:r>
        <w:t xml:space="preserve"> účinok tohto alfablokátora. Tento účinok pretrváva minimálne dvanásť hodín a môže byť symptomatický, vrátane synkopy. Preto sa táto kombinácia neodporúča (pozri časť 4.4).</w:t>
      </w:r>
    </w:p>
    <w:p w14:paraId="35DD5BE9" w14:textId="77777777" w:rsidR="004422A3" w:rsidRDefault="00CF7044" w:rsidP="007A58F5">
      <w:pPr>
        <w:pStyle w:val="Zkladntext"/>
      </w:pPr>
      <w:r>
        <w:t>V interakčných štúdiách s alfuzosínom a tamsulosínom, vykonaných s obmedzeným počtom zdravých dobrovoľníkov, neboli tieto účinky hlásené.</w:t>
      </w:r>
    </w:p>
    <w:p w14:paraId="081BBA03" w14:textId="77777777" w:rsidR="004422A3" w:rsidRDefault="004422A3" w:rsidP="007A58F5">
      <w:pPr>
        <w:pStyle w:val="Zkladntext"/>
        <w:spacing w:before="11"/>
        <w:rPr>
          <w:sz w:val="21"/>
        </w:rPr>
      </w:pPr>
    </w:p>
    <w:p w14:paraId="2ABBB9B1" w14:textId="0E612991" w:rsidR="004422A3" w:rsidRDefault="00CF7044" w:rsidP="007A58F5">
      <w:pPr>
        <w:pStyle w:val="Zkladntext"/>
      </w:pPr>
      <w:r>
        <w:t xml:space="preserve">V klinických farmakologických štúdiách sa skúmala schopnosť tadalafilu (10 </w:t>
      </w:r>
      <w:r w:rsidR="00B92138">
        <w:t xml:space="preserve">mg </w:t>
      </w:r>
      <w:r>
        <w:t xml:space="preserve">a 20 mg) zosilniť </w:t>
      </w:r>
      <w:r>
        <w:lastRenderedPageBreak/>
        <w:t>hypotenzívne účinky antihypertenzív. Skúmali sa hlavné skupiny antihypertenzív podávané</w:t>
      </w:r>
    </w:p>
    <w:p w14:paraId="7ECF8267" w14:textId="19346E62" w:rsidR="004422A3" w:rsidRDefault="00CF7044" w:rsidP="007A58F5">
      <w:pPr>
        <w:pStyle w:val="Zkladntext"/>
      </w:pPr>
      <w:r>
        <w:t>v monoterapii alebo ako časť kombinovanej liečby. U pacientov užívajúcich viac antihypertenzív, u ktorých hypertenzia nebola dostatočne kontrolovaná, sa pozorovali väčšie zníženia krvného tlaku v porovnaní s pacientmi, ktorých krvných tlak bol dobre kontrolovaný, k</w:t>
      </w:r>
      <w:r w:rsidR="00B92138">
        <w:t>eď</w:t>
      </w:r>
      <w:r>
        <w:t xml:space="preserve"> zníženie bolo minimálne a rovnaké ako u</w:t>
      </w:r>
      <w:r w:rsidR="007A58F5">
        <w:t> </w:t>
      </w:r>
      <w:r>
        <w:t>zdravých</w:t>
      </w:r>
      <w:r w:rsidR="007A58F5">
        <w:t xml:space="preserve"> </w:t>
      </w:r>
      <w:r w:rsidR="00B92138">
        <w:t>osôb</w:t>
      </w:r>
      <w:r>
        <w:t>. U pacientov užívajúcich súbežnú liečbu antihypertenzívami môže tadalafil 20 mg vyvolať zníženie krvného tlaku, ktoré (s výnimkou doxazosínu – pozri vyššie) je zvyčajne mierne a pravdepodobne nie je klinicky</w:t>
      </w:r>
      <w:r>
        <w:rPr>
          <w:spacing w:val="-7"/>
        </w:rPr>
        <w:t xml:space="preserve"> </w:t>
      </w:r>
      <w:r>
        <w:t>významné.</w:t>
      </w:r>
    </w:p>
    <w:p w14:paraId="79CAB814" w14:textId="77777777" w:rsidR="004422A3" w:rsidRDefault="004422A3" w:rsidP="007A58F5">
      <w:pPr>
        <w:pStyle w:val="Zkladntext"/>
        <w:spacing w:before="1"/>
      </w:pPr>
    </w:p>
    <w:p w14:paraId="7104D179" w14:textId="77777777" w:rsidR="004422A3" w:rsidRDefault="00CF7044" w:rsidP="007A58F5">
      <w:pPr>
        <w:spacing w:before="1" w:line="252" w:lineRule="exact"/>
        <w:rPr>
          <w:i/>
        </w:rPr>
      </w:pPr>
      <w:r>
        <w:rPr>
          <w:i/>
        </w:rPr>
        <w:t>Riociguát</w:t>
      </w:r>
    </w:p>
    <w:p w14:paraId="60E4F2AF" w14:textId="043361EC" w:rsidR="004422A3" w:rsidRDefault="00CF7044" w:rsidP="007A58F5">
      <w:pPr>
        <w:pStyle w:val="Zkladntext"/>
      </w:pPr>
      <w:r>
        <w:t xml:space="preserve">Predklinické štúdie </w:t>
      </w:r>
      <w:r w:rsidR="00B92138">
        <w:t>pre</w:t>
      </w:r>
      <w:r>
        <w:t>ukázali aditívny systémový účinok znižujúci krvný tlak, keď sa inhibítory PDE5 podávali sú</w:t>
      </w:r>
      <w:r w:rsidR="00B92138">
        <w:t>bežne</w:t>
      </w:r>
      <w:r>
        <w:t xml:space="preserve"> s riociguátom. Klinické štúdie preukázali, že riociguát zosilňuje hypotenzívne účinky inhibítorov PDE5. V skúšanej populácii nebol nájdený žiadny dôkaz o priaznivom klinickom účinku spomínanej kombinácie. Sú</w:t>
      </w:r>
      <w:r w:rsidR="00B92138">
        <w:t>bežné</w:t>
      </w:r>
      <w:r>
        <w:t xml:space="preserve"> užívanie riociguátu s</w:t>
      </w:r>
      <w:r w:rsidR="00B92138">
        <w:t xml:space="preserve"> inhibítormi </w:t>
      </w:r>
      <w:r>
        <w:t>PDE5, vrátane tadalafilu, je kontraindikované (pozri časť 4.3).</w:t>
      </w:r>
    </w:p>
    <w:p w14:paraId="4A3F1AC9" w14:textId="77777777" w:rsidR="004422A3" w:rsidRDefault="004422A3" w:rsidP="007A58F5">
      <w:pPr>
        <w:pStyle w:val="Zkladntext"/>
        <w:spacing w:before="9"/>
        <w:rPr>
          <w:sz w:val="21"/>
        </w:rPr>
      </w:pPr>
    </w:p>
    <w:p w14:paraId="71F36A7B" w14:textId="77777777" w:rsidR="004422A3" w:rsidRDefault="00CF7044" w:rsidP="007A58F5">
      <w:pPr>
        <w:rPr>
          <w:i/>
        </w:rPr>
      </w:pPr>
      <w:r>
        <w:rPr>
          <w:i/>
        </w:rPr>
        <w:t>Alkohol</w:t>
      </w:r>
    </w:p>
    <w:p w14:paraId="2248EC3E" w14:textId="36C44430" w:rsidR="004422A3" w:rsidRDefault="00CF7044" w:rsidP="007A58F5">
      <w:pPr>
        <w:pStyle w:val="Zkladntext"/>
        <w:spacing w:before="2"/>
      </w:pPr>
      <w:r>
        <w:t>Koncentrácia alkoholu nebola ovplyvnená sú</w:t>
      </w:r>
      <w:r w:rsidR="00B92138">
        <w:t>bežným</w:t>
      </w:r>
      <w:r>
        <w:t xml:space="preserve"> podaním tadalafilu (10 mg alebo 20 mg). Okrem toho neboli pozorované žiadne zmeny v koncentráciách tadalafilu po súbežnom podaní s alkoholom. Tadalafil (20 mg) nezosilňoval priemerné zníženie krvného tlaku spôsobené alkoholom (0,7 g/kg alebo približne 180 ml 40 % alkoholu [vodky] u</w:t>
      </w:r>
      <w:r w:rsidR="00B92138">
        <w:t> </w:t>
      </w:r>
      <w:r>
        <w:t>80</w:t>
      </w:r>
      <w:r w:rsidR="00B92138">
        <w:t xml:space="preserve"> </w:t>
      </w:r>
      <w:r>
        <w:t>kg muža), u niektorých osôb však boli pozorované posturálne závraty a ortostatická hypotenzia. Tadalafil (10 mg) nezosilňoval vplyv alkoholu na kognitívne funkcie.</w:t>
      </w:r>
    </w:p>
    <w:p w14:paraId="629BCE3A" w14:textId="77777777" w:rsidR="004422A3" w:rsidRDefault="004422A3" w:rsidP="007A58F5">
      <w:pPr>
        <w:pStyle w:val="Zkladntext"/>
        <w:spacing w:before="11"/>
        <w:rPr>
          <w:sz w:val="21"/>
        </w:rPr>
      </w:pPr>
    </w:p>
    <w:p w14:paraId="0E4380C2" w14:textId="77777777" w:rsidR="004422A3" w:rsidRDefault="00CF7044" w:rsidP="007A58F5">
      <w:pPr>
        <w:spacing w:line="252" w:lineRule="exact"/>
        <w:rPr>
          <w:i/>
        </w:rPr>
      </w:pPr>
      <w:r>
        <w:rPr>
          <w:i/>
        </w:rPr>
        <w:t>Substráty CYP1A2 (napr. teofylín)</w:t>
      </w:r>
    </w:p>
    <w:p w14:paraId="4EAF455A" w14:textId="77777777" w:rsidR="004422A3" w:rsidRDefault="00CF7044" w:rsidP="007A58F5">
      <w:pPr>
        <w:pStyle w:val="Zkladntext"/>
      </w:pPr>
      <w:r>
        <w:t>Pri podaní tadalafilu v dávke 10 mg spolu s teofylínom (neselektívnym inhibítorom fosfodiesterázy) sa nezistila žiadna farmakokinetická interakcia. Jediným farmakodynamickým účinkom bolo malé</w:t>
      </w:r>
    </w:p>
    <w:p w14:paraId="35047459" w14:textId="2278BF94" w:rsidR="004422A3" w:rsidRDefault="00CF7044" w:rsidP="007A58F5">
      <w:pPr>
        <w:pStyle w:val="Zkladntext"/>
      </w:pPr>
      <w:r>
        <w:t xml:space="preserve">(3,5 úderov/min) zrýchlenie srdcového </w:t>
      </w:r>
      <w:r w:rsidR="00B92138">
        <w:t>tepu</w:t>
      </w:r>
      <w:r>
        <w:t>.</w:t>
      </w:r>
    </w:p>
    <w:p w14:paraId="06F04E55" w14:textId="77777777" w:rsidR="004422A3" w:rsidRDefault="004422A3" w:rsidP="007A58F5">
      <w:pPr>
        <w:pStyle w:val="Zkladntext"/>
      </w:pPr>
    </w:p>
    <w:p w14:paraId="4BF9B7BE" w14:textId="77777777" w:rsidR="004422A3" w:rsidRDefault="00CF7044" w:rsidP="007A58F5">
      <w:pPr>
        <w:spacing w:line="252" w:lineRule="exact"/>
        <w:rPr>
          <w:i/>
        </w:rPr>
      </w:pPr>
      <w:r>
        <w:rPr>
          <w:i/>
        </w:rPr>
        <w:t>Substráty CYP2C9 (napr. R-warfarín)</w:t>
      </w:r>
    </w:p>
    <w:p w14:paraId="460ADBF3" w14:textId="5DECCE2E" w:rsidR="004422A3" w:rsidRDefault="00CF7044" w:rsidP="007A58F5">
      <w:pPr>
        <w:pStyle w:val="Zkladntext"/>
      </w:pPr>
      <w:r>
        <w:t xml:space="preserve">Tadalafil (10 mg a 20 mg) nemal klinicky významný vplyv na expozíciu (AUC) S-warfarínu alebo R- warfarínu (substrát  CYP2C9), ani neovplyvňoval zmeny protrombínového času </w:t>
      </w:r>
      <w:r w:rsidR="00B92138">
        <w:t>vyvolané</w:t>
      </w:r>
      <w:r>
        <w:t xml:space="preserve"> warfarínom.</w:t>
      </w:r>
    </w:p>
    <w:p w14:paraId="29A4D0A5" w14:textId="77777777" w:rsidR="004422A3" w:rsidRDefault="004422A3" w:rsidP="007A58F5">
      <w:pPr>
        <w:pStyle w:val="Zkladntext"/>
      </w:pPr>
    </w:p>
    <w:p w14:paraId="32E51BD7" w14:textId="77777777" w:rsidR="004422A3" w:rsidRDefault="00CF7044" w:rsidP="007A58F5">
      <w:pPr>
        <w:spacing w:line="252" w:lineRule="exact"/>
        <w:rPr>
          <w:i/>
        </w:rPr>
      </w:pPr>
      <w:r>
        <w:rPr>
          <w:i/>
        </w:rPr>
        <w:t>Kyselina acetylsalicylová</w:t>
      </w:r>
    </w:p>
    <w:p w14:paraId="1A69CF0A" w14:textId="77777777" w:rsidR="004422A3" w:rsidRDefault="00CF7044" w:rsidP="007A58F5">
      <w:pPr>
        <w:pStyle w:val="Zkladntext"/>
      </w:pPr>
      <w:r>
        <w:t>Tadalafil (10 mg a 20 mg) nezvyšoval predĺženie času krvácania spôsobeného kyselinou acetylsalicylovou.</w:t>
      </w:r>
    </w:p>
    <w:p w14:paraId="6838747E" w14:textId="77777777" w:rsidR="004422A3" w:rsidRDefault="004422A3" w:rsidP="007A58F5">
      <w:pPr>
        <w:pStyle w:val="Zkladntext"/>
        <w:spacing w:before="10"/>
        <w:rPr>
          <w:sz w:val="21"/>
        </w:rPr>
      </w:pPr>
    </w:p>
    <w:p w14:paraId="58D9F903" w14:textId="77777777" w:rsidR="004422A3" w:rsidRDefault="00CF7044" w:rsidP="007A58F5">
      <w:pPr>
        <w:spacing w:before="1"/>
        <w:rPr>
          <w:i/>
        </w:rPr>
      </w:pPr>
      <w:r>
        <w:rPr>
          <w:i/>
        </w:rPr>
        <w:t>Substráty P-glykoproteínu (napr. digoxín)</w:t>
      </w:r>
    </w:p>
    <w:p w14:paraId="3D32CFDE" w14:textId="77777777" w:rsidR="004422A3" w:rsidRDefault="00CF7044" w:rsidP="007A58F5">
      <w:pPr>
        <w:pStyle w:val="Zkladntext"/>
        <w:spacing w:before="1"/>
      </w:pPr>
      <w:r>
        <w:t>Tadalafil (40 mg jedenkrát denne) nemal žiadny významný vplyv na farmakokinetiku digoxínu.</w:t>
      </w:r>
    </w:p>
    <w:p w14:paraId="615D4114" w14:textId="77777777" w:rsidR="004422A3" w:rsidRDefault="004422A3" w:rsidP="007A58F5">
      <w:pPr>
        <w:pStyle w:val="Zkladntext"/>
      </w:pPr>
    </w:p>
    <w:p w14:paraId="51967667" w14:textId="77777777" w:rsidR="004422A3" w:rsidRDefault="00CF7044" w:rsidP="007A58F5">
      <w:pPr>
        <w:spacing w:line="252" w:lineRule="exact"/>
        <w:rPr>
          <w:i/>
        </w:rPr>
      </w:pPr>
      <w:r>
        <w:rPr>
          <w:i/>
        </w:rPr>
        <w:t>Perorálne kontraceptíva</w:t>
      </w:r>
    </w:p>
    <w:p w14:paraId="14493AF7" w14:textId="77777777" w:rsidR="004422A3" w:rsidRDefault="00CF7044" w:rsidP="007A58F5">
      <w:pPr>
        <w:pStyle w:val="Zkladntext"/>
        <w:spacing w:line="252" w:lineRule="exact"/>
      </w:pPr>
      <w:r>
        <w:t>V rovnovážnom stave tadalafil (40 mg jedenkrát denne) zvýšil expozíciu etinylestradiolu (AUC)</w:t>
      </w:r>
    </w:p>
    <w:p w14:paraId="5867DEA2" w14:textId="0B7B527D" w:rsidR="004422A3" w:rsidRDefault="00CF7044" w:rsidP="007A58F5">
      <w:pPr>
        <w:pStyle w:val="Zkladntext"/>
        <w:spacing w:before="1"/>
      </w:pPr>
      <w:r>
        <w:rPr>
          <w:position w:val="2"/>
        </w:rPr>
        <w:t>o 26 % a C</w:t>
      </w:r>
      <w:r>
        <w:rPr>
          <w:sz w:val="14"/>
        </w:rPr>
        <w:t xml:space="preserve">max </w:t>
      </w:r>
      <w:r>
        <w:rPr>
          <w:position w:val="2"/>
        </w:rPr>
        <w:t>o 70 % v porovnaní s perorálnym kontraceptívom podávaným s placebom. Tadalafil</w:t>
      </w:r>
      <w:r>
        <w:t xml:space="preserve"> nemal štatisticky významný účinok na levonorgestrel, čo </w:t>
      </w:r>
      <w:r w:rsidR="00B92138">
        <w:t>naznačuje</w:t>
      </w:r>
      <w:r>
        <w:t xml:space="preserve">, že účinok </w:t>
      </w:r>
      <w:r w:rsidR="00B92138">
        <w:t xml:space="preserve">na </w:t>
      </w:r>
      <w:r>
        <w:t xml:space="preserve">etinylestradiol </w:t>
      </w:r>
      <w:r w:rsidR="00B92138">
        <w:t>je spôsobený tadalafilom sprostredkovanou inhibíciou črevnej sulfatácie.</w:t>
      </w:r>
      <w:r>
        <w:t xml:space="preserve"> Klinický význam tohto zistenia nie je jasný.</w:t>
      </w:r>
    </w:p>
    <w:p w14:paraId="23D4E2F1" w14:textId="77777777" w:rsidR="004422A3" w:rsidRDefault="004422A3" w:rsidP="007A58F5">
      <w:pPr>
        <w:pStyle w:val="Zkladntext"/>
        <w:spacing w:before="10"/>
        <w:rPr>
          <w:sz w:val="21"/>
        </w:rPr>
      </w:pPr>
    </w:p>
    <w:p w14:paraId="3912F538" w14:textId="77777777" w:rsidR="004422A3" w:rsidRDefault="00CF7044" w:rsidP="007A58F5">
      <w:pPr>
        <w:spacing w:line="252" w:lineRule="exact"/>
        <w:rPr>
          <w:i/>
        </w:rPr>
      </w:pPr>
      <w:r>
        <w:rPr>
          <w:i/>
        </w:rPr>
        <w:t>Terbutalín</w:t>
      </w:r>
    </w:p>
    <w:p w14:paraId="27562BA1" w14:textId="77777777" w:rsidR="004422A3" w:rsidRDefault="00CF7044" w:rsidP="007A58F5">
      <w:pPr>
        <w:pStyle w:val="Zkladntext"/>
        <w:spacing w:before="7" w:line="230" w:lineRule="auto"/>
      </w:pPr>
      <w:r>
        <w:rPr>
          <w:position w:val="2"/>
        </w:rPr>
        <w:t>Podobné zvýšenie AUC a C</w:t>
      </w:r>
      <w:r>
        <w:rPr>
          <w:position w:val="2"/>
          <w:vertAlign w:val="subscript"/>
        </w:rPr>
        <w:t>max</w:t>
      </w:r>
      <w:r>
        <w:rPr>
          <w:position w:val="2"/>
        </w:rPr>
        <w:t xml:space="preserve"> pozorované pri etinylestradiole sa môže očakávať pri perorálnom </w:t>
      </w:r>
      <w:r>
        <w:t>podaní terbutalínu, pravdepodobne z dôvodu inhibície črevnej sulfatácie tadalafilom. Klinický význam tohto zistenia je nejasný.</w:t>
      </w:r>
    </w:p>
    <w:p w14:paraId="2FD48180" w14:textId="77777777" w:rsidR="004422A3" w:rsidRDefault="004422A3" w:rsidP="007A58F5">
      <w:pPr>
        <w:pStyle w:val="Zkladntext"/>
        <w:spacing w:before="9"/>
      </w:pPr>
    </w:p>
    <w:p w14:paraId="0678E651" w14:textId="77777777" w:rsidR="004422A3" w:rsidRDefault="00CF7044" w:rsidP="007A58F5">
      <w:pPr>
        <w:pStyle w:val="Nadpis1"/>
        <w:numPr>
          <w:ilvl w:val="1"/>
          <w:numId w:val="9"/>
        </w:numPr>
        <w:tabs>
          <w:tab w:val="left" w:pos="882"/>
          <w:tab w:val="left" w:pos="883"/>
        </w:tabs>
        <w:ind w:left="0" w:firstLine="0"/>
      </w:pPr>
      <w:r>
        <w:t>Fertilita, gravidita a</w:t>
      </w:r>
      <w:r>
        <w:rPr>
          <w:spacing w:val="-7"/>
        </w:rPr>
        <w:t xml:space="preserve"> </w:t>
      </w:r>
      <w:r>
        <w:t>laktácia</w:t>
      </w:r>
    </w:p>
    <w:p w14:paraId="67286A98" w14:textId="77777777" w:rsidR="004422A3" w:rsidRDefault="004422A3" w:rsidP="007A58F5">
      <w:pPr>
        <w:pStyle w:val="Zkladntext"/>
        <w:spacing w:before="7"/>
        <w:rPr>
          <w:b/>
          <w:sz w:val="21"/>
        </w:rPr>
      </w:pPr>
    </w:p>
    <w:p w14:paraId="148E39C4" w14:textId="77777777" w:rsidR="004422A3" w:rsidRDefault="00CF7044" w:rsidP="007A58F5">
      <w:pPr>
        <w:pStyle w:val="Zkladntext"/>
        <w:spacing w:line="252" w:lineRule="exact"/>
      </w:pPr>
      <w:r>
        <w:rPr>
          <w:u w:val="single"/>
        </w:rPr>
        <w:t>Gravidita</w:t>
      </w:r>
    </w:p>
    <w:p w14:paraId="2F4AC0F0" w14:textId="77777777" w:rsidR="004422A3" w:rsidRDefault="00CF7044" w:rsidP="007A58F5">
      <w:pPr>
        <w:pStyle w:val="Zkladntext"/>
      </w:pPr>
      <w:r>
        <w:t>K dispozícii sú len obmedzené údaje o použití tadalafilu u gravidných žien. Štúdie na zvieratách nepreukázali priame alebo nepriame škodlivé účinky na graviditu</w:t>
      </w:r>
      <w:r>
        <w:rPr>
          <w:b/>
          <w:i/>
        </w:rPr>
        <w:t xml:space="preserve">, </w:t>
      </w:r>
      <w:r>
        <w:t xml:space="preserve">embryonálny/fetálny vývin, pôrod alebo postnatálny vývin (pozri časť 5.3). Ako preventívne opatrenie sa odporúča vyhýbať sa </w:t>
      </w:r>
      <w:r>
        <w:lastRenderedPageBreak/>
        <w:t>používaniu tadalafilu počas gravidity.</w:t>
      </w:r>
    </w:p>
    <w:p w14:paraId="61D87B85" w14:textId="77777777" w:rsidR="00CF7044" w:rsidRDefault="00CF7044" w:rsidP="007A58F5">
      <w:pPr>
        <w:pStyle w:val="Zkladntext"/>
        <w:spacing w:before="66"/>
        <w:rPr>
          <w:u w:val="single"/>
        </w:rPr>
      </w:pPr>
    </w:p>
    <w:p w14:paraId="49079055" w14:textId="0DAF8823" w:rsidR="004422A3" w:rsidRDefault="00B92138" w:rsidP="007A58F5">
      <w:pPr>
        <w:pStyle w:val="Zkladntext"/>
        <w:spacing w:before="66"/>
      </w:pPr>
      <w:r>
        <w:rPr>
          <w:u w:val="single"/>
        </w:rPr>
        <w:t>Dojčenie</w:t>
      </w:r>
    </w:p>
    <w:p w14:paraId="4238DFC0" w14:textId="77777777" w:rsidR="004422A3" w:rsidRDefault="00CF7044" w:rsidP="007A58F5">
      <w:pPr>
        <w:pStyle w:val="Zkladntext"/>
        <w:spacing w:before="1"/>
      </w:pPr>
      <w:r>
        <w:t xml:space="preserve">Dostupné farmakodynamické/toxikologické údaje u zvierat preukázali vylučovanie tadalafilu do mlieka. Riziko pre dojčené dieťa nemožno vylúčiť. </w:t>
      </w:r>
      <w:r w:rsidR="00751269">
        <w:t>Tadalafil AOP</w:t>
      </w:r>
      <w:r>
        <w:t xml:space="preserve"> sa nemá používať počas dojčenia.</w:t>
      </w:r>
    </w:p>
    <w:p w14:paraId="1AEC9E8C" w14:textId="77777777" w:rsidR="004422A3" w:rsidRDefault="004422A3" w:rsidP="007A58F5">
      <w:pPr>
        <w:pStyle w:val="Zkladntext"/>
        <w:spacing w:before="11"/>
        <w:rPr>
          <w:sz w:val="21"/>
        </w:rPr>
      </w:pPr>
    </w:p>
    <w:p w14:paraId="028B1384" w14:textId="77777777" w:rsidR="004422A3" w:rsidRDefault="00CF7044" w:rsidP="007A58F5">
      <w:pPr>
        <w:pStyle w:val="Zkladntext"/>
      </w:pPr>
      <w:r>
        <w:rPr>
          <w:u w:val="single"/>
        </w:rPr>
        <w:t>Fertilita</w:t>
      </w:r>
    </w:p>
    <w:p w14:paraId="2C785A57" w14:textId="679C8888" w:rsidR="004422A3" w:rsidRDefault="00CF7044" w:rsidP="007A58F5">
      <w:pPr>
        <w:pStyle w:val="Zkladntext"/>
        <w:spacing w:before="1"/>
      </w:pPr>
      <w:r>
        <w:t xml:space="preserve">U psov sa pozorovali účinky, ktoré by mohli </w:t>
      </w:r>
      <w:r w:rsidR="00B92138">
        <w:t xml:space="preserve">naznačovať </w:t>
      </w:r>
      <w:r>
        <w:t>zníženie fertility. Dve následné klinické štúdie naznačujú, že tieto účinky sú nepravdepodobné u ľudí, hoci sa pozorovalo zníženie koncentrácie spermií u niekoľkých mužov (pozri časti 5.1 a 5.3).</w:t>
      </w:r>
    </w:p>
    <w:p w14:paraId="202E759B" w14:textId="77777777" w:rsidR="004422A3" w:rsidRDefault="004422A3" w:rsidP="007A58F5">
      <w:pPr>
        <w:pStyle w:val="Zkladntext"/>
        <w:spacing w:before="3"/>
      </w:pPr>
    </w:p>
    <w:p w14:paraId="3162760E" w14:textId="77777777" w:rsidR="004422A3" w:rsidRDefault="00CF7044" w:rsidP="007A58F5">
      <w:pPr>
        <w:pStyle w:val="Nadpis1"/>
        <w:numPr>
          <w:ilvl w:val="1"/>
          <w:numId w:val="9"/>
        </w:numPr>
        <w:tabs>
          <w:tab w:val="left" w:pos="882"/>
          <w:tab w:val="left" w:pos="883"/>
        </w:tabs>
        <w:ind w:left="0" w:firstLine="0"/>
      </w:pPr>
      <w:r>
        <w:t>Ovplyvnenie schopnosti viesť vozidlá a obsluhovať</w:t>
      </w:r>
      <w:r>
        <w:rPr>
          <w:spacing w:val="-14"/>
        </w:rPr>
        <w:t xml:space="preserve"> </w:t>
      </w:r>
      <w:r>
        <w:t>stroje</w:t>
      </w:r>
    </w:p>
    <w:p w14:paraId="2957BA26" w14:textId="77777777" w:rsidR="004422A3" w:rsidRDefault="004422A3" w:rsidP="007A58F5">
      <w:pPr>
        <w:pStyle w:val="Zkladntext"/>
        <w:spacing w:before="7"/>
        <w:rPr>
          <w:b/>
          <w:sz w:val="21"/>
        </w:rPr>
      </w:pPr>
    </w:p>
    <w:p w14:paraId="258D0D16" w14:textId="4C0AA214" w:rsidR="004422A3" w:rsidRDefault="00751269" w:rsidP="007A58F5">
      <w:pPr>
        <w:pStyle w:val="Zkladntext"/>
      </w:pPr>
      <w:r>
        <w:t>Tadalafil AOP</w:t>
      </w:r>
      <w:r w:rsidR="00CF7044">
        <w:t xml:space="preserve"> má zanedbateľný vplyv na schopnosť viesť vozidlá a obsluhovať stroje. Hoci výskyt závratov v klinických štúdiách bol podobný v skupinách </w:t>
      </w:r>
      <w:r w:rsidR="00B92138">
        <w:t xml:space="preserve">s </w:t>
      </w:r>
      <w:r w:rsidR="00CF7044">
        <w:t>placeb</w:t>
      </w:r>
      <w:r w:rsidR="00B92138">
        <w:t>om</w:t>
      </w:r>
      <w:r w:rsidR="00CF7044">
        <w:t xml:space="preserve"> a tadalafil</w:t>
      </w:r>
      <w:r w:rsidR="00B92138">
        <w:t>om</w:t>
      </w:r>
      <w:r w:rsidR="00CF7044">
        <w:t xml:space="preserve">, pred vedením motorových vozidiel alebo obsluhovaním strojov by pacienti mali poznať svoju reakciu na </w:t>
      </w:r>
      <w:r>
        <w:t>Tadalafil AOP</w:t>
      </w:r>
      <w:r w:rsidR="00CF7044">
        <w:t>.</w:t>
      </w:r>
    </w:p>
    <w:p w14:paraId="2F3BD132" w14:textId="77777777" w:rsidR="004422A3" w:rsidRDefault="004422A3" w:rsidP="007A58F5">
      <w:pPr>
        <w:pStyle w:val="Zkladntext"/>
        <w:spacing w:before="6"/>
      </w:pPr>
    </w:p>
    <w:p w14:paraId="24D53A97" w14:textId="77777777" w:rsidR="004422A3" w:rsidRDefault="00CF7044" w:rsidP="007A58F5">
      <w:pPr>
        <w:pStyle w:val="Nadpis1"/>
        <w:numPr>
          <w:ilvl w:val="1"/>
          <w:numId w:val="9"/>
        </w:numPr>
        <w:tabs>
          <w:tab w:val="left" w:pos="882"/>
          <w:tab w:val="left" w:pos="883"/>
        </w:tabs>
        <w:ind w:left="0" w:firstLine="0"/>
      </w:pPr>
      <w:r>
        <w:t>Nežiaduce</w:t>
      </w:r>
      <w:r>
        <w:rPr>
          <w:spacing w:val="-1"/>
        </w:rPr>
        <w:t xml:space="preserve"> </w:t>
      </w:r>
      <w:r>
        <w:t>účinky</w:t>
      </w:r>
    </w:p>
    <w:p w14:paraId="23357B03" w14:textId="77777777" w:rsidR="004422A3" w:rsidRDefault="004422A3" w:rsidP="007A58F5">
      <w:pPr>
        <w:pStyle w:val="Zkladntext"/>
        <w:spacing w:before="5"/>
        <w:rPr>
          <w:b/>
          <w:sz w:val="21"/>
        </w:rPr>
      </w:pPr>
    </w:p>
    <w:p w14:paraId="55BCF8DB" w14:textId="77777777" w:rsidR="004422A3" w:rsidRDefault="00CF7044" w:rsidP="007A58F5">
      <w:pPr>
        <w:pStyle w:val="Zkladntext"/>
      </w:pPr>
      <w:r>
        <w:rPr>
          <w:u w:val="single"/>
        </w:rPr>
        <w:t>Súhrn bezpečnostného profilu</w:t>
      </w:r>
    </w:p>
    <w:p w14:paraId="4DA3D06F" w14:textId="6E454152" w:rsidR="004422A3" w:rsidRDefault="00CF7044" w:rsidP="007A58F5">
      <w:pPr>
        <w:pStyle w:val="Zkladntext"/>
        <w:spacing w:before="2"/>
      </w:pPr>
      <w:r>
        <w:t>Najčastejšie hlásenými nežiaducimi účinkami, vyskytujúcimi sa u ≥ 10 % pacientov v</w:t>
      </w:r>
      <w:r w:rsidR="00D93FA1">
        <w:t xml:space="preserve"> skupine so </w:t>
      </w:r>
      <w:r>
        <w:t>40 mg tadalafil</w:t>
      </w:r>
      <w:r w:rsidR="00D93FA1">
        <w:t>u</w:t>
      </w:r>
      <w:r>
        <w:t xml:space="preserve"> boli bolesť hlavy, nevoľnosť, bolesť chrbta, dyspepsia, </w:t>
      </w:r>
      <w:r w:rsidRPr="00E83EFA">
        <w:t>návaly</w:t>
      </w:r>
      <w:r w:rsidR="00E83EFA" w:rsidRPr="00E83EFA">
        <w:t xml:space="preserve"> tepla</w:t>
      </w:r>
      <w:r w:rsidRPr="00E83EFA">
        <w:t>,</w:t>
      </w:r>
      <w:r>
        <w:t xml:space="preserve"> bolesť svalov, nazofaryngitída a bolesť </w:t>
      </w:r>
      <w:r w:rsidR="00D93FA1">
        <w:t xml:space="preserve">v </w:t>
      </w:r>
      <w:r>
        <w:t>končat</w:t>
      </w:r>
      <w:r w:rsidR="00D93FA1">
        <w:t>inách</w:t>
      </w:r>
      <w:r>
        <w:t>. Hlásené nežiaduce účinky boli prechodné a vo všeobecnosti mierne až stredne závažné. Údaje o nežiaducich účinkoch u pacientov vo veku nad 75 rokov sú obmedzené.</w:t>
      </w:r>
    </w:p>
    <w:p w14:paraId="20801B3A" w14:textId="77777777" w:rsidR="004422A3" w:rsidRDefault="004422A3" w:rsidP="007A58F5">
      <w:pPr>
        <w:pStyle w:val="Zkladntext"/>
        <w:spacing w:before="11"/>
        <w:rPr>
          <w:sz w:val="21"/>
        </w:rPr>
      </w:pPr>
    </w:p>
    <w:p w14:paraId="6DA13EEF" w14:textId="5C28DB32" w:rsidR="004422A3" w:rsidRDefault="00CF7044" w:rsidP="007A58F5">
      <w:pPr>
        <w:pStyle w:val="Zkladntext"/>
      </w:pPr>
      <w:r>
        <w:t xml:space="preserve">V </w:t>
      </w:r>
      <w:r w:rsidR="00D93FA1">
        <w:t>pivotnej</w:t>
      </w:r>
      <w:r>
        <w:t xml:space="preserve"> placebom kontrolovanej štúdii s </w:t>
      </w:r>
      <w:r w:rsidR="00D93FA1">
        <w:t>t</w:t>
      </w:r>
      <w:r w:rsidR="00751269">
        <w:t>adalafil</w:t>
      </w:r>
      <w:r w:rsidR="00D93FA1">
        <w:t>om</w:t>
      </w:r>
      <w:r w:rsidR="00751269">
        <w:t xml:space="preserve"> </w:t>
      </w:r>
      <w:r w:rsidR="00D93FA1">
        <w:t>v</w:t>
      </w:r>
      <w:r>
        <w:t xml:space="preserve"> liečb</w:t>
      </w:r>
      <w:r w:rsidR="00D93FA1">
        <w:t>e</w:t>
      </w:r>
      <w:r>
        <w:t xml:space="preserve"> PAH bolo celkovo 323 pacientov liečených </w:t>
      </w:r>
      <w:r w:rsidR="00D93FA1">
        <w:t>t</w:t>
      </w:r>
      <w:r w:rsidR="00751269">
        <w:t>adalafil</w:t>
      </w:r>
      <w:r w:rsidR="00D93FA1">
        <w:t>om</w:t>
      </w:r>
      <w:r>
        <w:t xml:space="preserve"> v dávkach, ktoré sa pohybovali v rozmedzí od 2,5 mg do 40 mg jedenkrát denne a 82 pacientov bolo liečených placebom. Liečba trvala 16 týždňov. Celková frekvencia ukončenia liečby z dôvodu nežiaducich udalostí bola nízka (</w:t>
      </w:r>
      <w:r w:rsidR="00D93FA1">
        <w:t>t</w:t>
      </w:r>
      <w:r w:rsidR="00751269">
        <w:t xml:space="preserve">adalafil </w:t>
      </w:r>
      <w:r>
        <w:t>11 %, placebo 16 %).</w:t>
      </w:r>
    </w:p>
    <w:p w14:paraId="5DF83FDF" w14:textId="3476F335" w:rsidR="004422A3" w:rsidRDefault="00CF7044" w:rsidP="007A58F5">
      <w:pPr>
        <w:pStyle w:val="Zkladntext"/>
      </w:pPr>
      <w:r>
        <w:t xml:space="preserve">Tristopäťdesiatsedem (357) osôb, ktoré dokončili </w:t>
      </w:r>
      <w:r w:rsidR="00D93FA1">
        <w:t>pivotnú</w:t>
      </w:r>
      <w:r>
        <w:t xml:space="preserve"> štúdiu, bolo zaradených do dlhodobej rozšírenej štúdie. Skúmané dávky boli 20 mg a 40 mg jedenkrát denne.</w:t>
      </w:r>
    </w:p>
    <w:p w14:paraId="17B74154" w14:textId="77777777" w:rsidR="004422A3" w:rsidRDefault="004422A3" w:rsidP="007A58F5">
      <w:pPr>
        <w:pStyle w:val="Zkladntext"/>
      </w:pPr>
    </w:p>
    <w:p w14:paraId="6C51FBE5" w14:textId="77777777" w:rsidR="004422A3" w:rsidRPr="00E83EFA" w:rsidRDefault="00CF7044" w:rsidP="007A58F5">
      <w:pPr>
        <w:pStyle w:val="Zkladntext"/>
        <w:spacing w:line="252" w:lineRule="exact"/>
      </w:pPr>
      <w:r w:rsidRPr="00E83EFA">
        <w:rPr>
          <w:u w:val="single"/>
        </w:rPr>
        <w:t>Tabuľkový súhrn nežiaducich účinkov</w:t>
      </w:r>
    </w:p>
    <w:p w14:paraId="20396BDE" w14:textId="25941E58" w:rsidR="004422A3" w:rsidRDefault="00CF7044" w:rsidP="007A58F5">
      <w:pPr>
        <w:pStyle w:val="Zkladntext"/>
      </w:pPr>
      <w:r w:rsidRPr="00E83EFA">
        <w:t xml:space="preserve">V nižšie uvedenej tabuľke sú vymenované nežiaduce účinky hlásené počas placebom kontrolovanej klinickej štúdie u pacientov s PAH liečených </w:t>
      </w:r>
      <w:r w:rsidR="00D93FA1" w:rsidRPr="00E83EFA">
        <w:t>t</w:t>
      </w:r>
      <w:r w:rsidR="00751269" w:rsidRPr="00E83EFA">
        <w:t>adalafi</w:t>
      </w:r>
      <w:r w:rsidR="00D93FA1" w:rsidRPr="00E83EFA">
        <w:t>lom</w:t>
      </w:r>
      <w:r w:rsidRPr="00E83EFA">
        <w:t xml:space="preserve">. V tabuľke sú uvedené aj niektoré nežiaduce udalosti/účinky, ktoré boli hlásené v klinických štúdiách s tadalafilom na liečbu mužskej erektilnej dysfunkcie a/alebo po jeho uvedení na trh. Frekvencia týchto udalostí </w:t>
      </w:r>
      <w:r w:rsidR="00E83EFA">
        <w:t>je</w:t>
      </w:r>
      <w:r w:rsidRPr="00E83EFA">
        <w:t xml:space="preserve"> buď označená ako „neznám</w:t>
      </w:r>
      <w:r w:rsidR="00E83EFA">
        <w:t>e</w:t>
      </w:r>
      <w:r w:rsidRPr="00E83EFA">
        <w:t xml:space="preserve">“, pretože ju nemožno odhadnúť z dostupných údajov u pacientov s PAH, alebo </w:t>
      </w:r>
      <w:r w:rsidR="00E83EFA">
        <w:t>je</w:t>
      </w:r>
      <w:r w:rsidRPr="00E83EFA">
        <w:t xml:space="preserve"> odhadnutá na základe údajov z </w:t>
      </w:r>
      <w:r w:rsidR="00E83EFA">
        <w:t>pivotne</w:t>
      </w:r>
      <w:r w:rsidR="00E83EFA" w:rsidRPr="00E83EFA">
        <w:t xml:space="preserve">j </w:t>
      </w:r>
      <w:r w:rsidRPr="00E83EFA">
        <w:t>placebom kontrolovanej klinickej štúdie</w:t>
      </w:r>
      <w:r w:rsidR="00751269" w:rsidRPr="00E83EFA">
        <w:t xml:space="preserve"> </w:t>
      </w:r>
      <w:r w:rsidRPr="00E83EFA">
        <w:t xml:space="preserve">s </w:t>
      </w:r>
      <w:r w:rsidR="00E83EFA">
        <w:t>tadalafilom</w:t>
      </w:r>
      <w:r w:rsidRPr="00E83EFA">
        <w:t>.</w:t>
      </w:r>
    </w:p>
    <w:p w14:paraId="55EBD7DF" w14:textId="77777777" w:rsidR="004422A3" w:rsidRDefault="004422A3" w:rsidP="007A58F5">
      <w:pPr>
        <w:pStyle w:val="Zkladntext"/>
        <w:spacing w:before="10"/>
        <w:rPr>
          <w:sz w:val="21"/>
        </w:rPr>
      </w:pPr>
    </w:p>
    <w:p w14:paraId="53C57701" w14:textId="77777777" w:rsidR="004422A3" w:rsidRDefault="00CF7044" w:rsidP="007A58F5">
      <w:pPr>
        <w:pStyle w:val="Zkladntext"/>
      </w:pPr>
      <w:r w:rsidRPr="000419E2">
        <w:t>Odhad frekvencie:</w:t>
      </w:r>
      <w:r>
        <w:t xml:space="preserve"> veľmi časté (</w:t>
      </w:r>
      <w:r>
        <w:rPr>
          <w:rFonts w:ascii="Symbol" w:hAnsi="Symbol"/>
        </w:rPr>
        <w:t></w:t>
      </w:r>
      <w:r>
        <w:t xml:space="preserve"> 1/10), časté (</w:t>
      </w:r>
      <w:r>
        <w:rPr>
          <w:rFonts w:ascii="Symbol" w:hAnsi="Symbol"/>
        </w:rPr>
        <w:t></w:t>
      </w:r>
      <w:r>
        <w:t xml:space="preserve"> 1/100 až &lt; 1/10), menej časté (</w:t>
      </w:r>
      <w:r>
        <w:rPr>
          <w:rFonts w:ascii="Symbol" w:hAnsi="Symbol"/>
        </w:rPr>
        <w:t></w:t>
      </w:r>
      <w:r>
        <w:t xml:space="preserve"> 1/1 000 až &lt; 1/100), zriedkavé (</w:t>
      </w:r>
      <w:r>
        <w:rPr>
          <w:rFonts w:ascii="Symbol" w:hAnsi="Symbol"/>
        </w:rPr>
        <w:t></w:t>
      </w:r>
      <w:r>
        <w:t xml:space="preserve"> 1/10 000 až &lt; 1/1 000), veľmi zriedkavé (&lt; 1/10 000) a neznáme (z dostupných údajov).</w:t>
      </w:r>
    </w:p>
    <w:p w14:paraId="597337E7" w14:textId="77777777" w:rsidR="004422A3" w:rsidRDefault="004422A3" w:rsidP="007A58F5">
      <w:pPr>
        <w:pStyle w:val="Zkladntext"/>
        <w:spacing w:before="6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2"/>
        <w:gridCol w:w="1857"/>
        <w:gridCol w:w="1817"/>
        <w:gridCol w:w="1808"/>
      </w:tblGrid>
      <w:tr w:rsidR="004422A3" w14:paraId="12A10988" w14:textId="77777777" w:rsidTr="00751269">
        <w:trPr>
          <w:trHeight w:val="505"/>
        </w:trPr>
        <w:tc>
          <w:tcPr>
            <w:tcW w:w="991" w:type="pct"/>
          </w:tcPr>
          <w:p w14:paraId="34349141" w14:textId="77777777" w:rsidR="004422A3" w:rsidRDefault="00CF7044" w:rsidP="007A58F5">
            <w:pPr>
              <w:pStyle w:val="TableParagraph"/>
              <w:spacing w:before="1"/>
              <w:ind w:left="0"/>
              <w:rPr>
                <w:b/>
              </w:rPr>
            </w:pPr>
            <w:r>
              <w:rPr>
                <w:b/>
              </w:rPr>
              <w:t>Veľmi časté</w:t>
            </w:r>
          </w:p>
        </w:tc>
        <w:tc>
          <w:tcPr>
            <w:tcW w:w="992" w:type="pct"/>
          </w:tcPr>
          <w:p w14:paraId="5FB53983" w14:textId="77777777" w:rsidR="004422A3" w:rsidRDefault="00CF7044" w:rsidP="007A58F5">
            <w:pPr>
              <w:pStyle w:val="TableParagraph"/>
              <w:spacing w:before="1"/>
              <w:ind w:left="0"/>
              <w:rPr>
                <w:b/>
              </w:rPr>
            </w:pPr>
            <w:r>
              <w:rPr>
                <w:b/>
              </w:rPr>
              <w:t>Časté</w:t>
            </w:r>
          </w:p>
        </w:tc>
        <w:tc>
          <w:tcPr>
            <w:tcW w:w="1022" w:type="pct"/>
          </w:tcPr>
          <w:p w14:paraId="466C3AB2" w14:textId="77777777" w:rsidR="004422A3" w:rsidRDefault="00CF7044" w:rsidP="007A58F5">
            <w:pPr>
              <w:pStyle w:val="TableParagraph"/>
              <w:spacing w:before="1"/>
              <w:ind w:left="0"/>
              <w:rPr>
                <w:b/>
              </w:rPr>
            </w:pPr>
            <w:r>
              <w:rPr>
                <w:b/>
              </w:rPr>
              <w:t>Menej časté</w:t>
            </w:r>
          </w:p>
        </w:tc>
        <w:tc>
          <w:tcPr>
            <w:tcW w:w="1000" w:type="pct"/>
          </w:tcPr>
          <w:p w14:paraId="41148BEA" w14:textId="77777777" w:rsidR="004422A3" w:rsidRDefault="00CF7044" w:rsidP="007A58F5">
            <w:pPr>
              <w:pStyle w:val="TableParagraph"/>
              <w:spacing w:before="1"/>
              <w:ind w:left="0"/>
              <w:rPr>
                <w:b/>
              </w:rPr>
            </w:pPr>
            <w:r>
              <w:rPr>
                <w:b/>
              </w:rPr>
              <w:t>Zriedkavé</w:t>
            </w:r>
          </w:p>
        </w:tc>
        <w:tc>
          <w:tcPr>
            <w:tcW w:w="995" w:type="pct"/>
          </w:tcPr>
          <w:p w14:paraId="4C487443" w14:textId="77777777" w:rsidR="004422A3" w:rsidRDefault="00CF7044" w:rsidP="007A58F5">
            <w:pPr>
              <w:pStyle w:val="TableParagraph"/>
              <w:spacing w:line="254" w:lineRule="exact"/>
              <w:ind w:left="0"/>
              <w:rPr>
                <w:b/>
                <w:sz w:val="14"/>
              </w:rPr>
            </w:pPr>
            <w:r>
              <w:rPr>
                <w:b/>
              </w:rPr>
              <w:t>Neznáme</w:t>
            </w:r>
            <w:r>
              <w:rPr>
                <w:b/>
                <w:position w:val="8"/>
                <w:sz w:val="14"/>
              </w:rPr>
              <w:t>1</w:t>
            </w:r>
          </w:p>
        </w:tc>
      </w:tr>
      <w:tr w:rsidR="004422A3" w14:paraId="1A936107" w14:textId="77777777" w:rsidTr="00751269">
        <w:trPr>
          <w:trHeight w:val="254"/>
        </w:trPr>
        <w:tc>
          <w:tcPr>
            <w:tcW w:w="5000" w:type="pct"/>
            <w:gridSpan w:val="5"/>
          </w:tcPr>
          <w:p w14:paraId="46F75C0E" w14:textId="77777777" w:rsidR="004422A3" w:rsidRDefault="00CF7044" w:rsidP="007A58F5">
            <w:pPr>
              <w:pStyle w:val="TableParagraph"/>
              <w:spacing w:line="234" w:lineRule="exact"/>
              <w:ind w:left="0"/>
              <w:rPr>
                <w:i/>
              </w:rPr>
            </w:pPr>
            <w:r>
              <w:rPr>
                <w:i/>
              </w:rPr>
              <w:t>Poruchy imunitného systému</w:t>
            </w:r>
          </w:p>
        </w:tc>
      </w:tr>
      <w:tr w:rsidR="004422A3" w14:paraId="238903B2" w14:textId="77777777" w:rsidTr="00751269">
        <w:trPr>
          <w:trHeight w:val="506"/>
        </w:trPr>
        <w:tc>
          <w:tcPr>
            <w:tcW w:w="991" w:type="pct"/>
          </w:tcPr>
          <w:p w14:paraId="22FDF827" w14:textId="77777777" w:rsidR="004422A3" w:rsidRDefault="004422A3" w:rsidP="007A58F5">
            <w:pPr>
              <w:pStyle w:val="TableParagraph"/>
              <w:ind w:left="0"/>
            </w:pPr>
          </w:p>
        </w:tc>
        <w:tc>
          <w:tcPr>
            <w:tcW w:w="992" w:type="pct"/>
          </w:tcPr>
          <w:p w14:paraId="0425A2E6" w14:textId="77777777" w:rsidR="004422A3" w:rsidRDefault="00CF7044" w:rsidP="007A58F5">
            <w:pPr>
              <w:pStyle w:val="TableParagraph"/>
              <w:spacing w:line="245" w:lineRule="exact"/>
              <w:ind w:left="0"/>
            </w:pPr>
            <w:r>
              <w:t>hypersenzitívne</w:t>
            </w:r>
          </w:p>
          <w:p w14:paraId="32E703E8" w14:textId="77777777" w:rsidR="004422A3" w:rsidRDefault="00CF7044" w:rsidP="007A58F5">
            <w:pPr>
              <w:pStyle w:val="TableParagraph"/>
              <w:spacing w:line="241" w:lineRule="exact"/>
              <w:ind w:left="0"/>
              <w:rPr>
                <w:sz w:val="14"/>
              </w:rPr>
            </w:pPr>
            <w:r>
              <w:t>reakcie</w:t>
            </w:r>
            <w:r>
              <w:rPr>
                <w:position w:val="8"/>
                <w:sz w:val="14"/>
              </w:rPr>
              <w:t>5</w:t>
            </w:r>
          </w:p>
        </w:tc>
        <w:tc>
          <w:tcPr>
            <w:tcW w:w="1022" w:type="pct"/>
          </w:tcPr>
          <w:p w14:paraId="638DB784" w14:textId="77777777" w:rsidR="004422A3" w:rsidRDefault="004422A3" w:rsidP="007A58F5">
            <w:pPr>
              <w:pStyle w:val="TableParagraph"/>
              <w:ind w:left="0"/>
            </w:pPr>
          </w:p>
        </w:tc>
        <w:tc>
          <w:tcPr>
            <w:tcW w:w="1000" w:type="pct"/>
          </w:tcPr>
          <w:p w14:paraId="4EC633CB" w14:textId="77777777" w:rsidR="004422A3" w:rsidRDefault="004422A3" w:rsidP="007A58F5">
            <w:pPr>
              <w:pStyle w:val="TableParagraph"/>
              <w:ind w:left="0"/>
            </w:pPr>
          </w:p>
        </w:tc>
        <w:tc>
          <w:tcPr>
            <w:tcW w:w="995" w:type="pct"/>
          </w:tcPr>
          <w:p w14:paraId="24BDE1B8" w14:textId="77777777" w:rsidR="004422A3" w:rsidRDefault="00CF7044" w:rsidP="007A58F5">
            <w:pPr>
              <w:pStyle w:val="TableParagraph"/>
              <w:spacing w:line="247" w:lineRule="exact"/>
              <w:ind w:left="0"/>
            </w:pPr>
            <w:r>
              <w:t>Angioedém</w:t>
            </w:r>
          </w:p>
        </w:tc>
      </w:tr>
      <w:tr w:rsidR="004422A3" w14:paraId="1F69C3B6" w14:textId="77777777" w:rsidTr="00751269">
        <w:trPr>
          <w:trHeight w:val="253"/>
        </w:trPr>
        <w:tc>
          <w:tcPr>
            <w:tcW w:w="5000" w:type="pct"/>
            <w:gridSpan w:val="5"/>
          </w:tcPr>
          <w:p w14:paraId="5A5F91D0" w14:textId="77777777" w:rsidR="004422A3" w:rsidRDefault="00CF7044" w:rsidP="007A58F5">
            <w:pPr>
              <w:pStyle w:val="TableParagraph"/>
              <w:spacing w:line="234" w:lineRule="exact"/>
              <w:ind w:left="0"/>
              <w:rPr>
                <w:i/>
              </w:rPr>
            </w:pPr>
            <w:r>
              <w:rPr>
                <w:i/>
              </w:rPr>
              <w:t>Poruchy nervového systému</w:t>
            </w:r>
          </w:p>
        </w:tc>
      </w:tr>
      <w:tr w:rsidR="004422A3" w14:paraId="795181F6" w14:textId="77777777" w:rsidTr="00751269">
        <w:trPr>
          <w:trHeight w:val="1010"/>
        </w:trPr>
        <w:tc>
          <w:tcPr>
            <w:tcW w:w="991" w:type="pct"/>
          </w:tcPr>
          <w:p w14:paraId="3785ED37" w14:textId="77777777" w:rsidR="004422A3" w:rsidRDefault="00CF7044" w:rsidP="007A58F5">
            <w:pPr>
              <w:pStyle w:val="TableParagraph"/>
              <w:spacing w:line="247" w:lineRule="exact"/>
              <w:ind w:left="0"/>
              <w:rPr>
                <w:sz w:val="14"/>
              </w:rPr>
            </w:pPr>
            <w:r>
              <w:t>Bolesť hlavy</w:t>
            </w:r>
            <w:r>
              <w:rPr>
                <w:position w:val="8"/>
                <w:sz w:val="14"/>
              </w:rPr>
              <w:t>6</w:t>
            </w:r>
          </w:p>
        </w:tc>
        <w:tc>
          <w:tcPr>
            <w:tcW w:w="992" w:type="pct"/>
          </w:tcPr>
          <w:p w14:paraId="27EA377D" w14:textId="77777777" w:rsidR="004422A3" w:rsidRDefault="00CF7044" w:rsidP="007A58F5">
            <w:pPr>
              <w:pStyle w:val="TableParagraph"/>
              <w:spacing w:line="235" w:lineRule="auto"/>
              <w:ind w:left="0"/>
              <w:rPr>
                <w:sz w:val="14"/>
              </w:rPr>
            </w:pPr>
            <w:r>
              <w:t>synkopa, migréna</w:t>
            </w:r>
            <w:r>
              <w:rPr>
                <w:position w:val="8"/>
                <w:sz w:val="14"/>
              </w:rPr>
              <w:t>5</w:t>
            </w:r>
          </w:p>
        </w:tc>
        <w:tc>
          <w:tcPr>
            <w:tcW w:w="1022" w:type="pct"/>
          </w:tcPr>
          <w:p w14:paraId="5F5F8E73" w14:textId="77777777" w:rsidR="004422A3" w:rsidRDefault="00CF7044" w:rsidP="007A58F5">
            <w:pPr>
              <w:pStyle w:val="TableParagraph"/>
              <w:spacing w:line="237" w:lineRule="auto"/>
              <w:ind w:left="0"/>
              <w:rPr>
                <w:sz w:val="14"/>
              </w:rPr>
            </w:pPr>
            <w:r>
              <w:t>záchvaty</w:t>
            </w:r>
            <w:r>
              <w:rPr>
                <w:position w:val="8"/>
                <w:sz w:val="14"/>
              </w:rPr>
              <w:t>5</w:t>
            </w:r>
            <w:r>
              <w:t>, prechodná amnézia</w:t>
            </w:r>
            <w:r>
              <w:rPr>
                <w:position w:val="8"/>
                <w:sz w:val="14"/>
              </w:rPr>
              <w:t>5</w:t>
            </w:r>
          </w:p>
        </w:tc>
        <w:tc>
          <w:tcPr>
            <w:tcW w:w="1000" w:type="pct"/>
          </w:tcPr>
          <w:p w14:paraId="6FE8BC06" w14:textId="77777777" w:rsidR="004422A3" w:rsidRDefault="004422A3" w:rsidP="007A58F5">
            <w:pPr>
              <w:pStyle w:val="TableParagraph"/>
              <w:ind w:left="0"/>
            </w:pPr>
          </w:p>
        </w:tc>
        <w:tc>
          <w:tcPr>
            <w:tcW w:w="995" w:type="pct"/>
          </w:tcPr>
          <w:p w14:paraId="4E8221BF" w14:textId="77777777" w:rsidR="004422A3" w:rsidRDefault="00CF7044" w:rsidP="007A58F5">
            <w:pPr>
              <w:pStyle w:val="TableParagraph"/>
              <w:ind w:left="0"/>
            </w:pPr>
            <w:r>
              <w:t>mozgová príhoda</w:t>
            </w:r>
            <w:r>
              <w:rPr>
                <w:position w:val="8"/>
                <w:sz w:val="14"/>
              </w:rPr>
              <w:t xml:space="preserve">2 </w:t>
            </w:r>
            <w:r>
              <w:t>(vrátane krvácavých</w:t>
            </w:r>
          </w:p>
          <w:p w14:paraId="7155880E" w14:textId="3E5CC9BF" w:rsidR="004422A3" w:rsidRDefault="00CF7044" w:rsidP="007A58F5">
            <w:pPr>
              <w:pStyle w:val="TableParagraph"/>
              <w:spacing w:line="237" w:lineRule="exact"/>
              <w:ind w:left="0"/>
            </w:pPr>
            <w:r>
              <w:t>príhod)</w:t>
            </w:r>
          </w:p>
        </w:tc>
      </w:tr>
      <w:tr w:rsidR="004422A3" w14:paraId="0BF66B12" w14:textId="77777777" w:rsidTr="00751269">
        <w:trPr>
          <w:trHeight w:val="254"/>
        </w:trPr>
        <w:tc>
          <w:tcPr>
            <w:tcW w:w="5000" w:type="pct"/>
            <w:gridSpan w:val="5"/>
          </w:tcPr>
          <w:p w14:paraId="46F3A464" w14:textId="77777777" w:rsidR="004422A3" w:rsidRDefault="00CF7044" w:rsidP="007A58F5">
            <w:pPr>
              <w:pStyle w:val="TableParagraph"/>
              <w:spacing w:line="234" w:lineRule="exact"/>
              <w:ind w:left="0"/>
              <w:rPr>
                <w:i/>
              </w:rPr>
            </w:pPr>
            <w:r>
              <w:rPr>
                <w:i/>
              </w:rPr>
              <w:t>Poruchy oka</w:t>
            </w:r>
          </w:p>
        </w:tc>
      </w:tr>
      <w:tr w:rsidR="004422A3" w14:paraId="486BD38C" w14:textId="77777777" w:rsidTr="00751269">
        <w:trPr>
          <w:trHeight w:val="2277"/>
        </w:trPr>
        <w:tc>
          <w:tcPr>
            <w:tcW w:w="991" w:type="pct"/>
          </w:tcPr>
          <w:p w14:paraId="077643BF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pct"/>
          </w:tcPr>
          <w:p w14:paraId="5F119E52" w14:textId="77777777" w:rsidR="004422A3" w:rsidRDefault="00CF7044" w:rsidP="007A58F5">
            <w:pPr>
              <w:pStyle w:val="TableParagraph"/>
              <w:spacing w:line="239" w:lineRule="exact"/>
              <w:ind w:left="0"/>
            </w:pPr>
            <w:r>
              <w:t>rozmazané</w:t>
            </w:r>
          </w:p>
          <w:p w14:paraId="41F3A8E0" w14:textId="77777777" w:rsidR="004422A3" w:rsidRDefault="00CF7044" w:rsidP="007A58F5">
            <w:pPr>
              <w:pStyle w:val="TableParagraph"/>
              <w:spacing w:before="1"/>
              <w:ind w:left="0"/>
            </w:pPr>
            <w:r>
              <w:t>videnie</w:t>
            </w:r>
          </w:p>
        </w:tc>
        <w:tc>
          <w:tcPr>
            <w:tcW w:w="1022" w:type="pct"/>
          </w:tcPr>
          <w:p w14:paraId="3BA2613B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0" w:type="pct"/>
          </w:tcPr>
          <w:p w14:paraId="5F78F5B0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5" w:type="pct"/>
          </w:tcPr>
          <w:p w14:paraId="3E76584C" w14:textId="77777777" w:rsidR="004422A3" w:rsidRDefault="00CF7044" w:rsidP="007A58F5">
            <w:pPr>
              <w:pStyle w:val="TableParagraph"/>
              <w:spacing w:line="239" w:lineRule="exact"/>
              <w:ind w:left="0"/>
            </w:pPr>
            <w:r>
              <w:t>neartritická</w:t>
            </w:r>
          </w:p>
          <w:p w14:paraId="5D264302" w14:textId="77777777" w:rsidR="004422A3" w:rsidRDefault="00CF7044" w:rsidP="007A58F5">
            <w:pPr>
              <w:pStyle w:val="TableParagraph"/>
              <w:spacing w:before="1"/>
              <w:ind w:left="0"/>
            </w:pPr>
            <w:r>
              <w:t>predná ischemická neuropatia zrakového nervu (NAION),</w:t>
            </w:r>
          </w:p>
          <w:p w14:paraId="1FE5970B" w14:textId="77777777" w:rsidR="004422A3" w:rsidRDefault="00CF7044" w:rsidP="007A58F5">
            <w:pPr>
              <w:pStyle w:val="TableParagraph"/>
              <w:ind w:left="0"/>
            </w:pPr>
            <w:r>
              <w:t>sietnicová cievna oklúzia, defekt</w:t>
            </w:r>
          </w:p>
          <w:p w14:paraId="45E04960" w14:textId="77777777" w:rsidR="004422A3" w:rsidRDefault="00CF7044" w:rsidP="007A58F5">
            <w:pPr>
              <w:pStyle w:val="TableParagraph"/>
              <w:spacing w:line="247" w:lineRule="exact"/>
              <w:ind w:left="0"/>
            </w:pPr>
            <w:r>
              <w:t>zorného poľa</w:t>
            </w:r>
          </w:p>
        </w:tc>
      </w:tr>
      <w:tr w:rsidR="004422A3" w14:paraId="60733289" w14:textId="77777777" w:rsidTr="00751269">
        <w:trPr>
          <w:trHeight w:val="251"/>
        </w:trPr>
        <w:tc>
          <w:tcPr>
            <w:tcW w:w="5000" w:type="pct"/>
            <w:gridSpan w:val="5"/>
          </w:tcPr>
          <w:p w14:paraId="6B9F7C5F" w14:textId="77777777" w:rsidR="004422A3" w:rsidRDefault="00CF7044" w:rsidP="007A58F5">
            <w:pPr>
              <w:pStyle w:val="TableParagraph"/>
              <w:spacing w:line="232" w:lineRule="exact"/>
              <w:ind w:left="0"/>
              <w:rPr>
                <w:i/>
              </w:rPr>
            </w:pPr>
            <w:r>
              <w:rPr>
                <w:i/>
              </w:rPr>
              <w:t>Poruchy ucha a labyrintu</w:t>
            </w:r>
          </w:p>
        </w:tc>
      </w:tr>
      <w:tr w:rsidR="004422A3" w14:paraId="3596BC8A" w14:textId="77777777" w:rsidTr="00751269">
        <w:trPr>
          <w:trHeight w:val="505"/>
        </w:trPr>
        <w:tc>
          <w:tcPr>
            <w:tcW w:w="991" w:type="pct"/>
          </w:tcPr>
          <w:p w14:paraId="3E668C82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pct"/>
          </w:tcPr>
          <w:p w14:paraId="7F292FCA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2" w:type="pct"/>
          </w:tcPr>
          <w:p w14:paraId="6A1B4D0B" w14:textId="77777777" w:rsidR="004422A3" w:rsidRDefault="00CF7044" w:rsidP="007A58F5">
            <w:pPr>
              <w:pStyle w:val="TableParagraph"/>
              <w:spacing w:line="241" w:lineRule="exact"/>
              <w:ind w:left="0"/>
            </w:pPr>
            <w:r>
              <w:t>tinitus</w:t>
            </w:r>
          </w:p>
        </w:tc>
        <w:tc>
          <w:tcPr>
            <w:tcW w:w="1000" w:type="pct"/>
          </w:tcPr>
          <w:p w14:paraId="34679828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5" w:type="pct"/>
          </w:tcPr>
          <w:p w14:paraId="0545055C" w14:textId="77777777" w:rsidR="004422A3" w:rsidRDefault="00CF7044" w:rsidP="007A58F5">
            <w:pPr>
              <w:pStyle w:val="TableParagraph"/>
              <w:spacing w:line="240" w:lineRule="exact"/>
              <w:ind w:left="0"/>
            </w:pPr>
            <w:r>
              <w:t>náhla strata</w:t>
            </w:r>
          </w:p>
          <w:p w14:paraId="43EB5132" w14:textId="77777777" w:rsidR="004422A3" w:rsidRDefault="00CF7044" w:rsidP="007A58F5">
            <w:pPr>
              <w:pStyle w:val="TableParagraph"/>
              <w:spacing w:line="246" w:lineRule="exact"/>
              <w:ind w:left="0"/>
            </w:pPr>
            <w:r>
              <w:t>sluchu</w:t>
            </w:r>
          </w:p>
        </w:tc>
      </w:tr>
      <w:tr w:rsidR="004422A3" w14:paraId="0C513A04" w14:textId="77777777" w:rsidTr="00751269">
        <w:trPr>
          <w:trHeight w:val="254"/>
        </w:trPr>
        <w:tc>
          <w:tcPr>
            <w:tcW w:w="5000" w:type="pct"/>
            <w:gridSpan w:val="5"/>
          </w:tcPr>
          <w:p w14:paraId="72CBB7A5" w14:textId="77777777" w:rsidR="004422A3" w:rsidRDefault="00CF7044" w:rsidP="007A58F5">
            <w:pPr>
              <w:pStyle w:val="TableParagraph"/>
              <w:spacing w:line="234" w:lineRule="exact"/>
              <w:ind w:left="0"/>
              <w:rPr>
                <w:i/>
              </w:rPr>
            </w:pPr>
            <w:r>
              <w:rPr>
                <w:i/>
              </w:rPr>
              <w:t>Poruchy srdca a srdcovej činnosti</w:t>
            </w:r>
          </w:p>
        </w:tc>
      </w:tr>
      <w:tr w:rsidR="004422A3" w14:paraId="5667C18D" w14:textId="77777777" w:rsidTr="00751269">
        <w:trPr>
          <w:trHeight w:val="1264"/>
        </w:trPr>
        <w:tc>
          <w:tcPr>
            <w:tcW w:w="991" w:type="pct"/>
          </w:tcPr>
          <w:p w14:paraId="232B75B6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pct"/>
          </w:tcPr>
          <w:p w14:paraId="554F7AD1" w14:textId="77777777" w:rsidR="004422A3" w:rsidRDefault="00CF7044" w:rsidP="007A58F5">
            <w:pPr>
              <w:pStyle w:val="TableParagraph"/>
              <w:spacing w:line="239" w:lineRule="exact"/>
              <w:ind w:left="0"/>
              <w:rPr>
                <w:sz w:val="14"/>
              </w:rPr>
            </w:pPr>
            <w:r>
              <w:t>palpitácie</w:t>
            </w:r>
            <w:r>
              <w:rPr>
                <w:position w:val="8"/>
                <w:sz w:val="14"/>
              </w:rPr>
              <w:t>2,5</w:t>
            </w:r>
          </w:p>
        </w:tc>
        <w:tc>
          <w:tcPr>
            <w:tcW w:w="1022" w:type="pct"/>
          </w:tcPr>
          <w:p w14:paraId="65278A80" w14:textId="77777777" w:rsidR="004422A3" w:rsidRDefault="00CF7044" w:rsidP="007A58F5">
            <w:pPr>
              <w:pStyle w:val="TableParagraph"/>
              <w:spacing w:line="235" w:lineRule="auto"/>
              <w:ind w:left="0"/>
              <w:rPr>
                <w:sz w:val="14"/>
              </w:rPr>
            </w:pPr>
            <w:r>
              <w:t>náhla srdcová smrť</w:t>
            </w:r>
            <w:r>
              <w:rPr>
                <w:position w:val="8"/>
                <w:sz w:val="14"/>
              </w:rPr>
              <w:t>2,5</w:t>
            </w:r>
            <w:r>
              <w:t>, tachykardia</w:t>
            </w:r>
            <w:r>
              <w:rPr>
                <w:position w:val="8"/>
                <w:sz w:val="14"/>
              </w:rPr>
              <w:t>2,5</w:t>
            </w:r>
          </w:p>
        </w:tc>
        <w:tc>
          <w:tcPr>
            <w:tcW w:w="1000" w:type="pct"/>
          </w:tcPr>
          <w:p w14:paraId="38F943E4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5" w:type="pct"/>
          </w:tcPr>
          <w:p w14:paraId="4DAE512D" w14:textId="77777777" w:rsidR="004422A3" w:rsidRDefault="00CF7044" w:rsidP="007A58F5">
            <w:pPr>
              <w:pStyle w:val="TableParagraph"/>
              <w:spacing w:line="239" w:lineRule="exact"/>
              <w:ind w:left="0"/>
            </w:pPr>
            <w:r>
              <w:t>nestabilná angína</w:t>
            </w:r>
          </w:p>
          <w:p w14:paraId="336D12E6" w14:textId="77777777" w:rsidR="004422A3" w:rsidRDefault="00CF7044" w:rsidP="007A58F5">
            <w:pPr>
              <w:pStyle w:val="TableParagraph"/>
              <w:spacing w:before="1"/>
              <w:ind w:left="0"/>
            </w:pPr>
            <w:r>
              <w:t>pektoris, ventrikulárna arytmia, infarkt</w:t>
            </w:r>
          </w:p>
          <w:p w14:paraId="7A7ADC71" w14:textId="77777777" w:rsidR="004422A3" w:rsidRDefault="00CF7044" w:rsidP="007A58F5">
            <w:pPr>
              <w:pStyle w:val="TableParagraph"/>
              <w:spacing w:line="245" w:lineRule="exact"/>
              <w:ind w:left="0"/>
            </w:pPr>
            <w:r>
              <w:t>myokardu</w:t>
            </w:r>
            <w:r>
              <w:rPr>
                <w:position w:val="8"/>
                <w:sz w:val="14"/>
              </w:rPr>
              <w:t>2</w:t>
            </w:r>
            <w:r>
              <w:t>,</w:t>
            </w:r>
          </w:p>
        </w:tc>
      </w:tr>
      <w:tr w:rsidR="004422A3" w14:paraId="7465CF69" w14:textId="77777777" w:rsidTr="00751269">
        <w:trPr>
          <w:trHeight w:val="253"/>
        </w:trPr>
        <w:tc>
          <w:tcPr>
            <w:tcW w:w="5000" w:type="pct"/>
            <w:gridSpan w:val="5"/>
          </w:tcPr>
          <w:p w14:paraId="65792AA4" w14:textId="77777777" w:rsidR="004422A3" w:rsidRDefault="00CF7044" w:rsidP="007A58F5">
            <w:pPr>
              <w:pStyle w:val="TableParagraph"/>
              <w:spacing w:line="234" w:lineRule="exact"/>
              <w:ind w:left="0"/>
              <w:rPr>
                <w:i/>
              </w:rPr>
            </w:pPr>
            <w:r>
              <w:rPr>
                <w:i/>
              </w:rPr>
              <w:t>Poruchy ciev</w:t>
            </w:r>
          </w:p>
        </w:tc>
      </w:tr>
      <w:tr w:rsidR="004422A3" w14:paraId="0054F133" w14:textId="77777777" w:rsidTr="00751269">
        <w:trPr>
          <w:trHeight w:val="251"/>
        </w:trPr>
        <w:tc>
          <w:tcPr>
            <w:tcW w:w="991" w:type="pct"/>
          </w:tcPr>
          <w:p w14:paraId="00D2D653" w14:textId="77777777" w:rsidR="004422A3" w:rsidRDefault="00CF7044" w:rsidP="007A58F5">
            <w:pPr>
              <w:pStyle w:val="TableParagraph"/>
              <w:spacing w:line="232" w:lineRule="exact"/>
              <w:ind w:left="0"/>
            </w:pPr>
            <w:r>
              <w:t>návaly tepla</w:t>
            </w:r>
          </w:p>
        </w:tc>
        <w:tc>
          <w:tcPr>
            <w:tcW w:w="992" w:type="pct"/>
          </w:tcPr>
          <w:p w14:paraId="3374E646" w14:textId="77777777" w:rsidR="004422A3" w:rsidRDefault="00CF7044" w:rsidP="007A58F5">
            <w:pPr>
              <w:pStyle w:val="TableParagraph"/>
              <w:spacing w:line="232" w:lineRule="exact"/>
              <w:ind w:left="0"/>
            </w:pPr>
            <w:r>
              <w:t>hypotenzia</w:t>
            </w:r>
          </w:p>
        </w:tc>
        <w:tc>
          <w:tcPr>
            <w:tcW w:w="1022" w:type="pct"/>
          </w:tcPr>
          <w:p w14:paraId="26B2E725" w14:textId="77777777" w:rsidR="004422A3" w:rsidRDefault="00CF7044" w:rsidP="007A58F5">
            <w:pPr>
              <w:pStyle w:val="TableParagraph"/>
              <w:spacing w:line="232" w:lineRule="exact"/>
              <w:ind w:left="0"/>
            </w:pPr>
            <w:r>
              <w:t>hypertenzia</w:t>
            </w:r>
          </w:p>
        </w:tc>
        <w:tc>
          <w:tcPr>
            <w:tcW w:w="1000" w:type="pct"/>
          </w:tcPr>
          <w:p w14:paraId="385A4202" w14:textId="77777777" w:rsidR="004422A3" w:rsidRDefault="004422A3" w:rsidP="007A58F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5" w:type="pct"/>
          </w:tcPr>
          <w:p w14:paraId="79A31476" w14:textId="77777777" w:rsidR="004422A3" w:rsidRDefault="004422A3" w:rsidP="007A58F5">
            <w:pPr>
              <w:pStyle w:val="TableParagraph"/>
              <w:ind w:left="0"/>
              <w:rPr>
                <w:sz w:val="18"/>
              </w:rPr>
            </w:pPr>
          </w:p>
        </w:tc>
      </w:tr>
      <w:tr w:rsidR="004422A3" w14:paraId="3F8F187C" w14:textId="77777777" w:rsidTr="00751269">
        <w:trPr>
          <w:trHeight w:val="254"/>
        </w:trPr>
        <w:tc>
          <w:tcPr>
            <w:tcW w:w="5000" w:type="pct"/>
            <w:gridSpan w:val="5"/>
          </w:tcPr>
          <w:p w14:paraId="55B5EE98" w14:textId="77777777" w:rsidR="004422A3" w:rsidRDefault="00CF7044" w:rsidP="007A58F5">
            <w:pPr>
              <w:pStyle w:val="TableParagraph"/>
              <w:spacing w:line="234" w:lineRule="exact"/>
              <w:ind w:left="0"/>
              <w:rPr>
                <w:i/>
              </w:rPr>
            </w:pPr>
            <w:r>
              <w:rPr>
                <w:i/>
              </w:rPr>
              <w:t>Poruchy dýchacej sústavy, hrudníka a mediastína</w:t>
            </w:r>
          </w:p>
        </w:tc>
      </w:tr>
      <w:tr w:rsidR="004422A3" w14:paraId="125AAC42" w14:textId="77777777" w:rsidTr="00751269">
        <w:trPr>
          <w:trHeight w:val="1518"/>
        </w:trPr>
        <w:tc>
          <w:tcPr>
            <w:tcW w:w="991" w:type="pct"/>
          </w:tcPr>
          <w:p w14:paraId="6FAB180C" w14:textId="77777777" w:rsidR="004422A3" w:rsidRDefault="00CF7044" w:rsidP="007A58F5">
            <w:pPr>
              <w:pStyle w:val="TableParagraph"/>
              <w:spacing w:line="239" w:lineRule="exact"/>
              <w:ind w:left="0"/>
            </w:pPr>
            <w:r>
              <w:t>nazofaryngitída</w:t>
            </w:r>
          </w:p>
          <w:p w14:paraId="11C67DBF" w14:textId="77777777" w:rsidR="004422A3" w:rsidRDefault="00CF7044" w:rsidP="007A58F5">
            <w:pPr>
              <w:pStyle w:val="TableParagraph"/>
              <w:spacing w:before="1"/>
              <w:ind w:left="0"/>
            </w:pPr>
            <w:r>
              <w:t>(vrátane nazálnej kongescie, sínusovej kongescie</w:t>
            </w:r>
          </w:p>
          <w:p w14:paraId="06D2C5C2" w14:textId="77777777" w:rsidR="004422A3" w:rsidRDefault="00CF7044" w:rsidP="007A58F5">
            <w:pPr>
              <w:pStyle w:val="TableParagraph"/>
              <w:spacing w:line="247" w:lineRule="exact"/>
              <w:ind w:left="0"/>
            </w:pPr>
            <w:r>
              <w:t>a rinitídy)</w:t>
            </w:r>
          </w:p>
        </w:tc>
        <w:tc>
          <w:tcPr>
            <w:tcW w:w="992" w:type="pct"/>
          </w:tcPr>
          <w:p w14:paraId="5EF94DE2" w14:textId="77777777" w:rsidR="004422A3" w:rsidRDefault="00CF7044" w:rsidP="007A58F5">
            <w:pPr>
              <w:pStyle w:val="TableParagraph"/>
              <w:spacing w:line="239" w:lineRule="exact"/>
              <w:ind w:left="0"/>
            </w:pPr>
            <w:r>
              <w:t>epistaxa</w:t>
            </w:r>
          </w:p>
        </w:tc>
        <w:tc>
          <w:tcPr>
            <w:tcW w:w="1022" w:type="pct"/>
          </w:tcPr>
          <w:p w14:paraId="1D2DCFF7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0" w:type="pct"/>
          </w:tcPr>
          <w:p w14:paraId="018FE9B0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5" w:type="pct"/>
          </w:tcPr>
          <w:p w14:paraId="0904A5D6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</w:tr>
      <w:tr w:rsidR="004422A3" w14:paraId="7A812F88" w14:textId="77777777" w:rsidTr="00751269">
        <w:trPr>
          <w:trHeight w:val="251"/>
        </w:trPr>
        <w:tc>
          <w:tcPr>
            <w:tcW w:w="5000" w:type="pct"/>
            <w:gridSpan w:val="5"/>
          </w:tcPr>
          <w:p w14:paraId="3B8F10B8" w14:textId="77777777" w:rsidR="004422A3" w:rsidRDefault="00CF7044" w:rsidP="007A58F5">
            <w:pPr>
              <w:pStyle w:val="TableParagraph"/>
              <w:spacing w:line="232" w:lineRule="exact"/>
              <w:ind w:left="0"/>
              <w:rPr>
                <w:i/>
              </w:rPr>
            </w:pPr>
            <w:r>
              <w:rPr>
                <w:i/>
              </w:rPr>
              <w:t>Poruchy gastrointestinálneho traktu</w:t>
            </w:r>
          </w:p>
        </w:tc>
      </w:tr>
      <w:tr w:rsidR="004422A3" w14:paraId="6FA8BDCA" w14:textId="77777777" w:rsidTr="00751269">
        <w:trPr>
          <w:trHeight w:val="1012"/>
        </w:trPr>
        <w:tc>
          <w:tcPr>
            <w:tcW w:w="991" w:type="pct"/>
          </w:tcPr>
          <w:p w14:paraId="49095DE8" w14:textId="77777777" w:rsidR="004422A3" w:rsidRDefault="00CF7044" w:rsidP="007A58F5">
            <w:pPr>
              <w:pStyle w:val="TableParagraph"/>
              <w:spacing w:line="239" w:lineRule="exact"/>
              <w:ind w:left="0"/>
            </w:pPr>
            <w:r>
              <w:t>nauzea, dyspepsia</w:t>
            </w:r>
          </w:p>
          <w:p w14:paraId="07645D89" w14:textId="77777777" w:rsidR="004422A3" w:rsidRDefault="00CF7044" w:rsidP="007A58F5">
            <w:pPr>
              <w:pStyle w:val="TableParagraph"/>
              <w:spacing w:before="1"/>
              <w:ind w:left="0"/>
            </w:pPr>
            <w:r>
              <w:t>(vrátane bolesti brucha/tráviacich</w:t>
            </w:r>
          </w:p>
          <w:p w14:paraId="3064F27D" w14:textId="77777777" w:rsidR="004422A3" w:rsidRDefault="00CF7044" w:rsidP="007A58F5">
            <w:pPr>
              <w:pStyle w:val="TableParagraph"/>
              <w:spacing w:line="246" w:lineRule="exact"/>
              <w:ind w:left="0"/>
            </w:pPr>
            <w:r>
              <w:t>ťažkostí</w:t>
            </w:r>
            <w:r>
              <w:rPr>
                <w:position w:val="8"/>
                <w:sz w:val="14"/>
              </w:rPr>
              <w:t>3</w:t>
            </w:r>
            <w:r>
              <w:t>)</w:t>
            </w:r>
          </w:p>
        </w:tc>
        <w:tc>
          <w:tcPr>
            <w:tcW w:w="992" w:type="pct"/>
          </w:tcPr>
          <w:p w14:paraId="2BB77536" w14:textId="77777777" w:rsidR="004422A3" w:rsidRDefault="00CF7044" w:rsidP="007A58F5">
            <w:pPr>
              <w:pStyle w:val="TableParagraph"/>
              <w:spacing w:line="239" w:lineRule="exact"/>
              <w:ind w:left="0"/>
            </w:pPr>
            <w:r>
              <w:t>vracanie,</w:t>
            </w:r>
          </w:p>
          <w:p w14:paraId="38185D41" w14:textId="08B46B93" w:rsidR="004422A3" w:rsidRDefault="00CF7044" w:rsidP="007A58F5">
            <w:pPr>
              <w:pStyle w:val="TableParagraph"/>
              <w:spacing w:before="1"/>
              <w:ind w:left="0"/>
            </w:pPr>
            <w:r>
              <w:t>gastroezof</w:t>
            </w:r>
            <w:r w:rsidR="000419E2">
              <w:t>ágový</w:t>
            </w:r>
            <w:r>
              <w:t xml:space="preserve"> reflux</w:t>
            </w:r>
          </w:p>
        </w:tc>
        <w:tc>
          <w:tcPr>
            <w:tcW w:w="1022" w:type="pct"/>
          </w:tcPr>
          <w:p w14:paraId="19BE48C7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0" w:type="pct"/>
          </w:tcPr>
          <w:p w14:paraId="33FABCAE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5" w:type="pct"/>
          </w:tcPr>
          <w:p w14:paraId="35253681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</w:tr>
      <w:tr w:rsidR="004422A3" w14:paraId="260DDA09" w14:textId="77777777" w:rsidTr="00751269">
        <w:trPr>
          <w:trHeight w:val="254"/>
        </w:trPr>
        <w:tc>
          <w:tcPr>
            <w:tcW w:w="5000" w:type="pct"/>
            <w:gridSpan w:val="5"/>
          </w:tcPr>
          <w:p w14:paraId="3785E0CD" w14:textId="77777777" w:rsidR="004422A3" w:rsidRDefault="00CF7044" w:rsidP="007A58F5">
            <w:pPr>
              <w:pStyle w:val="TableParagraph"/>
              <w:spacing w:line="234" w:lineRule="exact"/>
              <w:ind w:left="0"/>
              <w:rPr>
                <w:i/>
              </w:rPr>
            </w:pPr>
            <w:r>
              <w:rPr>
                <w:i/>
              </w:rPr>
              <w:t>Poruchy kože a podkožného tkaniva</w:t>
            </w:r>
          </w:p>
        </w:tc>
      </w:tr>
      <w:tr w:rsidR="004422A3" w14:paraId="19231BDD" w14:textId="77777777" w:rsidTr="00751269">
        <w:trPr>
          <w:trHeight w:val="1264"/>
        </w:trPr>
        <w:tc>
          <w:tcPr>
            <w:tcW w:w="991" w:type="pct"/>
          </w:tcPr>
          <w:p w14:paraId="7C7262A2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pct"/>
          </w:tcPr>
          <w:p w14:paraId="4B3ED91C" w14:textId="77777777" w:rsidR="004422A3" w:rsidRDefault="00CF7044" w:rsidP="007A58F5">
            <w:pPr>
              <w:pStyle w:val="TableParagraph"/>
              <w:spacing w:line="239" w:lineRule="exact"/>
              <w:ind w:left="0"/>
            </w:pPr>
            <w:r>
              <w:t>vyrážka</w:t>
            </w:r>
          </w:p>
        </w:tc>
        <w:tc>
          <w:tcPr>
            <w:tcW w:w="1022" w:type="pct"/>
          </w:tcPr>
          <w:p w14:paraId="451BF58B" w14:textId="77777777" w:rsidR="004422A3" w:rsidRDefault="00CF7044" w:rsidP="007A58F5">
            <w:pPr>
              <w:pStyle w:val="TableParagraph"/>
              <w:spacing w:line="238" w:lineRule="exact"/>
              <w:ind w:left="0"/>
            </w:pPr>
            <w:r>
              <w:t>žihľavka</w:t>
            </w:r>
            <w:r>
              <w:rPr>
                <w:position w:val="8"/>
                <w:sz w:val="14"/>
              </w:rPr>
              <w:t>5</w:t>
            </w:r>
            <w:r>
              <w:t>,</w:t>
            </w:r>
          </w:p>
          <w:p w14:paraId="5CA79E53" w14:textId="77777777" w:rsidR="004422A3" w:rsidRDefault="00CF7044" w:rsidP="007A58F5">
            <w:pPr>
              <w:pStyle w:val="TableParagraph"/>
              <w:spacing w:before="3" w:line="235" w:lineRule="auto"/>
              <w:ind w:left="0"/>
              <w:rPr>
                <w:sz w:val="14"/>
              </w:rPr>
            </w:pPr>
            <w:r>
              <w:t>hyperhidróza (potenie)</w:t>
            </w:r>
            <w:r>
              <w:rPr>
                <w:position w:val="8"/>
                <w:sz w:val="14"/>
              </w:rPr>
              <w:t>5</w:t>
            </w:r>
          </w:p>
        </w:tc>
        <w:tc>
          <w:tcPr>
            <w:tcW w:w="1000" w:type="pct"/>
          </w:tcPr>
          <w:p w14:paraId="2571C546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5" w:type="pct"/>
          </w:tcPr>
          <w:p w14:paraId="18A9D038" w14:textId="77777777" w:rsidR="004422A3" w:rsidRDefault="00CF7044" w:rsidP="007A58F5">
            <w:pPr>
              <w:pStyle w:val="TableParagraph"/>
              <w:spacing w:line="238" w:lineRule="exact"/>
              <w:ind w:left="0"/>
            </w:pPr>
            <w:r>
              <w:t>Stevensov-</w:t>
            </w:r>
          </w:p>
          <w:p w14:paraId="45A5BA40" w14:textId="77777777" w:rsidR="004422A3" w:rsidRDefault="00CF7044" w:rsidP="007A58F5">
            <w:pPr>
              <w:pStyle w:val="TableParagraph"/>
              <w:ind w:left="0"/>
            </w:pPr>
            <w:r>
              <w:t>Johnsonov syndróm, exfoliatívna</w:t>
            </w:r>
          </w:p>
          <w:p w14:paraId="01E71527" w14:textId="77777777" w:rsidR="004422A3" w:rsidRDefault="00CF7044" w:rsidP="007A58F5">
            <w:pPr>
              <w:pStyle w:val="TableParagraph"/>
              <w:spacing w:line="248" w:lineRule="exact"/>
              <w:ind w:left="0"/>
            </w:pPr>
            <w:r>
              <w:t>dermatitída,</w:t>
            </w:r>
          </w:p>
        </w:tc>
      </w:tr>
      <w:tr w:rsidR="004422A3" w14:paraId="14E6DAEC" w14:textId="77777777" w:rsidTr="00751269">
        <w:trPr>
          <w:trHeight w:val="251"/>
        </w:trPr>
        <w:tc>
          <w:tcPr>
            <w:tcW w:w="5000" w:type="pct"/>
            <w:gridSpan w:val="5"/>
          </w:tcPr>
          <w:p w14:paraId="72F0A495" w14:textId="77777777" w:rsidR="004422A3" w:rsidRDefault="00CF7044" w:rsidP="007A58F5">
            <w:pPr>
              <w:pStyle w:val="TableParagraph"/>
              <w:spacing w:line="232" w:lineRule="exact"/>
              <w:ind w:left="0"/>
              <w:rPr>
                <w:i/>
              </w:rPr>
            </w:pPr>
            <w:r>
              <w:rPr>
                <w:i/>
              </w:rPr>
              <w:t>Poruchy kostrovej a svalovej sústavy a spojivového tkaniva</w:t>
            </w:r>
          </w:p>
        </w:tc>
      </w:tr>
      <w:tr w:rsidR="004422A3" w14:paraId="7FAF71E1" w14:textId="77777777" w:rsidTr="00751269">
        <w:trPr>
          <w:trHeight w:val="1264"/>
        </w:trPr>
        <w:tc>
          <w:tcPr>
            <w:tcW w:w="991" w:type="pct"/>
          </w:tcPr>
          <w:p w14:paraId="77694DB2" w14:textId="77777777" w:rsidR="004422A3" w:rsidRDefault="00CF7044" w:rsidP="007A58F5">
            <w:pPr>
              <w:pStyle w:val="TableParagraph"/>
              <w:spacing w:line="239" w:lineRule="exact"/>
              <w:ind w:left="0"/>
            </w:pPr>
            <w:r>
              <w:t>myalgia, bolesť</w:t>
            </w:r>
          </w:p>
          <w:p w14:paraId="1DD6AE30" w14:textId="77777777" w:rsidR="004422A3" w:rsidRDefault="00CF7044" w:rsidP="007A58F5">
            <w:pPr>
              <w:pStyle w:val="TableParagraph"/>
              <w:spacing w:before="1"/>
              <w:ind w:left="0"/>
            </w:pPr>
            <w:r>
              <w:t>chrbta, bolesť končatín (vrátane ťažkostí</w:t>
            </w:r>
          </w:p>
          <w:p w14:paraId="4FE5191D" w14:textId="77777777" w:rsidR="004422A3" w:rsidRDefault="00CF7044" w:rsidP="007A58F5">
            <w:pPr>
              <w:pStyle w:val="TableParagraph"/>
              <w:spacing w:line="245" w:lineRule="exact"/>
              <w:ind w:left="0"/>
            </w:pPr>
            <w:r>
              <w:t>s končatinami)</w:t>
            </w:r>
          </w:p>
        </w:tc>
        <w:tc>
          <w:tcPr>
            <w:tcW w:w="992" w:type="pct"/>
          </w:tcPr>
          <w:p w14:paraId="230157C9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2" w:type="pct"/>
          </w:tcPr>
          <w:p w14:paraId="0591833A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0" w:type="pct"/>
          </w:tcPr>
          <w:p w14:paraId="3A640D4E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5" w:type="pct"/>
          </w:tcPr>
          <w:p w14:paraId="2B5F3CE2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</w:tr>
      <w:tr w:rsidR="004422A3" w14:paraId="00916287" w14:textId="77777777" w:rsidTr="00751269">
        <w:trPr>
          <w:trHeight w:val="254"/>
        </w:trPr>
        <w:tc>
          <w:tcPr>
            <w:tcW w:w="5000" w:type="pct"/>
            <w:gridSpan w:val="5"/>
          </w:tcPr>
          <w:p w14:paraId="08B0C565" w14:textId="77777777" w:rsidR="004422A3" w:rsidRDefault="00CF7044" w:rsidP="007A58F5">
            <w:pPr>
              <w:pStyle w:val="TableParagraph"/>
              <w:spacing w:line="234" w:lineRule="exact"/>
              <w:ind w:left="0"/>
              <w:rPr>
                <w:i/>
              </w:rPr>
            </w:pPr>
            <w:r>
              <w:rPr>
                <w:i/>
              </w:rPr>
              <w:t>Poruchy obličiek a močových ciest</w:t>
            </w:r>
          </w:p>
        </w:tc>
      </w:tr>
      <w:tr w:rsidR="004422A3" w14:paraId="64C570E4" w14:textId="77777777" w:rsidTr="00751269">
        <w:trPr>
          <w:trHeight w:val="253"/>
        </w:trPr>
        <w:tc>
          <w:tcPr>
            <w:tcW w:w="991" w:type="pct"/>
          </w:tcPr>
          <w:p w14:paraId="647D764F" w14:textId="77777777" w:rsidR="004422A3" w:rsidRDefault="004422A3" w:rsidP="007A58F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pct"/>
          </w:tcPr>
          <w:p w14:paraId="3C30A76B" w14:textId="77777777" w:rsidR="004422A3" w:rsidRDefault="004422A3" w:rsidP="007A58F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2" w:type="pct"/>
          </w:tcPr>
          <w:p w14:paraId="31937655" w14:textId="77777777" w:rsidR="004422A3" w:rsidRDefault="00CF7044" w:rsidP="007A58F5">
            <w:pPr>
              <w:pStyle w:val="TableParagraph"/>
              <w:spacing w:line="234" w:lineRule="exact"/>
              <w:ind w:left="0"/>
            </w:pPr>
            <w:r>
              <w:t>Hematúria</w:t>
            </w:r>
          </w:p>
        </w:tc>
        <w:tc>
          <w:tcPr>
            <w:tcW w:w="1000" w:type="pct"/>
          </w:tcPr>
          <w:p w14:paraId="012F7925" w14:textId="77777777" w:rsidR="004422A3" w:rsidRDefault="004422A3" w:rsidP="007A58F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5" w:type="pct"/>
          </w:tcPr>
          <w:p w14:paraId="154720E3" w14:textId="77777777" w:rsidR="004422A3" w:rsidRDefault="004422A3" w:rsidP="007A58F5">
            <w:pPr>
              <w:pStyle w:val="TableParagraph"/>
              <w:ind w:left="0"/>
              <w:rPr>
                <w:sz w:val="18"/>
              </w:rPr>
            </w:pPr>
          </w:p>
        </w:tc>
      </w:tr>
      <w:tr w:rsidR="004422A3" w14:paraId="6BD37FDF" w14:textId="77777777" w:rsidTr="00751269">
        <w:trPr>
          <w:trHeight w:val="251"/>
        </w:trPr>
        <w:tc>
          <w:tcPr>
            <w:tcW w:w="5000" w:type="pct"/>
            <w:gridSpan w:val="5"/>
          </w:tcPr>
          <w:p w14:paraId="0588CAAA" w14:textId="77777777" w:rsidR="004422A3" w:rsidRDefault="00CF7044" w:rsidP="007A58F5">
            <w:pPr>
              <w:pStyle w:val="TableParagraph"/>
              <w:spacing w:line="232" w:lineRule="exact"/>
              <w:ind w:left="0"/>
              <w:rPr>
                <w:i/>
              </w:rPr>
            </w:pPr>
            <w:r>
              <w:rPr>
                <w:i/>
              </w:rPr>
              <w:t>Poruchy reprodukčného systému a prsníkov</w:t>
            </w:r>
          </w:p>
        </w:tc>
      </w:tr>
      <w:tr w:rsidR="004422A3" w14:paraId="4ACB84F6" w14:textId="77777777" w:rsidTr="00751269">
        <w:trPr>
          <w:trHeight w:val="1012"/>
        </w:trPr>
        <w:tc>
          <w:tcPr>
            <w:tcW w:w="991" w:type="pct"/>
          </w:tcPr>
          <w:p w14:paraId="2BDD7CFB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pct"/>
          </w:tcPr>
          <w:p w14:paraId="6B108378" w14:textId="77777777" w:rsidR="004422A3" w:rsidRDefault="00CF7044" w:rsidP="007A58F5">
            <w:pPr>
              <w:pStyle w:val="TableParagraph"/>
              <w:spacing w:line="235" w:lineRule="auto"/>
              <w:ind w:left="0"/>
              <w:rPr>
                <w:sz w:val="14"/>
              </w:rPr>
            </w:pPr>
            <w:r>
              <w:t>zvýšené krvácanie z maternice</w:t>
            </w:r>
            <w:r>
              <w:rPr>
                <w:position w:val="8"/>
                <w:sz w:val="14"/>
              </w:rPr>
              <w:t>4</w:t>
            </w:r>
          </w:p>
        </w:tc>
        <w:tc>
          <w:tcPr>
            <w:tcW w:w="1022" w:type="pct"/>
          </w:tcPr>
          <w:p w14:paraId="73908E13" w14:textId="77777777" w:rsidR="004422A3" w:rsidRDefault="00CF7044" w:rsidP="007A58F5">
            <w:pPr>
              <w:pStyle w:val="TableParagraph"/>
              <w:spacing w:line="239" w:lineRule="exact"/>
              <w:ind w:left="0"/>
            </w:pPr>
            <w:r>
              <w:t>priapizmus</w:t>
            </w:r>
            <w:r>
              <w:rPr>
                <w:position w:val="8"/>
                <w:sz w:val="14"/>
              </w:rPr>
              <w:t>5</w:t>
            </w:r>
            <w:r>
              <w:t>,</w:t>
            </w:r>
          </w:p>
          <w:p w14:paraId="0BA755EF" w14:textId="77777777" w:rsidR="004422A3" w:rsidRDefault="00CF7044" w:rsidP="007A58F5">
            <w:pPr>
              <w:pStyle w:val="TableParagraph"/>
              <w:spacing w:before="1"/>
              <w:ind w:left="0"/>
            </w:pPr>
            <w:r>
              <w:t>krvácanie z penisu,</w:t>
            </w:r>
          </w:p>
          <w:p w14:paraId="2D985C03" w14:textId="77777777" w:rsidR="004422A3" w:rsidRDefault="00CF7044" w:rsidP="007A58F5">
            <w:pPr>
              <w:pStyle w:val="TableParagraph"/>
              <w:spacing w:before="1" w:line="246" w:lineRule="exact"/>
              <w:ind w:left="0"/>
            </w:pPr>
            <w:r>
              <w:t>hematospermia</w:t>
            </w:r>
          </w:p>
        </w:tc>
        <w:tc>
          <w:tcPr>
            <w:tcW w:w="1000" w:type="pct"/>
          </w:tcPr>
          <w:p w14:paraId="490E9CAE" w14:textId="77777777" w:rsidR="004422A3" w:rsidRDefault="004422A3" w:rsidP="007A58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5" w:type="pct"/>
          </w:tcPr>
          <w:p w14:paraId="509DA4E3" w14:textId="77777777" w:rsidR="004422A3" w:rsidRDefault="00CF7044" w:rsidP="007A58F5">
            <w:pPr>
              <w:pStyle w:val="TableParagraph"/>
              <w:spacing w:line="239" w:lineRule="exact"/>
              <w:ind w:left="0"/>
            </w:pPr>
            <w:r>
              <w:t>predĺžené erekcie</w:t>
            </w:r>
          </w:p>
        </w:tc>
      </w:tr>
      <w:tr w:rsidR="004422A3" w14:paraId="53A3E0E4" w14:textId="77777777" w:rsidTr="00751269">
        <w:trPr>
          <w:trHeight w:val="254"/>
        </w:trPr>
        <w:tc>
          <w:tcPr>
            <w:tcW w:w="5000" w:type="pct"/>
            <w:gridSpan w:val="5"/>
          </w:tcPr>
          <w:p w14:paraId="7CB8ABCD" w14:textId="77777777" w:rsidR="004422A3" w:rsidRDefault="00CF7044" w:rsidP="007A58F5">
            <w:pPr>
              <w:pStyle w:val="TableParagraph"/>
              <w:spacing w:line="234" w:lineRule="exact"/>
              <w:ind w:left="0"/>
              <w:rPr>
                <w:i/>
              </w:rPr>
            </w:pPr>
            <w:r>
              <w:rPr>
                <w:i/>
              </w:rPr>
              <w:t>Celkové poruchy a reakcie v mieste podania</w:t>
            </w:r>
          </w:p>
        </w:tc>
      </w:tr>
      <w:tr w:rsidR="004422A3" w14:paraId="5820D799" w14:textId="77777777" w:rsidTr="00751269">
        <w:trPr>
          <w:trHeight w:val="505"/>
        </w:trPr>
        <w:tc>
          <w:tcPr>
            <w:tcW w:w="991" w:type="pct"/>
          </w:tcPr>
          <w:p w14:paraId="50F769C3" w14:textId="77777777" w:rsidR="004422A3" w:rsidRDefault="004422A3" w:rsidP="007A58F5">
            <w:pPr>
              <w:pStyle w:val="TableParagraph"/>
              <w:ind w:left="0"/>
            </w:pPr>
          </w:p>
        </w:tc>
        <w:tc>
          <w:tcPr>
            <w:tcW w:w="992" w:type="pct"/>
          </w:tcPr>
          <w:p w14:paraId="3EA13D00" w14:textId="77777777" w:rsidR="004422A3" w:rsidRDefault="00CF7044" w:rsidP="007A58F5">
            <w:pPr>
              <w:pStyle w:val="TableParagraph"/>
              <w:spacing w:line="237" w:lineRule="exact"/>
              <w:ind w:left="0"/>
            </w:pPr>
            <w:r>
              <w:t>opuch tváre ,</w:t>
            </w:r>
          </w:p>
          <w:p w14:paraId="4AADF6B3" w14:textId="77777777" w:rsidR="004422A3" w:rsidRDefault="00CF7044" w:rsidP="007A58F5">
            <w:pPr>
              <w:pStyle w:val="TableParagraph"/>
              <w:spacing w:line="249" w:lineRule="exact"/>
              <w:ind w:left="0"/>
              <w:rPr>
                <w:sz w:val="14"/>
              </w:rPr>
            </w:pPr>
            <w:r>
              <w:t>bolesť v hrudi</w:t>
            </w:r>
            <w:r>
              <w:rPr>
                <w:position w:val="8"/>
                <w:sz w:val="14"/>
              </w:rPr>
              <w:t>2</w:t>
            </w:r>
          </w:p>
        </w:tc>
        <w:tc>
          <w:tcPr>
            <w:tcW w:w="1022" w:type="pct"/>
          </w:tcPr>
          <w:p w14:paraId="0EDE18BB" w14:textId="77777777" w:rsidR="004422A3" w:rsidRDefault="004422A3" w:rsidP="007A58F5">
            <w:pPr>
              <w:pStyle w:val="TableParagraph"/>
              <w:ind w:left="0"/>
            </w:pPr>
          </w:p>
        </w:tc>
        <w:tc>
          <w:tcPr>
            <w:tcW w:w="1000" w:type="pct"/>
          </w:tcPr>
          <w:p w14:paraId="79678064" w14:textId="77777777" w:rsidR="004422A3" w:rsidRDefault="004422A3" w:rsidP="007A58F5">
            <w:pPr>
              <w:pStyle w:val="TableParagraph"/>
              <w:ind w:left="0"/>
            </w:pPr>
          </w:p>
        </w:tc>
        <w:tc>
          <w:tcPr>
            <w:tcW w:w="995" w:type="pct"/>
          </w:tcPr>
          <w:p w14:paraId="12B580F4" w14:textId="77777777" w:rsidR="004422A3" w:rsidRDefault="004422A3" w:rsidP="007A58F5">
            <w:pPr>
              <w:pStyle w:val="TableParagraph"/>
              <w:ind w:left="0"/>
            </w:pPr>
          </w:p>
        </w:tc>
      </w:tr>
    </w:tbl>
    <w:p w14:paraId="7EFBE2F1" w14:textId="77777777" w:rsidR="004422A3" w:rsidRDefault="004422A3" w:rsidP="007A58F5">
      <w:pPr>
        <w:pStyle w:val="Zkladntext"/>
        <w:spacing w:before="10"/>
        <w:rPr>
          <w:sz w:val="12"/>
        </w:rPr>
      </w:pPr>
    </w:p>
    <w:p w14:paraId="0E43F4FC" w14:textId="4E46927C" w:rsidR="004422A3" w:rsidRPr="00CD6612" w:rsidRDefault="00CF7044" w:rsidP="007A58F5">
      <w:pPr>
        <w:pStyle w:val="Odsekzoznamu"/>
        <w:numPr>
          <w:ilvl w:val="0"/>
          <w:numId w:val="10"/>
        </w:numPr>
        <w:tabs>
          <w:tab w:val="left" w:pos="567"/>
        </w:tabs>
        <w:spacing w:before="92" w:line="242" w:lineRule="auto"/>
        <w:ind w:left="567" w:hanging="567"/>
      </w:pPr>
      <w:r>
        <w:t>Udalosti, ktoré neboli hlásené v štúdiách pr</w:t>
      </w:r>
      <w:r w:rsidR="000419E2">
        <w:t>i</w:t>
      </w:r>
      <w:r>
        <w:t xml:space="preserve"> registráci</w:t>
      </w:r>
      <w:r w:rsidR="000419E2">
        <w:t>i lieku</w:t>
      </w:r>
      <w:r>
        <w:t xml:space="preserve"> a ich frekvenciu</w:t>
      </w:r>
      <w:r w:rsidRPr="002D1297">
        <w:rPr>
          <w:spacing w:val="-33"/>
        </w:rPr>
        <w:t xml:space="preserve"> </w:t>
      </w:r>
      <w:r>
        <w:t xml:space="preserve">nemožno </w:t>
      </w:r>
      <w:r>
        <w:lastRenderedPageBreak/>
        <w:t xml:space="preserve">odhadnúť z dostupných údajov. Nežiaduce </w:t>
      </w:r>
      <w:r w:rsidR="002D1297">
        <w:t xml:space="preserve">reakcie </w:t>
      </w:r>
      <w:r>
        <w:t>boli zahrnuté do tabuľky na základe</w:t>
      </w:r>
      <w:r w:rsidRPr="002D1297">
        <w:rPr>
          <w:spacing w:val="-17"/>
        </w:rPr>
        <w:t xml:space="preserve"> </w:t>
      </w:r>
      <w:r>
        <w:t>údajov</w:t>
      </w:r>
      <w:r w:rsidR="002D1297">
        <w:t xml:space="preserve"> </w:t>
      </w:r>
      <w:r w:rsidRPr="00CD6612">
        <w:t>z</w:t>
      </w:r>
      <w:r w:rsidR="00145068" w:rsidRPr="00CD6612">
        <w:t> hlásení po uvedení lieku na trh</w:t>
      </w:r>
      <w:r w:rsidRPr="00CD6612">
        <w:t xml:space="preserve"> alebo z klinických </w:t>
      </w:r>
      <w:r w:rsidR="00145068" w:rsidRPr="00CD6612">
        <w:t>štúdií s použitím tadalafilu v</w:t>
      </w:r>
      <w:r w:rsidRPr="00CD6612">
        <w:t xml:space="preserve"> liečbe erektilnej dysfunkcie.</w:t>
      </w:r>
    </w:p>
    <w:p w14:paraId="601A18FF" w14:textId="131F34DF" w:rsidR="004422A3" w:rsidRPr="00CD6612" w:rsidRDefault="00CF7044" w:rsidP="007A58F5">
      <w:pPr>
        <w:pStyle w:val="Odsekzoznamu"/>
        <w:numPr>
          <w:ilvl w:val="0"/>
          <w:numId w:val="10"/>
        </w:numPr>
        <w:tabs>
          <w:tab w:val="left" w:pos="567"/>
        </w:tabs>
        <w:spacing w:line="242" w:lineRule="auto"/>
        <w:ind w:left="567" w:hanging="567"/>
      </w:pPr>
      <w:r w:rsidRPr="00CD6612">
        <w:t>Väčšina pacientov, u ktorých boli hlásené tieto udalosti, vykazovala už predtým prítomnosť kardiovaskulárnych rizikových</w:t>
      </w:r>
      <w:r w:rsidRPr="00CD6612">
        <w:rPr>
          <w:spacing w:val="-2"/>
        </w:rPr>
        <w:t xml:space="preserve"> </w:t>
      </w:r>
      <w:r w:rsidRPr="00CD6612">
        <w:t>faktorov.</w:t>
      </w:r>
    </w:p>
    <w:p w14:paraId="643DEA57" w14:textId="312C4110" w:rsidR="004422A3" w:rsidRPr="00CD6612" w:rsidRDefault="00CF7044" w:rsidP="007A58F5">
      <w:pPr>
        <w:pStyle w:val="Odsekzoznamu"/>
        <w:numPr>
          <w:ilvl w:val="0"/>
          <w:numId w:val="10"/>
        </w:numPr>
        <w:tabs>
          <w:tab w:val="left" w:pos="567"/>
        </w:tabs>
        <w:ind w:left="567" w:hanging="567"/>
      </w:pPr>
      <w:r w:rsidRPr="00CD6612">
        <w:t xml:space="preserve">Zahnuté sú súčasné termíny </w:t>
      </w:r>
      <w:r w:rsidR="00145068" w:rsidRPr="00CD6612">
        <w:t xml:space="preserve">podľa </w:t>
      </w:r>
      <w:r w:rsidRPr="00CD6612">
        <w:t>MedDRA konvencie: tráviace ťažkosti, bolesť brucha, bolesť v</w:t>
      </w:r>
      <w:r w:rsidR="00145068" w:rsidRPr="00CD6612">
        <w:t> dolnej časti brucha, bolesť v hornej časti brucha</w:t>
      </w:r>
      <w:r w:rsidRPr="00CD6612">
        <w:t xml:space="preserve"> a žalúdočné</w:t>
      </w:r>
      <w:r w:rsidRPr="00CD6612">
        <w:rPr>
          <w:spacing w:val="-8"/>
        </w:rPr>
        <w:t xml:space="preserve"> </w:t>
      </w:r>
      <w:r w:rsidRPr="00CD6612">
        <w:t>ťažkosti.</w:t>
      </w:r>
    </w:p>
    <w:p w14:paraId="3654078A" w14:textId="18E84452" w:rsidR="004422A3" w:rsidRPr="00CD6612" w:rsidRDefault="00CF7044" w:rsidP="007A58F5">
      <w:pPr>
        <w:pStyle w:val="Odsekzoznamu"/>
        <w:numPr>
          <w:ilvl w:val="0"/>
          <w:numId w:val="10"/>
        </w:numPr>
        <w:tabs>
          <w:tab w:val="left" w:pos="567"/>
        </w:tabs>
        <w:ind w:left="567" w:hanging="567"/>
      </w:pPr>
      <w:r w:rsidRPr="00CD6612">
        <w:t xml:space="preserve">Klinický termín (nie </w:t>
      </w:r>
      <w:r w:rsidR="00145068" w:rsidRPr="00CD6612">
        <w:t xml:space="preserve">podľa </w:t>
      </w:r>
      <w:r w:rsidRPr="00CD6612">
        <w:t>MedDRA), ktorý zahŕňa hlásenia o nezvyčajnom/nadmernom menštruačnom krvácaní, ako je menorágia, metrorágia, menometrorágia alebo vaginálne</w:t>
      </w:r>
      <w:r w:rsidRPr="00CD6612">
        <w:rPr>
          <w:spacing w:val="-11"/>
        </w:rPr>
        <w:t xml:space="preserve"> </w:t>
      </w:r>
      <w:r w:rsidRPr="00CD6612">
        <w:t>krvácanie.</w:t>
      </w:r>
    </w:p>
    <w:p w14:paraId="50B1FD3E" w14:textId="5AF7F050" w:rsidR="004422A3" w:rsidRDefault="00CF7044" w:rsidP="007A58F5">
      <w:pPr>
        <w:pStyle w:val="Odsekzoznamu"/>
        <w:numPr>
          <w:ilvl w:val="0"/>
          <w:numId w:val="10"/>
        </w:numPr>
        <w:tabs>
          <w:tab w:val="left" w:pos="567"/>
        </w:tabs>
        <w:spacing w:line="247" w:lineRule="auto"/>
        <w:ind w:left="567" w:hanging="567"/>
      </w:pPr>
      <w:r w:rsidRPr="00CD6612">
        <w:t xml:space="preserve">Nežiaduce </w:t>
      </w:r>
      <w:r w:rsidR="002D1297" w:rsidRPr="00CD6612">
        <w:t xml:space="preserve">reakcie </w:t>
      </w:r>
      <w:r w:rsidRPr="00CD6612">
        <w:t>boli zahrnuté do tabuľky na základe údajov z</w:t>
      </w:r>
      <w:r w:rsidR="00145068" w:rsidRPr="00CD6612">
        <w:t> hlásení po uvedení lieku na trh</w:t>
      </w:r>
      <w:r w:rsidRPr="00CD6612">
        <w:t xml:space="preserve"> alebo z klinickej </w:t>
      </w:r>
      <w:r w:rsidR="00145068" w:rsidRPr="00CD6612">
        <w:t>štúdie s použitím tadalafilu v</w:t>
      </w:r>
      <w:r w:rsidRPr="00CD6612">
        <w:t xml:space="preserve"> liečbe erektilnej dysfunkcie, a </w:t>
      </w:r>
      <w:r w:rsidR="002D1297" w:rsidRPr="00CD6612">
        <w:t xml:space="preserve">okrem toho </w:t>
      </w:r>
      <w:r w:rsidRPr="00CD6612">
        <w:t>sú to odhady frekvencie výskytu založené len na 1 alebo 2 pacientoch s nežiaduc</w:t>
      </w:r>
      <w:r w:rsidR="002D1297" w:rsidRPr="00CD6612">
        <w:t>ou</w:t>
      </w:r>
      <w:r w:rsidRPr="00CD6612">
        <w:t xml:space="preserve"> </w:t>
      </w:r>
      <w:r w:rsidR="002D1297" w:rsidRPr="00CD6612">
        <w:t xml:space="preserve">reakciou </w:t>
      </w:r>
      <w:r w:rsidRPr="00CD6612">
        <w:t>v</w:t>
      </w:r>
      <w:r w:rsidR="00145068" w:rsidRPr="00CD6612">
        <w:t xml:space="preserve"> pivotnej, </w:t>
      </w:r>
      <w:r w:rsidRPr="00CD6612">
        <w:t>placebom</w:t>
      </w:r>
      <w:r>
        <w:t xml:space="preserve"> kontrolovanej štúdii s</w:t>
      </w:r>
      <w:r>
        <w:rPr>
          <w:spacing w:val="-2"/>
        </w:rPr>
        <w:t xml:space="preserve"> </w:t>
      </w:r>
      <w:r w:rsidR="006C2836">
        <w:t>t</w:t>
      </w:r>
      <w:r w:rsidR="00751269">
        <w:t>adalafil</w:t>
      </w:r>
      <w:r w:rsidR="002D1297">
        <w:t>om</w:t>
      </w:r>
      <w:r>
        <w:t>.</w:t>
      </w:r>
    </w:p>
    <w:p w14:paraId="574D11A2" w14:textId="77777777" w:rsidR="004422A3" w:rsidRDefault="00CF7044" w:rsidP="007A58F5">
      <w:pPr>
        <w:pStyle w:val="Odsekzoznamu"/>
        <w:numPr>
          <w:ilvl w:val="0"/>
          <w:numId w:val="10"/>
        </w:numPr>
        <w:tabs>
          <w:tab w:val="left" w:pos="567"/>
        </w:tabs>
        <w:ind w:left="567" w:hanging="567"/>
      </w:pPr>
      <w:r>
        <w:t>Najčastejšie opisovaným nežiaducim účinkom bola bolesť hlavy. Bolesť sa môže objaviť na začiatku liečby a v priebehu liečby sa</w:t>
      </w:r>
      <w:r>
        <w:rPr>
          <w:spacing w:val="-10"/>
        </w:rPr>
        <w:t xml:space="preserve"> </w:t>
      </w:r>
      <w:r>
        <w:t>zmenšuje.</w:t>
      </w:r>
    </w:p>
    <w:p w14:paraId="42AA5316" w14:textId="77777777" w:rsidR="004422A3" w:rsidRDefault="004422A3" w:rsidP="007A58F5">
      <w:pPr>
        <w:pStyle w:val="Zkladntext"/>
        <w:spacing w:before="9"/>
        <w:rPr>
          <w:sz w:val="20"/>
        </w:rPr>
      </w:pPr>
    </w:p>
    <w:p w14:paraId="1B4247AA" w14:textId="77777777" w:rsidR="004422A3" w:rsidRDefault="00CF7044" w:rsidP="007A58F5">
      <w:pPr>
        <w:pStyle w:val="Zkladntext"/>
      </w:pPr>
      <w:r>
        <w:rPr>
          <w:u w:val="single"/>
        </w:rPr>
        <w:t>Hlásenie podozrení na nežiaduce reakcie</w:t>
      </w:r>
    </w:p>
    <w:p w14:paraId="167C85C6" w14:textId="315A1D9A" w:rsidR="004422A3" w:rsidRPr="00540574" w:rsidRDefault="00540574" w:rsidP="007A58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color w:val="0000FF" w:themeColor="hyperlink"/>
          <w:u w:val="single"/>
        </w:rPr>
      </w:pPr>
      <w: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hd w:val="clear" w:color="auto" w:fill="C0C0C0"/>
        </w:rPr>
        <w:t>národné centrum hlásenia uvedené v </w:t>
      </w:r>
      <w:hyperlink r:id="rId10" w:history="1">
        <w:r>
          <w:rPr>
            <w:rStyle w:val="Hypertextovprepojenie"/>
            <w:shd w:val="clear" w:color="auto" w:fill="C0C0C0"/>
          </w:rPr>
          <w:t>Prílohe V</w:t>
        </w:r>
      </w:hyperlink>
      <w:r>
        <w:rPr>
          <w:rStyle w:val="Hypertextovprepojenie"/>
        </w:rPr>
        <w:t>.</w:t>
      </w:r>
    </w:p>
    <w:p w14:paraId="4224AF35" w14:textId="77777777" w:rsidR="004422A3" w:rsidRDefault="004422A3" w:rsidP="007A58F5">
      <w:pPr>
        <w:pStyle w:val="Zkladntext"/>
        <w:spacing w:before="6"/>
        <w:rPr>
          <w:sz w:val="14"/>
        </w:rPr>
      </w:pPr>
    </w:p>
    <w:p w14:paraId="14625986" w14:textId="77777777" w:rsidR="004422A3" w:rsidRDefault="00CF7044" w:rsidP="007A58F5">
      <w:pPr>
        <w:pStyle w:val="Nadpis1"/>
        <w:numPr>
          <w:ilvl w:val="1"/>
          <w:numId w:val="9"/>
        </w:numPr>
        <w:tabs>
          <w:tab w:val="left" w:pos="882"/>
          <w:tab w:val="left" w:pos="883"/>
        </w:tabs>
        <w:spacing w:before="91"/>
        <w:ind w:left="0" w:firstLine="0"/>
      </w:pPr>
      <w:r>
        <w:t>Predávkovanie</w:t>
      </w:r>
    </w:p>
    <w:p w14:paraId="1C113848" w14:textId="77777777" w:rsidR="004422A3" w:rsidRDefault="004422A3" w:rsidP="007A58F5">
      <w:pPr>
        <w:pStyle w:val="Zkladntext"/>
        <w:spacing w:before="7"/>
        <w:rPr>
          <w:b/>
          <w:sz w:val="21"/>
        </w:rPr>
      </w:pPr>
    </w:p>
    <w:p w14:paraId="5BA8EA63" w14:textId="050F4C68" w:rsidR="004422A3" w:rsidRDefault="00CF7044" w:rsidP="007A58F5">
      <w:pPr>
        <w:pStyle w:val="Zkladntext"/>
      </w:pPr>
      <w:r>
        <w:t xml:space="preserve">Zdravým osobám boli podané jednorazové dávky do 500 mg a pacientom s erektilnou dysfunkciou sa podali opakované denné dávky do 100 mg. Nežiaduce účinky boli podobné ako pri nižších dávkach. V prípade predávkovania je potrebné začať štandardnú podpornú liečbu. Hemodialýza prispieva k eliminácii tadalafilu iba </w:t>
      </w:r>
      <w:r w:rsidR="006B6E29">
        <w:t>zanedbateľne</w:t>
      </w:r>
      <w:r>
        <w:t>.</w:t>
      </w:r>
    </w:p>
    <w:p w14:paraId="7A34B5B2" w14:textId="77777777" w:rsidR="004422A3" w:rsidRDefault="004422A3" w:rsidP="007A58F5">
      <w:pPr>
        <w:pStyle w:val="Zkladntext"/>
        <w:rPr>
          <w:sz w:val="24"/>
        </w:rPr>
      </w:pPr>
    </w:p>
    <w:p w14:paraId="532B76C8" w14:textId="77777777" w:rsidR="004422A3" w:rsidRDefault="004422A3" w:rsidP="007A58F5">
      <w:pPr>
        <w:pStyle w:val="Zkladntext"/>
        <w:spacing w:before="4"/>
        <w:rPr>
          <w:sz w:val="20"/>
        </w:rPr>
      </w:pPr>
    </w:p>
    <w:p w14:paraId="4578C015" w14:textId="77777777" w:rsidR="004422A3" w:rsidRDefault="00CF7044" w:rsidP="007A58F5">
      <w:pPr>
        <w:pStyle w:val="Nadpis1"/>
        <w:numPr>
          <w:ilvl w:val="0"/>
          <w:numId w:val="9"/>
        </w:numPr>
        <w:tabs>
          <w:tab w:val="left" w:pos="877"/>
          <w:tab w:val="left" w:pos="878"/>
        </w:tabs>
        <w:ind w:left="0" w:firstLine="0"/>
      </w:pPr>
      <w:r>
        <w:t>FARMAKOLOGICKÉ</w:t>
      </w:r>
      <w:r>
        <w:rPr>
          <w:spacing w:val="-2"/>
        </w:rPr>
        <w:t xml:space="preserve"> </w:t>
      </w:r>
      <w:r>
        <w:t>VLASTNOSTI</w:t>
      </w:r>
    </w:p>
    <w:p w14:paraId="446DAEE9" w14:textId="77777777" w:rsidR="004422A3" w:rsidRDefault="004422A3" w:rsidP="007A58F5">
      <w:pPr>
        <w:pStyle w:val="Zkladntext"/>
        <w:rPr>
          <w:b/>
        </w:rPr>
      </w:pPr>
    </w:p>
    <w:p w14:paraId="3EDBECD9" w14:textId="77777777" w:rsidR="004422A3" w:rsidRDefault="00CF7044" w:rsidP="007A58F5">
      <w:pPr>
        <w:pStyle w:val="Odsekzoznamu"/>
        <w:numPr>
          <w:ilvl w:val="1"/>
          <w:numId w:val="9"/>
        </w:numPr>
        <w:tabs>
          <w:tab w:val="left" w:pos="882"/>
          <w:tab w:val="left" w:pos="883"/>
        </w:tabs>
        <w:ind w:left="0" w:firstLine="0"/>
        <w:rPr>
          <w:b/>
        </w:rPr>
      </w:pPr>
      <w:r>
        <w:rPr>
          <w:b/>
        </w:rPr>
        <w:t>Farmakodynamické</w:t>
      </w:r>
      <w:r>
        <w:rPr>
          <w:b/>
          <w:spacing w:val="-1"/>
        </w:rPr>
        <w:t xml:space="preserve"> </w:t>
      </w:r>
      <w:r>
        <w:rPr>
          <w:b/>
        </w:rPr>
        <w:t>vlastnosti</w:t>
      </w:r>
    </w:p>
    <w:p w14:paraId="161A1042" w14:textId="77777777" w:rsidR="00B11251" w:rsidRDefault="00B11251" w:rsidP="007A58F5">
      <w:pPr>
        <w:pStyle w:val="Zkladntext"/>
      </w:pPr>
    </w:p>
    <w:p w14:paraId="00EE7C23" w14:textId="266E0726" w:rsidR="00B11251" w:rsidRDefault="00CF7044" w:rsidP="007A58F5">
      <w:pPr>
        <w:pStyle w:val="Zkladntext"/>
      </w:pPr>
      <w:r>
        <w:t>Farmakoterapeutická skupina: Urologiká, lie</w:t>
      </w:r>
      <w:r w:rsidR="006B6E29">
        <w:t>čivá</w:t>
      </w:r>
      <w:r w:rsidR="007A58F5">
        <w:t xml:space="preserve"> </w:t>
      </w:r>
      <w:r>
        <w:t xml:space="preserve">pri poruchách erekcie, ATC kód: G04BE08. </w:t>
      </w:r>
    </w:p>
    <w:p w14:paraId="581CFB1E" w14:textId="77777777" w:rsidR="00B11251" w:rsidRDefault="00B11251" w:rsidP="007A58F5">
      <w:pPr>
        <w:pStyle w:val="Zkladntext"/>
      </w:pPr>
    </w:p>
    <w:p w14:paraId="6ADA94C6" w14:textId="77777777" w:rsidR="004422A3" w:rsidRPr="00DF4097" w:rsidRDefault="00CF7044" w:rsidP="007A58F5">
      <w:pPr>
        <w:pStyle w:val="Zkladntext"/>
        <w:rPr>
          <w:u w:val="single"/>
        </w:rPr>
      </w:pPr>
      <w:r w:rsidRPr="00DF4097">
        <w:rPr>
          <w:u w:val="single"/>
        </w:rPr>
        <w:t>Spôsob účinku</w:t>
      </w:r>
    </w:p>
    <w:p w14:paraId="5E8A644B" w14:textId="3B995295" w:rsidR="004422A3" w:rsidRDefault="00CF7044" w:rsidP="007A58F5">
      <w:pPr>
        <w:pStyle w:val="Zkladntext"/>
      </w:pPr>
      <w:r>
        <w:t>Tadalafil je silný a selektívny inhibítor fosfodiesterázy typu 5 (PDE5), enzýmu, ktorý je zodpovedný</w:t>
      </w:r>
      <w:r w:rsidR="00B11251">
        <w:t xml:space="preserve"> </w:t>
      </w:r>
      <w:r>
        <w:t>za degradáciu cyklického guanozínmonofosfátu (cGMP). Pľúcna art</w:t>
      </w:r>
      <w:r w:rsidR="00E6282F">
        <w:t>ériová</w:t>
      </w:r>
      <w:r>
        <w:t xml:space="preserve"> hypertenzia súvisí</w:t>
      </w:r>
      <w:r w:rsidR="00B11251">
        <w:t xml:space="preserve"> </w:t>
      </w:r>
      <w:r>
        <w:t xml:space="preserve">s poruchou uvoľňovania oxidu dusnatého v cievnom endoteli a s následným znížením koncentrácií cGMP v hladkej svalovine pľúcnych ciev. PDE5 je prevládajúcou fosfodiesterázou v pľúcnom cievnom riečisku. Inhibícia PDE5 tadalafilom zvyšuje koncentráciu cGMP, čo vedie k </w:t>
      </w:r>
      <w:r w:rsidR="006B6E29">
        <w:t xml:space="preserve">relaxácii </w:t>
      </w:r>
      <w:r>
        <w:t>buniek hladkého svalstva pľúcnych ciev a k vazodilatácii pľúcneho cievneho riečiska.</w:t>
      </w:r>
    </w:p>
    <w:p w14:paraId="7E366E87" w14:textId="77777777" w:rsidR="004422A3" w:rsidRPr="00DF4097" w:rsidRDefault="004422A3" w:rsidP="007A58F5">
      <w:pPr>
        <w:pStyle w:val="Zkladntext"/>
      </w:pPr>
    </w:p>
    <w:p w14:paraId="093B36B8" w14:textId="5781FA12" w:rsidR="004422A3" w:rsidRDefault="00CF7044" w:rsidP="007A58F5">
      <w:pPr>
        <w:pStyle w:val="Zkladntext"/>
        <w:spacing w:line="252" w:lineRule="exact"/>
      </w:pPr>
      <w:r>
        <w:rPr>
          <w:u w:val="single"/>
        </w:rPr>
        <w:t>Farmakodynamick</w:t>
      </w:r>
      <w:r w:rsidR="006B6E29">
        <w:rPr>
          <w:u w:val="single"/>
        </w:rPr>
        <w:t>é</w:t>
      </w:r>
      <w:r>
        <w:rPr>
          <w:u w:val="single"/>
        </w:rPr>
        <w:t xml:space="preserve"> účin</w:t>
      </w:r>
      <w:r w:rsidR="006B6E29">
        <w:rPr>
          <w:u w:val="single"/>
        </w:rPr>
        <w:t>ky</w:t>
      </w:r>
    </w:p>
    <w:p w14:paraId="3FAEE61E" w14:textId="7AC921F5" w:rsidR="004422A3" w:rsidRDefault="00CF7044" w:rsidP="007A58F5">
      <w:pPr>
        <w:pStyle w:val="Zkladntext"/>
      </w:pPr>
      <w:r>
        <w:t xml:space="preserve">V </w:t>
      </w:r>
      <w:r w:rsidRPr="00DF4097">
        <w:rPr>
          <w:i/>
        </w:rPr>
        <w:t>in vitro</w:t>
      </w:r>
      <w:r w:rsidRPr="00DF4097">
        <w:t xml:space="preserve"> </w:t>
      </w:r>
      <w:r>
        <w:t xml:space="preserve">štúdiách sa </w:t>
      </w:r>
      <w:r w:rsidR="006B6E29">
        <w:t>pre</w:t>
      </w:r>
      <w:r>
        <w:t xml:space="preserve">ukázalo, že tadalafil je selektívnym inhibítorom PDE5. PDE5 je enzým nachádzajúci sa v hladkej svalovine </w:t>
      </w:r>
      <w:r w:rsidRPr="007A58F5">
        <w:rPr>
          <w:i/>
        </w:rPr>
        <w:t>corpus cavernosum</w:t>
      </w:r>
      <w:r>
        <w:t>, ciev a vnútorných orgánov, ďalej</w:t>
      </w:r>
    </w:p>
    <w:p w14:paraId="33BEEC5C" w14:textId="30636A71" w:rsidR="004422A3" w:rsidRDefault="00CF7044" w:rsidP="007A58F5">
      <w:pPr>
        <w:pStyle w:val="Zkladntext"/>
      </w:pPr>
      <w:r>
        <w:t>v kostrovom svalstve, krvných doštičkách, obličkách, pľúcach a mozočku. Účinok tadalafilu na PDE5 je silnejší ako na iné fosfodiesterázy. Tadalafil má viac ako 10 000-krát silnejší účinok na PDE5 ako na PDE1, PDE2 a PDE4, ktoré sa nachádzajú v srdci, mozgu, cievach, pečeni a iných orgánoch. Tadalafil má viac ako 10 000-krát silnejší účinok na PDE5 ako na PDE3, ktor</w:t>
      </w:r>
      <w:r w:rsidR="006B6E29">
        <w:t>á</w:t>
      </w:r>
      <w:r>
        <w:t xml:space="preserve"> sa nachádza v srdci a cievach. Táto selektivita k PDE5 oproti PDE3 je dôležitá, pretože PDE3 má význam pri kontrakcii</w:t>
      </w:r>
    </w:p>
    <w:p w14:paraId="3E7E48A2" w14:textId="3DCBABCB" w:rsidR="004422A3" w:rsidRDefault="00CF7044" w:rsidP="007A58F5">
      <w:pPr>
        <w:pStyle w:val="Zkladntext"/>
      </w:pPr>
      <w:r>
        <w:t>myokardu. Okrem toho</w:t>
      </w:r>
      <w:r w:rsidR="006B6E29">
        <w:t xml:space="preserve"> má</w:t>
      </w:r>
      <w:r w:rsidR="00145068">
        <w:t xml:space="preserve"> tadalafil </w:t>
      </w:r>
      <w:r>
        <w:t>približne 700-krát silnejší účinok na PDE5 ako na PDE6, enzým nachádzajúci sa v</w:t>
      </w:r>
      <w:r w:rsidR="006B6E29">
        <w:t> </w:t>
      </w:r>
      <w:r>
        <w:t>sietnici</w:t>
      </w:r>
      <w:r w:rsidR="006B6E29">
        <w:t>,</w:t>
      </w:r>
      <w:r>
        <w:t xml:space="preserve"> a ktorý je zodpovedný za fototransdukciu. Tadalafil má taktiež viac ako</w:t>
      </w:r>
    </w:p>
    <w:p w14:paraId="0DB54612" w14:textId="5AF088B6" w:rsidR="00DF4097" w:rsidRDefault="00CF7044" w:rsidP="007A58F5">
      <w:pPr>
        <w:pStyle w:val="Zkladntext"/>
      </w:pPr>
      <w:r>
        <w:t xml:space="preserve">10 000-krát silnejší účinok na PDE5 ako na PDE7 </w:t>
      </w:r>
      <w:r w:rsidR="006B6E29">
        <w:t>až</w:t>
      </w:r>
      <w:r w:rsidR="00EB5F64">
        <w:t xml:space="preserve"> </w:t>
      </w:r>
      <w:r>
        <w:t>PDE10.</w:t>
      </w:r>
    </w:p>
    <w:p w14:paraId="7E4DE47F" w14:textId="77777777" w:rsidR="00DF4097" w:rsidRDefault="00DF4097" w:rsidP="007A58F5">
      <w:pPr>
        <w:pStyle w:val="Zkladntext"/>
      </w:pPr>
    </w:p>
    <w:p w14:paraId="0D43D2AD" w14:textId="77777777" w:rsidR="00DF4097" w:rsidRDefault="00CF7044" w:rsidP="007A58F5">
      <w:pPr>
        <w:pStyle w:val="Zkladntext"/>
        <w:rPr>
          <w:u w:val="single"/>
        </w:rPr>
      </w:pPr>
      <w:r w:rsidRPr="00DF4097">
        <w:rPr>
          <w:u w:val="single"/>
        </w:rPr>
        <w:t>Klinická účinnosť a</w:t>
      </w:r>
      <w:r w:rsidR="00DF4097">
        <w:rPr>
          <w:u w:val="single"/>
        </w:rPr>
        <w:t> </w:t>
      </w:r>
      <w:r w:rsidRPr="00DF4097">
        <w:rPr>
          <w:u w:val="single"/>
        </w:rPr>
        <w:t>bezpečnosť</w:t>
      </w:r>
    </w:p>
    <w:p w14:paraId="7DF5F81B" w14:textId="77777777" w:rsidR="00DF4097" w:rsidRDefault="00DF4097" w:rsidP="007A58F5">
      <w:pPr>
        <w:pStyle w:val="Zkladntext"/>
        <w:rPr>
          <w:u w:val="single"/>
        </w:rPr>
      </w:pPr>
    </w:p>
    <w:p w14:paraId="603C2C07" w14:textId="4E747886" w:rsidR="004422A3" w:rsidRDefault="00CF7044" w:rsidP="007A58F5">
      <w:pPr>
        <w:pStyle w:val="Zkladntext"/>
        <w:rPr>
          <w:i/>
        </w:rPr>
      </w:pPr>
      <w:r>
        <w:rPr>
          <w:i/>
        </w:rPr>
        <w:t>Účinnosť u pacientov s pľúcnou art</w:t>
      </w:r>
      <w:r w:rsidR="00E6282F">
        <w:rPr>
          <w:i/>
        </w:rPr>
        <w:t>ériovou</w:t>
      </w:r>
      <w:r>
        <w:rPr>
          <w:i/>
        </w:rPr>
        <w:t xml:space="preserve"> hypertenziou (PAH)</w:t>
      </w:r>
    </w:p>
    <w:p w14:paraId="7F71EB12" w14:textId="261D02B2" w:rsidR="004422A3" w:rsidRDefault="00CF7044" w:rsidP="007A58F5">
      <w:pPr>
        <w:pStyle w:val="Zkladntext"/>
      </w:pPr>
      <w:r>
        <w:t>Uskutočnila sa randomizovaná, dvojito zaslepená, placebom kontrolovaná štúdia, ktorej sa zúčastnilo 405 pacientov s pľúcnou art</w:t>
      </w:r>
      <w:r w:rsidR="00E6282F">
        <w:t>ériovou</w:t>
      </w:r>
      <w:r>
        <w:t xml:space="preserve"> hypertenziou. Povolenou prebiehajúcou liečbou bola liečba bosent</w:t>
      </w:r>
      <w:r w:rsidR="00446254">
        <w:t>á</w:t>
      </w:r>
      <w:r>
        <w:t>nom (stabilná udržiavacia dávka až do 125 mg dvakrát denne) a dlhodobá liečba antikoagulanciami, digoxínom, diuretikami a kyslíkom. Viac ako polovica (53,3 %) pacientov v štúdii užívala súbežnú liečbu bosent</w:t>
      </w:r>
      <w:r w:rsidR="00446254">
        <w:t>á</w:t>
      </w:r>
      <w:r>
        <w:t>nom.</w:t>
      </w:r>
    </w:p>
    <w:p w14:paraId="50540C45" w14:textId="77777777" w:rsidR="004422A3" w:rsidRDefault="004422A3" w:rsidP="007A58F5">
      <w:pPr>
        <w:pStyle w:val="Zkladntext"/>
        <w:spacing w:before="1"/>
      </w:pPr>
    </w:p>
    <w:p w14:paraId="4367A149" w14:textId="747032D1" w:rsidR="004422A3" w:rsidRDefault="00CF7044" w:rsidP="007A58F5">
      <w:pPr>
        <w:pStyle w:val="Zkladntext"/>
      </w:pPr>
      <w:r>
        <w:t xml:space="preserve">Pacienti boli </w:t>
      </w:r>
      <w:r w:rsidR="00446254">
        <w:t>randomizovaní</w:t>
      </w:r>
      <w:r>
        <w:t xml:space="preserve"> do jednej z piatich liečebných skupín (2,5 mg, 10 mg, 20 mg, 40 mg tadalafilu alebo placebo). Pacienti boli vo veku minimálne 12 rokov a mali diagnostikovanú PAH, ktorá bola idiopatická, súvisela s kolagenózou, </w:t>
      </w:r>
      <w:r w:rsidRPr="00446254">
        <w:t>užívaním anorexigénu,</w:t>
      </w:r>
      <w:r>
        <w:t xml:space="preserve"> infekciou vírusom ľudskej imunitnej nedostatočnosti (HIV), defektom </w:t>
      </w:r>
      <w:r w:rsidRPr="00446254">
        <w:t>predsieňov</w:t>
      </w:r>
      <w:r w:rsidR="00446254" w:rsidRPr="007A58F5">
        <w:t>ého</w:t>
      </w:r>
      <w:r w:rsidRPr="00446254">
        <w:t xml:space="preserve"> </w:t>
      </w:r>
      <w:r w:rsidR="00446254" w:rsidRPr="007A58F5">
        <w:t>septa</w:t>
      </w:r>
      <w:r>
        <w:t xml:space="preserve"> alebo súvisela s chirurgickou </w:t>
      </w:r>
      <w:r w:rsidR="00446254">
        <w:t xml:space="preserve">korekciou </w:t>
      </w:r>
      <w:r w:rsidR="00987E77">
        <w:t xml:space="preserve">najmenej 1 rok trvajúceho </w:t>
      </w:r>
      <w:r w:rsidR="00446254">
        <w:t>vrodeného skratu</w:t>
      </w:r>
      <w:r>
        <w:t xml:space="preserve"> </w:t>
      </w:r>
      <w:r w:rsidR="00446254">
        <w:t>medzi</w:t>
      </w:r>
      <w:r>
        <w:t xml:space="preserve"> systémov</w:t>
      </w:r>
      <w:r w:rsidR="00446254">
        <w:t xml:space="preserve">ým a pľúcnym </w:t>
      </w:r>
      <w:r w:rsidR="00987E77">
        <w:t>riečisk</w:t>
      </w:r>
      <w:r w:rsidR="00446254">
        <w:t>om</w:t>
      </w:r>
      <w:r>
        <w:t xml:space="preserve"> (napr. defekt komorov</w:t>
      </w:r>
      <w:r w:rsidR="00446254">
        <w:t>ého</w:t>
      </w:r>
      <w:r>
        <w:t xml:space="preserve"> </w:t>
      </w:r>
      <w:r w:rsidR="00446254">
        <w:t>septa</w:t>
      </w:r>
      <w:r>
        <w:t xml:space="preserve">, </w:t>
      </w:r>
      <w:r w:rsidRPr="00424FF2">
        <w:t>otvorený ductus</w:t>
      </w:r>
      <w:r>
        <w:t xml:space="preserve"> arteriosus). Priemerný vek všetkých pacientov bol 54 rokov (v rozmedzí 14 až 90 rokov), pričom väčšina pacientov boli </w:t>
      </w:r>
      <w:r w:rsidR="00987E77">
        <w:t>pacienti bielej rasy</w:t>
      </w:r>
      <w:r>
        <w:t xml:space="preserve"> (80,5 %) a ženy (78,3 %). Etiológia pľúcnej art</w:t>
      </w:r>
      <w:r w:rsidR="00E6282F">
        <w:t>ériovej</w:t>
      </w:r>
      <w:r>
        <w:t xml:space="preserve"> hypertenzie (PAH) bola predovšetkým idiopatická PAH (61,0 %) a PAH súvisiaca s vaskulárnou kolagenózou (23,5 %). Väčšina pacientov mala </w:t>
      </w:r>
      <w:r w:rsidR="00987E77">
        <w:t xml:space="preserve">podľa klasifikácie WHO </w:t>
      </w:r>
      <w:r>
        <w:t>funkčnú triedu III (65,2 %) alebo II (32,1 %)</w:t>
      </w:r>
      <w:r w:rsidR="00987E77">
        <w:t>.</w:t>
      </w:r>
      <w:r w:rsidR="00A254E7">
        <w:t xml:space="preserve"> </w:t>
      </w:r>
      <w:r>
        <w:t xml:space="preserve">Priemerná </w:t>
      </w:r>
      <w:r w:rsidR="00987E77">
        <w:t>hodnota testu vzdialenosti 6 minútovej chôdze</w:t>
      </w:r>
      <w:r>
        <w:t xml:space="preserve"> (6MWD) bola 343,6 metra.</w:t>
      </w:r>
    </w:p>
    <w:p w14:paraId="79A34EC6" w14:textId="77777777" w:rsidR="004422A3" w:rsidRDefault="004422A3" w:rsidP="007A58F5">
      <w:pPr>
        <w:pStyle w:val="Zkladntext"/>
      </w:pPr>
    </w:p>
    <w:p w14:paraId="05A70D74" w14:textId="1C5D784F" w:rsidR="00551C99" w:rsidRDefault="00CF7044" w:rsidP="00551C99">
      <w:pPr>
        <w:pStyle w:val="Zkladntext"/>
      </w:pPr>
      <w:r>
        <w:t xml:space="preserve">Primárnym </w:t>
      </w:r>
      <w:r w:rsidR="00551C99">
        <w:t xml:space="preserve">cieľovým </w:t>
      </w:r>
      <w:r>
        <w:t xml:space="preserve">ukazovateľom účinnosti bola zmena vzdialenosti </w:t>
      </w:r>
      <w:r w:rsidR="00551C99">
        <w:t xml:space="preserve">v teste 6-minútovej chôdze </w:t>
      </w:r>
      <w:r>
        <w:t xml:space="preserve">(6MWD) v 16. týždni </w:t>
      </w:r>
      <w:r w:rsidR="00551C99">
        <w:t>oproti</w:t>
      </w:r>
      <w:r>
        <w:t xml:space="preserve"> východiskovej hodnot</w:t>
      </w:r>
      <w:r w:rsidR="00551C99">
        <w:t>e</w:t>
      </w:r>
      <w:r>
        <w:t xml:space="preserve">. </w:t>
      </w:r>
      <w:r w:rsidR="00551C99">
        <w:t xml:space="preserve">Protokolom definovaná hladina významnosti s podľa </w:t>
      </w:r>
      <w:r w:rsidR="00C75371">
        <w:t>placeba adjustovaným pri</w:t>
      </w:r>
      <w:r w:rsidR="00551C99">
        <w:t>emerným zvýšením 6MWD o 26 metrov  (p = 0,0004; 95 % IS: 9,5; 44,0; metóda podľa Hodgesa-Lehmana)</w:t>
      </w:r>
      <w:r w:rsidR="00C75371">
        <w:t xml:space="preserve"> (priemer 33 metrov, 95 % IS: 15,2; 50,3)</w:t>
      </w:r>
    </w:p>
    <w:p w14:paraId="1195735D" w14:textId="5B28ED76" w:rsidR="004422A3" w:rsidRDefault="00C75371" w:rsidP="007A58F5">
      <w:pPr>
        <w:pStyle w:val="Zkladntext"/>
      </w:pPr>
      <w:r>
        <w:t>bola dosiahnutá iba pri tadalafile 40 mg.</w:t>
      </w:r>
      <w:r w:rsidR="00CF7044" w:rsidRPr="00424FF2">
        <w:t xml:space="preserve"> Zlepšenie vzdialenosti prejdenej chôdzou bolo </w:t>
      </w:r>
      <w:r w:rsidR="00424FF2" w:rsidRPr="00424FF2">
        <w:t>pozorované</w:t>
      </w:r>
      <w:r w:rsidR="00424FF2">
        <w:t xml:space="preserve"> </w:t>
      </w:r>
      <w:r w:rsidR="00CF7044">
        <w:t>od 8. týždňa liečby. Významné zlepšenie (p &lt; 0,01) v 6MWD sa preukázalo v 12. týždni, ke</w:t>
      </w:r>
      <w:r>
        <w:t>ď</w:t>
      </w:r>
      <w:r w:rsidR="00CF7044">
        <w:t xml:space="preserve"> boli pacienti požiadaní, aby počkali s užitím skúmaného lieku, aby sa zistila minimálna koncentrácia liečiva.</w:t>
      </w:r>
    </w:p>
    <w:p w14:paraId="2D776458" w14:textId="2D823806" w:rsidR="004422A3" w:rsidRDefault="00CF7044" w:rsidP="007A58F5">
      <w:pPr>
        <w:pStyle w:val="Zkladntext"/>
        <w:spacing w:line="252" w:lineRule="exact"/>
      </w:pPr>
      <w:r>
        <w:t>Výsledky sa celkovo zhodovali v</w:t>
      </w:r>
      <w:r w:rsidR="00C75371">
        <w:t>o všetkých</w:t>
      </w:r>
      <w:r>
        <w:t xml:space="preserve"> podskupinách </w:t>
      </w:r>
      <w:r w:rsidR="00C75371">
        <w:t>podľa</w:t>
      </w:r>
      <w:r>
        <w:t xml:space="preserve"> vek</w:t>
      </w:r>
      <w:r w:rsidR="00C75371">
        <w:t>u</w:t>
      </w:r>
      <w:r>
        <w:t>, pohlavi</w:t>
      </w:r>
      <w:r w:rsidR="00C75371">
        <w:t>a</w:t>
      </w:r>
      <w:r>
        <w:t>, etiológi</w:t>
      </w:r>
      <w:r w:rsidR="00C75371">
        <w:t>e</w:t>
      </w:r>
      <w:r>
        <w:t xml:space="preserve"> PAH</w:t>
      </w:r>
      <w:r w:rsidR="00C75371">
        <w:t>,</w:t>
      </w:r>
    </w:p>
    <w:p w14:paraId="5851483A" w14:textId="498A699B" w:rsidR="004422A3" w:rsidRDefault="00C75371" w:rsidP="007A58F5">
      <w:pPr>
        <w:pStyle w:val="Zkladntext"/>
      </w:pPr>
      <w:r>
        <w:t>základnej funkčnej triedy podľa WHO</w:t>
      </w:r>
      <w:r w:rsidR="00CF7044">
        <w:t xml:space="preserve"> a</w:t>
      </w:r>
      <w:r>
        <w:t xml:space="preserve"> výsledkov testu </w:t>
      </w:r>
      <w:r w:rsidR="00CF7044">
        <w:t xml:space="preserve">6MWD. Medián zvýšenia 6MWD upraveného </w:t>
      </w:r>
      <w:r>
        <w:t>podľa</w:t>
      </w:r>
      <w:r w:rsidR="00CF7044">
        <w:t xml:space="preserve"> placeb</w:t>
      </w:r>
      <w:r>
        <w:t>a</w:t>
      </w:r>
      <w:r w:rsidR="00CF7044">
        <w:t xml:space="preserve"> bol 17 metrov (p = 0,09; 95 % </w:t>
      </w:r>
      <w:r>
        <w:t>IS</w:t>
      </w:r>
      <w:r w:rsidR="00CF7044">
        <w:t>: -7,1</w:t>
      </w:r>
      <w:r>
        <w:t>;</w:t>
      </w:r>
      <w:r w:rsidR="00CF7044">
        <w:t xml:space="preserve"> 43,0; </w:t>
      </w:r>
      <w:r>
        <w:t>metóda podľa</w:t>
      </w:r>
      <w:r w:rsidR="00145068">
        <w:t xml:space="preserve"> </w:t>
      </w:r>
      <w:r w:rsidR="00CF7044">
        <w:t>Hodges</w:t>
      </w:r>
      <w:r>
        <w:t>a</w:t>
      </w:r>
      <w:r w:rsidR="00CF7044">
        <w:t>-Lehman</w:t>
      </w:r>
      <w:r>
        <w:t>a</w:t>
      </w:r>
      <w:r w:rsidR="00CF7044">
        <w:t xml:space="preserve">) (priemer 23 metrov, 95 % </w:t>
      </w:r>
      <w:r>
        <w:t>IS</w:t>
      </w:r>
      <w:r w:rsidR="00CF7044">
        <w:t>; -2,4</w:t>
      </w:r>
      <w:r>
        <w:t>;</w:t>
      </w:r>
      <w:r w:rsidR="00CF7044">
        <w:t xml:space="preserve"> 47,8) u tých pacientov, ktorým sa tadalafil 40 mg podával navyše k ich súbežnej liečb</w:t>
      </w:r>
      <w:r>
        <w:t>e</w:t>
      </w:r>
      <w:r w:rsidR="00CF7044">
        <w:t xml:space="preserve"> bosent</w:t>
      </w:r>
      <w:r>
        <w:t>á</w:t>
      </w:r>
      <w:r w:rsidR="00CF7044">
        <w:t xml:space="preserve">nom (n = 39) a 39 metrov (p &lt; 0,01, 95 % </w:t>
      </w:r>
      <w:r>
        <w:t>IS</w:t>
      </w:r>
      <w:r w:rsidR="00CF7044">
        <w:t>: 13,0</w:t>
      </w:r>
      <w:r>
        <w:t>;</w:t>
      </w:r>
      <w:r w:rsidR="00CF7044">
        <w:t xml:space="preserve"> 66,0; </w:t>
      </w:r>
      <w:r>
        <w:t>metóda podľa</w:t>
      </w:r>
      <w:r w:rsidR="00CF7044">
        <w:t xml:space="preserve"> Hodges</w:t>
      </w:r>
      <w:r>
        <w:t>a</w:t>
      </w:r>
      <w:r w:rsidR="00CF7044">
        <w:t>-Lehman</w:t>
      </w:r>
      <w:r>
        <w:t>a</w:t>
      </w:r>
      <w:r w:rsidR="00CF7044">
        <w:t xml:space="preserve">) (priemer 44 metrov, 95 % </w:t>
      </w:r>
      <w:r>
        <w:t>IS</w:t>
      </w:r>
      <w:r w:rsidR="00CF7044">
        <w:t>: 19,7</w:t>
      </w:r>
      <w:r>
        <w:t>;</w:t>
      </w:r>
      <w:r w:rsidR="00CF7044">
        <w:t xml:space="preserve"> 69,0) u tých pacientov, ktorí dostávali samotný tadalafil 40 mg (n = 37).</w:t>
      </w:r>
    </w:p>
    <w:p w14:paraId="414CC51E" w14:textId="77777777" w:rsidR="004422A3" w:rsidRDefault="004422A3" w:rsidP="007A58F5">
      <w:pPr>
        <w:pStyle w:val="Zkladntext"/>
        <w:spacing w:before="1"/>
      </w:pPr>
    </w:p>
    <w:p w14:paraId="3932E6E4" w14:textId="06F253EC" w:rsidR="004422A3" w:rsidRDefault="00CF7044" w:rsidP="007A58F5">
      <w:pPr>
        <w:pStyle w:val="Zkladntext"/>
        <w:spacing w:before="1"/>
      </w:pPr>
      <w:r>
        <w:t xml:space="preserve">Podiel pacientov so zlepšením funkčnej triedy </w:t>
      </w:r>
      <w:r w:rsidR="00C75371">
        <w:t xml:space="preserve">podľa </w:t>
      </w:r>
      <w:r>
        <w:t xml:space="preserve">WHO </w:t>
      </w:r>
      <w:r w:rsidR="00266F75">
        <w:t>v</w:t>
      </w:r>
      <w:r>
        <w:t xml:space="preserve"> 16. týžd</w:t>
      </w:r>
      <w:r w:rsidR="00266F75">
        <w:t>ni</w:t>
      </w:r>
      <w:r>
        <w:t xml:space="preserve"> bol podobný v skupine s tadalafilom 40 mg (23 %) a v placebovej skupine (21 %). Výskyt klinického zhoršenia </w:t>
      </w:r>
      <w:r w:rsidR="00266F75">
        <w:t>stavu v</w:t>
      </w:r>
      <w:r>
        <w:t xml:space="preserve"> 16. týžd</w:t>
      </w:r>
      <w:r w:rsidR="00266F75">
        <w:t>ni</w:t>
      </w:r>
      <w:r>
        <w:t xml:space="preserve"> u pacientov liečených tadalafilom 40 mg (5 %; 4 zo 79 pacientov) bol nižší ako pri placebe (16 %; 13 z 82 pacientov). Zmeny v skóre dýchavičnosti</w:t>
      </w:r>
      <w:r w:rsidR="00266F75">
        <w:t xml:space="preserve"> podľa Borga</w:t>
      </w:r>
      <w:r>
        <w:t xml:space="preserve"> boli malé a bezvýznamné pri placebe aj tadalafile 40 mg.</w:t>
      </w:r>
    </w:p>
    <w:p w14:paraId="70D08E3E" w14:textId="77777777" w:rsidR="004422A3" w:rsidRDefault="004422A3" w:rsidP="007A58F5">
      <w:pPr>
        <w:pStyle w:val="Zkladntext"/>
        <w:spacing w:before="9"/>
        <w:rPr>
          <w:sz w:val="21"/>
        </w:rPr>
      </w:pPr>
    </w:p>
    <w:p w14:paraId="0BEDE36D" w14:textId="2AD4FBCA" w:rsidR="004422A3" w:rsidRDefault="007E5DEF" w:rsidP="007A58F5">
      <w:pPr>
        <w:pStyle w:val="Zkladntext"/>
        <w:spacing w:before="1" w:line="252" w:lineRule="exact"/>
      </w:pPr>
      <w:r>
        <w:t xml:space="preserve">Okrem toho </w:t>
      </w:r>
      <w:r w:rsidR="00CF7044">
        <w:t>bol</w:t>
      </w:r>
      <w:r w:rsidR="00424FF2">
        <w:t>o</w:t>
      </w:r>
      <w:r w:rsidR="00CF7044">
        <w:t xml:space="preserve"> pri tadalafile 40 mg v porovnaní s placebom pozorované zlepšeni</w:t>
      </w:r>
      <w:r>
        <w:t>e</w:t>
      </w:r>
    </w:p>
    <w:p w14:paraId="403A8CA9" w14:textId="52BF3413" w:rsidR="004422A3" w:rsidRDefault="00CF7044" w:rsidP="007A58F5">
      <w:pPr>
        <w:pStyle w:val="Zkladntext"/>
      </w:pPr>
      <w:r>
        <w:t xml:space="preserve">v </w:t>
      </w:r>
      <w:r w:rsidR="007E5DEF">
        <w:t>doménach dotazníka</w:t>
      </w:r>
      <w:r>
        <w:t xml:space="preserve"> SF-36 - fyzick</w:t>
      </w:r>
      <w:r w:rsidR="00424FF2">
        <w:t>á</w:t>
      </w:r>
      <w:r>
        <w:t xml:space="preserve"> činnos</w:t>
      </w:r>
      <w:r w:rsidR="00424FF2">
        <w:t>ť</w:t>
      </w:r>
      <w:r>
        <w:t>, telesn</w:t>
      </w:r>
      <w:r w:rsidR="00424FF2">
        <w:t>á</w:t>
      </w:r>
      <w:r>
        <w:t xml:space="preserve"> boles</w:t>
      </w:r>
      <w:r w:rsidR="00424FF2">
        <w:t>ť</w:t>
      </w:r>
      <w:r>
        <w:t>, celkové zdravi</w:t>
      </w:r>
      <w:r w:rsidR="00424FF2">
        <w:t>e</w:t>
      </w:r>
      <w:r>
        <w:t>, vitalit</w:t>
      </w:r>
      <w:r w:rsidR="00424FF2">
        <w:t>a</w:t>
      </w:r>
      <w:r>
        <w:t xml:space="preserve"> a sociáln</w:t>
      </w:r>
      <w:r w:rsidR="00424FF2">
        <w:t>a</w:t>
      </w:r>
      <w:r>
        <w:t xml:space="preserve"> aktivit</w:t>
      </w:r>
      <w:r w:rsidR="00424FF2">
        <w:t>a</w:t>
      </w:r>
      <w:r>
        <w:t xml:space="preserve">. V </w:t>
      </w:r>
      <w:r w:rsidR="007E5DEF">
        <w:t>doménach dotazníka</w:t>
      </w:r>
      <w:r>
        <w:t xml:space="preserve"> SF-36 - emočné a mentálne zdravi</w:t>
      </w:r>
      <w:r w:rsidR="007E5DEF">
        <w:t>e,</w:t>
      </w:r>
      <w:r>
        <w:t xml:space="preserve"> sa nepozorovali žiadne zlepšenia. Pri tadalafile 40 mg sa v porovnaní s placebom pozoroval</w:t>
      </w:r>
      <w:r w:rsidR="007E5DEF">
        <w:t>o</w:t>
      </w:r>
      <w:r>
        <w:t xml:space="preserve"> zlepšeni</w:t>
      </w:r>
      <w:r w:rsidR="007E5DEF">
        <w:t>e</w:t>
      </w:r>
      <w:r>
        <w:t xml:space="preserve"> </w:t>
      </w:r>
      <w:r w:rsidR="007E5DEF">
        <w:t xml:space="preserve">v US a UK indexoch skóre dotazníka </w:t>
      </w:r>
      <w:r>
        <w:t xml:space="preserve">EuroQol (EQ- 5D), ktoré zahŕňali mobilitu, starostlivosť o seba samého, </w:t>
      </w:r>
      <w:r w:rsidR="007E5DEF">
        <w:t xml:space="preserve">denné </w:t>
      </w:r>
      <w:r>
        <w:t>činnosti, bolesť/</w:t>
      </w:r>
      <w:r w:rsidR="007E5DEF">
        <w:t>diskomfort</w:t>
      </w:r>
      <w:r>
        <w:t>, úzkos</w:t>
      </w:r>
      <w:r w:rsidR="007E5DEF">
        <w:t>ť</w:t>
      </w:r>
      <w:r>
        <w:t>/depresi</w:t>
      </w:r>
      <w:r w:rsidR="007E5DEF">
        <w:t>u</w:t>
      </w:r>
      <w:r>
        <w:t xml:space="preserve"> a </w:t>
      </w:r>
      <w:r w:rsidR="007E5DEF">
        <w:t>na</w:t>
      </w:r>
      <w:r>
        <w:t xml:space="preserve"> vizuálnej analógovej škále (VAS).</w:t>
      </w:r>
    </w:p>
    <w:p w14:paraId="213314DA" w14:textId="77777777" w:rsidR="004422A3" w:rsidRDefault="004422A3" w:rsidP="007A58F5">
      <w:pPr>
        <w:pStyle w:val="Zkladntext"/>
      </w:pPr>
    </w:p>
    <w:p w14:paraId="3FB3A06C" w14:textId="0C3DA85A" w:rsidR="004422A3" w:rsidRDefault="00CF7044" w:rsidP="007A58F5">
      <w:pPr>
        <w:pStyle w:val="Zkladntext"/>
      </w:pPr>
      <w:r>
        <w:t>Meranie kardiopulmonálnej hemodynamiky sa uskutočnilo u 93 pacientov. Tadalafil 40 mg zvýšil výdaj srdca (0,6 l/min) a znížil pľúcny art</w:t>
      </w:r>
      <w:r w:rsidR="00E6282F">
        <w:t>ériový</w:t>
      </w:r>
      <w:r>
        <w:t xml:space="preserve"> tlak (-4,3 mmHg) a pľúcnu vaskulárnu rezistenciu (-209 dyn.s/cm</w:t>
      </w:r>
      <w:r>
        <w:rPr>
          <w:position w:val="8"/>
          <w:sz w:val="14"/>
        </w:rPr>
        <w:t>5</w:t>
      </w:r>
      <w:r>
        <w:t xml:space="preserve">) v porovnaní s východiskovou hodnotou (p &lt; 0,05). </w:t>
      </w:r>
      <w:r>
        <w:rPr>
          <w:i/>
        </w:rPr>
        <w:t xml:space="preserve">Post hoc </w:t>
      </w:r>
      <w:r>
        <w:t>analýzy však preukázali, že zmeny z východiskových hodnôt kardiopulmonálnych hemodynamických parametrov v skupine liečenej tadalafilom 40 mg sa významne nelíšili od placeba.</w:t>
      </w:r>
    </w:p>
    <w:p w14:paraId="691E3609" w14:textId="77777777" w:rsidR="004422A3" w:rsidRDefault="004422A3" w:rsidP="007A58F5">
      <w:pPr>
        <w:pStyle w:val="Zkladntext"/>
        <w:spacing w:before="1"/>
      </w:pPr>
    </w:p>
    <w:p w14:paraId="470BD933" w14:textId="77777777" w:rsidR="004422A3" w:rsidRDefault="00CF7044" w:rsidP="007A58F5">
      <w:pPr>
        <w:rPr>
          <w:i/>
        </w:rPr>
      </w:pPr>
      <w:r>
        <w:rPr>
          <w:i/>
        </w:rPr>
        <w:t>Dlhodobá liečba</w:t>
      </w:r>
    </w:p>
    <w:p w14:paraId="2C9862E1" w14:textId="1B735B76" w:rsidR="004422A3" w:rsidRDefault="00CF7044" w:rsidP="007A58F5">
      <w:pPr>
        <w:pStyle w:val="Zkladntext"/>
        <w:spacing w:before="1"/>
      </w:pPr>
      <w:r>
        <w:t xml:space="preserve">357 pacientov z placebom kontrolovanej štúdie sa zúčastnilo dlhodobej rozšírenej štúdie. Z toho 311 </w:t>
      </w:r>
      <w:r>
        <w:lastRenderedPageBreak/>
        <w:t xml:space="preserve">pacientov bolo liečených tadalafilom minimálne 6 mesiacov a 293 pacientov 1 rok (medián expozície 365 dní; rozmedzie 2 dni až 415 dní). U tých pacientov, </w:t>
      </w:r>
      <w:r w:rsidR="007E5DEF">
        <w:t>o</w:t>
      </w:r>
      <w:r>
        <w:t xml:space="preserve"> ktorých </w:t>
      </w:r>
      <w:r w:rsidR="007E5DEF">
        <w:t>sú dostupné</w:t>
      </w:r>
      <w:r>
        <w:t xml:space="preserve"> údaje, je miera prežívania v prvom roku 96,4 %. </w:t>
      </w:r>
      <w:r w:rsidR="007E5DEF">
        <w:t>Okrem toho boli u pacientov liečených tadalafilom počas 1 roka stabilnétest vzdialenosti 6-minútovej chôdze</w:t>
      </w:r>
      <w:r>
        <w:t xml:space="preserve"> a</w:t>
      </w:r>
      <w:r w:rsidR="007E5DEF">
        <w:t xml:space="preserve"> hodnotenie </w:t>
      </w:r>
      <w:r>
        <w:t>funkčn</w:t>
      </w:r>
      <w:r w:rsidR="007E5DEF">
        <w:t>ej</w:t>
      </w:r>
      <w:r>
        <w:t xml:space="preserve"> tried</w:t>
      </w:r>
      <w:r w:rsidR="007E5DEF">
        <w:t>y</w:t>
      </w:r>
      <w:r>
        <w:t xml:space="preserve"> </w:t>
      </w:r>
      <w:r w:rsidR="007E5DEF">
        <w:t xml:space="preserve">podľa </w:t>
      </w:r>
      <w:r>
        <w:t xml:space="preserve">WHO </w:t>
      </w:r>
      <w:r w:rsidR="007E5DEF">
        <w:t>klasifikácie.</w:t>
      </w:r>
    </w:p>
    <w:p w14:paraId="6D16140C" w14:textId="77777777" w:rsidR="004422A3" w:rsidRDefault="004422A3" w:rsidP="007A58F5">
      <w:pPr>
        <w:pStyle w:val="Zkladntext"/>
        <w:spacing w:before="10"/>
        <w:rPr>
          <w:sz w:val="21"/>
        </w:rPr>
      </w:pPr>
    </w:p>
    <w:p w14:paraId="030C070D" w14:textId="7BFFE302" w:rsidR="004422A3" w:rsidRDefault="00CF7044" w:rsidP="007A58F5">
      <w:pPr>
        <w:pStyle w:val="Zkladntext"/>
      </w:pPr>
      <w:r>
        <w:t>V porovnaní s placebom, tadalafil 20 mg podávaný zdravým osobám neviedol k žiadnym významným zmenám systolického a diastolického tlaku v ľahu (priemern</w:t>
      </w:r>
      <w:r w:rsidR="007E5DEF">
        <w:t>ý</w:t>
      </w:r>
      <w:r>
        <w:t xml:space="preserve"> maximáln</w:t>
      </w:r>
      <w:r w:rsidR="007E5DEF">
        <w:t>y</w:t>
      </w:r>
      <w:r>
        <w:t xml:space="preserve"> </w:t>
      </w:r>
      <w:r w:rsidR="007E5DEF">
        <w:t>pokles</w:t>
      </w:r>
      <w:r>
        <w:t xml:space="preserve"> o 1,6/0,8 mm Hg), systolického a diastolického tlaku v stoji (priemern</w:t>
      </w:r>
      <w:r w:rsidR="007E5DEF">
        <w:t>ý</w:t>
      </w:r>
      <w:r>
        <w:t xml:space="preserve"> maximáln</w:t>
      </w:r>
      <w:r w:rsidR="007E5DEF">
        <w:t>y</w:t>
      </w:r>
      <w:r>
        <w:t xml:space="preserve"> </w:t>
      </w:r>
      <w:r w:rsidR="007E5DEF">
        <w:t>pokles</w:t>
      </w:r>
      <w:r>
        <w:t xml:space="preserve"> o 0,2/4,6 mm Hg) a srdcovej frekvencie.</w:t>
      </w:r>
    </w:p>
    <w:p w14:paraId="7F772668" w14:textId="77777777" w:rsidR="004422A3" w:rsidRDefault="004422A3" w:rsidP="007A58F5">
      <w:pPr>
        <w:pStyle w:val="Zkladntext"/>
      </w:pPr>
    </w:p>
    <w:p w14:paraId="190955D4" w14:textId="4A38AD1B" w:rsidR="004422A3" w:rsidRDefault="00CF7044" w:rsidP="007A58F5">
      <w:pPr>
        <w:pStyle w:val="Zkladntext"/>
      </w:pPr>
      <w:r>
        <w:t xml:space="preserve">V štúdii hodnotiacej vplyv tadalafilu na zrak sa </w:t>
      </w:r>
      <w:r w:rsidR="007E5DEF">
        <w:t>v</w:t>
      </w:r>
      <w:r>
        <w:t xml:space="preserve"> Farnsworthovom-Munsellovom</w:t>
      </w:r>
      <w:r w:rsidR="007E5DEF">
        <w:t xml:space="preserve"> teste so</w:t>
      </w:r>
      <w:r>
        <w:t xml:space="preserve"> 100</w:t>
      </w:r>
      <w:r w:rsidR="00EB5F64">
        <w:t xml:space="preserve"> </w:t>
      </w:r>
      <w:r>
        <w:t>odtie</w:t>
      </w:r>
      <w:r w:rsidR="007E5DEF">
        <w:t>ňmi</w:t>
      </w:r>
      <w:r>
        <w:t xml:space="preserve"> nezistila žiadna porucha </w:t>
      </w:r>
      <w:r w:rsidR="007E5DEF">
        <w:t>farbocitu</w:t>
      </w:r>
      <w:r>
        <w:t xml:space="preserve"> (modrá/zelená). Toto zistenie je v súlade s nízkou afinitou tadalafilu k PDE6 v porovnaní s PDE5. Vo všetkých klinických štúdiách sa pozoroval zriedkavý výskyt porúch farebného videnia (&lt; 0,1%).</w:t>
      </w:r>
    </w:p>
    <w:p w14:paraId="162E5BBE" w14:textId="77777777" w:rsidR="004422A3" w:rsidRDefault="004422A3" w:rsidP="007A58F5">
      <w:pPr>
        <w:pStyle w:val="Zkladntext"/>
        <w:spacing w:before="11"/>
        <w:rPr>
          <w:sz w:val="21"/>
        </w:rPr>
      </w:pPr>
    </w:p>
    <w:p w14:paraId="0B824492" w14:textId="2E2AC692" w:rsidR="004422A3" w:rsidRDefault="00CF7044" w:rsidP="007A58F5">
      <w:pPr>
        <w:pStyle w:val="Zkladntext"/>
      </w:pPr>
      <w:r>
        <w:t>Boli vykonané tri štúdie u mužov zamerané na zhodnotenie potenciálneho účinku tadalafilu 10 mg (jedna 6-mesačná štúdia) a 20 mg (jedna 6-mesačná a jedna 9-mesačná štúdia) podávaného denne na spermatogenézu. V dvoch z týchto štúdií boli v súvislosti s liečbou tadalafilom pozorované poklesy v počte a koncentrácii spermií pravdepodobne bez klinickej významnosti. Tieto účinky neboli spojené so zmenami v ďalších parametroch ako je motilita, morfológia a</w:t>
      </w:r>
      <w:r w:rsidR="002830F2">
        <w:t> hladina folikulostimulačného hormónu (</w:t>
      </w:r>
      <w:r>
        <w:t>FSH</w:t>
      </w:r>
      <w:r w:rsidR="002830F2">
        <w:t>)</w:t>
      </w:r>
      <w:r>
        <w:t>.</w:t>
      </w:r>
    </w:p>
    <w:p w14:paraId="1F8D3F87" w14:textId="77777777" w:rsidR="004422A3" w:rsidRDefault="004422A3" w:rsidP="007A58F5">
      <w:pPr>
        <w:pStyle w:val="Zkladntext"/>
        <w:spacing w:before="2"/>
      </w:pPr>
    </w:p>
    <w:p w14:paraId="08CAD126" w14:textId="77777777" w:rsidR="004422A3" w:rsidRDefault="00CF7044" w:rsidP="007A58F5">
      <w:pPr>
        <w:pStyle w:val="Zkladntext"/>
        <w:spacing w:before="1" w:line="252" w:lineRule="exact"/>
      </w:pPr>
      <w:r>
        <w:rPr>
          <w:u w:val="single"/>
        </w:rPr>
        <w:t>Pediatrická populácia</w:t>
      </w:r>
    </w:p>
    <w:p w14:paraId="3D9D2DD9" w14:textId="3111601E" w:rsidR="004422A3" w:rsidRDefault="006B7E52" w:rsidP="007A58F5">
      <w:pPr>
        <w:pStyle w:val="Zkladntext"/>
        <w:spacing w:line="253" w:lineRule="exact"/>
      </w:pPr>
      <w:r w:rsidRPr="006B7E52">
        <w:t>Bola vykonaná jedna štúdia s pediatrickými pacientmi s Duchennovou svalovou dystrofiou (DMD - Duchenne Muscular Dystrophy), v ktorej nebola preukázaná žiadna účinnosť. Randomizované, dvojito zaslepené, placebom kontrolované, paralelné klinické skúšanie s 3 skupinami bolo vykonané s 331 chlapcami s DMD vo veku 7</w:t>
      </w:r>
      <w:r w:rsidR="004A66C8">
        <w:t>-14 rokov, ktorí užívali súbežne</w:t>
      </w:r>
      <w:r w:rsidRPr="006B7E52">
        <w:t xml:space="preserve"> kortikosteroidovú liečbu. Do skúšania bola zahrnutá 48-týždňová dvojito zaslepená fáza, počas ktorej boli pacienti denne randomizovaní na 0,3 mg/kg tadalafilu, 0,6 mg/kg tadalafilu alebo placebo. Tadalafil nepreukázal účinnosť na spomalenie poklesu chôdze, meraného ako primárny cieľový ukazovateľ v teste 6 minútovej chôdze (6MWD): priemerná zmena stanovená metódou najmenších štvorcov (LS) počas 48 týždňov bola -51,0 metrov (m) v skupine s placebom v porovnaní s - 64,7 m v skupine s tadalafilom 0,3 mg/kg (p = 0,307) a -59,1 m v skupine s tadalafilom 0,6 mg/kg (p = 0,538). Okrem toho sa nepreukázala účinnosť žiadnej zo sekundárnych analýz vykonaných v tomto klinickom skúšaní. Vo všeobecnosti bo</w:t>
      </w:r>
      <w:r w:rsidR="00145068">
        <w:t xml:space="preserve">li výsledky bezpečnosti zhodné </w:t>
      </w:r>
      <w:r w:rsidRPr="006B7E52">
        <w:t>so známym bezpečnostným profilom tadalafilu a s nežiaducimi udalosťami (AE) očakávanými v pediatrickej populácii s DMD, ktorá dostávala kortikosteroidy.</w:t>
      </w:r>
    </w:p>
    <w:p w14:paraId="51F4AA2F" w14:textId="77777777" w:rsidR="004422A3" w:rsidRDefault="004422A3" w:rsidP="007A58F5">
      <w:pPr>
        <w:pStyle w:val="Zkladntext"/>
        <w:spacing w:before="11"/>
        <w:rPr>
          <w:sz w:val="21"/>
        </w:rPr>
      </w:pPr>
    </w:p>
    <w:p w14:paraId="3231AA70" w14:textId="02A124E3" w:rsidR="004422A3" w:rsidRDefault="00CF7044" w:rsidP="007A58F5">
      <w:pPr>
        <w:pStyle w:val="Zkladntext"/>
      </w:pPr>
      <w:r>
        <w:t xml:space="preserve">Európska agentúra pre lieky udelila odklad z povinnosti predložiť výsledky štúdií s </w:t>
      </w:r>
      <w:r w:rsidR="00751269">
        <w:t>Tadalafil AOP</w:t>
      </w:r>
      <w:r>
        <w:t xml:space="preserve"> v jednej alebo vo viacerých podskupinách pediatrickej populácie v liečbe pľúcnej art</w:t>
      </w:r>
      <w:r w:rsidR="00E6282F">
        <w:t>ériovej</w:t>
      </w:r>
      <w:r>
        <w:t xml:space="preserve"> hypertenzie (informácie o použití v pediatrickej populácii, pozri časť 4.2)</w:t>
      </w:r>
      <w:r w:rsidR="00145068">
        <w:t>.</w:t>
      </w:r>
    </w:p>
    <w:p w14:paraId="36644A9A" w14:textId="77777777" w:rsidR="004422A3" w:rsidRDefault="004422A3" w:rsidP="007A58F5">
      <w:pPr>
        <w:pStyle w:val="Zkladntext"/>
        <w:spacing w:before="3"/>
      </w:pPr>
    </w:p>
    <w:p w14:paraId="408ECD76" w14:textId="77777777" w:rsidR="004422A3" w:rsidRDefault="00CF7044" w:rsidP="007A58F5">
      <w:pPr>
        <w:pStyle w:val="Nadpis1"/>
        <w:numPr>
          <w:ilvl w:val="1"/>
          <w:numId w:val="9"/>
        </w:numPr>
        <w:tabs>
          <w:tab w:val="left" w:pos="882"/>
          <w:tab w:val="left" w:pos="883"/>
        </w:tabs>
        <w:ind w:left="0" w:firstLine="0"/>
      </w:pPr>
      <w:r>
        <w:t>Farmakokinetické</w:t>
      </w:r>
      <w:r>
        <w:rPr>
          <w:spacing w:val="-1"/>
        </w:rPr>
        <w:t xml:space="preserve"> </w:t>
      </w:r>
      <w:r>
        <w:t>vlastnosti</w:t>
      </w:r>
    </w:p>
    <w:p w14:paraId="416D07B3" w14:textId="77777777" w:rsidR="004422A3" w:rsidRDefault="004422A3" w:rsidP="007A58F5">
      <w:pPr>
        <w:pStyle w:val="Zkladntext"/>
        <w:spacing w:before="8"/>
        <w:rPr>
          <w:b/>
          <w:sz w:val="21"/>
        </w:rPr>
      </w:pPr>
    </w:p>
    <w:p w14:paraId="0ECD4415" w14:textId="77777777" w:rsidR="004422A3" w:rsidRDefault="00CF7044" w:rsidP="007A58F5">
      <w:pPr>
        <w:pStyle w:val="Zkladntext"/>
        <w:spacing w:line="252" w:lineRule="exact"/>
      </w:pPr>
      <w:r>
        <w:rPr>
          <w:u w:val="single"/>
        </w:rPr>
        <w:t>Absorbcia</w:t>
      </w:r>
    </w:p>
    <w:p w14:paraId="73B99C3D" w14:textId="7B10BE9A" w:rsidR="004422A3" w:rsidRDefault="00CF7044" w:rsidP="007A58F5">
      <w:pPr>
        <w:pStyle w:val="Zkladntext"/>
        <w:spacing w:before="8" w:line="230" w:lineRule="auto"/>
      </w:pPr>
      <w:r>
        <w:t xml:space="preserve">Tadalafil sa rýchlo vstrebáva po perorálnom podaní, pričom priemerná maximálna plazmatická </w:t>
      </w:r>
      <w:r>
        <w:rPr>
          <w:position w:val="2"/>
        </w:rPr>
        <w:t>koncentrácia (C</w:t>
      </w:r>
      <w:r>
        <w:rPr>
          <w:position w:val="2"/>
          <w:vertAlign w:val="subscript"/>
        </w:rPr>
        <w:t>max</w:t>
      </w:r>
      <w:r>
        <w:rPr>
          <w:position w:val="2"/>
        </w:rPr>
        <w:t xml:space="preserve">) sa </w:t>
      </w:r>
      <w:r w:rsidR="00F45840">
        <w:rPr>
          <w:position w:val="2"/>
        </w:rPr>
        <w:t xml:space="preserve">priemerne </w:t>
      </w:r>
      <w:r>
        <w:rPr>
          <w:position w:val="2"/>
        </w:rPr>
        <w:t>dosahuje</w:t>
      </w:r>
      <w:r w:rsidR="00F45840">
        <w:rPr>
          <w:position w:val="2"/>
        </w:rPr>
        <w:t xml:space="preserve"> o</w:t>
      </w:r>
      <w:r>
        <w:rPr>
          <w:position w:val="2"/>
        </w:rPr>
        <w:t xml:space="preserve"> 4 hodiny</w:t>
      </w:r>
      <w:r w:rsidR="00145068">
        <w:rPr>
          <w:position w:val="2"/>
        </w:rPr>
        <w:t xml:space="preserve"> </w:t>
      </w:r>
      <w:r>
        <w:rPr>
          <w:position w:val="2"/>
        </w:rPr>
        <w:t xml:space="preserve">po jeho </w:t>
      </w:r>
      <w:r w:rsidR="00F45840">
        <w:rPr>
          <w:position w:val="2"/>
        </w:rPr>
        <w:t>podaní</w:t>
      </w:r>
      <w:r>
        <w:rPr>
          <w:position w:val="2"/>
        </w:rPr>
        <w:t xml:space="preserve">. Absolútna biologická </w:t>
      </w:r>
      <w:r>
        <w:t>dostupnosť tadalafilu po perorálnom podaní nebola stanovená.</w:t>
      </w:r>
    </w:p>
    <w:p w14:paraId="32ABBC5C" w14:textId="1F37BE91" w:rsidR="004422A3" w:rsidRDefault="00CF7044" w:rsidP="007A58F5">
      <w:pPr>
        <w:pStyle w:val="Zkladntext"/>
        <w:spacing w:before="4"/>
      </w:pPr>
      <w:r>
        <w:t xml:space="preserve">Príjem potravy neovplyvňuje rýchlosť a </w:t>
      </w:r>
      <w:r w:rsidR="00F45840">
        <w:t xml:space="preserve">rozsah </w:t>
      </w:r>
      <w:r>
        <w:t xml:space="preserve">absorbcie tadalafilu, a preto sa </w:t>
      </w:r>
      <w:r w:rsidR="00751269">
        <w:t>Tadalafil AOP</w:t>
      </w:r>
      <w:r>
        <w:t xml:space="preserve"> môže užívať bez ohľadu na príjem potravy. Čas podania (ráno alebo večer po jednorazovom podaní 10 mg) nemá žiadny klinicky významný vplyv na rýchlosť a </w:t>
      </w:r>
      <w:r w:rsidR="00F45840">
        <w:t>rozsah</w:t>
      </w:r>
      <w:r>
        <w:t xml:space="preserve"> absorbcie tadalafilu.</w:t>
      </w:r>
    </w:p>
    <w:p w14:paraId="0165D3FE" w14:textId="77777777" w:rsidR="00CF7044" w:rsidRDefault="00CF7044" w:rsidP="007A58F5">
      <w:pPr>
        <w:pStyle w:val="Zkladntext"/>
        <w:spacing w:before="66"/>
        <w:rPr>
          <w:u w:val="single"/>
        </w:rPr>
      </w:pPr>
    </w:p>
    <w:p w14:paraId="3A825E16" w14:textId="77777777" w:rsidR="004422A3" w:rsidRDefault="00CF7044" w:rsidP="007A58F5">
      <w:pPr>
        <w:pStyle w:val="Zkladntext"/>
        <w:spacing w:before="66"/>
      </w:pPr>
      <w:r>
        <w:rPr>
          <w:u w:val="single"/>
        </w:rPr>
        <w:t>Distribúcia</w:t>
      </w:r>
    </w:p>
    <w:p w14:paraId="36604F48" w14:textId="7F2C4B40" w:rsidR="004422A3" w:rsidRDefault="00CF7044" w:rsidP="007A58F5">
      <w:pPr>
        <w:pStyle w:val="Zkladntext"/>
        <w:spacing w:before="1"/>
      </w:pPr>
      <w:r>
        <w:t xml:space="preserve">Priemerná hodnota distribučného objemu je približne 77 l v rovnovážnom stave, čo </w:t>
      </w:r>
      <w:r w:rsidR="00F45840">
        <w:t xml:space="preserve">naznačuje </w:t>
      </w:r>
      <w:r>
        <w:t>prienik tadalafilu do tkanív. Pri terapeutických koncentráciách sa 94 % tadalafilu viaže na plazmatické bielkoviny. Porucha renálnej funkcie nemá žiadny vplyv na väzbu l</w:t>
      </w:r>
      <w:r w:rsidR="00F45840">
        <w:t>iečiva</w:t>
      </w:r>
      <w:r>
        <w:t xml:space="preserve"> na plazmatické bielkoviny. V ejakuláte zdravých osôb bolo prítomné menej ako 0,0005% podanej dávky.</w:t>
      </w:r>
    </w:p>
    <w:p w14:paraId="27CE4191" w14:textId="77777777" w:rsidR="004422A3" w:rsidRDefault="004422A3" w:rsidP="007A58F5">
      <w:pPr>
        <w:pStyle w:val="Zkladntext"/>
      </w:pPr>
    </w:p>
    <w:p w14:paraId="2EB62B4C" w14:textId="77777777" w:rsidR="004422A3" w:rsidRDefault="00CF7044" w:rsidP="007A58F5">
      <w:pPr>
        <w:pStyle w:val="Zkladntext"/>
        <w:spacing w:line="252" w:lineRule="exact"/>
      </w:pPr>
      <w:r>
        <w:rPr>
          <w:u w:val="single"/>
        </w:rPr>
        <w:lastRenderedPageBreak/>
        <w:t>Biotransformácia</w:t>
      </w:r>
    </w:p>
    <w:p w14:paraId="1DA7D15D" w14:textId="4C6D053F" w:rsidR="004422A3" w:rsidRDefault="00CF7044" w:rsidP="007A58F5">
      <w:pPr>
        <w:pStyle w:val="Zkladntext"/>
      </w:pPr>
      <w:r>
        <w:t>Tadalafil sa metabolizuje najmä prostredníctvom izoformy 3A4 cytochrómu P450 (CYP). Hlavným metabolitom cirkulujúcim v krvi je metylkatecholglukuronid. Tento metabolit má najmenej 13 000-krát nižš</w:t>
      </w:r>
      <w:r w:rsidR="00F45840">
        <w:t>iu</w:t>
      </w:r>
      <w:r w:rsidR="00145068">
        <w:t xml:space="preserve"> </w:t>
      </w:r>
      <w:r>
        <w:t>úč</w:t>
      </w:r>
      <w:r w:rsidR="00F45840">
        <w:t>innosť</w:t>
      </w:r>
      <w:r>
        <w:t xml:space="preserve"> na PDE5 ako tadalafil. </w:t>
      </w:r>
      <w:r w:rsidR="00612DF7">
        <w:t>Pri</w:t>
      </w:r>
      <w:r w:rsidR="00F45840">
        <w:t> nameraných koncentráciách metabolitu sa preto nepredpokladá žiadny klinický účinok.</w:t>
      </w:r>
    </w:p>
    <w:p w14:paraId="4A178C97" w14:textId="77777777" w:rsidR="004422A3" w:rsidRDefault="004422A3" w:rsidP="007A58F5">
      <w:pPr>
        <w:pStyle w:val="Zkladntext"/>
        <w:spacing w:before="11"/>
        <w:rPr>
          <w:sz w:val="21"/>
        </w:rPr>
      </w:pPr>
    </w:p>
    <w:p w14:paraId="0479525A" w14:textId="77777777" w:rsidR="004422A3" w:rsidRDefault="00CF7044" w:rsidP="007A58F5">
      <w:pPr>
        <w:pStyle w:val="Zkladntext"/>
      </w:pPr>
      <w:r>
        <w:rPr>
          <w:u w:val="single"/>
        </w:rPr>
        <w:t>Eliminácia</w:t>
      </w:r>
    </w:p>
    <w:p w14:paraId="3D5903D6" w14:textId="041AFEC6" w:rsidR="004422A3" w:rsidRDefault="00CF7044" w:rsidP="007A58F5">
      <w:pPr>
        <w:pStyle w:val="Zkladntext"/>
        <w:spacing w:before="1"/>
      </w:pPr>
      <w:r>
        <w:t>U zdravých osôb je priemerná hodnota perorálneho klírensu tadalafilu v rovnovážnom stave 3,4 l/h a priemerný terminálny polčas je 16 h. Tadalafil sa vylučuje prevažne vo forme inaktívnych metabolitov najmä stolicou (približne 61 %  podanej dávky) a v menšej miere tiež močom</w:t>
      </w:r>
    </w:p>
    <w:p w14:paraId="1AF50AFA" w14:textId="1AACA256" w:rsidR="004422A3" w:rsidRDefault="00CF7044" w:rsidP="007A58F5">
      <w:pPr>
        <w:pStyle w:val="Zkladntext"/>
        <w:spacing w:line="252" w:lineRule="exact"/>
      </w:pPr>
      <w:r>
        <w:t>(približne 36 %  podanej dávky).</w:t>
      </w:r>
    </w:p>
    <w:p w14:paraId="45B2D151" w14:textId="77777777" w:rsidR="004422A3" w:rsidRDefault="004422A3" w:rsidP="007A58F5">
      <w:pPr>
        <w:pStyle w:val="Zkladntext"/>
        <w:spacing w:before="1"/>
      </w:pPr>
    </w:p>
    <w:p w14:paraId="7814E89D" w14:textId="77777777" w:rsidR="004422A3" w:rsidRDefault="00CF7044" w:rsidP="007A58F5">
      <w:pPr>
        <w:pStyle w:val="Zkladntext"/>
        <w:spacing w:line="252" w:lineRule="exact"/>
      </w:pPr>
      <w:r>
        <w:rPr>
          <w:u w:val="single"/>
        </w:rPr>
        <w:t>Linearita/nelinearita</w:t>
      </w:r>
    </w:p>
    <w:p w14:paraId="552CC738" w14:textId="04D13E04" w:rsidR="004422A3" w:rsidRDefault="00CF7044" w:rsidP="007A58F5">
      <w:pPr>
        <w:pStyle w:val="Zkladntext"/>
      </w:pPr>
      <w:r>
        <w:t xml:space="preserve">V dávkovom rozmedzí 2,5 </w:t>
      </w:r>
      <w:r w:rsidR="00F45840">
        <w:t>až</w:t>
      </w:r>
      <w:r>
        <w:t xml:space="preserve"> 20 mg stúpa expozícia (AUC) tadalafilu u zdravých jedincov priamo úmerne s veľkosťou dávky. Medzi 20 mg a 40 mg sa pozorovalo menšie ako proporcionálne zvýšenie expozície. Počas podávania 20 mg a 40 mg tadalafilu jedenkrát denne sa dosiahli plazmatické koncentrácie v rovnovážnom stave v priebehu 5 dní a expozícia je približne 1,5</w:t>
      </w:r>
      <w:r w:rsidR="00F45840">
        <w:t>-</w:t>
      </w:r>
      <w:r>
        <w:t>násobná ako expozícia po jednorazovej dávke.</w:t>
      </w:r>
    </w:p>
    <w:p w14:paraId="31E396AC" w14:textId="77777777" w:rsidR="004422A3" w:rsidRDefault="004422A3" w:rsidP="007A58F5">
      <w:pPr>
        <w:pStyle w:val="Zkladntext"/>
      </w:pPr>
    </w:p>
    <w:p w14:paraId="03180A79" w14:textId="6F11B279" w:rsidR="004422A3" w:rsidRDefault="00F45840" w:rsidP="007A58F5">
      <w:pPr>
        <w:pStyle w:val="Zkladntext"/>
        <w:spacing w:before="1" w:line="252" w:lineRule="exact"/>
      </w:pPr>
      <w:r>
        <w:rPr>
          <w:u w:val="single"/>
        </w:rPr>
        <w:t>Populačná f</w:t>
      </w:r>
      <w:r w:rsidR="00CF7044">
        <w:rPr>
          <w:u w:val="single"/>
        </w:rPr>
        <w:t>armakokinetika</w:t>
      </w:r>
    </w:p>
    <w:p w14:paraId="4C566A18" w14:textId="14F8BF20" w:rsidR="004422A3" w:rsidRDefault="00CF7044" w:rsidP="007A58F5">
      <w:pPr>
        <w:pStyle w:val="Zkladntext"/>
        <w:spacing w:before="3" w:line="235" w:lineRule="auto"/>
      </w:pPr>
      <w:r>
        <w:t>U pacientov s pľúcnou hypertenziou, ktorí neužívali súčasne bosent</w:t>
      </w:r>
      <w:r w:rsidR="00F45840">
        <w:t>á</w:t>
      </w:r>
      <w:r>
        <w:t xml:space="preserve">n, bola priemerná expozícia tadalafilu 40 mg v rovnovážnom stave o 26 % vyššia v porovnaní s expozíciou u zdravých dobrovoľníkov. V porovnaní so zdravými dobrovoľníkmi sa nezistili žiadne klinicky významné </w:t>
      </w:r>
      <w:r>
        <w:rPr>
          <w:position w:val="2"/>
        </w:rPr>
        <w:t>rozdiely v C</w:t>
      </w:r>
      <w:r>
        <w:rPr>
          <w:position w:val="2"/>
          <w:vertAlign w:val="subscript"/>
        </w:rPr>
        <w:t>max</w:t>
      </w:r>
      <w:r>
        <w:rPr>
          <w:position w:val="2"/>
        </w:rPr>
        <w:t xml:space="preserve">. Výsledky naznačujú nižší klírens tadalafilu u pacientov s pľúcnou hypertenziou </w:t>
      </w:r>
      <w:r>
        <w:t>v porovnaní so zdravými dobrovoľníkmi.</w:t>
      </w:r>
    </w:p>
    <w:p w14:paraId="2A310605" w14:textId="77777777" w:rsidR="004422A3" w:rsidRDefault="004422A3" w:rsidP="007A58F5">
      <w:pPr>
        <w:pStyle w:val="Zkladntext"/>
        <w:spacing w:before="3"/>
      </w:pPr>
    </w:p>
    <w:p w14:paraId="35C0BC7E" w14:textId="25C8E925" w:rsidR="004422A3" w:rsidRDefault="000419E2" w:rsidP="007A58F5">
      <w:pPr>
        <w:pStyle w:val="Zkladntext"/>
      </w:pPr>
      <w:r w:rsidRPr="000419E2">
        <w:rPr>
          <w:u w:val="single"/>
        </w:rPr>
        <w:t>Osobitné</w:t>
      </w:r>
      <w:r>
        <w:rPr>
          <w:u w:val="single"/>
        </w:rPr>
        <w:t xml:space="preserve"> </w:t>
      </w:r>
      <w:r w:rsidR="00CF7044">
        <w:rPr>
          <w:u w:val="single"/>
        </w:rPr>
        <w:t>skupiny pacientov</w:t>
      </w:r>
    </w:p>
    <w:p w14:paraId="3E0BFCF9" w14:textId="77777777" w:rsidR="004422A3" w:rsidRDefault="004422A3" w:rsidP="007A58F5">
      <w:pPr>
        <w:pStyle w:val="Zkladntext"/>
        <w:spacing w:before="10"/>
        <w:rPr>
          <w:sz w:val="13"/>
        </w:rPr>
      </w:pPr>
    </w:p>
    <w:p w14:paraId="6CF4B612" w14:textId="77777777" w:rsidR="004422A3" w:rsidRDefault="00CF7044" w:rsidP="007A58F5">
      <w:pPr>
        <w:spacing w:before="91"/>
        <w:rPr>
          <w:i/>
        </w:rPr>
      </w:pPr>
      <w:r>
        <w:rPr>
          <w:i/>
        </w:rPr>
        <w:t>Staršie osoby</w:t>
      </w:r>
    </w:p>
    <w:p w14:paraId="02F9B3AC" w14:textId="00BC2704" w:rsidR="004422A3" w:rsidRDefault="00CF7044" w:rsidP="007A58F5">
      <w:pPr>
        <w:pStyle w:val="Zkladntext"/>
        <w:spacing w:before="2"/>
      </w:pPr>
      <w:r>
        <w:t xml:space="preserve">Zdravé staršie osoby (65 rokov a starší) majú nižšiu hodnotu perorálneho klírensu tadalafilu po </w:t>
      </w:r>
      <w:r w:rsidR="005E7EC8">
        <w:t xml:space="preserve">podaní dávky </w:t>
      </w:r>
      <w:r>
        <w:t>10 mg, čo vedie k zvýšeniu expozície (AUC) o 25 % v porovnaní so zdravými osobami vo veku 19- 45 rokov. Tento vplyv veku nie je klinicky významný a nevyžaduje  žiadnu úpravu dávkovania.</w:t>
      </w:r>
    </w:p>
    <w:p w14:paraId="406E8CF3" w14:textId="77777777" w:rsidR="004422A3" w:rsidRDefault="004422A3" w:rsidP="007A58F5">
      <w:pPr>
        <w:pStyle w:val="Zkladntext"/>
        <w:spacing w:before="9"/>
        <w:rPr>
          <w:sz w:val="21"/>
        </w:rPr>
      </w:pPr>
    </w:p>
    <w:p w14:paraId="6C221A59" w14:textId="77777777" w:rsidR="004422A3" w:rsidRDefault="00CF7044" w:rsidP="007A58F5">
      <w:pPr>
        <w:spacing w:before="1"/>
        <w:rPr>
          <w:i/>
        </w:rPr>
      </w:pPr>
      <w:r>
        <w:rPr>
          <w:i/>
        </w:rPr>
        <w:t>Porucha funkcie obličiek</w:t>
      </w:r>
    </w:p>
    <w:p w14:paraId="7359B187" w14:textId="1583F3A0" w:rsidR="004422A3" w:rsidRDefault="00CF7044" w:rsidP="007A58F5">
      <w:pPr>
        <w:pStyle w:val="Zkladntext"/>
        <w:spacing w:before="5" w:line="235" w:lineRule="auto"/>
      </w:pPr>
      <w:r>
        <w:t xml:space="preserve">V </w:t>
      </w:r>
      <w:r w:rsidR="005E7EC8">
        <w:t>štúdiách klinickej farmakológie</w:t>
      </w:r>
      <w:r>
        <w:t xml:space="preserve"> s jednotlivými dávkami tadalafilu (5 mg až 20 </w:t>
      </w:r>
      <w:r>
        <w:rPr>
          <w:spacing w:val="-3"/>
        </w:rPr>
        <w:t xml:space="preserve">mg) </w:t>
      </w:r>
      <w:r>
        <w:t xml:space="preserve">bola systémová expozícia tadalafilu (AUC) približne dvojnásobná u osôb s </w:t>
      </w:r>
      <w:r w:rsidR="005E7EC8">
        <w:t>miernou</w:t>
      </w:r>
      <w:r>
        <w:t xml:space="preserve"> (klírens kreatinínu 51 až 80 ml/min) alebo stredne závaž</w:t>
      </w:r>
      <w:r w:rsidR="005E7EC8">
        <w:t>nou</w:t>
      </w:r>
      <w:r>
        <w:t xml:space="preserve"> (klírens kreatinínu 31 až 50 ml/min) </w:t>
      </w:r>
      <w:r w:rsidR="005E7EC8">
        <w:t xml:space="preserve">poruchou </w:t>
      </w:r>
      <w:r>
        <w:t xml:space="preserve">funkcie obličiek a tiež u osôb </w:t>
      </w:r>
      <w:r w:rsidR="005E7EC8">
        <w:t xml:space="preserve">podstupujúcich dialýzu </w:t>
      </w:r>
      <w:r>
        <w:t xml:space="preserve">v </w:t>
      </w:r>
      <w:r w:rsidR="005E7EC8">
        <w:t xml:space="preserve">terminálnom </w:t>
      </w:r>
      <w:r>
        <w:t>štádiu zlyh</w:t>
      </w:r>
      <w:r w:rsidR="005E7EC8">
        <w:t>ávania</w:t>
      </w:r>
      <w:r>
        <w:t xml:space="preserve"> obličiek. U </w:t>
      </w:r>
      <w:r>
        <w:rPr>
          <w:position w:val="2"/>
        </w:rPr>
        <w:t>pacientov</w:t>
      </w:r>
      <w:r w:rsidR="005E7EC8">
        <w:rPr>
          <w:position w:val="2"/>
        </w:rPr>
        <w:t xml:space="preserve"> podstupujúcich hemodialýzu</w:t>
      </w:r>
      <w:r>
        <w:rPr>
          <w:position w:val="2"/>
        </w:rPr>
        <w:t xml:space="preserve"> bola C</w:t>
      </w:r>
      <w:r>
        <w:rPr>
          <w:position w:val="2"/>
          <w:vertAlign w:val="subscript"/>
        </w:rPr>
        <w:t>max</w:t>
      </w:r>
      <w:r>
        <w:rPr>
          <w:position w:val="2"/>
        </w:rPr>
        <w:t xml:space="preserve"> o 41 % vyššia v porovnaní so zdravými jednotlivcami. Hemodialýza prispieva k</w:t>
      </w:r>
      <w:r>
        <w:t xml:space="preserve"> eliminácii tadalafilu iba</w:t>
      </w:r>
      <w:r>
        <w:rPr>
          <w:spacing w:val="-7"/>
        </w:rPr>
        <w:t xml:space="preserve"> </w:t>
      </w:r>
      <w:r w:rsidR="005E7EC8">
        <w:t>zanedbateľne</w:t>
      </w:r>
      <w:r>
        <w:t>.</w:t>
      </w:r>
    </w:p>
    <w:p w14:paraId="52FC8925" w14:textId="77777777" w:rsidR="004422A3" w:rsidRDefault="00CF7044" w:rsidP="007A58F5">
      <w:pPr>
        <w:pStyle w:val="Zkladntext"/>
        <w:spacing w:before="5"/>
      </w:pPr>
      <w:r>
        <w:t>Vzhľadom na zvýšenú expozíciu tadalafilu (AUC), obmedzené klinické skúsenosti a chýbajúcu schopnosť ovplyvniť klírens dialýzou sa tadalafil neodporúča u pacientov so závažnou renálnou poruchou.</w:t>
      </w:r>
    </w:p>
    <w:p w14:paraId="3D262915" w14:textId="77777777" w:rsidR="00CF7044" w:rsidRDefault="00CF7044" w:rsidP="007A58F5">
      <w:pPr>
        <w:spacing w:before="66"/>
        <w:rPr>
          <w:i/>
        </w:rPr>
      </w:pPr>
    </w:p>
    <w:p w14:paraId="7C02DFE5" w14:textId="77777777" w:rsidR="004422A3" w:rsidRDefault="00CF7044" w:rsidP="007A58F5">
      <w:pPr>
        <w:spacing w:before="66"/>
        <w:rPr>
          <w:i/>
        </w:rPr>
      </w:pPr>
      <w:r>
        <w:rPr>
          <w:i/>
        </w:rPr>
        <w:t>Porucha funkcie pečene</w:t>
      </w:r>
    </w:p>
    <w:p w14:paraId="15544928" w14:textId="3DE3E99F" w:rsidR="004422A3" w:rsidRDefault="00CF7044" w:rsidP="007A58F5">
      <w:pPr>
        <w:pStyle w:val="Zkladntext"/>
        <w:spacing w:before="1"/>
      </w:pPr>
      <w:r>
        <w:t>U osôb s miern</w:t>
      </w:r>
      <w:r w:rsidR="005E7EC8">
        <w:t>ou</w:t>
      </w:r>
      <w:r>
        <w:t xml:space="preserve"> alebo stredne závažn</w:t>
      </w:r>
      <w:r w:rsidR="005E7EC8">
        <w:t>ou</w:t>
      </w:r>
      <w:r>
        <w:t xml:space="preserve"> po</w:t>
      </w:r>
      <w:r w:rsidR="005E7EC8">
        <w:t>ruchou funkcie</w:t>
      </w:r>
      <w:r>
        <w:t xml:space="preserve"> pečene (skupina A a B podľa Childovej-Pughovej klasifikácie) je expozícia  tadalafilu (AUC) pri podaní dávky 10 mg porovnateľná so zdravými osobami. V prípade predpísania tadalafilu musí predpisujúci lekár dôsledne zvážiť</w:t>
      </w:r>
    </w:p>
    <w:p w14:paraId="5D874BD6" w14:textId="77777777" w:rsidR="004422A3" w:rsidRDefault="00CF7044" w:rsidP="007A58F5">
      <w:pPr>
        <w:pStyle w:val="Zkladntext"/>
      </w:pPr>
      <w:r>
        <w:t>individuálny pomer prínosu a rizika. Údaje o podaní dávok tadalafilu vyšších ako 10 mg pacientom s poruchou funkcie pečene nie sú dostupné.</w:t>
      </w:r>
    </w:p>
    <w:p w14:paraId="2A753573" w14:textId="029506BC" w:rsidR="004422A3" w:rsidRDefault="00CF7044" w:rsidP="007A58F5">
      <w:pPr>
        <w:pStyle w:val="Zkladntext"/>
      </w:pPr>
      <w:r>
        <w:t xml:space="preserve">Pacienti so závažnou cirhózou pečene (trieda C </w:t>
      </w:r>
      <w:r w:rsidR="005E7EC8">
        <w:t xml:space="preserve">podľa </w:t>
      </w:r>
      <w:r>
        <w:t>Childovej-Pughovej klasifikácie) sa neskúmali</w:t>
      </w:r>
      <w:r w:rsidR="005E7EC8">
        <w:t>,</w:t>
      </w:r>
      <w:r>
        <w:t xml:space="preserve"> a preto sa im podávanie tadalafilu neodporúča.</w:t>
      </w:r>
    </w:p>
    <w:p w14:paraId="6D90350C" w14:textId="77777777" w:rsidR="004422A3" w:rsidRDefault="004422A3" w:rsidP="007A58F5">
      <w:pPr>
        <w:pStyle w:val="Zkladntext"/>
        <w:spacing w:before="10"/>
        <w:rPr>
          <w:sz w:val="21"/>
        </w:rPr>
      </w:pPr>
    </w:p>
    <w:p w14:paraId="504FF702" w14:textId="1D073981" w:rsidR="004422A3" w:rsidRDefault="005E7EC8" w:rsidP="007A58F5">
      <w:pPr>
        <w:spacing w:before="1"/>
        <w:rPr>
          <w:i/>
        </w:rPr>
      </w:pPr>
      <w:r>
        <w:rPr>
          <w:i/>
        </w:rPr>
        <w:t>Pacienti s d</w:t>
      </w:r>
      <w:r w:rsidR="00CF7044">
        <w:rPr>
          <w:i/>
        </w:rPr>
        <w:t>iabet</w:t>
      </w:r>
      <w:r>
        <w:rPr>
          <w:i/>
        </w:rPr>
        <w:t>om</w:t>
      </w:r>
    </w:p>
    <w:p w14:paraId="26C3E610" w14:textId="613F9B26" w:rsidR="004422A3" w:rsidRDefault="00CF7044" w:rsidP="007A58F5">
      <w:pPr>
        <w:pStyle w:val="Zkladntext"/>
        <w:spacing w:before="1"/>
      </w:pPr>
      <w:r>
        <w:t>Expozícia (AUC) tadalafilu po dávke 10 mg u</w:t>
      </w:r>
      <w:r w:rsidR="005E7EC8">
        <w:t xml:space="preserve"> pacientov s </w:t>
      </w:r>
      <w:r>
        <w:t>diabet</w:t>
      </w:r>
      <w:r w:rsidR="005E7EC8">
        <w:t>om</w:t>
      </w:r>
      <w:r>
        <w:t xml:space="preserve"> je približne o 19 % nižšia ako hodnota AUC u zdravých osôb. Tento rozdiel v expozícii si nevyžaduje žiadnu úpravu dávkovania.</w:t>
      </w:r>
    </w:p>
    <w:p w14:paraId="445DC197" w14:textId="77777777" w:rsidR="004422A3" w:rsidRDefault="004422A3" w:rsidP="007A58F5">
      <w:pPr>
        <w:pStyle w:val="Zkladntext"/>
        <w:spacing w:before="11"/>
        <w:rPr>
          <w:sz w:val="21"/>
        </w:rPr>
      </w:pPr>
    </w:p>
    <w:p w14:paraId="5BD88629" w14:textId="77777777" w:rsidR="004422A3" w:rsidRDefault="00CF7044" w:rsidP="007A58F5">
      <w:pPr>
        <w:spacing w:line="252" w:lineRule="exact"/>
        <w:rPr>
          <w:i/>
        </w:rPr>
      </w:pPr>
      <w:r>
        <w:rPr>
          <w:i/>
        </w:rPr>
        <w:lastRenderedPageBreak/>
        <w:t>Rasa</w:t>
      </w:r>
    </w:p>
    <w:p w14:paraId="1C9FB79A" w14:textId="77777777" w:rsidR="004422A3" w:rsidRDefault="00CF7044" w:rsidP="007A58F5">
      <w:pPr>
        <w:pStyle w:val="Zkladntext"/>
      </w:pPr>
      <w:r>
        <w:t>Farmakokinetické štúdie zahŕňali osoby a pacientov rôznych etnických skupín a nezistili sa žiadne rozdiely v typickej expozícii tadalafilu. Žiadna úprava dávky sa nevyžaduje.</w:t>
      </w:r>
    </w:p>
    <w:p w14:paraId="36534738" w14:textId="77777777" w:rsidR="004422A3" w:rsidRDefault="004422A3" w:rsidP="007A58F5">
      <w:pPr>
        <w:pStyle w:val="Zkladntext"/>
        <w:spacing w:before="10"/>
        <w:rPr>
          <w:sz w:val="21"/>
        </w:rPr>
      </w:pPr>
    </w:p>
    <w:p w14:paraId="33DFF2A1" w14:textId="77777777" w:rsidR="004422A3" w:rsidRDefault="00CF7044" w:rsidP="007A58F5">
      <w:pPr>
        <w:rPr>
          <w:i/>
        </w:rPr>
      </w:pPr>
      <w:r>
        <w:rPr>
          <w:i/>
        </w:rPr>
        <w:t>Pohlavie</w:t>
      </w:r>
    </w:p>
    <w:p w14:paraId="316BE8AD" w14:textId="2BA686C8" w:rsidR="004422A3" w:rsidRDefault="00CF7044" w:rsidP="007A58F5">
      <w:pPr>
        <w:pStyle w:val="Zkladntext"/>
        <w:spacing w:before="1"/>
      </w:pPr>
      <w:r>
        <w:t xml:space="preserve">U zdravých žien a mužov sa po jednorazovej dávke a </w:t>
      </w:r>
      <w:r w:rsidR="005E7EC8">
        <w:t xml:space="preserve">opakovanom podaní </w:t>
      </w:r>
      <w:r>
        <w:t>tadalafilu nepozorovali žiadne klinicky významné rozdiely v expozícii. Žiadna úprava dávky sa nevyžaduje.</w:t>
      </w:r>
    </w:p>
    <w:p w14:paraId="13C9F4B1" w14:textId="77777777" w:rsidR="004422A3" w:rsidRDefault="004422A3" w:rsidP="007A58F5">
      <w:pPr>
        <w:pStyle w:val="Zkladntext"/>
        <w:spacing w:before="4"/>
      </w:pPr>
    </w:p>
    <w:p w14:paraId="45BCD47C" w14:textId="77777777" w:rsidR="004422A3" w:rsidRDefault="00CF7044" w:rsidP="007A58F5">
      <w:pPr>
        <w:pStyle w:val="Nadpis1"/>
        <w:numPr>
          <w:ilvl w:val="1"/>
          <w:numId w:val="9"/>
        </w:numPr>
        <w:tabs>
          <w:tab w:val="left" w:pos="877"/>
          <w:tab w:val="left" w:pos="878"/>
        </w:tabs>
        <w:spacing w:before="1"/>
        <w:ind w:left="0" w:firstLine="0"/>
      </w:pPr>
      <w:r>
        <w:t>Predklinické údaje o</w:t>
      </w:r>
      <w:r>
        <w:rPr>
          <w:spacing w:val="-1"/>
        </w:rPr>
        <w:t xml:space="preserve"> </w:t>
      </w:r>
      <w:r>
        <w:t>bezpečnosti</w:t>
      </w:r>
    </w:p>
    <w:p w14:paraId="78307D00" w14:textId="77777777" w:rsidR="004422A3" w:rsidRDefault="004422A3" w:rsidP="007A58F5">
      <w:pPr>
        <w:pStyle w:val="Zkladntext"/>
        <w:spacing w:before="7"/>
        <w:rPr>
          <w:b/>
          <w:sz w:val="21"/>
        </w:rPr>
      </w:pPr>
    </w:p>
    <w:p w14:paraId="77384EAD" w14:textId="2E8D6B11" w:rsidR="004422A3" w:rsidRDefault="00CF7044" w:rsidP="007A58F5">
      <w:pPr>
        <w:pStyle w:val="Zkladntext"/>
      </w:pPr>
      <w:r>
        <w:t>Predklinické údaje na základe obvyklých štúdií farmakologickej bezpečnosti, toxicity po opakovanom pod</w:t>
      </w:r>
      <w:r w:rsidR="00A96F10">
        <w:t>áva</w:t>
      </w:r>
      <w:r>
        <w:t>ní, genotoxicity, karcinogénneho potenciálu a reprodukčnej toxicity neodhalili žiadne osobitné riziko pre ľudí.</w:t>
      </w:r>
    </w:p>
    <w:p w14:paraId="462F2F6B" w14:textId="0D6F10A4" w:rsidR="004422A3" w:rsidRDefault="00CF7044" w:rsidP="007A58F5">
      <w:pPr>
        <w:pStyle w:val="Zkladntext"/>
      </w:pPr>
      <w:r>
        <w:t xml:space="preserve">U potkanov a myší, ktorým boli podávané dávky až </w:t>
      </w:r>
      <w:r w:rsidR="00A96F10">
        <w:t xml:space="preserve">do </w:t>
      </w:r>
      <w:r>
        <w:t xml:space="preserve">1 000 mg/kg/deň tadalafilu, sa nezistili žiadne </w:t>
      </w:r>
      <w:r w:rsidR="00A96F10">
        <w:t xml:space="preserve">náznaky </w:t>
      </w:r>
      <w:r>
        <w:t>teratogenity, embryotoxicity a fetotoxicity. V štúdii, ktorá hodnotila prenatálny a postnatálny výv</w:t>
      </w:r>
      <w:r w:rsidR="00A96F10">
        <w:t>in</w:t>
      </w:r>
      <w:r>
        <w:t xml:space="preserve"> u potkanov, bola dávka, pri ktorej sa </w:t>
      </w:r>
      <w:r w:rsidR="00F45840" w:rsidRPr="007A58F5">
        <w:t>nepozoroval</w:t>
      </w:r>
      <w:r w:rsidR="00F45840" w:rsidRPr="00F45840">
        <w:t xml:space="preserve"> </w:t>
      </w:r>
      <w:r w:rsidRPr="00F45840">
        <w:t>žiadny</w:t>
      </w:r>
      <w:r w:rsidR="00F45840" w:rsidRPr="007A58F5">
        <w:t xml:space="preserve"> významný</w:t>
      </w:r>
      <w:r w:rsidR="00145068">
        <w:t xml:space="preserve"> </w:t>
      </w:r>
      <w:r w:rsidRPr="00F45840">
        <w:t>účinok</w:t>
      </w:r>
      <w:r>
        <w:t xml:space="preserve"> 30 mg/kg/deň. U </w:t>
      </w:r>
      <w:r w:rsidR="00A96F10">
        <w:t xml:space="preserve">brezivých </w:t>
      </w:r>
      <w:r>
        <w:t xml:space="preserve">potkanov bola AUC </w:t>
      </w:r>
      <w:r w:rsidRPr="00F45840">
        <w:t>pre vypočítané voľné</w:t>
      </w:r>
      <w:r>
        <w:t xml:space="preserve"> liečivo pri tejto dávke približne 18-krát vyššia ako bolo zistené u ľudí po podaní dávky 20 mg.</w:t>
      </w:r>
    </w:p>
    <w:p w14:paraId="1B3AFD5B" w14:textId="655EC1FA" w:rsidR="004422A3" w:rsidRDefault="00CF7044" w:rsidP="007A58F5">
      <w:pPr>
        <w:pStyle w:val="Zkladntext"/>
      </w:pPr>
      <w:r>
        <w:t>U samíc a samcov potkanov sa nezistila žiadna porucha plodnosti. U psov, ktorým sa podával tadalafil v denných dávkach 25 mg/kg/deň počas obdobia 6</w:t>
      </w:r>
      <w:r w:rsidR="00A96F10">
        <w:t xml:space="preserve"> až </w:t>
      </w:r>
      <w:r>
        <w:t>12 mesiacov (čo je minimálne trojnásobne vyššia expozícia [rozmedzie 3,7 – 18,6] než u ľudí pri jednotlivej dávke 20 mg) a v</w:t>
      </w:r>
      <w:r w:rsidR="00A96F10">
        <w:t>yš</w:t>
      </w:r>
      <w:r>
        <w:t>ších, sa zistila regresia epitelu semenných kanálikov, ktorá u niektorých psov viedla k zníženiu spermatogenézy. Pozri tiež časť 5.1.</w:t>
      </w:r>
    </w:p>
    <w:p w14:paraId="41164B99" w14:textId="77777777" w:rsidR="004422A3" w:rsidRDefault="004422A3" w:rsidP="007A58F5">
      <w:pPr>
        <w:pStyle w:val="Zkladntext"/>
        <w:rPr>
          <w:sz w:val="24"/>
        </w:rPr>
      </w:pPr>
    </w:p>
    <w:p w14:paraId="0F5F07A0" w14:textId="77777777" w:rsidR="004422A3" w:rsidRDefault="004422A3" w:rsidP="007A58F5">
      <w:pPr>
        <w:pStyle w:val="Zkladntext"/>
        <w:spacing w:before="3"/>
        <w:rPr>
          <w:sz w:val="20"/>
        </w:rPr>
      </w:pPr>
    </w:p>
    <w:p w14:paraId="4BB42CD6" w14:textId="77777777" w:rsidR="004422A3" w:rsidRDefault="00CF7044" w:rsidP="007A58F5">
      <w:pPr>
        <w:pStyle w:val="Nadpis1"/>
        <w:numPr>
          <w:ilvl w:val="0"/>
          <w:numId w:val="9"/>
        </w:numPr>
        <w:tabs>
          <w:tab w:val="left" w:pos="877"/>
          <w:tab w:val="left" w:pos="878"/>
        </w:tabs>
        <w:ind w:left="0" w:firstLine="0"/>
      </w:pPr>
      <w:r>
        <w:t>FARMACEUTICKÉ</w:t>
      </w:r>
      <w:r>
        <w:rPr>
          <w:spacing w:val="-2"/>
        </w:rPr>
        <w:t xml:space="preserve"> </w:t>
      </w:r>
      <w:r>
        <w:t>INFORMÁCIE</w:t>
      </w:r>
    </w:p>
    <w:p w14:paraId="5A28F1EC" w14:textId="77777777" w:rsidR="004422A3" w:rsidRDefault="004422A3" w:rsidP="007A58F5">
      <w:pPr>
        <w:pStyle w:val="Zkladntext"/>
        <w:spacing w:before="1"/>
        <w:rPr>
          <w:b/>
        </w:rPr>
      </w:pPr>
    </w:p>
    <w:p w14:paraId="6FD5BEF4" w14:textId="77777777" w:rsidR="004422A3" w:rsidRDefault="00CF7044" w:rsidP="007A58F5">
      <w:pPr>
        <w:pStyle w:val="Odsekzoznamu"/>
        <w:numPr>
          <w:ilvl w:val="1"/>
          <w:numId w:val="9"/>
        </w:numPr>
        <w:tabs>
          <w:tab w:val="left" w:pos="877"/>
          <w:tab w:val="left" w:pos="878"/>
        </w:tabs>
        <w:ind w:left="0" w:firstLine="0"/>
        <w:rPr>
          <w:b/>
        </w:rPr>
      </w:pPr>
      <w:r>
        <w:rPr>
          <w:b/>
        </w:rPr>
        <w:t>Zoznam pomocných</w:t>
      </w:r>
      <w:r>
        <w:rPr>
          <w:b/>
          <w:spacing w:val="-3"/>
        </w:rPr>
        <w:t xml:space="preserve"> </w:t>
      </w:r>
      <w:r>
        <w:rPr>
          <w:b/>
        </w:rPr>
        <w:t>látok</w:t>
      </w:r>
    </w:p>
    <w:p w14:paraId="760B76C5" w14:textId="6C5321A5" w:rsidR="004422A3" w:rsidRDefault="004422A3" w:rsidP="007A58F5">
      <w:pPr>
        <w:pStyle w:val="Zkladntext"/>
        <w:spacing w:before="8"/>
        <w:rPr>
          <w:b/>
          <w:sz w:val="21"/>
        </w:rPr>
      </w:pPr>
    </w:p>
    <w:p w14:paraId="30D86591" w14:textId="7F448C4D" w:rsidR="00B22BAD" w:rsidRDefault="00CF7044" w:rsidP="007A58F5">
      <w:pPr>
        <w:pStyle w:val="Zkladntext"/>
        <w:spacing w:before="1"/>
      </w:pPr>
      <w:r>
        <w:rPr>
          <w:u w:val="single"/>
        </w:rPr>
        <w:t>Jadro tablety</w:t>
      </w:r>
      <w:r w:rsidR="00B22BAD">
        <w:rPr>
          <w:u w:val="single"/>
        </w:rPr>
        <w:t>:</w:t>
      </w:r>
    </w:p>
    <w:p w14:paraId="78BD4B35" w14:textId="03C7692D" w:rsidR="004422A3" w:rsidRDefault="00CF7044" w:rsidP="007A58F5">
      <w:pPr>
        <w:pStyle w:val="Zkladntext"/>
        <w:spacing w:before="1"/>
      </w:pPr>
      <w:r>
        <w:t>laktóz</w:t>
      </w:r>
      <w:r w:rsidR="00A96F10">
        <w:t>a</w:t>
      </w:r>
    </w:p>
    <w:p w14:paraId="10FB20CD" w14:textId="77777777" w:rsidR="00B22BAD" w:rsidRDefault="00B22BAD" w:rsidP="007A58F5">
      <w:pPr>
        <w:pStyle w:val="Zkladntext"/>
      </w:pPr>
      <w:r>
        <w:t>sodná soľ kroskarmelózy</w:t>
      </w:r>
    </w:p>
    <w:p w14:paraId="0D26055C" w14:textId="141A98ED" w:rsidR="00B22BAD" w:rsidRDefault="00A96F10" w:rsidP="007A58F5">
      <w:pPr>
        <w:pStyle w:val="Zkladntext"/>
      </w:pPr>
      <w:r>
        <w:t>laurylsíran sodný</w:t>
      </w:r>
    </w:p>
    <w:p w14:paraId="06A84655" w14:textId="77777777" w:rsidR="00B22BAD" w:rsidRPr="00B22BAD" w:rsidRDefault="00B22BAD" w:rsidP="007A58F5">
      <w:pPr>
        <w:pStyle w:val="Zkladntext"/>
      </w:pPr>
      <w:r w:rsidRPr="00B22BAD">
        <w:t>hydroxypropylcelulóza</w:t>
      </w:r>
    </w:p>
    <w:p w14:paraId="009EEF4B" w14:textId="77777777" w:rsidR="00B22BAD" w:rsidRPr="00B22BAD" w:rsidRDefault="00B22BAD" w:rsidP="007A58F5">
      <w:pPr>
        <w:pStyle w:val="Zkladntext"/>
      </w:pPr>
      <w:r w:rsidRPr="00B22BAD">
        <w:rPr>
          <w:lang w:val="sk-SK"/>
        </w:rPr>
        <w:t>polysorbát 80</w:t>
      </w:r>
    </w:p>
    <w:p w14:paraId="6C4EBD80" w14:textId="5B696AB4" w:rsidR="004422A3" w:rsidRDefault="00A96F10" w:rsidP="007A58F5">
      <w:pPr>
        <w:pStyle w:val="Zkladntext"/>
      </w:pPr>
      <w:r>
        <w:t>stearan horečnatý</w:t>
      </w:r>
    </w:p>
    <w:p w14:paraId="23C8CC9E" w14:textId="77777777" w:rsidR="004422A3" w:rsidRDefault="004422A3" w:rsidP="007A58F5">
      <w:pPr>
        <w:pStyle w:val="Zkladntext"/>
        <w:spacing w:before="10"/>
        <w:rPr>
          <w:sz w:val="21"/>
        </w:rPr>
      </w:pPr>
    </w:p>
    <w:p w14:paraId="695E84D0" w14:textId="762F547A" w:rsidR="00B22BAD" w:rsidRDefault="00CF7044" w:rsidP="007A58F5">
      <w:pPr>
        <w:pStyle w:val="Zkladntext"/>
        <w:spacing w:before="1"/>
        <w:rPr>
          <w:u w:val="single"/>
        </w:rPr>
      </w:pPr>
      <w:r>
        <w:rPr>
          <w:u w:val="single"/>
        </w:rPr>
        <w:t>Obal</w:t>
      </w:r>
      <w:r w:rsidR="00B22BAD">
        <w:rPr>
          <w:u w:val="single"/>
        </w:rPr>
        <w:t>:</w:t>
      </w:r>
    </w:p>
    <w:p w14:paraId="6A1A2156" w14:textId="10C8CB67" w:rsidR="00B22BAD" w:rsidRDefault="00A96F10" w:rsidP="007A58F5">
      <w:pPr>
        <w:pStyle w:val="Zkladntext"/>
        <w:spacing w:before="1"/>
      </w:pPr>
      <w:r>
        <w:t>h</w:t>
      </w:r>
      <w:r w:rsidR="00B22BAD">
        <w:t>ypromelóza (E464)</w:t>
      </w:r>
    </w:p>
    <w:p w14:paraId="077DD12A" w14:textId="77777777" w:rsidR="00B22BAD" w:rsidRDefault="00B22BAD" w:rsidP="007A58F5">
      <w:pPr>
        <w:pStyle w:val="Zkladntext"/>
        <w:spacing w:before="1"/>
      </w:pPr>
      <w:r>
        <w:t>monohydrát laktózy</w:t>
      </w:r>
    </w:p>
    <w:p w14:paraId="00CDE179" w14:textId="77777777" w:rsidR="004422A3" w:rsidRDefault="00CF7044" w:rsidP="007A58F5">
      <w:pPr>
        <w:pStyle w:val="Zkladntext"/>
        <w:spacing w:line="252" w:lineRule="exact"/>
      </w:pPr>
      <w:r>
        <w:t>oxid titaničitý (E 171)</w:t>
      </w:r>
    </w:p>
    <w:p w14:paraId="754F8EAF" w14:textId="77777777" w:rsidR="00B22BAD" w:rsidRDefault="00B22BAD" w:rsidP="007A58F5">
      <w:pPr>
        <w:pStyle w:val="Zkladntext"/>
        <w:spacing w:before="1"/>
      </w:pPr>
      <w:r>
        <w:t>triacetín</w:t>
      </w:r>
    </w:p>
    <w:p w14:paraId="0821C478" w14:textId="77777777" w:rsidR="00B22BAD" w:rsidRDefault="00B22BAD" w:rsidP="007A58F5">
      <w:pPr>
        <w:pStyle w:val="Zkladntext"/>
      </w:pPr>
      <w:r>
        <w:t>mastenec (E553b)</w:t>
      </w:r>
    </w:p>
    <w:p w14:paraId="127AD609" w14:textId="77777777" w:rsidR="00B22BAD" w:rsidRDefault="00CF7044" w:rsidP="007A58F5">
      <w:pPr>
        <w:pStyle w:val="Zkladntext"/>
      </w:pPr>
      <w:r>
        <w:t>žltý oxid železitý (E 172)</w:t>
      </w:r>
    </w:p>
    <w:p w14:paraId="0D71D1B8" w14:textId="77777777" w:rsidR="00CF7044" w:rsidRDefault="00CF7044" w:rsidP="007A58F5">
      <w:pPr>
        <w:pStyle w:val="Zkladntext"/>
      </w:pPr>
    </w:p>
    <w:p w14:paraId="62872708" w14:textId="77777777" w:rsidR="004422A3" w:rsidRDefault="00CF7044" w:rsidP="007A58F5">
      <w:pPr>
        <w:pStyle w:val="Nadpis1"/>
        <w:numPr>
          <w:ilvl w:val="1"/>
          <w:numId w:val="9"/>
        </w:numPr>
        <w:tabs>
          <w:tab w:val="left" w:pos="882"/>
          <w:tab w:val="left" w:pos="883"/>
        </w:tabs>
        <w:spacing w:before="65"/>
        <w:ind w:left="0" w:firstLine="0"/>
      </w:pPr>
      <w:r>
        <w:t>Inkompatibility</w:t>
      </w:r>
    </w:p>
    <w:p w14:paraId="75F137AB" w14:textId="77777777" w:rsidR="004422A3" w:rsidRDefault="004422A3" w:rsidP="007A58F5">
      <w:pPr>
        <w:pStyle w:val="Zkladntext"/>
        <w:spacing w:before="7"/>
        <w:rPr>
          <w:b/>
          <w:sz w:val="21"/>
        </w:rPr>
      </w:pPr>
    </w:p>
    <w:p w14:paraId="41F18C30" w14:textId="77777777" w:rsidR="004422A3" w:rsidRDefault="00CF7044" w:rsidP="007A58F5">
      <w:pPr>
        <w:pStyle w:val="Zkladntext"/>
      </w:pPr>
      <w:r>
        <w:t>Neaplikovateľné.</w:t>
      </w:r>
    </w:p>
    <w:p w14:paraId="6A9BEB05" w14:textId="77777777" w:rsidR="004422A3" w:rsidRDefault="004422A3" w:rsidP="007A58F5">
      <w:pPr>
        <w:pStyle w:val="Zkladntext"/>
        <w:spacing w:before="5"/>
      </w:pPr>
    </w:p>
    <w:p w14:paraId="7A9419FF" w14:textId="77777777" w:rsidR="004422A3" w:rsidRDefault="00CF7044" w:rsidP="007A58F5">
      <w:pPr>
        <w:pStyle w:val="Nadpis1"/>
        <w:numPr>
          <w:ilvl w:val="1"/>
          <w:numId w:val="9"/>
        </w:numPr>
        <w:tabs>
          <w:tab w:val="left" w:pos="882"/>
          <w:tab w:val="left" w:pos="883"/>
        </w:tabs>
        <w:ind w:left="0" w:firstLine="0"/>
      </w:pPr>
      <w:r>
        <w:t>Čas</w:t>
      </w:r>
      <w:r>
        <w:rPr>
          <w:spacing w:val="-1"/>
        </w:rPr>
        <w:t xml:space="preserve"> </w:t>
      </w:r>
      <w:r>
        <w:t>použiteľnosti</w:t>
      </w:r>
    </w:p>
    <w:p w14:paraId="1EB63D28" w14:textId="77777777" w:rsidR="004422A3" w:rsidRDefault="004422A3" w:rsidP="007A58F5">
      <w:pPr>
        <w:pStyle w:val="Zkladntext"/>
        <w:spacing w:before="5"/>
        <w:rPr>
          <w:b/>
          <w:sz w:val="21"/>
        </w:rPr>
      </w:pPr>
    </w:p>
    <w:p w14:paraId="5054E233" w14:textId="022FE44C" w:rsidR="004422A3" w:rsidRDefault="008D79AF" w:rsidP="007A58F5">
      <w:pPr>
        <w:pStyle w:val="Zkladntext"/>
      </w:pPr>
      <w:r>
        <w:t>3 roky</w:t>
      </w:r>
    </w:p>
    <w:p w14:paraId="6376A0FB" w14:textId="77777777" w:rsidR="004422A3" w:rsidRDefault="004422A3" w:rsidP="007A58F5">
      <w:pPr>
        <w:pStyle w:val="Zkladntext"/>
        <w:spacing w:before="5"/>
      </w:pPr>
    </w:p>
    <w:p w14:paraId="590AB0F2" w14:textId="77777777" w:rsidR="004422A3" w:rsidRDefault="00CF7044" w:rsidP="007A58F5">
      <w:pPr>
        <w:pStyle w:val="Nadpis1"/>
        <w:numPr>
          <w:ilvl w:val="1"/>
          <w:numId w:val="9"/>
        </w:numPr>
        <w:tabs>
          <w:tab w:val="left" w:pos="882"/>
          <w:tab w:val="left" w:pos="883"/>
        </w:tabs>
        <w:ind w:left="0" w:firstLine="0"/>
      </w:pPr>
      <w:r>
        <w:t>Špeciálne upozornenia na</w:t>
      </w:r>
      <w:r>
        <w:rPr>
          <w:spacing w:val="-4"/>
        </w:rPr>
        <w:t xml:space="preserve"> </w:t>
      </w:r>
      <w:r>
        <w:t>uchovávanie</w:t>
      </w:r>
    </w:p>
    <w:p w14:paraId="0A33261C" w14:textId="77777777" w:rsidR="004422A3" w:rsidRDefault="004422A3" w:rsidP="007A58F5">
      <w:pPr>
        <w:pStyle w:val="Zkladntext"/>
        <w:spacing w:before="7"/>
        <w:rPr>
          <w:b/>
          <w:sz w:val="21"/>
        </w:rPr>
      </w:pPr>
    </w:p>
    <w:p w14:paraId="6749ACC1" w14:textId="77777777" w:rsidR="004422A3" w:rsidRDefault="00B22BAD" w:rsidP="007A58F5">
      <w:pPr>
        <w:pStyle w:val="Zkladntext"/>
        <w:spacing w:before="4"/>
      </w:pPr>
      <w:r w:rsidRPr="00B22BAD">
        <w:t>Tento liek nevyžaduje žiadne zvláštne podmienky na uchovávanie</w:t>
      </w:r>
    </w:p>
    <w:p w14:paraId="107544E1" w14:textId="77777777" w:rsidR="00B22BAD" w:rsidRDefault="00B22BAD" w:rsidP="007A58F5">
      <w:pPr>
        <w:pStyle w:val="Zkladntext"/>
        <w:spacing w:before="4"/>
      </w:pPr>
    </w:p>
    <w:p w14:paraId="7DE01A44" w14:textId="77777777" w:rsidR="004422A3" w:rsidRDefault="00CF7044" w:rsidP="007A58F5">
      <w:pPr>
        <w:pStyle w:val="Nadpis1"/>
        <w:numPr>
          <w:ilvl w:val="1"/>
          <w:numId w:val="9"/>
        </w:numPr>
        <w:tabs>
          <w:tab w:val="left" w:pos="881"/>
          <w:tab w:val="left" w:pos="882"/>
        </w:tabs>
        <w:ind w:left="0" w:firstLine="0"/>
      </w:pPr>
      <w:r>
        <w:lastRenderedPageBreak/>
        <w:t>Druh obalu a obsah</w:t>
      </w:r>
      <w:r>
        <w:rPr>
          <w:spacing w:val="-6"/>
        </w:rPr>
        <w:t xml:space="preserve"> </w:t>
      </w:r>
      <w:r>
        <w:t>balenia</w:t>
      </w:r>
    </w:p>
    <w:p w14:paraId="195C9B31" w14:textId="77777777" w:rsidR="004422A3" w:rsidRDefault="004422A3" w:rsidP="007A58F5">
      <w:pPr>
        <w:pStyle w:val="Zkladntext"/>
        <w:spacing w:before="7"/>
        <w:rPr>
          <w:b/>
          <w:sz w:val="21"/>
        </w:rPr>
      </w:pPr>
    </w:p>
    <w:p w14:paraId="10BA5D47" w14:textId="0255DBBB" w:rsidR="007D2AFA" w:rsidRDefault="00CF7044" w:rsidP="007A58F5">
      <w:pPr>
        <w:pStyle w:val="Zkladntext"/>
        <w:spacing w:before="1"/>
      </w:pPr>
      <w:r w:rsidRPr="007D2AFA">
        <w:t>PVC/</w:t>
      </w:r>
      <w:r w:rsidR="007D2AFA" w:rsidRPr="007D2AFA">
        <w:t>PVDC/Al</w:t>
      </w:r>
      <w:r w:rsidRPr="007D2AFA">
        <w:t xml:space="preserve"> blistre v</w:t>
      </w:r>
      <w:r>
        <w:t xml:space="preserve"> papierovej </w:t>
      </w:r>
      <w:r w:rsidR="00A96F10">
        <w:t xml:space="preserve">škatuľke </w:t>
      </w:r>
      <w:r>
        <w:t>obsahujúce 28 a 56</w:t>
      </w:r>
      <w:r w:rsidR="007D2AFA">
        <w:t xml:space="preserve"> filmom obalených tabliet.</w:t>
      </w:r>
    </w:p>
    <w:p w14:paraId="5899224A" w14:textId="77777777" w:rsidR="007D2AFA" w:rsidRDefault="007D2AFA" w:rsidP="007A58F5">
      <w:pPr>
        <w:pStyle w:val="Zkladntext"/>
        <w:spacing w:before="1"/>
      </w:pPr>
    </w:p>
    <w:p w14:paraId="05C56540" w14:textId="32DB372E" w:rsidR="004422A3" w:rsidRDefault="00A96F10" w:rsidP="007A58F5">
      <w:pPr>
        <w:pStyle w:val="Zkladntext"/>
        <w:spacing w:before="1"/>
      </w:pPr>
      <w:r>
        <w:t>Na trh nemusia byť uvedené všetky veľkosti balenia.</w:t>
      </w:r>
    </w:p>
    <w:p w14:paraId="00C9FF1A" w14:textId="77777777" w:rsidR="004422A3" w:rsidRDefault="004422A3" w:rsidP="007A58F5">
      <w:pPr>
        <w:pStyle w:val="Zkladntext"/>
        <w:spacing w:before="4"/>
      </w:pPr>
    </w:p>
    <w:p w14:paraId="604C3A6C" w14:textId="77777777" w:rsidR="004422A3" w:rsidRDefault="00CF7044" w:rsidP="007A58F5">
      <w:pPr>
        <w:pStyle w:val="Nadpis1"/>
        <w:numPr>
          <w:ilvl w:val="1"/>
          <w:numId w:val="9"/>
        </w:numPr>
        <w:tabs>
          <w:tab w:val="left" w:pos="876"/>
          <w:tab w:val="left" w:pos="877"/>
        </w:tabs>
        <w:ind w:left="0" w:firstLine="0"/>
      </w:pPr>
      <w:r>
        <w:t>Špeciálne opatrenia na</w:t>
      </w:r>
      <w:r>
        <w:rPr>
          <w:spacing w:val="-4"/>
        </w:rPr>
        <w:t xml:space="preserve"> </w:t>
      </w:r>
      <w:r>
        <w:t>likvidáciu</w:t>
      </w:r>
    </w:p>
    <w:p w14:paraId="676A20FE" w14:textId="77777777" w:rsidR="004422A3" w:rsidRDefault="004422A3" w:rsidP="007A58F5">
      <w:pPr>
        <w:pStyle w:val="Zkladntext"/>
        <w:spacing w:before="7"/>
        <w:rPr>
          <w:b/>
          <w:sz w:val="21"/>
        </w:rPr>
      </w:pPr>
    </w:p>
    <w:p w14:paraId="79C04F5D" w14:textId="2BFC13C1" w:rsidR="00CF7044" w:rsidRDefault="00A96F10" w:rsidP="007A58F5">
      <w:pPr>
        <w:pStyle w:val="Zkladntext"/>
      </w:pPr>
      <w:r>
        <w:t>Všetok nepoužitý liek alebo odpad vzniknutý z lieku sa má zlikvidovať v súlade s národnými požiadavkami.</w:t>
      </w:r>
      <w:r w:rsidDel="00A96F10">
        <w:t xml:space="preserve"> </w:t>
      </w:r>
    </w:p>
    <w:p w14:paraId="253BF98D" w14:textId="77777777" w:rsidR="007A58F5" w:rsidRDefault="007A58F5" w:rsidP="007A58F5">
      <w:pPr>
        <w:pStyle w:val="Zkladntext"/>
      </w:pPr>
    </w:p>
    <w:p w14:paraId="61B1A456" w14:textId="77777777" w:rsidR="004422A3" w:rsidRDefault="004422A3" w:rsidP="007A58F5">
      <w:pPr>
        <w:pStyle w:val="Zkladntext"/>
        <w:spacing w:before="4"/>
      </w:pPr>
    </w:p>
    <w:p w14:paraId="76FA5353" w14:textId="77777777" w:rsidR="004422A3" w:rsidRDefault="00CF7044" w:rsidP="007A58F5">
      <w:pPr>
        <w:pStyle w:val="Nadpis1"/>
        <w:numPr>
          <w:ilvl w:val="0"/>
          <w:numId w:val="9"/>
        </w:numPr>
        <w:tabs>
          <w:tab w:val="left" w:pos="881"/>
          <w:tab w:val="left" w:pos="882"/>
        </w:tabs>
        <w:ind w:left="0" w:firstLine="0"/>
      </w:pPr>
      <w:r>
        <w:t>DRŽITEĽ ROZHODNUTIA O</w:t>
      </w:r>
      <w:r>
        <w:rPr>
          <w:spacing w:val="-2"/>
        </w:rPr>
        <w:t xml:space="preserve"> </w:t>
      </w:r>
      <w:r>
        <w:t>REGISTRÁCII</w:t>
      </w:r>
    </w:p>
    <w:p w14:paraId="7C5BA06B" w14:textId="77777777" w:rsidR="004422A3" w:rsidRDefault="004422A3" w:rsidP="007A58F5">
      <w:pPr>
        <w:pStyle w:val="Zkladntext"/>
        <w:spacing w:before="7"/>
        <w:rPr>
          <w:b/>
          <w:sz w:val="21"/>
        </w:rPr>
      </w:pPr>
    </w:p>
    <w:p w14:paraId="62262015" w14:textId="77777777" w:rsidR="007D2AFA" w:rsidRDefault="007D2AFA" w:rsidP="00F45840">
      <w:pPr>
        <w:rPr>
          <w:noProof/>
          <w:lang w:val="de-AT"/>
        </w:rPr>
      </w:pPr>
      <w:bookmarkStart w:id="1" w:name="_Hlk518312778"/>
      <w:r w:rsidRPr="000B45A7">
        <w:rPr>
          <w:noProof/>
          <w:lang w:val="de-AT"/>
        </w:rPr>
        <w:t>AOP Orphan Pharmaceuticals AG</w:t>
      </w:r>
    </w:p>
    <w:p w14:paraId="6BA99F2A" w14:textId="6C91B265" w:rsidR="007D2AFA" w:rsidRDefault="007D2AFA" w:rsidP="005E7EC8">
      <w:pPr>
        <w:rPr>
          <w:noProof/>
          <w:lang w:val="de-AT"/>
        </w:rPr>
      </w:pPr>
      <w:r>
        <w:rPr>
          <w:noProof/>
          <w:lang w:val="de-AT"/>
        </w:rPr>
        <w:t>Wilhelminenstra</w:t>
      </w:r>
      <w:r w:rsidR="00540574">
        <w:rPr>
          <w:noProof/>
          <w:lang w:val="de-AT"/>
        </w:rPr>
        <w:t>ss</w:t>
      </w:r>
      <w:r>
        <w:rPr>
          <w:noProof/>
          <w:lang w:val="de-AT"/>
        </w:rPr>
        <w:t>e 91/II f</w:t>
      </w:r>
    </w:p>
    <w:p w14:paraId="62AC86AC" w14:textId="77777777" w:rsidR="00540574" w:rsidRDefault="007D2AFA" w:rsidP="000419E2">
      <w:pPr>
        <w:rPr>
          <w:noProof/>
          <w:lang w:val="sk-SK"/>
        </w:rPr>
      </w:pPr>
      <w:r w:rsidRPr="00982E34">
        <w:rPr>
          <w:noProof/>
          <w:lang w:val="de-AT"/>
        </w:rPr>
        <w:t xml:space="preserve">1160 </w:t>
      </w:r>
      <w:r w:rsidRPr="00982E34">
        <w:rPr>
          <w:noProof/>
          <w:lang w:val="sk-SK"/>
        </w:rPr>
        <w:t>Viedeň</w:t>
      </w:r>
    </w:p>
    <w:p w14:paraId="654C10C8" w14:textId="0FB761F5" w:rsidR="007D2AFA" w:rsidRPr="00982E34" w:rsidRDefault="007D2AFA" w:rsidP="000419E2">
      <w:pPr>
        <w:rPr>
          <w:noProof/>
          <w:lang w:val="de-AT"/>
        </w:rPr>
      </w:pPr>
      <w:r w:rsidRPr="00982E34">
        <w:rPr>
          <w:noProof/>
          <w:lang w:val="sk-SK"/>
        </w:rPr>
        <w:t>Rakúsko</w:t>
      </w:r>
    </w:p>
    <w:bookmarkEnd w:id="1"/>
    <w:p w14:paraId="322CB2AE" w14:textId="77777777" w:rsidR="004422A3" w:rsidRDefault="004422A3" w:rsidP="007A58F5">
      <w:pPr>
        <w:pStyle w:val="Zkladntext"/>
        <w:rPr>
          <w:sz w:val="24"/>
        </w:rPr>
      </w:pPr>
    </w:p>
    <w:p w14:paraId="77CF97DF" w14:textId="77777777" w:rsidR="004422A3" w:rsidRDefault="004422A3" w:rsidP="007A58F5">
      <w:pPr>
        <w:pStyle w:val="Zkladntext"/>
        <w:spacing w:before="4"/>
        <w:rPr>
          <w:sz w:val="20"/>
        </w:rPr>
      </w:pPr>
    </w:p>
    <w:p w14:paraId="72023DF8" w14:textId="3D0BAB86" w:rsidR="004422A3" w:rsidRDefault="00CF7044" w:rsidP="007A58F5">
      <w:pPr>
        <w:pStyle w:val="Nadpis1"/>
        <w:numPr>
          <w:ilvl w:val="0"/>
          <w:numId w:val="9"/>
        </w:numPr>
        <w:tabs>
          <w:tab w:val="left" w:pos="881"/>
          <w:tab w:val="left" w:pos="882"/>
        </w:tabs>
        <w:ind w:left="0" w:firstLine="0"/>
      </w:pPr>
      <w:r>
        <w:t>REGISTRAČNÉ ČÍSL</w:t>
      </w:r>
      <w:r w:rsidR="00BF0CBB">
        <w:t>O</w:t>
      </w:r>
    </w:p>
    <w:p w14:paraId="5B104BF4" w14:textId="77777777" w:rsidR="004422A3" w:rsidRDefault="004422A3" w:rsidP="007A58F5">
      <w:pPr>
        <w:pStyle w:val="Zkladntext"/>
        <w:spacing w:before="7"/>
        <w:rPr>
          <w:b/>
          <w:sz w:val="21"/>
        </w:rPr>
      </w:pPr>
    </w:p>
    <w:p w14:paraId="1B3EA908" w14:textId="6D5F1B0A" w:rsidR="004422A3" w:rsidRDefault="00B54945" w:rsidP="007A58F5">
      <w:pPr>
        <w:pStyle w:val="Zkladntext"/>
        <w:spacing w:before="5"/>
      </w:pPr>
      <w:r w:rsidRPr="00B54945">
        <w:t>83/0053/19-S</w:t>
      </w:r>
    </w:p>
    <w:p w14:paraId="749D49BD" w14:textId="77777777" w:rsidR="00B54945" w:rsidRDefault="00B54945" w:rsidP="007A58F5">
      <w:pPr>
        <w:pStyle w:val="Zkladntext"/>
        <w:spacing w:before="5"/>
      </w:pPr>
      <w:bookmarkStart w:id="2" w:name="_GoBack"/>
      <w:bookmarkEnd w:id="2"/>
    </w:p>
    <w:p w14:paraId="4DE76622" w14:textId="77777777" w:rsidR="00CF7044" w:rsidRDefault="00CF7044" w:rsidP="007A58F5">
      <w:pPr>
        <w:pStyle w:val="Zkladntext"/>
        <w:spacing w:before="5"/>
      </w:pPr>
    </w:p>
    <w:p w14:paraId="4145F21B" w14:textId="77777777" w:rsidR="004422A3" w:rsidRDefault="00CF7044" w:rsidP="007A58F5">
      <w:pPr>
        <w:pStyle w:val="Nadpis1"/>
        <w:numPr>
          <w:ilvl w:val="0"/>
          <w:numId w:val="9"/>
        </w:numPr>
        <w:tabs>
          <w:tab w:val="left" w:pos="881"/>
          <w:tab w:val="left" w:pos="882"/>
        </w:tabs>
        <w:spacing w:before="1"/>
        <w:ind w:left="0" w:firstLine="0"/>
      </w:pPr>
      <w:r>
        <w:t>DÁTUM PRVEJ REGISTRÁCIE/ PREDĹŽENIA</w:t>
      </w:r>
      <w:r>
        <w:rPr>
          <w:spacing w:val="-1"/>
        </w:rPr>
        <w:t xml:space="preserve"> </w:t>
      </w:r>
      <w:r>
        <w:t>REGISTRÁCIE</w:t>
      </w:r>
    </w:p>
    <w:p w14:paraId="3365C1C9" w14:textId="77777777" w:rsidR="004422A3" w:rsidRDefault="004422A3" w:rsidP="007A58F5">
      <w:pPr>
        <w:pStyle w:val="Zkladntext"/>
        <w:spacing w:before="4"/>
        <w:rPr>
          <w:b/>
          <w:sz w:val="21"/>
        </w:rPr>
      </w:pPr>
    </w:p>
    <w:p w14:paraId="61C81CE6" w14:textId="03C00EB9" w:rsidR="004422A3" w:rsidRDefault="00CF7044" w:rsidP="007A58F5">
      <w:pPr>
        <w:pStyle w:val="Zkladntext"/>
        <w:rPr>
          <w:noProof/>
        </w:rPr>
      </w:pPr>
      <w:r>
        <w:t xml:space="preserve">Dátum prvej registrácie: </w:t>
      </w:r>
    </w:p>
    <w:p w14:paraId="55099E70" w14:textId="77777777" w:rsidR="00CF7044" w:rsidRDefault="00CF7044" w:rsidP="007A58F5">
      <w:pPr>
        <w:pStyle w:val="Zkladntext"/>
        <w:rPr>
          <w:sz w:val="24"/>
        </w:rPr>
      </w:pPr>
    </w:p>
    <w:p w14:paraId="6D100454" w14:textId="77777777" w:rsidR="004422A3" w:rsidRDefault="004422A3" w:rsidP="007A58F5">
      <w:pPr>
        <w:pStyle w:val="Zkladntext"/>
        <w:spacing w:before="4"/>
        <w:rPr>
          <w:sz w:val="20"/>
        </w:rPr>
      </w:pPr>
    </w:p>
    <w:p w14:paraId="1A82FBF6" w14:textId="77777777" w:rsidR="004422A3" w:rsidRDefault="00CF7044" w:rsidP="007A58F5">
      <w:pPr>
        <w:pStyle w:val="Nadpis1"/>
        <w:numPr>
          <w:ilvl w:val="0"/>
          <w:numId w:val="9"/>
        </w:numPr>
        <w:tabs>
          <w:tab w:val="left" w:pos="881"/>
          <w:tab w:val="left" w:pos="882"/>
        </w:tabs>
        <w:ind w:left="0" w:firstLine="0"/>
      </w:pPr>
      <w:r>
        <w:t>DÁTUM REVÍZIE</w:t>
      </w:r>
      <w:r>
        <w:rPr>
          <w:spacing w:val="-2"/>
        </w:rPr>
        <w:t xml:space="preserve"> </w:t>
      </w:r>
      <w:r>
        <w:t>TEXTU</w:t>
      </w:r>
    </w:p>
    <w:p w14:paraId="2E08C025" w14:textId="77777777" w:rsidR="00CF7044" w:rsidRPr="003F79C5" w:rsidRDefault="00CF7044" w:rsidP="007A58F5"/>
    <w:p w14:paraId="20C012A0" w14:textId="78DE1361" w:rsidR="00CF7044" w:rsidRDefault="00145068" w:rsidP="007A58F5">
      <w:r>
        <w:t>02/2019</w:t>
      </w:r>
    </w:p>
    <w:sectPr w:rsidR="00CF7044" w:rsidSect="00540574">
      <w:headerReference w:type="default" r:id="rId11"/>
      <w:footerReference w:type="default" r:id="rId12"/>
      <w:pgSz w:w="11910" w:h="16850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3507C" w14:textId="77777777" w:rsidR="001A79EE" w:rsidRDefault="001A79EE">
      <w:r>
        <w:separator/>
      </w:r>
    </w:p>
  </w:endnote>
  <w:endnote w:type="continuationSeparator" w:id="0">
    <w:p w14:paraId="7FD9E4AB" w14:textId="77777777" w:rsidR="001A79EE" w:rsidRDefault="001A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49C64" w14:textId="77777777" w:rsidR="007A58F5" w:rsidRDefault="007A58F5">
    <w:pPr>
      <w:pStyle w:val="Zkladntext"/>
      <w:spacing w:line="14" w:lineRule="auto"/>
      <w:rPr>
        <w:sz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61A9D9" wp14:editId="4ABDD13C">
              <wp:simplePos x="0" y="0"/>
              <wp:positionH relativeFrom="page">
                <wp:posOffset>3697605</wp:posOffset>
              </wp:positionH>
              <wp:positionV relativeFrom="page">
                <wp:posOffset>10096500</wp:posOffset>
              </wp:positionV>
              <wp:extent cx="163830" cy="139700"/>
              <wp:effectExtent l="1905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B2FAFC" w14:textId="77777777" w:rsidR="007A58F5" w:rsidRPr="00540574" w:rsidRDefault="007A58F5">
                          <w:pPr>
                            <w:spacing w:before="15"/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 w:rsidRPr="00540574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40574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540574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54945">
                            <w:rPr>
                              <w:noProof/>
                              <w:sz w:val="18"/>
                              <w:szCs w:val="18"/>
                            </w:rPr>
                            <w:t>13</w:t>
                          </w:r>
                          <w:r w:rsidRPr="00540574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1A9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15pt;margin-top:795pt;width:12.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" filled="f" stroked="f">
              <v:textbox inset="0,0,0,0">
                <w:txbxContent>
                  <w:p w14:paraId="69B2FAFC" w14:textId="77777777" w:rsidR="007A58F5" w:rsidRPr="00540574" w:rsidRDefault="007A58F5">
                    <w:pPr>
                      <w:spacing w:before="15"/>
                      <w:ind w:left="40"/>
                      <w:rPr>
                        <w:sz w:val="18"/>
                        <w:szCs w:val="18"/>
                      </w:rPr>
                    </w:pPr>
                    <w:r w:rsidRPr="00540574">
                      <w:rPr>
                        <w:sz w:val="18"/>
                        <w:szCs w:val="18"/>
                      </w:rPr>
                      <w:fldChar w:fldCharType="begin"/>
                    </w:r>
                    <w:r w:rsidRPr="00540574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540574">
                      <w:rPr>
                        <w:sz w:val="18"/>
                        <w:szCs w:val="18"/>
                      </w:rPr>
                      <w:fldChar w:fldCharType="separate"/>
                    </w:r>
                    <w:r w:rsidR="00B54945">
                      <w:rPr>
                        <w:noProof/>
                        <w:sz w:val="18"/>
                        <w:szCs w:val="18"/>
                      </w:rPr>
                      <w:t>13</w:t>
                    </w:r>
                    <w:r w:rsidRPr="00540574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CC33F" w14:textId="77777777" w:rsidR="001A79EE" w:rsidRDefault="001A79EE">
      <w:r>
        <w:separator/>
      </w:r>
    </w:p>
  </w:footnote>
  <w:footnote w:type="continuationSeparator" w:id="0">
    <w:p w14:paraId="0C7EE561" w14:textId="77777777" w:rsidR="001A79EE" w:rsidRDefault="001A7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34A69" w14:textId="651D6333" w:rsidR="007A58F5" w:rsidRPr="00540574" w:rsidRDefault="007A58F5">
    <w:pPr>
      <w:pStyle w:val="Hlavika"/>
      <w:rPr>
        <w:sz w:val="18"/>
        <w:szCs w:val="18"/>
      </w:rPr>
    </w:pPr>
    <w:r w:rsidRPr="00540574">
      <w:rPr>
        <w:sz w:val="18"/>
        <w:szCs w:val="18"/>
      </w:rPr>
      <w:t>Schválený text k rozhodnutiu o registrácii, ev. č.: 2018/01080-REG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A6292"/>
    <w:multiLevelType w:val="multilevel"/>
    <w:tmpl w:val="FF04D928"/>
    <w:lvl w:ilvl="0">
      <w:start w:val="1"/>
      <w:numFmt w:val="decimal"/>
      <w:lvlText w:val="%1."/>
      <w:lvlJc w:val="left"/>
      <w:pPr>
        <w:ind w:left="882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" w:eastAsia="sk" w:bidi="sk"/>
      </w:rPr>
    </w:lvl>
    <w:lvl w:ilvl="1">
      <w:start w:val="1"/>
      <w:numFmt w:val="decimal"/>
      <w:lvlText w:val="%1.%2"/>
      <w:lvlJc w:val="left"/>
      <w:pPr>
        <w:ind w:left="882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" w:eastAsia="sk" w:bidi="sk"/>
      </w:rPr>
    </w:lvl>
    <w:lvl w:ilvl="2">
      <w:numFmt w:val="bullet"/>
      <w:lvlText w:val="•"/>
      <w:lvlJc w:val="left"/>
      <w:pPr>
        <w:ind w:left="2625" w:hanging="567"/>
      </w:pPr>
      <w:rPr>
        <w:rFonts w:hint="default"/>
        <w:lang w:val="sk" w:eastAsia="sk" w:bidi="sk"/>
      </w:rPr>
    </w:lvl>
    <w:lvl w:ilvl="3">
      <w:numFmt w:val="bullet"/>
      <w:lvlText w:val="•"/>
      <w:lvlJc w:val="left"/>
      <w:pPr>
        <w:ind w:left="3497" w:hanging="567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4370" w:hanging="567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5243" w:hanging="567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988" w:hanging="567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861" w:hanging="567"/>
      </w:pPr>
      <w:rPr>
        <w:rFonts w:hint="default"/>
        <w:lang w:val="sk" w:eastAsia="sk" w:bidi="sk"/>
      </w:rPr>
    </w:lvl>
  </w:abstractNum>
  <w:abstractNum w:abstractNumId="1" w15:restartNumberingAfterBreak="0">
    <w:nsid w:val="1A0E3C22"/>
    <w:multiLevelType w:val="hybridMultilevel"/>
    <w:tmpl w:val="249485F0"/>
    <w:lvl w:ilvl="0" w:tplc="DCF2C34A">
      <w:numFmt w:val="bullet"/>
      <w:lvlText w:val="-"/>
      <w:lvlJc w:val="left"/>
      <w:pPr>
        <w:ind w:left="882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1" w:tplc="825EC610">
      <w:numFmt w:val="bullet"/>
      <w:lvlText w:val="•"/>
      <w:lvlJc w:val="left"/>
      <w:pPr>
        <w:ind w:left="1752" w:hanging="428"/>
      </w:pPr>
      <w:rPr>
        <w:rFonts w:hint="default"/>
        <w:lang w:val="sk" w:eastAsia="sk" w:bidi="sk"/>
      </w:rPr>
    </w:lvl>
    <w:lvl w:ilvl="2" w:tplc="D1181868">
      <w:numFmt w:val="bullet"/>
      <w:lvlText w:val="•"/>
      <w:lvlJc w:val="left"/>
      <w:pPr>
        <w:ind w:left="2625" w:hanging="428"/>
      </w:pPr>
      <w:rPr>
        <w:rFonts w:hint="default"/>
        <w:lang w:val="sk" w:eastAsia="sk" w:bidi="sk"/>
      </w:rPr>
    </w:lvl>
    <w:lvl w:ilvl="3" w:tplc="960A9824">
      <w:numFmt w:val="bullet"/>
      <w:lvlText w:val="•"/>
      <w:lvlJc w:val="left"/>
      <w:pPr>
        <w:ind w:left="3497" w:hanging="428"/>
      </w:pPr>
      <w:rPr>
        <w:rFonts w:hint="default"/>
        <w:lang w:val="sk" w:eastAsia="sk" w:bidi="sk"/>
      </w:rPr>
    </w:lvl>
    <w:lvl w:ilvl="4" w:tplc="2AB6F9D0">
      <w:numFmt w:val="bullet"/>
      <w:lvlText w:val="•"/>
      <w:lvlJc w:val="left"/>
      <w:pPr>
        <w:ind w:left="4370" w:hanging="428"/>
      </w:pPr>
      <w:rPr>
        <w:rFonts w:hint="default"/>
        <w:lang w:val="sk" w:eastAsia="sk" w:bidi="sk"/>
      </w:rPr>
    </w:lvl>
    <w:lvl w:ilvl="5" w:tplc="6DD862DC">
      <w:numFmt w:val="bullet"/>
      <w:lvlText w:val="•"/>
      <w:lvlJc w:val="left"/>
      <w:pPr>
        <w:ind w:left="5243" w:hanging="428"/>
      </w:pPr>
      <w:rPr>
        <w:rFonts w:hint="default"/>
        <w:lang w:val="sk" w:eastAsia="sk" w:bidi="sk"/>
      </w:rPr>
    </w:lvl>
    <w:lvl w:ilvl="6" w:tplc="2278B6F8">
      <w:numFmt w:val="bullet"/>
      <w:lvlText w:val="•"/>
      <w:lvlJc w:val="left"/>
      <w:pPr>
        <w:ind w:left="6115" w:hanging="428"/>
      </w:pPr>
      <w:rPr>
        <w:rFonts w:hint="default"/>
        <w:lang w:val="sk" w:eastAsia="sk" w:bidi="sk"/>
      </w:rPr>
    </w:lvl>
    <w:lvl w:ilvl="7" w:tplc="EADCAD16">
      <w:numFmt w:val="bullet"/>
      <w:lvlText w:val="•"/>
      <w:lvlJc w:val="left"/>
      <w:pPr>
        <w:ind w:left="6988" w:hanging="428"/>
      </w:pPr>
      <w:rPr>
        <w:rFonts w:hint="default"/>
        <w:lang w:val="sk" w:eastAsia="sk" w:bidi="sk"/>
      </w:rPr>
    </w:lvl>
    <w:lvl w:ilvl="8" w:tplc="BF4086CE">
      <w:numFmt w:val="bullet"/>
      <w:lvlText w:val="•"/>
      <w:lvlJc w:val="left"/>
      <w:pPr>
        <w:ind w:left="7861" w:hanging="428"/>
      </w:pPr>
      <w:rPr>
        <w:rFonts w:hint="default"/>
        <w:lang w:val="sk" w:eastAsia="sk" w:bidi="sk"/>
      </w:rPr>
    </w:lvl>
  </w:abstractNum>
  <w:abstractNum w:abstractNumId="2" w15:restartNumberingAfterBreak="0">
    <w:nsid w:val="25FE48E2"/>
    <w:multiLevelType w:val="hybridMultilevel"/>
    <w:tmpl w:val="A6F6A80A"/>
    <w:lvl w:ilvl="0" w:tplc="04D26372">
      <w:start w:val="1"/>
      <w:numFmt w:val="upperLetter"/>
      <w:lvlText w:val="%1."/>
      <w:lvlJc w:val="left"/>
      <w:pPr>
        <w:ind w:left="3901" w:hanging="2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sk" w:eastAsia="sk" w:bidi="sk"/>
      </w:rPr>
    </w:lvl>
    <w:lvl w:ilvl="1" w:tplc="77AEAECC">
      <w:numFmt w:val="bullet"/>
      <w:lvlText w:val="•"/>
      <w:lvlJc w:val="left"/>
      <w:pPr>
        <w:ind w:left="4470" w:hanging="269"/>
      </w:pPr>
      <w:rPr>
        <w:rFonts w:hint="default"/>
        <w:lang w:val="sk" w:eastAsia="sk" w:bidi="sk"/>
      </w:rPr>
    </w:lvl>
    <w:lvl w:ilvl="2" w:tplc="6F4651DA">
      <w:numFmt w:val="bullet"/>
      <w:lvlText w:val="•"/>
      <w:lvlJc w:val="left"/>
      <w:pPr>
        <w:ind w:left="5041" w:hanging="269"/>
      </w:pPr>
      <w:rPr>
        <w:rFonts w:hint="default"/>
        <w:lang w:val="sk" w:eastAsia="sk" w:bidi="sk"/>
      </w:rPr>
    </w:lvl>
    <w:lvl w:ilvl="3" w:tplc="B31CEDC8">
      <w:numFmt w:val="bullet"/>
      <w:lvlText w:val="•"/>
      <w:lvlJc w:val="left"/>
      <w:pPr>
        <w:ind w:left="5611" w:hanging="269"/>
      </w:pPr>
      <w:rPr>
        <w:rFonts w:hint="default"/>
        <w:lang w:val="sk" w:eastAsia="sk" w:bidi="sk"/>
      </w:rPr>
    </w:lvl>
    <w:lvl w:ilvl="4" w:tplc="A972E9E8">
      <w:numFmt w:val="bullet"/>
      <w:lvlText w:val="•"/>
      <w:lvlJc w:val="left"/>
      <w:pPr>
        <w:ind w:left="6182" w:hanging="269"/>
      </w:pPr>
      <w:rPr>
        <w:rFonts w:hint="default"/>
        <w:lang w:val="sk" w:eastAsia="sk" w:bidi="sk"/>
      </w:rPr>
    </w:lvl>
    <w:lvl w:ilvl="5" w:tplc="EA4C2330">
      <w:numFmt w:val="bullet"/>
      <w:lvlText w:val="•"/>
      <w:lvlJc w:val="left"/>
      <w:pPr>
        <w:ind w:left="6753" w:hanging="269"/>
      </w:pPr>
      <w:rPr>
        <w:rFonts w:hint="default"/>
        <w:lang w:val="sk" w:eastAsia="sk" w:bidi="sk"/>
      </w:rPr>
    </w:lvl>
    <w:lvl w:ilvl="6" w:tplc="4E3CB480">
      <w:numFmt w:val="bullet"/>
      <w:lvlText w:val="•"/>
      <w:lvlJc w:val="left"/>
      <w:pPr>
        <w:ind w:left="7323" w:hanging="269"/>
      </w:pPr>
      <w:rPr>
        <w:rFonts w:hint="default"/>
        <w:lang w:val="sk" w:eastAsia="sk" w:bidi="sk"/>
      </w:rPr>
    </w:lvl>
    <w:lvl w:ilvl="7" w:tplc="381283FA">
      <w:numFmt w:val="bullet"/>
      <w:lvlText w:val="•"/>
      <w:lvlJc w:val="left"/>
      <w:pPr>
        <w:ind w:left="7894" w:hanging="269"/>
      </w:pPr>
      <w:rPr>
        <w:rFonts w:hint="default"/>
        <w:lang w:val="sk" w:eastAsia="sk" w:bidi="sk"/>
      </w:rPr>
    </w:lvl>
    <w:lvl w:ilvl="8" w:tplc="AB3E041E">
      <w:numFmt w:val="bullet"/>
      <w:lvlText w:val="•"/>
      <w:lvlJc w:val="left"/>
      <w:pPr>
        <w:ind w:left="8465" w:hanging="269"/>
      </w:pPr>
      <w:rPr>
        <w:rFonts w:hint="default"/>
        <w:lang w:val="sk" w:eastAsia="sk" w:bidi="sk"/>
      </w:rPr>
    </w:lvl>
  </w:abstractNum>
  <w:abstractNum w:abstractNumId="3" w15:restartNumberingAfterBreak="0">
    <w:nsid w:val="2A234D1D"/>
    <w:multiLevelType w:val="hybridMultilevel"/>
    <w:tmpl w:val="411657F6"/>
    <w:lvl w:ilvl="0" w:tplc="D46E01EE">
      <w:numFmt w:val="bullet"/>
      <w:lvlText w:val=""/>
      <w:lvlJc w:val="left"/>
      <w:pPr>
        <w:ind w:left="882" w:hanging="562"/>
      </w:pPr>
      <w:rPr>
        <w:rFonts w:ascii="Symbol" w:eastAsia="Symbol" w:hAnsi="Symbol" w:cs="Symbol" w:hint="default"/>
        <w:w w:val="100"/>
        <w:sz w:val="22"/>
        <w:szCs w:val="22"/>
        <w:lang w:val="sk" w:eastAsia="sk" w:bidi="sk"/>
      </w:rPr>
    </w:lvl>
    <w:lvl w:ilvl="1" w:tplc="70F4B55C">
      <w:numFmt w:val="bullet"/>
      <w:lvlText w:val="•"/>
      <w:lvlJc w:val="left"/>
      <w:pPr>
        <w:ind w:left="1752" w:hanging="562"/>
      </w:pPr>
      <w:rPr>
        <w:rFonts w:hint="default"/>
        <w:lang w:val="sk" w:eastAsia="sk" w:bidi="sk"/>
      </w:rPr>
    </w:lvl>
    <w:lvl w:ilvl="2" w:tplc="F8AC9E0E">
      <w:numFmt w:val="bullet"/>
      <w:lvlText w:val="•"/>
      <w:lvlJc w:val="left"/>
      <w:pPr>
        <w:ind w:left="2625" w:hanging="562"/>
      </w:pPr>
      <w:rPr>
        <w:rFonts w:hint="default"/>
        <w:lang w:val="sk" w:eastAsia="sk" w:bidi="sk"/>
      </w:rPr>
    </w:lvl>
    <w:lvl w:ilvl="3" w:tplc="2B7CA0DA">
      <w:numFmt w:val="bullet"/>
      <w:lvlText w:val="•"/>
      <w:lvlJc w:val="left"/>
      <w:pPr>
        <w:ind w:left="3497" w:hanging="562"/>
      </w:pPr>
      <w:rPr>
        <w:rFonts w:hint="default"/>
        <w:lang w:val="sk" w:eastAsia="sk" w:bidi="sk"/>
      </w:rPr>
    </w:lvl>
    <w:lvl w:ilvl="4" w:tplc="435C9662">
      <w:numFmt w:val="bullet"/>
      <w:lvlText w:val="•"/>
      <w:lvlJc w:val="left"/>
      <w:pPr>
        <w:ind w:left="4370" w:hanging="562"/>
      </w:pPr>
      <w:rPr>
        <w:rFonts w:hint="default"/>
        <w:lang w:val="sk" w:eastAsia="sk" w:bidi="sk"/>
      </w:rPr>
    </w:lvl>
    <w:lvl w:ilvl="5" w:tplc="CFDA9C04">
      <w:numFmt w:val="bullet"/>
      <w:lvlText w:val="•"/>
      <w:lvlJc w:val="left"/>
      <w:pPr>
        <w:ind w:left="5243" w:hanging="562"/>
      </w:pPr>
      <w:rPr>
        <w:rFonts w:hint="default"/>
        <w:lang w:val="sk" w:eastAsia="sk" w:bidi="sk"/>
      </w:rPr>
    </w:lvl>
    <w:lvl w:ilvl="6" w:tplc="F6CC9758">
      <w:numFmt w:val="bullet"/>
      <w:lvlText w:val="•"/>
      <w:lvlJc w:val="left"/>
      <w:pPr>
        <w:ind w:left="6115" w:hanging="562"/>
      </w:pPr>
      <w:rPr>
        <w:rFonts w:hint="default"/>
        <w:lang w:val="sk" w:eastAsia="sk" w:bidi="sk"/>
      </w:rPr>
    </w:lvl>
    <w:lvl w:ilvl="7" w:tplc="A05422D6">
      <w:numFmt w:val="bullet"/>
      <w:lvlText w:val="•"/>
      <w:lvlJc w:val="left"/>
      <w:pPr>
        <w:ind w:left="6988" w:hanging="562"/>
      </w:pPr>
      <w:rPr>
        <w:rFonts w:hint="default"/>
        <w:lang w:val="sk" w:eastAsia="sk" w:bidi="sk"/>
      </w:rPr>
    </w:lvl>
    <w:lvl w:ilvl="8" w:tplc="E1B097A0">
      <w:numFmt w:val="bullet"/>
      <w:lvlText w:val="•"/>
      <w:lvlJc w:val="left"/>
      <w:pPr>
        <w:ind w:left="7861" w:hanging="562"/>
      </w:pPr>
      <w:rPr>
        <w:rFonts w:hint="default"/>
        <w:lang w:val="sk" w:eastAsia="sk" w:bidi="sk"/>
      </w:rPr>
    </w:lvl>
  </w:abstractNum>
  <w:abstractNum w:abstractNumId="4" w15:restartNumberingAfterBreak="0">
    <w:nsid w:val="34F559A7"/>
    <w:multiLevelType w:val="hybridMultilevel"/>
    <w:tmpl w:val="506A6CF6"/>
    <w:lvl w:ilvl="0" w:tplc="7ADA8BD0">
      <w:start w:val="1"/>
      <w:numFmt w:val="upperLetter"/>
      <w:lvlText w:val="%1."/>
      <w:lvlJc w:val="left"/>
      <w:pPr>
        <w:ind w:left="315" w:hanging="567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sk" w:eastAsia="sk" w:bidi="sk"/>
      </w:rPr>
    </w:lvl>
    <w:lvl w:ilvl="1" w:tplc="30CE9AA6">
      <w:numFmt w:val="bullet"/>
      <w:lvlText w:val=""/>
      <w:lvlJc w:val="left"/>
      <w:pPr>
        <w:ind w:left="1035" w:hanging="361"/>
      </w:pPr>
      <w:rPr>
        <w:rFonts w:ascii="Symbol" w:eastAsia="Symbol" w:hAnsi="Symbol" w:cs="Symbol" w:hint="default"/>
        <w:w w:val="100"/>
        <w:sz w:val="22"/>
        <w:szCs w:val="22"/>
        <w:lang w:val="sk" w:eastAsia="sk" w:bidi="sk"/>
      </w:rPr>
    </w:lvl>
    <w:lvl w:ilvl="2" w:tplc="7AAA61DE">
      <w:numFmt w:val="bullet"/>
      <w:lvlText w:val="•"/>
      <w:lvlJc w:val="left"/>
      <w:pPr>
        <w:ind w:left="1991" w:hanging="361"/>
      </w:pPr>
      <w:rPr>
        <w:rFonts w:hint="default"/>
        <w:lang w:val="sk" w:eastAsia="sk" w:bidi="sk"/>
      </w:rPr>
    </w:lvl>
    <w:lvl w:ilvl="3" w:tplc="0FB60C32">
      <w:numFmt w:val="bullet"/>
      <w:lvlText w:val="•"/>
      <w:lvlJc w:val="left"/>
      <w:pPr>
        <w:ind w:left="2943" w:hanging="361"/>
      </w:pPr>
      <w:rPr>
        <w:rFonts w:hint="default"/>
        <w:lang w:val="sk" w:eastAsia="sk" w:bidi="sk"/>
      </w:rPr>
    </w:lvl>
    <w:lvl w:ilvl="4" w:tplc="184C9BC6">
      <w:numFmt w:val="bullet"/>
      <w:lvlText w:val="•"/>
      <w:lvlJc w:val="left"/>
      <w:pPr>
        <w:ind w:left="3895" w:hanging="361"/>
      </w:pPr>
      <w:rPr>
        <w:rFonts w:hint="default"/>
        <w:lang w:val="sk" w:eastAsia="sk" w:bidi="sk"/>
      </w:rPr>
    </w:lvl>
    <w:lvl w:ilvl="5" w:tplc="A3FCAAB8">
      <w:numFmt w:val="bullet"/>
      <w:lvlText w:val="•"/>
      <w:lvlJc w:val="left"/>
      <w:pPr>
        <w:ind w:left="4847" w:hanging="361"/>
      </w:pPr>
      <w:rPr>
        <w:rFonts w:hint="default"/>
        <w:lang w:val="sk" w:eastAsia="sk" w:bidi="sk"/>
      </w:rPr>
    </w:lvl>
    <w:lvl w:ilvl="6" w:tplc="E6BEB97A">
      <w:numFmt w:val="bullet"/>
      <w:lvlText w:val="•"/>
      <w:lvlJc w:val="left"/>
      <w:pPr>
        <w:ind w:left="5799" w:hanging="361"/>
      </w:pPr>
      <w:rPr>
        <w:rFonts w:hint="default"/>
        <w:lang w:val="sk" w:eastAsia="sk" w:bidi="sk"/>
      </w:rPr>
    </w:lvl>
    <w:lvl w:ilvl="7" w:tplc="EC9CABB2">
      <w:numFmt w:val="bullet"/>
      <w:lvlText w:val="•"/>
      <w:lvlJc w:val="left"/>
      <w:pPr>
        <w:ind w:left="6750" w:hanging="361"/>
      </w:pPr>
      <w:rPr>
        <w:rFonts w:hint="default"/>
        <w:lang w:val="sk" w:eastAsia="sk" w:bidi="sk"/>
      </w:rPr>
    </w:lvl>
    <w:lvl w:ilvl="8" w:tplc="678CCF5C">
      <w:numFmt w:val="bullet"/>
      <w:lvlText w:val="•"/>
      <w:lvlJc w:val="left"/>
      <w:pPr>
        <w:ind w:left="7702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3E9E048B"/>
    <w:multiLevelType w:val="hybridMultilevel"/>
    <w:tmpl w:val="FF0C108E"/>
    <w:lvl w:ilvl="0" w:tplc="6A781ED6">
      <w:start w:val="1"/>
      <w:numFmt w:val="decimal"/>
      <w:lvlText w:val="%1."/>
      <w:lvlJc w:val="left"/>
      <w:pPr>
        <w:ind w:left="31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" w:eastAsia="sk" w:bidi="sk"/>
      </w:rPr>
    </w:lvl>
    <w:lvl w:ilvl="1" w:tplc="38441B24">
      <w:numFmt w:val="bullet"/>
      <w:lvlText w:val="•"/>
      <w:lvlJc w:val="left"/>
      <w:pPr>
        <w:ind w:left="1248" w:hanging="567"/>
      </w:pPr>
      <w:rPr>
        <w:rFonts w:hint="default"/>
        <w:lang w:val="sk" w:eastAsia="sk" w:bidi="sk"/>
      </w:rPr>
    </w:lvl>
    <w:lvl w:ilvl="2" w:tplc="81CC11FC">
      <w:numFmt w:val="bullet"/>
      <w:lvlText w:val="•"/>
      <w:lvlJc w:val="left"/>
      <w:pPr>
        <w:ind w:left="2177" w:hanging="567"/>
      </w:pPr>
      <w:rPr>
        <w:rFonts w:hint="default"/>
        <w:lang w:val="sk" w:eastAsia="sk" w:bidi="sk"/>
      </w:rPr>
    </w:lvl>
    <w:lvl w:ilvl="3" w:tplc="4BA2D892">
      <w:numFmt w:val="bullet"/>
      <w:lvlText w:val="•"/>
      <w:lvlJc w:val="left"/>
      <w:pPr>
        <w:ind w:left="3105" w:hanging="567"/>
      </w:pPr>
      <w:rPr>
        <w:rFonts w:hint="default"/>
        <w:lang w:val="sk" w:eastAsia="sk" w:bidi="sk"/>
      </w:rPr>
    </w:lvl>
    <w:lvl w:ilvl="4" w:tplc="D0E698C4">
      <w:numFmt w:val="bullet"/>
      <w:lvlText w:val="•"/>
      <w:lvlJc w:val="left"/>
      <w:pPr>
        <w:ind w:left="4034" w:hanging="567"/>
      </w:pPr>
      <w:rPr>
        <w:rFonts w:hint="default"/>
        <w:lang w:val="sk" w:eastAsia="sk" w:bidi="sk"/>
      </w:rPr>
    </w:lvl>
    <w:lvl w:ilvl="5" w:tplc="35B6F36E">
      <w:numFmt w:val="bullet"/>
      <w:lvlText w:val="•"/>
      <w:lvlJc w:val="left"/>
      <w:pPr>
        <w:ind w:left="4963" w:hanging="567"/>
      </w:pPr>
      <w:rPr>
        <w:rFonts w:hint="default"/>
        <w:lang w:val="sk" w:eastAsia="sk" w:bidi="sk"/>
      </w:rPr>
    </w:lvl>
    <w:lvl w:ilvl="6" w:tplc="84726964">
      <w:numFmt w:val="bullet"/>
      <w:lvlText w:val="•"/>
      <w:lvlJc w:val="left"/>
      <w:pPr>
        <w:ind w:left="5891" w:hanging="567"/>
      </w:pPr>
      <w:rPr>
        <w:rFonts w:hint="default"/>
        <w:lang w:val="sk" w:eastAsia="sk" w:bidi="sk"/>
      </w:rPr>
    </w:lvl>
    <w:lvl w:ilvl="7" w:tplc="82A68E36">
      <w:numFmt w:val="bullet"/>
      <w:lvlText w:val="•"/>
      <w:lvlJc w:val="left"/>
      <w:pPr>
        <w:ind w:left="6820" w:hanging="567"/>
      </w:pPr>
      <w:rPr>
        <w:rFonts w:hint="default"/>
        <w:lang w:val="sk" w:eastAsia="sk" w:bidi="sk"/>
      </w:rPr>
    </w:lvl>
    <w:lvl w:ilvl="8" w:tplc="3B4898FE">
      <w:numFmt w:val="bullet"/>
      <w:lvlText w:val="•"/>
      <w:lvlJc w:val="left"/>
      <w:pPr>
        <w:ind w:left="7749" w:hanging="567"/>
      </w:pPr>
      <w:rPr>
        <w:rFonts w:hint="default"/>
        <w:lang w:val="sk" w:eastAsia="sk" w:bidi="sk"/>
      </w:rPr>
    </w:lvl>
  </w:abstractNum>
  <w:abstractNum w:abstractNumId="6" w15:restartNumberingAfterBreak="0">
    <w:nsid w:val="5A1112B9"/>
    <w:multiLevelType w:val="hybridMultilevel"/>
    <w:tmpl w:val="0A48E0A6"/>
    <w:lvl w:ilvl="0" w:tplc="F5207C98">
      <w:start w:val="1"/>
      <w:numFmt w:val="upperLetter"/>
      <w:lvlText w:val="%1."/>
      <w:lvlJc w:val="left"/>
      <w:pPr>
        <w:ind w:left="2017" w:hanging="56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sk" w:eastAsia="sk" w:bidi="sk"/>
      </w:rPr>
    </w:lvl>
    <w:lvl w:ilvl="1" w:tplc="545220AA">
      <w:numFmt w:val="bullet"/>
      <w:lvlText w:val="•"/>
      <w:lvlJc w:val="left"/>
      <w:pPr>
        <w:ind w:left="2778" w:hanging="569"/>
      </w:pPr>
      <w:rPr>
        <w:rFonts w:hint="default"/>
        <w:lang w:val="sk" w:eastAsia="sk" w:bidi="sk"/>
      </w:rPr>
    </w:lvl>
    <w:lvl w:ilvl="2" w:tplc="5C2C7CD4">
      <w:numFmt w:val="bullet"/>
      <w:lvlText w:val="•"/>
      <w:lvlJc w:val="left"/>
      <w:pPr>
        <w:ind w:left="3537" w:hanging="569"/>
      </w:pPr>
      <w:rPr>
        <w:rFonts w:hint="default"/>
        <w:lang w:val="sk" w:eastAsia="sk" w:bidi="sk"/>
      </w:rPr>
    </w:lvl>
    <w:lvl w:ilvl="3" w:tplc="75CC9B4C">
      <w:numFmt w:val="bullet"/>
      <w:lvlText w:val="•"/>
      <w:lvlJc w:val="left"/>
      <w:pPr>
        <w:ind w:left="4295" w:hanging="569"/>
      </w:pPr>
      <w:rPr>
        <w:rFonts w:hint="default"/>
        <w:lang w:val="sk" w:eastAsia="sk" w:bidi="sk"/>
      </w:rPr>
    </w:lvl>
    <w:lvl w:ilvl="4" w:tplc="2932E650">
      <w:numFmt w:val="bullet"/>
      <w:lvlText w:val="•"/>
      <w:lvlJc w:val="left"/>
      <w:pPr>
        <w:ind w:left="5054" w:hanging="569"/>
      </w:pPr>
      <w:rPr>
        <w:rFonts w:hint="default"/>
        <w:lang w:val="sk" w:eastAsia="sk" w:bidi="sk"/>
      </w:rPr>
    </w:lvl>
    <w:lvl w:ilvl="5" w:tplc="35544F80">
      <w:numFmt w:val="bullet"/>
      <w:lvlText w:val="•"/>
      <w:lvlJc w:val="left"/>
      <w:pPr>
        <w:ind w:left="5813" w:hanging="569"/>
      </w:pPr>
      <w:rPr>
        <w:rFonts w:hint="default"/>
        <w:lang w:val="sk" w:eastAsia="sk" w:bidi="sk"/>
      </w:rPr>
    </w:lvl>
    <w:lvl w:ilvl="6" w:tplc="68AAAF26">
      <w:numFmt w:val="bullet"/>
      <w:lvlText w:val="•"/>
      <w:lvlJc w:val="left"/>
      <w:pPr>
        <w:ind w:left="6571" w:hanging="569"/>
      </w:pPr>
      <w:rPr>
        <w:rFonts w:hint="default"/>
        <w:lang w:val="sk" w:eastAsia="sk" w:bidi="sk"/>
      </w:rPr>
    </w:lvl>
    <w:lvl w:ilvl="7" w:tplc="DFE86E4C">
      <w:numFmt w:val="bullet"/>
      <w:lvlText w:val="•"/>
      <w:lvlJc w:val="left"/>
      <w:pPr>
        <w:ind w:left="7330" w:hanging="569"/>
      </w:pPr>
      <w:rPr>
        <w:rFonts w:hint="default"/>
        <w:lang w:val="sk" w:eastAsia="sk" w:bidi="sk"/>
      </w:rPr>
    </w:lvl>
    <w:lvl w:ilvl="8" w:tplc="DEBEDD48">
      <w:numFmt w:val="bullet"/>
      <w:lvlText w:val="•"/>
      <w:lvlJc w:val="left"/>
      <w:pPr>
        <w:ind w:left="8089" w:hanging="569"/>
      </w:pPr>
      <w:rPr>
        <w:rFonts w:hint="default"/>
        <w:lang w:val="sk" w:eastAsia="sk" w:bidi="sk"/>
      </w:rPr>
    </w:lvl>
  </w:abstractNum>
  <w:abstractNum w:abstractNumId="7" w15:restartNumberingAfterBreak="0">
    <w:nsid w:val="63335DF2"/>
    <w:multiLevelType w:val="hybridMultilevel"/>
    <w:tmpl w:val="910E4E0A"/>
    <w:lvl w:ilvl="0" w:tplc="586A547E">
      <w:start w:val="1"/>
      <w:numFmt w:val="decimal"/>
      <w:lvlText w:val="(%1)"/>
      <w:lvlJc w:val="left"/>
      <w:pPr>
        <w:ind w:left="315" w:hanging="3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1" w:tplc="00E46DC0">
      <w:numFmt w:val="bullet"/>
      <w:lvlText w:val="•"/>
      <w:lvlJc w:val="left"/>
      <w:pPr>
        <w:ind w:left="1248" w:hanging="315"/>
      </w:pPr>
      <w:rPr>
        <w:rFonts w:hint="default"/>
        <w:lang w:val="sk" w:eastAsia="sk" w:bidi="sk"/>
      </w:rPr>
    </w:lvl>
    <w:lvl w:ilvl="2" w:tplc="D4847AAC">
      <w:numFmt w:val="bullet"/>
      <w:lvlText w:val="•"/>
      <w:lvlJc w:val="left"/>
      <w:pPr>
        <w:ind w:left="2177" w:hanging="315"/>
      </w:pPr>
      <w:rPr>
        <w:rFonts w:hint="default"/>
        <w:lang w:val="sk" w:eastAsia="sk" w:bidi="sk"/>
      </w:rPr>
    </w:lvl>
    <w:lvl w:ilvl="3" w:tplc="A95E1548">
      <w:numFmt w:val="bullet"/>
      <w:lvlText w:val="•"/>
      <w:lvlJc w:val="left"/>
      <w:pPr>
        <w:ind w:left="3105" w:hanging="315"/>
      </w:pPr>
      <w:rPr>
        <w:rFonts w:hint="default"/>
        <w:lang w:val="sk" w:eastAsia="sk" w:bidi="sk"/>
      </w:rPr>
    </w:lvl>
    <w:lvl w:ilvl="4" w:tplc="DE645C44">
      <w:numFmt w:val="bullet"/>
      <w:lvlText w:val="•"/>
      <w:lvlJc w:val="left"/>
      <w:pPr>
        <w:ind w:left="4034" w:hanging="315"/>
      </w:pPr>
      <w:rPr>
        <w:rFonts w:hint="default"/>
        <w:lang w:val="sk" w:eastAsia="sk" w:bidi="sk"/>
      </w:rPr>
    </w:lvl>
    <w:lvl w:ilvl="5" w:tplc="1E46C906">
      <w:numFmt w:val="bullet"/>
      <w:lvlText w:val="•"/>
      <w:lvlJc w:val="left"/>
      <w:pPr>
        <w:ind w:left="4963" w:hanging="315"/>
      </w:pPr>
      <w:rPr>
        <w:rFonts w:hint="default"/>
        <w:lang w:val="sk" w:eastAsia="sk" w:bidi="sk"/>
      </w:rPr>
    </w:lvl>
    <w:lvl w:ilvl="6" w:tplc="8EF4CB9A">
      <w:numFmt w:val="bullet"/>
      <w:lvlText w:val="•"/>
      <w:lvlJc w:val="left"/>
      <w:pPr>
        <w:ind w:left="5891" w:hanging="315"/>
      </w:pPr>
      <w:rPr>
        <w:rFonts w:hint="default"/>
        <w:lang w:val="sk" w:eastAsia="sk" w:bidi="sk"/>
      </w:rPr>
    </w:lvl>
    <w:lvl w:ilvl="7" w:tplc="705CEC24">
      <w:numFmt w:val="bullet"/>
      <w:lvlText w:val="•"/>
      <w:lvlJc w:val="left"/>
      <w:pPr>
        <w:ind w:left="6820" w:hanging="315"/>
      </w:pPr>
      <w:rPr>
        <w:rFonts w:hint="default"/>
        <w:lang w:val="sk" w:eastAsia="sk" w:bidi="sk"/>
      </w:rPr>
    </w:lvl>
    <w:lvl w:ilvl="8" w:tplc="B23EAC66">
      <w:numFmt w:val="bullet"/>
      <w:lvlText w:val="•"/>
      <w:lvlJc w:val="left"/>
      <w:pPr>
        <w:ind w:left="7749" w:hanging="315"/>
      </w:pPr>
      <w:rPr>
        <w:rFonts w:hint="default"/>
        <w:lang w:val="sk" w:eastAsia="sk" w:bidi="sk"/>
      </w:rPr>
    </w:lvl>
  </w:abstractNum>
  <w:abstractNum w:abstractNumId="8" w15:restartNumberingAfterBreak="0">
    <w:nsid w:val="647B0FE0"/>
    <w:multiLevelType w:val="hybridMultilevel"/>
    <w:tmpl w:val="7DE05C24"/>
    <w:lvl w:ilvl="0" w:tplc="2492685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E149C"/>
    <w:multiLevelType w:val="hybridMultilevel"/>
    <w:tmpl w:val="AA749D10"/>
    <w:lvl w:ilvl="0" w:tplc="DEDC59FE">
      <w:start w:val="1"/>
      <w:numFmt w:val="decimal"/>
      <w:lvlText w:val="%1."/>
      <w:lvlJc w:val="left"/>
      <w:pPr>
        <w:ind w:left="881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1" w:tplc="DFCAE4A4">
      <w:numFmt w:val="bullet"/>
      <w:lvlText w:val="•"/>
      <w:lvlJc w:val="left"/>
      <w:pPr>
        <w:ind w:left="1752" w:hanging="567"/>
      </w:pPr>
      <w:rPr>
        <w:rFonts w:hint="default"/>
        <w:lang w:val="sk" w:eastAsia="sk" w:bidi="sk"/>
      </w:rPr>
    </w:lvl>
    <w:lvl w:ilvl="2" w:tplc="FF6442CA">
      <w:numFmt w:val="bullet"/>
      <w:lvlText w:val="•"/>
      <w:lvlJc w:val="left"/>
      <w:pPr>
        <w:ind w:left="2625" w:hanging="567"/>
      </w:pPr>
      <w:rPr>
        <w:rFonts w:hint="default"/>
        <w:lang w:val="sk" w:eastAsia="sk" w:bidi="sk"/>
      </w:rPr>
    </w:lvl>
    <w:lvl w:ilvl="3" w:tplc="CC22EB70">
      <w:numFmt w:val="bullet"/>
      <w:lvlText w:val="•"/>
      <w:lvlJc w:val="left"/>
      <w:pPr>
        <w:ind w:left="3497" w:hanging="567"/>
      </w:pPr>
      <w:rPr>
        <w:rFonts w:hint="default"/>
        <w:lang w:val="sk" w:eastAsia="sk" w:bidi="sk"/>
      </w:rPr>
    </w:lvl>
    <w:lvl w:ilvl="4" w:tplc="DFFC530E">
      <w:numFmt w:val="bullet"/>
      <w:lvlText w:val="•"/>
      <w:lvlJc w:val="left"/>
      <w:pPr>
        <w:ind w:left="4370" w:hanging="567"/>
      </w:pPr>
      <w:rPr>
        <w:rFonts w:hint="default"/>
        <w:lang w:val="sk" w:eastAsia="sk" w:bidi="sk"/>
      </w:rPr>
    </w:lvl>
    <w:lvl w:ilvl="5" w:tplc="AC746B40">
      <w:numFmt w:val="bullet"/>
      <w:lvlText w:val="•"/>
      <w:lvlJc w:val="left"/>
      <w:pPr>
        <w:ind w:left="5243" w:hanging="567"/>
      </w:pPr>
      <w:rPr>
        <w:rFonts w:hint="default"/>
        <w:lang w:val="sk" w:eastAsia="sk" w:bidi="sk"/>
      </w:rPr>
    </w:lvl>
    <w:lvl w:ilvl="6" w:tplc="DD9A03D2">
      <w:numFmt w:val="bullet"/>
      <w:lvlText w:val="•"/>
      <w:lvlJc w:val="left"/>
      <w:pPr>
        <w:ind w:left="6115" w:hanging="567"/>
      </w:pPr>
      <w:rPr>
        <w:rFonts w:hint="default"/>
        <w:lang w:val="sk" w:eastAsia="sk" w:bidi="sk"/>
      </w:rPr>
    </w:lvl>
    <w:lvl w:ilvl="7" w:tplc="0A8CF4BC">
      <w:numFmt w:val="bullet"/>
      <w:lvlText w:val="•"/>
      <w:lvlJc w:val="left"/>
      <w:pPr>
        <w:ind w:left="6988" w:hanging="567"/>
      </w:pPr>
      <w:rPr>
        <w:rFonts w:hint="default"/>
        <w:lang w:val="sk" w:eastAsia="sk" w:bidi="sk"/>
      </w:rPr>
    </w:lvl>
    <w:lvl w:ilvl="8" w:tplc="6D64F450">
      <w:numFmt w:val="bullet"/>
      <w:lvlText w:val="•"/>
      <w:lvlJc w:val="left"/>
      <w:pPr>
        <w:ind w:left="7861" w:hanging="567"/>
      </w:pPr>
      <w:rPr>
        <w:rFonts w:hint="default"/>
        <w:lang w:val="sk" w:eastAsia="sk" w:bidi="sk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2A3"/>
    <w:rsid w:val="000419E2"/>
    <w:rsid w:val="00045C20"/>
    <w:rsid w:val="00080213"/>
    <w:rsid w:val="00145068"/>
    <w:rsid w:val="001A79EE"/>
    <w:rsid w:val="001F29F1"/>
    <w:rsid w:val="00216219"/>
    <w:rsid w:val="00263410"/>
    <w:rsid w:val="00266F75"/>
    <w:rsid w:val="002830F2"/>
    <w:rsid w:val="002D1297"/>
    <w:rsid w:val="003704FD"/>
    <w:rsid w:val="003B26B8"/>
    <w:rsid w:val="00411110"/>
    <w:rsid w:val="00424FF2"/>
    <w:rsid w:val="004422A3"/>
    <w:rsid w:val="004428BA"/>
    <w:rsid w:val="00446254"/>
    <w:rsid w:val="004A66C8"/>
    <w:rsid w:val="00540574"/>
    <w:rsid w:val="005468BD"/>
    <w:rsid w:val="00551C99"/>
    <w:rsid w:val="005A42C9"/>
    <w:rsid w:val="005E7EC8"/>
    <w:rsid w:val="005F0BBE"/>
    <w:rsid w:val="00612DF7"/>
    <w:rsid w:val="006B6E29"/>
    <w:rsid w:val="006B7E52"/>
    <w:rsid w:val="006C2836"/>
    <w:rsid w:val="006C2BD7"/>
    <w:rsid w:val="00751269"/>
    <w:rsid w:val="00794047"/>
    <w:rsid w:val="007A58F5"/>
    <w:rsid w:val="007D2AFA"/>
    <w:rsid w:val="007E5DEF"/>
    <w:rsid w:val="00802A9E"/>
    <w:rsid w:val="00894CA2"/>
    <w:rsid w:val="008C768F"/>
    <w:rsid w:val="008D79AF"/>
    <w:rsid w:val="00941CC5"/>
    <w:rsid w:val="00944B72"/>
    <w:rsid w:val="00987E77"/>
    <w:rsid w:val="00A254E7"/>
    <w:rsid w:val="00A34251"/>
    <w:rsid w:val="00A52DA5"/>
    <w:rsid w:val="00A71A59"/>
    <w:rsid w:val="00A96F10"/>
    <w:rsid w:val="00B11251"/>
    <w:rsid w:val="00B22BAD"/>
    <w:rsid w:val="00B54945"/>
    <w:rsid w:val="00B87E37"/>
    <w:rsid w:val="00B92138"/>
    <w:rsid w:val="00BC19D7"/>
    <w:rsid w:val="00BF0CBB"/>
    <w:rsid w:val="00C12CEC"/>
    <w:rsid w:val="00C75371"/>
    <w:rsid w:val="00CD6612"/>
    <w:rsid w:val="00CD7697"/>
    <w:rsid w:val="00CF7044"/>
    <w:rsid w:val="00D93FA1"/>
    <w:rsid w:val="00DF4097"/>
    <w:rsid w:val="00E176F8"/>
    <w:rsid w:val="00E616E8"/>
    <w:rsid w:val="00E6282F"/>
    <w:rsid w:val="00E83EFA"/>
    <w:rsid w:val="00E87CF8"/>
    <w:rsid w:val="00EB5F64"/>
    <w:rsid w:val="00F45840"/>
    <w:rsid w:val="00FD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947BA"/>
  <w15:docId w15:val="{63489331-D20C-4DC5-84F9-A477AD8F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ind w:left="103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34"/>
    <w:qFormat/>
    <w:pPr>
      <w:ind w:left="882" w:hanging="566"/>
    </w:pPr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512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de-AT" w:eastAsia="de-AT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51269"/>
    <w:rPr>
      <w:rFonts w:ascii="Courier New" w:eastAsia="Times New Roman" w:hAnsi="Courier New" w:cs="Courier New"/>
      <w:sz w:val="20"/>
      <w:szCs w:val="20"/>
      <w:lang w:val="de-AT" w:eastAsia="de-AT"/>
    </w:rPr>
  </w:style>
  <w:style w:type="character" w:styleId="Hypertextovprepojenie">
    <w:name w:val="Hyperlink"/>
    <w:basedOn w:val="Predvolenpsmoodseku"/>
    <w:uiPriority w:val="99"/>
    <w:unhideWhenUsed/>
    <w:rsid w:val="00B11251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11251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A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A59"/>
    <w:rPr>
      <w:rFonts w:ascii="Segoe UI" w:eastAsia="Times New Roman" w:hAnsi="Segoe UI" w:cs="Segoe UI"/>
      <w:sz w:val="18"/>
      <w:szCs w:val="18"/>
      <w:lang w:val="sk" w:eastAsia="sk"/>
    </w:rPr>
  </w:style>
  <w:style w:type="character" w:styleId="Odkaznakomentr">
    <w:name w:val="annotation reference"/>
    <w:basedOn w:val="Predvolenpsmoodseku"/>
    <w:uiPriority w:val="99"/>
    <w:semiHidden/>
    <w:unhideWhenUsed/>
    <w:rsid w:val="00A71A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71A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71A59"/>
    <w:rPr>
      <w:rFonts w:ascii="Times New Roman" w:eastAsia="Times New Roman" w:hAnsi="Times New Roman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1A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1A59"/>
    <w:rPr>
      <w:rFonts w:ascii="Times New Roman" w:eastAsia="Times New Roman" w:hAnsi="Times New Roman" w:cs="Times New Roman"/>
      <w:b/>
      <w:bCs/>
      <w:sz w:val="20"/>
      <w:szCs w:val="20"/>
      <w:lang w:val="sk" w:eastAsia="sk"/>
    </w:rPr>
  </w:style>
  <w:style w:type="paragraph" w:styleId="Hlavika">
    <w:name w:val="header"/>
    <w:basedOn w:val="Normlny"/>
    <w:link w:val="HlavikaChar"/>
    <w:uiPriority w:val="99"/>
    <w:unhideWhenUsed/>
    <w:rsid w:val="005405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574"/>
    <w:rPr>
      <w:rFonts w:ascii="Times New Roman" w:eastAsia="Times New Roman" w:hAnsi="Times New Roman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5405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574"/>
    <w:rPr>
      <w:rFonts w:ascii="Times New Roman" w:eastAsia="Times New Roman" w:hAnsi="Times New Roman" w:cs="Times New Roman"/>
      <w:lang w:val="sk" w:eastAsia="sk"/>
    </w:rPr>
  </w:style>
  <w:style w:type="paragraph" w:styleId="Revzia">
    <w:name w:val="Revision"/>
    <w:hidden/>
    <w:uiPriority w:val="99"/>
    <w:semiHidden/>
    <w:rsid w:val="002D1297"/>
    <w:pPr>
      <w:widowControl/>
      <w:autoSpaceDE/>
      <w:autoSpaceDN/>
    </w:pPr>
    <w:rPr>
      <w:rFonts w:ascii="Times New Roman" w:eastAsia="Times New Roman" w:hAnsi="Times New Roman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0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1B59BDFFE09644A7FBB5CDA3444A25" ma:contentTypeVersion="2" ma:contentTypeDescription="Ein neues Dokument erstellen." ma:contentTypeScope="" ma:versionID="6b723fe9bba23cdc4e0e0c3af448a708">
  <xsd:schema xmlns:xsd="http://www.w3.org/2001/XMLSchema" xmlns:xs="http://www.w3.org/2001/XMLSchema" xmlns:p="http://schemas.microsoft.com/office/2006/metadata/properties" xmlns:ns2="f20ff360-8632-4073-a9f8-45f9d5680a2c" targetNamespace="http://schemas.microsoft.com/office/2006/metadata/properties" ma:root="true" ma:fieldsID="609b1fc78a48cd4b2171b00947f0f4ed" ns2:_="">
    <xsd:import namespace="f20ff360-8632-4073-a9f8-45f9d5680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ff360-8632-4073-a9f8-45f9d5680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EF299-EA96-4605-BF30-27609D0D1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2B976-3A31-488A-847D-B1EA988993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44FD73-16F0-4C05-A703-566855376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ff360-8632-4073-a9f8-45f9d5680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5378</Words>
  <Characters>30656</Characters>
  <Application>Microsoft Office Word</Application>
  <DocSecurity>0</DocSecurity>
  <Lines>255</Lines>
  <Paragraphs>71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ADCIRCA, INN-tadalafil</vt:lpstr>
      <vt:lpstr>ADCIRCA, INN-tadalafil</vt:lpstr>
    </vt:vector>
  </TitlesOfParts>
  <Company/>
  <LinksUpToDate>false</LinksUpToDate>
  <CharactersWithSpaces>35963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ADCIRCA, INN-tadalafil</dc:title>
  <dc:subject>EPAR</dc:subject>
  <dc:creator>CHMP</dc:creator>
  <cp:keywords>ADCIRCA, INN-tadalafil</cp:keywords>
  <cp:lastModifiedBy>Petriková, Miroslava</cp:lastModifiedBy>
  <cp:revision>47</cp:revision>
  <cp:lastPrinted>2019-02-21T09:58:00Z</cp:lastPrinted>
  <dcterms:created xsi:type="dcterms:W3CDTF">2018-05-07T14:02:00Z</dcterms:created>
  <dcterms:modified xsi:type="dcterms:W3CDTF">2019-02-22T14:30:00Z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2018-02-01T00:00:00Z</vt:filetime>
  </property>
  <property fmtid="{D5CDD505-2E9C-101B-9397-08002B2CF9AE}" pid="5" name="ContentTypeId">
    <vt:lpwstr>0x0101001D1B59BDFFE09644A7FBB5CDA3444A25</vt:lpwstr>
  </property>
</Properties>
</file>