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579B2" w14:textId="77777777" w:rsidR="00140CF8" w:rsidRPr="00BA0AF9" w:rsidRDefault="00140CF8">
      <w:pPr>
        <w:rPr>
          <w:b/>
          <w:caps/>
          <w:sz w:val="22"/>
          <w:szCs w:val="22"/>
        </w:rPr>
      </w:pPr>
    </w:p>
    <w:p w14:paraId="3D5A664D" w14:textId="77777777" w:rsidR="00492629" w:rsidRPr="00BA0AF9" w:rsidRDefault="00492629" w:rsidP="00492629">
      <w:pPr>
        <w:jc w:val="center"/>
        <w:outlineLvl w:val="0"/>
        <w:rPr>
          <w:b/>
          <w:caps/>
          <w:sz w:val="22"/>
          <w:szCs w:val="22"/>
        </w:rPr>
      </w:pPr>
      <w:r w:rsidRPr="00BA0AF9">
        <w:rPr>
          <w:b/>
          <w:caps/>
          <w:sz w:val="22"/>
          <w:szCs w:val="22"/>
        </w:rPr>
        <w:t>Súhrn charakteristických vlastností lieku</w:t>
      </w:r>
    </w:p>
    <w:p w14:paraId="50135A22" w14:textId="77777777" w:rsidR="00140CF8" w:rsidRPr="00BA0AF9" w:rsidRDefault="00140CF8">
      <w:pPr>
        <w:spacing w:line="260" w:lineRule="exact"/>
        <w:jc w:val="center"/>
        <w:rPr>
          <w:b/>
          <w:caps/>
          <w:sz w:val="22"/>
          <w:szCs w:val="22"/>
        </w:rPr>
      </w:pPr>
    </w:p>
    <w:p w14:paraId="1175B31B" w14:textId="77777777" w:rsidR="00140CF8" w:rsidRPr="00BA0AF9" w:rsidRDefault="00140CF8">
      <w:pPr>
        <w:rPr>
          <w:sz w:val="22"/>
          <w:szCs w:val="22"/>
        </w:rPr>
      </w:pPr>
    </w:p>
    <w:p w14:paraId="6B64C3BC" w14:textId="77777777" w:rsidR="00140CF8" w:rsidRPr="00BA0AF9" w:rsidRDefault="00140CF8">
      <w:pPr>
        <w:spacing w:line="260" w:lineRule="exact"/>
        <w:ind w:left="567" w:hanging="567"/>
        <w:rPr>
          <w:b/>
          <w:caps/>
          <w:sz w:val="22"/>
          <w:szCs w:val="22"/>
        </w:rPr>
      </w:pPr>
      <w:r w:rsidRPr="00BA0AF9">
        <w:rPr>
          <w:b/>
          <w:sz w:val="22"/>
          <w:szCs w:val="22"/>
        </w:rPr>
        <w:t>1.</w:t>
      </w:r>
      <w:r w:rsidRPr="00BA0AF9">
        <w:rPr>
          <w:b/>
          <w:sz w:val="22"/>
          <w:szCs w:val="22"/>
        </w:rPr>
        <w:tab/>
      </w:r>
      <w:r w:rsidRPr="00BA0AF9">
        <w:rPr>
          <w:b/>
          <w:caps/>
          <w:sz w:val="22"/>
          <w:szCs w:val="22"/>
        </w:rPr>
        <w:t>Názov Lieku</w:t>
      </w:r>
    </w:p>
    <w:p w14:paraId="13B5F497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467510E8" w14:textId="77777777" w:rsidR="00843906" w:rsidRPr="00BA0AF9" w:rsidRDefault="00843906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Seroxat 10 mg </w:t>
      </w:r>
    </w:p>
    <w:p w14:paraId="14167C23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Seroxat 20</w:t>
      </w:r>
      <w:r w:rsidR="001511C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 xml:space="preserve">mg </w:t>
      </w:r>
    </w:p>
    <w:p w14:paraId="3DA4F4C0" w14:textId="77777777" w:rsidR="00BC6143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Seroxat 30</w:t>
      </w:r>
      <w:r w:rsidR="001511C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</w:t>
      </w:r>
    </w:p>
    <w:p w14:paraId="7C4E3FC4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filmom obalené tablety</w:t>
      </w:r>
    </w:p>
    <w:p w14:paraId="60F1301F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1FD00116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09C66B15" w14:textId="77777777" w:rsidR="00140CF8" w:rsidRPr="00BA0AF9" w:rsidRDefault="00140CF8">
      <w:pPr>
        <w:spacing w:line="260" w:lineRule="exact"/>
        <w:ind w:left="567" w:hanging="567"/>
        <w:rPr>
          <w:b/>
          <w:caps/>
          <w:sz w:val="22"/>
          <w:szCs w:val="22"/>
        </w:rPr>
      </w:pPr>
      <w:r w:rsidRPr="00BA0AF9">
        <w:rPr>
          <w:b/>
          <w:caps/>
          <w:sz w:val="22"/>
          <w:szCs w:val="22"/>
        </w:rPr>
        <w:t>2.</w:t>
      </w:r>
      <w:r w:rsidRPr="00BA0AF9">
        <w:rPr>
          <w:b/>
          <w:caps/>
          <w:sz w:val="22"/>
          <w:szCs w:val="22"/>
        </w:rPr>
        <w:tab/>
        <w:t>kvalitatívne a kvantitatívne ZloŽenie</w:t>
      </w:r>
    </w:p>
    <w:p w14:paraId="1C06C00D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4A0267C6" w14:textId="77777777" w:rsidR="001511C4" w:rsidRPr="00BA0AF9" w:rsidRDefault="00640945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Jedna </w:t>
      </w:r>
      <w:r w:rsidR="00F26AEA" w:rsidRPr="00BA0AF9">
        <w:rPr>
          <w:sz w:val="22"/>
          <w:szCs w:val="22"/>
        </w:rPr>
        <w:t xml:space="preserve">filmom obalená tableta obsahuje </w:t>
      </w:r>
      <w:r w:rsidR="00843906" w:rsidRPr="00BA0AF9">
        <w:rPr>
          <w:sz w:val="22"/>
          <w:szCs w:val="22"/>
        </w:rPr>
        <w:t xml:space="preserve">10 mg, </w:t>
      </w:r>
      <w:r w:rsidR="00140CF8" w:rsidRPr="00BA0AF9">
        <w:rPr>
          <w:sz w:val="22"/>
          <w:szCs w:val="22"/>
        </w:rPr>
        <w:t>20</w:t>
      </w:r>
      <w:r w:rsidR="001511C4" w:rsidRPr="00BA0AF9">
        <w:rPr>
          <w:sz w:val="22"/>
          <w:szCs w:val="22"/>
        </w:rPr>
        <w:t> </w:t>
      </w:r>
      <w:r w:rsidR="00140CF8" w:rsidRPr="00BA0AF9">
        <w:rPr>
          <w:sz w:val="22"/>
          <w:szCs w:val="22"/>
        </w:rPr>
        <w:t xml:space="preserve">mg </w:t>
      </w:r>
      <w:r w:rsidR="00F26AEA" w:rsidRPr="00BA0AF9">
        <w:rPr>
          <w:sz w:val="22"/>
          <w:szCs w:val="22"/>
        </w:rPr>
        <w:t>alebo 30</w:t>
      </w:r>
      <w:r w:rsidR="001511C4" w:rsidRPr="00BA0AF9">
        <w:rPr>
          <w:sz w:val="22"/>
          <w:szCs w:val="22"/>
        </w:rPr>
        <w:t> </w:t>
      </w:r>
      <w:r w:rsidR="00F26AEA" w:rsidRPr="00BA0AF9">
        <w:rPr>
          <w:sz w:val="22"/>
          <w:szCs w:val="22"/>
        </w:rPr>
        <w:t>mg</w:t>
      </w:r>
      <w:r w:rsidR="008B4343" w:rsidRPr="00BA0AF9">
        <w:rPr>
          <w:sz w:val="22"/>
          <w:szCs w:val="22"/>
        </w:rPr>
        <w:t xml:space="preserve"> </w:t>
      </w:r>
      <w:r w:rsidR="00BC6143" w:rsidRPr="00BA0AF9">
        <w:rPr>
          <w:sz w:val="22"/>
          <w:szCs w:val="22"/>
        </w:rPr>
        <w:t xml:space="preserve">paroxetínu </w:t>
      </w:r>
      <w:r w:rsidR="00F26AEA" w:rsidRPr="00BA0AF9">
        <w:rPr>
          <w:sz w:val="22"/>
          <w:szCs w:val="22"/>
        </w:rPr>
        <w:t>(vo forme hemihydrátu paroxetín</w:t>
      </w:r>
      <w:r w:rsidR="000300AE" w:rsidRPr="00BA0AF9">
        <w:rPr>
          <w:sz w:val="22"/>
          <w:szCs w:val="22"/>
        </w:rPr>
        <w:t>i</w:t>
      </w:r>
      <w:r w:rsidR="00F26AEA" w:rsidRPr="00BA0AF9">
        <w:rPr>
          <w:sz w:val="22"/>
          <w:szCs w:val="22"/>
        </w:rPr>
        <w:t>u</w:t>
      </w:r>
      <w:r w:rsidR="000300AE" w:rsidRPr="00BA0AF9">
        <w:rPr>
          <w:sz w:val="22"/>
          <w:szCs w:val="22"/>
        </w:rPr>
        <w:t>mchloridu</w:t>
      </w:r>
      <w:r w:rsidR="00F26AEA" w:rsidRPr="00BA0AF9">
        <w:rPr>
          <w:sz w:val="22"/>
          <w:szCs w:val="22"/>
        </w:rPr>
        <w:t>).</w:t>
      </w:r>
    </w:p>
    <w:p w14:paraId="5953E17B" w14:textId="77777777" w:rsidR="001511C4" w:rsidRPr="00BA0AF9" w:rsidRDefault="001511C4">
      <w:pPr>
        <w:spacing w:line="260" w:lineRule="exact"/>
        <w:rPr>
          <w:sz w:val="22"/>
          <w:szCs w:val="22"/>
        </w:rPr>
      </w:pPr>
    </w:p>
    <w:p w14:paraId="01FE21A0" w14:textId="77777777" w:rsidR="00140CF8" w:rsidRPr="00BA0AF9" w:rsidRDefault="00700801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Úplný zoznam pomocných látok, </w:t>
      </w:r>
      <w:r w:rsidR="00843906" w:rsidRPr="00BA0AF9">
        <w:rPr>
          <w:sz w:val="22"/>
          <w:szCs w:val="22"/>
        </w:rPr>
        <w:t>pozri časť</w:t>
      </w:r>
      <w:r w:rsidR="00242438" w:rsidRPr="00BA0AF9">
        <w:rPr>
          <w:sz w:val="22"/>
          <w:szCs w:val="22"/>
        </w:rPr>
        <w:t> </w:t>
      </w:r>
      <w:r w:rsidR="00843906" w:rsidRPr="00BA0AF9">
        <w:rPr>
          <w:sz w:val="22"/>
          <w:szCs w:val="22"/>
        </w:rPr>
        <w:t>6.1.</w:t>
      </w:r>
    </w:p>
    <w:p w14:paraId="0D5CA6DC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3679EE16" w14:textId="77777777" w:rsidR="008B4343" w:rsidRPr="00BA0AF9" w:rsidRDefault="008B4343">
      <w:pPr>
        <w:spacing w:line="260" w:lineRule="exact"/>
        <w:rPr>
          <w:sz w:val="22"/>
          <w:szCs w:val="22"/>
        </w:rPr>
      </w:pPr>
    </w:p>
    <w:p w14:paraId="7EAF9A41" w14:textId="77777777" w:rsidR="00140CF8" w:rsidRPr="00BA0AF9" w:rsidRDefault="00140CF8">
      <w:pPr>
        <w:spacing w:line="260" w:lineRule="exact"/>
        <w:ind w:left="567" w:hanging="567"/>
        <w:rPr>
          <w:b/>
          <w:caps/>
          <w:sz w:val="22"/>
          <w:szCs w:val="22"/>
        </w:rPr>
      </w:pPr>
      <w:r w:rsidRPr="00BA0AF9">
        <w:rPr>
          <w:b/>
          <w:caps/>
          <w:sz w:val="22"/>
          <w:szCs w:val="22"/>
        </w:rPr>
        <w:t>3.</w:t>
      </w:r>
      <w:r w:rsidRPr="00BA0AF9">
        <w:rPr>
          <w:b/>
          <w:caps/>
          <w:sz w:val="22"/>
          <w:szCs w:val="22"/>
        </w:rPr>
        <w:tab/>
        <w:t>Lieková forma</w:t>
      </w:r>
    </w:p>
    <w:p w14:paraId="31BDAEC5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54E6787B" w14:textId="77777777" w:rsidR="001511C4" w:rsidRPr="00BA0AF9" w:rsidRDefault="00140CF8" w:rsidP="00242438">
      <w:pPr>
        <w:tabs>
          <w:tab w:val="left" w:pos="567"/>
        </w:tabs>
        <w:rPr>
          <w:sz w:val="22"/>
          <w:szCs w:val="22"/>
          <w:lang w:eastAsia="en-US"/>
        </w:rPr>
      </w:pPr>
      <w:r w:rsidRPr="00BA0AF9">
        <w:rPr>
          <w:sz w:val="22"/>
          <w:szCs w:val="22"/>
          <w:lang w:eastAsia="en-US"/>
        </w:rPr>
        <w:t>F</w:t>
      </w:r>
      <w:r w:rsidR="00242438" w:rsidRPr="00BA0AF9">
        <w:rPr>
          <w:sz w:val="22"/>
          <w:szCs w:val="22"/>
          <w:lang w:eastAsia="en-US"/>
        </w:rPr>
        <w:t>ilmom obalené tablet</w:t>
      </w:r>
      <w:r w:rsidR="00531B25" w:rsidRPr="00BA0AF9">
        <w:rPr>
          <w:sz w:val="22"/>
          <w:szCs w:val="22"/>
          <w:lang w:eastAsia="en-US"/>
        </w:rPr>
        <w:t>y</w:t>
      </w:r>
    </w:p>
    <w:p w14:paraId="28A8FA60" w14:textId="77777777" w:rsidR="00242438" w:rsidRPr="00BA0AF9" w:rsidRDefault="00242438">
      <w:pPr>
        <w:spacing w:line="260" w:lineRule="exact"/>
        <w:rPr>
          <w:sz w:val="22"/>
          <w:szCs w:val="22"/>
        </w:rPr>
      </w:pPr>
    </w:p>
    <w:p w14:paraId="7599F9BB" w14:textId="77777777" w:rsidR="001511C4" w:rsidRPr="00BA0AF9" w:rsidRDefault="00843906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Seroxat 10 mg: </w:t>
      </w:r>
      <w:r w:rsidR="00C42A72" w:rsidRPr="00BA0AF9">
        <w:rPr>
          <w:sz w:val="22"/>
          <w:szCs w:val="22"/>
        </w:rPr>
        <w:t xml:space="preserve">biele až </w:t>
      </w:r>
      <w:r w:rsidRPr="00BA0AF9">
        <w:rPr>
          <w:sz w:val="22"/>
          <w:szCs w:val="22"/>
        </w:rPr>
        <w:t>ružovkasto biele</w:t>
      </w:r>
      <w:r w:rsidR="00BC6143" w:rsidRPr="00BA0AF9">
        <w:rPr>
          <w:sz w:val="22"/>
          <w:szCs w:val="22"/>
        </w:rPr>
        <w:t xml:space="preserve"> </w:t>
      </w:r>
      <w:r w:rsidRPr="00BA0AF9">
        <w:rPr>
          <w:sz w:val="22"/>
          <w:szCs w:val="22"/>
        </w:rPr>
        <w:t>oválne filmom obalené tablety na jednej strane s nápisom „FC1“ a deliacou ryhou a na druhej strane s nápisom „GS“ a deliacou ryhou.</w:t>
      </w:r>
    </w:p>
    <w:p w14:paraId="2F0E785D" w14:textId="77777777" w:rsidR="00140CF8" w:rsidRPr="00BA0AF9" w:rsidRDefault="00876243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10 mg filmom obalená tableta sa môže rozdeliť na rovnaké </w:t>
      </w:r>
      <w:r w:rsidR="00850ED4" w:rsidRPr="00BA0AF9">
        <w:rPr>
          <w:sz w:val="22"/>
          <w:szCs w:val="22"/>
        </w:rPr>
        <w:t>dávky</w:t>
      </w:r>
      <w:r w:rsidRPr="00BA0AF9">
        <w:rPr>
          <w:sz w:val="22"/>
          <w:szCs w:val="22"/>
        </w:rPr>
        <w:t>.</w:t>
      </w:r>
    </w:p>
    <w:p w14:paraId="592C6452" w14:textId="77777777" w:rsidR="00242438" w:rsidRPr="00BA0AF9" w:rsidRDefault="00242438">
      <w:pPr>
        <w:spacing w:line="260" w:lineRule="exact"/>
        <w:rPr>
          <w:sz w:val="22"/>
          <w:szCs w:val="22"/>
        </w:rPr>
      </w:pPr>
    </w:p>
    <w:p w14:paraId="17118425" w14:textId="77777777" w:rsidR="001511C4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Seroxat 20</w:t>
      </w:r>
      <w:r w:rsidR="001511C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mg: biele</w:t>
      </w:r>
      <w:r w:rsidR="00C14F17" w:rsidRPr="00BA0AF9">
        <w:rPr>
          <w:sz w:val="22"/>
          <w:szCs w:val="22"/>
        </w:rPr>
        <w:t xml:space="preserve"> oválne bikonvexné</w:t>
      </w:r>
      <w:r w:rsidRPr="00BA0AF9">
        <w:rPr>
          <w:sz w:val="22"/>
          <w:szCs w:val="22"/>
        </w:rPr>
        <w:t xml:space="preserve"> filmom obalené tablety na jednej strane s nápisom </w:t>
      </w:r>
      <w:r w:rsidR="00C14F17" w:rsidRPr="00BA0AF9">
        <w:rPr>
          <w:sz w:val="22"/>
          <w:szCs w:val="22"/>
        </w:rPr>
        <w:t>„</w:t>
      </w:r>
      <w:r w:rsidRPr="00BA0AF9">
        <w:rPr>
          <w:sz w:val="22"/>
          <w:szCs w:val="22"/>
        </w:rPr>
        <w:t>SEROXAT 20</w:t>
      </w:r>
      <w:r w:rsidR="00C14F17" w:rsidRPr="00BA0AF9">
        <w:rPr>
          <w:sz w:val="22"/>
          <w:szCs w:val="22"/>
        </w:rPr>
        <w:t>“ alebo „20“ a</w:t>
      </w:r>
      <w:r w:rsidRPr="00BA0AF9">
        <w:rPr>
          <w:sz w:val="22"/>
          <w:szCs w:val="22"/>
        </w:rPr>
        <w:t xml:space="preserve"> na druhej strane s deliacou ryhou.</w:t>
      </w:r>
    </w:p>
    <w:p w14:paraId="16073791" w14:textId="77777777" w:rsidR="00140CF8" w:rsidRPr="00BA0AF9" w:rsidRDefault="00876243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20 mg filmom obalená tableta sa môže rozdeliť na rovnaké </w:t>
      </w:r>
      <w:r w:rsidR="00850ED4" w:rsidRPr="00BA0AF9">
        <w:rPr>
          <w:sz w:val="22"/>
          <w:szCs w:val="22"/>
        </w:rPr>
        <w:t>dávky</w:t>
      </w:r>
      <w:r w:rsidR="00C42A72" w:rsidRPr="00BA0AF9">
        <w:rPr>
          <w:sz w:val="22"/>
          <w:szCs w:val="22"/>
        </w:rPr>
        <w:t>.</w:t>
      </w:r>
    </w:p>
    <w:p w14:paraId="2DEB6B07" w14:textId="77777777" w:rsidR="00242438" w:rsidRPr="00BA0AF9" w:rsidRDefault="00242438">
      <w:pPr>
        <w:spacing w:line="260" w:lineRule="exact"/>
        <w:rPr>
          <w:sz w:val="22"/>
          <w:szCs w:val="22"/>
        </w:rPr>
      </w:pPr>
    </w:p>
    <w:p w14:paraId="3B75AB9B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Seroxat 30</w:t>
      </w:r>
      <w:r w:rsidR="001511C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mg: modré</w:t>
      </w:r>
      <w:r w:rsidR="00C14F17" w:rsidRPr="00BA0AF9">
        <w:rPr>
          <w:sz w:val="22"/>
          <w:szCs w:val="22"/>
        </w:rPr>
        <w:t xml:space="preserve"> oválne bikonvexné</w:t>
      </w:r>
      <w:r w:rsidRPr="00BA0AF9">
        <w:rPr>
          <w:sz w:val="22"/>
          <w:szCs w:val="22"/>
        </w:rPr>
        <w:t xml:space="preserve"> filmom obalené tablety na jednej strane s nápisom </w:t>
      </w:r>
      <w:r w:rsidR="00C14F17" w:rsidRPr="00BA0AF9">
        <w:rPr>
          <w:sz w:val="22"/>
          <w:szCs w:val="22"/>
        </w:rPr>
        <w:t>„</w:t>
      </w:r>
      <w:r w:rsidRPr="00BA0AF9">
        <w:rPr>
          <w:sz w:val="22"/>
          <w:szCs w:val="22"/>
        </w:rPr>
        <w:t>SEROXAT 30</w:t>
      </w:r>
      <w:r w:rsidR="00C14F17" w:rsidRPr="00BA0AF9">
        <w:rPr>
          <w:sz w:val="22"/>
          <w:szCs w:val="22"/>
        </w:rPr>
        <w:t>“ alebo „30“ a</w:t>
      </w:r>
      <w:r w:rsidRPr="00BA0AF9">
        <w:rPr>
          <w:sz w:val="22"/>
          <w:szCs w:val="22"/>
        </w:rPr>
        <w:t xml:space="preserve"> na druhej strane s deliacou ryhou.</w:t>
      </w:r>
      <w:r w:rsidR="00977E73" w:rsidRPr="00BA0AF9">
        <w:rPr>
          <w:sz w:val="22"/>
          <w:szCs w:val="22"/>
        </w:rPr>
        <w:t xml:space="preserve"> </w:t>
      </w:r>
      <w:r w:rsidR="00850ED4" w:rsidRPr="00BA0AF9">
        <w:rPr>
          <w:sz w:val="22"/>
          <w:szCs w:val="22"/>
        </w:rPr>
        <w:t>Deliaca ryha iba pomáha rozlomiť tabletu, aby sa dala ľahšie prehltnúť a neslúži na rozdelenie na rovnaké dávky</w:t>
      </w:r>
      <w:r w:rsidR="009D7858" w:rsidRPr="00BA0AF9">
        <w:rPr>
          <w:sz w:val="22"/>
          <w:szCs w:val="22"/>
        </w:rPr>
        <w:t>.</w:t>
      </w:r>
    </w:p>
    <w:p w14:paraId="2C453EC3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7785966E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5AE8E0C3" w14:textId="77777777" w:rsidR="00140CF8" w:rsidRPr="00BA0AF9" w:rsidRDefault="00140CF8">
      <w:pPr>
        <w:spacing w:line="260" w:lineRule="exact"/>
        <w:ind w:left="567" w:hanging="567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4.</w:t>
      </w:r>
      <w:r w:rsidRPr="00BA0AF9">
        <w:rPr>
          <w:b/>
          <w:sz w:val="22"/>
          <w:szCs w:val="22"/>
        </w:rPr>
        <w:tab/>
      </w:r>
      <w:r w:rsidRPr="00BA0AF9">
        <w:rPr>
          <w:b/>
          <w:caps/>
          <w:sz w:val="22"/>
          <w:szCs w:val="22"/>
        </w:rPr>
        <w:t>Klinické údaje</w:t>
      </w:r>
    </w:p>
    <w:p w14:paraId="33037AC6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2789C0EB" w14:textId="77777777" w:rsidR="00140CF8" w:rsidRPr="00BA0AF9" w:rsidRDefault="00140CF8">
      <w:pPr>
        <w:spacing w:line="260" w:lineRule="exact"/>
        <w:ind w:left="567" w:hanging="567"/>
        <w:rPr>
          <w:sz w:val="22"/>
          <w:szCs w:val="22"/>
        </w:rPr>
      </w:pPr>
      <w:r w:rsidRPr="00BA0AF9">
        <w:rPr>
          <w:b/>
          <w:sz w:val="22"/>
          <w:szCs w:val="22"/>
        </w:rPr>
        <w:t>4.1</w:t>
      </w:r>
      <w:r w:rsidRPr="00BA0AF9">
        <w:rPr>
          <w:b/>
          <w:sz w:val="22"/>
          <w:szCs w:val="22"/>
        </w:rPr>
        <w:tab/>
        <w:t>Terapeutické indikácie</w:t>
      </w:r>
    </w:p>
    <w:p w14:paraId="6ABAB9AE" w14:textId="77777777" w:rsidR="00140CF8" w:rsidRPr="00BA0AF9" w:rsidRDefault="00140CF8">
      <w:pPr>
        <w:spacing w:line="260" w:lineRule="exact"/>
        <w:rPr>
          <w:i/>
          <w:sz w:val="22"/>
          <w:szCs w:val="22"/>
        </w:rPr>
      </w:pPr>
    </w:p>
    <w:p w14:paraId="18723EE6" w14:textId="77777777" w:rsidR="00140CF8" w:rsidRPr="00BA0AF9" w:rsidRDefault="00140CF8">
      <w:pPr>
        <w:spacing w:line="260" w:lineRule="exact"/>
        <w:rPr>
          <w:sz w:val="22"/>
          <w:szCs w:val="22"/>
          <w:u w:val="single"/>
        </w:rPr>
      </w:pPr>
      <w:r w:rsidRPr="00BA0AF9">
        <w:rPr>
          <w:sz w:val="22"/>
          <w:szCs w:val="22"/>
        </w:rPr>
        <w:t>Liečba</w:t>
      </w:r>
    </w:p>
    <w:p w14:paraId="71E3CC9A" w14:textId="77777777" w:rsidR="00140CF8" w:rsidRPr="00BA0AF9" w:rsidRDefault="00140CF8" w:rsidP="00D31265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BA0AF9">
        <w:rPr>
          <w:sz w:val="22"/>
          <w:szCs w:val="22"/>
        </w:rPr>
        <w:t>-</w:t>
      </w:r>
      <w:r w:rsidR="00D31265" w:rsidRPr="00BA0AF9">
        <w:rPr>
          <w:sz w:val="22"/>
          <w:szCs w:val="22"/>
        </w:rPr>
        <w:tab/>
      </w:r>
      <w:r w:rsidR="006C3765" w:rsidRPr="00BA0AF9">
        <w:rPr>
          <w:sz w:val="22"/>
          <w:szCs w:val="22"/>
        </w:rPr>
        <w:t xml:space="preserve">Veľkej </w:t>
      </w:r>
      <w:r w:rsidR="006C3765" w:rsidRPr="00BA0AF9">
        <w:rPr>
          <w:bCs/>
          <w:sz w:val="22"/>
          <w:szCs w:val="22"/>
        </w:rPr>
        <w:t>d</w:t>
      </w:r>
      <w:r w:rsidR="00E83BB1" w:rsidRPr="00BA0AF9">
        <w:rPr>
          <w:bCs/>
          <w:sz w:val="22"/>
          <w:szCs w:val="22"/>
        </w:rPr>
        <w:t xml:space="preserve">epresívnej epizódy </w:t>
      </w:r>
      <w:r w:rsidR="0090329D" w:rsidRPr="00BA0AF9">
        <w:rPr>
          <w:sz w:val="22"/>
          <w:szCs w:val="22"/>
        </w:rPr>
        <w:t>a recidivujúcej depresívnej poruchy</w:t>
      </w:r>
    </w:p>
    <w:p w14:paraId="4B2D21FC" w14:textId="77777777" w:rsidR="00140CF8" w:rsidRPr="00BA0AF9" w:rsidRDefault="00140CF8">
      <w:pPr>
        <w:spacing w:line="260" w:lineRule="exact"/>
        <w:ind w:left="567" w:hanging="567"/>
        <w:rPr>
          <w:sz w:val="22"/>
          <w:szCs w:val="22"/>
          <w:u w:val="single"/>
        </w:rPr>
      </w:pPr>
      <w:r w:rsidRPr="00BA0AF9">
        <w:rPr>
          <w:sz w:val="22"/>
          <w:szCs w:val="22"/>
        </w:rPr>
        <w:t>-</w:t>
      </w:r>
      <w:r w:rsidRPr="00BA0AF9">
        <w:rPr>
          <w:sz w:val="22"/>
          <w:szCs w:val="22"/>
        </w:rPr>
        <w:tab/>
        <w:t>Obsedantno-kompulzívnej poruchy</w:t>
      </w:r>
    </w:p>
    <w:p w14:paraId="1D7DAC12" w14:textId="77777777" w:rsidR="00140CF8" w:rsidRPr="00BA0AF9" w:rsidRDefault="00140CF8">
      <w:pPr>
        <w:spacing w:line="260" w:lineRule="exact"/>
        <w:ind w:left="567" w:hanging="567"/>
        <w:rPr>
          <w:sz w:val="22"/>
          <w:szCs w:val="22"/>
        </w:rPr>
      </w:pPr>
      <w:r w:rsidRPr="00BA0AF9">
        <w:rPr>
          <w:sz w:val="22"/>
          <w:szCs w:val="22"/>
        </w:rPr>
        <w:t>-</w:t>
      </w:r>
      <w:r w:rsidRPr="00BA0AF9">
        <w:rPr>
          <w:sz w:val="22"/>
          <w:szCs w:val="22"/>
        </w:rPr>
        <w:tab/>
        <w:t>Panickej poruchy s agorafóbiou a bez nej</w:t>
      </w:r>
    </w:p>
    <w:p w14:paraId="793EFB1D" w14:textId="77777777" w:rsidR="00140CF8" w:rsidRPr="00BA0AF9" w:rsidRDefault="00140CF8">
      <w:pPr>
        <w:spacing w:line="260" w:lineRule="exact"/>
        <w:ind w:left="567" w:hanging="567"/>
        <w:rPr>
          <w:sz w:val="22"/>
          <w:szCs w:val="22"/>
        </w:rPr>
      </w:pPr>
      <w:r w:rsidRPr="00BA0AF9">
        <w:rPr>
          <w:sz w:val="22"/>
          <w:szCs w:val="22"/>
        </w:rPr>
        <w:t>-</w:t>
      </w:r>
      <w:r w:rsidRPr="00BA0AF9">
        <w:rPr>
          <w:sz w:val="22"/>
          <w:szCs w:val="22"/>
        </w:rPr>
        <w:tab/>
        <w:t>Sociálnej úzkosti/Sociálnej fóbie</w:t>
      </w:r>
    </w:p>
    <w:p w14:paraId="003479CE" w14:textId="77777777" w:rsidR="00140CF8" w:rsidRPr="00BA0AF9" w:rsidRDefault="00140CF8">
      <w:pPr>
        <w:spacing w:line="260" w:lineRule="exact"/>
        <w:ind w:left="567" w:hanging="567"/>
        <w:rPr>
          <w:sz w:val="22"/>
          <w:szCs w:val="22"/>
        </w:rPr>
      </w:pPr>
      <w:r w:rsidRPr="00BA0AF9">
        <w:rPr>
          <w:sz w:val="22"/>
          <w:szCs w:val="22"/>
        </w:rPr>
        <w:t>-</w:t>
      </w:r>
      <w:r w:rsidRPr="00BA0AF9">
        <w:rPr>
          <w:sz w:val="22"/>
          <w:szCs w:val="22"/>
        </w:rPr>
        <w:tab/>
        <w:t>Ge</w:t>
      </w:r>
      <w:r w:rsidR="00193569" w:rsidRPr="00BA0AF9">
        <w:rPr>
          <w:sz w:val="22"/>
          <w:szCs w:val="22"/>
        </w:rPr>
        <w:t>neralizovanej úzkostnej poruchy</w:t>
      </w:r>
    </w:p>
    <w:p w14:paraId="78318775" w14:textId="77777777" w:rsidR="00140CF8" w:rsidRPr="00BA0AF9" w:rsidRDefault="00140CF8">
      <w:pPr>
        <w:spacing w:line="260" w:lineRule="exact"/>
        <w:ind w:left="567" w:hanging="567"/>
        <w:rPr>
          <w:sz w:val="22"/>
          <w:szCs w:val="22"/>
        </w:rPr>
      </w:pPr>
      <w:r w:rsidRPr="00BA0AF9">
        <w:rPr>
          <w:sz w:val="22"/>
          <w:szCs w:val="22"/>
        </w:rPr>
        <w:t>-</w:t>
      </w:r>
      <w:r w:rsidRPr="00BA0AF9">
        <w:rPr>
          <w:sz w:val="22"/>
          <w:szCs w:val="22"/>
        </w:rPr>
        <w:tab/>
        <w:t>Pos</w:t>
      </w:r>
      <w:r w:rsidR="00193569" w:rsidRPr="00BA0AF9">
        <w:rPr>
          <w:sz w:val="22"/>
          <w:szCs w:val="22"/>
        </w:rPr>
        <w:t>ttraumatickej stresovej poruchy</w:t>
      </w:r>
    </w:p>
    <w:p w14:paraId="1F26997B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26DABCDB" w14:textId="77777777" w:rsidR="00140CF8" w:rsidRPr="00BA0AF9" w:rsidRDefault="00140CF8" w:rsidP="00BE1C79">
      <w:pPr>
        <w:keepNext/>
        <w:keepLines/>
        <w:spacing w:line="260" w:lineRule="exact"/>
        <w:ind w:left="567" w:hanging="567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lastRenderedPageBreak/>
        <w:t>4.2</w:t>
      </w:r>
      <w:r w:rsidRPr="00BA0AF9">
        <w:rPr>
          <w:b/>
          <w:sz w:val="22"/>
          <w:szCs w:val="22"/>
        </w:rPr>
        <w:tab/>
        <w:t>Dávkovanie a spôsob podávania</w:t>
      </w:r>
    </w:p>
    <w:p w14:paraId="308BE7BD" w14:textId="77777777" w:rsidR="00140CF8" w:rsidRPr="00BA0AF9" w:rsidRDefault="00140CF8" w:rsidP="00BE1C79">
      <w:pPr>
        <w:pStyle w:val="Zkladntext3"/>
        <w:keepNext/>
        <w:keepLines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024610C2" w14:textId="77777777" w:rsidR="00850ED4" w:rsidRPr="00BA0AF9" w:rsidRDefault="00850ED4" w:rsidP="00BE1C79">
      <w:pPr>
        <w:pStyle w:val="Zkladntext3"/>
        <w:keepNext/>
        <w:keepLines/>
        <w:spacing w:line="260" w:lineRule="exact"/>
        <w:rPr>
          <w:rFonts w:ascii="Times New Roman" w:hAnsi="Times New Roman"/>
          <w:color w:val="auto"/>
          <w:sz w:val="22"/>
          <w:szCs w:val="22"/>
          <w:u w:val="single"/>
        </w:rPr>
      </w:pPr>
      <w:r w:rsidRPr="00BA0AF9">
        <w:rPr>
          <w:rFonts w:ascii="Times New Roman" w:hAnsi="Times New Roman"/>
          <w:color w:val="auto"/>
          <w:sz w:val="22"/>
          <w:szCs w:val="22"/>
          <w:u w:val="single"/>
        </w:rPr>
        <w:t>Dávkovanie</w:t>
      </w:r>
    </w:p>
    <w:p w14:paraId="54FDA6CF" w14:textId="77777777" w:rsidR="00850ED4" w:rsidRPr="00BA0AF9" w:rsidRDefault="00850ED4" w:rsidP="00BE1C79">
      <w:pPr>
        <w:pStyle w:val="Zkladntext3"/>
        <w:keepNext/>
        <w:keepLines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21F54638" w14:textId="77777777" w:rsidR="00140CF8" w:rsidRPr="00BA0AF9" w:rsidRDefault="006C3765" w:rsidP="00BE1C79">
      <w:pPr>
        <w:pStyle w:val="Zkladntext3"/>
        <w:keepNext/>
        <w:keepLines/>
        <w:rPr>
          <w:rFonts w:ascii="Times New Roman" w:hAnsi="Times New Roman"/>
          <w:b/>
          <w:caps/>
          <w:color w:val="auto"/>
          <w:sz w:val="22"/>
          <w:szCs w:val="22"/>
        </w:rPr>
      </w:pPr>
      <w:r w:rsidRPr="00BA0AF9">
        <w:rPr>
          <w:rFonts w:ascii="Times New Roman" w:hAnsi="Times New Roman"/>
          <w:b/>
          <w:caps/>
          <w:color w:val="auto"/>
          <w:sz w:val="22"/>
          <w:szCs w:val="22"/>
        </w:rPr>
        <w:t>Veľká</w:t>
      </w:r>
      <w:r w:rsidRPr="00BA0AF9" w:rsidDel="00E83BB1">
        <w:rPr>
          <w:rFonts w:ascii="Times New Roman" w:hAnsi="Times New Roman"/>
          <w:b/>
          <w:caps/>
          <w:color w:val="auto"/>
          <w:sz w:val="22"/>
          <w:szCs w:val="22"/>
        </w:rPr>
        <w:t xml:space="preserve"> </w:t>
      </w:r>
      <w:r w:rsidR="00140CF8" w:rsidRPr="00BA0AF9">
        <w:rPr>
          <w:rFonts w:ascii="Times New Roman" w:hAnsi="Times New Roman"/>
          <w:b/>
          <w:caps/>
          <w:color w:val="auto"/>
          <w:sz w:val="22"/>
          <w:szCs w:val="22"/>
        </w:rPr>
        <w:t>depresívna epizóda</w:t>
      </w:r>
      <w:r w:rsidR="0090329D" w:rsidRPr="00BA0AF9">
        <w:rPr>
          <w:rFonts w:ascii="Times New Roman" w:hAnsi="Times New Roman"/>
          <w:b/>
          <w:caps/>
          <w:color w:val="auto"/>
          <w:sz w:val="22"/>
          <w:szCs w:val="22"/>
        </w:rPr>
        <w:t xml:space="preserve"> a recidivujúca depresívna porucha</w:t>
      </w:r>
    </w:p>
    <w:p w14:paraId="599395DA" w14:textId="77777777" w:rsidR="006B511E" w:rsidRPr="00BA0AF9" w:rsidRDefault="006B511E" w:rsidP="00BE1C79">
      <w:pPr>
        <w:keepNext/>
        <w:keepLines/>
        <w:rPr>
          <w:sz w:val="22"/>
          <w:szCs w:val="22"/>
        </w:rPr>
      </w:pPr>
    </w:p>
    <w:p w14:paraId="0DE8BF4A" w14:textId="77777777" w:rsidR="00193569" w:rsidRPr="00BA0AF9" w:rsidRDefault="00140CF8" w:rsidP="00BE1C79">
      <w:pPr>
        <w:keepNext/>
        <w:keepLines/>
        <w:rPr>
          <w:sz w:val="22"/>
          <w:szCs w:val="22"/>
        </w:rPr>
      </w:pPr>
      <w:r w:rsidRPr="00BA0AF9">
        <w:rPr>
          <w:sz w:val="22"/>
          <w:szCs w:val="22"/>
        </w:rPr>
        <w:t>Odporúčaná dávka je 20</w:t>
      </w:r>
      <w:r w:rsidR="00193569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denne. Zlepšenie stavu sa u pacientov začne zvyčajne už po prvom týždni liečby, ale môže sa stať zjavnejšie až od druhého týždňa liečby.</w:t>
      </w:r>
    </w:p>
    <w:p w14:paraId="34FF2D5C" w14:textId="77777777" w:rsidR="00140CF8" w:rsidRPr="00BA0AF9" w:rsidRDefault="00140CF8">
      <w:pPr>
        <w:rPr>
          <w:sz w:val="22"/>
          <w:szCs w:val="22"/>
        </w:rPr>
      </w:pPr>
      <w:r w:rsidRPr="00BA0AF9">
        <w:rPr>
          <w:sz w:val="22"/>
          <w:szCs w:val="22"/>
        </w:rPr>
        <w:t xml:space="preserve">Tak ako u všetkých antidepresívnych liekov sa </w:t>
      </w:r>
      <w:r w:rsidR="00FE20D8" w:rsidRPr="00BA0AF9">
        <w:rPr>
          <w:sz w:val="22"/>
          <w:szCs w:val="22"/>
        </w:rPr>
        <w:t xml:space="preserve">má </w:t>
      </w:r>
      <w:r w:rsidRPr="00BA0AF9">
        <w:rPr>
          <w:sz w:val="22"/>
          <w:szCs w:val="22"/>
        </w:rPr>
        <w:t xml:space="preserve">dávkovanie </w:t>
      </w:r>
      <w:r w:rsidR="00FE20D8" w:rsidRPr="00BA0AF9">
        <w:rPr>
          <w:sz w:val="22"/>
          <w:szCs w:val="22"/>
        </w:rPr>
        <w:t>pre</w:t>
      </w:r>
      <w:r w:rsidRPr="00BA0AF9">
        <w:rPr>
          <w:sz w:val="22"/>
          <w:szCs w:val="22"/>
        </w:rPr>
        <w:t>hodnotiť a </w:t>
      </w:r>
      <w:r w:rsidR="00FE20D8" w:rsidRPr="00BA0AF9">
        <w:rPr>
          <w:sz w:val="22"/>
          <w:szCs w:val="22"/>
        </w:rPr>
        <w:t xml:space="preserve">podľa potreby </w:t>
      </w:r>
      <w:r w:rsidRPr="00BA0AF9">
        <w:rPr>
          <w:sz w:val="22"/>
          <w:szCs w:val="22"/>
        </w:rPr>
        <w:t>uprav</w:t>
      </w:r>
      <w:r w:rsidR="00FE20D8" w:rsidRPr="00BA0AF9">
        <w:rPr>
          <w:sz w:val="22"/>
          <w:szCs w:val="22"/>
        </w:rPr>
        <w:t>i</w:t>
      </w:r>
      <w:r w:rsidRPr="00BA0AF9">
        <w:rPr>
          <w:sz w:val="22"/>
          <w:szCs w:val="22"/>
        </w:rPr>
        <w:t>ť počas 3 až 4 týždňov od začiatku liečby a</w:t>
      </w:r>
      <w:r w:rsidR="00073DB1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potom</w:t>
      </w:r>
      <w:r w:rsidR="00073DB1" w:rsidRPr="00BA0AF9">
        <w:rPr>
          <w:sz w:val="22"/>
          <w:szCs w:val="22"/>
        </w:rPr>
        <w:t>,</w:t>
      </w:r>
      <w:r w:rsidRPr="00BA0AF9">
        <w:rPr>
          <w:sz w:val="22"/>
          <w:szCs w:val="22"/>
        </w:rPr>
        <w:t xml:space="preserve"> </w:t>
      </w:r>
      <w:r w:rsidR="009B1F87" w:rsidRPr="00BA0AF9">
        <w:rPr>
          <w:sz w:val="22"/>
          <w:szCs w:val="22"/>
        </w:rPr>
        <w:t>keď</w:t>
      </w:r>
      <w:r w:rsidRPr="00BA0AF9">
        <w:rPr>
          <w:sz w:val="22"/>
          <w:szCs w:val="22"/>
        </w:rPr>
        <w:t xml:space="preserve"> to bude považované za klinicky vhodné. U niektorých pacientov s nedostatočnou odpoveďou na 20</w:t>
      </w:r>
      <w:r w:rsidR="00193569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sa táto dávka môže podľa odpovede pacienta postupne zvyšovať o</w:t>
      </w:r>
      <w:r w:rsidR="00193569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10</w:t>
      </w:r>
      <w:r w:rsidR="00193569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prírastky až na maximálnych 50</w:t>
      </w:r>
      <w:r w:rsidR="00193569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denne.</w:t>
      </w:r>
    </w:p>
    <w:p w14:paraId="3C7BF418" w14:textId="77777777" w:rsidR="00140CF8" w:rsidRPr="00BA0AF9" w:rsidRDefault="00140CF8">
      <w:pPr>
        <w:rPr>
          <w:sz w:val="22"/>
          <w:szCs w:val="22"/>
        </w:rPr>
      </w:pPr>
    </w:p>
    <w:p w14:paraId="7A50161B" w14:textId="77777777" w:rsidR="00140CF8" w:rsidRPr="00BA0AF9" w:rsidRDefault="00140CF8">
      <w:pPr>
        <w:rPr>
          <w:sz w:val="22"/>
          <w:szCs w:val="22"/>
        </w:rPr>
      </w:pPr>
      <w:r w:rsidRPr="00BA0AF9">
        <w:rPr>
          <w:sz w:val="22"/>
          <w:szCs w:val="22"/>
        </w:rPr>
        <w:t>Pacienti s depresiou sa majú liečiť počas dostatočnej dlhej doby najmenej 6 mesiacov, aby sa zaistilo, že u nich</w:t>
      </w:r>
      <w:r w:rsidR="004B7B54" w:rsidRPr="00BA0AF9">
        <w:rPr>
          <w:sz w:val="22"/>
          <w:szCs w:val="22"/>
        </w:rPr>
        <w:t xml:space="preserve"> nepretrvávajú žiadne symptómy.</w:t>
      </w:r>
    </w:p>
    <w:p w14:paraId="6D6CFE65" w14:textId="77777777" w:rsidR="00140CF8" w:rsidRPr="00BA0AF9" w:rsidRDefault="00140CF8">
      <w:pPr>
        <w:rPr>
          <w:b/>
          <w:caps/>
          <w:sz w:val="22"/>
          <w:szCs w:val="22"/>
          <w:highlight w:val="yellow"/>
        </w:rPr>
      </w:pPr>
    </w:p>
    <w:p w14:paraId="09685AD0" w14:textId="77777777" w:rsidR="00140CF8" w:rsidRPr="00BA0AF9" w:rsidRDefault="00140CF8">
      <w:pPr>
        <w:rPr>
          <w:b/>
          <w:caps/>
          <w:sz w:val="22"/>
          <w:szCs w:val="22"/>
        </w:rPr>
      </w:pPr>
      <w:r w:rsidRPr="00BA0AF9">
        <w:rPr>
          <w:b/>
          <w:caps/>
          <w:sz w:val="22"/>
          <w:szCs w:val="22"/>
        </w:rPr>
        <w:t>Obsedantno-kompulzívna porucha (OCD)</w:t>
      </w:r>
    </w:p>
    <w:p w14:paraId="03708341" w14:textId="77777777" w:rsidR="00140CF8" w:rsidRPr="00BA0AF9" w:rsidRDefault="00140CF8">
      <w:pPr>
        <w:rPr>
          <w:i/>
          <w:sz w:val="22"/>
          <w:szCs w:val="22"/>
        </w:rPr>
      </w:pPr>
    </w:p>
    <w:p w14:paraId="0E68161B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Odporúčaná dávka je 40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denne. Pacienti majú začať 20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mg/deň a táto dávka sa môže postupne zvyšovať o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10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prírastky na odporúčanú dávku. V prípade, že po niekoľkých týždňoch na odporúčanej dávke bude pozorovaná nedostatočná odpoveď, pre niektorých pacientov môže byť prínosné postupné zvýšenie ich dávky až na maximálnych 60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 xml:space="preserve">mg/deň. </w:t>
      </w:r>
    </w:p>
    <w:p w14:paraId="4A24B3D8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Pacienti s OCD sa majú liečiť počas dostatočne dlhej doby, aby sa zaistilo, že u nich nepretrvávajú žiadne symptómy. Táto doba môže byť niekoľkomesačná alebo aj dlhšia (pozri časť 5.1</w:t>
      </w:r>
      <w:r w:rsidR="00E83BB1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Farmakodynamické vlastnosti).</w:t>
      </w:r>
    </w:p>
    <w:p w14:paraId="7D143B7C" w14:textId="77777777" w:rsidR="00140CF8" w:rsidRPr="00BA0AF9" w:rsidRDefault="00140CF8">
      <w:pPr>
        <w:spacing w:line="260" w:lineRule="exact"/>
        <w:rPr>
          <w:sz w:val="22"/>
          <w:szCs w:val="22"/>
          <w:highlight w:val="yellow"/>
        </w:rPr>
      </w:pPr>
    </w:p>
    <w:p w14:paraId="0C3AF1F8" w14:textId="77777777" w:rsidR="00140CF8" w:rsidRPr="00BA0AF9" w:rsidRDefault="00140CF8">
      <w:pPr>
        <w:spacing w:line="260" w:lineRule="exact"/>
        <w:rPr>
          <w:b/>
          <w:caps/>
          <w:sz w:val="22"/>
          <w:szCs w:val="22"/>
        </w:rPr>
      </w:pPr>
      <w:r w:rsidRPr="00BA0AF9">
        <w:rPr>
          <w:b/>
          <w:caps/>
          <w:sz w:val="22"/>
          <w:szCs w:val="22"/>
        </w:rPr>
        <w:t>Panická porucha</w:t>
      </w:r>
    </w:p>
    <w:p w14:paraId="4C617C8D" w14:textId="77777777" w:rsidR="00140CF8" w:rsidRPr="00BA0AF9" w:rsidRDefault="00140CF8">
      <w:pPr>
        <w:spacing w:line="260" w:lineRule="exact"/>
        <w:rPr>
          <w:b/>
          <w:caps/>
          <w:sz w:val="22"/>
          <w:szCs w:val="22"/>
        </w:rPr>
      </w:pPr>
    </w:p>
    <w:p w14:paraId="52F415AC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Odporúčaná dávka je 40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denne. Pacienti majú začať na 10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mg/deň a táto dávka sa môže podľa odpovede pacienta postupne zvyšovať o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10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prírastky až na odporúčanú dávku. Nízka úvodná počiatočná dávka sa odporúča preto, aby sa minimalizovalo potenciálne zhoršenie symptomatológie panického syndrómu, k čomu zvyčajne dochádza v skorých štádiách liečby tejto poruchy. V prípade, že po niekoľkých týždňoch na odporúčanej dávke bude pozorovaná nedostatočná odpoveď, pre niektorých pacientov môže byť prínosné postupné zvýšenie ich dávky až na maximálnych 60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 xml:space="preserve">mg/deň. </w:t>
      </w:r>
    </w:p>
    <w:p w14:paraId="78F04943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Pacienti s panickou poruchou sa majú liečiť počas dostatočne dlhej doby, aby sa zaistilo, že u nich nepretrvávajú žiadne symptómy. Táto doba môže byť niekoľkomesačná alebo aj dlhšia (pozri časť 5.1 Farmakodynamické vlastnosti).</w:t>
      </w:r>
    </w:p>
    <w:p w14:paraId="3537911E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2FC6F674" w14:textId="77777777" w:rsidR="00140CF8" w:rsidRPr="00BA0AF9" w:rsidRDefault="00140CF8">
      <w:pPr>
        <w:spacing w:line="260" w:lineRule="exact"/>
        <w:rPr>
          <w:b/>
          <w:caps/>
          <w:sz w:val="22"/>
          <w:szCs w:val="22"/>
        </w:rPr>
      </w:pPr>
      <w:r w:rsidRPr="00BA0AF9">
        <w:rPr>
          <w:b/>
          <w:caps/>
          <w:sz w:val="22"/>
          <w:szCs w:val="22"/>
        </w:rPr>
        <w:t>sociálna úzkosť/sociálna fóbia</w:t>
      </w:r>
    </w:p>
    <w:p w14:paraId="7EE98FB6" w14:textId="77777777" w:rsidR="00140CF8" w:rsidRPr="00BA0AF9" w:rsidRDefault="00140CF8">
      <w:pPr>
        <w:spacing w:line="260" w:lineRule="exact"/>
        <w:rPr>
          <w:b/>
          <w:caps/>
          <w:sz w:val="22"/>
          <w:szCs w:val="22"/>
        </w:rPr>
      </w:pPr>
    </w:p>
    <w:p w14:paraId="613B3592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Odporúčaná dávka je 20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10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prírastky, až na maximálnych 50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mg/deň. Dlhodobé používanie sa musí pravidelne vyhodnocovať (pozri časť 5.1 Farmakodynamické vlastnosti).</w:t>
      </w:r>
    </w:p>
    <w:p w14:paraId="37831701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3B164998" w14:textId="77777777" w:rsidR="00140CF8" w:rsidRPr="00BA0AF9" w:rsidRDefault="00140CF8">
      <w:pPr>
        <w:pStyle w:val="Nadpis1"/>
        <w:spacing w:line="260" w:lineRule="exact"/>
        <w:rPr>
          <w:rFonts w:ascii="Times New Roman" w:hAnsi="Times New Roman"/>
          <w:b/>
          <w:caps/>
          <w:sz w:val="22"/>
          <w:szCs w:val="22"/>
          <w:u w:val="none"/>
        </w:rPr>
      </w:pPr>
      <w:smartTag w:uri="schemas-GSKSiteLocations-com/fourthcoffee" w:element="flavor">
        <w:r w:rsidRPr="00BA0AF9">
          <w:rPr>
            <w:rFonts w:ascii="Times New Roman" w:hAnsi="Times New Roman"/>
            <w:b/>
            <w:caps/>
            <w:sz w:val="22"/>
            <w:szCs w:val="22"/>
            <w:u w:val="none"/>
          </w:rPr>
          <w:t>Gen</w:t>
        </w:r>
      </w:smartTag>
      <w:r w:rsidRPr="00BA0AF9">
        <w:rPr>
          <w:rFonts w:ascii="Times New Roman" w:hAnsi="Times New Roman"/>
          <w:b/>
          <w:caps/>
          <w:sz w:val="22"/>
          <w:szCs w:val="22"/>
          <w:u w:val="none"/>
        </w:rPr>
        <w:t>eralizovaná úzkostná porucha</w:t>
      </w:r>
    </w:p>
    <w:p w14:paraId="611229F4" w14:textId="77777777" w:rsidR="00140CF8" w:rsidRPr="00BA0AF9" w:rsidRDefault="00140CF8">
      <w:pPr>
        <w:spacing w:line="260" w:lineRule="exact"/>
        <w:rPr>
          <w:i/>
          <w:sz w:val="22"/>
          <w:szCs w:val="22"/>
        </w:rPr>
      </w:pPr>
    </w:p>
    <w:p w14:paraId="10E05866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Odporúčaná dávka je 20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10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prírastky, až na maximálnych 50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mg/deň. Dlhodobé používanie sa musí pravidelne vyhodnocovať (pozri časť 5.1 Farmakodynamické vlastnosti).</w:t>
      </w:r>
    </w:p>
    <w:p w14:paraId="09AC03F8" w14:textId="77777777" w:rsidR="00140CF8" w:rsidRPr="00BA0AF9" w:rsidRDefault="00140CF8" w:rsidP="00BE1C79">
      <w:pPr>
        <w:pStyle w:val="Nadpis3"/>
        <w:keepNext w:val="0"/>
        <w:spacing w:line="260" w:lineRule="exact"/>
        <w:rPr>
          <w:rFonts w:ascii="Times New Roman" w:hAnsi="Times New Roman"/>
          <w:b w:val="0"/>
          <w:caps/>
          <w:sz w:val="22"/>
          <w:szCs w:val="22"/>
          <w:u w:val="none"/>
        </w:rPr>
      </w:pPr>
    </w:p>
    <w:p w14:paraId="2720FC70" w14:textId="77777777" w:rsidR="00140CF8" w:rsidRPr="00BA0AF9" w:rsidRDefault="00140CF8" w:rsidP="00BE1C79">
      <w:pPr>
        <w:pStyle w:val="Nadpis3"/>
        <w:keepLines/>
        <w:spacing w:line="260" w:lineRule="exact"/>
        <w:rPr>
          <w:rFonts w:ascii="Times New Roman" w:hAnsi="Times New Roman"/>
          <w:caps/>
          <w:sz w:val="22"/>
          <w:szCs w:val="22"/>
          <w:u w:val="none"/>
        </w:rPr>
      </w:pPr>
      <w:r w:rsidRPr="00BA0AF9">
        <w:rPr>
          <w:rFonts w:ascii="Times New Roman" w:hAnsi="Times New Roman"/>
          <w:caps/>
          <w:sz w:val="22"/>
          <w:szCs w:val="22"/>
          <w:u w:val="none"/>
        </w:rPr>
        <w:lastRenderedPageBreak/>
        <w:t>Posttraumatická stresová porucha</w:t>
      </w:r>
    </w:p>
    <w:p w14:paraId="37812922" w14:textId="77777777" w:rsidR="00140CF8" w:rsidRPr="00BA0AF9" w:rsidRDefault="00140CF8" w:rsidP="00BE1C79">
      <w:pPr>
        <w:pStyle w:val="Nadpis6"/>
        <w:keepLines/>
        <w:spacing w:line="260" w:lineRule="exact"/>
        <w:rPr>
          <w:rFonts w:ascii="Times New Roman" w:hAnsi="Times New Roman"/>
          <w:b w:val="0"/>
          <w:i/>
          <w:color w:val="auto"/>
          <w:sz w:val="22"/>
          <w:szCs w:val="22"/>
        </w:rPr>
      </w:pPr>
    </w:p>
    <w:p w14:paraId="7113CC06" w14:textId="77777777" w:rsidR="00140CF8" w:rsidRPr="00BA0AF9" w:rsidRDefault="00140CF8" w:rsidP="00BE1C79">
      <w:pPr>
        <w:keepNext/>
        <w:keepLines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Odporúčaná dávka je 20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10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prírastky, až na maximálnych 50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mg/deň. Dlhodobé používanie sa musí pravidelne vyhodnocovať (pozri časť 5.1 Farmakodynamické vlastnosti).</w:t>
      </w:r>
    </w:p>
    <w:p w14:paraId="1F86F7BF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17DB0DB7" w14:textId="77777777" w:rsidR="00140CF8" w:rsidRPr="00BA0AF9" w:rsidRDefault="00140CF8">
      <w:pPr>
        <w:spacing w:line="260" w:lineRule="exact"/>
        <w:rPr>
          <w:b/>
          <w:caps/>
          <w:sz w:val="22"/>
          <w:szCs w:val="22"/>
        </w:rPr>
      </w:pPr>
      <w:r w:rsidRPr="00BA0AF9">
        <w:rPr>
          <w:b/>
          <w:caps/>
          <w:sz w:val="22"/>
          <w:szCs w:val="22"/>
        </w:rPr>
        <w:t>Všeobecné informácie</w:t>
      </w:r>
    </w:p>
    <w:p w14:paraId="49A9E937" w14:textId="77777777" w:rsidR="00140CF8" w:rsidRPr="00BA0AF9" w:rsidRDefault="00140CF8">
      <w:pPr>
        <w:spacing w:line="260" w:lineRule="exact"/>
        <w:rPr>
          <w:b/>
          <w:caps/>
          <w:sz w:val="22"/>
          <w:szCs w:val="22"/>
        </w:rPr>
      </w:pPr>
    </w:p>
    <w:p w14:paraId="1664C49D" w14:textId="77777777" w:rsidR="00140CF8" w:rsidRPr="00BA0AF9" w:rsidRDefault="00140CF8">
      <w:pPr>
        <w:pStyle w:val="Nadpis4"/>
        <w:spacing w:line="260" w:lineRule="exact"/>
        <w:rPr>
          <w:rFonts w:ascii="Times New Roman" w:hAnsi="Times New Roman"/>
          <w:caps/>
          <w:color w:val="auto"/>
          <w:sz w:val="22"/>
          <w:szCs w:val="22"/>
          <w:u w:val="none"/>
        </w:rPr>
      </w:pPr>
      <w:r w:rsidRPr="00BA0AF9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symptómy </w:t>
      </w:r>
      <w:r w:rsidR="002E6360" w:rsidRPr="00BA0AF9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z vysadenia </w:t>
      </w:r>
      <w:r w:rsidRPr="00BA0AF9">
        <w:rPr>
          <w:rFonts w:ascii="Times New Roman" w:hAnsi="Times New Roman"/>
          <w:caps/>
          <w:color w:val="auto"/>
          <w:sz w:val="22"/>
          <w:szCs w:val="22"/>
          <w:u w:val="none"/>
        </w:rPr>
        <w:t>pozorované po prerušení podávania paroxetínu</w:t>
      </w:r>
    </w:p>
    <w:p w14:paraId="32D78883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Náhlemu prerušeniu užívania sa musí zabrániť (pozri časť</w:t>
      </w:r>
      <w:r w:rsidR="00242438" w:rsidRPr="00BA0AF9">
        <w:rPr>
          <w:rFonts w:ascii="Times New Roman" w:hAnsi="Times New Roman"/>
          <w:color w:val="auto"/>
          <w:sz w:val="22"/>
          <w:szCs w:val="22"/>
        </w:rPr>
        <w:t> </w:t>
      </w:r>
      <w:r w:rsidRPr="00BA0AF9">
        <w:rPr>
          <w:rFonts w:ascii="Times New Roman" w:hAnsi="Times New Roman"/>
          <w:color w:val="auto"/>
          <w:sz w:val="22"/>
          <w:szCs w:val="22"/>
        </w:rPr>
        <w:t>4.4 Osobitné upozornenia a opatrenia pri používaní a 4.8 Nežiaduce účinky). Režim postupného znižovania dávky uplatnený v klinických štúdiách spočíval v znižovaní dennej dávky o</w:t>
      </w:r>
      <w:r w:rsidR="004B7B54" w:rsidRPr="00BA0AF9">
        <w:rPr>
          <w:rFonts w:ascii="Times New Roman" w:hAnsi="Times New Roman"/>
          <w:color w:val="auto"/>
          <w:sz w:val="22"/>
          <w:szCs w:val="22"/>
        </w:rPr>
        <w:t> </w:t>
      </w:r>
      <w:r w:rsidRPr="00BA0AF9">
        <w:rPr>
          <w:rFonts w:ascii="Times New Roman" w:hAnsi="Times New Roman"/>
          <w:color w:val="auto"/>
          <w:sz w:val="22"/>
          <w:szCs w:val="22"/>
        </w:rPr>
        <w:t>10</w:t>
      </w:r>
      <w:r w:rsidR="004B7B54" w:rsidRPr="00BA0AF9">
        <w:rPr>
          <w:rFonts w:ascii="Times New Roman" w:hAnsi="Times New Roman"/>
          <w:color w:val="auto"/>
          <w:sz w:val="22"/>
          <w:szCs w:val="22"/>
        </w:rPr>
        <w:t> </w:t>
      </w:r>
      <w:r w:rsidRPr="00BA0AF9">
        <w:rPr>
          <w:rFonts w:ascii="Times New Roman" w:hAnsi="Times New Roman"/>
          <w:color w:val="auto"/>
          <w:sz w:val="22"/>
          <w:szCs w:val="22"/>
        </w:rPr>
        <w:t>mg v týždenných intervaloch. Ak sa po znížení dávky alebo po prerušení liečby objavia neznesiteľné symptómy, môže sa zvážiť pokračovanie v liečbe s predtým predpísanou dávkou. Následne môže lekár pokračovať v znižovaní dávky, ale s pozvoľnejšou rýchlosťou.</w:t>
      </w:r>
    </w:p>
    <w:p w14:paraId="119CDC64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49BF90CA" w14:textId="77777777" w:rsidR="00140CF8" w:rsidRPr="00BA0AF9" w:rsidRDefault="008606DA">
      <w:pPr>
        <w:pStyle w:val="Zkladntext3"/>
        <w:spacing w:line="260" w:lineRule="exact"/>
        <w:rPr>
          <w:rFonts w:ascii="Times New Roman" w:hAnsi="Times New Roman"/>
          <w:b/>
          <w:color w:val="auto"/>
          <w:sz w:val="22"/>
          <w:szCs w:val="22"/>
        </w:rPr>
      </w:pPr>
      <w:r w:rsidRPr="00BA0AF9">
        <w:rPr>
          <w:rFonts w:ascii="Times New Roman" w:hAnsi="Times New Roman"/>
          <w:b/>
          <w:color w:val="auto"/>
          <w:sz w:val="22"/>
          <w:szCs w:val="22"/>
        </w:rPr>
        <w:t xml:space="preserve">Osobitné </w:t>
      </w:r>
      <w:r w:rsidR="00140CF8" w:rsidRPr="00BA0AF9">
        <w:rPr>
          <w:rFonts w:ascii="Times New Roman" w:hAnsi="Times New Roman"/>
          <w:b/>
          <w:color w:val="auto"/>
          <w:sz w:val="22"/>
          <w:szCs w:val="22"/>
        </w:rPr>
        <w:t>skupiny pacientov:</w:t>
      </w:r>
    </w:p>
    <w:p w14:paraId="55227285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b/>
          <w:color w:val="auto"/>
          <w:sz w:val="22"/>
          <w:szCs w:val="22"/>
        </w:rPr>
      </w:pPr>
    </w:p>
    <w:p w14:paraId="259029B1" w14:textId="77777777" w:rsidR="00140CF8" w:rsidRPr="00BA0AF9" w:rsidRDefault="00140CF8" w:rsidP="00432861">
      <w:pPr>
        <w:numPr>
          <w:ilvl w:val="0"/>
          <w:numId w:val="5"/>
        </w:numPr>
        <w:tabs>
          <w:tab w:val="clear" w:pos="360"/>
          <w:tab w:val="num" w:pos="567"/>
        </w:tabs>
        <w:spacing w:line="260" w:lineRule="exact"/>
        <w:ind w:left="567" w:hanging="567"/>
        <w:rPr>
          <w:b/>
          <w:caps/>
          <w:sz w:val="22"/>
          <w:szCs w:val="22"/>
        </w:rPr>
      </w:pPr>
      <w:r w:rsidRPr="00BA0AF9">
        <w:rPr>
          <w:b/>
          <w:sz w:val="22"/>
          <w:szCs w:val="22"/>
        </w:rPr>
        <w:t>Starší ľudia</w:t>
      </w:r>
    </w:p>
    <w:p w14:paraId="269C28D2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caps/>
          <w:sz w:val="22"/>
          <w:szCs w:val="22"/>
        </w:rPr>
        <w:t xml:space="preserve">U </w:t>
      </w:r>
      <w:r w:rsidRPr="00BA0AF9">
        <w:rPr>
          <w:sz w:val="22"/>
          <w:szCs w:val="22"/>
        </w:rPr>
        <w:t>starších ľudí sa vyskytujú zvýšené plazmatické koncentrácie paroxetínu, dosiahnuté hodnoty však nevybočujú z rozmedzia hodnôt pozorovaných v mladších vekových skupinách. Dávkovanie sa má začať počiatočnou dávkou pre dospelých. U niektorých pacientov môže byť zvyšovanie dávky užitočné, ale nemá sa presiahnuť maximálna dávka 40</w:t>
      </w:r>
      <w:r w:rsidR="004B7B54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denne.</w:t>
      </w:r>
    </w:p>
    <w:p w14:paraId="4FD6B8A2" w14:textId="77777777" w:rsidR="00140CF8" w:rsidRPr="00BA0AF9" w:rsidRDefault="00140CF8">
      <w:pPr>
        <w:spacing w:line="260" w:lineRule="exact"/>
        <w:ind w:left="567"/>
        <w:rPr>
          <w:sz w:val="22"/>
          <w:szCs w:val="22"/>
        </w:rPr>
      </w:pPr>
    </w:p>
    <w:p w14:paraId="7B760F77" w14:textId="77777777" w:rsidR="00140CF8" w:rsidRPr="00BA0AF9" w:rsidRDefault="00140CF8" w:rsidP="00432861">
      <w:pPr>
        <w:numPr>
          <w:ilvl w:val="0"/>
          <w:numId w:val="5"/>
        </w:numPr>
        <w:tabs>
          <w:tab w:val="clear" w:pos="360"/>
          <w:tab w:val="num" w:pos="567"/>
        </w:tabs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 xml:space="preserve">Deti a </w:t>
      </w:r>
      <w:r w:rsidR="000270CA" w:rsidRPr="00BA0AF9">
        <w:rPr>
          <w:b/>
          <w:sz w:val="22"/>
          <w:szCs w:val="22"/>
        </w:rPr>
        <w:t>dospievajúci</w:t>
      </w:r>
      <w:r w:rsidRPr="00BA0AF9">
        <w:rPr>
          <w:b/>
          <w:sz w:val="22"/>
          <w:szCs w:val="22"/>
        </w:rPr>
        <w:t xml:space="preserve"> (7-17 roční)</w:t>
      </w:r>
    </w:p>
    <w:p w14:paraId="7B3C48A7" w14:textId="77777777" w:rsidR="00140CF8" w:rsidRPr="00BA0AF9" w:rsidRDefault="00140CF8" w:rsidP="004B7B54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Paroxetín sa nesmie používať na liečbu detí a</w:t>
      </w:r>
      <w:r w:rsidR="00341E52" w:rsidRPr="00BA0AF9">
        <w:rPr>
          <w:sz w:val="22"/>
          <w:szCs w:val="22"/>
        </w:rPr>
        <w:t xml:space="preserve"> </w:t>
      </w:r>
      <w:r w:rsidR="000270CA" w:rsidRPr="00BA0AF9">
        <w:rPr>
          <w:sz w:val="22"/>
          <w:szCs w:val="22"/>
        </w:rPr>
        <w:t>dospievajúcich</w:t>
      </w:r>
      <w:r w:rsidRPr="00BA0AF9">
        <w:rPr>
          <w:sz w:val="22"/>
          <w:szCs w:val="22"/>
        </w:rPr>
        <w:t>, pretože kontrolované klinické štúdie zistili, že paroxetín sa spája so zvýšeným rizikom samovražedného správania a nepriateľstva. V týchto štúdiách okrem toho nebola dostatočne potvrdená účinnosť (pozri časť 4.4</w:t>
      </w:r>
      <w:r w:rsidR="00242438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Osobitné upozornenia a opatrenia pri používaní a časť 4.8</w:t>
      </w:r>
      <w:r w:rsidR="00242438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Nežiaduce účinky).</w:t>
      </w:r>
    </w:p>
    <w:p w14:paraId="52BC3BC2" w14:textId="77777777" w:rsidR="00140CF8" w:rsidRPr="00BA0AF9" w:rsidRDefault="00140CF8">
      <w:pPr>
        <w:spacing w:line="260" w:lineRule="exact"/>
        <w:ind w:left="567" w:hanging="567"/>
        <w:rPr>
          <w:sz w:val="22"/>
          <w:szCs w:val="22"/>
          <w:highlight w:val="yellow"/>
        </w:rPr>
      </w:pPr>
    </w:p>
    <w:p w14:paraId="1A4D5C84" w14:textId="77777777" w:rsidR="00140CF8" w:rsidRPr="00BA0AF9" w:rsidRDefault="00140CF8" w:rsidP="00432861">
      <w:pPr>
        <w:numPr>
          <w:ilvl w:val="0"/>
          <w:numId w:val="5"/>
        </w:numPr>
        <w:tabs>
          <w:tab w:val="clear" w:pos="360"/>
          <w:tab w:val="num" w:pos="567"/>
        </w:tabs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Deti mladšie ako 7 rokov</w:t>
      </w:r>
    </w:p>
    <w:p w14:paraId="24E30208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U detí mladších ako 7 rokov nebolo použitie paroxetínu skúmané. Paroxetín sa nemá používať, pretože v tejto vekovej skupine nebola bezpečnosť a účinnosť potvrdená.</w:t>
      </w:r>
    </w:p>
    <w:p w14:paraId="33D1AAB9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0D8F4F6E" w14:textId="77777777" w:rsidR="00140CF8" w:rsidRPr="00BA0AF9" w:rsidRDefault="00140CF8" w:rsidP="00432861">
      <w:pPr>
        <w:numPr>
          <w:ilvl w:val="0"/>
          <w:numId w:val="5"/>
        </w:numPr>
        <w:tabs>
          <w:tab w:val="clear" w:pos="360"/>
          <w:tab w:val="num" w:pos="567"/>
        </w:tabs>
        <w:spacing w:line="260" w:lineRule="exact"/>
        <w:rPr>
          <w:caps/>
          <w:sz w:val="22"/>
          <w:szCs w:val="22"/>
        </w:rPr>
      </w:pPr>
      <w:r w:rsidRPr="00BA0AF9">
        <w:rPr>
          <w:b/>
          <w:sz w:val="22"/>
          <w:szCs w:val="22"/>
        </w:rPr>
        <w:t>Porucha funkcie obličiek/pečene</w:t>
      </w:r>
    </w:p>
    <w:p w14:paraId="4DE6E8BB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U pacientov s ťažkou poruchou funkcie obličiek (klírens kreatinínu menej ako 30 ml/min) alebo u pacientov s poruchou funkcie pečene </w:t>
      </w:r>
      <w:r w:rsidR="00830A28" w:rsidRPr="00BA0AF9">
        <w:rPr>
          <w:sz w:val="22"/>
          <w:szCs w:val="22"/>
        </w:rPr>
        <w:t xml:space="preserve">sa vyskytujú </w:t>
      </w:r>
      <w:r w:rsidRPr="00BA0AF9">
        <w:rPr>
          <w:sz w:val="22"/>
          <w:szCs w:val="22"/>
        </w:rPr>
        <w:t>zvýšen</w:t>
      </w:r>
      <w:r w:rsidR="00830A28" w:rsidRPr="00BA0AF9">
        <w:rPr>
          <w:sz w:val="22"/>
          <w:szCs w:val="22"/>
        </w:rPr>
        <w:t xml:space="preserve">é </w:t>
      </w:r>
      <w:r w:rsidRPr="00BA0AF9">
        <w:rPr>
          <w:sz w:val="22"/>
          <w:szCs w:val="22"/>
        </w:rPr>
        <w:t>plazmatick</w:t>
      </w:r>
      <w:r w:rsidR="00830A28" w:rsidRPr="00BA0AF9">
        <w:rPr>
          <w:sz w:val="22"/>
          <w:szCs w:val="22"/>
        </w:rPr>
        <w:t>é</w:t>
      </w:r>
      <w:r w:rsidRPr="00BA0AF9">
        <w:rPr>
          <w:sz w:val="22"/>
          <w:szCs w:val="22"/>
        </w:rPr>
        <w:t xml:space="preserve"> koncentráci</w:t>
      </w:r>
      <w:r w:rsidR="00830A28" w:rsidRPr="00BA0AF9">
        <w:rPr>
          <w:sz w:val="22"/>
          <w:szCs w:val="22"/>
        </w:rPr>
        <w:t>e</w:t>
      </w:r>
      <w:r w:rsidRPr="00BA0AF9">
        <w:rPr>
          <w:sz w:val="22"/>
          <w:szCs w:val="22"/>
        </w:rPr>
        <w:t xml:space="preserve"> paroxetínu. Dávkovanie sa preto musí obmedziť na nižšie dávky.</w:t>
      </w:r>
    </w:p>
    <w:p w14:paraId="2E7B297F" w14:textId="77777777" w:rsidR="00140CF8" w:rsidRPr="00BA0AF9" w:rsidRDefault="00140CF8">
      <w:pPr>
        <w:pStyle w:val="Hlavika"/>
        <w:tabs>
          <w:tab w:val="clear" w:pos="4320"/>
          <w:tab w:val="clear" w:pos="8640"/>
        </w:tabs>
        <w:spacing w:line="260" w:lineRule="exact"/>
        <w:rPr>
          <w:sz w:val="22"/>
          <w:szCs w:val="22"/>
        </w:rPr>
      </w:pPr>
    </w:p>
    <w:p w14:paraId="45F3C5A1" w14:textId="77777777" w:rsidR="00850ED4" w:rsidRPr="00BA0AF9" w:rsidRDefault="00850ED4">
      <w:pPr>
        <w:pStyle w:val="Hlavika"/>
        <w:tabs>
          <w:tab w:val="clear" w:pos="4320"/>
          <w:tab w:val="clear" w:pos="8640"/>
        </w:tabs>
        <w:spacing w:line="260" w:lineRule="exact"/>
        <w:rPr>
          <w:sz w:val="22"/>
          <w:szCs w:val="22"/>
          <w:u w:val="single"/>
        </w:rPr>
      </w:pPr>
      <w:r w:rsidRPr="00BA0AF9">
        <w:rPr>
          <w:sz w:val="22"/>
          <w:szCs w:val="22"/>
          <w:u w:val="single"/>
        </w:rPr>
        <w:t>Spôsob podávania</w:t>
      </w:r>
    </w:p>
    <w:p w14:paraId="33F178D2" w14:textId="77777777" w:rsidR="00850ED4" w:rsidRPr="00BA0AF9" w:rsidRDefault="00850ED4">
      <w:pPr>
        <w:pStyle w:val="Hlavika"/>
        <w:tabs>
          <w:tab w:val="clear" w:pos="4320"/>
          <w:tab w:val="clear" w:pos="8640"/>
        </w:tabs>
        <w:spacing w:line="260" w:lineRule="exact"/>
        <w:rPr>
          <w:sz w:val="22"/>
          <w:szCs w:val="22"/>
        </w:rPr>
      </w:pPr>
    </w:p>
    <w:p w14:paraId="51B4E721" w14:textId="77777777" w:rsidR="00850ED4" w:rsidRPr="00BA0AF9" w:rsidRDefault="00850ED4" w:rsidP="00850ED4">
      <w:pPr>
        <w:tabs>
          <w:tab w:val="left" w:pos="567"/>
        </w:tabs>
        <w:rPr>
          <w:sz w:val="22"/>
          <w:szCs w:val="22"/>
        </w:rPr>
      </w:pPr>
      <w:r w:rsidRPr="00BA0AF9">
        <w:rPr>
          <w:sz w:val="22"/>
          <w:szCs w:val="22"/>
        </w:rPr>
        <w:t>Odporúča sa podávať paroxetín jeden</w:t>
      </w:r>
      <w:r w:rsidR="00F16EC7" w:rsidRPr="00BA0AF9">
        <w:rPr>
          <w:sz w:val="22"/>
          <w:szCs w:val="22"/>
        </w:rPr>
        <w:t>krát denne ráno spolu s jedlom.</w:t>
      </w:r>
    </w:p>
    <w:p w14:paraId="2413CAD6" w14:textId="77777777" w:rsidR="00990C3F" w:rsidRPr="00BA0AF9" w:rsidRDefault="00990C3F" w:rsidP="00990C3F">
      <w:pPr>
        <w:rPr>
          <w:color w:val="1F497D"/>
          <w:sz w:val="22"/>
          <w:szCs w:val="22"/>
        </w:rPr>
      </w:pPr>
      <w:r w:rsidRPr="00BA0AF9">
        <w:rPr>
          <w:sz w:val="22"/>
          <w:szCs w:val="22"/>
        </w:rPr>
        <w:t>Tableta sa má radšej prehltnúť, ako žuvať.</w:t>
      </w:r>
    </w:p>
    <w:p w14:paraId="26593229" w14:textId="77777777" w:rsidR="00850ED4" w:rsidRPr="00BA0AF9" w:rsidRDefault="00850ED4">
      <w:pPr>
        <w:pStyle w:val="Hlavika"/>
        <w:tabs>
          <w:tab w:val="clear" w:pos="4320"/>
          <w:tab w:val="clear" w:pos="8640"/>
        </w:tabs>
        <w:spacing w:line="260" w:lineRule="exact"/>
        <w:rPr>
          <w:sz w:val="22"/>
          <w:szCs w:val="22"/>
        </w:rPr>
      </w:pPr>
    </w:p>
    <w:p w14:paraId="46E60E22" w14:textId="77777777" w:rsidR="00140CF8" w:rsidRPr="00BA0AF9" w:rsidRDefault="00140CF8">
      <w:pPr>
        <w:spacing w:line="260" w:lineRule="exact"/>
        <w:ind w:left="567" w:hanging="567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4.3</w:t>
      </w:r>
      <w:r w:rsidRPr="00BA0AF9">
        <w:rPr>
          <w:b/>
          <w:sz w:val="22"/>
          <w:szCs w:val="22"/>
        </w:rPr>
        <w:tab/>
        <w:t>Kontraindikácie</w:t>
      </w:r>
    </w:p>
    <w:p w14:paraId="02B913E2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</w:p>
    <w:p w14:paraId="113C7D4D" w14:textId="77777777" w:rsidR="00140CF8" w:rsidRPr="00BA0AF9" w:rsidRDefault="00F16EC7">
      <w:pPr>
        <w:pStyle w:val="Nadpis6"/>
        <w:spacing w:line="260" w:lineRule="exact"/>
        <w:rPr>
          <w:rFonts w:ascii="Times New Roman" w:hAnsi="Times New Roman"/>
          <w:b w:val="0"/>
          <w:color w:val="auto"/>
          <w:sz w:val="22"/>
          <w:szCs w:val="22"/>
        </w:rPr>
      </w:pPr>
      <w:r w:rsidRPr="00BA0AF9">
        <w:rPr>
          <w:rFonts w:ascii="Times New Roman" w:hAnsi="Times New Roman"/>
          <w:b w:val="0"/>
          <w:color w:val="auto"/>
          <w:sz w:val="22"/>
          <w:szCs w:val="22"/>
        </w:rPr>
        <w:t>P</w:t>
      </w:r>
      <w:r w:rsidR="00140CF8" w:rsidRPr="00BA0AF9">
        <w:rPr>
          <w:rFonts w:ascii="Times New Roman" w:hAnsi="Times New Roman"/>
          <w:b w:val="0"/>
          <w:color w:val="auto"/>
          <w:sz w:val="22"/>
          <w:szCs w:val="22"/>
        </w:rPr>
        <w:t xml:space="preserve">recitlivenosť na </w:t>
      </w:r>
      <w:r w:rsidRPr="00BA0AF9">
        <w:rPr>
          <w:rFonts w:ascii="Times New Roman" w:hAnsi="Times New Roman"/>
          <w:b w:val="0"/>
          <w:color w:val="auto"/>
          <w:sz w:val="22"/>
          <w:szCs w:val="22"/>
        </w:rPr>
        <w:t>liečivo</w:t>
      </w:r>
      <w:r w:rsidR="00140CF8" w:rsidRPr="00BA0AF9">
        <w:rPr>
          <w:rFonts w:ascii="Times New Roman" w:hAnsi="Times New Roman"/>
          <w:b w:val="0"/>
          <w:color w:val="auto"/>
          <w:sz w:val="22"/>
          <w:szCs w:val="22"/>
        </w:rPr>
        <w:t xml:space="preserve"> alebo na </w:t>
      </w:r>
      <w:r w:rsidR="00242438" w:rsidRPr="00BA0AF9">
        <w:rPr>
          <w:rFonts w:ascii="Times New Roman" w:hAnsi="Times New Roman"/>
          <w:b w:val="0"/>
          <w:color w:val="auto"/>
          <w:sz w:val="22"/>
          <w:szCs w:val="22"/>
        </w:rPr>
        <w:t>ktorúkoľvek</w:t>
      </w:r>
      <w:r w:rsidR="00140CF8" w:rsidRPr="00BA0AF9">
        <w:rPr>
          <w:rFonts w:ascii="Times New Roman" w:hAnsi="Times New Roman"/>
          <w:b w:val="0"/>
          <w:color w:val="auto"/>
          <w:sz w:val="22"/>
          <w:szCs w:val="22"/>
        </w:rPr>
        <w:t xml:space="preserve"> z pomocných látok</w:t>
      </w:r>
      <w:r w:rsidRPr="00BA0AF9">
        <w:rPr>
          <w:rFonts w:ascii="Times New Roman" w:hAnsi="Times New Roman"/>
          <w:b w:val="0"/>
          <w:color w:val="auto"/>
          <w:sz w:val="22"/>
          <w:szCs w:val="22"/>
        </w:rPr>
        <w:t xml:space="preserve"> uvedených v časti 6.1</w:t>
      </w:r>
      <w:r w:rsidR="00140CF8" w:rsidRPr="00BA0AF9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p w14:paraId="589FAF4B" w14:textId="77777777" w:rsidR="00140CF8" w:rsidRPr="00BA0AF9" w:rsidRDefault="00140CF8">
      <w:pPr>
        <w:rPr>
          <w:sz w:val="22"/>
          <w:szCs w:val="22"/>
        </w:rPr>
      </w:pPr>
    </w:p>
    <w:p w14:paraId="0114A332" w14:textId="77777777" w:rsidR="00F16EC7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Paroxetín je kontraindikovaný v kombinácii s inhibítormi monoaminooxidázy (</w:t>
      </w:r>
      <w:r w:rsidR="0012619A" w:rsidRPr="00BA0AF9">
        <w:rPr>
          <w:sz w:val="22"/>
          <w:szCs w:val="22"/>
        </w:rPr>
        <w:t>I</w:t>
      </w:r>
      <w:r w:rsidRPr="00BA0AF9">
        <w:rPr>
          <w:sz w:val="22"/>
          <w:szCs w:val="22"/>
        </w:rPr>
        <w:t xml:space="preserve">MAO). </w:t>
      </w:r>
      <w:r w:rsidR="00210A53" w:rsidRPr="00BA0AF9">
        <w:rPr>
          <w:sz w:val="22"/>
          <w:szCs w:val="22"/>
        </w:rPr>
        <w:t>Vo výnimočných prípadoch</w:t>
      </w:r>
      <w:r w:rsidR="007F1275" w:rsidRPr="00BA0AF9">
        <w:rPr>
          <w:sz w:val="22"/>
          <w:szCs w:val="22"/>
        </w:rPr>
        <w:t>,</w:t>
      </w:r>
      <w:r w:rsidR="00210A53" w:rsidRPr="00BA0AF9">
        <w:rPr>
          <w:sz w:val="22"/>
          <w:szCs w:val="22"/>
        </w:rPr>
        <w:t xml:space="preserve"> </w:t>
      </w:r>
      <w:r w:rsidR="007F1275" w:rsidRPr="00BA0AF9">
        <w:rPr>
          <w:sz w:val="22"/>
          <w:szCs w:val="22"/>
        </w:rPr>
        <w:t xml:space="preserve">za predpokladu, že sú </w:t>
      </w:r>
      <w:r w:rsidR="00980C60" w:rsidRPr="00BA0AF9">
        <w:rPr>
          <w:sz w:val="22"/>
          <w:szCs w:val="22"/>
        </w:rPr>
        <w:t xml:space="preserve">prostriedky na </w:t>
      </w:r>
      <w:r w:rsidR="007F1275" w:rsidRPr="00BA0AF9">
        <w:rPr>
          <w:sz w:val="22"/>
          <w:szCs w:val="22"/>
        </w:rPr>
        <w:t xml:space="preserve">dôkladné pozorovanie príznakov </w:t>
      </w:r>
      <w:r w:rsidR="00AC42D8" w:rsidRPr="00BA0AF9">
        <w:rPr>
          <w:sz w:val="22"/>
          <w:szCs w:val="22"/>
        </w:rPr>
        <w:t>séroton</w:t>
      </w:r>
      <w:r w:rsidR="007F1275" w:rsidRPr="00BA0AF9">
        <w:rPr>
          <w:sz w:val="22"/>
          <w:szCs w:val="22"/>
        </w:rPr>
        <w:t xml:space="preserve">ínového syndrómu a monitorovanie krvného tlaku (pozri časť 4.5) </w:t>
      </w:r>
      <w:r w:rsidR="00210A53" w:rsidRPr="00BA0AF9">
        <w:rPr>
          <w:sz w:val="22"/>
          <w:szCs w:val="22"/>
        </w:rPr>
        <w:t xml:space="preserve">môže byť v kombinácii s paroxetínom podaný linezolid (antibiotikum, ktoré je reverzibilným neselektívnym </w:t>
      </w:r>
      <w:r w:rsidR="0012619A" w:rsidRPr="00BA0AF9">
        <w:rPr>
          <w:sz w:val="22"/>
          <w:szCs w:val="22"/>
        </w:rPr>
        <w:t>I</w:t>
      </w:r>
      <w:r w:rsidR="00210A53" w:rsidRPr="00BA0AF9">
        <w:rPr>
          <w:sz w:val="22"/>
          <w:szCs w:val="22"/>
        </w:rPr>
        <w:t>MAO)</w:t>
      </w:r>
      <w:r w:rsidR="007F1275" w:rsidRPr="00BA0AF9">
        <w:rPr>
          <w:sz w:val="22"/>
          <w:szCs w:val="22"/>
        </w:rPr>
        <w:t>.</w:t>
      </w:r>
    </w:p>
    <w:p w14:paraId="0FC56B91" w14:textId="77777777" w:rsidR="00140CF8" w:rsidRPr="00BA0AF9" w:rsidRDefault="00140CF8" w:rsidP="00F16EC7">
      <w:pPr>
        <w:keepNext/>
        <w:keepLines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lastRenderedPageBreak/>
        <w:t>Li</w:t>
      </w:r>
      <w:r w:rsidR="004B7B54" w:rsidRPr="00BA0AF9">
        <w:rPr>
          <w:sz w:val="22"/>
          <w:szCs w:val="22"/>
        </w:rPr>
        <w:t>ečba paroxetínom sa môže začať:</w:t>
      </w:r>
    </w:p>
    <w:p w14:paraId="23BC4836" w14:textId="77777777" w:rsidR="00140CF8" w:rsidRPr="00BA0AF9" w:rsidRDefault="00140CF8" w:rsidP="00F16EC7">
      <w:pPr>
        <w:keepNext/>
        <w:keepLines/>
        <w:spacing w:line="260" w:lineRule="exact"/>
        <w:ind w:left="567" w:hanging="567"/>
        <w:rPr>
          <w:sz w:val="22"/>
          <w:szCs w:val="22"/>
        </w:rPr>
      </w:pPr>
      <w:r w:rsidRPr="00BA0AF9">
        <w:rPr>
          <w:sz w:val="22"/>
          <w:szCs w:val="22"/>
        </w:rPr>
        <w:t>-</w:t>
      </w:r>
      <w:r w:rsidRPr="00BA0AF9">
        <w:rPr>
          <w:sz w:val="22"/>
          <w:szCs w:val="22"/>
        </w:rPr>
        <w:tab/>
        <w:t xml:space="preserve">po dvoch týždňoch po </w:t>
      </w:r>
      <w:r w:rsidR="001B488D" w:rsidRPr="00BA0AF9">
        <w:rPr>
          <w:sz w:val="22"/>
          <w:szCs w:val="22"/>
        </w:rPr>
        <w:t>ukonč</w:t>
      </w:r>
      <w:r w:rsidRPr="00BA0AF9">
        <w:rPr>
          <w:sz w:val="22"/>
          <w:szCs w:val="22"/>
        </w:rPr>
        <w:t xml:space="preserve">ení podávania ireverzibilného </w:t>
      </w:r>
      <w:r w:rsidR="0012619A" w:rsidRPr="00BA0AF9">
        <w:rPr>
          <w:sz w:val="22"/>
          <w:szCs w:val="22"/>
        </w:rPr>
        <w:t>I</w:t>
      </w:r>
      <w:r w:rsidRPr="00BA0AF9">
        <w:rPr>
          <w:sz w:val="22"/>
          <w:szCs w:val="22"/>
        </w:rPr>
        <w:t>MAO, alebo</w:t>
      </w:r>
    </w:p>
    <w:p w14:paraId="092AF6E1" w14:textId="77777777" w:rsidR="00140CF8" w:rsidRPr="00BA0AF9" w:rsidRDefault="00140CF8" w:rsidP="00F16EC7">
      <w:pPr>
        <w:keepNext/>
        <w:keepLines/>
        <w:spacing w:line="260" w:lineRule="exact"/>
        <w:ind w:left="567" w:hanging="567"/>
        <w:rPr>
          <w:sz w:val="22"/>
          <w:szCs w:val="22"/>
        </w:rPr>
      </w:pPr>
      <w:r w:rsidRPr="00BA0AF9">
        <w:rPr>
          <w:sz w:val="22"/>
          <w:szCs w:val="22"/>
        </w:rPr>
        <w:t>-</w:t>
      </w:r>
      <w:r w:rsidRPr="00BA0AF9">
        <w:rPr>
          <w:sz w:val="22"/>
          <w:szCs w:val="22"/>
        </w:rPr>
        <w:tab/>
      </w:r>
      <w:r w:rsidR="003864F1" w:rsidRPr="00BA0AF9">
        <w:rPr>
          <w:sz w:val="22"/>
          <w:szCs w:val="22"/>
        </w:rPr>
        <w:t>najmenej</w:t>
      </w:r>
      <w:r w:rsidR="00E00048" w:rsidRPr="00BA0AF9">
        <w:rPr>
          <w:sz w:val="22"/>
          <w:szCs w:val="22"/>
        </w:rPr>
        <w:t xml:space="preserve"> </w:t>
      </w:r>
      <w:r w:rsidRPr="00BA0AF9">
        <w:rPr>
          <w:sz w:val="22"/>
          <w:szCs w:val="22"/>
        </w:rPr>
        <w:t>24 hod</w:t>
      </w:r>
      <w:r w:rsidR="00F34298" w:rsidRPr="00BA0AF9">
        <w:rPr>
          <w:sz w:val="22"/>
          <w:szCs w:val="22"/>
        </w:rPr>
        <w:t>í</w:t>
      </w:r>
      <w:r w:rsidRPr="00BA0AF9">
        <w:rPr>
          <w:sz w:val="22"/>
          <w:szCs w:val="22"/>
        </w:rPr>
        <w:t>n</w:t>
      </w:r>
      <w:r w:rsidR="00F34298" w:rsidRPr="00BA0AF9">
        <w:rPr>
          <w:sz w:val="22"/>
          <w:szCs w:val="22"/>
        </w:rPr>
        <w:t xml:space="preserve"> </w:t>
      </w:r>
      <w:r w:rsidRPr="00BA0AF9">
        <w:rPr>
          <w:sz w:val="22"/>
          <w:szCs w:val="22"/>
        </w:rPr>
        <w:t xml:space="preserve">po prerušení podávania reverzibilného </w:t>
      </w:r>
      <w:r w:rsidR="0012619A" w:rsidRPr="00BA0AF9">
        <w:rPr>
          <w:sz w:val="22"/>
          <w:szCs w:val="22"/>
        </w:rPr>
        <w:t>I</w:t>
      </w:r>
      <w:r w:rsidRPr="00BA0AF9">
        <w:rPr>
          <w:sz w:val="22"/>
          <w:szCs w:val="22"/>
        </w:rPr>
        <w:t xml:space="preserve">MAO (napr. </w:t>
      </w:r>
      <w:r w:rsidR="007B5B78" w:rsidRPr="00BA0AF9">
        <w:rPr>
          <w:sz w:val="22"/>
          <w:szCs w:val="22"/>
        </w:rPr>
        <w:t>m</w:t>
      </w:r>
      <w:r w:rsidRPr="00BA0AF9">
        <w:rPr>
          <w:sz w:val="22"/>
          <w:szCs w:val="22"/>
        </w:rPr>
        <w:t>oklobemid</w:t>
      </w:r>
      <w:r w:rsidR="003A6FF9" w:rsidRPr="00BA0AF9">
        <w:rPr>
          <w:sz w:val="22"/>
          <w:szCs w:val="22"/>
        </w:rPr>
        <w:t>u</w:t>
      </w:r>
      <w:r w:rsidR="007F1275" w:rsidRPr="00BA0AF9">
        <w:rPr>
          <w:sz w:val="22"/>
          <w:szCs w:val="22"/>
        </w:rPr>
        <w:t>, linezolid</w:t>
      </w:r>
      <w:r w:rsidR="003A6FF9" w:rsidRPr="00BA0AF9">
        <w:rPr>
          <w:sz w:val="22"/>
          <w:szCs w:val="22"/>
        </w:rPr>
        <w:t>u</w:t>
      </w:r>
      <w:r w:rsidR="007B5B78" w:rsidRPr="00BA0AF9">
        <w:rPr>
          <w:sz w:val="22"/>
          <w:szCs w:val="22"/>
        </w:rPr>
        <w:t xml:space="preserve">, </w:t>
      </w:r>
      <w:r w:rsidR="007B5B78" w:rsidRPr="00BA0AF9">
        <w:rPr>
          <w:bCs/>
          <w:sz w:val="22"/>
          <w:szCs w:val="22"/>
        </w:rPr>
        <w:t>metyltionínchlorid</w:t>
      </w:r>
      <w:r w:rsidR="003A6FF9" w:rsidRPr="00BA0AF9">
        <w:rPr>
          <w:bCs/>
          <w:sz w:val="22"/>
          <w:szCs w:val="22"/>
        </w:rPr>
        <w:t>u</w:t>
      </w:r>
      <w:r w:rsidR="007B5B78" w:rsidRPr="00BA0AF9">
        <w:rPr>
          <w:bCs/>
          <w:sz w:val="22"/>
          <w:szCs w:val="22"/>
        </w:rPr>
        <w:t xml:space="preserve"> (metylénová modrá; predoperačné </w:t>
      </w:r>
      <w:r w:rsidR="00FD21C9" w:rsidRPr="00BA0AF9">
        <w:rPr>
          <w:bCs/>
          <w:sz w:val="22"/>
          <w:szCs w:val="22"/>
        </w:rPr>
        <w:t>vizualizačné</w:t>
      </w:r>
      <w:r w:rsidR="00505B3C" w:rsidRPr="00BA0AF9">
        <w:rPr>
          <w:bCs/>
          <w:sz w:val="22"/>
          <w:szCs w:val="22"/>
        </w:rPr>
        <w:t xml:space="preserve"> </w:t>
      </w:r>
      <w:r w:rsidR="007B5B78" w:rsidRPr="00BA0AF9">
        <w:rPr>
          <w:bCs/>
          <w:sz w:val="22"/>
          <w:szCs w:val="22"/>
        </w:rPr>
        <w:t xml:space="preserve">činidlo, ktoré je reverzibilným neselektívnym </w:t>
      </w:r>
      <w:r w:rsidR="0012619A" w:rsidRPr="00BA0AF9">
        <w:rPr>
          <w:bCs/>
          <w:sz w:val="22"/>
          <w:szCs w:val="22"/>
        </w:rPr>
        <w:t>I</w:t>
      </w:r>
      <w:r w:rsidR="007B5B78" w:rsidRPr="00BA0AF9">
        <w:rPr>
          <w:bCs/>
          <w:sz w:val="22"/>
          <w:szCs w:val="22"/>
        </w:rPr>
        <w:t>MAO)</w:t>
      </w:r>
      <w:r w:rsidRPr="00BA0AF9">
        <w:rPr>
          <w:sz w:val="22"/>
          <w:szCs w:val="22"/>
        </w:rPr>
        <w:t>).</w:t>
      </w:r>
    </w:p>
    <w:p w14:paraId="504DDADC" w14:textId="77777777" w:rsidR="00140CF8" w:rsidRPr="00BA0AF9" w:rsidRDefault="00140CF8" w:rsidP="004B7B54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Medzi prerušením liečby paroxetínom a začatím liečby akýmkoľvek </w:t>
      </w:r>
      <w:r w:rsidR="0012619A" w:rsidRPr="00BA0AF9">
        <w:rPr>
          <w:sz w:val="22"/>
          <w:szCs w:val="22"/>
        </w:rPr>
        <w:t>I</w:t>
      </w:r>
      <w:r w:rsidRPr="00BA0AF9">
        <w:rPr>
          <w:sz w:val="22"/>
          <w:szCs w:val="22"/>
        </w:rPr>
        <w:t>MAO musí uplynúť</w:t>
      </w:r>
      <w:r w:rsidR="004B7B54" w:rsidRPr="00BA0AF9">
        <w:rPr>
          <w:sz w:val="22"/>
          <w:szCs w:val="22"/>
        </w:rPr>
        <w:t xml:space="preserve"> </w:t>
      </w:r>
      <w:r w:rsidRPr="00BA0AF9">
        <w:rPr>
          <w:sz w:val="22"/>
          <w:szCs w:val="22"/>
        </w:rPr>
        <w:t>najmenej jeden týždeň.</w:t>
      </w:r>
    </w:p>
    <w:p w14:paraId="55D20632" w14:textId="77777777" w:rsidR="00140CF8" w:rsidRPr="00BA0AF9" w:rsidRDefault="00140CF8">
      <w:pPr>
        <w:spacing w:line="260" w:lineRule="exact"/>
        <w:ind w:left="567" w:hanging="567"/>
        <w:rPr>
          <w:sz w:val="22"/>
          <w:szCs w:val="22"/>
        </w:rPr>
      </w:pPr>
    </w:p>
    <w:p w14:paraId="75448D45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Paroxetín sa nesmie používať v kombinácii s tioridazínom, pretože, tak ako iné lieky, ktoré inhibujú pečeňový enzým CYP450 2D6, paroxetín môže zvýšiť plazmatické hladiny tioridazínu (pozri časť</w:t>
      </w:r>
      <w:r w:rsidR="007F1275" w:rsidRPr="00BA0AF9">
        <w:rPr>
          <w:rFonts w:ascii="Times New Roman" w:hAnsi="Times New Roman"/>
          <w:color w:val="auto"/>
          <w:sz w:val="22"/>
          <w:szCs w:val="22"/>
        </w:rPr>
        <w:t> </w:t>
      </w:r>
      <w:r w:rsidRPr="00BA0AF9">
        <w:rPr>
          <w:rFonts w:ascii="Times New Roman" w:hAnsi="Times New Roman"/>
          <w:color w:val="auto"/>
          <w:sz w:val="22"/>
          <w:szCs w:val="22"/>
        </w:rPr>
        <w:t>4.5 Liekové a iné interakcie). Podávanie samostatného tioridazínu môže viesť k predĺženiu QTc intervalu v spojení so závažnou komorovou arytmiou</w:t>
      </w:r>
      <w:r w:rsidR="003F7869" w:rsidRPr="00BA0AF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50F17" w:rsidRPr="00BA0AF9">
        <w:rPr>
          <w:rFonts w:ascii="Times New Roman" w:hAnsi="Times New Roman"/>
          <w:color w:val="auto"/>
          <w:sz w:val="22"/>
          <w:szCs w:val="22"/>
        </w:rPr>
        <w:t xml:space="preserve">ako je </w:t>
      </w:r>
      <w:r w:rsidR="00C1347E" w:rsidRPr="00BA0AF9">
        <w:rPr>
          <w:rFonts w:ascii="Times New Roman" w:hAnsi="Times New Roman"/>
          <w:i/>
          <w:color w:val="auto"/>
          <w:sz w:val="22"/>
          <w:szCs w:val="22"/>
        </w:rPr>
        <w:t>t</w:t>
      </w:r>
      <w:r w:rsidR="00E47E85" w:rsidRPr="00BA0AF9">
        <w:rPr>
          <w:rFonts w:ascii="Times New Roman" w:hAnsi="Times New Roman"/>
          <w:i/>
          <w:color w:val="auto"/>
          <w:sz w:val="22"/>
          <w:szCs w:val="22"/>
        </w:rPr>
        <w:t>orsade</w:t>
      </w:r>
      <w:r w:rsidR="00432BBE" w:rsidRPr="00BA0AF9">
        <w:rPr>
          <w:rFonts w:ascii="Times New Roman" w:hAnsi="Times New Roman"/>
          <w:i/>
          <w:color w:val="auto"/>
          <w:sz w:val="22"/>
          <w:szCs w:val="22"/>
        </w:rPr>
        <w:t>s</w:t>
      </w:r>
      <w:r w:rsidR="00C1347E" w:rsidRPr="00BA0AF9">
        <w:rPr>
          <w:rFonts w:ascii="Times New Roman" w:hAnsi="Times New Roman"/>
          <w:i/>
          <w:color w:val="auto"/>
          <w:sz w:val="22"/>
          <w:szCs w:val="22"/>
        </w:rPr>
        <w:t xml:space="preserve"> de p</w:t>
      </w:r>
      <w:r w:rsidR="00E47E85" w:rsidRPr="00BA0AF9">
        <w:rPr>
          <w:rFonts w:ascii="Times New Roman" w:hAnsi="Times New Roman"/>
          <w:i/>
          <w:color w:val="auto"/>
          <w:sz w:val="22"/>
          <w:szCs w:val="22"/>
        </w:rPr>
        <w:t>ointes</w:t>
      </w:r>
      <w:r w:rsidR="00E47E85" w:rsidRPr="00BA0AF9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BA0AF9">
        <w:rPr>
          <w:rFonts w:ascii="Times New Roman" w:hAnsi="Times New Roman"/>
          <w:color w:val="auto"/>
          <w:sz w:val="22"/>
          <w:szCs w:val="22"/>
        </w:rPr>
        <w:t>a náhlou smrťou.</w:t>
      </w:r>
    </w:p>
    <w:p w14:paraId="61EC797D" w14:textId="77777777" w:rsidR="007E656F" w:rsidRPr="00BA0AF9" w:rsidRDefault="007E656F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47FDA021" w14:textId="77777777" w:rsidR="00534ADF" w:rsidRPr="00BA0AF9" w:rsidRDefault="00534ADF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Paroxetín sa nesmie používať v kombinácii s pimozidom (pozri časť 4.5 Liekové a iné interakcie).</w:t>
      </w:r>
    </w:p>
    <w:p w14:paraId="67F4E528" w14:textId="77777777" w:rsidR="00534ADF" w:rsidRPr="00BA0AF9" w:rsidRDefault="00534ADF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39082133" w14:textId="77777777" w:rsidR="00140CF8" w:rsidRPr="00BA0AF9" w:rsidRDefault="00140CF8">
      <w:pPr>
        <w:spacing w:line="260" w:lineRule="exact"/>
        <w:ind w:left="567" w:hanging="567"/>
        <w:rPr>
          <w:sz w:val="22"/>
          <w:szCs w:val="22"/>
        </w:rPr>
      </w:pPr>
      <w:r w:rsidRPr="00BA0AF9">
        <w:rPr>
          <w:b/>
          <w:sz w:val="22"/>
          <w:szCs w:val="22"/>
        </w:rPr>
        <w:t>4.4</w:t>
      </w:r>
      <w:r w:rsidRPr="00BA0AF9">
        <w:rPr>
          <w:b/>
          <w:sz w:val="22"/>
          <w:szCs w:val="22"/>
        </w:rPr>
        <w:tab/>
        <w:t>Osobitné upozornenia a opatrenia pri používaní</w:t>
      </w:r>
    </w:p>
    <w:p w14:paraId="07EE6A10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606794B1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Liečba paroxetínom sa má začať opatrne až po dvoch týždňoch po ukončení liečby ireverzibilným </w:t>
      </w:r>
      <w:r w:rsidR="0012619A" w:rsidRPr="00BA0AF9">
        <w:rPr>
          <w:sz w:val="22"/>
          <w:szCs w:val="22"/>
        </w:rPr>
        <w:t>I</w:t>
      </w:r>
      <w:r w:rsidRPr="00BA0AF9">
        <w:rPr>
          <w:sz w:val="22"/>
          <w:szCs w:val="22"/>
        </w:rPr>
        <w:t>MAO alebo po 24 hodinách po ukončení liečby reverzibilným inhibítorom MAO. Dávky paroxetínu sa majú postupne zvyšovať až dovtedy, kým sa nedosiahne optimálna odpoveď (pozri časť</w:t>
      </w:r>
      <w:r w:rsidR="007F1275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4.3 Kontraindikácie a časť 4.5 Liekové a iné interakcie).</w:t>
      </w:r>
    </w:p>
    <w:p w14:paraId="00C042F1" w14:textId="77777777" w:rsidR="00140CF8" w:rsidRPr="00BA0AF9" w:rsidRDefault="00140CF8">
      <w:pPr>
        <w:spacing w:line="260" w:lineRule="exact"/>
        <w:rPr>
          <w:strike/>
          <w:sz w:val="22"/>
          <w:szCs w:val="22"/>
        </w:rPr>
      </w:pPr>
    </w:p>
    <w:p w14:paraId="6AD4B598" w14:textId="77777777" w:rsidR="00140CF8" w:rsidRPr="00BA0AF9" w:rsidRDefault="00F16EC7">
      <w:pPr>
        <w:spacing w:line="260" w:lineRule="exact"/>
        <w:rPr>
          <w:i/>
          <w:sz w:val="22"/>
          <w:szCs w:val="22"/>
        </w:rPr>
      </w:pPr>
      <w:r w:rsidRPr="00BA0AF9">
        <w:rPr>
          <w:b/>
          <w:i/>
          <w:sz w:val="22"/>
          <w:szCs w:val="22"/>
        </w:rPr>
        <w:t>Pediatrická populácia</w:t>
      </w:r>
    </w:p>
    <w:p w14:paraId="7D478233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Paroxetín sa nesmie používať na liečbu detí a </w:t>
      </w:r>
      <w:r w:rsidR="000270CA" w:rsidRPr="00BA0AF9">
        <w:rPr>
          <w:sz w:val="22"/>
          <w:szCs w:val="22"/>
        </w:rPr>
        <w:t>dospievajúcich</w:t>
      </w:r>
      <w:r w:rsidRPr="00BA0AF9">
        <w:rPr>
          <w:sz w:val="22"/>
          <w:szCs w:val="22"/>
        </w:rPr>
        <w:t xml:space="preserve"> mladších ako 18 rokov. </w:t>
      </w:r>
      <w:r w:rsidR="00BB31E5" w:rsidRPr="00BA0AF9">
        <w:rPr>
          <w:sz w:val="22"/>
          <w:szCs w:val="22"/>
        </w:rPr>
        <w:t>S</w:t>
      </w:r>
      <w:r w:rsidRPr="00BA0AF9">
        <w:rPr>
          <w:sz w:val="22"/>
          <w:szCs w:val="22"/>
        </w:rPr>
        <w:t>právani</w:t>
      </w:r>
      <w:r w:rsidR="00BB31E5" w:rsidRPr="00BA0AF9">
        <w:rPr>
          <w:sz w:val="22"/>
          <w:szCs w:val="22"/>
        </w:rPr>
        <w:t>e</w:t>
      </w:r>
      <w:r w:rsidRPr="00BA0AF9">
        <w:rPr>
          <w:sz w:val="22"/>
          <w:szCs w:val="22"/>
        </w:rPr>
        <w:t xml:space="preserve"> spojené so</w:t>
      </w:r>
      <w:r w:rsidR="00341E52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samovraždou (pokus o samovraždu a samovražedné myšlienky) a nepriateľstv</w:t>
      </w:r>
      <w:r w:rsidR="00BB31E5" w:rsidRPr="00BA0AF9">
        <w:rPr>
          <w:sz w:val="22"/>
          <w:szCs w:val="22"/>
        </w:rPr>
        <w:t>o</w:t>
      </w:r>
      <w:r w:rsidRPr="00BA0AF9">
        <w:rPr>
          <w:sz w:val="22"/>
          <w:szCs w:val="22"/>
        </w:rPr>
        <w:t xml:space="preserve"> (hlavne agresia, nepriateľské správanie a hnev) </w:t>
      </w:r>
      <w:r w:rsidR="00BB31E5" w:rsidRPr="00BA0AF9">
        <w:rPr>
          <w:sz w:val="22"/>
          <w:szCs w:val="22"/>
        </w:rPr>
        <w:t>boli v klinických štúdiách pozorované častejšie u detí a </w:t>
      </w:r>
      <w:r w:rsidR="000270CA" w:rsidRPr="00BA0AF9">
        <w:rPr>
          <w:sz w:val="22"/>
          <w:szCs w:val="22"/>
        </w:rPr>
        <w:t>dospievajúcich</w:t>
      </w:r>
      <w:r w:rsidR="00BB31E5" w:rsidRPr="00BA0AF9">
        <w:rPr>
          <w:sz w:val="22"/>
          <w:szCs w:val="22"/>
        </w:rPr>
        <w:t xml:space="preserve"> liečených antidepresívami </w:t>
      </w:r>
      <w:r w:rsidRPr="00BA0AF9">
        <w:rPr>
          <w:sz w:val="22"/>
          <w:szCs w:val="22"/>
        </w:rPr>
        <w:t>v porovnaní s deťmi a</w:t>
      </w:r>
      <w:r w:rsidR="000A7125" w:rsidRPr="00BA0AF9">
        <w:rPr>
          <w:sz w:val="22"/>
          <w:szCs w:val="22"/>
        </w:rPr>
        <w:t xml:space="preserve"> dospievajúcimi </w:t>
      </w:r>
      <w:r w:rsidRPr="00BA0AF9">
        <w:rPr>
          <w:sz w:val="22"/>
          <w:szCs w:val="22"/>
        </w:rPr>
        <w:t xml:space="preserve">liečenými placebom. </w:t>
      </w:r>
      <w:r w:rsidR="00BB31E5" w:rsidRPr="00BA0AF9">
        <w:rPr>
          <w:sz w:val="22"/>
          <w:szCs w:val="22"/>
        </w:rPr>
        <w:t xml:space="preserve">Ak sa na základe klinickej potreby napriek tomu prijme rozhodnutie pre liečbu, pacient má byť pozorne sledovaný </w:t>
      </w:r>
      <w:r w:rsidR="00DA5879" w:rsidRPr="00BA0AF9">
        <w:rPr>
          <w:sz w:val="22"/>
          <w:szCs w:val="22"/>
        </w:rPr>
        <w:t>k</w:t>
      </w:r>
      <w:r w:rsidR="0067287E" w:rsidRPr="00BA0AF9">
        <w:rPr>
          <w:sz w:val="22"/>
          <w:szCs w:val="22"/>
        </w:rPr>
        <w:t>v</w:t>
      </w:r>
      <w:r w:rsidR="00DA5879" w:rsidRPr="00BA0AF9">
        <w:rPr>
          <w:sz w:val="22"/>
          <w:szCs w:val="22"/>
        </w:rPr>
        <w:t>ôli</w:t>
      </w:r>
      <w:r w:rsidR="00BB31E5" w:rsidRPr="00BA0AF9">
        <w:rPr>
          <w:sz w:val="22"/>
          <w:szCs w:val="22"/>
        </w:rPr>
        <w:t xml:space="preserve"> vznik</w:t>
      </w:r>
      <w:r w:rsidR="00DA5879" w:rsidRPr="00BA0AF9">
        <w:rPr>
          <w:sz w:val="22"/>
          <w:szCs w:val="22"/>
        </w:rPr>
        <w:t>u</w:t>
      </w:r>
      <w:r w:rsidR="00BB31E5" w:rsidRPr="00BA0AF9">
        <w:rPr>
          <w:sz w:val="22"/>
          <w:szCs w:val="22"/>
        </w:rPr>
        <w:t xml:space="preserve"> samovražedných symptómov. O</w:t>
      </w:r>
      <w:r w:rsidRPr="00BA0AF9">
        <w:rPr>
          <w:sz w:val="22"/>
          <w:szCs w:val="22"/>
        </w:rPr>
        <w:t>krem toho chýbajú údaje o dlhodobej bezpečnosti u detí a </w:t>
      </w:r>
      <w:r w:rsidR="000270CA" w:rsidRPr="00BA0AF9">
        <w:rPr>
          <w:sz w:val="22"/>
          <w:szCs w:val="22"/>
        </w:rPr>
        <w:t>dospievajúcich</w:t>
      </w:r>
      <w:r w:rsidRPr="00BA0AF9">
        <w:rPr>
          <w:sz w:val="22"/>
          <w:szCs w:val="22"/>
        </w:rPr>
        <w:t xml:space="preserve"> týkajúce sa rastu, dospievania a kognití</w:t>
      </w:r>
      <w:r w:rsidR="00674296" w:rsidRPr="00BA0AF9">
        <w:rPr>
          <w:sz w:val="22"/>
          <w:szCs w:val="22"/>
        </w:rPr>
        <w:t>vneho a behaviorálneho vývoja.</w:t>
      </w:r>
    </w:p>
    <w:p w14:paraId="3B5ADF2E" w14:textId="77777777" w:rsidR="00893614" w:rsidRPr="00BA0AF9" w:rsidRDefault="00893614">
      <w:pPr>
        <w:spacing w:line="260" w:lineRule="exact"/>
        <w:rPr>
          <w:sz w:val="22"/>
          <w:szCs w:val="22"/>
        </w:rPr>
      </w:pPr>
    </w:p>
    <w:p w14:paraId="2830BCE8" w14:textId="77777777" w:rsidR="00893614" w:rsidRPr="00BA0AF9" w:rsidRDefault="00893614" w:rsidP="00893614">
      <w:pPr>
        <w:spacing w:line="260" w:lineRule="exact"/>
        <w:rPr>
          <w:sz w:val="22"/>
          <w:szCs w:val="22"/>
          <w:u w:val="single"/>
        </w:rPr>
      </w:pPr>
      <w:r w:rsidRPr="00BA0AF9">
        <w:rPr>
          <w:b/>
          <w:sz w:val="22"/>
          <w:szCs w:val="22"/>
        </w:rPr>
        <w:t xml:space="preserve">Samovražda/samovražedné </w:t>
      </w:r>
      <w:r w:rsidR="00244FB7" w:rsidRPr="00BA0AF9">
        <w:rPr>
          <w:b/>
          <w:sz w:val="22"/>
          <w:szCs w:val="22"/>
        </w:rPr>
        <w:t>myšlienky alebo zhoršenie klinického stavu</w:t>
      </w:r>
    </w:p>
    <w:p w14:paraId="70CBD7E9" w14:textId="77777777" w:rsidR="00E17A02" w:rsidRPr="00BA0AF9" w:rsidRDefault="00893614" w:rsidP="00387B69">
      <w:pPr>
        <w:pStyle w:val="Normlndobloku"/>
        <w:jc w:val="left"/>
        <w:rPr>
          <w:rFonts w:ascii="Times New Roman" w:hAnsi="Times New Roman"/>
          <w:szCs w:val="22"/>
        </w:rPr>
      </w:pPr>
      <w:r w:rsidRPr="00BA0AF9">
        <w:rPr>
          <w:rFonts w:ascii="Times New Roman" w:hAnsi="Times New Roman"/>
          <w:szCs w:val="22"/>
        </w:rPr>
        <w:t xml:space="preserve">Depresia sa </w:t>
      </w:r>
      <w:r w:rsidR="00BC2C19" w:rsidRPr="00BA0AF9">
        <w:rPr>
          <w:rFonts w:ascii="Times New Roman" w:hAnsi="Times New Roman"/>
          <w:color w:val="000000"/>
          <w:szCs w:val="22"/>
        </w:rPr>
        <w:t>dáva do súvislosti</w:t>
      </w:r>
      <w:r w:rsidRPr="00BA0AF9">
        <w:rPr>
          <w:rFonts w:ascii="Times New Roman" w:hAnsi="Times New Roman"/>
          <w:szCs w:val="22"/>
        </w:rPr>
        <w:t xml:space="preserve"> so zvýšeným rizikom samovražedných myšlienok, sebapoškodzovania a samovraždy</w:t>
      </w:r>
      <w:r w:rsidR="00244FB7" w:rsidRPr="00BA0AF9">
        <w:rPr>
          <w:rFonts w:ascii="Times New Roman" w:hAnsi="Times New Roman"/>
          <w:szCs w:val="22"/>
        </w:rPr>
        <w:t xml:space="preserve"> (udalosti súvisiace so samovraždou). </w:t>
      </w:r>
      <w:r w:rsidRPr="00BA0AF9">
        <w:rPr>
          <w:rFonts w:ascii="Times New Roman" w:hAnsi="Times New Roman"/>
          <w:szCs w:val="22"/>
        </w:rPr>
        <w:t xml:space="preserve">Toto riziko pretrváva až </w:t>
      </w:r>
      <w:r w:rsidR="00BC2C19" w:rsidRPr="00BA0AF9">
        <w:rPr>
          <w:rFonts w:ascii="Times New Roman" w:hAnsi="Times New Roman"/>
          <w:color w:val="000000"/>
          <w:szCs w:val="22"/>
        </w:rPr>
        <w:t>do nástupu zjavnej remisie</w:t>
      </w:r>
      <w:r w:rsidRPr="00BA0AF9">
        <w:rPr>
          <w:rFonts w:ascii="Times New Roman" w:hAnsi="Times New Roman"/>
          <w:szCs w:val="22"/>
        </w:rPr>
        <w:t xml:space="preserve">. Nakoľko </w:t>
      </w:r>
      <w:r w:rsidR="00E17A02" w:rsidRPr="00BA0AF9">
        <w:rPr>
          <w:rFonts w:ascii="Times New Roman" w:hAnsi="Times New Roman"/>
          <w:szCs w:val="22"/>
        </w:rPr>
        <w:t xml:space="preserve">sa </w:t>
      </w:r>
      <w:r w:rsidRPr="00BA0AF9">
        <w:rPr>
          <w:rFonts w:ascii="Times New Roman" w:hAnsi="Times New Roman"/>
          <w:szCs w:val="22"/>
        </w:rPr>
        <w:t xml:space="preserve">zlepšenie nemusí prejaviť počas prvých </w:t>
      </w:r>
      <w:r w:rsidR="00E17A02" w:rsidRPr="00BA0AF9">
        <w:rPr>
          <w:rFonts w:ascii="Times New Roman" w:hAnsi="Times New Roman"/>
          <w:szCs w:val="22"/>
        </w:rPr>
        <w:t xml:space="preserve">niekoľkých </w:t>
      </w:r>
      <w:r w:rsidRPr="00BA0AF9">
        <w:rPr>
          <w:rFonts w:ascii="Times New Roman" w:hAnsi="Times New Roman"/>
          <w:szCs w:val="22"/>
        </w:rPr>
        <w:t>alebo viacerých týždňov liečby, pacienti musia byť starostlivo sledovaní</w:t>
      </w:r>
      <w:r w:rsidR="00E17A02" w:rsidRPr="00BA0AF9">
        <w:rPr>
          <w:rFonts w:ascii="Times New Roman" w:hAnsi="Times New Roman"/>
          <w:szCs w:val="22"/>
        </w:rPr>
        <w:t>,</w:t>
      </w:r>
      <w:r w:rsidRPr="00BA0AF9">
        <w:rPr>
          <w:rFonts w:ascii="Times New Roman" w:hAnsi="Times New Roman"/>
          <w:szCs w:val="22"/>
        </w:rPr>
        <w:t xml:space="preserve"> až kým </w:t>
      </w:r>
      <w:r w:rsidR="00E17A02" w:rsidRPr="00BA0AF9">
        <w:rPr>
          <w:rFonts w:ascii="Times New Roman" w:hAnsi="Times New Roman"/>
          <w:szCs w:val="22"/>
        </w:rPr>
        <w:t>nenastane zlepšenie</w:t>
      </w:r>
      <w:r w:rsidRPr="00BA0AF9">
        <w:rPr>
          <w:rFonts w:ascii="Times New Roman" w:hAnsi="Times New Roman"/>
          <w:szCs w:val="22"/>
        </w:rPr>
        <w:t xml:space="preserve">. </w:t>
      </w:r>
      <w:r w:rsidR="00E17A02" w:rsidRPr="00BA0AF9">
        <w:rPr>
          <w:rFonts w:ascii="Times New Roman" w:hAnsi="Times New Roman"/>
          <w:szCs w:val="22"/>
        </w:rPr>
        <w:t>Vo všeobecnosti klinické skúsenosti ukazujú, že riziko samovraždy sa môže zvýšiť v skorých štádiách zotavovania.</w:t>
      </w:r>
    </w:p>
    <w:p w14:paraId="5726F85C" w14:textId="77777777" w:rsidR="00893614" w:rsidRPr="00BA0AF9" w:rsidRDefault="00893614" w:rsidP="001F45F1">
      <w:pPr>
        <w:spacing w:line="260" w:lineRule="exact"/>
        <w:rPr>
          <w:sz w:val="22"/>
          <w:szCs w:val="22"/>
        </w:rPr>
      </w:pPr>
    </w:p>
    <w:p w14:paraId="0D12BEDC" w14:textId="77777777" w:rsidR="00E17A02" w:rsidRPr="00BA0AF9" w:rsidRDefault="00E17A02" w:rsidP="00387B69">
      <w:pPr>
        <w:pStyle w:val="Normlndobloku"/>
        <w:jc w:val="left"/>
        <w:rPr>
          <w:rFonts w:ascii="Times New Roman" w:hAnsi="Times New Roman"/>
          <w:szCs w:val="22"/>
        </w:rPr>
      </w:pPr>
      <w:r w:rsidRPr="00BA0AF9">
        <w:rPr>
          <w:rFonts w:ascii="Times New Roman" w:hAnsi="Times New Roman"/>
          <w:szCs w:val="22"/>
        </w:rPr>
        <w:t>Iné psychiatrické stavy, na liečbu ktorých bol</w:t>
      </w:r>
      <w:r w:rsidRPr="00BA0AF9" w:rsidDel="008C5788">
        <w:rPr>
          <w:rFonts w:ascii="Times New Roman" w:hAnsi="Times New Roman"/>
          <w:szCs w:val="22"/>
        </w:rPr>
        <w:t xml:space="preserve"> </w:t>
      </w:r>
      <w:r w:rsidRPr="00BA0AF9">
        <w:rPr>
          <w:rFonts w:ascii="Times New Roman" w:hAnsi="Times New Roman"/>
          <w:szCs w:val="22"/>
        </w:rPr>
        <w:t>paroxetín predpísaný, môžu byť tiež spojené so zvýšeným rizikom suicidálneho správania. Okrem toho, tieto stavy môžu byť spojené s veľkou</w:t>
      </w:r>
      <w:r w:rsidR="00B039BC" w:rsidRPr="00BA0AF9">
        <w:rPr>
          <w:rFonts w:ascii="Times New Roman" w:hAnsi="Times New Roman"/>
          <w:szCs w:val="22"/>
          <w:lang w:val="sk-SK"/>
        </w:rPr>
        <w:t> </w:t>
      </w:r>
      <w:r w:rsidRPr="00BA0AF9">
        <w:rPr>
          <w:rFonts w:ascii="Times New Roman" w:hAnsi="Times New Roman"/>
          <w:szCs w:val="22"/>
        </w:rPr>
        <w:t>depresívnou poruchou. Rovnaké opatrenia dodržiavané pri liečbe pacientov s veľkou depresívnou poruchou majú byť dodržiavané aj pri liečbe pacientov s inými psychiatrickými poruchami.</w:t>
      </w:r>
    </w:p>
    <w:p w14:paraId="2330C4CE" w14:textId="77777777" w:rsidR="00BC6ECC" w:rsidRPr="00BA0AF9" w:rsidRDefault="00BC6ECC" w:rsidP="001F45F1">
      <w:pPr>
        <w:pStyle w:val="Normlndobloku"/>
        <w:jc w:val="left"/>
        <w:rPr>
          <w:rFonts w:ascii="Times New Roman" w:hAnsi="Times New Roman"/>
          <w:szCs w:val="22"/>
        </w:rPr>
      </w:pPr>
    </w:p>
    <w:p w14:paraId="20FAE63C" w14:textId="77777777" w:rsidR="00E17A02" w:rsidRPr="00BA0AF9" w:rsidRDefault="00E17A02" w:rsidP="00387B69">
      <w:pPr>
        <w:pStyle w:val="Normlndobloku"/>
        <w:jc w:val="left"/>
        <w:rPr>
          <w:rFonts w:ascii="Times New Roman" w:hAnsi="Times New Roman"/>
          <w:szCs w:val="22"/>
        </w:rPr>
      </w:pPr>
      <w:r w:rsidRPr="00BA0AF9">
        <w:rPr>
          <w:rFonts w:ascii="Times New Roman" w:hAnsi="Times New Roman"/>
          <w:szCs w:val="22"/>
        </w:rPr>
        <w:t xml:space="preserve">Pacienti s anamnézou </w:t>
      </w:r>
      <w:proofErr w:type="spellStart"/>
      <w:r w:rsidRPr="00BA0AF9">
        <w:rPr>
          <w:rFonts w:ascii="Times New Roman" w:hAnsi="Times New Roman"/>
          <w:szCs w:val="22"/>
        </w:rPr>
        <w:t>suicidálnych</w:t>
      </w:r>
      <w:proofErr w:type="spellEnd"/>
      <w:r w:rsidRPr="00BA0AF9">
        <w:rPr>
          <w:rFonts w:ascii="Times New Roman" w:hAnsi="Times New Roman"/>
          <w:szCs w:val="22"/>
        </w:rPr>
        <w:t xml:space="preserve"> príhod alebo významnými prejavmi samovražedných myšlienok pred začatím liečby majú väčšie riziko samovražedných myšlienok alebo samovražedných pokusov, a preto majú byť starostlivo sledovaní počas liečby.</w:t>
      </w:r>
    </w:p>
    <w:p w14:paraId="545F45A4" w14:textId="77777777" w:rsidR="00BC6ECC" w:rsidRPr="00BA0AF9" w:rsidRDefault="00BC6ECC" w:rsidP="001F45F1">
      <w:pPr>
        <w:pStyle w:val="Normlndobloku"/>
        <w:jc w:val="left"/>
        <w:rPr>
          <w:rFonts w:ascii="Times New Roman" w:hAnsi="Times New Roman"/>
          <w:szCs w:val="22"/>
        </w:rPr>
      </w:pPr>
    </w:p>
    <w:p w14:paraId="65FF871B" w14:textId="77777777" w:rsidR="00E17A02" w:rsidRPr="00BA0AF9" w:rsidRDefault="00E17A02" w:rsidP="001F45F1">
      <w:pPr>
        <w:pStyle w:val="Normlndobloku"/>
        <w:jc w:val="left"/>
        <w:rPr>
          <w:rFonts w:ascii="Times New Roman" w:hAnsi="Times New Roman"/>
          <w:szCs w:val="22"/>
        </w:rPr>
      </w:pPr>
      <w:proofErr w:type="spellStart"/>
      <w:r w:rsidRPr="00BA0AF9">
        <w:rPr>
          <w:rFonts w:ascii="Times New Roman" w:hAnsi="Times New Roman"/>
          <w:szCs w:val="22"/>
        </w:rPr>
        <w:t>Meta-analýza</w:t>
      </w:r>
      <w:proofErr w:type="spellEnd"/>
      <w:r w:rsidRPr="00BA0AF9">
        <w:rPr>
          <w:rFonts w:ascii="Times New Roman" w:hAnsi="Times New Roman"/>
          <w:szCs w:val="22"/>
        </w:rPr>
        <w:t xml:space="preserve"> placebom kontrolovaných klinických skúšaní antidepresívnych liekov u dospelých pacientov so psychiatrickými poruchami ukázala zvýšené riziko samovražedného správania s antidepresívami v porovnaní s placebom u pacientov mladších ako 25 rokov (pozri tiež časť 5.1).</w:t>
      </w:r>
    </w:p>
    <w:p w14:paraId="16EF118B" w14:textId="77777777" w:rsidR="00BC6ECC" w:rsidRPr="00BA0AF9" w:rsidRDefault="00BC6ECC" w:rsidP="00387B69">
      <w:pPr>
        <w:pStyle w:val="Normlndobloku"/>
        <w:jc w:val="left"/>
        <w:rPr>
          <w:rFonts w:ascii="Times New Roman" w:hAnsi="Times New Roman"/>
          <w:szCs w:val="22"/>
        </w:rPr>
      </w:pPr>
    </w:p>
    <w:p w14:paraId="6C80C933" w14:textId="77777777" w:rsidR="00E17A02" w:rsidRPr="00BA0AF9" w:rsidRDefault="00E17A02" w:rsidP="00BA0AF9">
      <w:pPr>
        <w:pStyle w:val="Normlndobloku"/>
        <w:keepNext/>
        <w:keepLines/>
        <w:jc w:val="left"/>
        <w:rPr>
          <w:rFonts w:ascii="Times New Roman" w:hAnsi="Times New Roman"/>
          <w:szCs w:val="22"/>
          <w:highlight w:val="yellow"/>
        </w:rPr>
      </w:pPr>
      <w:r w:rsidRPr="00BA0AF9">
        <w:rPr>
          <w:rFonts w:ascii="Times New Roman" w:hAnsi="Times New Roman"/>
          <w:szCs w:val="22"/>
        </w:rPr>
        <w:lastRenderedPageBreak/>
        <w:t xml:space="preserve">Pacientov, obzvlášť tých s vysokým rizikom suicidálnych myšlienok, je potrebné hlavne na začiatku liečby a po zmene dávkovania starostlivo monitorovať. Pacienti (a ich opatrovatelia) majú byť upozornení na potrebu sledovania výskytu klinického zhoršenia, samovražedného správania alebo </w:t>
      </w:r>
      <w:r w:rsidR="00910E03" w:rsidRPr="00BA0AF9">
        <w:rPr>
          <w:rFonts w:ascii="Times New Roman" w:hAnsi="Times New Roman"/>
          <w:szCs w:val="22"/>
        </w:rPr>
        <w:t xml:space="preserve">samovražedných </w:t>
      </w:r>
      <w:r w:rsidRPr="00BA0AF9">
        <w:rPr>
          <w:rFonts w:ascii="Times New Roman" w:hAnsi="Times New Roman"/>
          <w:szCs w:val="22"/>
        </w:rPr>
        <w:t>myšlienok a neobyčajných zmien v správaní a vyhľadať lekársku pomoc hneď, ako sa tieto príznaky objavia.</w:t>
      </w:r>
    </w:p>
    <w:p w14:paraId="23B3A337" w14:textId="77777777" w:rsidR="00DA49B5" w:rsidRPr="00BA0AF9" w:rsidRDefault="00DA49B5" w:rsidP="001F45F1">
      <w:pPr>
        <w:spacing w:line="260" w:lineRule="exact"/>
        <w:rPr>
          <w:sz w:val="22"/>
          <w:szCs w:val="22"/>
        </w:rPr>
      </w:pPr>
    </w:p>
    <w:p w14:paraId="3D8927DB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Akatízia</w:t>
      </w:r>
      <w:r w:rsidR="002118A5" w:rsidRPr="00BA0AF9">
        <w:rPr>
          <w:b/>
          <w:sz w:val="22"/>
          <w:szCs w:val="22"/>
        </w:rPr>
        <w:t>/psychomotorický nepokoj</w:t>
      </w:r>
    </w:p>
    <w:p w14:paraId="51CAE336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Použitie paroxetínu bolo spojené s rozvojom akatízie, ktorá je charakterizovaná vnútorným pocitom nepokoja a psychomotorickou agitovanosťou ako je neschopnosť sedieť alebo stáť</w:t>
      </w:r>
      <w:r w:rsidR="005E2198" w:rsidRPr="00BA0AF9">
        <w:rPr>
          <w:sz w:val="22"/>
          <w:szCs w:val="22"/>
        </w:rPr>
        <w:t xml:space="preserve"> pokojne </w:t>
      </w:r>
      <w:r w:rsidRPr="00BA0AF9">
        <w:rPr>
          <w:sz w:val="22"/>
          <w:szCs w:val="22"/>
        </w:rPr>
        <w:t>zvyčajne spojené so subjektívnou tiesňou. Akatízia sa s najväčšou pravdepodobnosťou vyskytuje počas prvých niekoľkých týždňov liečby. U pacientov, u ktorých dôjde k týmto symptómom, môže byť zvyšovanie dávky</w:t>
      </w:r>
      <w:r w:rsidR="00674296" w:rsidRPr="00BA0AF9">
        <w:rPr>
          <w:sz w:val="22"/>
          <w:szCs w:val="22"/>
        </w:rPr>
        <w:t xml:space="preserve"> škodlivé.</w:t>
      </w:r>
    </w:p>
    <w:p w14:paraId="6F7B629C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6B82EC43" w14:textId="77777777" w:rsidR="00140CF8" w:rsidRPr="00BA0AF9" w:rsidRDefault="00AC42D8" w:rsidP="00860A98">
      <w:pPr>
        <w:keepNext/>
        <w:tabs>
          <w:tab w:val="left" w:pos="5640"/>
        </w:tabs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Séroton</w:t>
      </w:r>
      <w:r w:rsidR="00140CF8" w:rsidRPr="00BA0AF9">
        <w:rPr>
          <w:b/>
          <w:sz w:val="22"/>
          <w:szCs w:val="22"/>
        </w:rPr>
        <w:t>ínový syndróm/</w:t>
      </w:r>
      <w:r w:rsidR="001A688B" w:rsidRPr="00BA0AF9">
        <w:rPr>
          <w:b/>
          <w:sz w:val="22"/>
          <w:szCs w:val="22"/>
        </w:rPr>
        <w:t>m</w:t>
      </w:r>
      <w:r w:rsidR="00140CF8" w:rsidRPr="00BA0AF9">
        <w:rPr>
          <w:b/>
          <w:sz w:val="22"/>
          <w:szCs w:val="22"/>
        </w:rPr>
        <w:t>alígny neuroleptický syndróm</w:t>
      </w:r>
    </w:p>
    <w:p w14:paraId="18AEAE45" w14:textId="77777777" w:rsidR="00140CF8" w:rsidRPr="00BA0AF9" w:rsidRDefault="00140CF8" w:rsidP="000072D4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V zriedkavých prípadoch sa môže v súvislosti s liečbou paroxetínom vyskytnúť rozvoj </w:t>
      </w:r>
      <w:r w:rsidR="00AC42D8" w:rsidRPr="00BA0AF9">
        <w:rPr>
          <w:sz w:val="22"/>
          <w:szCs w:val="22"/>
        </w:rPr>
        <w:t>séroton</w:t>
      </w:r>
      <w:r w:rsidRPr="00BA0AF9">
        <w:rPr>
          <w:sz w:val="22"/>
          <w:szCs w:val="22"/>
        </w:rPr>
        <w:t xml:space="preserve">ínového syndrómu alebo príznakov podobných malígnemu neuroleptickému syndrómu, najmä ak sa podáva v kombinácii s ďalšími </w:t>
      </w:r>
      <w:r w:rsidR="00333285" w:rsidRPr="00BA0AF9">
        <w:rPr>
          <w:sz w:val="22"/>
          <w:szCs w:val="22"/>
        </w:rPr>
        <w:t>sérotonergnými</w:t>
      </w:r>
      <w:r w:rsidR="000A4425" w:rsidRPr="00BA0AF9">
        <w:rPr>
          <w:sz w:val="22"/>
          <w:szCs w:val="22"/>
        </w:rPr>
        <w:t xml:space="preserve"> </w:t>
      </w:r>
      <w:r w:rsidRPr="00BA0AF9">
        <w:rPr>
          <w:sz w:val="22"/>
          <w:szCs w:val="22"/>
        </w:rPr>
        <w:t xml:space="preserve">a/alebo neuroleptickými liekmi. Vzhľadom k tomu, že tieto syndrómy môžu viesť k potenciálne život ohrozujúcim stavom, liečba paroxetínom sa musí prerušiť, ak sa takéto príznaky (charakterizované skupinou symptómov ako sú hypertermia, rigidita, myoklónia, autonómna nestabilita s možnými rýchlymi výkyvmi známok života, zmeny v duševnom stave zahŕňajúce zmätenosť, podráždenosť, extrémnu agitovanosť s progresom do delíria a kómy) vyskytnú a musí sa začať podporná symptomatická liečba. Paroxetín sa nesmie používať v kombinácii s prekurzormi </w:t>
      </w:r>
      <w:r w:rsidR="00AC42D8" w:rsidRPr="00BA0AF9">
        <w:rPr>
          <w:sz w:val="22"/>
          <w:szCs w:val="22"/>
        </w:rPr>
        <w:t>séroton</w:t>
      </w:r>
      <w:r w:rsidRPr="00BA0AF9">
        <w:rPr>
          <w:sz w:val="22"/>
          <w:szCs w:val="22"/>
        </w:rPr>
        <w:t xml:space="preserve">ínu (ako je L-tryptofán, oxitriptan) z dôvodu rizika </w:t>
      </w:r>
      <w:r w:rsidR="00AC42D8" w:rsidRPr="00BA0AF9">
        <w:rPr>
          <w:sz w:val="22"/>
          <w:szCs w:val="22"/>
        </w:rPr>
        <w:t>séroton</w:t>
      </w:r>
      <w:r w:rsidRPr="00BA0AF9">
        <w:rPr>
          <w:sz w:val="22"/>
          <w:szCs w:val="22"/>
        </w:rPr>
        <w:t>ergného syndrómu (pozri časti</w:t>
      </w:r>
      <w:r w:rsidR="007F1275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4.3 Kontraindikácie a 4</w:t>
      </w:r>
      <w:r w:rsidR="00674296" w:rsidRPr="00BA0AF9">
        <w:rPr>
          <w:sz w:val="22"/>
          <w:szCs w:val="22"/>
        </w:rPr>
        <w:t>.5 Liekové a iné interakcie).</w:t>
      </w:r>
    </w:p>
    <w:p w14:paraId="00603E26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073CEA4F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b/>
          <w:sz w:val="22"/>
          <w:szCs w:val="22"/>
        </w:rPr>
        <w:t>Mánia</w:t>
      </w:r>
    </w:p>
    <w:p w14:paraId="46F59C83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Tak ako </w:t>
      </w:r>
      <w:r w:rsidR="00A367C9" w:rsidRPr="00BA0AF9">
        <w:rPr>
          <w:sz w:val="22"/>
          <w:szCs w:val="22"/>
        </w:rPr>
        <w:t>pri</w:t>
      </w:r>
      <w:r w:rsidRPr="00BA0AF9">
        <w:rPr>
          <w:sz w:val="22"/>
          <w:szCs w:val="22"/>
        </w:rPr>
        <w:t> všetkých antidepresív</w:t>
      </w:r>
      <w:r w:rsidR="00A367C9" w:rsidRPr="00BA0AF9">
        <w:rPr>
          <w:sz w:val="22"/>
          <w:szCs w:val="22"/>
        </w:rPr>
        <w:t>ach</w:t>
      </w:r>
      <w:r w:rsidRPr="00BA0AF9">
        <w:rPr>
          <w:sz w:val="22"/>
          <w:szCs w:val="22"/>
        </w:rPr>
        <w:t xml:space="preserve"> sa paroxetín musí používať opatrne u pacientov s mániou v anamnéze. Podávanie paroxetínu sa musí prerušiť u akéhokoľvek pacienta, u </w:t>
      </w:r>
      <w:r w:rsidR="00674296" w:rsidRPr="00BA0AF9">
        <w:rPr>
          <w:sz w:val="22"/>
          <w:szCs w:val="22"/>
        </w:rPr>
        <w:t>ktorého sa začne m</w:t>
      </w:r>
      <w:r w:rsidR="008A339D" w:rsidRPr="00BA0AF9">
        <w:rPr>
          <w:sz w:val="22"/>
          <w:szCs w:val="22"/>
        </w:rPr>
        <w:t>a</w:t>
      </w:r>
      <w:r w:rsidR="00674296" w:rsidRPr="00BA0AF9">
        <w:rPr>
          <w:sz w:val="22"/>
          <w:szCs w:val="22"/>
        </w:rPr>
        <w:t>nická fáza.</w:t>
      </w:r>
    </w:p>
    <w:p w14:paraId="57821E34" w14:textId="77777777" w:rsidR="00C861B5" w:rsidRPr="00BA0AF9" w:rsidRDefault="00C861B5">
      <w:pPr>
        <w:spacing w:line="260" w:lineRule="exact"/>
        <w:rPr>
          <w:sz w:val="22"/>
          <w:szCs w:val="22"/>
        </w:rPr>
      </w:pPr>
    </w:p>
    <w:p w14:paraId="35CD8C87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Porucha funkcie obličiek/pečene</w:t>
      </w:r>
    </w:p>
    <w:p w14:paraId="2994F681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Opatrnosť sa odporúča u pacientov s ťažkou poruchou funkcie obličiek alebo u pacientov s poruchou funkcie pečene (pozri časť</w:t>
      </w:r>
      <w:r w:rsidR="007F1275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4.2 Dávkovanie a spôsob podávania).</w:t>
      </w:r>
    </w:p>
    <w:p w14:paraId="52C17613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62DB8E1E" w14:textId="77777777" w:rsidR="00140CF8" w:rsidRPr="00BA0AF9" w:rsidRDefault="00140CF8" w:rsidP="00E83BB1">
      <w:pPr>
        <w:keepNext/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Diabetes</w:t>
      </w:r>
    </w:p>
    <w:p w14:paraId="1BE7FF39" w14:textId="77777777" w:rsidR="00140CF8" w:rsidRPr="00BA0AF9" w:rsidRDefault="00140CF8" w:rsidP="00E83BB1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U pacientov s diabetom môže liečba SSRI ovplyvniť kompenzáciu diabetu. Je možné, že bude potrebné upraviť dávkovanie inzulínu a/alebo perorálnych hypoglykemík.</w:t>
      </w:r>
      <w:r w:rsidR="00175FEF" w:rsidRPr="00BA0AF9">
        <w:rPr>
          <w:sz w:val="22"/>
          <w:szCs w:val="22"/>
        </w:rPr>
        <w:t xml:space="preserve"> Okrem toho</w:t>
      </w:r>
      <w:r w:rsidR="00673E7C" w:rsidRPr="00BA0AF9">
        <w:rPr>
          <w:sz w:val="22"/>
          <w:szCs w:val="22"/>
        </w:rPr>
        <w:t>,</w:t>
      </w:r>
      <w:r w:rsidR="00175FEF" w:rsidRPr="00BA0AF9">
        <w:rPr>
          <w:sz w:val="22"/>
          <w:szCs w:val="22"/>
        </w:rPr>
        <w:t xml:space="preserve"> štúdie poukazujú na zvýšené hladiny glukózy v krvi, ktoré sa môžu vyskytnúť pri súbežnom podávaní paroxetínu a</w:t>
      </w:r>
      <w:r w:rsidR="00673E7C" w:rsidRPr="00BA0AF9">
        <w:rPr>
          <w:sz w:val="22"/>
          <w:szCs w:val="22"/>
        </w:rPr>
        <w:t> </w:t>
      </w:r>
      <w:r w:rsidR="00175FEF" w:rsidRPr="00BA0AF9">
        <w:rPr>
          <w:sz w:val="22"/>
          <w:szCs w:val="22"/>
        </w:rPr>
        <w:t>pravastatínu</w:t>
      </w:r>
      <w:r w:rsidR="00673E7C" w:rsidRPr="00BA0AF9">
        <w:rPr>
          <w:sz w:val="22"/>
          <w:szCs w:val="22"/>
        </w:rPr>
        <w:t xml:space="preserve"> (pozri časť 4.5)</w:t>
      </w:r>
      <w:r w:rsidR="00175FEF" w:rsidRPr="00BA0AF9">
        <w:rPr>
          <w:sz w:val="22"/>
          <w:szCs w:val="22"/>
        </w:rPr>
        <w:t>.</w:t>
      </w:r>
    </w:p>
    <w:p w14:paraId="2E36FDE2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0EB68838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Epilepsia</w:t>
      </w:r>
    </w:p>
    <w:p w14:paraId="0B9479E7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Tak ako </w:t>
      </w:r>
      <w:r w:rsidR="00A367C9" w:rsidRPr="00BA0AF9">
        <w:rPr>
          <w:sz w:val="22"/>
          <w:szCs w:val="22"/>
        </w:rPr>
        <w:t>pri</w:t>
      </w:r>
      <w:r w:rsidRPr="00BA0AF9">
        <w:rPr>
          <w:sz w:val="22"/>
          <w:szCs w:val="22"/>
        </w:rPr>
        <w:t> ostatných antidepresív</w:t>
      </w:r>
      <w:r w:rsidR="00A367C9" w:rsidRPr="00BA0AF9">
        <w:rPr>
          <w:sz w:val="22"/>
          <w:szCs w:val="22"/>
        </w:rPr>
        <w:t>ach</w:t>
      </w:r>
      <w:r w:rsidRPr="00BA0AF9">
        <w:rPr>
          <w:sz w:val="22"/>
          <w:szCs w:val="22"/>
        </w:rPr>
        <w:t xml:space="preserve"> sa paroxetín musí používať op</w:t>
      </w:r>
      <w:r w:rsidR="00674296" w:rsidRPr="00BA0AF9">
        <w:rPr>
          <w:sz w:val="22"/>
          <w:szCs w:val="22"/>
        </w:rPr>
        <w:t>atrne u pacientov s epilepsiou.</w:t>
      </w:r>
    </w:p>
    <w:p w14:paraId="5A15572D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7FBE4564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Záchvaty</w:t>
      </w:r>
    </w:p>
    <w:p w14:paraId="41790AAF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Celkový výskyt záchvatov je u pacientov liečených paroxetínom menej ako 0,1</w:t>
      </w:r>
      <w:r w:rsidR="00022B91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%. Podávanie lieku sa musí prerušiť ak u akéhokoľvek pacienta nastane záchvat.</w:t>
      </w:r>
    </w:p>
    <w:p w14:paraId="5B9BB111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7EE4BCAD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Elektrokonvulzívna liečba (ECT)</w:t>
      </w:r>
    </w:p>
    <w:p w14:paraId="28274172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Existuje málo klinických skúseností so súčasným podávaním paroxetínu s ECT.</w:t>
      </w:r>
    </w:p>
    <w:p w14:paraId="05066AFD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624324B4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Glaukóm</w:t>
      </w:r>
    </w:p>
    <w:p w14:paraId="44E40174" w14:textId="77777777" w:rsidR="00140CF8" w:rsidRPr="00BA0AF9" w:rsidRDefault="00140CF8">
      <w:pPr>
        <w:spacing w:line="260" w:lineRule="exact"/>
        <w:rPr>
          <w:sz w:val="22"/>
          <w:szCs w:val="22"/>
          <w:u w:val="single"/>
        </w:rPr>
      </w:pPr>
      <w:r w:rsidRPr="00BA0AF9">
        <w:rPr>
          <w:sz w:val="22"/>
          <w:szCs w:val="22"/>
        </w:rPr>
        <w:t xml:space="preserve">Tak ako </w:t>
      </w:r>
      <w:r w:rsidR="00A367C9" w:rsidRPr="00BA0AF9">
        <w:rPr>
          <w:sz w:val="22"/>
          <w:szCs w:val="22"/>
        </w:rPr>
        <w:t>pri</w:t>
      </w:r>
      <w:r w:rsidRPr="00BA0AF9">
        <w:rPr>
          <w:sz w:val="22"/>
          <w:szCs w:val="22"/>
        </w:rPr>
        <w:t> ostatných SSRI, paroxetín</w:t>
      </w:r>
      <w:r w:rsidRPr="00BA0AF9">
        <w:rPr>
          <w:caps/>
          <w:sz w:val="22"/>
          <w:szCs w:val="22"/>
        </w:rPr>
        <w:t xml:space="preserve"> </w:t>
      </w:r>
      <w:r w:rsidRPr="00BA0AF9">
        <w:rPr>
          <w:sz w:val="22"/>
          <w:szCs w:val="22"/>
        </w:rPr>
        <w:t>môže zriedkavo spôsobiť mydriázu, preto sa musí používať s opatrnosťou u</w:t>
      </w:r>
      <w:r w:rsidR="00A367C9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pacientov</w:t>
      </w:r>
      <w:r w:rsidR="00A367C9" w:rsidRPr="00BA0AF9">
        <w:rPr>
          <w:sz w:val="22"/>
          <w:szCs w:val="22"/>
        </w:rPr>
        <w:t xml:space="preserve"> s</w:t>
      </w:r>
      <w:r w:rsidRPr="00BA0AF9">
        <w:rPr>
          <w:sz w:val="22"/>
          <w:szCs w:val="22"/>
        </w:rPr>
        <w:t xml:space="preserve"> glaukómom so zatvoreným uhlom alebo s glaukómom v</w:t>
      </w:r>
      <w:r w:rsidR="00022B91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anamnéze.</w:t>
      </w:r>
    </w:p>
    <w:p w14:paraId="7A18A6D7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1EC56EEF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b/>
          <w:sz w:val="22"/>
          <w:szCs w:val="22"/>
        </w:rPr>
        <w:t>Ochorenia srdca</w:t>
      </w:r>
    </w:p>
    <w:p w14:paraId="173D7ECC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U pacientov s ochoreniami srdca sa majú dodržiavať zvyčajné opatrenia.</w:t>
      </w:r>
    </w:p>
    <w:p w14:paraId="2D3625E3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11583DC6" w14:textId="77777777" w:rsidR="00140CF8" w:rsidRPr="00BA0AF9" w:rsidRDefault="00140CF8" w:rsidP="00E83BB1">
      <w:pPr>
        <w:keepNext/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Hyponatrémia</w:t>
      </w:r>
    </w:p>
    <w:p w14:paraId="01469346" w14:textId="77777777" w:rsidR="00140CF8" w:rsidRPr="00BA0AF9" w:rsidRDefault="00140CF8" w:rsidP="00E83BB1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Hyponatrémia bola hlásená zriedkavo, najmä u starších ľudí. Opatrnosť je potrebná aj u pacientov vystavených riziku hyponatrémie, napr. z dôvodu súčasne podávaných liekov a cirhózy. Hyponatrémia zvyčajne vymizne po prerušení liečby paroxetínom.</w:t>
      </w:r>
    </w:p>
    <w:p w14:paraId="0B8C9CB4" w14:textId="77777777" w:rsidR="00140CF8" w:rsidRPr="00BA0AF9" w:rsidRDefault="00140CF8">
      <w:pPr>
        <w:spacing w:line="260" w:lineRule="exact"/>
        <w:rPr>
          <w:sz w:val="22"/>
          <w:szCs w:val="22"/>
          <w:u w:val="single"/>
        </w:rPr>
      </w:pPr>
    </w:p>
    <w:p w14:paraId="2C6468AE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Krvácanie</w:t>
      </w:r>
    </w:p>
    <w:p w14:paraId="23109E89" w14:textId="77777777" w:rsidR="00140CF8" w:rsidRPr="00BA0AF9" w:rsidRDefault="00A367C9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Pri</w:t>
      </w:r>
      <w:r w:rsidR="00140CF8" w:rsidRPr="00BA0AF9">
        <w:rPr>
          <w:sz w:val="22"/>
          <w:szCs w:val="22"/>
        </w:rPr>
        <w:t xml:space="preserve"> SSRI boli hlásené prípady krvácania do kože ako je ekchymóza a purpura. Hlásené boli ďalšie prejavy krvácania napr. gastrointestinálne </w:t>
      </w:r>
      <w:r w:rsidR="00C50BD5" w:rsidRPr="00BA0AF9">
        <w:rPr>
          <w:sz w:val="22"/>
          <w:szCs w:val="22"/>
        </w:rPr>
        <w:t xml:space="preserve">a gynekologické </w:t>
      </w:r>
      <w:r w:rsidR="00140CF8" w:rsidRPr="00BA0AF9">
        <w:rPr>
          <w:sz w:val="22"/>
          <w:szCs w:val="22"/>
        </w:rPr>
        <w:t>krvácanie. Starš</w:t>
      </w:r>
      <w:r w:rsidR="00C50BD5" w:rsidRPr="00BA0AF9">
        <w:rPr>
          <w:sz w:val="22"/>
          <w:szCs w:val="22"/>
        </w:rPr>
        <w:t>ie</w:t>
      </w:r>
      <w:r w:rsidR="00140CF8" w:rsidRPr="00BA0AF9">
        <w:rPr>
          <w:sz w:val="22"/>
          <w:szCs w:val="22"/>
        </w:rPr>
        <w:t xml:space="preserve"> </w:t>
      </w:r>
      <w:r w:rsidR="00C50BD5" w:rsidRPr="00BA0AF9">
        <w:rPr>
          <w:sz w:val="22"/>
          <w:szCs w:val="22"/>
        </w:rPr>
        <w:t>osoby</w:t>
      </w:r>
      <w:r w:rsidR="00140CF8" w:rsidRPr="00BA0AF9">
        <w:rPr>
          <w:sz w:val="22"/>
          <w:szCs w:val="22"/>
        </w:rPr>
        <w:t xml:space="preserve"> môžu byť vystaven</w:t>
      </w:r>
      <w:r w:rsidR="00C50BD5" w:rsidRPr="00BA0AF9">
        <w:rPr>
          <w:sz w:val="22"/>
          <w:szCs w:val="22"/>
        </w:rPr>
        <w:t>é</w:t>
      </w:r>
      <w:r w:rsidR="00140CF8" w:rsidRPr="00BA0AF9">
        <w:rPr>
          <w:sz w:val="22"/>
          <w:szCs w:val="22"/>
        </w:rPr>
        <w:t xml:space="preserve"> zvýšenému riziku</w:t>
      </w:r>
      <w:r w:rsidR="00C50BD5" w:rsidRPr="00BA0AF9">
        <w:rPr>
          <w:sz w:val="22"/>
          <w:szCs w:val="22"/>
        </w:rPr>
        <w:t xml:space="preserve"> prípadov krvácania, ktoré nesúvisia s menštruáciou.</w:t>
      </w:r>
    </w:p>
    <w:p w14:paraId="4F9EBC42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17A900F0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Opatrnosť sa odporúča u pacientov užívajúcich SSRI sú</w:t>
      </w:r>
      <w:r w:rsidR="00B21972" w:rsidRPr="00BA0AF9">
        <w:rPr>
          <w:sz w:val="22"/>
          <w:szCs w:val="22"/>
        </w:rPr>
        <w:t>bež</w:t>
      </w:r>
      <w:r w:rsidRPr="00BA0AF9">
        <w:rPr>
          <w:sz w:val="22"/>
          <w:szCs w:val="22"/>
        </w:rPr>
        <w:t xml:space="preserve">ne s perorálnymi antikoagulanciami, s liekmi, o ktorých je známe, že ovplyvňujú funkciu krvných doštičiek alebo s ďalšími liekmi, ktoré môžu zvýšiť riziko krvácania (napr. s atypickými antipsychotikami ako je klozapín, fenotiazíny, väčšina </w:t>
      </w:r>
      <w:smartTag w:uri="schemas-GSKSiteLocations-com/fourthcoffee" w:element="flavor">
        <w:r w:rsidRPr="00BA0AF9">
          <w:rPr>
            <w:sz w:val="22"/>
            <w:szCs w:val="22"/>
          </w:rPr>
          <w:t>TCA</w:t>
        </w:r>
      </w:smartTag>
      <w:r w:rsidRPr="00BA0AF9">
        <w:rPr>
          <w:sz w:val="22"/>
          <w:szCs w:val="22"/>
        </w:rPr>
        <w:t>, kyselina acetylsalicylová, NSAID, inhibítory COX-2), ako aj u pacientov, ktorí majú v anamnéze poruchy krvácania alebo stavy, ktoré ich môžu predisponovať ku krvácaniu</w:t>
      </w:r>
      <w:r w:rsidR="00C50BD5" w:rsidRPr="00BA0AF9">
        <w:rPr>
          <w:sz w:val="22"/>
          <w:szCs w:val="22"/>
        </w:rPr>
        <w:t xml:space="preserve"> (pozri časť 4.8)</w:t>
      </w:r>
      <w:r w:rsidRPr="00BA0AF9">
        <w:rPr>
          <w:sz w:val="22"/>
          <w:szCs w:val="22"/>
        </w:rPr>
        <w:t xml:space="preserve">. </w:t>
      </w:r>
    </w:p>
    <w:p w14:paraId="4995C7F6" w14:textId="77777777" w:rsidR="004B12E7" w:rsidRPr="00BA0AF9" w:rsidRDefault="004B12E7">
      <w:pPr>
        <w:spacing w:line="260" w:lineRule="exact"/>
        <w:rPr>
          <w:sz w:val="22"/>
          <w:szCs w:val="22"/>
        </w:rPr>
      </w:pPr>
    </w:p>
    <w:p w14:paraId="1224FADE" w14:textId="77777777" w:rsidR="00F0478B" w:rsidRPr="00BA0AF9" w:rsidRDefault="00F0478B" w:rsidP="00F0478B">
      <w:pPr>
        <w:spacing w:line="260" w:lineRule="exact"/>
        <w:rPr>
          <w:b/>
          <w:sz w:val="22"/>
          <w:szCs w:val="22"/>
          <w:lang w:eastAsia="en-US"/>
        </w:rPr>
      </w:pPr>
      <w:r w:rsidRPr="00BA0AF9">
        <w:rPr>
          <w:b/>
          <w:sz w:val="22"/>
          <w:szCs w:val="22"/>
          <w:lang w:eastAsia="en-US"/>
        </w:rPr>
        <w:t>Interakcia s</w:t>
      </w:r>
      <w:r w:rsidR="00881E45" w:rsidRPr="00BA0AF9">
        <w:rPr>
          <w:b/>
          <w:sz w:val="22"/>
          <w:szCs w:val="22"/>
          <w:lang w:eastAsia="en-US"/>
        </w:rPr>
        <w:t> </w:t>
      </w:r>
      <w:r w:rsidRPr="00BA0AF9">
        <w:rPr>
          <w:b/>
          <w:sz w:val="22"/>
          <w:szCs w:val="22"/>
          <w:lang w:eastAsia="en-US"/>
        </w:rPr>
        <w:t>tamoxif</w:t>
      </w:r>
      <w:r w:rsidR="00E83BB1" w:rsidRPr="00BA0AF9">
        <w:rPr>
          <w:b/>
          <w:sz w:val="22"/>
          <w:szCs w:val="22"/>
          <w:lang w:eastAsia="en-US"/>
        </w:rPr>
        <w:t>é</w:t>
      </w:r>
      <w:r w:rsidRPr="00BA0AF9">
        <w:rPr>
          <w:b/>
          <w:sz w:val="22"/>
          <w:szCs w:val="22"/>
          <w:lang w:eastAsia="en-US"/>
        </w:rPr>
        <w:t>nom</w:t>
      </w:r>
    </w:p>
    <w:p w14:paraId="2FB8C99A" w14:textId="77777777" w:rsidR="00881E45" w:rsidRPr="00BA0AF9" w:rsidRDefault="00881E45" w:rsidP="00881E45">
      <w:pPr>
        <w:rPr>
          <w:b/>
          <w:sz w:val="22"/>
          <w:szCs w:val="22"/>
          <w:lang w:eastAsia="en-US"/>
        </w:rPr>
      </w:pPr>
      <w:r w:rsidRPr="00BA0AF9">
        <w:rPr>
          <w:color w:val="000000"/>
          <w:sz w:val="22"/>
          <w:szCs w:val="22"/>
        </w:rPr>
        <w:t>Paroxetín, silný inhibítor CYP2D6, môže viesť k zníženým koncentráciám endoxif</w:t>
      </w:r>
      <w:r w:rsidR="00FC5DA9" w:rsidRPr="00BA0AF9">
        <w:rPr>
          <w:color w:val="000000"/>
          <w:sz w:val="22"/>
          <w:szCs w:val="22"/>
        </w:rPr>
        <w:t>é</w:t>
      </w:r>
      <w:r w:rsidRPr="00BA0AF9">
        <w:rPr>
          <w:color w:val="000000"/>
          <w:sz w:val="22"/>
          <w:szCs w:val="22"/>
        </w:rPr>
        <w:t>nu, jedného z najdôležitejších aktívnych metabolitov tamoxif</w:t>
      </w:r>
      <w:r w:rsidR="00FC5DA9" w:rsidRPr="00BA0AF9">
        <w:rPr>
          <w:color w:val="000000"/>
          <w:sz w:val="22"/>
          <w:szCs w:val="22"/>
        </w:rPr>
        <w:t>é</w:t>
      </w:r>
      <w:r w:rsidRPr="00BA0AF9">
        <w:rPr>
          <w:color w:val="000000"/>
          <w:sz w:val="22"/>
          <w:szCs w:val="22"/>
        </w:rPr>
        <w:t>nu. Preto sa má vždy, keď je to možné, vyhnúť podávaniu paroxetínu počas liečby tamoxif</w:t>
      </w:r>
      <w:r w:rsidR="00FC5DA9" w:rsidRPr="00BA0AF9">
        <w:rPr>
          <w:color w:val="000000"/>
          <w:sz w:val="22"/>
          <w:szCs w:val="22"/>
        </w:rPr>
        <w:t>é</w:t>
      </w:r>
      <w:r w:rsidRPr="00BA0AF9">
        <w:rPr>
          <w:color w:val="000000"/>
          <w:sz w:val="22"/>
          <w:szCs w:val="22"/>
        </w:rPr>
        <w:t>nom (pozri časť 4.5).</w:t>
      </w:r>
    </w:p>
    <w:p w14:paraId="5F1AE033" w14:textId="77777777" w:rsidR="00F0478B" w:rsidRPr="00BA0AF9" w:rsidRDefault="00F0478B">
      <w:pPr>
        <w:spacing w:line="260" w:lineRule="exact"/>
        <w:rPr>
          <w:sz w:val="22"/>
          <w:szCs w:val="22"/>
        </w:rPr>
      </w:pPr>
    </w:p>
    <w:p w14:paraId="2517FAC4" w14:textId="77777777" w:rsidR="00140CF8" w:rsidRPr="00BA0AF9" w:rsidRDefault="00D00747" w:rsidP="002D6223">
      <w:pPr>
        <w:pStyle w:val="Nadpis4"/>
        <w:spacing w:line="260" w:lineRule="exact"/>
        <w:rPr>
          <w:rFonts w:ascii="Times New Roman" w:hAnsi="Times New Roman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  <w:u w:val="none"/>
        </w:rPr>
        <w:t>S</w:t>
      </w:r>
      <w:r w:rsidR="00140CF8" w:rsidRPr="00BA0AF9">
        <w:rPr>
          <w:rFonts w:ascii="Times New Roman" w:hAnsi="Times New Roman"/>
          <w:color w:val="auto"/>
          <w:sz w:val="22"/>
          <w:szCs w:val="22"/>
          <w:u w:val="none"/>
        </w:rPr>
        <w:t>ymptómy</w:t>
      </w:r>
      <w:r w:rsidRPr="00BA0AF9">
        <w:rPr>
          <w:rFonts w:ascii="Times New Roman" w:hAnsi="Times New Roman"/>
          <w:color w:val="auto"/>
          <w:sz w:val="22"/>
          <w:szCs w:val="22"/>
          <w:u w:val="none"/>
        </w:rPr>
        <w:t xml:space="preserve"> z vysadenia</w:t>
      </w:r>
      <w:r w:rsidR="00140CF8" w:rsidRPr="00BA0AF9">
        <w:rPr>
          <w:rFonts w:ascii="Times New Roman" w:hAnsi="Times New Roman"/>
          <w:color w:val="auto"/>
          <w:sz w:val="22"/>
          <w:szCs w:val="22"/>
          <w:u w:val="none"/>
        </w:rPr>
        <w:t xml:space="preserve"> pozorované po prerušení liečby paroxetínom</w:t>
      </w:r>
    </w:p>
    <w:p w14:paraId="23FBFCCF" w14:textId="77777777" w:rsidR="00674296" w:rsidRPr="00BA0AF9" w:rsidRDefault="00B56CEF">
      <w:pPr>
        <w:pStyle w:val="Nadpis4"/>
        <w:spacing w:line="260" w:lineRule="exact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S</w:t>
      </w:r>
      <w:r w:rsidR="00140CF8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ymptómy 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z vysadenia </w:t>
      </w:r>
      <w:r w:rsidR="00140CF8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sú po prerušení liečby časté, najmä ak je prerušenie náhle (pozri časť</w:t>
      </w:r>
      <w:r w:rsidR="007F1275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4.8</w:t>
      </w:r>
      <w:r w:rsidR="002E4013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Nežiaduce účinky). V klinických štúdiách sa nežiaduce účinky po 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ukonč</w:t>
      </w:r>
      <w:r w:rsidR="00140CF8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ení liečby vyskytli u</w:t>
      </w:r>
      <w:r w:rsidR="00022B91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30</w:t>
      </w:r>
      <w:r w:rsidR="00022B91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% pacientov liečených paroxetínom oproti 20</w:t>
      </w:r>
      <w:r w:rsidR="00022B91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% pacientov liečených placebom. Výskyt abstinenčných symptómov nie je rovnaký ako u lieku, ktorý vytvára návyk alebo závislosť. </w:t>
      </w:r>
      <w:r w:rsidR="00432861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br/>
      </w:r>
      <w:r w:rsidR="00140CF8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Riziko symptómov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z vysadenia</w:t>
      </w:r>
      <w:r w:rsidR="00140CF8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môže závisieť od niekoľkých faktorov, vrátane dĺžky trvania a dávky použitej v liečbe a rýchlosti znižovania dávky.</w:t>
      </w:r>
    </w:p>
    <w:p w14:paraId="151E4F3E" w14:textId="77777777" w:rsidR="00140CF8" w:rsidRPr="00BA0AF9" w:rsidRDefault="00140CF8">
      <w:pPr>
        <w:pStyle w:val="Nadpis4"/>
        <w:spacing w:line="260" w:lineRule="exact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Hlásené boli závrat, zmyslové poruchy (vrátane parestézie</w:t>
      </w:r>
      <w:r w:rsidR="002835F3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,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 pocitov elektrických šokov</w:t>
      </w:r>
      <w:r w:rsidR="002835F3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a tinitu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), poruchy spánku (vrátane intenzívnych snov), agitovanosť alebo úzkosť, nauzea, tremor, zmätenosť, potenie, bolesť hlavy, hnačka, palpitácie, emocionálna nestabilita, podráždenosť a zrakové poruchy. Tieto symptómy sú zvyčajne miernej až stredne ťažkej intenzity</w:t>
      </w:r>
      <w:r w:rsidR="00A00EFA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;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u niektorých pacientov však môžu byť ťažké. Zvyčajne sa vyskytnú počas prvých niekoľkých dní po prerušení liečby, ale takéto symptómy boli veľmi zriedkavo hlásené u pacientov, ktorí dávku vynechali nevedomky. Tieto symptómy sú zvyčajne prechodné a zvyčajne sa vyriešia do </w:t>
      </w:r>
      <w:r w:rsidR="00A00EFA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dvoch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týždňov, aj keď u niektorých jedincov môžu trvať dlhšie (</w:t>
      </w:r>
      <w:r w:rsidR="00A00EFA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dva </w:t>
      </w:r>
      <w:r w:rsidR="00A00EFA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noBreakHyphen/>
        <w:t> tri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mesiace a viac). Z tohto dôvodu sa pri </w:t>
      </w:r>
      <w:r w:rsidR="00267422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ukončovaní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liečby odporúča, aby sa dávka paroxetínu znižovala postupne počas doby niekoľkých týždňov alebo mesiacov podľa potrieb pacienta (pozri „</w:t>
      </w:r>
      <w:r w:rsidR="00267422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S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ymptómy</w:t>
      </w:r>
      <w:r w:rsidR="00267422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z vysadenia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pozorované po </w:t>
      </w:r>
      <w:r w:rsidR="00267422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ukončení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podávania paroxetínu“, časť 4.2</w:t>
      </w:r>
      <w:r w:rsidR="00ED6DDB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Dávkovanie a spôsob podávania).</w:t>
      </w:r>
    </w:p>
    <w:p w14:paraId="46D2C049" w14:textId="77777777" w:rsidR="00B47147" w:rsidRPr="00BA0AF9" w:rsidRDefault="00B47147">
      <w:pPr>
        <w:spacing w:line="260" w:lineRule="exact"/>
        <w:ind w:left="567" w:hanging="567"/>
        <w:rPr>
          <w:sz w:val="22"/>
          <w:szCs w:val="22"/>
        </w:rPr>
      </w:pPr>
    </w:p>
    <w:p w14:paraId="1E27844B" w14:textId="77777777" w:rsidR="00140CF8" w:rsidRPr="00BA0AF9" w:rsidRDefault="00140CF8">
      <w:pPr>
        <w:spacing w:line="260" w:lineRule="exact"/>
        <w:ind w:left="567" w:hanging="567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4.5</w:t>
      </w:r>
      <w:r w:rsidRPr="00BA0AF9">
        <w:rPr>
          <w:b/>
          <w:sz w:val="22"/>
          <w:szCs w:val="22"/>
        </w:rPr>
        <w:tab/>
        <w:t>Liekové a iné interakcie</w:t>
      </w:r>
    </w:p>
    <w:p w14:paraId="6D0AE791" w14:textId="77777777" w:rsidR="00140CF8" w:rsidRPr="00BA0AF9" w:rsidRDefault="00140CF8">
      <w:pPr>
        <w:pStyle w:val="Nadpis6"/>
        <w:spacing w:line="260" w:lineRule="exact"/>
        <w:rPr>
          <w:rFonts w:ascii="Times New Roman" w:hAnsi="Times New Roman"/>
          <w:b w:val="0"/>
          <w:color w:val="auto"/>
          <w:sz w:val="22"/>
          <w:szCs w:val="22"/>
          <w:highlight w:val="yellow"/>
          <w:u w:val="single"/>
        </w:rPr>
      </w:pPr>
    </w:p>
    <w:p w14:paraId="566299F7" w14:textId="77777777" w:rsidR="00140CF8" w:rsidRPr="00BA0AF9" w:rsidRDefault="00AC42D8">
      <w:pPr>
        <w:pStyle w:val="Nadpis6"/>
        <w:spacing w:line="260" w:lineRule="exact"/>
        <w:rPr>
          <w:rFonts w:ascii="Times New Roman" w:hAnsi="Times New Roman"/>
          <w:b w:val="0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Séroton</w:t>
      </w:r>
      <w:r w:rsidR="00140CF8" w:rsidRPr="00BA0AF9">
        <w:rPr>
          <w:rFonts w:ascii="Times New Roman" w:hAnsi="Times New Roman"/>
          <w:color w:val="auto"/>
          <w:sz w:val="22"/>
          <w:szCs w:val="22"/>
        </w:rPr>
        <w:t>ergné lieky</w:t>
      </w:r>
    </w:p>
    <w:p w14:paraId="1FB96EFA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Tak ako </w:t>
      </w:r>
      <w:r w:rsidR="00A367C9" w:rsidRPr="00BA0AF9">
        <w:rPr>
          <w:sz w:val="22"/>
          <w:szCs w:val="22"/>
        </w:rPr>
        <w:t>pri</w:t>
      </w:r>
      <w:r w:rsidRPr="00BA0AF9">
        <w:rPr>
          <w:sz w:val="22"/>
          <w:szCs w:val="22"/>
        </w:rPr>
        <w:t> ostatných SSRI, sú</w:t>
      </w:r>
      <w:r w:rsidR="00A729A9" w:rsidRPr="00BA0AF9">
        <w:rPr>
          <w:sz w:val="22"/>
          <w:szCs w:val="22"/>
        </w:rPr>
        <w:t>bež</w:t>
      </w:r>
      <w:r w:rsidRPr="00BA0AF9">
        <w:rPr>
          <w:sz w:val="22"/>
          <w:szCs w:val="22"/>
        </w:rPr>
        <w:t xml:space="preserve">né podávanie so </w:t>
      </w:r>
      <w:r w:rsidR="00AC42D8" w:rsidRPr="00BA0AF9">
        <w:rPr>
          <w:sz w:val="22"/>
          <w:szCs w:val="22"/>
        </w:rPr>
        <w:t>séroton</w:t>
      </w:r>
      <w:r w:rsidRPr="00BA0AF9">
        <w:rPr>
          <w:sz w:val="22"/>
          <w:szCs w:val="22"/>
        </w:rPr>
        <w:t xml:space="preserve">ergnými liekmi </w:t>
      </w:r>
      <w:r w:rsidR="00ED6DDB" w:rsidRPr="00BA0AF9">
        <w:rPr>
          <w:sz w:val="22"/>
          <w:szCs w:val="22"/>
        </w:rPr>
        <w:t>môže viesť k výskytu účinkov súvisiacich s 5-HT (</w:t>
      </w:r>
      <w:r w:rsidR="00AC42D8" w:rsidRPr="00BA0AF9">
        <w:rPr>
          <w:sz w:val="22"/>
          <w:szCs w:val="22"/>
        </w:rPr>
        <w:t>séroton</w:t>
      </w:r>
      <w:r w:rsidR="00ED6DDB" w:rsidRPr="00BA0AF9">
        <w:rPr>
          <w:sz w:val="22"/>
          <w:szCs w:val="22"/>
        </w:rPr>
        <w:t>ínový syndróm: pozri časť 4.4 Osobitné upozornenia a opatrenia pri používaní). Opatrnosť a pozornejšie klinické sledovanie sa odporúča vtedy,</w:t>
      </w:r>
      <w:r w:rsidR="00816D9B" w:rsidRPr="00BA0AF9">
        <w:rPr>
          <w:sz w:val="22"/>
          <w:szCs w:val="22"/>
        </w:rPr>
        <w:t xml:space="preserve"> ak sú </w:t>
      </w:r>
      <w:r w:rsidR="00AC42D8" w:rsidRPr="00BA0AF9">
        <w:rPr>
          <w:sz w:val="22"/>
          <w:szCs w:val="22"/>
        </w:rPr>
        <w:t>séroton</w:t>
      </w:r>
      <w:r w:rsidR="00816D9B" w:rsidRPr="00BA0AF9">
        <w:rPr>
          <w:sz w:val="22"/>
          <w:szCs w:val="22"/>
        </w:rPr>
        <w:t>ergné lieky (ako je</w:t>
      </w:r>
      <w:r w:rsidR="00ED6DDB" w:rsidRPr="00BA0AF9">
        <w:rPr>
          <w:sz w:val="22"/>
          <w:szCs w:val="22"/>
        </w:rPr>
        <w:t xml:space="preserve"> L</w:t>
      </w:r>
      <w:r w:rsidR="00ED6DDB" w:rsidRPr="00BA0AF9">
        <w:rPr>
          <w:sz w:val="22"/>
          <w:szCs w:val="22"/>
        </w:rPr>
        <w:noBreakHyphen/>
        <w:t xml:space="preserve">tryptofán, triptány, tramadol, linezolid, </w:t>
      </w:r>
      <w:r w:rsidR="007B5B78" w:rsidRPr="00BA0AF9">
        <w:rPr>
          <w:bCs/>
          <w:sz w:val="22"/>
          <w:szCs w:val="22"/>
        </w:rPr>
        <w:t>metyltionínchlorid (metylénová modrá)),</w:t>
      </w:r>
      <w:r w:rsidR="007B5B78" w:rsidRPr="00BA0AF9">
        <w:rPr>
          <w:sz w:val="22"/>
          <w:szCs w:val="22"/>
        </w:rPr>
        <w:t xml:space="preserve"> </w:t>
      </w:r>
      <w:r w:rsidR="00ED6DDB" w:rsidRPr="00BA0AF9">
        <w:rPr>
          <w:sz w:val="22"/>
          <w:szCs w:val="22"/>
        </w:rPr>
        <w:t>SSRI, lítium</w:t>
      </w:r>
      <w:r w:rsidR="00C861B5" w:rsidRPr="00BA0AF9">
        <w:rPr>
          <w:sz w:val="22"/>
          <w:szCs w:val="22"/>
        </w:rPr>
        <w:t>, petidín</w:t>
      </w:r>
      <w:r w:rsidR="00ED6DDB" w:rsidRPr="00BA0AF9">
        <w:rPr>
          <w:sz w:val="22"/>
          <w:szCs w:val="22"/>
        </w:rPr>
        <w:t xml:space="preserve"> a prípravky obsahujúce ľubovník bodkovaný – </w:t>
      </w:r>
      <w:r w:rsidR="00ED6DDB" w:rsidRPr="00BA0AF9">
        <w:rPr>
          <w:i/>
          <w:sz w:val="22"/>
          <w:szCs w:val="22"/>
        </w:rPr>
        <w:t>Hypericum perforatum</w:t>
      </w:r>
      <w:r w:rsidR="00ED6DDB" w:rsidRPr="00BA0AF9">
        <w:rPr>
          <w:sz w:val="22"/>
          <w:szCs w:val="22"/>
        </w:rPr>
        <w:t xml:space="preserve">) kombinované s paroxetínom. </w:t>
      </w:r>
      <w:r w:rsidR="00C861B5" w:rsidRPr="00BA0AF9">
        <w:rPr>
          <w:sz w:val="22"/>
          <w:szCs w:val="22"/>
        </w:rPr>
        <w:t xml:space="preserve">Opatrnosť sa tiež odporúča s fentanylom </w:t>
      </w:r>
      <w:r w:rsidR="00635630" w:rsidRPr="00BA0AF9">
        <w:rPr>
          <w:sz w:val="22"/>
          <w:szCs w:val="22"/>
        </w:rPr>
        <w:t>používaným v celkovej</w:t>
      </w:r>
      <w:r w:rsidR="00C861B5" w:rsidRPr="00BA0AF9">
        <w:rPr>
          <w:sz w:val="22"/>
          <w:szCs w:val="22"/>
        </w:rPr>
        <w:t xml:space="preserve"> anestézii alebo v liečbe chronickej bolesti. </w:t>
      </w:r>
      <w:r w:rsidR="000A7489" w:rsidRPr="00BA0AF9">
        <w:rPr>
          <w:sz w:val="22"/>
          <w:szCs w:val="22"/>
        </w:rPr>
        <w:t>Sú</w:t>
      </w:r>
      <w:r w:rsidR="00A729A9" w:rsidRPr="00BA0AF9">
        <w:rPr>
          <w:sz w:val="22"/>
          <w:szCs w:val="22"/>
        </w:rPr>
        <w:t>bež</w:t>
      </w:r>
      <w:r w:rsidR="000A7489" w:rsidRPr="00BA0AF9">
        <w:rPr>
          <w:sz w:val="22"/>
          <w:szCs w:val="22"/>
        </w:rPr>
        <w:t>né</w:t>
      </w:r>
      <w:r w:rsidR="00ED6DDB" w:rsidRPr="00BA0AF9">
        <w:rPr>
          <w:sz w:val="22"/>
          <w:szCs w:val="22"/>
        </w:rPr>
        <w:t xml:space="preserve"> použitie paroxetínu a</w:t>
      </w:r>
      <w:r w:rsidRPr="00BA0AF9">
        <w:rPr>
          <w:sz w:val="22"/>
          <w:szCs w:val="22"/>
        </w:rPr>
        <w:t xml:space="preserve"> </w:t>
      </w:r>
      <w:r w:rsidR="0012619A" w:rsidRPr="00BA0AF9">
        <w:rPr>
          <w:sz w:val="22"/>
          <w:szCs w:val="22"/>
        </w:rPr>
        <w:t>I</w:t>
      </w:r>
      <w:r w:rsidRPr="00BA0AF9">
        <w:rPr>
          <w:sz w:val="22"/>
          <w:szCs w:val="22"/>
        </w:rPr>
        <w:t>MAO</w:t>
      </w:r>
      <w:r w:rsidR="00ED6DDB" w:rsidRPr="00BA0AF9">
        <w:rPr>
          <w:sz w:val="22"/>
          <w:szCs w:val="22"/>
        </w:rPr>
        <w:t xml:space="preserve"> je kontraindikované kvôli riziku </w:t>
      </w:r>
      <w:r w:rsidR="00AC42D8" w:rsidRPr="00BA0AF9">
        <w:rPr>
          <w:sz w:val="22"/>
          <w:szCs w:val="22"/>
        </w:rPr>
        <w:t>séroton</w:t>
      </w:r>
      <w:r w:rsidR="00ED6DDB" w:rsidRPr="00BA0AF9">
        <w:rPr>
          <w:sz w:val="22"/>
          <w:szCs w:val="22"/>
        </w:rPr>
        <w:t>ínového syndrómu (pozri časť 4.3 Kontraindikácie).</w:t>
      </w:r>
      <w:r w:rsidRPr="00BA0AF9">
        <w:rPr>
          <w:sz w:val="22"/>
          <w:szCs w:val="22"/>
        </w:rPr>
        <w:t xml:space="preserve"> </w:t>
      </w:r>
    </w:p>
    <w:p w14:paraId="27E322EC" w14:textId="77777777" w:rsidR="007E656F" w:rsidRPr="00BA0AF9" w:rsidRDefault="007E656F">
      <w:pPr>
        <w:spacing w:line="260" w:lineRule="exact"/>
        <w:rPr>
          <w:sz w:val="22"/>
          <w:szCs w:val="22"/>
        </w:rPr>
      </w:pPr>
    </w:p>
    <w:p w14:paraId="4FBF70C1" w14:textId="77777777" w:rsidR="00534ADF" w:rsidRPr="00BA0AF9" w:rsidRDefault="00534ADF" w:rsidP="00A00EFA">
      <w:pPr>
        <w:keepNext/>
        <w:keepLines/>
        <w:spacing w:line="260" w:lineRule="exact"/>
        <w:rPr>
          <w:b/>
          <w:bCs/>
          <w:sz w:val="22"/>
          <w:szCs w:val="22"/>
        </w:rPr>
      </w:pPr>
      <w:r w:rsidRPr="00BA0AF9">
        <w:rPr>
          <w:b/>
          <w:bCs/>
          <w:sz w:val="22"/>
          <w:szCs w:val="22"/>
        </w:rPr>
        <w:lastRenderedPageBreak/>
        <w:t>Pimozid</w:t>
      </w:r>
    </w:p>
    <w:p w14:paraId="7E557EB7" w14:textId="77777777" w:rsidR="00534ADF" w:rsidRPr="00BA0AF9" w:rsidRDefault="00813F30" w:rsidP="00813F30">
      <w:pPr>
        <w:pStyle w:val="Textkomentra"/>
        <w:rPr>
          <w:sz w:val="22"/>
          <w:szCs w:val="22"/>
        </w:rPr>
      </w:pPr>
      <w:r w:rsidRPr="00BA0AF9">
        <w:rPr>
          <w:sz w:val="22"/>
          <w:szCs w:val="22"/>
        </w:rPr>
        <w:t>V štúdii, v ktorej sa súbežne podávala jednotlivá nízka dávka pimozidu (2 mg) so 60 mg paroxetínu, sa preukázali v priemere 2,5-krát zvýšené hladiny pimozidu.</w:t>
      </w:r>
      <w:r w:rsidR="00534ADF" w:rsidRPr="00BA0AF9">
        <w:rPr>
          <w:sz w:val="22"/>
          <w:szCs w:val="22"/>
        </w:rPr>
        <w:t>Aj keď mechanizmus tejto interakcie nie je v súčasnosti známy, kvôli úzkemu terapeutickému indexu pimozidu a jeho známej schopnosti predĺžiť QT interval, je sú</w:t>
      </w:r>
      <w:r w:rsidR="00B132BF" w:rsidRPr="00BA0AF9">
        <w:rPr>
          <w:sz w:val="22"/>
          <w:szCs w:val="22"/>
        </w:rPr>
        <w:t>bež</w:t>
      </w:r>
      <w:r w:rsidR="00534ADF" w:rsidRPr="00BA0AF9">
        <w:rPr>
          <w:sz w:val="22"/>
          <w:szCs w:val="22"/>
        </w:rPr>
        <w:t>né podávanie pimozidu a paroxetínu kontraindikované (pozri časť 4.3</w:t>
      </w:r>
      <w:r w:rsidR="00ED6DDB" w:rsidRPr="00BA0AF9">
        <w:rPr>
          <w:sz w:val="22"/>
          <w:szCs w:val="22"/>
        </w:rPr>
        <w:t> </w:t>
      </w:r>
      <w:r w:rsidR="00534ADF" w:rsidRPr="00BA0AF9">
        <w:rPr>
          <w:sz w:val="22"/>
          <w:szCs w:val="22"/>
        </w:rPr>
        <w:t>Kontraindikácie).</w:t>
      </w:r>
    </w:p>
    <w:p w14:paraId="30EB342F" w14:textId="77777777" w:rsidR="00534ADF" w:rsidRPr="00BA0AF9" w:rsidRDefault="00534ADF">
      <w:pPr>
        <w:spacing w:line="260" w:lineRule="exact"/>
        <w:rPr>
          <w:sz w:val="22"/>
          <w:szCs w:val="22"/>
        </w:rPr>
      </w:pPr>
    </w:p>
    <w:p w14:paraId="4A3DB2BC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Enzýmy metabolizujúce lieky</w:t>
      </w:r>
    </w:p>
    <w:p w14:paraId="3BFEB0F6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Metabolizmus a farmakokinetiku paroxetínu môže ovplyvniť indukcia alebo inhibícia enzýmov metabolizujúcich lieky.</w:t>
      </w:r>
    </w:p>
    <w:p w14:paraId="34D79EF7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Keď sa paroxetín má podávať sú</w:t>
      </w:r>
      <w:r w:rsidR="007472B7" w:rsidRPr="00BA0AF9">
        <w:rPr>
          <w:sz w:val="22"/>
          <w:szCs w:val="22"/>
        </w:rPr>
        <w:t>bež</w:t>
      </w:r>
      <w:r w:rsidRPr="00BA0AF9">
        <w:rPr>
          <w:sz w:val="22"/>
          <w:szCs w:val="22"/>
        </w:rPr>
        <w:t>ne so známym inhibítorom enzýmov metabolizujúcich lieky, musí sa zvážiť používanie nižších dávok.</w:t>
      </w:r>
    </w:p>
    <w:p w14:paraId="4EFA3C27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Keď sa má liek podávať sú</w:t>
      </w:r>
      <w:r w:rsidR="007472B7" w:rsidRPr="00BA0AF9">
        <w:rPr>
          <w:sz w:val="22"/>
          <w:szCs w:val="22"/>
        </w:rPr>
        <w:t>bež</w:t>
      </w:r>
      <w:r w:rsidRPr="00BA0AF9">
        <w:rPr>
          <w:sz w:val="22"/>
          <w:szCs w:val="22"/>
        </w:rPr>
        <w:t xml:space="preserve">ne so známymi induktormi enzýmov metabolizujúcich lieky (napr. karbamazepínom, rifampicínom, fenobarbitalom, fenytoínom) </w:t>
      </w:r>
      <w:r w:rsidR="002835F3" w:rsidRPr="00BA0AF9">
        <w:rPr>
          <w:sz w:val="22"/>
          <w:szCs w:val="22"/>
        </w:rPr>
        <w:t xml:space="preserve">alebo s fosamprenavirom/ritonavirom </w:t>
      </w:r>
      <w:r w:rsidRPr="00BA0AF9">
        <w:rPr>
          <w:sz w:val="22"/>
          <w:szCs w:val="22"/>
        </w:rPr>
        <w:t>nie je potrebná žiadna úprava úvodného dávkovania. Akákoľvek úprava dávkovania</w:t>
      </w:r>
      <w:r w:rsidR="002835F3" w:rsidRPr="00BA0AF9">
        <w:rPr>
          <w:sz w:val="22"/>
          <w:szCs w:val="22"/>
        </w:rPr>
        <w:t xml:space="preserve"> paroxetínu (buď po nasadení, alebo po vysadení induktora enzýmov)</w:t>
      </w:r>
      <w:r w:rsidRPr="00BA0AF9">
        <w:rPr>
          <w:sz w:val="22"/>
          <w:szCs w:val="22"/>
        </w:rPr>
        <w:t xml:space="preserve"> sa má riadiť klinickým úči</w:t>
      </w:r>
      <w:r w:rsidR="00674296" w:rsidRPr="00BA0AF9">
        <w:rPr>
          <w:sz w:val="22"/>
          <w:szCs w:val="22"/>
        </w:rPr>
        <w:t>nkom (znášanlivosť a účinnosť).</w:t>
      </w:r>
    </w:p>
    <w:p w14:paraId="70E27683" w14:textId="77777777" w:rsidR="002835F3" w:rsidRPr="00BA0AF9" w:rsidRDefault="002835F3">
      <w:pPr>
        <w:spacing w:line="260" w:lineRule="exact"/>
        <w:rPr>
          <w:sz w:val="22"/>
          <w:szCs w:val="22"/>
        </w:rPr>
      </w:pPr>
    </w:p>
    <w:p w14:paraId="3AE97155" w14:textId="77777777" w:rsidR="00A00EFA" w:rsidRPr="00BA0AF9" w:rsidRDefault="00A00EFA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Neuromuskulárne blokátory</w:t>
      </w:r>
    </w:p>
    <w:p w14:paraId="28AD9988" w14:textId="77777777" w:rsidR="00A00EFA" w:rsidRPr="00BA0AF9" w:rsidRDefault="00A00EFA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SSRI</w:t>
      </w:r>
      <w:r w:rsidR="005232ED" w:rsidRPr="00BA0AF9">
        <w:rPr>
          <w:sz w:val="22"/>
          <w:szCs w:val="22"/>
        </w:rPr>
        <w:t xml:space="preserve"> môžu znižovať aktivitu cholínesterázy v</w:t>
      </w:r>
      <w:r w:rsidR="002A662B" w:rsidRPr="00BA0AF9">
        <w:rPr>
          <w:sz w:val="22"/>
          <w:szCs w:val="22"/>
        </w:rPr>
        <w:t> </w:t>
      </w:r>
      <w:r w:rsidR="005232ED" w:rsidRPr="00BA0AF9">
        <w:rPr>
          <w:sz w:val="22"/>
          <w:szCs w:val="22"/>
        </w:rPr>
        <w:t>plazme</w:t>
      </w:r>
      <w:r w:rsidR="002A662B" w:rsidRPr="00BA0AF9">
        <w:rPr>
          <w:sz w:val="22"/>
          <w:szCs w:val="22"/>
        </w:rPr>
        <w:t xml:space="preserve"> a viesť k </w:t>
      </w:r>
      <w:r w:rsidR="005232ED" w:rsidRPr="00BA0AF9">
        <w:rPr>
          <w:sz w:val="22"/>
          <w:szCs w:val="22"/>
        </w:rPr>
        <w:t>predĺženi</w:t>
      </w:r>
      <w:r w:rsidR="002A662B" w:rsidRPr="00BA0AF9">
        <w:rPr>
          <w:sz w:val="22"/>
          <w:szCs w:val="22"/>
        </w:rPr>
        <w:t>u neuromuskulárnej blokády</w:t>
      </w:r>
      <w:r w:rsidR="005232ED" w:rsidRPr="00BA0AF9">
        <w:rPr>
          <w:sz w:val="22"/>
          <w:szCs w:val="22"/>
        </w:rPr>
        <w:t xml:space="preserve"> </w:t>
      </w:r>
      <w:r w:rsidR="002A662B" w:rsidRPr="00BA0AF9">
        <w:rPr>
          <w:sz w:val="22"/>
          <w:szCs w:val="22"/>
        </w:rPr>
        <w:t xml:space="preserve">vyvolanej </w:t>
      </w:r>
      <w:r w:rsidR="00756A29" w:rsidRPr="00BA0AF9">
        <w:rPr>
          <w:sz w:val="22"/>
          <w:szCs w:val="22"/>
        </w:rPr>
        <w:t>mivakúri</w:t>
      </w:r>
      <w:r w:rsidR="002A662B" w:rsidRPr="00BA0AF9">
        <w:rPr>
          <w:sz w:val="22"/>
          <w:szCs w:val="22"/>
        </w:rPr>
        <w:t>om</w:t>
      </w:r>
      <w:r w:rsidR="00756A29" w:rsidRPr="00BA0AF9">
        <w:rPr>
          <w:sz w:val="22"/>
          <w:szCs w:val="22"/>
        </w:rPr>
        <w:t xml:space="preserve"> a suxametóni</w:t>
      </w:r>
      <w:r w:rsidR="002A662B" w:rsidRPr="00BA0AF9">
        <w:rPr>
          <w:sz w:val="22"/>
          <w:szCs w:val="22"/>
        </w:rPr>
        <w:t>om</w:t>
      </w:r>
      <w:r w:rsidR="00756A29" w:rsidRPr="00BA0AF9">
        <w:rPr>
          <w:sz w:val="22"/>
          <w:szCs w:val="22"/>
        </w:rPr>
        <w:t>.</w:t>
      </w:r>
    </w:p>
    <w:p w14:paraId="26E7AD1B" w14:textId="77777777" w:rsidR="00A00EFA" w:rsidRPr="00BA0AF9" w:rsidRDefault="00A00EFA">
      <w:pPr>
        <w:spacing w:line="260" w:lineRule="exact"/>
        <w:rPr>
          <w:sz w:val="22"/>
          <w:szCs w:val="22"/>
        </w:rPr>
      </w:pPr>
    </w:p>
    <w:p w14:paraId="20E8AF37" w14:textId="77777777" w:rsidR="002835F3" w:rsidRPr="00BA0AF9" w:rsidRDefault="002835F3">
      <w:pPr>
        <w:spacing w:line="260" w:lineRule="exact"/>
        <w:rPr>
          <w:sz w:val="22"/>
          <w:szCs w:val="22"/>
        </w:rPr>
      </w:pPr>
      <w:r w:rsidRPr="00BA0AF9">
        <w:rPr>
          <w:b/>
          <w:bCs/>
          <w:sz w:val="22"/>
          <w:szCs w:val="22"/>
        </w:rPr>
        <w:t xml:space="preserve">Fosamprenavir/ritonavir: </w:t>
      </w:r>
      <w:r w:rsidRPr="00BA0AF9">
        <w:rPr>
          <w:sz w:val="22"/>
          <w:szCs w:val="22"/>
        </w:rPr>
        <w:t>Sú</w:t>
      </w:r>
      <w:r w:rsidR="007472B7" w:rsidRPr="00BA0AF9">
        <w:rPr>
          <w:sz w:val="22"/>
          <w:szCs w:val="22"/>
        </w:rPr>
        <w:t>bež</w:t>
      </w:r>
      <w:r w:rsidRPr="00BA0AF9">
        <w:rPr>
          <w:sz w:val="22"/>
          <w:szCs w:val="22"/>
        </w:rPr>
        <w:t xml:space="preserve">né podávanie fosamprenaviru/ritonaviru 700/100 mg dvakrát denne </w:t>
      </w:r>
      <w:r w:rsidR="00D26045" w:rsidRPr="00BA0AF9">
        <w:rPr>
          <w:sz w:val="22"/>
          <w:szCs w:val="22"/>
        </w:rPr>
        <w:t xml:space="preserve">a paroxetínu 20 mg jedenkrát denne </w:t>
      </w:r>
      <w:r w:rsidRPr="00BA0AF9">
        <w:rPr>
          <w:sz w:val="22"/>
          <w:szCs w:val="22"/>
        </w:rPr>
        <w:t>zdravým dobrovoľníkom počas 10 dní významne znížilo plazmatické hladiny paroxetínu približne o</w:t>
      </w:r>
      <w:r w:rsidR="00175F65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55</w:t>
      </w:r>
      <w:r w:rsidR="00175F65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%. Plazmatické hladiny fosamprenaviru/ritonaviru boli počas sú</w:t>
      </w:r>
      <w:r w:rsidR="007472B7" w:rsidRPr="00BA0AF9">
        <w:rPr>
          <w:sz w:val="22"/>
          <w:szCs w:val="22"/>
        </w:rPr>
        <w:t>bež</w:t>
      </w:r>
      <w:r w:rsidRPr="00BA0AF9">
        <w:rPr>
          <w:sz w:val="22"/>
          <w:szCs w:val="22"/>
        </w:rPr>
        <w:t>ného podávania paroxetínu podobné referenčným hodnotám iných štúdií, čo svedčí o tom, že paroxetín nemal významný vplyv na metabolizmus fosamprenaviru/ritonaviru. Nie sú k dispozícii žiadne údaje o účinkoch dlhodobého sú</w:t>
      </w:r>
      <w:r w:rsidR="007472B7" w:rsidRPr="00BA0AF9">
        <w:rPr>
          <w:sz w:val="22"/>
          <w:szCs w:val="22"/>
        </w:rPr>
        <w:t>bež</w:t>
      </w:r>
      <w:r w:rsidRPr="00BA0AF9">
        <w:rPr>
          <w:sz w:val="22"/>
          <w:szCs w:val="22"/>
        </w:rPr>
        <w:t>ného podávania paroxetínu a fosamprenaviru/ritonaviru presah</w:t>
      </w:r>
      <w:r w:rsidR="00674296" w:rsidRPr="00BA0AF9">
        <w:rPr>
          <w:sz w:val="22"/>
          <w:szCs w:val="22"/>
        </w:rPr>
        <w:t>ujúceho 10 dní.</w:t>
      </w:r>
    </w:p>
    <w:p w14:paraId="1996929F" w14:textId="77777777" w:rsidR="00E576F1" w:rsidRPr="00BA0AF9" w:rsidRDefault="00E576F1">
      <w:pPr>
        <w:spacing w:line="260" w:lineRule="exact"/>
        <w:rPr>
          <w:sz w:val="22"/>
          <w:szCs w:val="22"/>
        </w:rPr>
      </w:pPr>
    </w:p>
    <w:p w14:paraId="408395BC" w14:textId="77777777" w:rsidR="00140CF8" w:rsidRPr="00BA0AF9" w:rsidRDefault="009B420B">
      <w:pPr>
        <w:spacing w:line="260" w:lineRule="exact"/>
        <w:rPr>
          <w:sz w:val="22"/>
          <w:szCs w:val="22"/>
        </w:rPr>
      </w:pPr>
      <w:r w:rsidRPr="00BA0AF9">
        <w:rPr>
          <w:b/>
          <w:sz w:val="22"/>
          <w:szCs w:val="22"/>
        </w:rPr>
        <w:t xml:space="preserve">Procyklidín: </w:t>
      </w:r>
      <w:r w:rsidR="00140CF8" w:rsidRPr="00BA0AF9">
        <w:rPr>
          <w:sz w:val="22"/>
          <w:szCs w:val="22"/>
        </w:rPr>
        <w:t xml:space="preserve">Každodenné podávanie paroxetínu významne zvyšuje plazmatické hladiny </w:t>
      </w:r>
      <w:r w:rsidRPr="00BA0AF9">
        <w:rPr>
          <w:sz w:val="22"/>
          <w:szCs w:val="22"/>
        </w:rPr>
        <w:t>procyklidínu</w:t>
      </w:r>
      <w:r w:rsidR="00140CF8" w:rsidRPr="00BA0AF9">
        <w:rPr>
          <w:sz w:val="22"/>
          <w:szCs w:val="22"/>
        </w:rPr>
        <w:t>. Pokiaľ sa spozorujú anticholínergné účinky, dáv</w:t>
      </w:r>
      <w:r w:rsidR="00674296" w:rsidRPr="00BA0AF9">
        <w:rPr>
          <w:sz w:val="22"/>
          <w:szCs w:val="22"/>
        </w:rPr>
        <w:t xml:space="preserve">ka </w:t>
      </w:r>
      <w:r w:rsidRPr="00BA0AF9">
        <w:rPr>
          <w:sz w:val="22"/>
          <w:szCs w:val="22"/>
        </w:rPr>
        <w:t>procyklidín</w:t>
      </w:r>
      <w:r w:rsidR="00E866F0" w:rsidRPr="00BA0AF9">
        <w:rPr>
          <w:sz w:val="22"/>
          <w:szCs w:val="22"/>
        </w:rPr>
        <w:t>u</w:t>
      </w:r>
      <w:r w:rsidRPr="00BA0AF9">
        <w:rPr>
          <w:sz w:val="22"/>
          <w:szCs w:val="22"/>
        </w:rPr>
        <w:t xml:space="preserve"> </w:t>
      </w:r>
      <w:r w:rsidR="00674296" w:rsidRPr="00BA0AF9">
        <w:rPr>
          <w:sz w:val="22"/>
          <w:szCs w:val="22"/>
        </w:rPr>
        <w:t>sa musí znížiť.</w:t>
      </w:r>
    </w:p>
    <w:p w14:paraId="13141B13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055F7036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b/>
          <w:sz w:val="22"/>
          <w:szCs w:val="22"/>
        </w:rPr>
        <w:t>Antikonvulzíva:</w:t>
      </w:r>
      <w:r w:rsidRPr="00BA0AF9">
        <w:rPr>
          <w:sz w:val="22"/>
          <w:szCs w:val="22"/>
        </w:rPr>
        <w:t xml:space="preserve"> karbamazepín, fenytoín, valproát sodný. Nezdá sa, že by sú</w:t>
      </w:r>
      <w:r w:rsidR="007472B7" w:rsidRPr="00BA0AF9">
        <w:rPr>
          <w:sz w:val="22"/>
          <w:szCs w:val="22"/>
        </w:rPr>
        <w:t>bež</w:t>
      </w:r>
      <w:r w:rsidRPr="00BA0AF9">
        <w:rPr>
          <w:sz w:val="22"/>
          <w:szCs w:val="22"/>
        </w:rPr>
        <w:t>né podávanie malo nejaký účinok na farmakokinetický/dynamický profil u epileptických pacientov.</w:t>
      </w:r>
    </w:p>
    <w:p w14:paraId="396085F5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46FFE6A3" w14:textId="77777777" w:rsidR="00140CF8" w:rsidRPr="00BA0AF9" w:rsidRDefault="00140CF8" w:rsidP="00E83BB1">
      <w:pPr>
        <w:keepNext/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Inhibičný potenciál paroxetínu voči CYP2D6</w:t>
      </w:r>
    </w:p>
    <w:p w14:paraId="623FE4DD" w14:textId="77777777" w:rsidR="00140CF8" w:rsidRPr="00BA0AF9" w:rsidRDefault="00140CF8" w:rsidP="00E83BB1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Tak ako ostatné antidepresíva, vrátane ostatných SSRI, paroxetín inhibuje pečeňový enzým CYP2D6 cytochrómu P450. Inhibícia CYP2D6 môže viesť k zvýšeným plazmatickým koncentráciám sú</w:t>
      </w:r>
      <w:r w:rsidR="007472B7" w:rsidRPr="00BA0AF9">
        <w:rPr>
          <w:sz w:val="22"/>
          <w:szCs w:val="22"/>
        </w:rPr>
        <w:t>bež</w:t>
      </w:r>
      <w:r w:rsidRPr="00BA0AF9">
        <w:rPr>
          <w:sz w:val="22"/>
          <w:szCs w:val="22"/>
        </w:rPr>
        <w:t xml:space="preserve">ne podávaných liekov, ktoré sú metabolizované týmto enzýmom. Patria medzi ne niektoré tricyklické antidepresíva (napr. klomipramín, nortriptylín a desipramín), fenotiazínové neuroleptiká (napr. perfenazín a tioridazín, pozri časť 4.3 Kontraindikácie), risperidon, </w:t>
      </w:r>
      <w:r w:rsidR="00EA7AB7" w:rsidRPr="00BA0AF9">
        <w:rPr>
          <w:sz w:val="22"/>
          <w:szCs w:val="22"/>
        </w:rPr>
        <w:t xml:space="preserve">atomoxetín, </w:t>
      </w:r>
      <w:r w:rsidRPr="00BA0AF9">
        <w:rPr>
          <w:sz w:val="22"/>
          <w:szCs w:val="22"/>
        </w:rPr>
        <w:t>niektoré antiarytmiká typu 1c (napr. propafenon a flekainid) a metoprolol. Neodporúča sa používať paroxetín v kombinácii s metoprololom, keď sa podáva pri srdcovej nedostatočnosti, a to z dôvodu jeho úzkeho terapeutického indexu pri tejto indikácii.</w:t>
      </w:r>
    </w:p>
    <w:p w14:paraId="483BD078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39B971CC" w14:textId="77777777" w:rsidR="00881E45" w:rsidRPr="00BA0AF9" w:rsidRDefault="00881E45" w:rsidP="00881E4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0AF9">
        <w:rPr>
          <w:color w:val="000000"/>
          <w:sz w:val="22"/>
          <w:szCs w:val="22"/>
        </w:rPr>
        <w:t>V literatúre sa udáva farmakokinetická interakcia medzi inhibítormi CYP2D6 a tamoxif</w:t>
      </w:r>
      <w:r w:rsidR="00022B91" w:rsidRPr="00BA0AF9">
        <w:rPr>
          <w:color w:val="000000"/>
          <w:sz w:val="22"/>
          <w:szCs w:val="22"/>
        </w:rPr>
        <w:t>é</w:t>
      </w:r>
      <w:r w:rsidRPr="00BA0AF9">
        <w:rPr>
          <w:color w:val="000000"/>
          <w:sz w:val="22"/>
          <w:szCs w:val="22"/>
        </w:rPr>
        <w:t>nom, pri ktorej sa preukázalo 65 </w:t>
      </w:r>
      <w:r w:rsidRPr="00BA0AF9">
        <w:rPr>
          <w:color w:val="000000"/>
          <w:sz w:val="22"/>
          <w:szCs w:val="22"/>
        </w:rPr>
        <w:noBreakHyphen/>
        <w:t> 75 % zníženie plazmatických hladín jednej z účinnejších foriem tamoxif</w:t>
      </w:r>
      <w:r w:rsidR="00022B91" w:rsidRPr="00BA0AF9">
        <w:rPr>
          <w:color w:val="000000"/>
          <w:sz w:val="22"/>
          <w:szCs w:val="22"/>
        </w:rPr>
        <w:t>é</w:t>
      </w:r>
      <w:r w:rsidRPr="00BA0AF9">
        <w:rPr>
          <w:color w:val="000000"/>
          <w:sz w:val="22"/>
          <w:szCs w:val="22"/>
        </w:rPr>
        <w:t>nu, t.j. endoxif</w:t>
      </w:r>
      <w:r w:rsidR="00022B91" w:rsidRPr="00BA0AF9">
        <w:rPr>
          <w:color w:val="000000"/>
          <w:sz w:val="22"/>
          <w:szCs w:val="22"/>
        </w:rPr>
        <w:t>é</w:t>
      </w:r>
      <w:r w:rsidRPr="00BA0AF9">
        <w:rPr>
          <w:color w:val="000000"/>
          <w:sz w:val="22"/>
          <w:szCs w:val="22"/>
        </w:rPr>
        <w:t>nu. V niektorých štúdiách bola pri súbežnom použití niektorých antidepresív typu SSRI hlásená znížená účinnosť tamoxif</w:t>
      </w:r>
      <w:r w:rsidR="00022B91" w:rsidRPr="00BA0AF9">
        <w:rPr>
          <w:color w:val="000000"/>
          <w:sz w:val="22"/>
          <w:szCs w:val="22"/>
        </w:rPr>
        <w:t>é</w:t>
      </w:r>
      <w:r w:rsidRPr="00BA0AF9">
        <w:rPr>
          <w:color w:val="000000"/>
          <w:sz w:val="22"/>
          <w:szCs w:val="22"/>
        </w:rPr>
        <w:t>nu. Keďže nie je možné vylúčiť znížený účinok tamoxif</w:t>
      </w:r>
      <w:r w:rsidR="00022B91" w:rsidRPr="00BA0AF9">
        <w:rPr>
          <w:color w:val="000000"/>
          <w:sz w:val="22"/>
          <w:szCs w:val="22"/>
        </w:rPr>
        <w:t>é</w:t>
      </w:r>
      <w:r w:rsidRPr="00BA0AF9">
        <w:rPr>
          <w:color w:val="000000"/>
          <w:sz w:val="22"/>
          <w:szCs w:val="22"/>
        </w:rPr>
        <w:t xml:space="preserve">nu, súbežnému podávaniu so silnými inhibítormi CYP2D6 (vrátane paroxetínu) sa má vždy, </w:t>
      </w:r>
      <w:r w:rsidR="004C5D2A" w:rsidRPr="00BA0AF9">
        <w:rPr>
          <w:color w:val="000000"/>
          <w:sz w:val="22"/>
          <w:szCs w:val="22"/>
        </w:rPr>
        <w:t xml:space="preserve">pokiaľ </w:t>
      </w:r>
      <w:r w:rsidRPr="00BA0AF9">
        <w:rPr>
          <w:color w:val="000000"/>
          <w:sz w:val="22"/>
          <w:szCs w:val="22"/>
        </w:rPr>
        <w:t>je to možné, vyhnúť (pozri časť 4.4).</w:t>
      </w:r>
    </w:p>
    <w:p w14:paraId="1A4F6FA9" w14:textId="77777777" w:rsidR="00EF3C68" w:rsidRPr="00BA0AF9" w:rsidRDefault="00EF3C68">
      <w:pPr>
        <w:spacing w:line="260" w:lineRule="exact"/>
        <w:rPr>
          <w:sz w:val="22"/>
          <w:szCs w:val="22"/>
        </w:rPr>
      </w:pPr>
    </w:p>
    <w:p w14:paraId="747B63FC" w14:textId="77777777" w:rsidR="00140CF8" w:rsidRPr="00BA0AF9" w:rsidRDefault="00140CF8" w:rsidP="00D63CE5">
      <w:pPr>
        <w:keepNext/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lastRenderedPageBreak/>
        <w:t>Alkohol</w:t>
      </w:r>
    </w:p>
    <w:p w14:paraId="3CB7A03A" w14:textId="77777777" w:rsidR="00140CF8" w:rsidRPr="00BA0AF9" w:rsidRDefault="00140CF8" w:rsidP="00D63CE5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Tak ako </w:t>
      </w:r>
      <w:r w:rsidR="004C5D2A" w:rsidRPr="00BA0AF9">
        <w:rPr>
          <w:sz w:val="22"/>
          <w:szCs w:val="22"/>
        </w:rPr>
        <w:t>pri</w:t>
      </w:r>
      <w:r w:rsidRPr="00BA0AF9">
        <w:rPr>
          <w:sz w:val="22"/>
          <w:szCs w:val="22"/>
        </w:rPr>
        <w:t> ostatných psychotropných lieko</w:t>
      </w:r>
      <w:r w:rsidR="004C5D2A" w:rsidRPr="00BA0AF9">
        <w:rPr>
          <w:sz w:val="22"/>
          <w:szCs w:val="22"/>
        </w:rPr>
        <w:t>ch</w:t>
      </w:r>
      <w:r w:rsidRPr="00BA0AF9">
        <w:rPr>
          <w:sz w:val="22"/>
          <w:szCs w:val="22"/>
        </w:rPr>
        <w:t xml:space="preserve"> sa pacienti musia upozorniť na to, aby sa počas užívania paroxet</w:t>
      </w:r>
      <w:r w:rsidR="00674296" w:rsidRPr="00BA0AF9">
        <w:rPr>
          <w:sz w:val="22"/>
          <w:szCs w:val="22"/>
        </w:rPr>
        <w:t>ínu vyhli konzumácii alkoholu.</w:t>
      </w:r>
    </w:p>
    <w:p w14:paraId="6B8A9747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3EDA6033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Perorálne antikoagulanciá</w:t>
      </w:r>
    </w:p>
    <w:p w14:paraId="5AA96376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Môže sa vyskytnúť farmakodynamická interakcia medzi paroxetínom a perorálnymi antikoagulanciami. Sú</w:t>
      </w:r>
      <w:r w:rsidR="00192984" w:rsidRPr="00BA0AF9">
        <w:rPr>
          <w:sz w:val="22"/>
          <w:szCs w:val="22"/>
        </w:rPr>
        <w:t>bež</w:t>
      </w:r>
      <w:r w:rsidRPr="00BA0AF9">
        <w:rPr>
          <w:sz w:val="22"/>
          <w:szCs w:val="22"/>
        </w:rPr>
        <w:t>né použitie paroxetínu a perorálnych antikoagulancií môže viesť k zvýšenej antikoagulačnej aktivite a riziku krvácania. Paroxetín sa preto musí používať opatrne u pacientov, ktorí sú liečení perorálnymi antikoagulanciami (pozri časť 4.4 Osobitné upozornenia a opatrenia pri používaní).</w:t>
      </w:r>
    </w:p>
    <w:p w14:paraId="2F598507" w14:textId="77777777" w:rsidR="00140CF8" w:rsidRPr="00BA0AF9" w:rsidRDefault="00140CF8">
      <w:pPr>
        <w:spacing w:line="260" w:lineRule="exact"/>
        <w:rPr>
          <w:sz w:val="22"/>
          <w:szCs w:val="22"/>
          <w:u w:val="single"/>
        </w:rPr>
      </w:pPr>
    </w:p>
    <w:p w14:paraId="18512B3F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NSAID a kyselina acetylsalicylová a ďalšie antikoagulačné lieky</w:t>
      </w:r>
    </w:p>
    <w:p w14:paraId="7CF4D139" w14:textId="77777777" w:rsidR="00140CF8" w:rsidRPr="00BA0AF9" w:rsidRDefault="00956254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Medzi paroxetínom a NSAIDs/kyselinou acetylsalicylovou sa m</w:t>
      </w:r>
      <w:r w:rsidR="00140CF8" w:rsidRPr="00BA0AF9">
        <w:rPr>
          <w:sz w:val="22"/>
          <w:szCs w:val="22"/>
        </w:rPr>
        <w:t>ôže</w:t>
      </w:r>
      <w:r w:rsidRPr="00BA0AF9">
        <w:rPr>
          <w:sz w:val="22"/>
          <w:szCs w:val="22"/>
        </w:rPr>
        <w:t xml:space="preserve"> </w:t>
      </w:r>
      <w:r w:rsidR="00140CF8" w:rsidRPr="00BA0AF9">
        <w:rPr>
          <w:sz w:val="22"/>
          <w:szCs w:val="22"/>
        </w:rPr>
        <w:t xml:space="preserve">vyskytnúť farmakodynamická interakcia </w:t>
      </w:r>
      <w:r w:rsidR="006E6F05" w:rsidRPr="00BA0AF9">
        <w:rPr>
          <w:sz w:val="22"/>
          <w:szCs w:val="22"/>
        </w:rPr>
        <w:t xml:space="preserve">. </w:t>
      </w:r>
      <w:r w:rsidR="00140CF8" w:rsidRPr="00BA0AF9">
        <w:rPr>
          <w:sz w:val="22"/>
          <w:szCs w:val="22"/>
        </w:rPr>
        <w:t>Sú</w:t>
      </w:r>
      <w:r w:rsidR="00192984" w:rsidRPr="00BA0AF9">
        <w:rPr>
          <w:sz w:val="22"/>
          <w:szCs w:val="22"/>
        </w:rPr>
        <w:t>bež</w:t>
      </w:r>
      <w:r w:rsidR="00140CF8" w:rsidRPr="00BA0AF9">
        <w:rPr>
          <w:sz w:val="22"/>
          <w:szCs w:val="22"/>
        </w:rPr>
        <w:t>né použitie paroxetínu a NSAIDs/kyseliny acetylsalicylovej môže viesť k zvýšenému riziku krvácania (pozri časť 4.4 Osobitné upozornenia a opatrenia pri používaní).</w:t>
      </w:r>
    </w:p>
    <w:p w14:paraId="570B6088" w14:textId="77777777" w:rsidR="00140CF8" w:rsidRPr="00BA0AF9" w:rsidRDefault="00140CF8">
      <w:pPr>
        <w:spacing w:line="260" w:lineRule="exact"/>
        <w:rPr>
          <w:sz w:val="22"/>
          <w:szCs w:val="22"/>
          <w:u w:val="single"/>
        </w:rPr>
      </w:pPr>
      <w:r w:rsidRPr="00BA0AF9">
        <w:rPr>
          <w:sz w:val="22"/>
          <w:szCs w:val="22"/>
        </w:rPr>
        <w:t>Opatrnosť sa odporúča u pacientov užívajúcich SSRI sú</w:t>
      </w:r>
      <w:r w:rsidR="00192984" w:rsidRPr="00BA0AF9">
        <w:rPr>
          <w:sz w:val="22"/>
          <w:szCs w:val="22"/>
        </w:rPr>
        <w:t>bež</w:t>
      </w:r>
      <w:r w:rsidRPr="00BA0AF9">
        <w:rPr>
          <w:sz w:val="22"/>
          <w:szCs w:val="22"/>
        </w:rPr>
        <w:t>ne s perorálnymi antikoagulanciami, s</w:t>
      </w:r>
      <w:r w:rsidR="00E83BB1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 xml:space="preserve">liekmi, o ktorých je známe, že ovplyvňujú funkciu krvných doštičiek alebo s ďalšími liekmi, ktoré môžu zvýšiť riziko krvácania (napr. s atypickými antipsychotikami ako je klozapín, fenotiazíny, väčšina </w:t>
      </w:r>
      <w:smartTag w:uri="schemas-GSKSiteLocations-com/fourthcoffee" w:element="flavor">
        <w:r w:rsidRPr="00BA0AF9">
          <w:rPr>
            <w:sz w:val="22"/>
            <w:szCs w:val="22"/>
          </w:rPr>
          <w:t>TCA</w:t>
        </w:r>
      </w:smartTag>
      <w:r w:rsidRPr="00BA0AF9">
        <w:rPr>
          <w:sz w:val="22"/>
          <w:szCs w:val="22"/>
        </w:rPr>
        <w:t>, kyselina acetylsalicylová, NSAID, inhibítory COX-2), ako aj u pacientov, ktorí majú v anamnéze poruchy krvácania alebo stavy, ktoré ich môžu predisponovať ku krvácaniu.</w:t>
      </w:r>
    </w:p>
    <w:p w14:paraId="6A831FBD" w14:textId="77777777" w:rsidR="00B8593D" w:rsidRPr="00BA0AF9" w:rsidRDefault="00B8593D">
      <w:pPr>
        <w:spacing w:line="260" w:lineRule="exact"/>
        <w:rPr>
          <w:sz w:val="22"/>
          <w:szCs w:val="22"/>
          <w:u w:val="single"/>
        </w:rPr>
      </w:pPr>
    </w:p>
    <w:p w14:paraId="436589CD" w14:textId="77777777" w:rsidR="00C50BD5" w:rsidRPr="00BA0AF9" w:rsidRDefault="00C50BD5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Pravastatín</w:t>
      </w:r>
    </w:p>
    <w:p w14:paraId="296445C8" w14:textId="77777777" w:rsidR="00C50BD5" w:rsidRPr="00BA0AF9" w:rsidRDefault="00975335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V štúdiách bola pozorovaná interakcia medzi paroxetínom a pravastatínom, čo poukazuje, že súčasné podávanie paroxetínu a pravastatínu môže viesť k zvýšeným hladinám glukózy v krvi.</w:t>
      </w:r>
    </w:p>
    <w:p w14:paraId="06D5C800" w14:textId="77777777" w:rsidR="00C50BD5" w:rsidRPr="00BA0AF9" w:rsidRDefault="00C50BD5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U pacientov s ochorením diabetes mellitus, ktorí užívajú obidva, paroxetín a</w:t>
      </w:r>
      <w:r w:rsidR="00B3215F" w:rsidRPr="00BA0AF9">
        <w:rPr>
          <w:sz w:val="22"/>
          <w:szCs w:val="22"/>
        </w:rPr>
        <w:t>j</w:t>
      </w:r>
      <w:r w:rsidRPr="00BA0AF9">
        <w:rPr>
          <w:sz w:val="22"/>
          <w:szCs w:val="22"/>
        </w:rPr>
        <w:t> pravas</w:t>
      </w:r>
      <w:r w:rsidR="00975335" w:rsidRPr="00BA0AF9">
        <w:rPr>
          <w:sz w:val="22"/>
          <w:szCs w:val="22"/>
        </w:rPr>
        <w:t>t</w:t>
      </w:r>
      <w:r w:rsidRPr="00BA0AF9">
        <w:rPr>
          <w:sz w:val="22"/>
          <w:szCs w:val="22"/>
        </w:rPr>
        <w:t>atín, sa môže vyžad</w:t>
      </w:r>
      <w:r w:rsidR="00B3215F" w:rsidRPr="00BA0AF9">
        <w:rPr>
          <w:sz w:val="22"/>
          <w:szCs w:val="22"/>
        </w:rPr>
        <w:t>ovať úprava dávkovania perorálnych</w:t>
      </w:r>
      <w:r w:rsidRPr="00BA0AF9">
        <w:rPr>
          <w:sz w:val="22"/>
          <w:szCs w:val="22"/>
        </w:rPr>
        <w:t xml:space="preserve"> hypoglykem</w:t>
      </w:r>
      <w:r w:rsidR="00B3215F" w:rsidRPr="00BA0AF9">
        <w:rPr>
          <w:sz w:val="22"/>
          <w:szCs w:val="22"/>
        </w:rPr>
        <w:t>ík</w:t>
      </w:r>
      <w:r w:rsidRPr="00BA0AF9">
        <w:rPr>
          <w:sz w:val="22"/>
          <w:szCs w:val="22"/>
        </w:rPr>
        <w:t xml:space="preserve"> a/alebo inzulínu (pozri časť 4.4)</w:t>
      </w:r>
      <w:r w:rsidR="00B3215F" w:rsidRPr="00BA0AF9">
        <w:rPr>
          <w:sz w:val="22"/>
          <w:szCs w:val="22"/>
        </w:rPr>
        <w:t>.</w:t>
      </w:r>
    </w:p>
    <w:p w14:paraId="52666045" w14:textId="77777777" w:rsidR="00C50BD5" w:rsidRPr="00BA0AF9" w:rsidRDefault="00C50BD5">
      <w:pPr>
        <w:spacing w:line="260" w:lineRule="exact"/>
        <w:rPr>
          <w:sz w:val="22"/>
          <w:szCs w:val="22"/>
          <w:u w:val="single"/>
        </w:rPr>
      </w:pPr>
    </w:p>
    <w:p w14:paraId="3C8820B7" w14:textId="77777777" w:rsidR="00140CF8" w:rsidRPr="00BA0AF9" w:rsidRDefault="00140CF8" w:rsidP="00674296">
      <w:pPr>
        <w:keepNext/>
        <w:spacing w:line="260" w:lineRule="exact"/>
        <w:ind w:left="567" w:hanging="567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4.6</w:t>
      </w:r>
      <w:r w:rsidRPr="00BA0AF9">
        <w:rPr>
          <w:b/>
          <w:sz w:val="22"/>
          <w:szCs w:val="22"/>
        </w:rPr>
        <w:tab/>
      </w:r>
      <w:r w:rsidR="001B6D4B" w:rsidRPr="00BA0AF9">
        <w:rPr>
          <w:b/>
          <w:sz w:val="22"/>
          <w:szCs w:val="22"/>
        </w:rPr>
        <w:t>Fertilita, g</w:t>
      </w:r>
      <w:r w:rsidRPr="00BA0AF9">
        <w:rPr>
          <w:b/>
          <w:sz w:val="22"/>
          <w:szCs w:val="22"/>
        </w:rPr>
        <w:t>ravidita a laktácia</w:t>
      </w:r>
    </w:p>
    <w:p w14:paraId="4D5BEAAA" w14:textId="77777777" w:rsidR="00140CF8" w:rsidRPr="00BA0AF9" w:rsidRDefault="00140CF8" w:rsidP="00674296">
      <w:pPr>
        <w:pStyle w:val="Nadpis6"/>
        <w:spacing w:line="260" w:lineRule="exact"/>
        <w:rPr>
          <w:rFonts w:ascii="Times New Roman" w:hAnsi="Times New Roman"/>
          <w:b w:val="0"/>
          <w:color w:val="auto"/>
          <w:sz w:val="22"/>
          <w:szCs w:val="22"/>
        </w:rPr>
      </w:pPr>
      <w:bookmarkStart w:id="0" w:name="_GoBack"/>
    </w:p>
    <w:bookmarkEnd w:id="0"/>
    <w:p w14:paraId="5A4661F5" w14:textId="77777777" w:rsidR="00140CF8" w:rsidRPr="00BA0AF9" w:rsidRDefault="00140CF8" w:rsidP="00EA4A8B">
      <w:pPr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Gravidita</w:t>
      </w:r>
    </w:p>
    <w:p w14:paraId="5928EAEA" w14:textId="77777777" w:rsidR="00674296" w:rsidRPr="00BA0AF9" w:rsidRDefault="00534ADF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Niektoré epidemiologické štúdie poukazujú </w:t>
      </w:r>
      <w:r w:rsidR="00C600C7" w:rsidRPr="00BA0AF9">
        <w:rPr>
          <w:sz w:val="22"/>
          <w:szCs w:val="22"/>
        </w:rPr>
        <w:t xml:space="preserve">v súvislosti s používaním paroxetínu počas prvého trimestra </w:t>
      </w:r>
      <w:r w:rsidRPr="00BA0AF9">
        <w:rPr>
          <w:sz w:val="22"/>
          <w:szCs w:val="22"/>
        </w:rPr>
        <w:t xml:space="preserve">na zvýšené riziko </w:t>
      </w:r>
      <w:r w:rsidR="00EF3C68" w:rsidRPr="00BA0AF9">
        <w:rPr>
          <w:sz w:val="22"/>
          <w:szCs w:val="22"/>
        </w:rPr>
        <w:t>vrodených</w:t>
      </w:r>
      <w:r w:rsidRPr="00BA0AF9">
        <w:rPr>
          <w:sz w:val="22"/>
          <w:szCs w:val="22"/>
        </w:rPr>
        <w:t xml:space="preserve"> defekt</w:t>
      </w:r>
      <w:r w:rsidR="00EF3C68" w:rsidRPr="00BA0AF9">
        <w:rPr>
          <w:sz w:val="22"/>
          <w:szCs w:val="22"/>
        </w:rPr>
        <w:t>ov, najmä kardiovaskulárn</w:t>
      </w:r>
      <w:r w:rsidR="00C600C7" w:rsidRPr="00BA0AF9">
        <w:rPr>
          <w:sz w:val="22"/>
          <w:szCs w:val="22"/>
        </w:rPr>
        <w:t>ych</w:t>
      </w:r>
      <w:r w:rsidRPr="00BA0AF9">
        <w:rPr>
          <w:sz w:val="22"/>
          <w:szCs w:val="22"/>
        </w:rPr>
        <w:t xml:space="preserve"> (napr. defekt komorovej a predsieňovej priehradky). Mechanizmus nie je známy.</w:t>
      </w:r>
      <w:r w:rsidR="00EE5C33" w:rsidRPr="00BA0AF9">
        <w:rPr>
          <w:sz w:val="22"/>
          <w:szCs w:val="22"/>
        </w:rPr>
        <w:t xml:space="preserve"> Tieto údaje naznačujú, že riziko kardiovaskulárneho defektu u dieťaťa po expozícii matky</w:t>
      </w:r>
      <w:r w:rsidR="000F1DD6" w:rsidRPr="00BA0AF9">
        <w:rPr>
          <w:sz w:val="22"/>
          <w:szCs w:val="22"/>
        </w:rPr>
        <w:t xml:space="preserve"> </w:t>
      </w:r>
      <w:r w:rsidR="00EE5C33" w:rsidRPr="00BA0AF9">
        <w:rPr>
          <w:sz w:val="22"/>
          <w:szCs w:val="22"/>
        </w:rPr>
        <w:t>paroxetínu je menšia ako 2/100 – pre porovnanie, v celkovej populácii je výskyt takýchto defektov približne 1/100</w:t>
      </w:r>
      <w:r w:rsidRPr="00BA0AF9">
        <w:rPr>
          <w:sz w:val="22"/>
          <w:szCs w:val="22"/>
        </w:rPr>
        <w:t xml:space="preserve"> </w:t>
      </w:r>
    </w:p>
    <w:p w14:paraId="11C8F6F7" w14:textId="77777777" w:rsidR="00EE5C33" w:rsidRPr="00BA0AF9" w:rsidRDefault="00EE5C33">
      <w:pPr>
        <w:spacing w:line="260" w:lineRule="exact"/>
        <w:rPr>
          <w:sz w:val="22"/>
          <w:szCs w:val="22"/>
        </w:rPr>
      </w:pPr>
    </w:p>
    <w:p w14:paraId="65B7210B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Paroxetín má byť užívaný počas gravidity len v </w:t>
      </w:r>
      <w:r w:rsidR="004C5D2A" w:rsidRPr="00BA0AF9">
        <w:rPr>
          <w:sz w:val="22"/>
          <w:szCs w:val="22"/>
        </w:rPr>
        <w:t>nevyhnutných prípadoch</w:t>
      </w:r>
      <w:r w:rsidRPr="00BA0AF9">
        <w:rPr>
          <w:sz w:val="22"/>
          <w:szCs w:val="22"/>
        </w:rPr>
        <w:t xml:space="preserve">. </w:t>
      </w:r>
      <w:r w:rsidR="004C5D2A" w:rsidRPr="00BA0AF9">
        <w:rPr>
          <w:sz w:val="22"/>
          <w:szCs w:val="22"/>
        </w:rPr>
        <w:t>Ošetrujúci lekár má zvážiť možnosť alternatívnej liečby u tehotných žien alebo u žien, ktoré plánujú otehotnieť</w:t>
      </w:r>
      <w:r w:rsidR="00534ADF" w:rsidRPr="00BA0AF9">
        <w:rPr>
          <w:sz w:val="22"/>
          <w:szCs w:val="22"/>
        </w:rPr>
        <w:t>.</w:t>
      </w:r>
      <w:r w:rsidR="004C1D08" w:rsidRPr="00BA0AF9">
        <w:rPr>
          <w:sz w:val="22"/>
          <w:szCs w:val="22"/>
        </w:rPr>
        <w:t xml:space="preserve"> </w:t>
      </w:r>
      <w:r w:rsidRPr="00BA0AF9">
        <w:rPr>
          <w:sz w:val="22"/>
          <w:szCs w:val="22"/>
        </w:rPr>
        <w:t xml:space="preserve">Náhlemu </w:t>
      </w:r>
      <w:r w:rsidR="0043001A" w:rsidRPr="00BA0AF9">
        <w:rPr>
          <w:sz w:val="22"/>
          <w:szCs w:val="22"/>
        </w:rPr>
        <w:t xml:space="preserve">ukončeniu </w:t>
      </w:r>
      <w:r w:rsidRPr="00BA0AF9">
        <w:rPr>
          <w:sz w:val="22"/>
          <w:szCs w:val="22"/>
        </w:rPr>
        <w:t>liečby počas gravidity sa má zabrániť (pozri „</w:t>
      </w:r>
      <w:r w:rsidR="0043001A" w:rsidRPr="00BA0AF9">
        <w:rPr>
          <w:sz w:val="22"/>
          <w:szCs w:val="22"/>
        </w:rPr>
        <w:t>S</w:t>
      </w:r>
      <w:r w:rsidRPr="00BA0AF9">
        <w:rPr>
          <w:sz w:val="22"/>
          <w:szCs w:val="22"/>
        </w:rPr>
        <w:t>ymptómy</w:t>
      </w:r>
      <w:r w:rsidR="0043001A" w:rsidRPr="00BA0AF9">
        <w:rPr>
          <w:sz w:val="22"/>
          <w:szCs w:val="22"/>
        </w:rPr>
        <w:t xml:space="preserve"> z vysadenia</w:t>
      </w:r>
      <w:r w:rsidRPr="00BA0AF9">
        <w:rPr>
          <w:sz w:val="22"/>
          <w:szCs w:val="22"/>
        </w:rPr>
        <w:t xml:space="preserve"> pozorované po prerušení podávania paroxetínu“</w:t>
      </w:r>
      <w:r w:rsidRPr="00BA0AF9">
        <w:rPr>
          <w:b/>
          <w:sz w:val="22"/>
          <w:szCs w:val="22"/>
        </w:rPr>
        <w:t>,</w:t>
      </w:r>
      <w:r w:rsidRPr="00BA0AF9">
        <w:rPr>
          <w:sz w:val="22"/>
          <w:szCs w:val="22"/>
        </w:rPr>
        <w:t xml:space="preserve"> časť 4.2 </w:t>
      </w:r>
      <w:r w:rsidR="00674296" w:rsidRPr="00BA0AF9">
        <w:rPr>
          <w:sz w:val="22"/>
          <w:szCs w:val="22"/>
        </w:rPr>
        <w:t>Dávkovanie a spôsob podávania).</w:t>
      </w:r>
    </w:p>
    <w:p w14:paraId="3D7B8F7E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483CAF36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Novorodenci sa musia pozorovať, ak ich matky pokračovali v užívaní paroxetínu v neskorších štádiách gravidity, hlavne v treťom tr</w:t>
      </w:r>
      <w:r w:rsidR="005C11AF" w:rsidRPr="00BA0AF9">
        <w:rPr>
          <w:sz w:val="22"/>
          <w:szCs w:val="22"/>
        </w:rPr>
        <w:t>imestri.</w:t>
      </w:r>
    </w:p>
    <w:p w14:paraId="5B1A8DAC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24B9DE45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Nasledujúce symptómy sa môžu vyskytnúť </w:t>
      </w:r>
      <w:r w:rsidR="003751C4" w:rsidRPr="00BA0AF9">
        <w:rPr>
          <w:sz w:val="22"/>
          <w:szCs w:val="22"/>
        </w:rPr>
        <w:t>u</w:t>
      </w:r>
      <w:r w:rsidRPr="00BA0AF9">
        <w:rPr>
          <w:sz w:val="22"/>
          <w:szCs w:val="22"/>
        </w:rPr>
        <w:t xml:space="preserve"> novorodenca, ktorého matka užívala paroxetín v neskorších štádiách gravidity: </w:t>
      </w:r>
      <w:r w:rsidR="00202CC9" w:rsidRPr="00BA0AF9">
        <w:rPr>
          <w:sz w:val="22"/>
          <w:szCs w:val="22"/>
        </w:rPr>
        <w:t>respiračné ťažkosti</w:t>
      </w:r>
      <w:r w:rsidRPr="00BA0AF9">
        <w:rPr>
          <w:sz w:val="22"/>
          <w:szCs w:val="22"/>
        </w:rPr>
        <w:t xml:space="preserve">, cyanóza, apnoe, záchvaty, nestabilita teploty, porucha príjmu potravy, dávenie, hypoglykémia, hypotónia, hypertónia, hyperreflexia, tremor, nervozita, podráždenosť, letargia, nepretržitý plač, somnolencia a ťažkosti so spánkom. Tieto symptómy môžu byť buď dôsledkom </w:t>
      </w:r>
      <w:r w:rsidR="00AC42D8" w:rsidRPr="00BA0AF9">
        <w:rPr>
          <w:sz w:val="22"/>
          <w:szCs w:val="22"/>
        </w:rPr>
        <w:t>séroton</w:t>
      </w:r>
      <w:r w:rsidRPr="00BA0AF9">
        <w:rPr>
          <w:sz w:val="22"/>
          <w:szCs w:val="22"/>
        </w:rPr>
        <w:t>ergných účinkov, alebo symptómov</w:t>
      </w:r>
      <w:r w:rsidR="005E25D0" w:rsidRPr="00BA0AF9">
        <w:rPr>
          <w:sz w:val="22"/>
          <w:szCs w:val="22"/>
        </w:rPr>
        <w:t xml:space="preserve"> z vysadenia</w:t>
      </w:r>
      <w:r w:rsidRPr="00BA0AF9">
        <w:rPr>
          <w:sz w:val="22"/>
          <w:szCs w:val="22"/>
        </w:rPr>
        <w:t>. Vo väčšine prípadov komplikácie začnú okamžite, alebo krátko (&lt;24 hodín) po pôrode.</w:t>
      </w:r>
    </w:p>
    <w:p w14:paraId="0990CE4B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1346C2D4" w14:textId="77777777" w:rsidR="00E06F31" w:rsidRPr="00BA0AF9" w:rsidRDefault="00C861B5" w:rsidP="00E06F31">
      <w:pPr>
        <w:autoSpaceDE w:val="0"/>
        <w:autoSpaceDN w:val="0"/>
        <w:adjustRightInd w:val="0"/>
        <w:rPr>
          <w:sz w:val="22"/>
          <w:szCs w:val="22"/>
        </w:rPr>
      </w:pPr>
      <w:r w:rsidRPr="00BA0AF9">
        <w:rPr>
          <w:sz w:val="22"/>
          <w:szCs w:val="22"/>
        </w:rPr>
        <w:t xml:space="preserve">Epidemiologické údaje naznačovali, že použitie SSRI </w:t>
      </w:r>
      <w:r w:rsidR="00E06F31" w:rsidRPr="00BA0AF9">
        <w:rPr>
          <w:sz w:val="22"/>
          <w:szCs w:val="22"/>
        </w:rPr>
        <w:t xml:space="preserve">počas tehotenstva, najmä počas pokročilého tehotenstva, môže zvýšiť riziko vzniku perzistujúcej pľúcnej hypertenzie novorodencov (PPHN). Pozorované riziko bolo približne </w:t>
      </w:r>
      <w:r w:rsidR="00017B2D" w:rsidRPr="00BA0AF9">
        <w:rPr>
          <w:sz w:val="22"/>
          <w:szCs w:val="22"/>
        </w:rPr>
        <w:t>päť</w:t>
      </w:r>
      <w:r w:rsidR="00E06F31" w:rsidRPr="00BA0AF9">
        <w:rPr>
          <w:sz w:val="22"/>
          <w:szCs w:val="22"/>
        </w:rPr>
        <w:t xml:space="preserve"> prípadov na 1 000 tehotenstiev. V bežnej populácii sa vyskytuje </w:t>
      </w:r>
      <w:r w:rsidR="00017B2D" w:rsidRPr="00BA0AF9">
        <w:rPr>
          <w:sz w:val="22"/>
          <w:szCs w:val="22"/>
        </w:rPr>
        <w:t>jeden</w:t>
      </w:r>
      <w:r w:rsidR="00E06F31" w:rsidRPr="00BA0AF9">
        <w:rPr>
          <w:sz w:val="22"/>
          <w:szCs w:val="22"/>
        </w:rPr>
        <w:t> až </w:t>
      </w:r>
      <w:r w:rsidR="00017B2D" w:rsidRPr="00BA0AF9">
        <w:rPr>
          <w:sz w:val="22"/>
          <w:szCs w:val="22"/>
        </w:rPr>
        <w:t>dva</w:t>
      </w:r>
      <w:r w:rsidR="00E06F31" w:rsidRPr="00BA0AF9">
        <w:rPr>
          <w:sz w:val="22"/>
          <w:szCs w:val="22"/>
        </w:rPr>
        <w:t xml:space="preserve"> prípady PPHN na 1 000 tehotenstiev. </w:t>
      </w:r>
    </w:p>
    <w:p w14:paraId="1CACFF9B" w14:textId="77777777" w:rsidR="00565D4A" w:rsidRPr="00BA0AF9" w:rsidRDefault="00565D4A">
      <w:pPr>
        <w:spacing w:line="260" w:lineRule="exact"/>
        <w:rPr>
          <w:sz w:val="22"/>
          <w:szCs w:val="22"/>
        </w:rPr>
      </w:pPr>
    </w:p>
    <w:p w14:paraId="33D6A6D0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lastRenderedPageBreak/>
        <w:t>Štúdie na zvieratách preukázali reprodukčnú toxicitu, ale nepreukázali priame škodlivé účinky na graviditu, embryonálny/fetálny vývoj, pôrod alebo postnatálny vývoj (pozri časť 5.3 Predklinické údaje o bezpečnosti).</w:t>
      </w:r>
    </w:p>
    <w:p w14:paraId="4CCA5AAB" w14:textId="77777777" w:rsidR="00140CF8" w:rsidRPr="00BA0AF9" w:rsidRDefault="00140CF8">
      <w:pPr>
        <w:spacing w:line="260" w:lineRule="exact"/>
        <w:rPr>
          <w:sz w:val="22"/>
          <w:szCs w:val="22"/>
          <w:u w:val="single"/>
        </w:rPr>
      </w:pPr>
    </w:p>
    <w:p w14:paraId="3F0A7D3A" w14:textId="77777777" w:rsidR="00140CF8" w:rsidRPr="00BA0AF9" w:rsidRDefault="00140CF8" w:rsidP="00C42A72">
      <w:pPr>
        <w:keepNext/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Laktácia</w:t>
      </w:r>
    </w:p>
    <w:p w14:paraId="05CA3325" w14:textId="29553977" w:rsidR="00140CF8" w:rsidRPr="00BA0AF9" w:rsidRDefault="00140CF8" w:rsidP="00C42A72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Malé množstvá </w:t>
      </w:r>
      <w:proofErr w:type="spellStart"/>
      <w:r w:rsidRPr="00BA0AF9">
        <w:rPr>
          <w:sz w:val="22"/>
          <w:szCs w:val="22"/>
        </w:rPr>
        <w:t>paroxetínu</w:t>
      </w:r>
      <w:proofErr w:type="spellEnd"/>
      <w:r w:rsidRPr="00BA0AF9">
        <w:rPr>
          <w:sz w:val="22"/>
          <w:szCs w:val="22"/>
        </w:rPr>
        <w:t xml:space="preserve"> sa vylučujú do materského mlieka. V publikovaných štúdiách boli sérové koncentrácie u dojčených detí </w:t>
      </w:r>
      <w:r w:rsidR="00EF76A3" w:rsidRPr="00BA0AF9">
        <w:rPr>
          <w:sz w:val="22"/>
          <w:szCs w:val="22"/>
        </w:rPr>
        <w:t xml:space="preserve">nezistiteľné </w:t>
      </w:r>
      <w:r w:rsidRPr="00BA0AF9">
        <w:rPr>
          <w:sz w:val="22"/>
          <w:szCs w:val="22"/>
        </w:rPr>
        <w:t>(&lt;2</w:t>
      </w:r>
      <w:r w:rsidR="005C11AF" w:rsidRPr="00BA0AF9">
        <w:rPr>
          <w:sz w:val="22"/>
          <w:szCs w:val="22"/>
        </w:rPr>
        <w:t> </w:t>
      </w:r>
      <w:r w:rsidR="006E0170" w:rsidRPr="00BA0AF9">
        <w:rPr>
          <w:sz w:val="22"/>
          <w:szCs w:val="22"/>
        </w:rPr>
        <w:t>nanogramy</w:t>
      </w:r>
      <w:r w:rsidRPr="00BA0AF9">
        <w:rPr>
          <w:sz w:val="22"/>
          <w:szCs w:val="22"/>
        </w:rPr>
        <w:t>/ml) alebo veľmi nízke (&lt;4 </w:t>
      </w:r>
      <w:r w:rsidR="006E0170" w:rsidRPr="00BA0AF9">
        <w:rPr>
          <w:sz w:val="22"/>
          <w:szCs w:val="22"/>
        </w:rPr>
        <w:t>nanogramy</w:t>
      </w:r>
      <w:r w:rsidRPr="00BA0AF9">
        <w:rPr>
          <w:sz w:val="22"/>
          <w:szCs w:val="22"/>
        </w:rPr>
        <w:t>/ml)</w:t>
      </w:r>
      <w:r w:rsidR="00F26895" w:rsidRPr="00BA0AF9">
        <w:rPr>
          <w:sz w:val="22"/>
          <w:szCs w:val="22"/>
        </w:rPr>
        <w:t xml:space="preserve"> a</w:t>
      </w:r>
      <w:r w:rsidRPr="00BA0AF9">
        <w:rPr>
          <w:sz w:val="22"/>
          <w:szCs w:val="22"/>
        </w:rPr>
        <w:t xml:space="preserve"> </w:t>
      </w:r>
      <w:r w:rsidR="00F26895" w:rsidRPr="00BA0AF9">
        <w:rPr>
          <w:sz w:val="22"/>
          <w:szCs w:val="22"/>
        </w:rPr>
        <w:t>u</w:t>
      </w:r>
      <w:r w:rsidRPr="00BA0AF9">
        <w:rPr>
          <w:sz w:val="22"/>
          <w:szCs w:val="22"/>
        </w:rPr>
        <w:t xml:space="preserve"> týchto dojčiat neboli pozorované žiadne známky účinkov lieku. </w:t>
      </w:r>
      <w:r w:rsidR="00F26895" w:rsidRPr="00BA0AF9">
        <w:rPr>
          <w:sz w:val="22"/>
          <w:szCs w:val="22"/>
        </w:rPr>
        <w:t>Vzhľadom k tomu, že sa nepredpokladá výskyt účinkov, dojčenie sa môže zvážiť.</w:t>
      </w:r>
    </w:p>
    <w:p w14:paraId="3918B848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04627196" w14:textId="77777777" w:rsidR="006E0170" w:rsidRPr="00BA0AF9" w:rsidRDefault="006E0170" w:rsidP="006E0170">
      <w:pPr>
        <w:pStyle w:val="Zkladntext"/>
        <w:rPr>
          <w:rFonts w:ascii="Times New Roman" w:hAnsi="Times New Roman"/>
          <w:b/>
          <w:i w:val="0"/>
          <w:sz w:val="22"/>
          <w:szCs w:val="22"/>
          <w:lang w:eastAsia="en-US"/>
        </w:rPr>
      </w:pPr>
      <w:r w:rsidRPr="00BA0AF9">
        <w:rPr>
          <w:rFonts w:ascii="Times New Roman" w:hAnsi="Times New Roman"/>
          <w:b/>
          <w:i w:val="0"/>
          <w:sz w:val="22"/>
          <w:szCs w:val="22"/>
          <w:lang w:eastAsia="en-US"/>
        </w:rPr>
        <w:t>Fertilita</w:t>
      </w:r>
    </w:p>
    <w:p w14:paraId="4FAC2949" w14:textId="77777777" w:rsidR="006E0170" w:rsidRPr="00BA0AF9" w:rsidRDefault="006E0170" w:rsidP="006E0170">
      <w:pPr>
        <w:rPr>
          <w:sz w:val="22"/>
          <w:szCs w:val="22"/>
        </w:rPr>
      </w:pPr>
      <w:r w:rsidRPr="00BA0AF9">
        <w:rPr>
          <w:sz w:val="22"/>
          <w:szCs w:val="22"/>
        </w:rPr>
        <w:t xml:space="preserve">Údaje získané v štúdiách na zvieratách preukázali, že paroxetín môže ovplyvniť kvalitu spermií (pozri časť 5.3). Údaje získané </w:t>
      </w:r>
      <w:r w:rsidR="00017B2D" w:rsidRPr="00BA0AF9">
        <w:rPr>
          <w:sz w:val="22"/>
          <w:szCs w:val="22"/>
        </w:rPr>
        <w:t xml:space="preserve">z ľudského materiálu </w:t>
      </w:r>
      <w:r w:rsidRPr="00BA0AF9">
        <w:rPr>
          <w:i/>
          <w:sz w:val="22"/>
          <w:szCs w:val="22"/>
        </w:rPr>
        <w:t>in vitro</w:t>
      </w:r>
      <w:r w:rsidRPr="00BA0AF9">
        <w:rPr>
          <w:sz w:val="22"/>
          <w:szCs w:val="22"/>
        </w:rPr>
        <w:t xml:space="preserve"> môžu naznačovať určitý vplyv na kvalitu spermií, ale hlásenia prípadov u ľudí užívajúcich niektoré SSRI (vrátane paroxetínu) </w:t>
      </w:r>
      <w:r w:rsidR="00017B2D" w:rsidRPr="00BA0AF9">
        <w:rPr>
          <w:sz w:val="22"/>
          <w:szCs w:val="22"/>
        </w:rPr>
        <w:t>preukázali</w:t>
      </w:r>
      <w:r w:rsidRPr="00BA0AF9">
        <w:rPr>
          <w:sz w:val="22"/>
          <w:szCs w:val="22"/>
        </w:rPr>
        <w:t>, že vplyv na kvalitu spermií je zrejme reverzibilný. Vplyv na ľudskú fertilitu nebol doteraz pozorovaný.</w:t>
      </w:r>
    </w:p>
    <w:p w14:paraId="1AB8AC4A" w14:textId="77777777" w:rsidR="006E0170" w:rsidRPr="00BA0AF9" w:rsidRDefault="006E0170">
      <w:pPr>
        <w:spacing w:line="260" w:lineRule="exact"/>
        <w:rPr>
          <w:sz w:val="22"/>
          <w:szCs w:val="22"/>
        </w:rPr>
      </w:pPr>
    </w:p>
    <w:p w14:paraId="39B65366" w14:textId="77777777" w:rsidR="00140CF8" w:rsidRPr="00BA0AF9" w:rsidRDefault="00140CF8">
      <w:pPr>
        <w:spacing w:line="260" w:lineRule="exact"/>
        <w:ind w:left="567" w:hanging="567"/>
        <w:rPr>
          <w:sz w:val="22"/>
          <w:szCs w:val="22"/>
        </w:rPr>
      </w:pPr>
      <w:r w:rsidRPr="00BA0AF9">
        <w:rPr>
          <w:b/>
          <w:sz w:val="22"/>
          <w:szCs w:val="22"/>
        </w:rPr>
        <w:t>4.7</w:t>
      </w:r>
      <w:r w:rsidRPr="00BA0AF9">
        <w:rPr>
          <w:b/>
          <w:sz w:val="22"/>
          <w:szCs w:val="22"/>
        </w:rPr>
        <w:tab/>
        <w:t>Ovplyvnenie schopnosti viesť vozidlá a obsluhovať stroje</w:t>
      </w:r>
    </w:p>
    <w:p w14:paraId="22AA3298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7663B015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Klinické skúsenosti ukázali, že liečba paroxetínom nie je spojená s ovplyvnením kognitívnej alebo psychomotorickej funkcie. Tak ako </w:t>
      </w:r>
      <w:r w:rsidR="00240E7D" w:rsidRPr="00BA0AF9">
        <w:rPr>
          <w:sz w:val="22"/>
          <w:szCs w:val="22"/>
        </w:rPr>
        <w:t>pri</w:t>
      </w:r>
      <w:r w:rsidRPr="00BA0AF9">
        <w:rPr>
          <w:sz w:val="22"/>
          <w:szCs w:val="22"/>
        </w:rPr>
        <w:t> všetkých lieko</w:t>
      </w:r>
      <w:r w:rsidR="00240E7D" w:rsidRPr="00BA0AF9">
        <w:rPr>
          <w:sz w:val="22"/>
          <w:szCs w:val="22"/>
        </w:rPr>
        <w:t>ch</w:t>
      </w:r>
      <w:r w:rsidRPr="00BA0AF9">
        <w:rPr>
          <w:sz w:val="22"/>
          <w:szCs w:val="22"/>
        </w:rPr>
        <w:t xml:space="preserve"> pôsobiacich na psychiku však pacienti musia byť obozretní pokiaľ ide o ich schopnosť viesť </w:t>
      </w:r>
      <w:r w:rsidR="005C11AF" w:rsidRPr="00BA0AF9">
        <w:rPr>
          <w:sz w:val="22"/>
          <w:szCs w:val="22"/>
        </w:rPr>
        <w:t>vozidl</w:t>
      </w:r>
      <w:r w:rsidR="00240E7D" w:rsidRPr="00BA0AF9">
        <w:rPr>
          <w:sz w:val="22"/>
          <w:szCs w:val="22"/>
        </w:rPr>
        <w:t>á</w:t>
      </w:r>
      <w:r w:rsidR="005C11AF" w:rsidRPr="00BA0AF9">
        <w:rPr>
          <w:sz w:val="22"/>
          <w:szCs w:val="22"/>
        </w:rPr>
        <w:t xml:space="preserve"> alebo obsluhovať stroj</w:t>
      </w:r>
      <w:r w:rsidR="00240E7D" w:rsidRPr="00BA0AF9">
        <w:rPr>
          <w:sz w:val="22"/>
          <w:szCs w:val="22"/>
        </w:rPr>
        <w:t>e</w:t>
      </w:r>
      <w:r w:rsidR="005C11AF" w:rsidRPr="00BA0AF9">
        <w:rPr>
          <w:sz w:val="22"/>
          <w:szCs w:val="22"/>
        </w:rPr>
        <w:t>.</w:t>
      </w:r>
    </w:p>
    <w:p w14:paraId="6966FEAD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Aj keď paroxetín nezvyšuje účinky alkoholu na mentálne a motorické zručnosti, sú</w:t>
      </w:r>
      <w:r w:rsidR="00A0165A" w:rsidRPr="00BA0AF9">
        <w:rPr>
          <w:sz w:val="22"/>
          <w:szCs w:val="22"/>
        </w:rPr>
        <w:t>bež</w:t>
      </w:r>
      <w:r w:rsidRPr="00BA0AF9">
        <w:rPr>
          <w:sz w:val="22"/>
          <w:szCs w:val="22"/>
        </w:rPr>
        <w:t>né užívanie parox</w:t>
      </w:r>
      <w:r w:rsidR="005C11AF" w:rsidRPr="00BA0AF9">
        <w:rPr>
          <w:sz w:val="22"/>
          <w:szCs w:val="22"/>
        </w:rPr>
        <w:t>etínu a alkoholu sa neodporúča.</w:t>
      </w:r>
    </w:p>
    <w:p w14:paraId="2F45262A" w14:textId="77777777" w:rsidR="00140CF8" w:rsidRPr="00BA0AF9" w:rsidRDefault="00140CF8">
      <w:pPr>
        <w:pStyle w:val="Hlavika"/>
        <w:tabs>
          <w:tab w:val="clear" w:pos="4320"/>
          <w:tab w:val="clear" w:pos="8640"/>
        </w:tabs>
        <w:spacing w:line="260" w:lineRule="exact"/>
        <w:rPr>
          <w:sz w:val="22"/>
          <w:szCs w:val="22"/>
        </w:rPr>
      </w:pPr>
    </w:p>
    <w:p w14:paraId="0AD5E1A4" w14:textId="77777777" w:rsidR="00140CF8" w:rsidRPr="00BA0AF9" w:rsidRDefault="00140CF8" w:rsidP="000072D4">
      <w:pPr>
        <w:keepNext/>
        <w:spacing w:line="260" w:lineRule="exact"/>
        <w:ind w:left="567" w:hanging="567"/>
        <w:rPr>
          <w:sz w:val="22"/>
          <w:szCs w:val="22"/>
        </w:rPr>
      </w:pPr>
      <w:r w:rsidRPr="00BA0AF9">
        <w:rPr>
          <w:b/>
          <w:sz w:val="22"/>
          <w:szCs w:val="22"/>
        </w:rPr>
        <w:t>4.8</w:t>
      </w:r>
      <w:r w:rsidRPr="00BA0AF9">
        <w:rPr>
          <w:b/>
          <w:sz w:val="22"/>
          <w:szCs w:val="22"/>
        </w:rPr>
        <w:tab/>
        <w:t>Nežiaduce účinky</w:t>
      </w:r>
    </w:p>
    <w:p w14:paraId="4A3E15E3" w14:textId="77777777" w:rsidR="00140CF8" w:rsidRPr="00BA0AF9" w:rsidRDefault="00140CF8" w:rsidP="000072D4">
      <w:pPr>
        <w:keepNext/>
        <w:spacing w:line="260" w:lineRule="exact"/>
        <w:rPr>
          <w:sz w:val="22"/>
          <w:szCs w:val="22"/>
        </w:rPr>
      </w:pPr>
    </w:p>
    <w:p w14:paraId="4ADA7FFA" w14:textId="77777777" w:rsidR="00140CF8" w:rsidRPr="00BA0AF9" w:rsidRDefault="00140CF8" w:rsidP="000072D4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S pokračujúcou liečbou sa môže intenzita a frekvencia niektorých z nižšie uvedených nežiaducich reakcií</w:t>
      </w:r>
      <w:r w:rsidR="00227DD0" w:rsidRPr="00BA0AF9">
        <w:rPr>
          <w:sz w:val="22"/>
          <w:szCs w:val="22"/>
        </w:rPr>
        <w:t xml:space="preserve"> na liek</w:t>
      </w:r>
      <w:r w:rsidRPr="00BA0AF9">
        <w:rPr>
          <w:sz w:val="22"/>
          <w:szCs w:val="22"/>
        </w:rPr>
        <w:t xml:space="preserve"> znižovať a zvyčajne nevedú k ukončeniu liečby.</w:t>
      </w:r>
    </w:p>
    <w:p w14:paraId="3B6C83D8" w14:textId="77777777" w:rsidR="00140CF8" w:rsidRPr="00BA0AF9" w:rsidRDefault="00140CF8" w:rsidP="000072D4">
      <w:pPr>
        <w:pStyle w:val="Zkladntext3"/>
        <w:keepNext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 xml:space="preserve">Nežiaduce reakcie </w:t>
      </w:r>
      <w:r w:rsidR="007A089E" w:rsidRPr="00BA0AF9">
        <w:rPr>
          <w:rFonts w:ascii="Times New Roman" w:hAnsi="Times New Roman"/>
          <w:color w:val="auto"/>
          <w:sz w:val="22"/>
          <w:szCs w:val="22"/>
        </w:rPr>
        <w:t xml:space="preserve">na liek </w:t>
      </w:r>
      <w:r w:rsidRPr="00BA0AF9">
        <w:rPr>
          <w:rFonts w:ascii="Times New Roman" w:hAnsi="Times New Roman"/>
          <w:color w:val="auto"/>
          <w:sz w:val="22"/>
          <w:szCs w:val="22"/>
        </w:rPr>
        <w:t>sú uvedené nižšie podľa tried orgánových systémov a frekvencie.</w:t>
      </w:r>
    </w:p>
    <w:p w14:paraId="4D0AD022" w14:textId="77777777" w:rsidR="00140CF8" w:rsidRPr="00BA0AF9" w:rsidRDefault="00140CF8" w:rsidP="000072D4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Frekvencie sú definované ako: veľmi časté (≥1/10), časté (≥1/100</w:t>
      </w:r>
      <w:r w:rsidR="007A089E" w:rsidRPr="00BA0AF9">
        <w:rPr>
          <w:sz w:val="22"/>
          <w:szCs w:val="22"/>
        </w:rPr>
        <w:t xml:space="preserve"> až</w:t>
      </w:r>
      <w:r w:rsidRPr="00BA0AF9">
        <w:rPr>
          <w:sz w:val="22"/>
          <w:szCs w:val="22"/>
        </w:rPr>
        <w:t xml:space="preserve"> &lt;1/10), menej časté (≥1/</w:t>
      </w:r>
      <w:r w:rsidR="00B028D1" w:rsidRPr="00BA0AF9">
        <w:rPr>
          <w:sz w:val="22"/>
          <w:szCs w:val="22"/>
        </w:rPr>
        <w:t xml:space="preserve"> </w:t>
      </w:r>
      <w:r w:rsidRPr="00BA0AF9">
        <w:rPr>
          <w:sz w:val="22"/>
          <w:szCs w:val="22"/>
        </w:rPr>
        <w:t>1</w:t>
      </w:r>
      <w:r w:rsidR="001674E1" w:rsidRPr="00BA0AF9">
        <w:rPr>
          <w:sz w:val="22"/>
          <w:szCs w:val="22"/>
        </w:rPr>
        <w:t xml:space="preserve"> </w:t>
      </w:r>
      <w:r w:rsidRPr="00BA0AF9">
        <w:rPr>
          <w:sz w:val="22"/>
          <w:szCs w:val="22"/>
        </w:rPr>
        <w:t>000</w:t>
      </w:r>
      <w:r w:rsidR="007A089E" w:rsidRPr="00BA0AF9">
        <w:rPr>
          <w:sz w:val="22"/>
          <w:szCs w:val="22"/>
        </w:rPr>
        <w:t xml:space="preserve"> až</w:t>
      </w:r>
      <w:r w:rsidRPr="00BA0AF9">
        <w:rPr>
          <w:sz w:val="22"/>
          <w:szCs w:val="22"/>
        </w:rPr>
        <w:t xml:space="preserve"> &lt;1/100), zriedkavé (≥1/10</w:t>
      </w:r>
      <w:r w:rsidR="00B028D1" w:rsidRPr="00BA0AF9">
        <w:rPr>
          <w:sz w:val="22"/>
          <w:szCs w:val="22"/>
        </w:rPr>
        <w:t xml:space="preserve"> </w:t>
      </w:r>
      <w:r w:rsidRPr="00BA0AF9">
        <w:rPr>
          <w:sz w:val="22"/>
          <w:szCs w:val="22"/>
        </w:rPr>
        <w:t>000</w:t>
      </w:r>
      <w:r w:rsidR="007A089E" w:rsidRPr="00BA0AF9">
        <w:rPr>
          <w:sz w:val="22"/>
          <w:szCs w:val="22"/>
        </w:rPr>
        <w:t xml:space="preserve"> až</w:t>
      </w:r>
      <w:r w:rsidRPr="00BA0AF9">
        <w:rPr>
          <w:sz w:val="22"/>
          <w:szCs w:val="22"/>
        </w:rPr>
        <w:t xml:space="preserve"> &lt;1/1</w:t>
      </w:r>
      <w:r w:rsidR="00B028D1" w:rsidRPr="00BA0AF9">
        <w:rPr>
          <w:sz w:val="22"/>
          <w:szCs w:val="22"/>
        </w:rPr>
        <w:t xml:space="preserve"> </w:t>
      </w:r>
      <w:r w:rsidRPr="00BA0AF9">
        <w:rPr>
          <w:sz w:val="22"/>
          <w:szCs w:val="22"/>
        </w:rPr>
        <w:t>000), veľmi zriedkavé (&lt;1/10</w:t>
      </w:r>
      <w:r w:rsidR="00B028D1" w:rsidRPr="00BA0AF9">
        <w:rPr>
          <w:sz w:val="22"/>
          <w:szCs w:val="22"/>
        </w:rPr>
        <w:t xml:space="preserve"> </w:t>
      </w:r>
      <w:r w:rsidRPr="00BA0AF9">
        <w:rPr>
          <w:sz w:val="22"/>
          <w:szCs w:val="22"/>
        </w:rPr>
        <w:t>000), vrátane izolovaných hlásení.</w:t>
      </w:r>
    </w:p>
    <w:p w14:paraId="32DF79F3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425631B3" w14:textId="77777777" w:rsidR="00140CF8" w:rsidRPr="00BA0AF9" w:rsidRDefault="001B1724">
      <w:pPr>
        <w:pStyle w:val="Nadpis6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Poruchy</w:t>
      </w:r>
      <w:r w:rsidR="00140CF8" w:rsidRPr="00BA0AF9">
        <w:rPr>
          <w:rFonts w:ascii="Times New Roman" w:hAnsi="Times New Roman"/>
          <w:color w:val="auto"/>
          <w:sz w:val="22"/>
          <w:szCs w:val="22"/>
        </w:rPr>
        <w:t xml:space="preserve"> krvi a lymfatického systému</w:t>
      </w:r>
    </w:p>
    <w:p w14:paraId="7FBD725F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Menej časté: abnormálne krvácanie, predovšetkým do kože a slizníc (</w:t>
      </w:r>
      <w:r w:rsidR="00B3215F" w:rsidRPr="00BA0AF9">
        <w:rPr>
          <w:rFonts w:ascii="Times New Roman" w:hAnsi="Times New Roman"/>
          <w:color w:val="auto"/>
          <w:sz w:val="22"/>
          <w:szCs w:val="22"/>
        </w:rPr>
        <w:t xml:space="preserve">vrátane </w:t>
      </w:r>
      <w:r w:rsidRPr="00BA0AF9">
        <w:rPr>
          <w:rFonts w:ascii="Times New Roman" w:hAnsi="Times New Roman"/>
          <w:color w:val="auto"/>
          <w:sz w:val="22"/>
          <w:szCs w:val="22"/>
        </w:rPr>
        <w:t>ekchymózy</w:t>
      </w:r>
      <w:r w:rsidR="00B3215F" w:rsidRPr="00BA0AF9">
        <w:rPr>
          <w:rFonts w:ascii="Times New Roman" w:hAnsi="Times New Roman"/>
          <w:color w:val="auto"/>
          <w:sz w:val="22"/>
          <w:szCs w:val="22"/>
        </w:rPr>
        <w:t xml:space="preserve"> a gynekologického krvácania</w:t>
      </w:r>
      <w:r w:rsidRPr="00BA0AF9">
        <w:rPr>
          <w:rFonts w:ascii="Times New Roman" w:hAnsi="Times New Roman"/>
          <w:color w:val="auto"/>
          <w:sz w:val="22"/>
          <w:szCs w:val="22"/>
        </w:rPr>
        <w:t>).</w:t>
      </w:r>
    </w:p>
    <w:p w14:paraId="21D99841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Veľmi zriedkavé: trombocytopénia.</w:t>
      </w:r>
    </w:p>
    <w:p w14:paraId="33B2C543" w14:textId="77777777" w:rsidR="00140CF8" w:rsidRPr="00BA0AF9" w:rsidRDefault="00140CF8">
      <w:pPr>
        <w:spacing w:line="260" w:lineRule="exact"/>
        <w:rPr>
          <w:sz w:val="22"/>
          <w:szCs w:val="22"/>
          <w:highlight w:val="yellow"/>
        </w:rPr>
      </w:pPr>
    </w:p>
    <w:p w14:paraId="6C467866" w14:textId="77777777" w:rsidR="00140CF8" w:rsidRPr="00BA0AF9" w:rsidRDefault="005C11AF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Poruchy imunitného systému</w:t>
      </w:r>
    </w:p>
    <w:p w14:paraId="6685D1D2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B3215F" w:rsidRPr="00BA0AF9">
        <w:rPr>
          <w:rFonts w:ascii="Times New Roman" w:hAnsi="Times New Roman"/>
          <w:color w:val="auto"/>
          <w:sz w:val="22"/>
          <w:szCs w:val="22"/>
        </w:rPr>
        <w:t xml:space="preserve">závažné a potenciálne fatálne </w:t>
      </w:r>
      <w:r w:rsidRPr="00BA0AF9">
        <w:rPr>
          <w:rFonts w:ascii="Times New Roman" w:hAnsi="Times New Roman"/>
          <w:color w:val="auto"/>
          <w:sz w:val="22"/>
          <w:szCs w:val="22"/>
        </w:rPr>
        <w:t>alergické reakcie (</w:t>
      </w:r>
      <w:r w:rsidR="00B3215F" w:rsidRPr="00BA0AF9">
        <w:rPr>
          <w:rFonts w:ascii="Times New Roman" w:hAnsi="Times New Roman"/>
          <w:color w:val="auto"/>
          <w:sz w:val="22"/>
          <w:szCs w:val="22"/>
        </w:rPr>
        <w:t>vrátane anafylaktoidných reakcií</w:t>
      </w:r>
      <w:r w:rsidRPr="00BA0AF9">
        <w:rPr>
          <w:rFonts w:ascii="Times New Roman" w:hAnsi="Times New Roman"/>
          <w:color w:val="auto"/>
          <w:sz w:val="22"/>
          <w:szCs w:val="22"/>
        </w:rPr>
        <w:t xml:space="preserve"> a angioedém</w:t>
      </w:r>
      <w:r w:rsidR="00B3215F" w:rsidRPr="00BA0AF9">
        <w:rPr>
          <w:rFonts w:ascii="Times New Roman" w:hAnsi="Times New Roman"/>
          <w:color w:val="auto"/>
          <w:sz w:val="22"/>
          <w:szCs w:val="22"/>
        </w:rPr>
        <w:t>u</w:t>
      </w:r>
      <w:r w:rsidRPr="00BA0AF9">
        <w:rPr>
          <w:rFonts w:ascii="Times New Roman" w:hAnsi="Times New Roman"/>
          <w:color w:val="auto"/>
          <w:sz w:val="22"/>
          <w:szCs w:val="22"/>
        </w:rPr>
        <w:t>).</w:t>
      </w:r>
    </w:p>
    <w:p w14:paraId="36CF4D5E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49D7CE17" w14:textId="77777777" w:rsidR="00140CF8" w:rsidRPr="00BA0AF9" w:rsidRDefault="005C11AF" w:rsidP="0032755E">
      <w:pPr>
        <w:keepNext/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Poruchy endokrinného systému</w:t>
      </w:r>
    </w:p>
    <w:p w14:paraId="770A1202" w14:textId="77777777" w:rsidR="00140CF8" w:rsidRPr="00BA0AF9" w:rsidRDefault="00140CF8" w:rsidP="0032755E">
      <w:pPr>
        <w:pStyle w:val="Zkladntext3"/>
        <w:keepNext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Veľmi zriedkavé: syndróm neprimeranej sekrécie antidiuretického hormónu (SI</w:t>
      </w:r>
      <w:smartTag w:uri="schemas-GSKSiteLocations-com/fourthcoffee" w:element="flavor">
        <w:r w:rsidRPr="00BA0AF9">
          <w:rPr>
            <w:rFonts w:ascii="Times New Roman" w:hAnsi="Times New Roman"/>
            <w:color w:val="auto"/>
            <w:sz w:val="22"/>
            <w:szCs w:val="22"/>
          </w:rPr>
          <w:t>ADH</w:t>
        </w:r>
      </w:smartTag>
      <w:r w:rsidRPr="00BA0AF9">
        <w:rPr>
          <w:rFonts w:ascii="Times New Roman" w:hAnsi="Times New Roman"/>
          <w:color w:val="auto"/>
          <w:sz w:val="22"/>
          <w:szCs w:val="22"/>
        </w:rPr>
        <w:t>).</w:t>
      </w:r>
    </w:p>
    <w:p w14:paraId="5861C5C5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39ECF7E6" w14:textId="77777777" w:rsidR="00140CF8" w:rsidRPr="00BA0AF9" w:rsidRDefault="00140CF8">
      <w:pPr>
        <w:pStyle w:val="Nadpis6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Poruchy metabolizmu a výživy</w:t>
      </w:r>
    </w:p>
    <w:p w14:paraId="52EF0A85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Časté: </w:t>
      </w:r>
      <w:r w:rsidR="00F26895" w:rsidRPr="00BA0AF9">
        <w:rPr>
          <w:sz w:val="22"/>
          <w:szCs w:val="22"/>
        </w:rPr>
        <w:t xml:space="preserve">zvýšené hladiny cholesterolu, </w:t>
      </w:r>
      <w:r w:rsidRPr="00BA0AF9">
        <w:rPr>
          <w:sz w:val="22"/>
          <w:szCs w:val="22"/>
        </w:rPr>
        <w:t>znížená chuť do jedla.</w:t>
      </w:r>
    </w:p>
    <w:p w14:paraId="37737399" w14:textId="77777777" w:rsidR="00B3215F" w:rsidRPr="00BA0AF9" w:rsidRDefault="00B3215F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Menej časté: </w:t>
      </w:r>
      <w:r w:rsidR="00975335" w:rsidRPr="00BA0AF9">
        <w:rPr>
          <w:sz w:val="22"/>
          <w:szCs w:val="22"/>
        </w:rPr>
        <w:t xml:space="preserve">zmena kontroly glykémie </w:t>
      </w:r>
      <w:r w:rsidRPr="00BA0AF9">
        <w:rPr>
          <w:sz w:val="22"/>
          <w:szCs w:val="22"/>
        </w:rPr>
        <w:t>hlásená u pacientov s diabetom (pozri časť 4.4)</w:t>
      </w:r>
    </w:p>
    <w:p w14:paraId="632681E8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Zriedkavé: hyponatrémia.</w:t>
      </w:r>
    </w:p>
    <w:p w14:paraId="57528C81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Hyponatrémia bola hlásená predovšetkým u starších pacientov a niekedy je dôsledkom syndrómu neprimeranej sekrécie antidiuretického hormónu (SI</w:t>
      </w:r>
      <w:smartTag w:uri="schemas-GSKSiteLocations-com/fourthcoffee" w:element="flavor">
        <w:r w:rsidRPr="00BA0AF9">
          <w:rPr>
            <w:sz w:val="22"/>
            <w:szCs w:val="22"/>
          </w:rPr>
          <w:t>ADH</w:t>
        </w:r>
      </w:smartTag>
      <w:r w:rsidRPr="00BA0AF9">
        <w:rPr>
          <w:sz w:val="22"/>
          <w:szCs w:val="22"/>
        </w:rPr>
        <w:t>).</w:t>
      </w:r>
    </w:p>
    <w:p w14:paraId="14E507EF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316E11D9" w14:textId="77777777" w:rsidR="00140CF8" w:rsidRPr="00BA0AF9" w:rsidRDefault="00140CF8">
      <w:pPr>
        <w:pStyle w:val="Nadpis6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Psych</w:t>
      </w:r>
      <w:r w:rsidR="004C649B" w:rsidRPr="00BA0AF9">
        <w:rPr>
          <w:rFonts w:ascii="Times New Roman" w:hAnsi="Times New Roman"/>
          <w:color w:val="auto"/>
          <w:sz w:val="22"/>
          <w:szCs w:val="22"/>
        </w:rPr>
        <w:t>ické</w:t>
      </w:r>
      <w:r w:rsidRPr="00BA0AF9">
        <w:rPr>
          <w:rFonts w:ascii="Times New Roman" w:hAnsi="Times New Roman"/>
          <w:color w:val="auto"/>
          <w:sz w:val="22"/>
          <w:szCs w:val="22"/>
        </w:rPr>
        <w:t xml:space="preserve"> poruchy</w:t>
      </w:r>
      <w:r w:rsidR="008B5FF9" w:rsidRPr="00BA0AF9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66AF8A3F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Časté: somnolencia, insomnia</w:t>
      </w:r>
      <w:r w:rsidR="00EA7AB7" w:rsidRPr="00BA0AF9">
        <w:rPr>
          <w:sz w:val="22"/>
          <w:szCs w:val="22"/>
        </w:rPr>
        <w:t>, agitovanosť</w:t>
      </w:r>
      <w:r w:rsidR="00565D4A" w:rsidRPr="00BA0AF9">
        <w:rPr>
          <w:sz w:val="22"/>
          <w:szCs w:val="22"/>
        </w:rPr>
        <w:t>, ab</w:t>
      </w:r>
      <w:r w:rsidR="00FC7331" w:rsidRPr="00BA0AF9">
        <w:rPr>
          <w:sz w:val="22"/>
          <w:szCs w:val="22"/>
        </w:rPr>
        <w:t>normálne sny (vrátane nočných mô</w:t>
      </w:r>
      <w:r w:rsidR="00565D4A" w:rsidRPr="00BA0AF9">
        <w:rPr>
          <w:sz w:val="22"/>
          <w:szCs w:val="22"/>
        </w:rPr>
        <w:t>r).</w:t>
      </w:r>
    </w:p>
    <w:p w14:paraId="7757799C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Menej časté: zmätenosť, halucinácie.</w:t>
      </w:r>
    </w:p>
    <w:p w14:paraId="71E156FF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Zriedkavé: manické reakcie, úzkosť, depersonalizácia, záchvaty paniky, akatízia (pozri časť</w:t>
      </w:r>
      <w:r w:rsidR="000A7489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4.4).</w:t>
      </w:r>
    </w:p>
    <w:p w14:paraId="6CD36241" w14:textId="77777777" w:rsidR="000A7489" w:rsidRPr="00BA0AF9" w:rsidRDefault="00B60625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lastRenderedPageBreak/>
        <w:t>Ne</w:t>
      </w:r>
      <w:r w:rsidR="000A7489" w:rsidRPr="00BA0AF9">
        <w:rPr>
          <w:sz w:val="22"/>
          <w:szCs w:val="22"/>
        </w:rPr>
        <w:t>znám</w:t>
      </w:r>
      <w:r w:rsidRPr="00BA0AF9">
        <w:rPr>
          <w:sz w:val="22"/>
          <w:szCs w:val="22"/>
        </w:rPr>
        <w:t>e</w:t>
      </w:r>
      <w:r w:rsidR="000A7489" w:rsidRPr="00BA0AF9">
        <w:rPr>
          <w:sz w:val="22"/>
          <w:szCs w:val="22"/>
        </w:rPr>
        <w:t>: myšlienky na samovraždu</w:t>
      </w:r>
      <w:r w:rsidR="00084117" w:rsidRPr="00BA0AF9">
        <w:rPr>
          <w:sz w:val="22"/>
          <w:szCs w:val="22"/>
        </w:rPr>
        <w:t>,</w:t>
      </w:r>
      <w:r w:rsidR="000A7489" w:rsidRPr="00BA0AF9">
        <w:rPr>
          <w:sz w:val="22"/>
          <w:szCs w:val="22"/>
        </w:rPr>
        <w:t xml:space="preserve"> </w:t>
      </w:r>
      <w:proofErr w:type="spellStart"/>
      <w:r w:rsidR="000A7489" w:rsidRPr="00BA0AF9">
        <w:rPr>
          <w:sz w:val="22"/>
          <w:szCs w:val="22"/>
        </w:rPr>
        <w:t>samovraždné</w:t>
      </w:r>
      <w:proofErr w:type="spellEnd"/>
      <w:r w:rsidR="000A7489" w:rsidRPr="00BA0AF9">
        <w:rPr>
          <w:sz w:val="22"/>
          <w:szCs w:val="22"/>
        </w:rPr>
        <w:t xml:space="preserve"> správanie</w:t>
      </w:r>
      <w:r w:rsidR="00084117" w:rsidRPr="00BA0AF9">
        <w:rPr>
          <w:sz w:val="22"/>
          <w:szCs w:val="22"/>
        </w:rPr>
        <w:t>, agresi</w:t>
      </w:r>
      <w:r w:rsidR="000C47A6" w:rsidRPr="00BA0AF9">
        <w:rPr>
          <w:sz w:val="22"/>
          <w:szCs w:val="22"/>
        </w:rPr>
        <w:t>vita</w:t>
      </w:r>
      <w:r w:rsidR="00262576" w:rsidRPr="00BA0AF9">
        <w:rPr>
          <w:sz w:val="22"/>
          <w:szCs w:val="22"/>
        </w:rPr>
        <w:t xml:space="preserve">, </w:t>
      </w:r>
      <w:proofErr w:type="spellStart"/>
      <w:r w:rsidR="00262576" w:rsidRPr="00BA0AF9">
        <w:rPr>
          <w:sz w:val="22"/>
          <w:szCs w:val="22"/>
        </w:rPr>
        <w:t>bruxizmus</w:t>
      </w:r>
      <w:proofErr w:type="spellEnd"/>
      <w:r w:rsidR="000A7489" w:rsidRPr="00BA0AF9">
        <w:rPr>
          <w:sz w:val="22"/>
          <w:szCs w:val="22"/>
        </w:rPr>
        <w:t>.</w:t>
      </w:r>
    </w:p>
    <w:p w14:paraId="046D4DEE" w14:textId="77777777" w:rsidR="000A7489" w:rsidRPr="00BA0AF9" w:rsidRDefault="000A7489">
      <w:pPr>
        <w:spacing w:line="260" w:lineRule="exact"/>
        <w:rPr>
          <w:sz w:val="22"/>
          <w:szCs w:val="22"/>
        </w:rPr>
      </w:pPr>
    </w:p>
    <w:p w14:paraId="70534FBE" w14:textId="77777777" w:rsidR="000A7489" w:rsidRPr="00BA0AF9" w:rsidRDefault="00B16D00" w:rsidP="000A7489">
      <w:pPr>
        <w:spacing w:line="260" w:lineRule="exact"/>
        <w:jc w:val="both"/>
        <w:rPr>
          <w:sz w:val="22"/>
          <w:szCs w:val="22"/>
          <w:lang w:val="cs-CZ"/>
        </w:rPr>
      </w:pPr>
      <w:r w:rsidRPr="00BA0AF9">
        <w:rPr>
          <w:sz w:val="22"/>
          <w:szCs w:val="22"/>
        </w:rPr>
        <w:t xml:space="preserve">Prípady suicidálnych myšlienok a suicidálneho správania boli hlásené počas liečby alebo skoro po ukončení liečby paroxetínom </w:t>
      </w:r>
      <w:r w:rsidR="000A7489" w:rsidRPr="00BA0AF9">
        <w:rPr>
          <w:sz w:val="22"/>
          <w:szCs w:val="22"/>
          <w:lang w:val="cs-CZ"/>
        </w:rPr>
        <w:t>(pozri časť 4.4).</w:t>
      </w:r>
    </w:p>
    <w:p w14:paraId="47271346" w14:textId="77777777" w:rsidR="002966D8" w:rsidRPr="00BA0AF9" w:rsidRDefault="002966D8" w:rsidP="000A7489">
      <w:pPr>
        <w:spacing w:line="260" w:lineRule="exact"/>
        <w:jc w:val="both"/>
        <w:rPr>
          <w:sz w:val="22"/>
          <w:szCs w:val="22"/>
          <w:lang w:val="cs-CZ"/>
        </w:rPr>
      </w:pPr>
    </w:p>
    <w:p w14:paraId="411B49F5" w14:textId="77777777" w:rsidR="00084117" w:rsidRPr="00BA0AF9" w:rsidRDefault="00E90A99" w:rsidP="000A7489">
      <w:pPr>
        <w:spacing w:line="260" w:lineRule="exact"/>
        <w:jc w:val="both"/>
        <w:rPr>
          <w:sz w:val="22"/>
          <w:szCs w:val="22"/>
          <w:lang w:val="cs-CZ"/>
        </w:rPr>
      </w:pPr>
      <w:r w:rsidRPr="00BA0AF9">
        <w:rPr>
          <w:sz w:val="22"/>
          <w:szCs w:val="22"/>
          <w:lang w:val="cs-CZ"/>
        </w:rPr>
        <w:t>Po uvedení lieku na trh sa pozorovali prípady agresivity.</w:t>
      </w:r>
    </w:p>
    <w:p w14:paraId="4EF11A90" w14:textId="77777777" w:rsidR="00084117" w:rsidRPr="00BA0AF9" w:rsidRDefault="00084117" w:rsidP="000A7489">
      <w:pPr>
        <w:spacing w:line="260" w:lineRule="exact"/>
        <w:jc w:val="both"/>
        <w:rPr>
          <w:sz w:val="22"/>
          <w:szCs w:val="22"/>
          <w:lang w:val="cs-CZ"/>
        </w:rPr>
      </w:pPr>
    </w:p>
    <w:p w14:paraId="1294E8FF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Tieto symptómy môžu byť aj dôsledkom základného ochorenia.</w:t>
      </w:r>
    </w:p>
    <w:p w14:paraId="75BB3A94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2AC32598" w14:textId="77777777" w:rsidR="00140CF8" w:rsidRPr="00BA0AF9" w:rsidRDefault="00140CF8">
      <w:pPr>
        <w:pStyle w:val="Nadpis6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Poruchy nervového systému</w:t>
      </w:r>
    </w:p>
    <w:p w14:paraId="1B860C5E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Časté: závraty, tremor</w:t>
      </w:r>
      <w:r w:rsidR="002966D8" w:rsidRPr="00BA0AF9">
        <w:rPr>
          <w:rFonts w:ascii="Times New Roman" w:hAnsi="Times New Roman"/>
          <w:color w:val="auto"/>
          <w:sz w:val="22"/>
          <w:szCs w:val="22"/>
        </w:rPr>
        <w:t>, bolesť hlavy</w:t>
      </w:r>
      <w:r w:rsidR="008E5F45" w:rsidRPr="00BA0AF9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881E45" w:rsidRPr="00BA0AF9">
        <w:rPr>
          <w:rFonts w:ascii="Times New Roman" w:hAnsi="Times New Roman"/>
          <w:color w:val="auto"/>
          <w:sz w:val="22"/>
          <w:szCs w:val="22"/>
        </w:rPr>
        <w:t>zhoršená koncentrácia</w:t>
      </w:r>
      <w:r w:rsidRPr="00BA0AF9">
        <w:rPr>
          <w:rFonts w:ascii="Times New Roman" w:hAnsi="Times New Roman"/>
          <w:color w:val="auto"/>
          <w:sz w:val="22"/>
          <w:szCs w:val="22"/>
        </w:rPr>
        <w:t>.</w:t>
      </w:r>
    </w:p>
    <w:p w14:paraId="009524F4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 xml:space="preserve">Menej časté: </w:t>
      </w:r>
      <w:r w:rsidR="00AC67C1" w:rsidRPr="00BA0AF9">
        <w:rPr>
          <w:rFonts w:ascii="Times New Roman" w:hAnsi="Times New Roman"/>
          <w:color w:val="auto"/>
          <w:sz w:val="22"/>
          <w:szCs w:val="22"/>
        </w:rPr>
        <w:t xml:space="preserve">extrapyramídové </w:t>
      </w:r>
      <w:r w:rsidRPr="00BA0AF9">
        <w:rPr>
          <w:rFonts w:ascii="Times New Roman" w:hAnsi="Times New Roman"/>
          <w:color w:val="auto"/>
          <w:sz w:val="22"/>
          <w:szCs w:val="22"/>
        </w:rPr>
        <w:t>poruchy.</w:t>
      </w:r>
    </w:p>
    <w:p w14:paraId="74B75DF5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Zriedkavé: kŕče</w:t>
      </w:r>
      <w:r w:rsidR="00565D4A" w:rsidRPr="00BA0AF9">
        <w:rPr>
          <w:rFonts w:ascii="Times New Roman" w:hAnsi="Times New Roman"/>
          <w:color w:val="auto"/>
          <w:sz w:val="22"/>
          <w:szCs w:val="22"/>
        </w:rPr>
        <w:t>, syndróm nepokojných nôh (SNN)</w:t>
      </w:r>
      <w:r w:rsidRPr="00BA0AF9">
        <w:rPr>
          <w:rFonts w:ascii="Times New Roman" w:hAnsi="Times New Roman"/>
          <w:color w:val="auto"/>
          <w:sz w:val="22"/>
          <w:szCs w:val="22"/>
        </w:rPr>
        <w:t>.</w:t>
      </w:r>
    </w:p>
    <w:p w14:paraId="399C7E7C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AC42D8" w:rsidRPr="00BA0AF9">
        <w:rPr>
          <w:rFonts w:ascii="Times New Roman" w:hAnsi="Times New Roman"/>
          <w:color w:val="auto"/>
          <w:sz w:val="22"/>
          <w:szCs w:val="22"/>
        </w:rPr>
        <w:t>séroton</w:t>
      </w:r>
      <w:r w:rsidRPr="00BA0AF9">
        <w:rPr>
          <w:rFonts w:ascii="Times New Roman" w:hAnsi="Times New Roman"/>
          <w:color w:val="auto"/>
          <w:sz w:val="22"/>
          <w:szCs w:val="22"/>
        </w:rPr>
        <w:t>ínový syndróm (symptómy môžu zahŕňať agitovanosť, zmätenosť, diaforézu, halucinácie, hyperreflexiu, myoklóniu,</w:t>
      </w:r>
      <w:r w:rsidR="0074268A" w:rsidRPr="00BA0AF9">
        <w:rPr>
          <w:rFonts w:ascii="Times New Roman" w:hAnsi="Times New Roman"/>
          <w:color w:val="auto"/>
          <w:sz w:val="22"/>
          <w:szCs w:val="22"/>
        </w:rPr>
        <w:t xml:space="preserve"> chvenie</w:t>
      </w:r>
      <w:r w:rsidRPr="00BA0AF9">
        <w:rPr>
          <w:rFonts w:ascii="Times New Roman" w:hAnsi="Times New Roman"/>
          <w:color w:val="auto"/>
          <w:sz w:val="22"/>
          <w:szCs w:val="22"/>
        </w:rPr>
        <w:t>, tachykardiu a tremor).</w:t>
      </w:r>
    </w:p>
    <w:p w14:paraId="43AD3170" w14:textId="77777777" w:rsidR="00140CF8" w:rsidRPr="00BA0AF9" w:rsidRDefault="00140CF8">
      <w:pPr>
        <w:pStyle w:val="Zkladntext3"/>
        <w:spacing w:after="120"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 xml:space="preserve">Hlásenia o </w:t>
      </w:r>
      <w:r w:rsidR="00AC67C1" w:rsidRPr="00BA0AF9">
        <w:rPr>
          <w:rFonts w:ascii="Times New Roman" w:hAnsi="Times New Roman"/>
          <w:color w:val="auto"/>
          <w:sz w:val="22"/>
          <w:szCs w:val="22"/>
        </w:rPr>
        <w:t xml:space="preserve">extrapyramídovej </w:t>
      </w:r>
      <w:r w:rsidRPr="00BA0AF9">
        <w:rPr>
          <w:rFonts w:ascii="Times New Roman" w:hAnsi="Times New Roman"/>
          <w:color w:val="auto"/>
          <w:sz w:val="22"/>
          <w:szCs w:val="22"/>
        </w:rPr>
        <w:t>poruche zah</w:t>
      </w:r>
      <w:r w:rsidR="00B16D00" w:rsidRPr="00BA0AF9">
        <w:rPr>
          <w:rFonts w:ascii="Times New Roman" w:hAnsi="Times New Roman"/>
          <w:color w:val="auto"/>
          <w:sz w:val="22"/>
          <w:szCs w:val="22"/>
        </w:rPr>
        <w:t>ŕ</w:t>
      </w:r>
      <w:r w:rsidRPr="00BA0AF9">
        <w:rPr>
          <w:rFonts w:ascii="Times New Roman" w:hAnsi="Times New Roman"/>
          <w:color w:val="auto"/>
          <w:sz w:val="22"/>
          <w:szCs w:val="22"/>
        </w:rPr>
        <w:t>ň</w:t>
      </w:r>
      <w:r w:rsidR="00B16D00" w:rsidRPr="00BA0AF9">
        <w:rPr>
          <w:rFonts w:ascii="Times New Roman" w:hAnsi="Times New Roman"/>
          <w:color w:val="auto"/>
          <w:sz w:val="22"/>
          <w:szCs w:val="22"/>
        </w:rPr>
        <w:t>a</w:t>
      </w:r>
      <w:r w:rsidRPr="00BA0AF9">
        <w:rPr>
          <w:rFonts w:ascii="Times New Roman" w:hAnsi="Times New Roman"/>
          <w:color w:val="auto"/>
          <w:sz w:val="22"/>
          <w:szCs w:val="22"/>
        </w:rPr>
        <w:t>júcej orofaciálnu dystóniu boli získané od pacientov niekedy so základnými pohybovými poruchami alebo u tých, ktor</w:t>
      </w:r>
      <w:r w:rsidR="005C11AF" w:rsidRPr="00BA0AF9">
        <w:rPr>
          <w:rFonts w:ascii="Times New Roman" w:hAnsi="Times New Roman"/>
          <w:color w:val="auto"/>
          <w:sz w:val="22"/>
          <w:szCs w:val="22"/>
        </w:rPr>
        <w:t>í používali neuroleptický liek.</w:t>
      </w:r>
    </w:p>
    <w:p w14:paraId="664E8015" w14:textId="77777777" w:rsidR="00140CF8" w:rsidRPr="00BA0AF9" w:rsidRDefault="001B1724" w:rsidP="001069D0">
      <w:pPr>
        <w:pStyle w:val="Zkladntext3"/>
        <w:keepNext/>
        <w:spacing w:line="260" w:lineRule="exact"/>
        <w:rPr>
          <w:rFonts w:ascii="Times New Roman" w:hAnsi="Times New Roman"/>
          <w:b/>
          <w:color w:val="auto"/>
          <w:sz w:val="22"/>
          <w:szCs w:val="22"/>
        </w:rPr>
      </w:pPr>
      <w:r w:rsidRPr="00BA0AF9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BA0AF9">
        <w:rPr>
          <w:rFonts w:ascii="Times New Roman" w:hAnsi="Times New Roman"/>
          <w:b/>
          <w:color w:val="auto"/>
          <w:sz w:val="22"/>
          <w:szCs w:val="22"/>
        </w:rPr>
        <w:t xml:space="preserve"> oka</w:t>
      </w:r>
    </w:p>
    <w:p w14:paraId="6C94A322" w14:textId="77777777" w:rsidR="00140CF8" w:rsidRPr="00BA0AF9" w:rsidRDefault="00140CF8" w:rsidP="001069D0">
      <w:pPr>
        <w:pStyle w:val="Zkladntext3"/>
        <w:keepNext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Časté: rozmazané videnie.</w:t>
      </w:r>
    </w:p>
    <w:p w14:paraId="1D4332B5" w14:textId="77777777" w:rsidR="002966D8" w:rsidRPr="00BA0AF9" w:rsidRDefault="002966D8" w:rsidP="001069D0">
      <w:pPr>
        <w:pStyle w:val="Zkladntext3"/>
        <w:keepNext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Menej časté: mydriáza (pozri časť 4.4 Osobitné upozornenia a opatrenia pri používaní)</w:t>
      </w:r>
    </w:p>
    <w:p w14:paraId="35FD1E33" w14:textId="77777777" w:rsidR="00140CF8" w:rsidRPr="00BA0AF9" w:rsidRDefault="00140CF8" w:rsidP="001069D0">
      <w:pPr>
        <w:pStyle w:val="Zkladntext3"/>
        <w:keepNext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Veľmi zriedkavé: akútny glaukóm.</w:t>
      </w:r>
    </w:p>
    <w:p w14:paraId="4A7C5934" w14:textId="77777777" w:rsidR="00307684" w:rsidRPr="00BA0AF9" w:rsidRDefault="00307684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1F76EF18" w14:textId="77777777" w:rsidR="00307684" w:rsidRPr="00BA0AF9" w:rsidRDefault="001B1724">
      <w:pPr>
        <w:pStyle w:val="Zkladntext3"/>
        <w:spacing w:line="260" w:lineRule="exact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BA0AF9">
        <w:rPr>
          <w:rFonts w:ascii="Times New Roman" w:hAnsi="Times New Roman"/>
          <w:b/>
          <w:bCs/>
          <w:color w:val="auto"/>
          <w:sz w:val="22"/>
          <w:szCs w:val="22"/>
        </w:rPr>
        <w:t>Poruchy</w:t>
      </w:r>
      <w:r w:rsidR="00307684" w:rsidRPr="00BA0AF9">
        <w:rPr>
          <w:rFonts w:ascii="Times New Roman" w:hAnsi="Times New Roman"/>
          <w:b/>
          <w:bCs/>
          <w:color w:val="auto"/>
          <w:sz w:val="22"/>
          <w:szCs w:val="22"/>
        </w:rPr>
        <w:t xml:space="preserve"> ucha a </w:t>
      </w:r>
      <w:r w:rsidR="008B5FF9" w:rsidRPr="00BA0AF9">
        <w:rPr>
          <w:rFonts w:ascii="Times New Roman" w:hAnsi="Times New Roman"/>
          <w:b/>
          <w:bCs/>
          <w:color w:val="auto"/>
          <w:sz w:val="22"/>
          <w:szCs w:val="22"/>
        </w:rPr>
        <w:t>labyrintu</w:t>
      </w:r>
    </w:p>
    <w:p w14:paraId="30BF1EF9" w14:textId="77777777" w:rsidR="00307684" w:rsidRPr="00BA0AF9" w:rsidRDefault="00B60625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N</w:t>
      </w:r>
      <w:r w:rsidR="00555234" w:rsidRPr="00BA0AF9">
        <w:rPr>
          <w:rFonts w:ascii="Times New Roman" w:hAnsi="Times New Roman"/>
          <w:color w:val="auto"/>
          <w:sz w:val="22"/>
          <w:szCs w:val="22"/>
        </w:rPr>
        <w:t>e</w:t>
      </w:r>
      <w:r w:rsidR="00307684" w:rsidRPr="00BA0AF9">
        <w:rPr>
          <w:rFonts w:ascii="Times New Roman" w:hAnsi="Times New Roman"/>
          <w:color w:val="auto"/>
          <w:sz w:val="22"/>
          <w:szCs w:val="22"/>
        </w:rPr>
        <w:t>znám</w:t>
      </w:r>
      <w:r w:rsidRPr="00BA0AF9">
        <w:rPr>
          <w:rFonts w:ascii="Times New Roman" w:hAnsi="Times New Roman"/>
          <w:color w:val="auto"/>
          <w:sz w:val="22"/>
          <w:szCs w:val="22"/>
        </w:rPr>
        <w:t>e</w:t>
      </w:r>
      <w:r w:rsidR="00307684" w:rsidRPr="00BA0AF9">
        <w:rPr>
          <w:rFonts w:ascii="Times New Roman" w:hAnsi="Times New Roman"/>
          <w:color w:val="auto"/>
          <w:sz w:val="22"/>
          <w:szCs w:val="22"/>
        </w:rPr>
        <w:t>: tinitus.</w:t>
      </w:r>
    </w:p>
    <w:p w14:paraId="2F13F33A" w14:textId="77777777" w:rsidR="00307684" w:rsidRPr="00BA0AF9" w:rsidRDefault="00307684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2B66B776" w14:textId="77777777" w:rsidR="00140CF8" w:rsidRPr="00BA0AF9" w:rsidRDefault="001B1724" w:rsidP="00DA753B">
      <w:pPr>
        <w:pStyle w:val="Zkladntext3"/>
        <w:keepNext/>
        <w:spacing w:line="260" w:lineRule="exact"/>
        <w:rPr>
          <w:rFonts w:ascii="Times New Roman" w:hAnsi="Times New Roman"/>
          <w:b/>
          <w:color w:val="auto"/>
          <w:sz w:val="22"/>
          <w:szCs w:val="22"/>
        </w:rPr>
      </w:pPr>
      <w:r w:rsidRPr="00BA0AF9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BA0AF9">
        <w:rPr>
          <w:rFonts w:ascii="Times New Roman" w:hAnsi="Times New Roman"/>
          <w:b/>
          <w:color w:val="auto"/>
          <w:sz w:val="22"/>
          <w:szCs w:val="22"/>
        </w:rPr>
        <w:t xml:space="preserve"> srdca </w:t>
      </w:r>
      <w:r w:rsidR="008B5FF9" w:rsidRPr="00BA0AF9">
        <w:rPr>
          <w:rFonts w:ascii="Times New Roman" w:hAnsi="Times New Roman"/>
          <w:b/>
          <w:color w:val="auto"/>
          <w:sz w:val="22"/>
          <w:szCs w:val="22"/>
        </w:rPr>
        <w:t>a srdcovej činnosti</w:t>
      </w:r>
    </w:p>
    <w:p w14:paraId="1E98F6F9" w14:textId="77777777" w:rsidR="00140CF8" w:rsidRPr="00BA0AF9" w:rsidRDefault="00140CF8" w:rsidP="00DA753B">
      <w:pPr>
        <w:pStyle w:val="Zkladntext3"/>
        <w:keepNext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Menej časté: sínusová tachykardia.</w:t>
      </w:r>
    </w:p>
    <w:p w14:paraId="6D475E69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Zriedkav</w:t>
      </w:r>
      <w:r w:rsidR="00B60625" w:rsidRPr="00BA0AF9">
        <w:rPr>
          <w:rFonts w:ascii="Times New Roman" w:hAnsi="Times New Roman"/>
          <w:color w:val="auto"/>
          <w:sz w:val="22"/>
          <w:szCs w:val="22"/>
        </w:rPr>
        <w:t>é</w:t>
      </w:r>
      <w:r w:rsidRPr="00BA0AF9">
        <w:rPr>
          <w:rFonts w:ascii="Times New Roman" w:hAnsi="Times New Roman"/>
          <w:color w:val="auto"/>
          <w:sz w:val="22"/>
          <w:szCs w:val="22"/>
        </w:rPr>
        <w:t>: bradykardia</w:t>
      </w:r>
      <w:r w:rsidR="001E716D" w:rsidRPr="00BA0AF9">
        <w:rPr>
          <w:rFonts w:ascii="Times New Roman" w:hAnsi="Times New Roman"/>
          <w:color w:val="auto"/>
          <w:sz w:val="22"/>
          <w:szCs w:val="22"/>
        </w:rPr>
        <w:t>.</w:t>
      </w:r>
    </w:p>
    <w:p w14:paraId="65FDC593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539173BD" w14:textId="77777777" w:rsidR="00140CF8" w:rsidRPr="00BA0AF9" w:rsidRDefault="00F16E66">
      <w:pPr>
        <w:pStyle w:val="Zkladntext3"/>
        <w:spacing w:line="260" w:lineRule="exact"/>
        <w:rPr>
          <w:rFonts w:ascii="Times New Roman" w:hAnsi="Times New Roman"/>
          <w:b/>
          <w:color w:val="auto"/>
          <w:sz w:val="22"/>
          <w:szCs w:val="22"/>
        </w:rPr>
      </w:pPr>
      <w:r w:rsidRPr="00BA0AF9">
        <w:rPr>
          <w:rFonts w:ascii="Times New Roman" w:hAnsi="Times New Roman"/>
          <w:b/>
          <w:color w:val="auto"/>
          <w:sz w:val="22"/>
          <w:szCs w:val="22"/>
        </w:rPr>
        <w:t>P</w:t>
      </w:r>
      <w:r w:rsidR="00140CF8" w:rsidRPr="00BA0AF9">
        <w:rPr>
          <w:rFonts w:ascii="Times New Roman" w:hAnsi="Times New Roman"/>
          <w:b/>
          <w:color w:val="auto"/>
          <w:sz w:val="22"/>
          <w:szCs w:val="22"/>
        </w:rPr>
        <w:t>oruchy</w:t>
      </w:r>
      <w:r w:rsidRPr="00BA0AF9">
        <w:rPr>
          <w:rFonts w:ascii="Times New Roman" w:hAnsi="Times New Roman"/>
          <w:b/>
          <w:color w:val="auto"/>
          <w:sz w:val="22"/>
          <w:szCs w:val="22"/>
        </w:rPr>
        <w:t xml:space="preserve"> ciev</w:t>
      </w:r>
    </w:p>
    <w:p w14:paraId="0E12039D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Menej časté: prechodné zvýšenie alebo zníženie krvného tlaku</w:t>
      </w:r>
      <w:r w:rsidR="002966D8" w:rsidRPr="00BA0AF9">
        <w:rPr>
          <w:rFonts w:ascii="Times New Roman" w:hAnsi="Times New Roman"/>
          <w:color w:val="auto"/>
          <w:sz w:val="22"/>
          <w:szCs w:val="22"/>
        </w:rPr>
        <w:t>, posturálna hypotenzia</w:t>
      </w:r>
      <w:r w:rsidRPr="00BA0AF9">
        <w:rPr>
          <w:rFonts w:ascii="Times New Roman" w:hAnsi="Times New Roman"/>
          <w:color w:val="auto"/>
          <w:sz w:val="22"/>
          <w:szCs w:val="22"/>
        </w:rPr>
        <w:t>.</w:t>
      </w:r>
    </w:p>
    <w:p w14:paraId="64214B5D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Po liečbe paroxetínom bolo hlásené prechodné zvýšenie alebo zníženie krvného tlaku, zvyčajne u pacientov, u ktorých už existovala hypertenzia alebo úzkosť.</w:t>
      </w:r>
    </w:p>
    <w:p w14:paraId="6C552ADD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  <w:highlight w:val="yellow"/>
        </w:rPr>
      </w:pPr>
    </w:p>
    <w:p w14:paraId="1A5A58B3" w14:textId="77777777" w:rsidR="00140CF8" w:rsidRPr="00BA0AF9" w:rsidRDefault="001B1724">
      <w:pPr>
        <w:pStyle w:val="Zkladntext3"/>
        <w:spacing w:line="260" w:lineRule="exact"/>
        <w:rPr>
          <w:rFonts w:ascii="Times New Roman" w:hAnsi="Times New Roman"/>
          <w:b/>
          <w:color w:val="auto"/>
          <w:sz w:val="22"/>
          <w:szCs w:val="22"/>
        </w:rPr>
      </w:pPr>
      <w:r w:rsidRPr="00BA0AF9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BA0AF9">
        <w:rPr>
          <w:rFonts w:ascii="Times New Roman" w:hAnsi="Times New Roman"/>
          <w:b/>
          <w:color w:val="auto"/>
          <w:sz w:val="22"/>
          <w:szCs w:val="22"/>
        </w:rPr>
        <w:t xml:space="preserve"> dýchacej sústavy, hrudníka a mediastína</w:t>
      </w:r>
    </w:p>
    <w:p w14:paraId="17097A9C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Časté: zívanie.</w:t>
      </w:r>
    </w:p>
    <w:p w14:paraId="61B17342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6F9F9AD8" w14:textId="77777777" w:rsidR="00140CF8" w:rsidRPr="00BA0AF9" w:rsidRDefault="008B5FF9">
      <w:pPr>
        <w:pStyle w:val="Zkladntext3"/>
        <w:spacing w:line="260" w:lineRule="exact"/>
        <w:rPr>
          <w:rFonts w:ascii="Times New Roman" w:hAnsi="Times New Roman"/>
          <w:b/>
          <w:color w:val="auto"/>
          <w:sz w:val="22"/>
          <w:szCs w:val="22"/>
        </w:rPr>
      </w:pPr>
      <w:r w:rsidRPr="00BA0AF9">
        <w:rPr>
          <w:rFonts w:ascii="Times New Roman" w:hAnsi="Times New Roman"/>
          <w:b/>
          <w:color w:val="auto"/>
          <w:sz w:val="22"/>
          <w:szCs w:val="22"/>
        </w:rPr>
        <w:t>Poruchy g</w:t>
      </w:r>
      <w:r w:rsidR="00140CF8" w:rsidRPr="00BA0AF9">
        <w:rPr>
          <w:rFonts w:ascii="Times New Roman" w:hAnsi="Times New Roman"/>
          <w:b/>
          <w:color w:val="auto"/>
          <w:sz w:val="22"/>
          <w:szCs w:val="22"/>
        </w:rPr>
        <w:t>astrointestinálne</w:t>
      </w:r>
      <w:r w:rsidRPr="00BA0AF9">
        <w:rPr>
          <w:rFonts w:ascii="Times New Roman" w:hAnsi="Times New Roman"/>
          <w:b/>
          <w:color w:val="auto"/>
          <w:sz w:val="22"/>
          <w:szCs w:val="22"/>
        </w:rPr>
        <w:t>ho traktu</w:t>
      </w:r>
    </w:p>
    <w:p w14:paraId="59043193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Veľmi časté: nauzea.</w:t>
      </w:r>
    </w:p>
    <w:p w14:paraId="10EEBDD4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 xml:space="preserve">Časté: zápcha, hnačka, </w:t>
      </w:r>
      <w:r w:rsidR="00565D4A" w:rsidRPr="00BA0AF9">
        <w:rPr>
          <w:rFonts w:ascii="Times New Roman" w:hAnsi="Times New Roman"/>
          <w:color w:val="auto"/>
          <w:sz w:val="22"/>
          <w:szCs w:val="22"/>
        </w:rPr>
        <w:t xml:space="preserve">vracanie, </w:t>
      </w:r>
      <w:r w:rsidRPr="00BA0AF9">
        <w:rPr>
          <w:rFonts w:ascii="Times New Roman" w:hAnsi="Times New Roman"/>
          <w:color w:val="auto"/>
          <w:sz w:val="22"/>
          <w:szCs w:val="22"/>
        </w:rPr>
        <w:t>sucho v ústach.</w:t>
      </w:r>
    </w:p>
    <w:p w14:paraId="31F5374C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Veľmi zriedkavé: gastrointestinálne krvácanie.</w:t>
      </w:r>
    </w:p>
    <w:p w14:paraId="27572AD0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56123CFC" w14:textId="77777777" w:rsidR="00140CF8" w:rsidRPr="00BA0AF9" w:rsidRDefault="001B1724" w:rsidP="0032755E">
      <w:pPr>
        <w:pStyle w:val="Zkladntext3"/>
        <w:keepNext/>
        <w:spacing w:line="260" w:lineRule="exact"/>
        <w:rPr>
          <w:rFonts w:ascii="Times New Roman" w:hAnsi="Times New Roman"/>
          <w:b/>
          <w:color w:val="auto"/>
          <w:sz w:val="22"/>
          <w:szCs w:val="22"/>
        </w:rPr>
      </w:pPr>
      <w:r w:rsidRPr="00BA0AF9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BA0AF9">
        <w:rPr>
          <w:rFonts w:ascii="Times New Roman" w:hAnsi="Times New Roman"/>
          <w:b/>
          <w:color w:val="auto"/>
          <w:sz w:val="22"/>
          <w:szCs w:val="22"/>
        </w:rPr>
        <w:t xml:space="preserve"> pečene a žlčových ciest</w:t>
      </w:r>
    </w:p>
    <w:p w14:paraId="14BA7E12" w14:textId="77777777" w:rsidR="00140CF8" w:rsidRPr="00BA0AF9" w:rsidRDefault="00140CF8" w:rsidP="0032755E">
      <w:pPr>
        <w:pStyle w:val="Zkladntext3"/>
        <w:keepNext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Zriedkavé: vzostup hladiny pečeňových enzýmov.</w:t>
      </w:r>
    </w:p>
    <w:p w14:paraId="518328F1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Veľmi zriedkavé: poruchy pečene (ako je hepatitída, niekedy spojená so žltačkou a/alebo zlyhaním pečene).</w:t>
      </w:r>
    </w:p>
    <w:p w14:paraId="2FC68C6E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 xml:space="preserve">Hlásený bol vzostup hladiny pečeňových enzýmov. Veľmi zriedkavo boli získané aj postmarketingové hlásenia o poruchách pečene (ako je hepatitída, niekedy spojená so žltačkou a/alebo zlyhaním pečene). </w:t>
      </w:r>
      <w:r w:rsidR="00B60625" w:rsidRPr="00BA0AF9">
        <w:rPr>
          <w:rFonts w:ascii="Times New Roman" w:hAnsi="Times New Roman"/>
          <w:color w:val="auto"/>
          <w:sz w:val="22"/>
          <w:szCs w:val="22"/>
        </w:rPr>
        <w:t xml:space="preserve">Ukončenie </w:t>
      </w:r>
      <w:r w:rsidRPr="00BA0AF9">
        <w:rPr>
          <w:rFonts w:ascii="Times New Roman" w:hAnsi="Times New Roman"/>
          <w:color w:val="auto"/>
          <w:sz w:val="22"/>
          <w:szCs w:val="22"/>
        </w:rPr>
        <w:t>podávania paroxetínu sa musí zvážiť vtedy, ak sú výsledky funkčných testov pečene dlhodobo zvýšené.</w:t>
      </w:r>
    </w:p>
    <w:p w14:paraId="6F061A7F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58335F5D" w14:textId="77777777" w:rsidR="00140CF8" w:rsidRPr="00BA0AF9" w:rsidRDefault="00140CF8">
      <w:pPr>
        <w:pStyle w:val="Zkladntext3"/>
        <w:spacing w:line="260" w:lineRule="exact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BA0AF9">
        <w:rPr>
          <w:rFonts w:ascii="Times New Roman" w:hAnsi="Times New Roman"/>
          <w:b/>
          <w:color w:val="auto"/>
          <w:sz w:val="22"/>
          <w:szCs w:val="22"/>
        </w:rPr>
        <w:t>Po</w:t>
      </w:r>
      <w:r w:rsidR="005C11AF" w:rsidRPr="00BA0AF9">
        <w:rPr>
          <w:rFonts w:ascii="Times New Roman" w:hAnsi="Times New Roman"/>
          <w:b/>
          <w:color w:val="auto"/>
          <w:sz w:val="22"/>
          <w:szCs w:val="22"/>
        </w:rPr>
        <w:t>ruchy kože a podkožného tkaniva</w:t>
      </w:r>
    </w:p>
    <w:p w14:paraId="45DE5BE9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Časté: potenie.</w:t>
      </w:r>
    </w:p>
    <w:p w14:paraId="7E78CD69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Menej časté: ekzantém, pruritus.</w:t>
      </w:r>
    </w:p>
    <w:p w14:paraId="7B6D3831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lastRenderedPageBreak/>
        <w:t xml:space="preserve">Veľmi zriedkavé: </w:t>
      </w:r>
      <w:r w:rsidR="00505B3C" w:rsidRPr="00BA0AF9">
        <w:rPr>
          <w:rFonts w:ascii="Times New Roman" w:hAnsi="Times New Roman"/>
          <w:color w:val="auto"/>
          <w:sz w:val="22"/>
          <w:szCs w:val="22"/>
        </w:rPr>
        <w:t>závažné nežiaduce reakcie</w:t>
      </w:r>
      <w:r w:rsidR="00ED52BC" w:rsidRPr="00BA0AF9">
        <w:rPr>
          <w:rFonts w:ascii="Times New Roman" w:hAnsi="Times New Roman"/>
          <w:color w:val="auto"/>
          <w:sz w:val="22"/>
          <w:szCs w:val="22"/>
        </w:rPr>
        <w:t xml:space="preserve"> na</w:t>
      </w:r>
      <w:r w:rsidR="00505B3C" w:rsidRPr="00BA0AF9">
        <w:rPr>
          <w:rFonts w:ascii="Times New Roman" w:hAnsi="Times New Roman"/>
          <w:color w:val="auto"/>
          <w:sz w:val="22"/>
          <w:szCs w:val="22"/>
        </w:rPr>
        <w:t xml:space="preserve"> kož</w:t>
      </w:r>
      <w:r w:rsidR="00ED52BC" w:rsidRPr="00BA0AF9">
        <w:rPr>
          <w:rFonts w:ascii="Times New Roman" w:hAnsi="Times New Roman"/>
          <w:color w:val="auto"/>
          <w:sz w:val="22"/>
          <w:szCs w:val="22"/>
        </w:rPr>
        <w:t>i</w:t>
      </w:r>
      <w:r w:rsidR="00505B3C" w:rsidRPr="00BA0AF9">
        <w:rPr>
          <w:rFonts w:ascii="Times New Roman" w:hAnsi="Times New Roman"/>
          <w:color w:val="auto"/>
          <w:sz w:val="22"/>
          <w:szCs w:val="22"/>
        </w:rPr>
        <w:t xml:space="preserve"> (zahŕňajúce multiformný erytém, Stevensov-Johnsonov syndróm a toxickú epidermálnu nekrolýzu), </w:t>
      </w:r>
      <w:r w:rsidR="00B3215F" w:rsidRPr="00BA0AF9">
        <w:rPr>
          <w:rFonts w:ascii="Times New Roman" w:hAnsi="Times New Roman"/>
          <w:color w:val="auto"/>
          <w:sz w:val="22"/>
          <w:szCs w:val="22"/>
        </w:rPr>
        <w:t xml:space="preserve">urtikária, </w:t>
      </w:r>
      <w:r w:rsidRPr="00BA0AF9">
        <w:rPr>
          <w:rFonts w:ascii="Times New Roman" w:hAnsi="Times New Roman"/>
          <w:color w:val="auto"/>
          <w:sz w:val="22"/>
          <w:szCs w:val="22"/>
        </w:rPr>
        <w:t>fotosenzitívne reakcie.</w:t>
      </w:r>
    </w:p>
    <w:p w14:paraId="2811A42B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47D3BC8B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b/>
          <w:color w:val="auto"/>
          <w:sz w:val="22"/>
          <w:szCs w:val="22"/>
        </w:rPr>
      </w:pPr>
      <w:r w:rsidRPr="00BA0AF9">
        <w:rPr>
          <w:rFonts w:ascii="Times New Roman" w:hAnsi="Times New Roman"/>
          <w:b/>
          <w:color w:val="auto"/>
          <w:sz w:val="22"/>
          <w:szCs w:val="22"/>
        </w:rPr>
        <w:t>Poruchy obličiek a močov</w:t>
      </w:r>
      <w:r w:rsidR="00866713" w:rsidRPr="00BA0AF9">
        <w:rPr>
          <w:rFonts w:ascii="Times New Roman" w:hAnsi="Times New Roman"/>
          <w:b/>
          <w:color w:val="auto"/>
          <w:sz w:val="22"/>
          <w:szCs w:val="22"/>
        </w:rPr>
        <w:t>ých</w:t>
      </w:r>
      <w:r w:rsidR="008B5FF9" w:rsidRPr="00BA0AF9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="00866713" w:rsidRPr="00BA0AF9">
        <w:rPr>
          <w:rFonts w:ascii="Times New Roman" w:hAnsi="Times New Roman"/>
          <w:b/>
          <w:color w:val="auto"/>
          <w:sz w:val="22"/>
          <w:szCs w:val="22"/>
        </w:rPr>
        <w:t>ciest</w:t>
      </w:r>
    </w:p>
    <w:p w14:paraId="20F4FFCF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Menej časté: zadržiavanie moču</w:t>
      </w:r>
      <w:r w:rsidR="00307684" w:rsidRPr="00BA0AF9">
        <w:rPr>
          <w:rFonts w:ascii="Times New Roman" w:hAnsi="Times New Roman"/>
          <w:color w:val="auto"/>
          <w:sz w:val="22"/>
          <w:szCs w:val="22"/>
        </w:rPr>
        <w:t>, inkontinencia moču</w:t>
      </w:r>
      <w:r w:rsidR="005C11AF" w:rsidRPr="00BA0AF9">
        <w:rPr>
          <w:rFonts w:ascii="Times New Roman" w:hAnsi="Times New Roman"/>
          <w:color w:val="auto"/>
          <w:sz w:val="22"/>
          <w:szCs w:val="22"/>
        </w:rPr>
        <w:t>.</w:t>
      </w:r>
    </w:p>
    <w:p w14:paraId="72065D78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793CCA6A" w14:textId="77777777" w:rsidR="00140CF8" w:rsidRPr="00BA0AF9" w:rsidRDefault="001B1724">
      <w:pPr>
        <w:pStyle w:val="Zkladntext3"/>
        <w:spacing w:line="260" w:lineRule="exact"/>
        <w:rPr>
          <w:rFonts w:ascii="Times New Roman" w:hAnsi="Times New Roman"/>
          <w:b/>
          <w:color w:val="auto"/>
          <w:sz w:val="22"/>
          <w:szCs w:val="22"/>
        </w:rPr>
      </w:pPr>
      <w:r w:rsidRPr="00BA0AF9">
        <w:rPr>
          <w:rFonts w:ascii="Times New Roman" w:hAnsi="Times New Roman"/>
          <w:b/>
          <w:color w:val="auto"/>
          <w:sz w:val="22"/>
          <w:szCs w:val="22"/>
        </w:rPr>
        <w:t>Poruchy</w:t>
      </w:r>
      <w:r w:rsidR="00140CF8" w:rsidRPr="00BA0AF9">
        <w:rPr>
          <w:rFonts w:ascii="Times New Roman" w:hAnsi="Times New Roman"/>
          <w:b/>
          <w:color w:val="auto"/>
          <w:sz w:val="22"/>
          <w:szCs w:val="22"/>
        </w:rPr>
        <w:t xml:space="preserve"> reprodukčného systému a prsníkov</w:t>
      </w:r>
    </w:p>
    <w:p w14:paraId="2C2E2E3C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Veľmi časté: sexuálna dysfunkcia.</w:t>
      </w:r>
    </w:p>
    <w:p w14:paraId="02B072AA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Zriedkavé: hyperprolaktinémia/galaktorea</w:t>
      </w:r>
      <w:r w:rsidR="00B3215F" w:rsidRPr="00BA0AF9">
        <w:rPr>
          <w:rFonts w:ascii="Times New Roman" w:hAnsi="Times New Roman"/>
          <w:color w:val="auto"/>
          <w:sz w:val="22"/>
          <w:szCs w:val="22"/>
        </w:rPr>
        <w:t>, poruchy menštruácie (vrátane menorágie, metrorágie, amenorey, oneskorená menštruácia a nepravidelná menštruácia).</w:t>
      </w:r>
    </w:p>
    <w:p w14:paraId="462BA672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Veľmi zriedkavé: priapizmus.</w:t>
      </w:r>
    </w:p>
    <w:p w14:paraId="139D3039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  <w:highlight w:val="yellow"/>
        </w:rPr>
      </w:pPr>
    </w:p>
    <w:p w14:paraId="104FA5CB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b/>
          <w:color w:val="auto"/>
          <w:sz w:val="22"/>
          <w:szCs w:val="22"/>
        </w:rPr>
      </w:pPr>
      <w:r w:rsidRPr="00BA0AF9">
        <w:rPr>
          <w:rFonts w:ascii="Times New Roman" w:hAnsi="Times New Roman"/>
          <w:b/>
          <w:color w:val="auto"/>
          <w:sz w:val="22"/>
          <w:szCs w:val="22"/>
        </w:rPr>
        <w:t>Poruchy kostrov</w:t>
      </w:r>
      <w:r w:rsidR="008B5FF9" w:rsidRPr="00BA0AF9">
        <w:rPr>
          <w:rFonts w:ascii="Times New Roman" w:hAnsi="Times New Roman"/>
          <w:b/>
          <w:color w:val="auto"/>
          <w:sz w:val="22"/>
          <w:szCs w:val="22"/>
        </w:rPr>
        <w:t>ej</w:t>
      </w:r>
      <w:r w:rsidR="00C42A72" w:rsidRPr="00BA0AF9">
        <w:rPr>
          <w:rFonts w:ascii="Times New Roman" w:hAnsi="Times New Roman"/>
          <w:b/>
          <w:color w:val="auto"/>
          <w:sz w:val="22"/>
          <w:szCs w:val="22"/>
        </w:rPr>
        <w:t xml:space="preserve"> a svalovej</w:t>
      </w:r>
      <w:r w:rsidR="008B5FF9" w:rsidRPr="00BA0AF9">
        <w:rPr>
          <w:rFonts w:ascii="Times New Roman" w:hAnsi="Times New Roman"/>
          <w:b/>
          <w:color w:val="auto"/>
          <w:sz w:val="22"/>
          <w:szCs w:val="22"/>
        </w:rPr>
        <w:t xml:space="preserve"> sústavy</w:t>
      </w:r>
      <w:r w:rsidR="00F16E66" w:rsidRPr="00BA0AF9">
        <w:rPr>
          <w:rFonts w:ascii="Times New Roman" w:hAnsi="Times New Roman"/>
          <w:b/>
          <w:color w:val="auto"/>
          <w:sz w:val="22"/>
          <w:szCs w:val="22"/>
        </w:rPr>
        <w:t xml:space="preserve"> a spojivového tkaniva</w:t>
      </w:r>
    </w:p>
    <w:p w14:paraId="5A98213B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Zriedkavé: artralgia, myalgia.</w:t>
      </w:r>
    </w:p>
    <w:p w14:paraId="193FAF06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3B2A43CF" w14:textId="77777777" w:rsidR="00EA4A8B" w:rsidRPr="00BA0AF9" w:rsidRDefault="00EA4A8B" w:rsidP="00EA4A8B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Epidemiologické štúdie</w:t>
      </w:r>
      <w:r w:rsidR="0034433D" w:rsidRPr="00BA0AF9">
        <w:rPr>
          <w:rFonts w:ascii="Times New Roman" w:hAnsi="Times New Roman"/>
          <w:color w:val="auto"/>
          <w:sz w:val="22"/>
          <w:szCs w:val="22"/>
        </w:rPr>
        <w:t>,</w:t>
      </w:r>
      <w:r w:rsidRPr="00BA0AF9">
        <w:rPr>
          <w:rFonts w:ascii="Times New Roman" w:hAnsi="Times New Roman"/>
          <w:color w:val="auto"/>
          <w:sz w:val="22"/>
          <w:szCs w:val="22"/>
        </w:rPr>
        <w:t xml:space="preserve"> vykonané hlavne u pacientov vo veku 50 rokov a</w:t>
      </w:r>
      <w:r w:rsidR="0034433D" w:rsidRPr="00BA0AF9">
        <w:rPr>
          <w:rFonts w:ascii="Times New Roman" w:hAnsi="Times New Roman"/>
          <w:color w:val="auto"/>
          <w:sz w:val="22"/>
          <w:szCs w:val="22"/>
        </w:rPr>
        <w:t> </w:t>
      </w:r>
      <w:r w:rsidRPr="00BA0AF9">
        <w:rPr>
          <w:rFonts w:ascii="Times New Roman" w:hAnsi="Times New Roman"/>
          <w:color w:val="auto"/>
          <w:sz w:val="22"/>
          <w:szCs w:val="22"/>
        </w:rPr>
        <w:t>starších</w:t>
      </w:r>
      <w:r w:rsidR="0034433D" w:rsidRPr="00BA0AF9">
        <w:rPr>
          <w:rFonts w:ascii="Times New Roman" w:hAnsi="Times New Roman"/>
          <w:color w:val="auto"/>
          <w:sz w:val="22"/>
          <w:szCs w:val="22"/>
        </w:rPr>
        <w:t>,</w:t>
      </w:r>
      <w:r w:rsidRPr="00BA0AF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9505A" w:rsidRPr="00BA0AF9">
        <w:rPr>
          <w:rFonts w:ascii="Times New Roman" w:hAnsi="Times New Roman"/>
          <w:color w:val="auto"/>
          <w:sz w:val="22"/>
          <w:szCs w:val="22"/>
        </w:rPr>
        <w:t>potvrdzujú</w:t>
      </w:r>
      <w:r w:rsidRPr="00BA0AF9">
        <w:rPr>
          <w:rFonts w:ascii="Times New Roman" w:hAnsi="Times New Roman"/>
          <w:color w:val="auto"/>
          <w:sz w:val="22"/>
          <w:szCs w:val="22"/>
        </w:rPr>
        <w:t xml:space="preserve"> zvýšené riziko fraktúr kostí u</w:t>
      </w:r>
      <w:r w:rsidR="001D764F" w:rsidRPr="00BA0AF9">
        <w:rPr>
          <w:rFonts w:ascii="Times New Roman" w:hAnsi="Times New Roman"/>
          <w:color w:val="auto"/>
          <w:sz w:val="22"/>
          <w:szCs w:val="22"/>
        </w:rPr>
        <w:t> </w:t>
      </w:r>
      <w:r w:rsidRPr="00BA0AF9">
        <w:rPr>
          <w:rFonts w:ascii="Times New Roman" w:hAnsi="Times New Roman"/>
          <w:color w:val="auto"/>
          <w:sz w:val="22"/>
          <w:szCs w:val="22"/>
        </w:rPr>
        <w:t>pacientov</w:t>
      </w:r>
      <w:r w:rsidR="001D764F" w:rsidRPr="00BA0AF9">
        <w:rPr>
          <w:rFonts w:ascii="Times New Roman" w:hAnsi="Times New Roman"/>
          <w:color w:val="auto"/>
          <w:sz w:val="22"/>
          <w:szCs w:val="22"/>
        </w:rPr>
        <w:t xml:space="preserve"> liečených</w:t>
      </w:r>
      <w:r w:rsidRPr="00BA0AF9">
        <w:rPr>
          <w:rFonts w:ascii="Times New Roman" w:hAnsi="Times New Roman"/>
          <w:color w:val="auto"/>
          <w:sz w:val="22"/>
          <w:szCs w:val="22"/>
        </w:rPr>
        <w:t xml:space="preserve"> SSRI a TCA. Mechanizmus vedúci k tomuto riziku nie je známy.</w:t>
      </w:r>
    </w:p>
    <w:p w14:paraId="5F7832BD" w14:textId="77777777" w:rsidR="00EA4A8B" w:rsidRPr="00BA0AF9" w:rsidRDefault="00EA4A8B" w:rsidP="00EA4A8B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213F74FF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b/>
          <w:color w:val="auto"/>
          <w:sz w:val="22"/>
          <w:szCs w:val="22"/>
        </w:rPr>
      </w:pPr>
      <w:r w:rsidRPr="00BA0AF9">
        <w:rPr>
          <w:rFonts w:ascii="Times New Roman" w:hAnsi="Times New Roman"/>
          <w:b/>
          <w:color w:val="auto"/>
          <w:sz w:val="22"/>
          <w:szCs w:val="22"/>
        </w:rPr>
        <w:t xml:space="preserve">Celkové </w:t>
      </w:r>
      <w:r w:rsidR="00866713" w:rsidRPr="00BA0AF9">
        <w:rPr>
          <w:rFonts w:ascii="Times New Roman" w:hAnsi="Times New Roman"/>
          <w:b/>
          <w:color w:val="auto"/>
          <w:sz w:val="22"/>
          <w:szCs w:val="22"/>
        </w:rPr>
        <w:t>poruchy</w:t>
      </w:r>
      <w:r w:rsidRPr="00BA0AF9">
        <w:rPr>
          <w:rFonts w:ascii="Times New Roman" w:hAnsi="Times New Roman"/>
          <w:b/>
          <w:color w:val="auto"/>
          <w:sz w:val="22"/>
          <w:szCs w:val="22"/>
        </w:rPr>
        <w:t xml:space="preserve"> a reakcie v mieste podania</w:t>
      </w:r>
    </w:p>
    <w:p w14:paraId="1A78298A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Časté: asténia, prírastok telesnej hmotnosti.</w:t>
      </w:r>
    </w:p>
    <w:p w14:paraId="0EDE50E1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Veľmi zriedkavé: periférny edém.</w:t>
      </w:r>
    </w:p>
    <w:p w14:paraId="01D16EA1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5A8DD461" w14:textId="77777777" w:rsidR="00140CF8" w:rsidRPr="00BA0AF9" w:rsidRDefault="00140CF8" w:rsidP="001069D0">
      <w:pPr>
        <w:pStyle w:val="Nadpis4"/>
        <w:spacing w:line="260" w:lineRule="exact"/>
        <w:rPr>
          <w:rFonts w:ascii="Times New Roman" w:hAnsi="Times New Roman"/>
          <w:caps/>
          <w:color w:val="auto"/>
          <w:sz w:val="22"/>
          <w:szCs w:val="22"/>
          <w:u w:val="none"/>
        </w:rPr>
      </w:pPr>
      <w:r w:rsidRPr="00BA0AF9">
        <w:rPr>
          <w:rFonts w:ascii="Times New Roman" w:hAnsi="Times New Roman"/>
          <w:caps/>
          <w:color w:val="auto"/>
          <w:sz w:val="22"/>
          <w:szCs w:val="22"/>
          <w:u w:val="none"/>
        </w:rPr>
        <w:t>symptómy</w:t>
      </w:r>
      <w:r w:rsidR="00B123C7" w:rsidRPr="00BA0AF9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 Z VYSADENIA</w:t>
      </w:r>
      <w:r w:rsidRPr="00BA0AF9">
        <w:rPr>
          <w:rFonts w:ascii="Times New Roman" w:hAnsi="Times New Roman"/>
          <w:caps/>
          <w:color w:val="auto"/>
          <w:sz w:val="22"/>
          <w:szCs w:val="22"/>
          <w:u w:val="none"/>
        </w:rPr>
        <w:t xml:space="preserve"> pozorované po </w:t>
      </w:r>
      <w:r w:rsidR="00B123C7" w:rsidRPr="00BA0AF9">
        <w:rPr>
          <w:rFonts w:ascii="Times New Roman" w:hAnsi="Times New Roman"/>
          <w:caps/>
          <w:color w:val="auto"/>
          <w:sz w:val="22"/>
          <w:szCs w:val="22"/>
          <w:u w:val="none"/>
        </w:rPr>
        <w:t>UKONČ</w:t>
      </w:r>
      <w:r w:rsidRPr="00BA0AF9">
        <w:rPr>
          <w:rFonts w:ascii="Times New Roman" w:hAnsi="Times New Roman"/>
          <w:caps/>
          <w:color w:val="auto"/>
          <w:sz w:val="22"/>
          <w:szCs w:val="22"/>
          <w:u w:val="none"/>
        </w:rPr>
        <w:t>ení liečby paroxetínom</w:t>
      </w:r>
      <w:r w:rsidR="00B16D00" w:rsidRPr="00BA0AF9">
        <w:rPr>
          <w:rFonts w:ascii="Times New Roman" w:hAnsi="Times New Roman"/>
          <w:caps/>
          <w:color w:val="auto"/>
          <w:sz w:val="22"/>
          <w:szCs w:val="22"/>
          <w:u w:val="none"/>
        </w:rPr>
        <w:t>-</w:t>
      </w:r>
    </w:p>
    <w:p w14:paraId="0E19686F" w14:textId="77777777" w:rsidR="00140CF8" w:rsidRPr="00BA0AF9" w:rsidRDefault="00140CF8" w:rsidP="001069D0">
      <w:pPr>
        <w:pStyle w:val="Zkladntext3"/>
        <w:keepNext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Časté: závrat, zmyslové poruchy, poruchy spánku, úzkosť, bolesť hlavy.</w:t>
      </w:r>
    </w:p>
    <w:p w14:paraId="7FC8109C" w14:textId="77777777" w:rsidR="00140CF8" w:rsidRPr="00BA0AF9" w:rsidRDefault="00140CF8" w:rsidP="001069D0">
      <w:pPr>
        <w:pStyle w:val="Zkladntext3"/>
        <w:keepNext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Menej časté: agitovanosť, nauzea, tremor, zmätenosť, potenie, emocionálna nestabilita, zrakové poruchy, pa</w:t>
      </w:r>
      <w:r w:rsidR="005C11AF" w:rsidRPr="00BA0AF9">
        <w:rPr>
          <w:rFonts w:ascii="Times New Roman" w:hAnsi="Times New Roman"/>
          <w:color w:val="auto"/>
          <w:sz w:val="22"/>
          <w:szCs w:val="22"/>
        </w:rPr>
        <w:t>lpitácie, hnačka, podráždenosť.</w:t>
      </w:r>
    </w:p>
    <w:p w14:paraId="393229E8" w14:textId="77777777" w:rsidR="00140CF8" w:rsidRPr="00BA0AF9" w:rsidRDefault="00B123C7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 xml:space="preserve">Ukončenie </w:t>
      </w:r>
      <w:r w:rsidR="00140CF8" w:rsidRPr="00BA0AF9">
        <w:rPr>
          <w:rFonts w:ascii="Times New Roman" w:hAnsi="Times New Roman"/>
          <w:color w:val="auto"/>
          <w:sz w:val="22"/>
          <w:szCs w:val="22"/>
        </w:rPr>
        <w:t>podávania paroxetínu (najmä ak je náhle) často vedie k symptómom</w:t>
      </w:r>
      <w:r w:rsidRPr="00BA0AF9">
        <w:rPr>
          <w:rFonts w:ascii="Times New Roman" w:hAnsi="Times New Roman"/>
          <w:color w:val="auto"/>
          <w:sz w:val="22"/>
          <w:szCs w:val="22"/>
        </w:rPr>
        <w:t xml:space="preserve"> z vysadenia</w:t>
      </w:r>
      <w:r w:rsidR="00140CF8" w:rsidRPr="00BA0AF9">
        <w:rPr>
          <w:rFonts w:ascii="Times New Roman" w:hAnsi="Times New Roman"/>
          <w:color w:val="auto"/>
          <w:sz w:val="22"/>
          <w:szCs w:val="22"/>
        </w:rPr>
        <w:t>. Hlásen</w:t>
      </w:r>
      <w:r w:rsidR="00EB06F5" w:rsidRPr="00BA0AF9">
        <w:rPr>
          <w:rFonts w:ascii="Times New Roman" w:hAnsi="Times New Roman"/>
          <w:color w:val="auto"/>
          <w:sz w:val="22"/>
          <w:szCs w:val="22"/>
        </w:rPr>
        <w:t>é</w:t>
      </w:r>
      <w:r w:rsidR="00140CF8" w:rsidRPr="00BA0AF9">
        <w:rPr>
          <w:rFonts w:ascii="Times New Roman" w:hAnsi="Times New Roman"/>
          <w:color w:val="auto"/>
          <w:sz w:val="22"/>
          <w:szCs w:val="22"/>
        </w:rPr>
        <w:t xml:space="preserve"> boli závrat, zmyslové poruchy (vrátane parestézie</w:t>
      </w:r>
      <w:r w:rsidR="00361091" w:rsidRPr="00BA0AF9">
        <w:rPr>
          <w:rFonts w:ascii="Times New Roman" w:hAnsi="Times New Roman"/>
          <w:color w:val="auto"/>
          <w:sz w:val="22"/>
          <w:szCs w:val="22"/>
        </w:rPr>
        <w:t>,</w:t>
      </w:r>
      <w:r w:rsidR="00140CF8" w:rsidRPr="00BA0AF9">
        <w:rPr>
          <w:rFonts w:ascii="Times New Roman" w:hAnsi="Times New Roman"/>
          <w:color w:val="auto"/>
          <w:sz w:val="22"/>
          <w:szCs w:val="22"/>
        </w:rPr>
        <w:t xml:space="preserve"> pocitov elektrických šokov</w:t>
      </w:r>
      <w:r w:rsidR="003E6E51" w:rsidRPr="00BA0AF9">
        <w:rPr>
          <w:rFonts w:ascii="Times New Roman" w:hAnsi="Times New Roman"/>
          <w:color w:val="auto"/>
          <w:sz w:val="22"/>
          <w:szCs w:val="22"/>
        </w:rPr>
        <w:t xml:space="preserve"> a tinitu</w:t>
      </w:r>
      <w:r w:rsidR="00140CF8" w:rsidRPr="00BA0AF9">
        <w:rPr>
          <w:rFonts w:ascii="Times New Roman" w:hAnsi="Times New Roman"/>
          <w:color w:val="auto"/>
          <w:sz w:val="22"/>
          <w:szCs w:val="22"/>
        </w:rPr>
        <w:t xml:space="preserve">), poruchy spánku (vrátane intenzívnych snov), agitovanosť alebo úzkosť, nauzea, tremor, zmätenosť, potenie, bolesť hlavy, hnačka, palpitácie, emocionálna nestabilita, </w:t>
      </w:r>
      <w:r w:rsidR="005C11AF" w:rsidRPr="00BA0AF9">
        <w:rPr>
          <w:rFonts w:ascii="Times New Roman" w:hAnsi="Times New Roman"/>
          <w:color w:val="auto"/>
          <w:sz w:val="22"/>
          <w:szCs w:val="22"/>
        </w:rPr>
        <w:t>podráždenosť a zrakové poruchy.</w:t>
      </w:r>
    </w:p>
    <w:p w14:paraId="547E7F39" w14:textId="77777777" w:rsidR="00140CF8" w:rsidRPr="00BA0AF9" w:rsidRDefault="00140CF8">
      <w:pPr>
        <w:pStyle w:val="Nadpis4"/>
        <w:spacing w:line="260" w:lineRule="exact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Tieto symptómy sú zvyčajne miernej až stredne ťažkej intenzity a prechodné, ale u niektorých pacientov môžu byť ťažké a/alebo dlhodobo trvajúce. Z tohto dôvodu sa odporúča postupné znižovanie dávky, ak liečba paroxetínom už nie je potrebná (pozri čas</w:t>
      </w:r>
      <w:r w:rsidR="0043787B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ti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4.2 </w:t>
      </w:r>
      <w:r w:rsidR="00175F65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Dávkovanie a spôsob podávania </w:t>
      </w:r>
      <w:r w:rsidR="0043787B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a</w:t>
      </w:r>
      <w:r w:rsidR="002966D8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4.4</w:t>
      </w:r>
      <w:r w:rsidR="00175F65"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Osobitné opatrenia a upozornenia pri používaní</w:t>
      </w:r>
      <w:r w:rsidRPr="00BA0AF9">
        <w:rPr>
          <w:rFonts w:ascii="Times New Roman" w:hAnsi="Times New Roman"/>
          <w:b w:val="0"/>
          <w:color w:val="auto"/>
          <w:sz w:val="22"/>
          <w:szCs w:val="22"/>
          <w:u w:val="none"/>
        </w:rPr>
        <w:t>).</w:t>
      </w:r>
    </w:p>
    <w:p w14:paraId="13E394A9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b/>
          <w:color w:val="auto"/>
          <w:sz w:val="22"/>
          <w:szCs w:val="22"/>
        </w:rPr>
      </w:pPr>
    </w:p>
    <w:p w14:paraId="1CCAE0E7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b/>
          <w:caps/>
          <w:color w:val="auto"/>
          <w:sz w:val="22"/>
          <w:szCs w:val="22"/>
        </w:rPr>
        <w:t xml:space="preserve">Nežiaduce účinky získané z pediatrických klinických </w:t>
      </w:r>
      <w:r w:rsidR="000270CA" w:rsidRPr="00BA0AF9">
        <w:rPr>
          <w:rFonts w:ascii="Times New Roman" w:hAnsi="Times New Roman"/>
          <w:b/>
          <w:caps/>
          <w:color w:val="auto"/>
          <w:sz w:val="22"/>
          <w:szCs w:val="22"/>
        </w:rPr>
        <w:t>Skúšaní</w:t>
      </w:r>
      <w:r w:rsidR="00600649" w:rsidRPr="00BA0AF9">
        <w:rPr>
          <w:rFonts w:ascii="Times New Roman" w:hAnsi="Times New Roman"/>
          <w:b/>
          <w:caps/>
          <w:color w:val="auto"/>
          <w:sz w:val="22"/>
          <w:szCs w:val="22"/>
        </w:rPr>
        <w:t xml:space="preserve"> </w:t>
      </w:r>
    </w:p>
    <w:p w14:paraId="2E22B8AA" w14:textId="77777777" w:rsidR="00EA4A8B" w:rsidRPr="00BA0AF9" w:rsidRDefault="006269AC" w:rsidP="00EA4A8B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 xml:space="preserve">Boli </w:t>
      </w:r>
      <w:r w:rsidR="00EA4A8B" w:rsidRPr="00BA0AF9">
        <w:rPr>
          <w:rFonts w:ascii="Times New Roman" w:hAnsi="Times New Roman"/>
          <w:color w:val="auto"/>
          <w:sz w:val="22"/>
          <w:szCs w:val="22"/>
        </w:rPr>
        <w:t>pozorované nasledujúce nežiaduce účinky:</w:t>
      </w:r>
    </w:p>
    <w:p w14:paraId="051314D3" w14:textId="77777777" w:rsidR="006269AC" w:rsidRPr="00BA0AF9" w:rsidRDefault="00A80D44" w:rsidP="00A80D44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Zvýšená miera správania spojeného so samovraždou (zahŕňajúca pokusy o samovraždu a samovražedné myšlienky), sebapoškodzujúce správanie a zvýšená miera nepriateľstva. Samovražedné myšlienky a pokusy o samovraždy boli pozorov</w:t>
      </w:r>
      <w:r w:rsidR="006269AC" w:rsidRPr="00BA0AF9">
        <w:rPr>
          <w:rFonts w:ascii="Times New Roman" w:hAnsi="Times New Roman"/>
          <w:color w:val="auto"/>
          <w:sz w:val="22"/>
          <w:szCs w:val="22"/>
        </w:rPr>
        <w:t>ané hlavne v klinických skúšaniach</w:t>
      </w:r>
      <w:r w:rsidRPr="00BA0AF9">
        <w:rPr>
          <w:rFonts w:ascii="Times New Roman" w:hAnsi="Times New Roman"/>
          <w:color w:val="auto"/>
          <w:sz w:val="22"/>
          <w:szCs w:val="22"/>
        </w:rPr>
        <w:t xml:space="preserve"> u</w:t>
      </w:r>
      <w:r w:rsidR="000270CA" w:rsidRPr="00BA0AF9">
        <w:rPr>
          <w:rFonts w:ascii="Times New Roman" w:hAnsi="Times New Roman"/>
          <w:color w:val="auto"/>
          <w:sz w:val="22"/>
          <w:szCs w:val="22"/>
        </w:rPr>
        <w:t> dospievajúcich</w:t>
      </w:r>
      <w:r w:rsidR="00292992" w:rsidRPr="00BA0AF9">
        <w:rPr>
          <w:rFonts w:ascii="Times New Roman" w:hAnsi="Times New Roman"/>
          <w:color w:val="auto"/>
          <w:sz w:val="22"/>
          <w:szCs w:val="22"/>
        </w:rPr>
        <w:t xml:space="preserve"> s</w:t>
      </w:r>
      <w:r w:rsidR="005B1D82" w:rsidRPr="00BA0AF9">
        <w:rPr>
          <w:rFonts w:ascii="Times New Roman" w:hAnsi="Times New Roman"/>
          <w:color w:val="auto"/>
          <w:sz w:val="22"/>
          <w:szCs w:val="22"/>
        </w:rPr>
        <w:t xml:space="preserve"> veľkou </w:t>
      </w:r>
      <w:r w:rsidR="00292992" w:rsidRPr="00BA0AF9">
        <w:rPr>
          <w:rFonts w:ascii="Times New Roman" w:hAnsi="Times New Roman"/>
          <w:color w:val="auto"/>
          <w:sz w:val="22"/>
          <w:szCs w:val="22"/>
        </w:rPr>
        <w:t>depresívnou poruchou</w:t>
      </w:r>
      <w:r w:rsidRPr="00BA0AF9">
        <w:rPr>
          <w:rFonts w:ascii="Times New Roman" w:hAnsi="Times New Roman"/>
          <w:color w:val="auto"/>
          <w:sz w:val="22"/>
          <w:szCs w:val="22"/>
        </w:rPr>
        <w:t>. Zvýšená miera nepriateľstva sa vyskytovala hlavne u detí s obsedantno-kompulzívnou poruchou a n</w:t>
      </w:r>
      <w:r w:rsidR="00292992" w:rsidRPr="00BA0AF9">
        <w:rPr>
          <w:rFonts w:ascii="Times New Roman" w:hAnsi="Times New Roman"/>
          <w:color w:val="auto"/>
          <w:sz w:val="22"/>
          <w:szCs w:val="22"/>
        </w:rPr>
        <w:t>ajmä u mladších detí vo veku do </w:t>
      </w:r>
      <w:r w:rsidRPr="00BA0AF9">
        <w:rPr>
          <w:rFonts w:ascii="Times New Roman" w:hAnsi="Times New Roman"/>
          <w:color w:val="auto"/>
          <w:sz w:val="22"/>
          <w:szCs w:val="22"/>
        </w:rPr>
        <w:t xml:space="preserve">12 rokov. </w:t>
      </w:r>
    </w:p>
    <w:p w14:paraId="48128592" w14:textId="77777777" w:rsidR="00A80D44" w:rsidRPr="00BA0AF9" w:rsidRDefault="00A80D44" w:rsidP="00A80D44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Ďalšie nežiaduce účinky, ktoré boli pozorované</w:t>
      </w:r>
      <w:r w:rsidR="006269AC" w:rsidRPr="00BA0AF9">
        <w:rPr>
          <w:rFonts w:ascii="Times New Roman" w:hAnsi="Times New Roman"/>
          <w:color w:val="auto"/>
          <w:sz w:val="22"/>
          <w:szCs w:val="22"/>
        </w:rPr>
        <w:t xml:space="preserve">: </w:t>
      </w:r>
      <w:r w:rsidRPr="00BA0AF9">
        <w:rPr>
          <w:rFonts w:ascii="Times New Roman" w:hAnsi="Times New Roman"/>
          <w:color w:val="auto"/>
          <w:sz w:val="22"/>
          <w:szCs w:val="22"/>
        </w:rPr>
        <w:t>znížená chuť do jedla, tremor, potenie, hyperkinéza, agitovanosť, emocionálna labilita (vrátane plaču a zmien nálad</w:t>
      </w:r>
      <w:r w:rsidR="006269AC" w:rsidRPr="00BA0AF9">
        <w:rPr>
          <w:rFonts w:ascii="Times New Roman" w:hAnsi="Times New Roman"/>
          <w:color w:val="auto"/>
          <w:sz w:val="22"/>
          <w:szCs w:val="22"/>
        </w:rPr>
        <w:t>y), nežiaduce účinky spojené s krvácaním, predovšetkým kože a slizníc.</w:t>
      </w:r>
    </w:p>
    <w:p w14:paraId="099AFE3F" w14:textId="77777777" w:rsidR="00A80D44" w:rsidRPr="00BA0AF9" w:rsidRDefault="0034433D" w:rsidP="00A80D44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Účinky</w:t>
      </w:r>
      <w:r w:rsidR="00CE7510" w:rsidRPr="00BA0AF9">
        <w:rPr>
          <w:rFonts w:ascii="Times New Roman" w:hAnsi="Times New Roman"/>
          <w:color w:val="auto"/>
          <w:sz w:val="22"/>
          <w:szCs w:val="22"/>
        </w:rPr>
        <w:t>, ktoré sa pozorovali</w:t>
      </w:r>
      <w:r w:rsidRPr="00BA0AF9">
        <w:rPr>
          <w:rFonts w:ascii="Times New Roman" w:hAnsi="Times New Roman"/>
          <w:color w:val="auto"/>
          <w:sz w:val="22"/>
          <w:szCs w:val="22"/>
        </w:rPr>
        <w:t xml:space="preserve"> po </w:t>
      </w:r>
      <w:r w:rsidR="00B123C7" w:rsidRPr="00BA0AF9">
        <w:rPr>
          <w:rFonts w:ascii="Times New Roman" w:hAnsi="Times New Roman"/>
          <w:color w:val="auto"/>
          <w:sz w:val="22"/>
          <w:szCs w:val="22"/>
        </w:rPr>
        <w:t>ukonč</w:t>
      </w:r>
      <w:r w:rsidR="00BA5A30" w:rsidRPr="00BA0AF9">
        <w:rPr>
          <w:rFonts w:ascii="Times New Roman" w:hAnsi="Times New Roman"/>
          <w:color w:val="auto"/>
          <w:sz w:val="22"/>
          <w:szCs w:val="22"/>
        </w:rPr>
        <w:t>e</w:t>
      </w:r>
      <w:r w:rsidRPr="00BA0AF9">
        <w:rPr>
          <w:rFonts w:ascii="Times New Roman" w:hAnsi="Times New Roman"/>
          <w:color w:val="auto"/>
          <w:sz w:val="22"/>
          <w:szCs w:val="22"/>
        </w:rPr>
        <w:t>ní/</w:t>
      </w:r>
      <w:r w:rsidR="00AA55A7" w:rsidRPr="00BA0AF9">
        <w:rPr>
          <w:rFonts w:ascii="Times New Roman" w:hAnsi="Times New Roman"/>
          <w:color w:val="auto"/>
          <w:sz w:val="22"/>
          <w:szCs w:val="22"/>
        </w:rPr>
        <w:t>znižovaní</w:t>
      </w:r>
      <w:r w:rsidRPr="00BA0AF9">
        <w:rPr>
          <w:rFonts w:ascii="Times New Roman" w:hAnsi="Times New Roman"/>
          <w:color w:val="auto"/>
          <w:sz w:val="22"/>
          <w:szCs w:val="22"/>
        </w:rPr>
        <w:t xml:space="preserve"> dávky</w:t>
      </w:r>
      <w:r w:rsidR="006269AC" w:rsidRPr="00BA0AF9">
        <w:rPr>
          <w:rFonts w:ascii="Times New Roman" w:hAnsi="Times New Roman"/>
          <w:color w:val="auto"/>
          <w:sz w:val="22"/>
          <w:szCs w:val="22"/>
        </w:rPr>
        <w:t xml:space="preserve"> paroxetínu sú: emocionálna </w:t>
      </w:r>
      <w:r w:rsidR="002B61F7" w:rsidRPr="00BA0AF9">
        <w:rPr>
          <w:rFonts w:ascii="Times New Roman" w:hAnsi="Times New Roman"/>
          <w:color w:val="auto"/>
          <w:sz w:val="22"/>
          <w:szCs w:val="22"/>
        </w:rPr>
        <w:t>la</w:t>
      </w:r>
      <w:r w:rsidR="00B036D0" w:rsidRPr="00BA0AF9">
        <w:rPr>
          <w:rFonts w:ascii="Times New Roman" w:hAnsi="Times New Roman"/>
          <w:color w:val="auto"/>
          <w:sz w:val="22"/>
          <w:szCs w:val="22"/>
        </w:rPr>
        <w:t>bilita</w:t>
      </w:r>
      <w:r w:rsidR="006269AC" w:rsidRPr="00BA0AF9">
        <w:rPr>
          <w:rFonts w:ascii="Times New Roman" w:hAnsi="Times New Roman"/>
          <w:color w:val="auto"/>
          <w:sz w:val="22"/>
          <w:szCs w:val="22"/>
        </w:rPr>
        <w:t xml:space="preserve"> (vrátane plaču a zmien nálady, sebapoškodzovania, samovražedných myšlienok a pokusov o samovraždu), nervozita, závrat, nauzea a bolesť brucha (</w:t>
      </w:r>
      <w:r w:rsidR="00CE7510" w:rsidRPr="00BA0AF9">
        <w:rPr>
          <w:rFonts w:ascii="Times New Roman" w:hAnsi="Times New Roman"/>
          <w:color w:val="auto"/>
          <w:sz w:val="22"/>
          <w:szCs w:val="22"/>
        </w:rPr>
        <w:t>pozri časť 4.4 Osobitné opatrenia a upozornenia pri používaní).</w:t>
      </w:r>
    </w:p>
    <w:p w14:paraId="1A185FF3" w14:textId="77777777" w:rsidR="00A80D44" w:rsidRPr="00BA0AF9" w:rsidRDefault="00A80D44" w:rsidP="00EA4A8B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Pozri časť 5.1 pre viac informácii o pediatrických klinických skúšaniach.</w:t>
      </w:r>
    </w:p>
    <w:p w14:paraId="3425B56F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</w:p>
    <w:p w14:paraId="25AE3A18" w14:textId="77777777" w:rsidR="009D7858" w:rsidRPr="00BA0AF9" w:rsidRDefault="009D7858" w:rsidP="009D785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A0AF9">
        <w:rPr>
          <w:noProof/>
          <w:sz w:val="22"/>
          <w:szCs w:val="22"/>
          <w:u w:val="single"/>
        </w:rPr>
        <w:t>Hlásenie podozrení na nežiaduce reakcie</w:t>
      </w:r>
    </w:p>
    <w:p w14:paraId="27F76B3C" w14:textId="69B1C193" w:rsidR="009D7858" w:rsidRPr="00BA0AF9" w:rsidRDefault="009D7858" w:rsidP="009D7858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A0AF9">
        <w:rPr>
          <w:noProof/>
          <w:sz w:val="22"/>
          <w:szCs w:val="22"/>
        </w:rPr>
        <w:t>Hlásenie podozrení na nežiaduce reakcie po registrácii lieku je dôležité.</w:t>
      </w:r>
      <w:r w:rsidRPr="00BA0AF9">
        <w:rPr>
          <w:sz w:val="22"/>
          <w:szCs w:val="22"/>
        </w:rPr>
        <w:t xml:space="preserve"> </w:t>
      </w:r>
      <w:r w:rsidRPr="00BA0AF9">
        <w:rPr>
          <w:noProof/>
          <w:sz w:val="22"/>
          <w:szCs w:val="22"/>
        </w:rPr>
        <w:t>Umožňuje priebežné monitorovanie pomeru prínosu</w:t>
      </w:r>
      <w:r w:rsidRPr="00BA0AF9">
        <w:rPr>
          <w:sz w:val="22"/>
          <w:szCs w:val="22"/>
        </w:rPr>
        <w:t xml:space="preserve"> a</w:t>
      </w:r>
      <w:r w:rsidRPr="00BA0AF9">
        <w:rPr>
          <w:noProof/>
          <w:sz w:val="22"/>
          <w:szCs w:val="22"/>
        </w:rPr>
        <w:t> rizika lieku.</w:t>
      </w:r>
      <w:r w:rsidRPr="00BA0AF9">
        <w:rPr>
          <w:sz w:val="22"/>
          <w:szCs w:val="22"/>
        </w:rPr>
        <w:t xml:space="preserve"> Od </w:t>
      </w:r>
      <w:r w:rsidRPr="00BA0AF9">
        <w:rPr>
          <w:noProof/>
          <w:sz w:val="22"/>
          <w:szCs w:val="22"/>
        </w:rPr>
        <w:t xml:space="preserve">zdravotníckych pracovníkov sa vyžaduje, aby hlásili </w:t>
      </w:r>
      <w:r w:rsidRPr="00BA0AF9">
        <w:rPr>
          <w:noProof/>
          <w:sz w:val="22"/>
          <w:szCs w:val="22"/>
        </w:rPr>
        <w:lastRenderedPageBreak/>
        <w:t xml:space="preserve">akékoľvek podozrenia na nežiaduce reakcie prostredníctvom </w:t>
      </w:r>
      <w:r w:rsidRPr="00BA0AF9">
        <w:rPr>
          <w:noProof/>
          <w:sz w:val="22"/>
          <w:szCs w:val="22"/>
          <w:highlight w:val="lightGray"/>
        </w:rPr>
        <w:t>národného systému hlásenia uvedeného v </w:t>
      </w:r>
      <w:hyperlink r:id="rId8" w:history="1">
        <w:r w:rsidRPr="00BA0AF9">
          <w:rPr>
            <w:rStyle w:val="Hypertextovprepojenie"/>
            <w:noProof/>
            <w:sz w:val="22"/>
            <w:szCs w:val="22"/>
            <w:highlight w:val="lightGray"/>
          </w:rPr>
          <w:t>P</w:t>
        </w:r>
        <w:proofErr w:type="spellStart"/>
        <w:r w:rsidRPr="00BA0AF9">
          <w:rPr>
            <w:rStyle w:val="Hypertextovprepojenie"/>
            <w:sz w:val="22"/>
            <w:szCs w:val="22"/>
            <w:highlight w:val="lightGray"/>
          </w:rPr>
          <w:t>rílohe</w:t>
        </w:r>
        <w:proofErr w:type="spellEnd"/>
        <w:r w:rsidRPr="00BA0AF9">
          <w:rPr>
            <w:rStyle w:val="Hypertextovprepojenie"/>
            <w:sz w:val="22"/>
            <w:szCs w:val="22"/>
            <w:highlight w:val="lightGray"/>
          </w:rPr>
          <w:t xml:space="preserve"> </w:t>
        </w:r>
        <w:r w:rsidRPr="00BA0AF9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BA0AF9">
        <w:rPr>
          <w:noProof/>
          <w:sz w:val="22"/>
          <w:szCs w:val="22"/>
        </w:rPr>
        <w:t>.</w:t>
      </w:r>
    </w:p>
    <w:p w14:paraId="59D99F55" w14:textId="77777777" w:rsidR="009D7858" w:rsidRPr="00BA0AF9" w:rsidRDefault="009D7858" w:rsidP="00BA0AF9">
      <w:pPr>
        <w:autoSpaceDE w:val="0"/>
        <w:autoSpaceDN w:val="0"/>
        <w:adjustRightInd w:val="0"/>
        <w:rPr>
          <w:sz w:val="22"/>
          <w:szCs w:val="22"/>
        </w:rPr>
      </w:pPr>
    </w:p>
    <w:p w14:paraId="18ADA5DC" w14:textId="77777777" w:rsidR="00140CF8" w:rsidRPr="00BA0AF9" w:rsidRDefault="00140CF8">
      <w:pPr>
        <w:spacing w:line="260" w:lineRule="exact"/>
        <w:ind w:left="567" w:hanging="567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4.9</w:t>
      </w:r>
      <w:r w:rsidRPr="00BA0AF9">
        <w:rPr>
          <w:b/>
          <w:sz w:val="22"/>
          <w:szCs w:val="22"/>
        </w:rPr>
        <w:tab/>
        <w:t>Predávkovanie</w:t>
      </w:r>
    </w:p>
    <w:p w14:paraId="58C0B5B9" w14:textId="77777777" w:rsidR="00140CF8" w:rsidRPr="00BA0AF9" w:rsidRDefault="00140CF8">
      <w:pPr>
        <w:pStyle w:val="Nadpis6"/>
        <w:spacing w:line="260" w:lineRule="exact"/>
        <w:rPr>
          <w:rFonts w:ascii="Times New Roman" w:hAnsi="Times New Roman"/>
          <w:b w:val="0"/>
          <w:color w:val="auto"/>
          <w:sz w:val="22"/>
          <w:szCs w:val="22"/>
          <w:u w:val="single"/>
        </w:rPr>
      </w:pPr>
    </w:p>
    <w:p w14:paraId="74085B03" w14:textId="77777777" w:rsidR="00140CF8" w:rsidRPr="00BA0AF9" w:rsidRDefault="00140CF8">
      <w:pPr>
        <w:pStyle w:val="Nadpis6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Symptómy a </w:t>
      </w:r>
      <w:r w:rsidR="0043787B" w:rsidRPr="00BA0AF9">
        <w:rPr>
          <w:rFonts w:ascii="Times New Roman" w:hAnsi="Times New Roman"/>
          <w:color w:val="auto"/>
          <w:sz w:val="22"/>
          <w:szCs w:val="22"/>
        </w:rPr>
        <w:t>prí</w:t>
      </w:r>
      <w:r w:rsidRPr="00BA0AF9">
        <w:rPr>
          <w:rFonts w:ascii="Times New Roman" w:hAnsi="Times New Roman"/>
          <w:color w:val="auto"/>
          <w:sz w:val="22"/>
          <w:szCs w:val="22"/>
        </w:rPr>
        <w:t>znaky</w:t>
      </w:r>
    </w:p>
    <w:p w14:paraId="7F987600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Z dostupných informácii o predávkovaní paroxetínom je zrejmé jeho široké rozmedzie bezpečnosti.</w:t>
      </w:r>
    </w:p>
    <w:p w14:paraId="16F3DE35" w14:textId="77777777" w:rsidR="00140CF8" w:rsidRPr="00BA0AF9" w:rsidRDefault="00140CF8">
      <w:pPr>
        <w:tabs>
          <w:tab w:val="left" w:pos="2410"/>
        </w:tabs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Skúsenosti s predávkovaním paroxetínom ukázali, že okrem symptómov uvedených v časti 4.8 </w:t>
      </w:r>
      <w:r w:rsidR="00002EF9" w:rsidRPr="00BA0AF9">
        <w:rPr>
          <w:sz w:val="22"/>
          <w:szCs w:val="22"/>
        </w:rPr>
        <w:t>„</w:t>
      </w:r>
      <w:r w:rsidRPr="00BA0AF9">
        <w:rPr>
          <w:sz w:val="22"/>
          <w:szCs w:val="22"/>
        </w:rPr>
        <w:t>Nežiaduce účinky</w:t>
      </w:r>
      <w:r w:rsidR="00002EF9" w:rsidRPr="00BA0AF9">
        <w:rPr>
          <w:sz w:val="22"/>
          <w:szCs w:val="22"/>
        </w:rPr>
        <w:t>“</w:t>
      </w:r>
      <w:r w:rsidRPr="00BA0AF9">
        <w:rPr>
          <w:sz w:val="22"/>
          <w:szCs w:val="22"/>
        </w:rPr>
        <w:t>, bol</w:t>
      </w:r>
      <w:r w:rsidR="000A41EB" w:rsidRPr="00BA0AF9">
        <w:rPr>
          <w:sz w:val="22"/>
          <w:szCs w:val="22"/>
        </w:rPr>
        <w:t>i</w:t>
      </w:r>
      <w:r w:rsidRPr="00BA0AF9">
        <w:rPr>
          <w:sz w:val="22"/>
          <w:szCs w:val="22"/>
        </w:rPr>
        <w:t xml:space="preserve"> hlásen</w:t>
      </w:r>
      <w:r w:rsidR="000A41EB" w:rsidRPr="00BA0AF9">
        <w:rPr>
          <w:sz w:val="22"/>
          <w:szCs w:val="22"/>
        </w:rPr>
        <w:t>é</w:t>
      </w:r>
      <w:r w:rsidRPr="00BA0AF9">
        <w:rPr>
          <w:sz w:val="22"/>
          <w:szCs w:val="22"/>
        </w:rPr>
        <w:t xml:space="preserve"> horúčka</w:t>
      </w:r>
      <w:r w:rsidR="00002EF9" w:rsidRPr="00BA0AF9">
        <w:rPr>
          <w:sz w:val="22"/>
          <w:szCs w:val="22"/>
        </w:rPr>
        <w:t xml:space="preserve"> a</w:t>
      </w:r>
      <w:r w:rsidRPr="00BA0AF9">
        <w:rPr>
          <w:sz w:val="22"/>
          <w:szCs w:val="22"/>
        </w:rPr>
        <w:t xml:space="preserve"> mimovoľné svalové kontrakcie</w:t>
      </w:r>
      <w:r w:rsidR="00002EF9" w:rsidRPr="00BA0AF9">
        <w:rPr>
          <w:sz w:val="22"/>
          <w:szCs w:val="22"/>
        </w:rPr>
        <w:t xml:space="preserve">. </w:t>
      </w:r>
      <w:r w:rsidRPr="00BA0AF9">
        <w:rPr>
          <w:sz w:val="22"/>
          <w:szCs w:val="22"/>
        </w:rPr>
        <w:t xml:space="preserve">Pacienti sa zvyčajne uzdravili bez závažných následkov, a to aj v prípadoch, keď užili samostatné dávky až do 2000 mg. Zriedkavo boli hlásené nežiaduce </w:t>
      </w:r>
      <w:r w:rsidR="0067287E" w:rsidRPr="00BA0AF9">
        <w:rPr>
          <w:sz w:val="22"/>
          <w:szCs w:val="22"/>
        </w:rPr>
        <w:t>u</w:t>
      </w:r>
      <w:r w:rsidR="00A40F51" w:rsidRPr="00BA0AF9">
        <w:rPr>
          <w:sz w:val="22"/>
          <w:szCs w:val="22"/>
        </w:rPr>
        <w:t xml:space="preserve">dalosti </w:t>
      </w:r>
      <w:r w:rsidRPr="00BA0AF9">
        <w:rPr>
          <w:sz w:val="22"/>
          <w:szCs w:val="22"/>
        </w:rPr>
        <w:t xml:space="preserve">ako kóma alebo zmeny v EKG a veľmi zriedkavo </w:t>
      </w:r>
      <w:r w:rsidR="00D04FDA" w:rsidRPr="00BA0AF9">
        <w:rPr>
          <w:sz w:val="22"/>
          <w:szCs w:val="22"/>
        </w:rPr>
        <w:t>skončili fatálne</w:t>
      </w:r>
      <w:r w:rsidRPr="00BA0AF9">
        <w:rPr>
          <w:sz w:val="22"/>
          <w:szCs w:val="22"/>
        </w:rPr>
        <w:t>, zvyčajne vtedy, keď bol paroxetín užitý spolu s ďalšími psychotropnými liekmi, s alkoholom alebo bez neho.</w:t>
      </w:r>
    </w:p>
    <w:p w14:paraId="24A042A4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33294793" w14:textId="77777777" w:rsidR="00140CF8" w:rsidRPr="00BA0AF9" w:rsidRDefault="00140CF8">
      <w:pPr>
        <w:pStyle w:val="Nadpis6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Liečba</w:t>
      </w:r>
    </w:p>
    <w:p w14:paraId="51AB9C81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Špecifické antidotum nie je známe.</w:t>
      </w:r>
    </w:p>
    <w:p w14:paraId="3F9FF35B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Liečba má pozostávať </w:t>
      </w:r>
      <w:r w:rsidR="00EB06F5" w:rsidRPr="00BA0AF9">
        <w:rPr>
          <w:sz w:val="22"/>
          <w:szCs w:val="22"/>
        </w:rPr>
        <w:t>z</w:t>
      </w:r>
      <w:r w:rsidRPr="00BA0AF9">
        <w:rPr>
          <w:sz w:val="22"/>
          <w:szCs w:val="22"/>
        </w:rPr>
        <w:t xml:space="preserve">o všeobecných opatrení, ktoré sa dodržiavajú v liečbe predávkovania akýmkoľvek antidepresívom. </w:t>
      </w:r>
      <w:r w:rsidR="00F766C2" w:rsidRPr="00BA0AF9">
        <w:rPr>
          <w:sz w:val="22"/>
          <w:szCs w:val="22"/>
        </w:rPr>
        <w:t>Možno zvážiť p</w:t>
      </w:r>
      <w:r w:rsidR="00565D4A" w:rsidRPr="00BA0AF9">
        <w:rPr>
          <w:sz w:val="22"/>
          <w:szCs w:val="22"/>
        </w:rPr>
        <w:t>odanie 20-</w:t>
      </w:r>
      <w:smartTag w:uri="urn:schemas-microsoft-com:office:smarttags" w:element="metricconverter">
        <w:smartTagPr>
          <w:attr w:name="ProductID" w:val="yﾠge2 Ĳ쮬ヴ蔬ポ쭼ヴ渀 쿜ブ쯠&quot; ĉorofaciálnuădoğþ츀&quot;ğ蕘ポ渀 =틬&quot;춰&quot;&#10;Ě쮬ヴ蔬ポ쭼ヴ渀 쿜"/>
        </w:smartTagPr>
        <w:r w:rsidR="00565D4A" w:rsidRPr="00BA0AF9">
          <w:rPr>
            <w:sz w:val="22"/>
            <w:szCs w:val="22"/>
          </w:rPr>
          <w:t>30 g</w:t>
        </w:r>
      </w:smartTag>
      <w:r w:rsidR="00565D4A" w:rsidRPr="00BA0AF9">
        <w:rPr>
          <w:sz w:val="22"/>
          <w:szCs w:val="22"/>
        </w:rPr>
        <w:t xml:space="preserve"> aktívneho uhlia</w:t>
      </w:r>
      <w:r w:rsidR="00F766C2" w:rsidRPr="00BA0AF9">
        <w:rPr>
          <w:sz w:val="22"/>
          <w:szCs w:val="22"/>
        </w:rPr>
        <w:t>,</w:t>
      </w:r>
      <w:r w:rsidR="00565D4A" w:rsidRPr="00BA0AF9">
        <w:rPr>
          <w:sz w:val="22"/>
          <w:szCs w:val="22"/>
        </w:rPr>
        <w:t xml:space="preserve"> </w:t>
      </w:r>
      <w:r w:rsidR="002B61F7" w:rsidRPr="00BA0AF9">
        <w:rPr>
          <w:sz w:val="22"/>
          <w:szCs w:val="22"/>
        </w:rPr>
        <w:t>ak je možné</w:t>
      </w:r>
      <w:r w:rsidR="00F766C2" w:rsidRPr="00BA0AF9">
        <w:rPr>
          <w:sz w:val="22"/>
          <w:szCs w:val="22"/>
        </w:rPr>
        <w:t>,</w:t>
      </w:r>
      <w:r w:rsidR="00565D4A" w:rsidRPr="00BA0AF9">
        <w:rPr>
          <w:sz w:val="22"/>
          <w:szCs w:val="22"/>
        </w:rPr>
        <w:t xml:space="preserve"> v priebehu niekoľkých hodín po</w:t>
      </w:r>
      <w:r w:rsidR="00635630" w:rsidRPr="00BA0AF9">
        <w:rPr>
          <w:sz w:val="22"/>
          <w:szCs w:val="22"/>
        </w:rPr>
        <w:t xml:space="preserve"> </w:t>
      </w:r>
      <w:r w:rsidR="00292992" w:rsidRPr="00BA0AF9">
        <w:rPr>
          <w:sz w:val="22"/>
          <w:szCs w:val="22"/>
        </w:rPr>
        <w:t>predávkovaní</w:t>
      </w:r>
      <w:r w:rsidR="002B61F7" w:rsidRPr="00BA0AF9">
        <w:rPr>
          <w:sz w:val="22"/>
          <w:szCs w:val="22"/>
        </w:rPr>
        <w:t>, aby sa znížila</w:t>
      </w:r>
      <w:r w:rsidR="00635630" w:rsidRPr="00BA0AF9">
        <w:rPr>
          <w:sz w:val="22"/>
          <w:szCs w:val="22"/>
        </w:rPr>
        <w:t xml:space="preserve"> absorpci</w:t>
      </w:r>
      <w:r w:rsidR="002B61F7" w:rsidRPr="00BA0AF9">
        <w:rPr>
          <w:sz w:val="22"/>
          <w:szCs w:val="22"/>
        </w:rPr>
        <w:t>a</w:t>
      </w:r>
      <w:r w:rsidR="00635630" w:rsidRPr="00BA0AF9">
        <w:rPr>
          <w:sz w:val="22"/>
          <w:szCs w:val="22"/>
        </w:rPr>
        <w:t xml:space="preserve"> paroxetínu. </w:t>
      </w:r>
      <w:r w:rsidRPr="00BA0AF9">
        <w:rPr>
          <w:sz w:val="22"/>
          <w:szCs w:val="22"/>
        </w:rPr>
        <w:t>Indikovaná je podporná starostlivosť s častým monitorovaním známo</w:t>
      </w:r>
      <w:r w:rsidR="005C11AF" w:rsidRPr="00BA0AF9">
        <w:rPr>
          <w:sz w:val="22"/>
          <w:szCs w:val="22"/>
        </w:rPr>
        <w:t>k života a pozorným sledovaním.</w:t>
      </w:r>
      <w:r w:rsidR="00635630" w:rsidRPr="00BA0AF9">
        <w:rPr>
          <w:sz w:val="22"/>
          <w:szCs w:val="22"/>
        </w:rPr>
        <w:t xml:space="preserve"> </w:t>
      </w:r>
      <w:r w:rsidR="000A41EB" w:rsidRPr="00BA0AF9">
        <w:rPr>
          <w:sz w:val="22"/>
          <w:szCs w:val="22"/>
        </w:rPr>
        <w:t>Starostlivosť o</w:t>
      </w:r>
      <w:r w:rsidR="00A460F9" w:rsidRPr="00BA0AF9">
        <w:rPr>
          <w:sz w:val="22"/>
          <w:szCs w:val="22"/>
        </w:rPr>
        <w:t xml:space="preserve"> pacienta m</w:t>
      </w:r>
      <w:r w:rsidR="000A41EB" w:rsidRPr="00BA0AF9">
        <w:rPr>
          <w:sz w:val="22"/>
          <w:szCs w:val="22"/>
        </w:rPr>
        <w:t>á</w:t>
      </w:r>
      <w:r w:rsidR="00A460F9" w:rsidRPr="00BA0AF9">
        <w:rPr>
          <w:sz w:val="22"/>
          <w:szCs w:val="22"/>
        </w:rPr>
        <w:t xml:space="preserve"> byť</w:t>
      </w:r>
      <w:r w:rsidR="00292992" w:rsidRPr="00BA0AF9">
        <w:rPr>
          <w:sz w:val="22"/>
          <w:szCs w:val="22"/>
        </w:rPr>
        <w:t xml:space="preserve"> podľa klinického stavu</w:t>
      </w:r>
      <w:r w:rsidR="00A460F9" w:rsidRPr="00BA0AF9">
        <w:rPr>
          <w:sz w:val="22"/>
          <w:szCs w:val="22"/>
        </w:rPr>
        <w:t>.</w:t>
      </w:r>
    </w:p>
    <w:p w14:paraId="7647B283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37983E3B" w14:textId="77777777" w:rsidR="00EB1089" w:rsidRPr="00BA0AF9" w:rsidRDefault="00EB1089">
      <w:pPr>
        <w:spacing w:line="260" w:lineRule="exact"/>
        <w:rPr>
          <w:sz w:val="22"/>
          <w:szCs w:val="22"/>
        </w:rPr>
      </w:pPr>
    </w:p>
    <w:p w14:paraId="669833F9" w14:textId="77777777" w:rsidR="00140CF8" w:rsidRPr="00BA0AF9" w:rsidRDefault="00140CF8" w:rsidP="001069D0">
      <w:pPr>
        <w:keepNext/>
        <w:spacing w:line="260" w:lineRule="exact"/>
        <w:ind w:left="567" w:hanging="567"/>
        <w:rPr>
          <w:b/>
          <w:caps/>
          <w:sz w:val="22"/>
          <w:szCs w:val="22"/>
        </w:rPr>
      </w:pPr>
      <w:r w:rsidRPr="00BA0AF9">
        <w:rPr>
          <w:b/>
          <w:caps/>
          <w:sz w:val="22"/>
          <w:szCs w:val="22"/>
        </w:rPr>
        <w:t>5.</w:t>
      </w:r>
      <w:r w:rsidRPr="00BA0AF9">
        <w:rPr>
          <w:b/>
          <w:caps/>
          <w:sz w:val="22"/>
          <w:szCs w:val="22"/>
        </w:rPr>
        <w:tab/>
        <w:t>Farmakologické vlastnosti</w:t>
      </w:r>
    </w:p>
    <w:p w14:paraId="780ECFCA" w14:textId="77777777" w:rsidR="00140CF8" w:rsidRPr="00BA0AF9" w:rsidRDefault="00140CF8" w:rsidP="001069D0">
      <w:pPr>
        <w:keepNext/>
        <w:spacing w:line="260" w:lineRule="exact"/>
        <w:rPr>
          <w:sz w:val="22"/>
          <w:szCs w:val="22"/>
        </w:rPr>
      </w:pPr>
    </w:p>
    <w:p w14:paraId="6B466DA5" w14:textId="77777777" w:rsidR="00140CF8" w:rsidRPr="00BA0AF9" w:rsidRDefault="00140CF8" w:rsidP="001069D0">
      <w:pPr>
        <w:keepNext/>
        <w:spacing w:line="260" w:lineRule="exact"/>
        <w:ind w:left="567" w:hanging="567"/>
        <w:rPr>
          <w:sz w:val="22"/>
          <w:szCs w:val="22"/>
        </w:rPr>
      </w:pPr>
      <w:r w:rsidRPr="00BA0AF9">
        <w:rPr>
          <w:b/>
          <w:sz w:val="22"/>
          <w:szCs w:val="22"/>
        </w:rPr>
        <w:t>5.1</w:t>
      </w:r>
      <w:r w:rsidRPr="00BA0AF9">
        <w:rPr>
          <w:b/>
          <w:sz w:val="22"/>
          <w:szCs w:val="22"/>
        </w:rPr>
        <w:tab/>
        <w:t>Farmakodynamické vlastnosti</w:t>
      </w:r>
    </w:p>
    <w:p w14:paraId="07E93720" w14:textId="77777777" w:rsidR="00140CF8" w:rsidRPr="00BA0AF9" w:rsidRDefault="00140CF8" w:rsidP="001069D0">
      <w:pPr>
        <w:keepNext/>
        <w:spacing w:line="260" w:lineRule="exact"/>
        <w:rPr>
          <w:sz w:val="22"/>
          <w:szCs w:val="22"/>
        </w:rPr>
      </w:pPr>
    </w:p>
    <w:p w14:paraId="18F4748F" w14:textId="77777777" w:rsidR="00140CF8" w:rsidRPr="00BA0AF9" w:rsidRDefault="00140CF8" w:rsidP="001069D0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Farmakoterapeutická skupina: Antidepresíva – selektívne inhibítory spätného vychytávania </w:t>
      </w:r>
      <w:r w:rsidR="00AC42D8" w:rsidRPr="00BA0AF9">
        <w:rPr>
          <w:sz w:val="22"/>
          <w:szCs w:val="22"/>
        </w:rPr>
        <w:t>séroton</w:t>
      </w:r>
      <w:r w:rsidRPr="00BA0AF9">
        <w:rPr>
          <w:sz w:val="22"/>
          <w:szCs w:val="22"/>
        </w:rPr>
        <w:t>ínu. ATC kód: N06AB05.</w:t>
      </w:r>
    </w:p>
    <w:p w14:paraId="752852AF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26F90161" w14:textId="77777777" w:rsidR="00140CF8" w:rsidRPr="00BA0AF9" w:rsidRDefault="00140CF8" w:rsidP="000072D4">
      <w:pPr>
        <w:keepNext/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Mechanizmus účinku</w:t>
      </w:r>
    </w:p>
    <w:p w14:paraId="39B6BF2E" w14:textId="77777777" w:rsidR="00140CF8" w:rsidRPr="00BA0AF9" w:rsidRDefault="00140CF8" w:rsidP="000072D4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Paroxetín je účinný a selektívny inhibítor spätného vychytávania 5-hydroxytryptamínu (5-HT, </w:t>
      </w:r>
      <w:r w:rsidR="00AC42D8" w:rsidRPr="00BA0AF9">
        <w:rPr>
          <w:sz w:val="22"/>
          <w:szCs w:val="22"/>
        </w:rPr>
        <w:t>séroton</w:t>
      </w:r>
      <w:r w:rsidRPr="00BA0AF9">
        <w:rPr>
          <w:sz w:val="22"/>
          <w:szCs w:val="22"/>
        </w:rPr>
        <w:t>ínu) a predpokladá sa, že jeho antidepresívny účinok a účinnosť v liečbe OCD, sociálnej úzkosti/sociálnej fóbie, generalizovanej úzkostnej poruchy, posttraumatickej stresovej poruchy a panickej poruchy súvisí práve so špecifickou inhibíciou spätného vychytávania 5-HT na synaptických membránach mozgových neurónov.</w:t>
      </w:r>
    </w:p>
    <w:p w14:paraId="32D1127E" w14:textId="77777777" w:rsidR="00140CF8" w:rsidRPr="00BA0AF9" w:rsidRDefault="00140CF8" w:rsidP="000072D4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Paroxetín nie je chemicky príbuzný s tricyklickými alebo tetracyklickými antidepresívami, ani s </w:t>
      </w:r>
      <w:r w:rsidR="0067287E" w:rsidRPr="00BA0AF9">
        <w:rPr>
          <w:sz w:val="22"/>
          <w:szCs w:val="22"/>
        </w:rPr>
        <w:t xml:space="preserve">inými dostupnými </w:t>
      </w:r>
      <w:r w:rsidRPr="00BA0AF9">
        <w:rPr>
          <w:sz w:val="22"/>
          <w:szCs w:val="22"/>
        </w:rPr>
        <w:t>antidepresív</w:t>
      </w:r>
      <w:r w:rsidR="0067287E" w:rsidRPr="00BA0AF9">
        <w:rPr>
          <w:sz w:val="22"/>
          <w:szCs w:val="22"/>
        </w:rPr>
        <w:t>ami</w:t>
      </w:r>
      <w:r w:rsidRPr="00BA0AF9">
        <w:rPr>
          <w:sz w:val="22"/>
          <w:szCs w:val="22"/>
        </w:rPr>
        <w:t>.</w:t>
      </w:r>
    </w:p>
    <w:p w14:paraId="19BF29E4" w14:textId="77777777" w:rsidR="00140CF8" w:rsidRPr="00BA0AF9" w:rsidRDefault="00140CF8" w:rsidP="000072D4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Paroxetín má nízku afinitu k muskarínovým cholínergným receptorom a štúdie na zvieratách zistili iba slabé anticholínergné vlastnosti.</w:t>
      </w:r>
    </w:p>
    <w:p w14:paraId="55B6D98E" w14:textId="77777777" w:rsidR="00140CF8" w:rsidRPr="00BA0AF9" w:rsidRDefault="00140CF8" w:rsidP="000072D4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V zhode s týmto selektívnym účinkom štúdie uskutočňované </w:t>
      </w:r>
      <w:r w:rsidRPr="00BA0AF9">
        <w:rPr>
          <w:i/>
          <w:sz w:val="22"/>
          <w:szCs w:val="22"/>
        </w:rPr>
        <w:t xml:space="preserve">in vitro </w:t>
      </w:r>
      <w:r w:rsidRPr="00BA0AF9">
        <w:rPr>
          <w:sz w:val="22"/>
          <w:szCs w:val="22"/>
        </w:rPr>
        <w:t xml:space="preserve">ukazujú, že paroxetín má na rozdiel od tricyklických antidepresív nízku afinitu k alfa1-, alfa 2- a beta-adrenergným receptorom a ďalej k dopamínovým (D2), rôznym 5-HT1, 5-HT2 a histamínovým (H1) receptorom. Tomu, že neexistujú interakcie s postsynaptickými receptormi </w:t>
      </w:r>
      <w:r w:rsidRPr="00BA0AF9">
        <w:rPr>
          <w:i/>
          <w:sz w:val="22"/>
          <w:szCs w:val="22"/>
        </w:rPr>
        <w:t>in vitro</w:t>
      </w:r>
      <w:r w:rsidRPr="00BA0AF9">
        <w:rPr>
          <w:sz w:val="22"/>
          <w:szCs w:val="22"/>
        </w:rPr>
        <w:t xml:space="preserve">, zodpovedajú i výsledky štúdií </w:t>
      </w:r>
      <w:r w:rsidRPr="00BA0AF9">
        <w:rPr>
          <w:i/>
          <w:sz w:val="22"/>
          <w:szCs w:val="22"/>
        </w:rPr>
        <w:t>in vivo</w:t>
      </w:r>
      <w:r w:rsidRPr="00BA0AF9">
        <w:rPr>
          <w:sz w:val="22"/>
          <w:szCs w:val="22"/>
        </w:rPr>
        <w:t>, pri ktorých nedochádza k útlmu CNS ani k hypotenzívnemu účinku.</w:t>
      </w:r>
    </w:p>
    <w:p w14:paraId="62C51299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3D6754A5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Farmakodynamické účinky</w:t>
      </w:r>
    </w:p>
    <w:p w14:paraId="40270858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Paroxetín neovplyvňuje psychomotorické funkcie a nepoten</w:t>
      </w:r>
      <w:r w:rsidR="005C11AF" w:rsidRPr="00BA0AF9">
        <w:rPr>
          <w:sz w:val="22"/>
          <w:szCs w:val="22"/>
        </w:rPr>
        <w:t>c</w:t>
      </w:r>
      <w:r w:rsidR="0067287E" w:rsidRPr="00BA0AF9">
        <w:rPr>
          <w:sz w:val="22"/>
          <w:szCs w:val="22"/>
        </w:rPr>
        <w:t>i</w:t>
      </w:r>
      <w:r w:rsidR="005C11AF" w:rsidRPr="00BA0AF9">
        <w:rPr>
          <w:sz w:val="22"/>
          <w:szCs w:val="22"/>
        </w:rPr>
        <w:t xml:space="preserve">uje depresívny účinok </w:t>
      </w:r>
      <w:r w:rsidR="001D62DB" w:rsidRPr="00BA0AF9">
        <w:rPr>
          <w:sz w:val="22"/>
          <w:szCs w:val="22"/>
        </w:rPr>
        <w:t>alkoh</w:t>
      </w:r>
      <w:r w:rsidR="005C11AF" w:rsidRPr="00BA0AF9">
        <w:rPr>
          <w:sz w:val="22"/>
          <w:szCs w:val="22"/>
        </w:rPr>
        <w:t>olu.</w:t>
      </w:r>
    </w:p>
    <w:p w14:paraId="3477FFF8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Tak ako u ostatných selektívnych inhibítorov spätného vychytávania 5-HT, paroxetín spôsobuje príznaky nadmernej stimulácie 5-HT receptorov, keď sa podá zvieratám, ktorým boli predtým podané inhibítory monoamin</w:t>
      </w:r>
      <w:r w:rsidR="005C11AF" w:rsidRPr="00BA0AF9">
        <w:rPr>
          <w:sz w:val="22"/>
          <w:szCs w:val="22"/>
        </w:rPr>
        <w:t>ooxidázy (MAO) alebo tryptofán.</w:t>
      </w:r>
    </w:p>
    <w:p w14:paraId="7AA3AB6D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Behaviorálne a EEG štúdie naznačujú, že paroxetín má v dávke, ktorá zvyčajne prevyšuje dávky potrebné pre inhibíciu spätného vychytávania 5-HT, slabý stimulačný účinok. Stimulácia nie je amfetamínovej povahy.</w:t>
      </w:r>
    </w:p>
    <w:p w14:paraId="73F468BC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lastRenderedPageBreak/>
        <w:t>Na základe štúdií na zvieratách sa preukázalo, že kardiovaskulárny systém znáša paroxetín dobre. Paroxetín nevyvoláva po podaní zdravým dobrovoľníkom žiadne klinicky významné zmeny krvného tlaku, tepovej frekvencie ani EKG.</w:t>
      </w:r>
    </w:p>
    <w:p w14:paraId="0262E31F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Štúdie svedčia o tom, že paroxetín má na rozdiel od antidepresív, ktoré inhibujú spätné vychytávanie noradrenalínu, omnoho menšiu tendenciu inhibovať antihypertenzívne účinky guanetidínu.</w:t>
      </w:r>
    </w:p>
    <w:p w14:paraId="26AFC241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V liečbe depresívnych porúch je účinnosť paroxetínu porovnateľná so štandardnými antidepresívami.</w:t>
      </w:r>
    </w:p>
    <w:p w14:paraId="3FBBEE9D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Existujú určité dôkazy o tom, že paroxetín môže byť terapeuticky úspešný i u pacientov, ktorí na liečbu štandard</w:t>
      </w:r>
      <w:r w:rsidR="005C11AF" w:rsidRPr="00BA0AF9">
        <w:rPr>
          <w:sz w:val="22"/>
          <w:szCs w:val="22"/>
        </w:rPr>
        <w:t>nými antidepresívami nereagujú.</w:t>
      </w:r>
    </w:p>
    <w:p w14:paraId="27BDD3F4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Ranné užívanie paroxetínu nemá negatívny vplyv na kvalitu ani na dĺžku spánku. Okrem toho je pravdepodobné, že pri reagovaní na liečbu pacienti spozorujú zlepšenie spánku.</w:t>
      </w:r>
    </w:p>
    <w:p w14:paraId="38790617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15EB8104" w14:textId="77777777" w:rsidR="00E168EA" w:rsidRPr="00BA0AF9" w:rsidRDefault="00E168EA" w:rsidP="00E168EA">
      <w:pPr>
        <w:tabs>
          <w:tab w:val="left" w:pos="567"/>
        </w:tabs>
        <w:rPr>
          <w:b/>
          <w:sz w:val="22"/>
          <w:szCs w:val="22"/>
          <w:lang w:eastAsia="en-US"/>
        </w:rPr>
      </w:pPr>
      <w:r w:rsidRPr="00BA0AF9">
        <w:rPr>
          <w:b/>
          <w:sz w:val="22"/>
          <w:szCs w:val="22"/>
          <w:lang w:eastAsia="en-US"/>
        </w:rPr>
        <w:t xml:space="preserve">Analýza </w:t>
      </w:r>
      <w:r w:rsidR="00CE38BB" w:rsidRPr="00BA0AF9">
        <w:rPr>
          <w:b/>
          <w:sz w:val="22"/>
          <w:szCs w:val="22"/>
          <w:lang w:eastAsia="en-US"/>
        </w:rPr>
        <w:t xml:space="preserve">samovražedného správania </w:t>
      </w:r>
      <w:r w:rsidRPr="00BA0AF9">
        <w:rPr>
          <w:b/>
          <w:sz w:val="22"/>
          <w:szCs w:val="22"/>
          <w:lang w:eastAsia="en-US"/>
        </w:rPr>
        <w:t>u dospelých</w:t>
      </w:r>
    </w:p>
    <w:p w14:paraId="06C13612" w14:textId="77777777" w:rsidR="00E168EA" w:rsidRPr="00BA0AF9" w:rsidRDefault="00E168EA" w:rsidP="00E168EA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Analýza placebom kontrolovaných </w:t>
      </w:r>
      <w:r w:rsidR="00A460F9" w:rsidRPr="00BA0AF9">
        <w:rPr>
          <w:sz w:val="22"/>
          <w:szCs w:val="22"/>
        </w:rPr>
        <w:t>skúš</w:t>
      </w:r>
      <w:r w:rsidR="000270CA" w:rsidRPr="00BA0AF9">
        <w:rPr>
          <w:sz w:val="22"/>
          <w:szCs w:val="22"/>
        </w:rPr>
        <w:t>aní</w:t>
      </w:r>
      <w:r w:rsidR="00600649" w:rsidRPr="00BA0AF9">
        <w:rPr>
          <w:sz w:val="22"/>
          <w:szCs w:val="22"/>
        </w:rPr>
        <w:t xml:space="preserve"> </w:t>
      </w:r>
      <w:r w:rsidRPr="00BA0AF9">
        <w:rPr>
          <w:sz w:val="22"/>
          <w:szCs w:val="22"/>
        </w:rPr>
        <w:t>u dospelých s psychiatrickými poruchami špecificky zameraná na paroxetín ukázala zvýšenie výskytu samovražedného správania u mladých dospelých (vo veku 18</w:t>
      </w:r>
      <w:r w:rsidR="004D1435" w:rsidRPr="00BA0AF9">
        <w:rPr>
          <w:sz w:val="22"/>
          <w:szCs w:val="22"/>
        </w:rPr>
        <w:t xml:space="preserve"> – </w:t>
      </w:r>
      <w:r w:rsidRPr="00BA0AF9">
        <w:rPr>
          <w:sz w:val="22"/>
          <w:szCs w:val="22"/>
        </w:rPr>
        <w:t>24 rokov) liečených paroxetínom oproti liečbe placebom (2,19</w:t>
      </w:r>
      <w:r w:rsidR="00D10209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 oproti 0,92</w:t>
      </w:r>
      <w:r w:rsidR="00F3079E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%). V starších vekových skupinách nebolo takéto zvýšenie pozorované. U dospelých s</w:t>
      </w:r>
      <w:r w:rsidR="00A5601C" w:rsidRPr="00BA0AF9">
        <w:rPr>
          <w:sz w:val="22"/>
          <w:szCs w:val="22"/>
        </w:rPr>
        <w:t xml:space="preserve"> veľkou </w:t>
      </w:r>
      <w:r w:rsidRPr="00BA0AF9">
        <w:rPr>
          <w:sz w:val="22"/>
          <w:szCs w:val="22"/>
        </w:rPr>
        <w:t>depresívnou poruchou (všetkých vekových skupín) došlo k zvýšeniu výskytu samovražedného správania u pacientov liečených paroxetínom oproti liečbe placebom (0,32</w:t>
      </w:r>
      <w:r w:rsidR="00F3079E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 oproti 0,05</w:t>
      </w:r>
      <w:r w:rsidR="00F3079E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%); vo všetkých prípadoch sa jednalo o pokusy o samovraždu. U pacientov liečených paroxetínom sa však väčšina týchto pokusov o</w:t>
      </w:r>
      <w:r w:rsidR="00964ADD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samovraždu</w:t>
      </w:r>
      <w:r w:rsidR="00964ADD" w:rsidRPr="00BA0AF9">
        <w:rPr>
          <w:sz w:val="22"/>
          <w:szCs w:val="22"/>
        </w:rPr>
        <w:t xml:space="preserve"> (8 z 1</w:t>
      </w:r>
      <w:r w:rsidR="00247615" w:rsidRPr="00BA0AF9">
        <w:rPr>
          <w:sz w:val="22"/>
          <w:szCs w:val="22"/>
        </w:rPr>
        <w:t>1</w:t>
      </w:r>
      <w:r w:rsidR="00964ADD" w:rsidRPr="00BA0AF9">
        <w:rPr>
          <w:sz w:val="22"/>
          <w:szCs w:val="22"/>
        </w:rPr>
        <w:t>)</w:t>
      </w:r>
      <w:r w:rsidRPr="00BA0AF9">
        <w:rPr>
          <w:sz w:val="22"/>
          <w:szCs w:val="22"/>
        </w:rPr>
        <w:t xml:space="preserve"> vyskytla u mladších dospelých (pozri aj časť</w:t>
      </w:r>
      <w:r w:rsidR="00002EF9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4.4).</w:t>
      </w:r>
    </w:p>
    <w:p w14:paraId="3D440C2F" w14:textId="77777777" w:rsidR="00E168EA" w:rsidRPr="00BA0AF9" w:rsidRDefault="00E168EA" w:rsidP="00E168EA">
      <w:pPr>
        <w:spacing w:line="260" w:lineRule="exact"/>
        <w:rPr>
          <w:sz w:val="22"/>
          <w:szCs w:val="22"/>
        </w:rPr>
      </w:pPr>
    </w:p>
    <w:p w14:paraId="76943107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Odpoveď na dávku</w:t>
      </w:r>
    </w:p>
    <w:p w14:paraId="2E29BE19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V štúdiách fixnej dávky </w:t>
      </w:r>
      <w:r w:rsidR="00E50836" w:rsidRPr="00BA0AF9">
        <w:rPr>
          <w:sz w:val="22"/>
          <w:szCs w:val="22"/>
        </w:rPr>
        <w:t xml:space="preserve">je </w:t>
      </w:r>
      <w:r w:rsidRPr="00BA0AF9">
        <w:rPr>
          <w:sz w:val="22"/>
          <w:szCs w:val="22"/>
        </w:rPr>
        <w:t>krivka odpovede na dávku plochá, čo svedčí o tom, že neexistuje výhoda týkajúca sa účinnosti pre používanie vyšších ako odporúčaných dávok. Existujú však niektoré klinické údaje, ktoré svedčia o tom, že pre niektorých pacientov môže byť prínosná titrácia dávky smerom nahor.</w:t>
      </w:r>
    </w:p>
    <w:p w14:paraId="126E95EF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377AA4ED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Dlhodobá účinnosť</w:t>
      </w:r>
    </w:p>
    <w:p w14:paraId="7715ED4A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Dlhodobá účinnosť paroxetínu </w:t>
      </w:r>
      <w:r w:rsidR="00B25BAA" w:rsidRPr="00BA0AF9">
        <w:rPr>
          <w:sz w:val="22"/>
          <w:szCs w:val="22"/>
        </w:rPr>
        <w:t>pri liečbe</w:t>
      </w:r>
      <w:r w:rsidRPr="00BA0AF9">
        <w:rPr>
          <w:sz w:val="22"/>
          <w:szCs w:val="22"/>
        </w:rPr>
        <w:t> depresie bola preukázaná v</w:t>
      </w:r>
      <w:r w:rsidR="005C11AF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52</w:t>
      </w:r>
      <w:r w:rsidR="005C11AF" w:rsidRPr="00BA0AF9">
        <w:rPr>
          <w:sz w:val="22"/>
          <w:szCs w:val="22"/>
        </w:rPr>
        <w:noBreakHyphen/>
      </w:r>
      <w:r w:rsidRPr="00BA0AF9">
        <w:rPr>
          <w:sz w:val="22"/>
          <w:szCs w:val="22"/>
        </w:rPr>
        <w:t>týždňovej štúdii udržiavacej dávky s koncepciou prevencie relapsu: relaps malo 12</w:t>
      </w:r>
      <w:r w:rsidR="00965A6E" w:rsidRPr="00BA0AF9">
        <w:rPr>
          <w:sz w:val="22"/>
          <w:szCs w:val="22"/>
        </w:rPr>
        <w:t xml:space="preserve"> </w:t>
      </w:r>
      <w:r w:rsidRPr="00BA0AF9">
        <w:rPr>
          <w:sz w:val="22"/>
          <w:szCs w:val="22"/>
        </w:rPr>
        <w:t>% pacientov užívajúcich paroxetín (20</w:t>
      </w:r>
      <w:r w:rsidR="00965A6E" w:rsidRPr="00BA0AF9">
        <w:rPr>
          <w:sz w:val="22"/>
          <w:szCs w:val="22"/>
        </w:rPr>
        <w:t xml:space="preserve"> – </w:t>
      </w:r>
      <w:r w:rsidRPr="00BA0AF9">
        <w:rPr>
          <w:sz w:val="22"/>
          <w:szCs w:val="22"/>
        </w:rPr>
        <w:t>40</w:t>
      </w:r>
      <w:r w:rsidR="005C11AF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denne) o</w:t>
      </w:r>
      <w:r w:rsidR="005C11AF" w:rsidRPr="00BA0AF9">
        <w:rPr>
          <w:sz w:val="22"/>
          <w:szCs w:val="22"/>
        </w:rPr>
        <w:t>proti 28</w:t>
      </w:r>
      <w:r w:rsidR="00105807" w:rsidRPr="00BA0AF9">
        <w:rPr>
          <w:sz w:val="22"/>
          <w:szCs w:val="22"/>
        </w:rPr>
        <w:t> </w:t>
      </w:r>
      <w:r w:rsidR="005C11AF" w:rsidRPr="00BA0AF9">
        <w:rPr>
          <w:sz w:val="22"/>
          <w:szCs w:val="22"/>
        </w:rPr>
        <w:t>% pacientov na placebe.</w:t>
      </w:r>
    </w:p>
    <w:p w14:paraId="1F3D1DE1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06B00D18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Dlhodobá účinnosť paroxetínu v liečbe obsedantno-kompulzívnej poruchy bola preskúmaná v troch 24-týždňových štúdiách udržiavacej dávky s koncepciou prevencie relapsu. Jedna z troch štúdii dosiahl</w:t>
      </w:r>
      <w:r w:rsidR="00993613" w:rsidRPr="00BA0AF9">
        <w:rPr>
          <w:sz w:val="22"/>
          <w:szCs w:val="22"/>
        </w:rPr>
        <w:t>a</w:t>
      </w:r>
      <w:r w:rsidRPr="00BA0AF9">
        <w:rPr>
          <w:sz w:val="22"/>
          <w:szCs w:val="22"/>
        </w:rPr>
        <w:t xml:space="preserve"> významný rozdiel v podiele jedincov s relapsom medzi paroxetínom (38</w:t>
      </w:r>
      <w:r w:rsidR="00105807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%) oproti placebu (59</w:t>
      </w:r>
      <w:r w:rsidR="00105807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%).</w:t>
      </w:r>
    </w:p>
    <w:p w14:paraId="2AF308B8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48A23AC2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Dlhodobá účinnosť paroxetínu v liečbe panickej poruchy bola preukázaná v</w:t>
      </w:r>
      <w:r w:rsidR="005C11AF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24</w:t>
      </w:r>
      <w:r w:rsidR="005C11AF" w:rsidRPr="00BA0AF9">
        <w:rPr>
          <w:sz w:val="22"/>
          <w:szCs w:val="22"/>
        </w:rPr>
        <w:noBreakHyphen/>
      </w:r>
      <w:r w:rsidRPr="00BA0AF9">
        <w:rPr>
          <w:sz w:val="22"/>
          <w:szCs w:val="22"/>
        </w:rPr>
        <w:t>týždňovej štúdii udržiavacej dávky s koncepciou prevencie relapsu: relaps malo 5</w:t>
      </w:r>
      <w:r w:rsidR="00105807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 pacientov užívajúcich paroxetín (10</w:t>
      </w:r>
      <w:r w:rsidR="00C314B2" w:rsidRPr="00BA0AF9">
        <w:rPr>
          <w:sz w:val="22"/>
          <w:szCs w:val="22"/>
        </w:rPr>
        <w:t xml:space="preserve"> – </w:t>
      </w:r>
      <w:r w:rsidRPr="00BA0AF9">
        <w:rPr>
          <w:sz w:val="22"/>
          <w:szCs w:val="22"/>
        </w:rPr>
        <w:t>40</w:t>
      </w:r>
      <w:r w:rsidR="005C11AF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 denne) oproti 30</w:t>
      </w:r>
      <w:r w:rsidR="00105807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 pacientov na placebe. Táto bola podporená 36</w:t>
      </w:r>
      <w:r w:rsidR="005C11AF" w:rsidRPr="00BA0AF9">
        <w:rPr>
          <w:sz w:val="22"/>
          <w:szCs w:val="22"/>
        </w:rPr>
        <w:noBreakHyphen/>
      </w:r>
      <w:r w:rsidRPr="00BA0AF9">
        <w:rPr>
          <w:sz w:val="22"/>
          <w:szCs w:val="22"/>
        </w:rPr>
        <w:t>týždňovou štúdiou udržiavacej dávky.</w:t>
      </w:r>
    </w:p>
    <w:p w14:paraId="12B4FBFF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44341F1B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Dlhodobá účinnosť paroxetínu v liečbe sociálnej úzkosti a generalizovanej úzkostnej poruchy a</w:t>
      </w:r>
      <w:r w:rsidR="00F3079E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posttraumatickej stresovej poruchy nebola dostatočne preukázaná.</w:t>
      </w:r>
    </w:p>
    <w:p w14:paraId="1E9A34DD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1CEAC4E6" w14:textId="77777777" w:rsidR="00CE7510" w:rsidRPr="00BA0AF9" w:rsidRDefault="00CE7510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Nežiaduce účinky získané z pediatrických klinických skúšaní</w:t>
      </w:r>
    </w:p>
    <w:p w14:paraId="75907163" w14:textId="77777777" w:rsidR="00CE7510" w:rsidRPr="00BA0AF9" w:rsidRDefault="00292992" w:rsidP="00CE7510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V krátkodobých (</w:t>
      </w:r>
      <w:r w:rsidR="00CE7510" w:rsidRPr="00BA0AF9">
        <w:rPr>
          <w:rFonts w:ascii="Times New Roman" w:hAnsi="Times New Roman"/>
          <w:color w:val="auto"/>
          <w:sz w:val="22"/>
          <w:szCs w:val="22"/>
        </w:rPr>
        <w:t>do 10</w:t>
      </w:r>
      <w:r w:rsidR="00CE7510" w:rsidRPr="00BA0AF9">
        <w:rPr>
          <w:rFonts w:ascii="Times New Roman" w:hAnsi="Times New Roman"/>
          <w:color w:val="auto"/>
          <w:sz w:val="22"/>
          <w:szCs w:val="22"/>
        </w:rPr>
        <w:noBreakHyphen/>
        <w:t>12 týždňov) pediatrických klinický</w:t>
      </w:r>
      <w:r w:rsidR="00AD53A6" w:rsidRPr="00BA0AF9">
        <w:rPr>
          <w:rFonts w:ascii="Times New Roman" w:hAnsi="Times New Roman"/>
          <w:color w:val="auto"/>
          <w:sz w:val="22"/>
          <w:szCs w:val="22"/>
        </w:rPr>
        <w:t>ch skúšaniach</w:t>
      </w:r>
      <w:r w:rsidRPr="00BA0AF9">
        <w:rPr>
          <w:rFonts w:ascii="Times New Roman" w:hAnsi="Times New Roman"/>
          <w:color w:val="auto"/>
          <w:sz w:val="22"/>
          <w:szCs w:val="22"/>
        </w:rPr>
        <w:t xml:space="preserve"> u detí a </w:t>
      </w:r>
      <w:r w:rsidR="000270CA" w:rsidRPr="00BA0AF9">
        <w:rPr>
          <w:rFonts w:ascii="Times New Roman" w:hAnsi="Times New Roman"/>
          <w:color w:val="auto"/>
          <w:sz w:val="22"/>
          <w:szCs w:val="22"/>
        </w:rPr>
        <w:t>dospievajúcich</w:t>
      </w:r>
      <w:r w:rsidR="00CE7510" w:rsidRPr="00BA0AF9">
        <w:rPr>
          <w:rFonts w:ascii="Times New Roman" w:hAnsi="Times New Roman"/>
          <w:color w:val="auto"/>
          <w:sz w:val="22"/>
          <w:szCs w:val="22"/>
        </w:rPr>
        <w:t xml:space="preserve"> boli u pacientov liečených paroxetínom pozorované nasledujúce nežiaduce udalosti s frekvenciou najmenej u 2 % pacientov a výskytom v pomere najmenej dvojnásobnom voči placebu: zvýšená miera správania spojeného so samovraždou (zahŕňajúca pokusy o samovraždu a samovražedné myšlienky), sebapoškodzujúce správanie a zvýšená miera nepriateľstva. Samovražedné</w:t>
      </w:r>
      <w:r w:rsidR="00BF5172" w:rsidRPr="00BA0AF9">
        <w:rPr>
          <w:rFonts w:ascii="Times New Roman" w:hAnsi="Times New Roman"/>
          <w:color w:val="auto"/>
          <w:sz w:val="22"/>
          <w:szCs w:val="22"/>
        </w:rPr>
        <w:t xml:space="preserve"> myšlienky a pokusy o samovraždy</w:t>
      </w:r>
      <w:r w:rsidR="00CE7510" w:rsidRPr="00BA0AF9">
        <w:rPr>
          <w:rFonts w:ascii="Times New Roman" w:hAnsi="Times New Roman"/>
          <w:color w:val="auto"/>
          <w:sz w:val="22"/>
          <w:szCs w:val="22"/>
        </w:rPr>
        <w:t xml:space="preserve"> boli pozorov</w:t>
      </w:r>
      <w:r w:rsidR="00B036D0" w:rsidRPr="00BA0AF9">
        <w:rPr>
          <w:rFonts w:ascii="Times New Roman" w:hAnsi="Times New Roman"/>
          <w:color w:val="auto"/>
          <w:sz w:val="22"/>
          <w:szCs w:val="22"/>
        </w:rPr>
        <w:t>ané hlavne v klinických skúšaniach</w:t>
      </w:r>
      <w:r w:rsidR="00CE7510" w:rsidRPr="00BA0AF9">
        <w:rPr>
          <w:rFonts w:ascii="Times New Roman" w:hAnsi="Times New Roman"/>
          <w:color w:val="auto"/>
          <w:sz w:val="22"/>
          <w:szCs w:val="22"/>
        </w:rPr>
        <w:t xml:space="preserve"> u</w:t>
      </w:r>
      <w:r w:rsidR="00E91998" w:rsidRPr="00BA0AF9">
        <w:rPr>
          <w:rFonts w:ascii="Times New Roman" w:hAnsi="Times New Roman"/>
          <w:color w:val="auto"/>
          <w:sz w:val="22"/>
          <w:szCs w:val="22"/>
        </w:rPr>
        <w:t> </w:t>
      </w:r>
      <w:r w:rsidR="000270CA" w:rsidRPr="00BA0AF9">
        <w:rPr>
          <w:rFonts w:ascii="Times New Roman" w:hAnsi="Times New Roman"/>
          <w:color w:val="auto"/>
          <w:sz w:val="22"/>
          <w:szCs w:val="22"/>
        </w:rPr>
        <w:t>dospievajúcich</w:t>
      </w:r>
      <w:r w:rsidR="00E91998" w:rsidRPr="00BA0AF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CE7510" w:rsidRPr="00BA0AF9">
        <w:rPr>
          <w:rFonts w:ascii="Times New Roman" w:hAnsi="Times New Roman"/>
          <w:color w:val="auto"/>
          <w:sz w:val="22"/>
          <w:szCs w:val="22"/>
        </w:rPr>
        <w:t>s</w:t>
      </w:r>
      <w:r w:rsidR="00E91998" w:rsidRPr="00BA0AF9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BA0AF9">
        <w:rPr>
          <w:rFonts w:ascii="Times New Roman" w:hAnsi="Times New Roman"/>
          <w:color w:val="auto"/>
          <w:sz w:val="22"/>
          <w:szCs w:val="22"/>
        </w:rPr>
        <w:t>depresívnou poruchou. Zvýšená miera nepriateľstva sa vyskytovala hlavne u detí s obsedantno-kompulzívnou poruchou a n</w:t>
      </w:r>
      <w:r w:rsidR="00BF5172" w:rsidRPr="00BA0AF9">
        <w:rPr>
          <w:rFonts w:ascii="Times New Roman" w:hAnsi="Times New Roman"/>
          <w:color w:val="auto"/>
          <w:sz w:val="22"/>
          <w:szCs w:val="22"/>
        </w:rPr>
        <w:t>ajmä u mladších detí vo veku do </w:t>
      </w:r>
      <w:r w:rsidR="00CE7510" w:rsidRPr="00BA0AF9">
        <w:rPr>
          <w:rFonts w:ascii="Times New Roman" w:hAnsi="Times New Roman"/>
          <w:color w:val="auto"/>
          <w:sz w:val="22"/>
          <w:szCs w:val="22"/>
        </w:rPr>
        <w:t xml:space="preserve">12 rokov. Ďalšie nežiaduce účinky, ktoré boli častejšie pozorované </w:t>
      </w:r>
      <w:r w:rsidR="00E21083" w:rsidRPr="00BA0AF9">
        <w:rPr>
          <w:rFonts w:ascii="Times New Roman" w:hAnsi="Times New Roman"/>
          <w:color w:val="auto"/>
          <w:sz w:val="22"/>
          <w:szCs w:val="22"/>
        </w:rPr>
        <w:t>v</w:t>
      </w:r>
      <w:r w:rsidR="00CE7510" w:rsidRPr="00BA0AF9">
        <w:rPr>
          <w:rFonts w:ascii="Times New Roman" w:hAnsi="Times New Roman"/>
          <w:color w:val="auto"/>
          <w:sz w:val="22"/>
          <w:szCs w:val="22"/>
        </w:rPr>
        <w:t xml:space="preserve"> skupine užívajúcej paroxetín ako </w:t>
      </w:r>
      <w:r w:rsidR="00E21083" w:rsidRPr="00BA0AF9">
        <w:rPr>
          <w:rFonts w:ascii="Times New Roman" w:hAnsi="Times New Roman"/>
          <w:color w:val="auto"/>
          <w:sz w:val="22"/>
          <w:szCs w:val="22"/>
        </w:rPr>
        <w:t>v</w:t>
      </w:r>
      <w:r w:rsidR="00CE7510" w:rsidRPr="00BA0AF9">
        <w:rPr>
          <w:rFonts w:ascii="Times New Roman" w:hAnsi="Times New Roman"/>
          <w:color w:val="auto"/>
          <w:sz w:val="22"/>
          <w:szCs w:val="22"/>
        </w:rPr>
        <w:t> skupin</w:t>
      </w:r>
      <w:r w:rsidR="00E21083" w:rsidRPr="00BA0AF9">
        <w:rPr>
          <w:rFonts w:ascii="Times New Roman" w:hAnsi="Times New Roman"/>
          <w:color w:val="auto"/>
          <w:sz w:val="22"/>
          <w:szCs w:val="22"/>
        </w:rPr>
        <w:t>e</w:t>
      </w:r>
      <w:r w:rsidR="00CE7510" w:rsidRPr="00BA0AF9">
        <w:rPr>
          <w:rFonts w:ascii="Times New Roman" w:hAnsi="Times New Roman"/>
          <w:color w:val="auto"/>
          <w:sz w:val="22"/>
          <w:szCs w:val="22"/>
        </w:rPr>
        <w:t xml:space="preserve"> s placebom, boli znížená chuť do jedla, tremor, potenie, hyperkinéza, agitovanosť, emocionálna labilita (vrátane plaču a zmien nálady).</w:t>
      </w:r>
    </w:p>
    <w:p w14:paraId="415AC7E5" w14:textId="77777777" w:rsidR="00CE7510" w:rsidRPr="00BA0AF9" w:rsidRDefault="00CE7510" w:rsidP="00CE7510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</w:p>
    <w:p w14:paraId="52B36971" w14:textId="77777777" w:rsidR="00CE7510" w:rsidRPr="00BA0AF9" w:rsidRDefault="00BF5172" w:rsidP="00BA0AF9">
      <w:pPr>
        <w:keepNext/>
        <w:keepLines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V štúdiách s </w:t>
      </w:r>
      <w:r w:rsidR="00CE7510" w:rsidRPr="00BA0AF9">
        <w:rPr>
          <w:sz w:val="22"/>
          <w:szCs w:val="22"/>
        </w:rPr>
        <w:t>režimom postupného znižovania dávky boli počas</w:t>
      </w:r>
      <w:r w:rsidRPr="00BA0AF9">
        <w:rPr>
          <w:sz w:val="22"/>
          <w:szCs w:val="22"/>
        </w:rPr>
        <w:t xml:space="preserve"> fázy znižovania dávky alebo po </w:t>
      </w:r>
      <w:r w:rsidR="00CE7510" w:rsidRPr="00BA0AF9">
        <w:rPr>
          <w:sz w:val="22"/>
          <w:szCs w:val="22"/>
        </w:rPr>
        <w:t>prerušení podávania paroxetínu hlásené nasledujúce symptómy s frekvenciou najmenej u</w:t>
      </w:r>
      <w:r w:rsidR="00B036D0" w:rsidRPr="00BA0AF9">
        <w:rPr>
          <w:sz w:val="22"/>
          <w:szCs w:val="22"/>
        </w:rPr>
        <w:t> </w:t>
      </w:r>
      <w:r w:rsidR="00CE7510" w:rsidRPr="00BA0AF9">
        <w:rPr>
          <w:sz w:val="22"/>
          <w:szCs w:val="22"/>
        </w:rPr>
        <w:t>2</w:t>
      </w:r>
      <w:r w:rsidR="00B036D0" w:rsidRPr="00BA0AF9">
        <w:rPr>
          <w:sz w:val="22"/>
          <w:szCs w:val="22"/>
        </w:rPr>
        <w:t> </w:t>
      </w:r>
      <w:r w:rsidR="00CE7510" w:rsidRPr="00BA0AF9">
        <w:rPr>
          <w:sz w:val="22"/>
          <w:szCs w:val="22"/>
        </w:rPr>
        <w:t>% pacientov a výskytom v pomere najmenej dvojnásobnom</w:t>
      </w:r>
      <w:r w:rsidRPr="00BA0AF9">
        <w:rPr>
          <w:sz w:val="22"/>
          <w:szCs w:val="22"/>
        </w:rPr>
        <w:t xml:space="preserve"> voči placebu: emocionálna la</w:t>
      </w:r>
      <w:r w:rsidR="00CE7510" w:rsidRPr="00BA0AF9">
        <w:rPr>
          <w:sz w:val="22"/>
          <w:szCs w:val="22"/>
        </w:rPr>
        <w:t>bilita (vrátane plaču, zmien nálady, sebapoškodzovania, samovražedných myšlienok a pokusov o samovraždu), nervozita, závrat, nauzea a bolesť brucha (pozri časť 4.4 </w:t>
      </w:r>
      <w:r w:rsidR="00105807" w:rsidRPr="00BA0AF9">
        <w:rPr>
          <w:sz w:val="22"/>
          <w:szCs w:val="22"/>
        </w:rPr>
        <w:t>Osobitné opatrenia a upozornenia pri používaní</w:t>
      </w:r>
      <w:r w:rsidR="00CE7510" w:rsidRPr="00BA0AF9">
        <w:rPr>
          <w:sz w:val="22"/>
          <w:szCs w:val="22"/>
        </w:rPr>
        <w:t>).</w:t>
      </w:r>
    </w:p>
    <w:p w14:paraId="47E0F84E" w14:textId="77777777" w:rsidR="00CE7510" w:rsidRPr="00BA0AF9" w:rsidRDefault="00CE7510" w:rsidP="00CE7510">
      <w:pPr>
        <w:spacing w:line="260" w:lineRule="exact"/>
        <w:rPr>
          <w:sz w:val="22"/>
          <w:szCs w:val="22"/>
        </w:rPr>
      </w:pPr>
    </w:p>
    <w:p w14:paraId="1CA2A387" w14:textId="77777777" w:rsidR="00CE7510" w:rsidRPr="00BA0AF9" w:rsidRDefault="00CE7510" w:rsidP="00CE7510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V piatich </w:t>
      </w:r>
      <w:r w:rsidR="00DD3112" w:rsidRPr="00BA0AF9">
        <w:rPr>
          <w:sz w:val="22"/>
          <w:szCs w:val="22"/>
        </w:rPr>
        <w:t>štúdiách s paralelným usporiadaním skupín</w:t>
      </w:r>
      <w:r w:rsidRPr="00BA0AF9">
        <w:rPr>
          <w:sz w:val="22"/>
          <w:szCs w:val="22"/>
        </w:rPr>
        <w:t xml:space="preserve">, s trvaním liečby </w:t>
      </w:r>
      <w:r w:rsidR="00DD3112" w:rsidRPr="00BA0AF9">
        <w:rPr>
          <w:sz w:val="22"/>
          <w:szCs w:val="22"/>
        </w:rPr>
        <w:t>osem</w:t>
      </w:r>
      <w:r w:rsidRPr="00BA0AF9">
        <w:rPr>
          <w:sz w:val="22"/>
          <w:szCs w:val="22"/>
        </w:rPr>
        <w:t xml:space="preserve"> týždňov až </w:t>
      </w:r>
      <w:r w:rsidR="00DD3112" w:rsidRPr="00BA0AF9">
        <w:rPr>
          <w:sz w:val="22"/>
          <w:szCs w:val="22"/>
        </w:rPr>
        <w:t>osem</w:t>
      </w:r>
      <w:r w:rsidRPr="00BA0AF9">
        <w:rPr>
          <w:sz w:val="22"/>
          <w:szCs w:val="22"/>
        </w:rPr>
        <w:t xml:space="preserve"> mesiacov, boli u pacientov liečených paroxetínom pozorované nežiaduce účinky spojené s krvácaním predovšetkým kože a slizníc, </w:t>
      </w:r>
      <w:r w:rsidR="0034433D" w:rsidRPr="00BA0AF9">
        <w:rPr>
          <w:sz w:val="22"/>
          <w:szCs w:val="22"/>
        </w:rPr>
        <w:t xml:space="preserve">s frekvenciou 1,74 % </w:t>
      </w:r>
      <w:r w:rsidRPr="00BA0AF9">
        <w:rPr>
          <w:sz w:val="22"/>
          <w:szCs w:val="22"/>
        </w:rPr>
        <w:t>v porovnaní s 0,74 % pozorovanými u</w:t>
      </w:r>
      <w:r w:rsidR="007B6328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pacientov</w:t>
      </w:r>
      <w:r w:rsidR="007B6328" w:rsidRPr="00BA0AF9">
        <w:rPr>
          <w:sz w:val="22"/>
          <w:szCs w:val="22"/>
        </w:rPr>
        <w:t>,</w:t>
      </w:r>
      <w:r w:rsidRPr="00BA0AF9">
        <w:rPr>
          <w:sz w:val="22"/>
          <w:szCs w:val="22"/>
        </w:rPr>
        <w:t xml:space="preserve"> </w:t>
      </w:r>
      <w:r w:rsidR="000A41EB" w:rsidRPr="00BA0AF9">
        <w:rPr>
          <w:sz w:val="22"/>
          <w:szCs w:val="22"/>
        </w:rPr>
        <w:t>ktorí dostávali</w:t>
      </w:r>
      <w:r w:rsidRPr="00BA0AF9">
        <w:rPr>
          <w:sz w:val="22"/>
          <w:szCs w:val="22"/>
        </w:rPr>
        <w:t xml:space="preserve"> placebo.</w:t>
      </w:r>
    </w:p>
    <w:p w14:paraId="266827B2" w14:textId="77777777" w:rsidR="00CE7510" w:rsidRPr="00BA0AF9" w:rsidRDefault="00CE7510" w:rsidP="00CE7510">
      <w:pPr>
        <w:spacing w:line="260" w:lineRule="exact"/>
        <w:rPr>
          <w:sz w:val="22"/>
          <w:szCs w:val="22"/>
        </w:rPr>
      </w:pPr>
    </w:p>
    <w:p w14:paraId="04C78D3E" w14:textId="77777777" w:rsidR="00140CF8" w:rsidRPr="00BA0AF9" w:rsidRDefault="00140CF8" w:rsidP="00DA753B">
      <w:pPr>
        <w:keepNext/>
        <w:spacing w:line="260" w:lineRule="exact"/>
        <w:ind w:left="567" w:hanging="567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5.2</w:t>
      </w:r>
      <w:r w:rsidRPr="00BA0AF9">
        <w:rPr>
          <w:b/>
          <w:sz w:val="22"/>
          <w:szCs w:val="22"/>
        </w:rPr>
        <w:tab/>
        <w:t>Farmakokinetické vlastnosti</w:t>
      </w:r>
    </w:p>
    <w:p w14:paraId="76823220" w14:textId="77777777" w:rsidR="00140CF8" w:rsidRPr="00BA0AF9" w:rsidRDefault="00140CF8" w:rsidP="00DA753B">
      <w:pPr>
        <w:pStyle w:val="Nadpis6"/>
        <w:spacing w:line="260" w:lineRule="exact"/>
        <w:rPr>
          <w:rFonts w:ascii="Times New Roman" w:hAnsi="Times New Roman"/>
          <w:b w:val="0"/>
          <w:color w:val="auto"/>
          <w:sz w:val="22"/>
          <w:szCs w:val="22"/>
          <w:u w:val="single"/>
        </w:rPr>
      </w:pPr>
    </w:p>
    <w:p w14:paraId="7BC9F513" w14:textId="77777777" w:rsidR="00140CF8" w:rsidRPr="00BA0AF9" w:rsidRDefault="00140CF8" w:rsidP="00DA753B">
      <w:pPr>
        <w:pStyle w:val="Nadpis6"/>
        <w:spacing w:line="260" w:lineRule="exact"/>
        <w:rPr>
          <w:rFonts w:ascii="Times New Roman" w:hAnsi="Times New Roman"/>
          <w:i/>
          <w:color w:val="auto"/>
          <w:sz w:val="22"/>
          <w:szCs w:val="22"/>
        </w:rPr>
      </w:pPr>
      <w:r w:rsidRPr="00BA0AF9">
        <w:rPr>
          <w:rFonts w:ascii="Times New Roman" w:hAnsi="Times New Roman"/>
          <w:i/>
          <w:color w:val="auto"/>
          <w:sz w:val="22"/>
          <w:szCs w:val="22"/>
        </w:rPr>
        <w:t>Absorpcia</w:t>
      </w:r>
    </w:p>
    <w:p w14:paraId="0DCBD90F" w14:textId="77777777" w:rsidR="00140CF8" w:rsidRPr="00BA0AF9" w:rsidRDefault="00140CF8" w:rsidP="00DA753B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Paroxetín sa po perorálnom podaní dobre vstrebáva a podlieha first-pass metabolizmu. V dôsledku first-pass metabolizmu je množstvo paroxetínu </w:t>
      </w:r>
      <w:r w:rsidR="00B37695" w:rsidRPr="00BA0AF9">
        <w:rPr>
          <w:sz w:val="22"/>
          <w:szCs w:val="22"/>
        </w:rPr>
        <w:t xml:space="preserve">dostupné </w:t>
      </w:r>
      <w:r w:rsidRPr="00BA0AF9">
        <w:rPr>
          <w:sz w:val="22"/>
          <w:szCs w:val="22"/>
        </w:rPr>
        <w:t xml:space="preserve">v systémovej cirkulácii menšie ako množstvo, ktoré sa vstrebe z gastrointestinálneho traktu. Dochádza k čiastočnej saturácii first-pass účinku a k zníženému plazmatickému klírensu, pretože </w:t>
      </w:r>
      <w:r w:rsidR="00397431" w:rsidRPr="00BA0AF9">
        <w:rPr>
          <w:sz w:val="22"/>
          <w:szCs w:val="22"/>
        </w:rPr>
        <w:t>množstvo látky v tele</w:t>
      </w:r>
      <w:r w:rsidRPr="00BA0AF9">
        <w:rPr>
          <w:sz w:val="22"/>
          <w:szCs w:val="22"/>
        </w:rPr>
        <w:t xml:space="preserve"> sa zvýši pri vyšších jednorazových dávkach alebo po podaní opakovanej dávky. To má za následok disproporčné zvýšenia plazmatických koncentrácií paroxetínu, a z tohto dôvodu nie sú farmakokinetické parametre konštantné, čo vedie k nelineárnej kinetike. Nelinearita je však zvyčajne malá a obmedzuje sa na tých jedincov, ktorí dosiahnu nízke plazmatic</w:t>
      </w:r>
      <w:r w:rsidR="005C11AF" w:rsidRPr="00BA0AF9">
        <w:rPr>
          <w:sz w:val="22"/>
          <w:szCs w:val="22"/>
        </w:rPr>
        <w:t>ké hladiny pri nízkych dávkach.</w:t>
      </w:r>
    </w:p>
    <w:p w14:paraId="6052D15D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Systémové hladiny v ustálenom stave sa dosiahnu po 7 až 14 dňoch od začatia liečby u prípravkov s okamžitým alebo kontrolovaným uvoľňovaním a nezdá sa, že by sa farmakokinetické parametre počas dlhodobej liečby zmenili.</w:t>
      </w:r>
    </w:p>
    <w:p w14:paraId="6436D079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25E89D2E" w14:textId="77777777" w:rsidR="00140CF8" w:rsidRPr="00BA0AF9" w:rsidRDefault="00140CF8">
      <w:pPr>
        <w:pStyle w:val="Nadpis6"/>
        <w:spacing w:line="260" w:lineRule="exact"/>
        <w:rPr>
          <w:rFonts w:ascii="Times New Roman" w:hAnsi="Times New Roman"/>
          <w:i/>
          <w:color w:val="auto"/>
          <w:sz w:val="22"/>
          <w:szCs w:val="22"/>
        </w:rPr>
      </w:pPr>
      <w:r w:rsidRPr="00BA0AF9">
        <w:rPr>
          <w:rFonts w:ascii="Times New Roman" w:hAnsi="Times New Roman"/>
          <w:i/>
          <w:color w:val="auto"/>
          <w:sz w:val="22"/>
          <w:szCs w:val="22"/>
        </w:rPr>
        <w:t>Distribúcia</w:t>
      </w:r>
    </w:p>
    <w:p w14:paraId="67E2C4C7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Paroxetín je v rozsiahlej miere distribuovaný do tkanív a farmakokinetické výpočty svedčia o tom, že v plazme zostáva len 1</w:t>
      </w:r>
      <w:r w:rsidR="00324CDC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 celkového množstva paroxet</w:t>
      </w:r>
      <w:r w:rsidR="00C53D64" w:rsidRPr="00BA0AF9">
        <w:rPr>
          <w:sz w:val="22"/>
          <w:szCs w:val="22"/>
        </w:rPr>
        <w:t>í</w:t>
      </w:r>
      <w:r w:rsidRPr="00BA0AF9">
        <w:rPr>
          <w:sz w:val="22"/>
          <w:szCs w:val="22"/>
        </w:rPr>
        <w:t>nu.</w:t>
      </w:r>
    </w:p>
    <w:p w14:paraId="01A3E2AF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Pri terapeutických koncentráciách sa asi 95</w:t>
      </w:r>
      <w:r w:rsidR="00324CDC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 prítomnéh</w:t>
      </w:r>
      <w:r w:rsidR="00324CDC" w:rsidRPr="00BA0AF9">
        <w:rPr>
          <w:sz w:val="22"/>
          <w:szCs w:val="22"/>
        </w:rPr>
        <w:t>o paroxetínu viaže na proteíny.</w:t>
      </w:r>
    </w:p>
    <w:p w14:paraId="073C05A1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Plazmatické koncentrácie paroxetínu nekorelujú s klinickým účinkom (nežiaduce účinky a účinnosť).</w:t>
      </w:r>
    </w:p>
    <w:p w14:paraId="24B0B1DB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29A3DEA9" w14:textId="77777777" w:rsidR="00140CF8" w:rsidRPr="00BA0AF9" w:rsidRDefault="009D7858">
      <w:pPr>
        <w:pStyle w:val="Nadpis6"/>
        <w:spacing w:line="260" w:lineRule="exact"/>
        <w:rPr>
          <w:rFonts w:ascii="Times New Roman" w:hAnsi="Times New Roman"/>
          <w:i/>
          <w:color w:val="auto"/>
          <w:sz w:val="22"/>
          <w:szCs w:val="22"/>
        </w:rPr>
      </w:pPr>
      <w:r w:rsidRPr="00BA0AF9">
        <w:rPr>
          <w:rFonts w:ascii="Times New Roman" w:hAnsi="Times New Roman"/>
          <w:i/>
          <w:color w:val="auto"/>
          <w:sz w:val="22"/>
          <w:szCs w:val="22"/>
        </w:rPr>
        <w:t>Biotransformácia</w:t>
      </w:r>
    </w:p>
    <w:p w14:paraId="0EA1CF27" w14:textId="77777777" w:rsidR="00140CF8" w:rsidRPr="00BA0AF9" w:rsidRDefault="00140CF8">
      <w:pPr>
        <w:pStyle w:val="Zkladntext3"/>
        <w:spacing w:line="260" w:lineRule="exact"/>
        <w:rPr>
          <w:rFonts w:ascii="Times New Roman" w:hAnsi="Times New Roman"/>
          <w:color w:val="auto"/>
          <w:sz w:val="22"/>
          <w:szCs w:val="22"/>
        </w:rPr>
      </w:pPr>
      <w:r w:rsidRPr="00BA0AF9">
        <w:rPr>
          <w:rFonts w:ascii="Times New Roman" w:hAnsi="Times New Roman"/>
          <w:color w:val="auto"/>
          <w:sz w:val="22"/>
          <w:szCs w:val="22"/>
        </w:rPr>
        <w:t>Hlavnými metabolitmi paroxetínu sú polárne a konjugované produkty oxidácie a metylácie, ktoré sú ľahko vylučované. Vzhľadom na ich relatívnu farmakologickú neúčinnosť, nie je veľmi pravdepodobné, že by prispievali k terapeutickému účinku paroxetínu.</w:t>
      </w:r>
    </w:p>
    <w:p w14:paraId="7094CD84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Metabolizmus neovplyvňuje selektívny účinok paroxetínu na spätné vychytávanie 5-HT v neurónoch.</w:t>
      </w:r>
    </w:p>
    <w:p w14:paraId="179D27F2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031228D6" w14:textId="77777777" w:rsidR="00140CF8" w:rsidRPr="00BA0AF9" w:rsidRDefault="00140CF8">
      <w:pPr>
        <w:pStyle w:val="Nadpis6"/>
        <w:spacing w:line="260" w:lineRule="exact"/>
        <w:rPr>
          <w:rFonts w:ascii="Times New Roman" w:hAnsi="Times New Roman"/>
          <w:i/>
          <w:color w:val="auto"/>
          <w:sz w:val="22"/>
          <w:szCs w:val="22"/>
        </w:rPr>
      </w:pPr>
      <w:r w:rsidRPr="00BA0AF9">
        <w:rPr>
          <w:rFonts w:ascii="Times New Roman" w:hAnsi="Times New Roman"/>
          <w:i/>
          <w:color w:val="auto"/>
          <w:sz w:val="22"/>
          <w:szCs w:val="22"/>
        </w:rPr>
        <w:t>Eliminácia</w:t>
      </w:r>
    </w:p>
    <w:p w14:paraId="6AB55CE0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Asi 64</w:t>
      </w:r>
      <w:r w:rsidR="00105807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 podanej dávky paroxetínu sa vylučuje močom</w:t>
      </w:r>
      <w:r w:rsidR="000D61C4" w:rsidRPr="00BA0AF9">
        <w:rPr>
          <w:sz w:val="22"/>
          <w:szCs w:val="22"/>
        </w:rPr>
        <w:t xml:space="preserve"> vo forme metabolitov</w:t>
      </w:r>
      <w:r w:rsidRPr="00BA0AF9">
        <w:rPr>
          <w:sz w:val="22"/>
          <w:szCs w:val="22"/>
        </w:rPr>
        <w:t>, v nezmenenej forme sa zvyčajne vylúči menej ako 2</w:t>
      </w:r>
      <w:r w:rsidR="00105807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%. Približne 36</w:t>
      </w:r>
      <w:r w:rsidR="00105807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 podanej dávky sa vylučuje stolicou, pravdepodobne prostredníctvom žlče, z toho menej ako 1</w:t>
      </w:r>
      <w:r w:rsidR="00105807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% pripadá na nemetabolizovaný paroxetín. Paroxetín sa teda vylučuje prevažne vo forme metabolitov.</w:t>
      </w:r>
    </w:p>
    <w:p w14:paraId="4AB8F3FD" w14:textId="77777777" w:rsidR="00140CF8" w:rsidRPr="00BA0AF9" w:rsidRDefault="00140CF8">
      <w:pPr>
        <w:spacing w:line="260" w:lineRule="exact"/>
        <w:rPr>
          <w:strike/>
          <w:sz w:val="22"/>
          <w:szCs w:val="22"/>
        </w:rPr>
      </w:pPr>
      <w:r w:rsidRPr="00BA0AF9">
        <w:rPr>
          <w:sz w:val="22"/>
          <w:szCs w:val="22"/>
        </w:rPr>
        <w:t xml:space="preserve">Vylučovanie metabolitov je dvojfázové. Primárne je výsledkom first-pass metabolizmu a sekundárne je ovplyvnené systémovou elimináciou paroxetínu. Polčas vylučovania je premenlivý, zvyčajne býva asi </w:t>
      </w:r>
      <w:r w:rsidR="0088500B" w:rsidRPr="00BA0AF9">
        <w:rPr>
          <w:sz w:val="22"/>
          <w:szCs w:val="22"/>
        </w:rPr>
        <w:t>jeden</w:t>
      </w:r>
      <w:r w:rsidRPr="00BA0AF9">
        <w:rPr>
          <w:sz w:val="22"/>
          <w:szCs w:val="22"/>
        </w:rPr>
        <w:t xml:space="preserve"> deň.</w:t>
      </w:r>
    </w:p>
    <w:p w14:paraId="34750FFF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</w:p>
    <w:p w14:paraId="09F3705F" w14:textId="77777777" w:rsidR="00140CF8" w:rsidRPr="00BA0AF9" w:rsidRDefault="00DC104D">
      <w:pPr>
        <w:spacing w:after="120"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 xml:space="preserve">Osobitné </w:t>
      </w:r>
      <w:r w:rsidR="00140CF8" w:rsidRPr="00BA0AF9">
        <w:rPr>
          <w:b/>
          <w:sz w:val="22"/>
          <w:szCs w:val="22"/>
        </w:rPr>
        <w:t>skupiny pacientov</w:t>
      </w:r>
    </w:p>
    <w:p w14:paraId="5B2AB1F8" w14:textId="77777777" w:rsidR="00140CF8" w:rsidRPr="00BA0AF9" w:rsidRDefault="00140CF8">
      <w:pPr>
        <w:spacing w:line="260" w:lineRule="exact"/>
        <w:rPr>
          <w:b/>
          <w:i/>
          <w:sz w:val="22"/>
          <w:szCs w:val="22"/>
        </w:rPr>
      </w:pPr>
      <w:r w:rsidRPr="00BA0AF9">
        <w:rPr>
          <w:b/>
          <w:i/>
          <w:sz w:val="22"/>
          <w:szCs w:val="22"/>
        </w:rPr>
        <w:t xml:space="preserve">Starší </w:t>
      </w:r>
      <w:r w:rsidR="009D7858" w:rsidRPr="00BA0AF9">
        <w:rPr>
          <w:b/>
          <w:i/>
          <w:sz w:val="22"/>
          <w:szCs w:val="22"/>
        </w:rPr>
        <w:t>ľudia</w:t>
      </w:r>
      <w:r w:rsidRPr="00BA0AF9">
        <w:rPr>
          <w:b/>
          <w:i/>
          <w:sz w:val="22"/>
          <w:szCs w:val="22"/>
        </w:rPr>
        <w:t xml:space="preserve"> a porucha funkcie obličiek/pečene</w:t>
      </w:r>
    </w:p>
    <w:p w14:paraId="0FFA5F8C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U starších ľudí a u jedincov s ťažkou poruchou funkcie obličiek alebo u jedincov s poruchou funkcie pečene dochádza k zvýšeniu plazmatických koncentrácií paroxetínu, ale dosiahnuté hodnoty nevybočujú z rozmedzia hodnôt pozorovaných </w:t>
      </w:r>
      <w:r w:rsidR="00397431" w:rsidRPr="00BA0AF9">
        <w:rPr>
          <w:sz w:val="22"/>
          <w:szCs w:val="22"/>
        </w:rPr>
        <w:t>u zdravých dospelých jedincov</w:t>
      </w:r>
      <w:r w:rsidRPr="00BA0AF9">
        <w:rPr>
          <w:sz w:val="22"/>
          <w:szCs w:val="22"/>
        </w:rPr>
        <w:t>.</w:t>
      </w:r>
    </w:p>
    <w:p w14:paraId="13303948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3C123435" w14:textId="77777777" w:rsidR="00140CF8" w:rsidRPr="00BA0AF9" w:rsidRDefault="00140CF8" w:rsidP="00BA0AF9">
      <w:pPr>
        <w:keepNext/>
        <w:keepLines/>
        <w:spacing w:line="260" w:lineRule="exact"/>
        <w:ind w:left="567" w:hanging="567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lastRenderedPageBreak/>
        <w:t>5.3</w:t>
      </w:r>
      <w:r w:rsidRPr="00BA0AF9">
        <w:rPr>
          <w:b/>
          <w:sz w:val="22"/>
          <w:szCs w:val="22"/>
        </w:rPr>
        <w:tab/>
        <w:t xml:space="preserve">Predklinické údaje o bezpečnosti </w:t>
      </w:r>
    </w:p>
    <w:p w14:paraId="21699FCF" w14:textId="77777777" w:rsidR="00140CF8" w:rsidRPr="00BA0AF9" w:rsidRDefault="00140CF8" w:rsidP="00BA0AF9">
      <w:pPr>
        <w:keepNext/>
        <w:keepLines/>
        <w:spacing w:line="260" w:lineRule="exact"/>
        <w:rPr>
          <w:sz w:val="22"/>
          <w:szCs w:val="22"/>
        </w:rPr>
      </w:pPr>
    </w:p>
    <w:p w14:paraId="6C2497C5" w14:textId="77777777" w:rsidR="00140CF8" w:rsidRPr="00BA0AF9" w:rsidRDefault="00140CF8" w:rsidP="00BA0AF9">
      <w:pPr>
        <w:keepNext/>
        <w:keepLines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Uskutočnili sa toxikologické štúdie na opiciach (r</w:t>
      </w:r>
      <w:r w:rsidR="002F3A8F" w:rsidRPr="00BA0AF9">
        <w:rPr>
          <w:sz w:val="22"/>
          <w:szCs w:val="22"/>
        </w:rPr>
        <w:t>é</w:t>
      </w:r>
      <w:r w:rsidRPr="00BA0AF9">
        <w:rPr>
          <w:sz w:val="22"/>
          <w:szCs w:val="22"/>
        </w:rPr>
        <w:t xml:space="preserve">sus) a bielych potkanoch. U oboch sú metabolické procesy podobné ako u ľudí. Podľa očakávaní bola po podávaní paroxetínu u potkanov, podobne ako po podávaní ostatných lipofilných amínov vrátane tricyklických antidepresív, zistená fosfolipidóza. </w:t>
      </w:r>
      <w:r w:rsidRPr="00BA0AF9">
        <w:rPr>
          <w:sz w:val="22"/>
          <w:szCs w:val="22"/>
        </w:rPr>
        <w:br/>
        <w:t xml:space="preserve">Fosfolipidóza sa nezistila v štúdiách na primátoch ani pri podávaní paroxetínu po dobu až jedného roka v dávkach </w:t>
      </w:r>
      <w:r w:rsidR="0088500B" w:rsidRPr="00BA0AF9">
        <w:rPr>
          <w:sz w:val="22"/>
          <w:szCs w:val="22"/>
        </w:rPr>
        <w:t>šesť</w:t>
      </w:r>
      <w:r w:rsidRPr="00BA0AF9">
        <w:rPr>
          <w:sz w:val="22"/>
          <w:szCs w:val="22"/>
        </w:rPr>
        <w:t>násobne prevyšujúcich odporúčané klinicky účinné dávkovanie.</w:t>
      </w:r>
    </w:p>
    <w:p w14:paraId="52DF5D05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i/>
          <w:sz w:val="22"/>
          <w:szCs w:val="22"/>
        </w:rPr>
        <w:t>Karcinogenéza</w:t>
      </w:r>
      <w:r w:rsidRPr="00BA0AF9">
        <w:rPr>
          <w:sz w:val="22"/>
          <w:szCs w:val="22"/>
        </w:rPr>
        <w:t>: Paroxetín nepreukazoval v dvojročných štúdiách na myšiach a potkanoch žiadny karcinogénny účinok.</w:t>
      </w:r>
    </w:p>
    <w:p w14:paraId="5E007DC7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i/>
          <w:sz w:val="22"/>
          <w:szCs w:val="22"/>
        </w:rPr>
        <w:t>Genotoxicita</w:t>
      </w:r>
      <w:r w:rsidRPr="00BA0AF9">
        <w:rPr>
          <w:sz w:val="22"/>
          <w:szCs w:val="22"/>
        </w:rPr>
        <w:t xml:space="preserve">: V celom rade testov </w:t>
      </w:r>
      <w:r w:rsidRPr="00BA0AF9">
        <w:rPr>
          <w:i/>
          <w:sz w:val="22"/>
          <w:szCs w:val="22"/>
        </w:rPr>
        <w:t>in vitro</w:t>
      </w:r>
      <w:r w:rsidRPr="00BA0AF9">
        <w:rPr>
          <w:sz w:val="22"/>
          <w:szCs w:val="22"/>
        </w:rPr>
        <w:t xml:space="preserve"> ani </w:t>
      </w:r>
      <w:r w:rsidRPr="00BA0AF9">
        <w:rPr>
          <w:i/>
          <w:sz w:val="22"/>
          <w:szCs w:val="22"/>
        </w:rPr>
        <w:t>in vivo</w:t>
      </w:r>
      <w:r w:rsidRPr="00BA0AF9">
        <w:rPr>
          <w:sz w:val="22"/>
          <w:szCs w:val="22"/>
        </w:rPr>
        <w:t xml:space="preserve"> sa nezistila genotoxicita.</w:t>
      </w:r>
    </w:p>
    <w:p w14:paraId="53E629E3" w14:textId="77777777" w:rsidR="00140CF8" w:rsidRPr="00BA0AF9" w:rsidRDefault="009E5AC8" w:rsidP="0088500B">
      <w:pPr>
        <w:keepNext/>
        <w:keepLines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Štúdie reprodukčnej toxicity na potkanoch preukázali, že paroxetín ovplyvňuje fertilitu samcov a samíc znížením indexu plodnosti a počtu gravidít. U potkanov bola pozorovaná zvýšená mortalita mláďat a oneskorená osifikácia. Tieto účinky pravdepodobne súviseli s dávkami vyvolávajúcimi toxické prejavy u gravidných samíc a nepovažujú sa za priamy účinok na plod/novorodenca. </w:t>
      </w:r>
    </w:p>
    <w:p w14:paraId="3FE1C733" w14:textId="77777777" w:rsidR="00140CF8" w:rsidRPr="00BA0AF9" w:rsidRDefault="00140CF8">
      <w:pPr>
        <w:spacing w:line="260" w:lineRule="exact"/>
        <w:ind w:left="567" w:hanging="567"/>
        <w:rPr>
          <w:caps/>
          <w:sz w:val="22"/>
          <w:szCs w:val="22"/>
          <w:highlight w:val="yellow"/>
        </w:rPr>
      </w:pPr>
    </w:p>
    <w:p w14:paraId="53A3D248" w14:textId="77777777" w:rsidR="009E5AC8" w:rsidRPr="00BA0AF9" w:rsidRDefault="009E5AC8">
      <w:pPr>
        <w:spacing w:line="260" w:lineRule="exact"/>
        <w:ind w:left="567" w:hanging="567"/>
        <w:rPr>
          <w:caps/>
          <w:sz w:val="22"/>
          <w:szCs w:val="22"/>
          <w:highlight w:val="yellow"/>
        </w:rPr>
      </w:pPr>
    </w:p>
    <w:p w14:paraId="4EC6FD6E" w14:textId="77777777" w:rsidR="00140CF8" w:rsidRPr="00BA0AF9" w:rsidRDefault="00140CF8">
      <w:pPr>
        <w:spacing w:line="260" w:lineRule="exact"/>
        <w:ind w:left="567" w:hanging="567"/>
        <w:rPr>
          <w:b/>
          <w:caps/>
          <w:sz w:val="22"/>
          <w:szCs w:val="22"/>
        </w:rPr>
      </w:pPr>
      <w:r w:rsidRPr="00BA0AF9">
        <w:rPr>
          <w:b/>
          <w:caps/>
          <w:sz w:val="22"/>
          <w:szCs w:val="22"/>
        </w:rPr>
        <w:t>6.</w:t>
      </w:r>
      <w:r w:rsidRPr="00BA0AF9">
        <w:rPr>
          <w:b/>
          <w:caps/>
          <w:sz w:val="22"/>
          <w:szCs w:val="22"/>
        </w:rPr>
        <w:tab/>
        <w:t>FarmaceutickÉ informácie</w:t>
      </w:r>
    </w:p>
    <w:p w14:paraId="42F546AB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56A4E290" w14:textId="77777777" w:rsidR="00140CF8" w:rsidRPr="00BA0AF9" w:rsidRDefault="00140CF8">
      <w:pPr>
        <w:spacing w:line="260" w:lineRule="exact"/>
        <w:ind w:left="567" w:hanging="567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6.1</w:t>
      </w:r>
      <w:r w:rsidRPr="00BA0AF9">
        <w:rPr>
          <w:b/>
          <w:sz w:val="22"/>
          <w:szCs w:val="22"/>
        </w:rPr>
        <w:tab/>
        <w:t>Zoznam pomocných látok</w:t>
      </w:r>
    </w:p>
    <w:p w14:paraId="0E94A35B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774B82E4" w14:textId="77777777" w:rsidR="00032BB2" w:rsidRPr="00BA0AF9" w:rsidRDefault="00032BB2" w:rsidP="00032BB2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Seroxat 10 mg filmom obalené tablety</w:t>
      </w:r>
    </w:p>
    <w:p w14:paraId="26E964CF" w14:textId="77777777" w:rsidR="00032BB2" w:rsidRPr="00BA0AF9" w:rsidRDefault="00324CDC" w:rsidP="00032BB2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Jadro tablety:</w:t>
      </w:r>
    </w:p>
    <w:p w14:paraId="62CD15F7" w14:textId="77777777" w:rsidR="00324CDC" w:rsidRPr="00BA0AF9" w:rsidRDefault="00D74B71" w:rsidP="00032BB2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d</w:t>
      </w:r>
      <w:r w:rsidR="00032BB2" w:rsidRPr="00BA0AF9">
        <w:rPr>
          <w:sz w:val="22"/>
          <w:szCs w:val="22"/>
        </w:rPr>
        <w:t>ihydrát hydrog</w:t>
      </w:r>
      <w:r w:rsidR="002F354D" w:rsidRPr="00BA0AF9">
        <w:rPr>
          <w:sz w:val="22"/>
          <w:szCs w:val="22"/>
        </w:rPr>
        <w:t>é</w:t>
      </w:r>
      <w:r w:rsidR="00032BB2" w:rsidRPr="00BA0AF9">
        <w:rPr>
          <w:sz w:val="22"/>
          <w:szCs w:val="22"/>
        </w:rPr>
        <w:t>nfosforečnanu vápenatého</w:t>
      </w:r>
      <w:r w:rsidR="00924838" w:rsidRPr="00BA0AF9">
        <w:rPr>
          <w:sz w:val="22"/>
          <w:szCs w:val="22"/>
        </w:rPr>
        <w:t xml:space="preserve"> (E341)</w:t>
      </w:r>
    </w:p>
    <w:p w14:paraId="70D08A7B" w14:textId="77777777" w:rsidR="00032BB2" w:rsidRPr="00BA0AF9" w:rsidRDefault="00D74B71" w:rsidP="00032BB2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s</w:t>
      </w:r>
      <w:r w:rsidR="00032BB2" w:rsidRPr="00BA0AF9">
        <w:rPr>
          <w:sz w:val="22"/>
          <w:szCs w:val="22"/>
        </w:rPr>
        <w:t>odná soľ karboxymety</w:t>
      </w:r>
      <w:r w:rsidR="004D5BD7" w:rsidRPr="00BA0AF9">
        <w:rPr>
          <w:sz w:val="22"/>
          <w:szCs w:val="22"/>
        </w:rPr>
        <w:t>l</w:t>
      </w:r>
      <w:r w:rsidR="00032BB2" w:rsidRPr="00BA0AF9">
        <w:rPr>
          <w:sz w:val="22"/>
          <w:szCs w:val="22"/>
        </w:rPr>
        <w:t>škrobu (Typ</w:t>
      </w:r>
      <w:r w:rsidR="002F354D" w:rsidRPr="00BA0AF9">
        <w:rPr>
          <w:sz w:val="22"/>
          <w:szCs w:val="22"/>
        </w:rPr>
        <w:t> </w:t>
      </w:r>
      <w:r w:rsidR="00032BB2" w:rsidRPr="00BA0AF9">
        <w:rPr>
          <w:sz w:val="22"/>
          <w:szCs w:val="22"/>
        </w:rPr>
        <w:t>A)</w:t>
      </w:r>
    </w:p>
    <w:p w14:paraId="0B5D8427" w14:textId="77777777" w:rsidR="00032BB2" w:rsidRPr="00BA0AF9" w:rsidRDefault="00D74B71" w:rsidP="00032BB2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m</w:t>
      </w:r>
      <w:r w:rsidR="00032BB2" w:rsidRPr="00BA0AF9">
        <w:rPr>
          <w:sz w:val="22"/>
          <w:szCs w:val="22"/>
        </w:rPr>
        <w:t>agnéziumstearát</w:t>
      </w:r>
      <w:r w:rsidR="00924838" w:rsidRPr="00BA0AF9">
        <w:rPr>
          <w:sz w:val="22"/>
          <w:szCs w:val="22"/>
        </w:rPr>
        <w:t xml:space="preserve"> (E470b)</w:t>
      </w:r>
      <w:r w:rsidR="00032BB2" w:rsidRPr="00BA0AF9">
        <w:rPr>
          <w:sz w:val="22"/>
          <w:szCs w:val="22"/>
        </w:rPr>
        <w:t>.</w:t>
      </w:r>
    </w:p>
    <w:p w14:paraId="1DA37C33" w14:textId="77777777" w:rsidR="00032BB2" w:rsidRPr="00BA0AF9" w:rsidRDefault="00032BB2" w:rsidP="00032BB2">
      <w:pPr>
        <w:spacing w:line="260" w:lineRule="exact"/>
        <w:rPr>
          <w:sz w:val="22"/>
          <w:szCs w:val="22"/>
        </w:rPr>
      </w:pPr>
    </w:p>
    <w:p w14:paraId="23E07490" w14:textId="77777777" w:rsidR="00324CDC" w:rsidRPr="00BA0AF9" w:rsidRDefault="00032BB2" w:rsidP="00032BB2">
      <w:pPr>
        <w:ind w:right="-2"/>
        <w:rPr>
          <w:sz w:val="22"/>
          <w:szCs w:val="22"/>
        </w:rPr>
      </w:pPr>
      <w:r w:rsidRPr="00BA0AF9">
        <w:rPr>
          <w:sz w:val="22"/>
          <w:szCs w:val="22"/>
        </w:rPr>
        <w:t>Obal tablety:</w:t>
      </w:r>
    </w:p>
    <w:p w14:paraId="74E48F74" w14:textId="77777777" w:rsidR="00324CDC" w:rsidRPr="00BA0AF9" w:rsidRDefault="00D74B71" w:rsidP="00032BB2">
      <w:pPr>
        <w:ind w:right="-2"/>
        <w:rPr>
          <w:sz w:val="22"/>
          <w:szCs w:val="22"/>
        </w:rPr>
      </w:pPr>
      <w:r w:rsidRPr="00BA0AF9">
        <w:rPr>
          <w:sz w:val="22"/>
          <w:szCs w:val="22"/>
        </w:rPr>
        <w:t>h</w:t>
      </w:r>
      <w:r w:rsidR="00032BB2" w:rsidRPr="00BA0AF9">
        <w:rPr>
          <w:sz w:val="22"/>
          <w:szCs w:val="22"/>
        </w:rPr>
        <w:t>ypromelóza</w:t>
      </w:r>
      <w:r w:rsidR="00924838" w:rsidRPr="00BA0AF9">
        <w:rPr>
          <w:sz w:val="22"/>
          <w:szCs w:val="22"/>
        </w:rPr>
        <w:t xml:space="preserve"> (E464)</w:t>
      </w:r>
    </w:p>
    <w:p w14:paraId="7F60387E" w14:textId="77777777" w:rsidR="00032BB2" w:rsidRPr="00BA0AF9" w:rsidRDefault="00D74B71" w:rsidP="00032BB2">
      <w:pPr>
        <w:ind w:right="-2"/>
        <w:rPr>
          <w:sz w:val="22"/>
          <w:szCs w:val="22"/>
        </w:rPr>
      </w:pPr>
      <w:r w:rsidRPr="00BA0AF9">
        <w:rPr>
          <w:sz w:val="22"/>
          <w:szCs w:val="22"/>
        </w:rPr>
        <w:t>m</w:t>
      </w:r>
      <w:r w:rsidR="00032BB2" w:rsidRPr="00BA0AF9">
        <w:rPr>
          <w:sz w:val="22"/>
          <w:szCs w:val="22"/>
        </w:rPr>
        <w:t>akrogol 400</w:t>
      </w:r>
    </w:p>
    <w:p w14:paraId="29643495" w14:textId="77777777" w:rsidR="00032BB2" w:rsidRPr="00BA0AF9" w:rsidRDefault="00D74B71" w:rsidP="00032BB2">
      <w:pPr>
        <w:ind w:right="-2"/>
        <w:rPr>
          <w:sz w:val="22"/>
          <w:szCs w:val="22"/>
        </w:rPr>
      </w:pPr>
      <w:r w:rsidRPr="00BA0AF9">
        <w:rPr>
          <w:sz w:val="22"/>
          <w:szCs w:val="22"/>
        </w:rPr>
        <w:t>p</w:t>
      </w:r>
      <w:r w:rsidR="00032BB2" w:rsidRPr="00BA0AF9">
        <w:rPr>
          <w:sz w:val="22"/>
          <w:szCs w:val="22"/>
        </w:rPr>
        <w:t>olysorbát 80</w:t>
      </w:r>
      <w:r w:rsidR="00924838" w:rsidRPr="00BA0AF9">
        <w:rPr>
          <w:sz w:val="22"/>
          <w:szCs w:val="22"/>
        </w:rPr>
        <w:t xml:space="preserve"> (E433)</w:t>
      </w:r>
    </w:p>
    <w:p w14:paraId="044206E2" w14:textId="77777777" w:rsidR="00324CDC" w:rsidRPr="00BA0AF9" w:rsidRDefault="00D74B71" w:rsidP="00032BB2">
      <w:pPr>
        <w:ind w:right="-2"/>
        <w:rPr>
          <w:sz w:val="22"/>
          <w:szCs w:val="22"/>
        </w:rPr>
      </w:pPr>
      <w:r w:rsidRPr="00BA0AF9">
        <w:rPr>
          <w:sz w:val="22"/>
          <w:szCs w:val="22"/>
        </w:rPr>
        <w:t>o</w:t>
      </w:r>
      <w:r w:rsidR="00032BB2" w:rsidRPr="00BA0AF9">
        <w:rPr>
          <w:sz w:val="22"/>
          <w:szCs w:val="22"/>
        </w:rPr>
        <w:t>xid titaničitý (E171)</w:t>
      </w:r>
    </w:p>
    <w:p w14:paraId="740EBBE7" w14:textId="77777777" w:rsidR="00032BB2" w:rsidRPr="00BA0AF9" w:rsidRDefault="00D74B71" w:rsidP="00032BB2">
      <w:pPr>
        <w:ind w:right="-2"/>
        <w:rPr>
          <w:sz w:val="22"/>
          <w:szCs w:val="22"/>
        </w:rPr>
      </w:pPr>
      <w:r w:rsidRPr="00BA0AF9">
        <w:rPr>
          <w:sz w:val="22"/>
          <w:szCs w:val="22"/>
        </w:rPr>
        <w:t>č</w:t>
      </w:r>
      <w:r w:rsidR="00032BB2" w:rsidRPr="00BA0AF9">
        <w:rPr>
          <w:sz w:val="22"/>
          <w:szCs w:val="22"/>
        </w:rPr>
        <w:t>ervený oxid železitý (E172).</w:t>
      </w:r>
    </w:p>
    <w:p w14:paraId="744B88C6" w14:textId="77777777" w:rsidR="00032BB2" w:rsidRPr="00BA0AF9" w:rsidRDefault="00032BB2" w:rsidP="0041039F">
      <w:pPr>
        <w:spacing w:line="260" w:lineRule="exact"/>
        <w:rPr>
          <w:b/>
          <w:sz w:val="22"/>
          <w:szCs w:val="22"/>
        </w:rPr>
      </w:pPr>
    </w:p>
    <w:p w14:paraId="10CAF783" w14:textId="77777777" w:rsidR="0041039F" w:rsidRPr="00BA0AF9" w:rsidRDefault="0041039F" w:rsidP="0041039F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Seroxat 20</w:t>
      </w:r>
      <w:r w:rsidR="0088500B" w:rsidRPr="00BA0AF9">
        <w:rPr>
          <w:b/>
          <w:sz w:val="22"/>
          <w:szCs w:val="22"/>
        </w:rPr>
        <w:t> </w:t>
      </w:r>
      <w:r w:rsidRPr="00BA0AF9">
        <w:rPr>
          <w:b/>
          <w:sz w:val="22"/>
          <w:szCs w:val="22"/>
        </w:rPr>
        <w:t>mg filmom obalené tablety</w:t>
      </w:r>
    </w:p>
    <w:p w14:paraId="55861F80" w14:textId="77777777" w:rsidR="004C1D08" w:rsidRPr="00BA0AF9" w:rsidRDefault="00324CDC" w:rsidP="0041039F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Jadro tablety:</w:t>
      </w:r>
    </w:p>
    <w:p w14:paraId="15735336" w14:textId="77777777" w:rsidR="00324CDC" w:rsidRPr="00BA0AF9" w:rsidRDefault="00A6336A" w:rsidP="0041039F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d</w:t>
      </w:r>
      <w:r w:rsidR="004B48C0" w:rsidRPr="00BA0AF9">
        <w:rPr>
          <w:sz w:val="22"/>
          <w:szCs w:val="22"/>
        </w:rPr>
        <w:t>ihydrát h</w:t>
      </w:r>
      <w:r w:rsidR="00FA0475" w:rsidRPr="00BA0AF9">
        <w:rPr>
          <w:sz w:val="22"/>
          <w:szCs w:val="22"/>
        </w:rPr>
        <w:t>ydrog</w:t>
      </w:r>
      <w:r w:rsidR="002F354D" w:rsidRPr="00BA0AF9">
        <w:rPr>
          <w:sz w:val="22"/>
          <w:szCs w:val="22"/>
        </w:rPr>
        <w:t>é</w:t>
      </w:r>
      <w:r w:rsidR="00FA0475" w:rsidRPr="00BA0AF9">
        <w:rPr>
          <w:sz w:val="22"/>
          <w:szCs w:val="22"/>
        </w:rPr>
        <w:t>nfosforečnan</w:t>
      </w:r>
      <w:r w:rsidR="004B48C0" w:rsidRPr="00BA0AF9">
        <w:rPr>
          <w:sz w:val="22"/>
          <w:szCs w:val="22"/>
        </w:rPr>
        <w:t>u</w:t>
      </w:r>
      <w:r w:rsidR="00FA0475" w:rsidRPr="00BA0AF9">
        <w:rPr>
          <w:sz w:val="22"/>
          <w:szCs w:val="22"/>
        </w:rPr>
        <w:t xml:space="preserve"> vápenat</w:t>
      </w:r>
      <w:r w:rsidR="004B48C0" w:rsidRPr="00BA0AF9">
        <w:rPr>
          <w:sz w:val="22"/>
          <w:szCs w:val="22"/>
        </w:rPr>
        <w:t>ého</w:t>
      </w:r>
      <w:r w:rsidR="00924838" w:rsidRPr="00BA0AF9">
        <w:rPr>
          <w:sz w:val="22"/>
          <w:szCs w:val="22"/>
        </w:rPr>
        <w:t xml:space="preserve"> (E341)</w:t>
      </w:r>
    </w:p>
    <w:p w14:paraId="044BECB4" w14:textId="77777777" w:rsidR="004C1D08" w:rsidRPr="00BA0AF9" w:rsidRDefault="00A6336A" w:rsidP="0041039F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s</w:t>
      </w:r>
      <w:r w:rsidR="004C1D08" w:rsidRPr="00BA0AF9">
        <w:rPr>
          <w:sz w:val="22"/>
          <w:szCs w:val="22"/>
        </w:rPr>
        <w:t>odná soľ karboxymetyškrobu (Typ</w:t>
      </w:r>
      <w:r w:rsidR="002F354D" w:rsidRPr="00BA0AF9">
        <w:rPr>
          <w:sz w:val="22"/>
          <w:szCs w:val="22"/>
        </w:rPr>
        <w:t> </w:t>
      </w:r>
      <w:r w:rsidR="004C1D08" w:rsidRPr="00BA0AF9">
        <w:rPr>
          <w:sz w:val="22"/>
          <w:szCs w:val="22"/>
        </w:rPr>
        <w:t>A)</w:t>
      </w:r>
    </w:p>
    <w:p w14:paraId="6FC45DB3" w14:textId="77777777" w:rsidR="00140CF8" w:rsidRPr="00BA0AF9" w:rsidRDefault="00A6336A" w:rsidP="0041039F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m</w:t>
      </w:r>
      <w:r w:rsidR="0041039F" w:rsidRPr="00BA0AF9">
        <w:rPr>
          <w:sz w:val="22"/>
          <w:szCs w:val="22"/>
        </w:rPr>
        <w:t>agnéziumstearát</w:t>
      </w:r>
      <w:r w:rsidR="00924838" w:rsidRPr="00BA0AF9">
        <w:rPr>
          <w:sz w:val="22"/>
          <w:szCs w:val="22"/>
        </w:rPr>
        <w:t xml:space="preserve"> (E470b)</w:t>
      </w:r>
      <w:r w:rsidR="004C1D08" w:rsidRPr="00BA0AF9">
        <w:rPr>
          <w:sz w:val="22"/>
          <w:szCs w:val="22"/>
        </w:rPr>
        <w:t>.</w:t>
      </w:r>
    </w:p>
    <w:p w14:paraId="5B4B9197" w14:textId="77777777" w:rsidR="0041039F" w:rsidRPr="00BA0AF9" w:rsidRDefault="0041039F" w:rsidP="0041039F">
      <w:pPr>
        <w:spacing w:line="260" w:lineRule="exact"/>
        <w:rPr>
          <w:sz w:val="22"/>
          <w:szCs w:val="22"/>
        </w:rPr>
      </w:pPr>
    </w:p>
    <w:p w14:paraId="7D1D278B" w14:textId="77777777" w:rsidR="00324CDC" w:rsidRPr="00BA0AF9" w:rsidRDefault="0041039F" w:rsidP="0041039F">
      <w:pPr>
        <w:ind w:right="-2"/>
        <w:rPr>
          <w:sz w:val="22"/>
          <w:szCs w:val="22"/>
        </w:rPr>
      </w:pPr>
      <w:r w:rsidRPr="00BA0AF9">
        <w:rPr>
          <w:sz w:val="22"/>
          <w:szCs w:val="22"/>
        </w:rPr>
        <w:t>Obal tablety:</w:t>
      </w:r>
    </w:p>
    <w:p w14:paraId="6282E998" w14:textId="77777777" w:rsidR="00324CDC" w:rsidRPr="00BA0AF9" w:rsidRDefault="00A6336A" w:rsidP="0041039F">
      <w:pPr>
        <w:ind w:right="-2"/>
        <w:rPr>
          <w:sz w:val="22"/>
          <w:szCs w:val="22"/>
        </w:rPr>
      </w:pPr>
      <w:r w:rsidRPr="00BA0AF9">
        <w:rPr>
          <w:sz w:val="22"/>
          <w:szCs w:val="22"/>
        </w:rPr>
        <w:t>h</w:t>
      </w:r>
      <w:r w:rsidR="0041039F" w:rsidRPr="00BA0AF9">
        <w:rPr>
          <w:sz w:val="22"/>
          <w:szCs w:val="22"/>
        </w:rPr>
        <w:t>ypromelóza</w:t>
      </w:r>
      <w:r w:rsidR="00924838" w:rsidRPr="00BA0AF9">
        <w:rPr>
          <w:sz w:val="22"/>
          <w:szCs w:val="22"/>
        </w:rPr>
        <w:t xml:space="preserve"> (E464)</w:t>
      </w:r>
    </w:p>
    <w:p w14:paraId="53484DD9" w14:textId="77777777" w:rsidR="004C1D08" w:rsidRPr="00BA0AF9" w:rsidRDefault="00A6336A" w:rsidP="0041039F">
      <w:pPr>
        <w:ind w:right="-2"/>
        <w:rPr>
          <w:sz w:val="22"/>
          <w:szCs w:val="22"/>
        </w:rPr>
      </w:pPr>
      <w:r w:rsidRPr="00BA0AF9">
        <w:rPr>
          <w:sz w:val="22"/>
          <w:szCs w:val="22"/>
        </w:rPr>
        <w:t>m</w:t>
      </w:r>
      <w:r w:rsidR="004C1D08" w:rsidRPr="00BA0AF9">
        <w:rPr>
          <w:sz w:val="22"/>
          <w:szCs w:val="22"/>
        </w:rPr>
        <w:t>akrogol 400</w:t>
      </w:r>
    </w:p>
    <w:p w14:paraId="17DF71AD" w14:textId="77777777" w:rsidR="004C1D08" w:rsidRPr="00BA0AF9" w:rsidRDefault="00A6336A" w:rsidP="00924838">
      <w:pPr>
        <w:tabs>
          <w:tab w:val="left" w:pos="1815"/>
        </w:tabs>
        <w:ind w:right="-2"/>
        <w:rPr>
          <w:sz w:val="22"/>
          <w:szCs w:val="22"/>
        </w:rPr>
      </w:pPr>
      <w:r w:rsidRPr="00BA0AF9">
        <w:rPr>
          <w:sz w:val="22"/>
          <w:szCs w:val="22"/>
        </w:rPr>
        <w:t>p</w:t>
      </w:r>
      <w:r w:rsidR="004C1D08" w:rsidRPr="00BA0AF9">
        <w:rPr>
          <w:sz w:val="22"/>
          <w:szCs w:val="22"/>
        </w:rPr>
        <w:t>olysorbát 80</w:t>
      </w:r>
      <w:r w:rsidR="00924838" w:rsidRPr="00BA0AF9">
        <w:rPr>
          <w:sz w:val="22"/>
          <w:szCs w:val="22"/>
        </w:rPr>
        <w:t xml:space="preserve"> (E433)</w:t>
      </w:r>
    </w:p>
    <w:p w14:paraId="7218A647" w14:textId="77777777" w:rsidR="0041039F" w:rsidRPr="00BA0AF9" w:rsidRDefault="00A6336A" w:rsidP="0041039F">
      <w:pPr>
        <w:ind w:right="-2"/>
        <w:rPr>
          <w:sz w:val="22"/>
          <w:szCs w:val="22"/>
        </w:rPr>
      </w:pPr>
      <w:r w:rsidRPr="00BA0AF9">
        <w:rPr>
          <w:sz w:val="22"/>
          <w:szCs w:val="22"/>
        </w:rPr>
        <w:t>o</w:t>
      </w:r>
      <w:r w:rsidR="0041039F" w:rsidRPr="00BA0AF9">
        <w:rPr>
          <w:sz w:val="22"/>
          <w:szCs w:val="22"/>
        </w:rPr>
        <w:t>xid titaničitý (E171).</w:t>
      </w:r>
    </w:p>
    <w:p w14:paraId="36AFE6FB" w14:textId="77777777" w:rsidR="00140CF8" w:rsidRPr="00BA0AF9" w:rsidRDefault="00140CF8" w:rsidP="0041039F">
      <w:pPr>
        <w:spacing w:line="260" w:lineRule="exact"/>
        <w:rPr>
          <w:sz w:val="22"/>
          <w:szCs w:val="22"/>
        </w:rPr>
      </w:pPr>
    </w:p>
    <w:p w14:paraId="153D0853" w14:textId="77777777" w:rsidR="0041039F" w:rsidRPr="00BA0AF9" w:rsidRDefault="0041039F" w:rsidP="0041039F">
      <w:pPr>
        <w:spacing w:line="260" w:lineRule="exact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Seroxat 30</w:t>
      </w:r>
      <w:r w:rsidR="0088500B" w:rsidRPr="00BA0AF9">
        <w:rPr>
          <w:b/>
          <w:sz w:val="22"/>
          <w:szCs w:val="22"/>
        </w:rPr>
        <w:t> </w:t>
      </w:r>
      <w:r w:rsidRPr="00BA0AF9">
        <w:rPr>
          <w:b/>
          <w:sz w:val="22"/>
          <w:szCs w:val="22"/>
        </w:rPr>
        <w:t>mg filmom obalené tablety</w:t>
      </w:r>
    </w:p>
    <w:p w14:paraId="61750329" w14:textId="77777777" w:rsidR="00324CDC" w:rsidRPr="00BA0AF9" w:rsidRDefault="0041039F" w:rsidP="0041039F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Jadro tablety:</w:t>
      </w:r>
    </w:p>
    <w:p w14:paraId="61071FC6" w14:textId="77777777" w:rsidR="00324CDC" w:rsidRPr="00BA0AF9" w:rsidRDefault="00A6336A" w:rsidP="0041039F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d</w:t>
      </w:r>
      <w:r w:rsidR="0041039F" w:rsidRPr="00BA0AF9">
        <w:rPr>
          <w:sz w:val="22"/>
          <w:szCs w:val="22"/>
        </w:rPr>
        <w:t>ihydrát hydrog</w:t>
      </w:r>
      <w:r w:rsidR="002F354D" w:rsidRPr="00BA0AF9">
        <w:rPr>
          <w:sz w:val="22"/>
          <w:szCs w:val="22"/>
        </w:rPr>
        <w:t>é</w:t>
      </w:r>
      <w:r w:rsidR="0041039F" w:rsidRPr="00BA0AF9">
        <w:rPr>
          <w:sz w:val="22"/>
          <w:szCs w:val="22"/>
        </w:rPr>
        <w:t>nfosforečnanu vápenatého</w:t>
      </w:r>
      <w:r w:rsidR="00924838" w:rsidRPr="00BA0AF9">
        <w:rPr>
          <w:sz w:val="22"/>
          <w:szCs w:val="22"/>
        </w:rPr>
        <w:t xml:space="preserve"> (E341)</w:t>
      </w:r>
    </w:p>
    <w:p w14:paraId="695ACDA3" w14:textId="77777777" w:rsidR="0041039F" w:rsidRPr="00BA0AF9" w:rsidRDefault="00A6336A" w:rsidP="0041039F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s</w:t>
      </w:r>
      <w:r w:rsidR="0041039F" w:rsidRPr="00BA0AF9">
        <w:rPr>
          <w:sz w:val="22"/>
          <w:szCs w:val="22"/>
        </w:rPr>
        <w:t>odná soľ karboxymetylškrobu (Typ</w:t>
      </w:r>
      <w:r w:rsidR="002F354D" w:rsidRPr="00BA0AF9">
        <w:rPr>
          <w:sz w:val="22"/>
          <w:szCs w:val="22"/>
        </w:rPr>
        <w:t> </w:t>
      </w:r>
      <w:r w:rsidR="0041039F" w:rsidRPr="00BA0AF9">
        <w:rPr>
          <w:sz w:val="22"/>
          <w:szCs w:val="22"/>
        </w:rPr>
        <w:t>A)</w:t>
      </w:r>
    </w:p>
    <w:p w14:paraId="5B8FD6D5" w14:textId="77777777" w:rsidR="004C1D08" w:rsidRPr="00BA0AF9" w:rsidRDefault="00A6336A" w:rsidP="0041039F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m</w:t>
      </w:r>
      <w:r w:rsidR="004C1D08" w:rsidRPr="00BA0AF9">
        <w:rPr>
          <w:sz w:val="22"/>
          <w:szCs w:val="22"/>
        </w:rPr>
        <w:t>agnéziumstearát</w:t>
      </w:r>
      <w:r w:rsidR="00924838" w:rsidRPr="00BA0AF9">
        <w:rPr>
          <w:sz w:val="22"/>
          <w:szCs w:val="22"/>
        </w:rPr>
        <w:t xml:space="preserve"> (E470b)</w:t>
      </w:r>
      <w:r w:rsidR="004C1D08" w:rsidRPr="00BA0AF9">
        <w:rPr>
          <w:sz w:val="22"/>
          <w:szCs w:val="22"/>
        </w:rPr>
        <w:t>.</w:t>
      </w:r>
      <w:r w:rsidR="00924838" w:rsidRPr="00BA0AF9">
        <w:rPr>
          <w:sz w:val="22"/>
          <w:szCs w:val="22"/>
        </w:rPr>
        <w:t xml:space="preserve"> </w:t>
      </w:r>
    </w:p>
    <w:p w14:paraId="38318372" w14:textId="77777777" w:rsidR="0041039F" w:rsidRPr="00BA0AF9" w:rsidRDefault="0041039F" w:rsidP="0041039F">
      <w:pPr>
        <w:spacing w:line="260" w:lineRule="exact"/>
        <w:rPr>
          <w:sz w:val="22"/>
          <w:szCs w:val="22"/>
        </w:rPr>
      </w:pPr>
    </w:p>
    <w:p w14:paraId="5E8C6CA0" w14:textId="77777777" w:rsidR="00324CDC" w:rsidRPr="00BA0AF9" w:rsidRDefault="0041039F" w:rsidP="00BA0AF9">
      <w:pPr>
        <w:keepNext/>
        <w:keepLines/>
        <w:ind w:right="-2"/>
        <w:rPr>
          <w:sz w:val="22"/>
          <w:szCs w:val="22"/>
        </w:rPr>
      </w:pPr>
      <w:r w:rsidRPr="00BA0AF9">
        <w:rPr>
          <w:sz w:val="22"/>
          <w:szCs w:val="22"/>
        </w:rPr>
        <w:lastRenderedPageBreak/>
        <w:t>Obal tablety:</w:t>
      </w:r>
    </w:p>
    <w:p w14:paraId="4C302984" w14:textId="77777777" w:rsidR="00324CDC" w:rsidRPr="00BA0AF9" w:rsidRDefault="00A6336A" w:rsidP="00BA0AF9">
      <w:pPr>
        <w:keepNext/>
        <w:keepLines/>
        <w:ind w:right="-2"/>
        <w:rPr>
          <w:sz w:val="22"/>
          <w:szCs w:val="22"/>
        </w:rPr>
      </w:pPr>
      <w:r w:rsidRPr="00BA0AF9">
        <w:rPr>
          <w:sz w:val="22"/>
          <w:szCs w:val="22"/>
        </w:rPr>
        <w:t>h</w:t>
      </w:r>
      <w:r w:rsidR="0041039F" w:rsidRPr="00BA0AF9">
        <w:rPr>
          <w:sz w:val="22"/>
          <w:szCs w:val="22"/>
        </w:rPr>
        <w:t>ypromelóza</w:t>
      </w:r>
      <w:r w:rsidR="00924838" w:rsidRPr="00BA0AF9">
        <w:rPr>
          <w:sz w:val="22"/>
          <w:szCs w:val="22"/>
        </w:rPr>
        <w:t xml:space="preserve"> (E464)</w:t>
      </w:r>
    </w:p>
    <w:p w14:paraId="6EB57C4D" w14:textId="77777777" w:rsidR="004C1D08" w:rsidRPr="00BA0AF9" w:rsidRDefault="00A6336A" w:rsidP="00BA0AF9">
      <w:pPr>
        <w:keepNext/>
        <w:keepLines/>
        <w:ind w:right="-2"/>
        <w:rPr>
          <w:sz w:val="22"/>
          <w:szCs w:val="22"/>
        </w:rPr>
      </w:pPr>
      <w:r w:rsidRPr="00BA0AF9">
        <w:rPr>
          <w:sz w:val="22"/>
          <w:szCs w:val="22"/>
        </w:rPr>
        <w:t>m</w:t>
      </w:r>
      <w:r w:rsidR="004C1D08" w:rsidRPr="00BA0AF9">
        <w:rPr>
          <w:sz w:val="22"/>
          <w:szCs w:val="22"/>
        </w:rPr>
        <w:t>akrogol 400</w:t>
      </w:r>
    </w:p>
    <w:p w14:paraId="436E7D86" w14:textId="77777777" w:rsidR="004C1D08" w:rsidRPr="00BA0AF9" w:rsidRDefault="00A6336A" w:rsidP="00BA0AF9">
      <w:pPr>
        <w:keepNext/>
        <w:keepLines/>
        <w:ind w:right="-2"/>
        <w:rPr>
          <w:sz w:val="22"/>
          <w:szCs w:val="22"/>
        </w:rPr>
      </w:pPr>
      <w:r w:rsidRPr="00BA0AF9">
        <w:rPr>
          <w:sz w:val="22"/>
          <w:szCs w:val="22"/>
        </w:rPr>
        <w:t>p</w:t>
      </w:r>
      <w:r w:rsidR="004C1D08" w:rsidRPr="00BA0AF9">
        <w:rPr>
          <w:sz w:val="22"/>
          <w:szCs w:val="22"/>
        </w:rPr>
        <w:t>olysorbát 80</w:t>
      </w:r>
      <w:r w:rsidR="00924838" w:rsidRPr="00BA0AF9">
        <w:rPr>
          <w:sz w:val="22"/>
          <w:szCs w:val="22"/>
        </w:rPr>
        <w:t xml:space="preserve"> (E433)</w:t>
      </w:r>
    </w:p>
    <w:p w14:paraId="00D258B9" w14:textId="77777777" w:rsidR="00324CDC" w:rsidRPr="00BA0AF9" w:rsidRDefault="00A6336A" w:rsidP="00BA0AF9">
      <w:pPr>
        <w:keepNext/>
        <w:keepLines/>
        <w:rPr>
          <w:sz w:val="22"/>
          <w:szCs w:val="22"/>
        </w:rPr>
      </w:pPr>
      <w:r w:rsidRPr="00BA0AF9">
        <w:rPr>
          <w:sz w:val="22"/>
          <w:szCs w:val="22"/>
        </w:rPr>
        <w:t>o</w:t>
      </w:r>
      <w:r w:rsidR="0041039F" w:rsidRPr="00BA0AF9">
        <w:rPr>
          <w:sz w:val="22"/>
          <w:szCs w:val="22"/>
        </w:rPr>
        <w:t>xid titaničitý (E171)</w:t>
      </w:r>
    </w:p>
    <w:p w14:paraId="20A258EC" w14:textId="77777777" w:rsidR="0041039F" w:rsidRPr="00BA0AF9" w:rsidRDefault="00A6336A" w:rsidP="00BA0AF9">
      <w:pPr>
        <w:keepNext/>
        <w:keepLines/>
        <w:rPr>
          <w:sz w:val="22"/>
          <w:szCs w:val="22"/>
        </w:rPr>
      </w:pPr>
      <w:r w:rsidRPr="00BA0AF9">
        <w:rPr>
          <w:sz w:val="22"/>
          <w:szCs w:val="22"/>
        </w:rPr>
        <w:t>i</w:t>
      </w:r>
      <w:r w:rsidR="0041039F" w:rsidRPr="00BA0AF9">
        <w:rPr>
          <w:sz w:val="22"/>
          <w:szCs w:val="22"/>
        </w:rPr>
        <w:t>ndigokarmín (E132).</w:t>
      </w:r>
    </w:p>
    <w:p w14:paraId="0F3A138E" w14:textId="77777777" w:rsidR="0041039F" w:rsidRPr="00BA0AF9" w:rsidRDefault="0041039F">
      <w:pPr>
        <w:spacing w:line="260" w:lineRule="exact"/>
        <w:rPr>
          <w:sz w:val="22"/>
          <w:szCs w:val="22"/>
        </w:rPr>
      </w:pPr>
    </w:p>
    <w:p w14:paraId="420CE7F2" w14:textId="77777777" w:rsidR="00140CF8" w:rsidRPr="00BA0AF9" w:rsidRDefault="00140CF8">
      <w:pPr>
        <w:spacing w:line="260" w:lineRule="exact"/>
        <w:ind w:left="567" w:hanging="567"/>
        <w:rPr>
          <w:sz w:val="22"/>
          <w:szCs w:val="22"/>
        </w:rPr>
      </w:pPr>
      <w:r w:rsidRPr="00BA0AF9">
        <w:rPr>
          <w:b/>
          <w:sz w:val="22"/>
          <w:szCs w:val="22"/>
        </w:rPr>
        <w:t>6.2</w:t>
      </w:r>
      <w:r w:rsidRPr="00BA0AF9">
        <w:rPr>
          <w:b/>
          <w:sz w:val="22"/>
          <w:szCs w:val="22"/>
        </w:rPr>
        <w:tab/>
        <w:t>Inkompatibility</w:t>
      </w:r>
    </w:p>
    <w:p w14:paraId="042AF756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7F5F53E3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N</w:t>
      </w:r>
      <w:r w:rsidR="00154768" w:rsidRPr="00BA0AF9">
        <w:rPr>
          <w:sz w:val="22"/>
          <w:szCs w:val="22"/>
        </w:rPr>
        <w:t>eaplikovateľné</w:t>
      </w:r>
      <w:r w:rsidR="00324CDC" w:rsidRPr="00BA0AF9">
        <w:rPr>
          <w:sz w:val="22"/>
          <w:szCs w:val="22"/>
        </w:rPr>
        <w:t>.</w:t>
      </w:r>
    </w:p>
    <w:p w14:paraId="07222DC5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</w:p>
    <w:p w14:paraId="45428D3F" w14:textId="77777777" w:rsidR="00140CF8" w:rsidRPr="00BA0AF9" w:rsidRDefault="00140CF8" w:rsidP="00EB1089">
      <w:pPr>
        <w:keepNext/>
        <w:spacing w:line="260" w:lineRule="exact"/>
        <w:ind w:left="567" w:hanging="567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6.3</w:t>
      </w:r>
      <w:r w:rsidRPr="00BA0AF9">
        <w:rPr>
          <w:b/>
          <w:sz w:val="22"/>
          <w:szCs w:val="22"/>
        </w:rPr>
        <w:tab/>
        <w:t>Čas použiteľnosti</w:t>
      </w:r>
    </w:p>
    <w:p w14:paraId="253189F2" w14:textId="77777777" w:rsidR="00140CF8" w:rsidRPr="00BA0AF9" w:rsidRDefault="00140CF8" w:rsidP="00EB1089">
      <w:pPr>
        <w:pStyle w:val="Hlavika"/>
        <w:keepNext/>
        <w:tabs>
          <w:tab w:val="clear" w:pos="4320"/>
          <w:tab w:val="clear" w:pos="8640"/>
        </w:tabs>
        <w:spacing w:line="260" w:lineRule="exact"/>
        <w:rPr>
          <w:b/>
          <w:sz w:val="22"/>
          <w:szCs w:val="22"/>
        </w:rPr>
      </w:pPr>
    </w:p>
    <w:p w14:paraId="7885DD81" w14:textId="77777777" w:rsidR="00140CF8" w:rsidRPr="00BA0AF9" w:rsidRDefault="00154768" w:rsidP="00EB1089">
      <w:pPr>
        <w:pStyle w:val="Hlavika"/>
        <w:keepNext/>
        <w:tabs>
          <w:tab w:val="clear" w:pos="4320"/>
          <w:tab w:val="clear" w:pos="8640"/>
        </w:tabs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3</w:t>
      </w:r>
      <w:r w:rsidR="00140CF8" w:rsidRPr="00BA0AF9">
        <w:rPr>
          <w:sz w:val="22"/>
          <w:szCs w:val="22"/>
        </w:rPr>
        <w:t xml:space="preserve"> roky</w:t>
      </w:r>
      <w:r w:rsidRPr="00BA0AF9">
        <w:rPr>
          <w:sz w:val="22"/>
          <w:szCs w:val="22"/>
        </w:rPr>
        <w:t>.</w:t>
      </w:r>
    </w:p>
    <w:p w14:paraId="428FA0D7" w14:textId="77777777" w:rsidR="00140CF8" w:rsidRPr="00BA0AF9" w:rsidRDefault="00140CF8">
      <w:pPr>
        <w:spacing w:line="260" w:lineRule="exact"/>
        <w:rPr>
          <w:b/>
          <w:sz w:val="22"/>
          <w:szCs w:val="22"/>
        </w:rPr>
      </w:pPr>
    </w:p>
    <w:p w14:paraId="1B1A1F11" w14:textId="77777777" w:rsidR="00140CF8" w:rsidRPr="00BA0AF9" w:rsidRDefault="00140CF8">
      <w:pPr>
        <w:spacing w:line="260" w:lineRule="exact"/>
        <w:ind w:left="567" w:hanging="567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6.4</w:t>
      </w:r>
      <w:r w:rsidRPr="00BA0AF9">
        <w:rPr>
          <w:b/>
          <w:sz w:val="22"/>
          <w:szCs w:val="22"/>
        </w:rPr>
        <w:tab/>
        <w:t>Špeciálne upozornenia na uchovávanie</w:t>
      </w:r>
    </w:p>
    <w:p w14:paraId="5426832D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6483316F" w14:textId="77777777" w:rsidR="00140CF8" w:rsidRPr="00BA0AF9" w:rsidRDefault="00140CF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30ﾠﾰC"/>
        </w:smartTagPr>
        <w:r w:rsidRPr="00BA0AF9">
          <w:rPr>
            <w:sz w:val="22"/>
            <w:szCs w:val="22"/>
          </w:rPr>
          <w:t>30</w:t>
        </w:r>
        <w:r w:rsidR="00924838" w:rsidRPr="00BA0AF9">
          <w:rPr>
            <w:sz w:val="22"/>
            <w:szCs w:val="22"/>
          </w:rPr>
          <w:t> </w:t>
        </w:r>
        <w:r w:rsidRPr="00BA0AF9">
          <w:rPr>
            <w:sz w:val="22"/>
            <w:szCs w:val="22"/>
          </w:rPr>
          <w:t>°C</w:t>
        </w:r>
      </w:smartTag>
      <w:r w:rsidRPr="00BA0AF9">
        <w:rPr>
          <w:sz w:val="22"/>
          <w:szCs w:val="22"/>
        </w:rPr>
        <w:t>.</w:t>
      </w:r>
    </w:p>
    <w:p w14:paraId="180C523B" w14:textId="77777777" w:rsidR="00154768" w:rsidRPr="00BA0AF9" w:rsidRDefault="00154768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Uchovávajte v pôvodnom obale na ochranu pred svetlom.</w:t>
      </w:r>
    </w:p>
    <w:p w14:paraId="2BBB7248" w14:textId="77777777" w:rsidR="00140CF8" w:rsidRPr="00BA0AF9" w:rsidRDefault="00140CF8">
      <w:pPr>
        <w:pStyle w:val="Hlavika"/>
        <w:tabs>
          <w:tab w:val="clear" w:pos="4320"/>
          <w:tab w:val="clear" w:pos="8640"/>
        </w:tabs>
        <w:spacing w:line="260" w:lineRule="exact"/>
        <w:rPr>
          <w:sz w:val="22"/>
          <w:szCs w:val="22"/>
        </w:rPr>
      </w:pPr>
    </w:p>
    <w:p w14:paraId="511C0D9F" w14:textId="77777777" w:rsidR="00140CF8" w:rsidRPr="00BA0AF9" w:rsidRDefault="00140CF8">
      <w:pPr>
        <w:spacing w:line="260" w:lineRule="exact"/>
        <w:ind w:left="567" w:hanging="567"/>
        <w:rPr>
          <w:b/>
          <w:sz w:val="22"/>
          <w:szCs w:val="22"/>
        </w:rPr>
      </w:pPr>
      <w:r w:rsidRPr="00BA0AF9">
        <w:rPr>
          <w:b/>
          <w:sz w:val="22"/>
          <w:szCs w:val="22"/>
        </w:rPr>
        <w:t>6.5</w:t>
      </w:r>
      <w:r w:rsidRPr="00BA0AF9">
        <w:rPr>
          <w:b/>
          <w:sz w:val="22"/>
          <w:szCs w:val="22"/>
        </w:rPr>
        <w:tab/>
        <w:t>Druh obalu a obsah balenia</w:t>
      </w:r>
    </w:p>
    <w:p w14:paraId="3C4361F5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0011BBA4" w14:textId="77777777" w:rsidR="00032BB2" w:rsidRPr="00BA0AF9" w:rsidRDefault="00032BB2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Seroxat 10 mg:</w:t>
      </w:r>
    </w:p>
    <w:p w14:paraId="43582891" w14:textId="77777777" w:rsidR="00032BB2" w:rsidRPr="00BA0AF9" w:rsidRDefault="00C1633B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Detské bezpečnostné b</w:t>
      </w:r>
      <w:r w:rsidR="00032BB2" w:rsidRPr="00BA0AF9">
        <w:rPr>
          <w:sz w:val="22"/>
          <w:szCs w:val="22"/>
        </w:rPr>
        <w:t>listre pozostávajúce z nepriehľadného polyvinyl</w:t>
      </w:r>
      <w:r w:rsidRPr="00BA0AF9">
        <w:rPr>
          <w:sz w:val="22"/>
          <w:szCs w:val="22"/>
        </w:rPr>
        <w:t>chloridu</w:t>
      </w:r>
      <w:r w:rsidR="00032BB2" w:rsidRPr="00BA0AF9">
        <w:rPr>
          <w:sz w:val="22"/>
          <w:szCs w:val="22"/>
        </w:rPr>
        <w:t xml:space="preserve"> (PVC) podlepeného hliníkovou fóliou</w:t>
      </w:r>
      <w:r w:rsidRPr="00BA0AF9">
        <w:rPr>
          <w:sz w:val="22"/>
          <w:szCs w:val="22"/>
        </w:rPr>
        <w:t xml:space="preserve"> potiahnutou papierom</w:t>
      </w:r>
      <w:r w:rsidR="00032BB2" w:rsidRPr="00BA0AF9">
        <w:rPr>
          <w:sz w:val="22"/>
          <w:szCs w:val="22"/>
        </w:rPr>
        <w:t>.</w:t>
      </w:r>
    </w:p>
    <w:p w14:paraId="2819200A" w14:textId="77777777" w:rsidR="00032BB2" w:rsidRPr="00BA0AF9" w:rsidRDefault="00032BB2">
      <w:pPr>
        <w:spacing w:line="260" w:lineRule="exact"/>
        <w:rPr>
          <w:sz w:val="22"/>
          <w:szCs w:val="22"/>
        </w:rPr>
      </w:pPr>
    </w:p>
    <w:p w14:paraId="66EEED2E" w14:textId="77777777" w:rsidR="00377809" w:rsidRPr="00BA0AF9" w:rsidRDefault="00377809" w:rsidP="00377809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Veľkosti balenia: 14 a 28 tabliet.</w:t>
      </w:r>
    </w:p>
    <w:p w14:paraId="770DFDD6" w14:textId="77777777" w:rsidR="00377809" w:rsidRPr="00BA0AF9" w:rsidRDefault="00377809">
      <w:pPr>
        <w:spacing w:line="260" w:lineRule="exact"/>
        <w:rPr>
          <w:sz w:val="22"/>
          <w:szCs w:val="22"/>
        </w:rPr>
      </w:pPr>
    </w:p>
    <w:p w14:paraId="6ECFEBCE" w14:textId="77777777" w:rsidR="00032BB2" w:rsidRPr="00BA0AF9" w:rsidRDefault="00032BB2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Seroxat 20 mg:</w:t>
      </w:r>
    </w:p>
    <w:p w14:paraId="399641C9" w14:textId="77777777" w:rsidR="00154768" w:rsidRPr="00BA0AF9" w:rsidRDefault="00377809" w:rsidP="00881E45">
      <w:pPr>
        <w:rPr>
          <w:sz w:val="22"/>
          <w:szCs w:val="22"/>
        </w:rPr>
      </w:pPr>
      <w:r w:rsidRPr="00BA0AF9">
        <w:rPr>
          <w:sz w:val="22"/>
          <w:szCs w:val="22"/>
        </w:rPr>
        <w:t>Detské bezpečnostné blistre</w:t>
      </w:r>
      <w:r w:rsidR="00154768" w:rsidRPr="00BA0AF9">
        <w:rPr>
          <w:sz w:val="22"/>
          <w:szCs w:val="22"/>
        </w:rPr>
        <w:t xml:space="preserve"> pozostávajúce z</w:t>
      </w:r>
      <w:r w:rsidR="009B7F60" w:rsidRPr="00BA0AF9">
        <w:rPr>
          <w:sz w:val="22"/>
          <w:szCs w:val="22"/>
        </w:rPr>
        <w:t> nepriehľadného polyvinylchloridu (PVC) podlepeného hliníkovou fóliou</w:t>
      </w:r>
      <w:r w:rsidRPr="00BA0AF9">
        <w:rPr>
          <w:sz w:val="22"/>
          <w:szCs w:val="22"/>
        </w:rPr>
        <w:t xml:space="preserve"> potiahnutou papierom</w:t>
      </w:r>
      <w:r w:rsidR="009B7F60" w:rsidRPr="00BA0AF9">
        <w:rPr>
          <w:sz w:val="22"/>
          <w:szCs w:val="22"/>
        </w:rPr>
        <w:t xml:space="preserve">. </w:t>
      </w:r>
      <w:r w:rsidR="00276AEC" w:rsidRPr="00BA0AF9">
        <w:rPr>
          <w:sz w:val="22"/>
          <w:szCs w:val="22"/>
        </w:rPr>
        <w:t>Môže sa tiež použiť plastová nádobka (fľaš</w:t>
      </w:r>
      <w:r w:rsidR="006A489A" w:rsidRPr="00BA0AF9">
        <w:rPr>
          <w:sz w:val="22"/>
          <w:szCs w:val="22"/>
        </w:rPr>
        <w:t>k</w:t>
      </w:r>
      <w:r w:rsidR="00276AEC" w:rsidRPr="00BA0AF9">
        <w:rPr>
          <w:sz w:val="22"/>
          <w:szCs w:val="22"/>
        </w:rPr>
        <w:t xml:space="preserve">a) </w:t>
      </w:r>
      <w:r w:rsidR="002E4013" w:rsidRPr="00BA0AF9">
        <w:rPr>
          <w:sz w:val="22"/>
          <w:szCs w:val="22"/>
        </w:rPr>
        <w:t xml:space="preserve">vyrobená </w:t>
      </w:r>
      <w:r w:rsidR="00276AEC" w:rsidRPr="00BA0AF9">
        <w:rPr>
          <w:sz w:val="22"/>
          <w:szCs w:val="22"/>
        </w:rPr>
        <w:t>z polypropylénu s uzáverom z polyetylénu.</w:t>
      </w:r>
    </w:p>
    <w:p w14:paraId="546690EA" w14:textId="77777777" w:rsidR="00115319" w:rsidRPr="00BA0AF9" w:rsidRDefault="00115319" w:rsidP="00377809">
      <w:pPr>
        <w:spacing w:line="260" w:lineRule="exact"/>
        <w:rPr>
          <w:sz w:val="22"/>
          <w:szCs w:val="22"/>
        </w:rPr>
      </w:pPr>
    </w:p>
    <w:p w14:paraId="7DD23320" w14:textId="77777777" w:rsidR="00377809" w:rsidRPr="00BA0AF9" w:rsidRDefault="00377809" w:rsidP="00377809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Veľkosti balenia: 50 x 1 tableta alebo 4, 10, 14, 20, 28, 30, 50, 56, 60, 98, 100, </w:t>
      </w:r>
      <w:smartTag w:uri="urn:schemas-microsoft-com:office:smarttags" w:element="metricconverter">
        <w:smartTagPr>
          <w:attr w:name="ProductID" w:val="250 a"/>
        </w:smartTagPr>
        <w:r w:rsidRPr="00BA0AF9">
          <w:rPr>
            <w:sz w:val="22"/>
            <w:szCs w:val="22"/>
          </w:rPr>
          <w:t>250 a</w:t>
        </w:r>
      </w:smartTag>
      <w:r w:rsidRPr="00BA0AF9">
        <w:rPr>
          <w:sz w:val="22"/>
          <w:szCs w:val="22"/>
        </w:rPr>
        <w:t xml:space="preserve"> 500 tabliet. </w:t>
      </w:r>
    </w:p>
    <w:p w14:paraId="040055D4" w14:textId="77777777" w:rsidR="00377809" w:rsidRPr="00BA0AF9" w:rsidRDefault="00377809" w:rsidP="00377809">
      <w:pPr>
        <w:spacing w:line="260" w:lineRule="exact"/>
        <w:rPr>
          <w:sz w:val="22"/>
          <w:szCs w:val="22"/>
        </w:rPr>
      </w:pPr>
    </w:p>
    <w:p w14:paraId="1BE95B98" w14:textId="77777777" w:rsidR="00377809" w:rsidRPr="00BA0AF9" w:rsidRDefault="00377809" w:rsidP="00377809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Seroxat 30 mg</w:t>
      </w:r>
    </w:p>
    <w:p w14:paraId="626B84D3" w14:textId="0F74059E" w:rsidR="00501BC0" w:rsidRPr="00BA0AF9" w:rsidRDefault="007A3DF3" w:rsidP="00501BC0">
      <w:pPr>
        <w:rPr>
          <w:sz w:val="22"/>
          <w:szCs w:val="22"/>
        </w:rPr>
      </w:pPr>
      <w:r w:rsidRPr="00BA0AF9">
        <w:rPr>
          <w:sz w:val="22"/>
          <w:szCs w:val="22"/>
        </w:rPr>
        <w:t xml:space="preserve">Detské bezpečnostné </w:t>
      </w:r>
      <w:proofErr w:type="spellStart"/>
      <w:r w:rsidRPr="00BA0AF9">
        <w:rPr>
          <w:sz w:val="22"/>
          <w:szCs w:val="22"/>
        </w:rPr>
        <w:t>b</w:t>
      </w:r>
      <w:r w:rsidR="00501BC0" w:rsidRPr="00BA0AF9">
        <w:rPr>
          <w:sz w:val="22"/>
          <w:szCs w:val="22"/>
        </w:rPr>
        <w:t>listre</w:t>
      </w:r>
      <w:proofErr w:type="spellEnd"/>
      <w:r w:rsidR="00501BC0" w:rsidRPr="00BA0AF9">
        <w:rPr>
          <w:sz w:val="22"/>
          <w:szCs w:val="22"/>
        </w:rPr>
        <w:t xml:space="preserve"> pozostávajúce z nepriehľadného </w:t>
      </w:r>
      <w:r w:rsidRPr="00BA0AF9">
        <w:rPr>
          <w:sz w:val="22"/>
          <w:szCs w:val="22"/>
        </w:rPr>
        <w:t>polyvinylchloridu (</w:t>
      </w:r>
      <w:r w:rsidR="00501BC0" w:rsidRPr="00BA0AF9">
        <w:rPr>
          <w:sz w:val="22"/>
          <w:szCs w:val="22"/>
        </w:rPr>
        <w:t>PVC</w:t>
      </w:r>
      <w:r w:rsidRPr="00BA0AF9">
        <w:rPr>
          <w:sz w:val="22"/>
          <w:szCs w:val="22"/>
        </w:rPr>
        <w:t>)</w:t>
      </w:r>
      <w:r w:rsidR="00501BC0" w:rsidRPr="00BA0AF9">
        <w:rPr>
          <w:sz w:val="22"/>
          <w:szCs w:val="22"/>
        </w:rPr>
        <w:t xml:space="preserve"> podlepeného hliníkovou fóliou</w:t>
      </w:r>
      <w:r w:rsidRPr="00BA0AF9">
        <w:rPr>
          <w:sz w:val="22"/>
          <w:szCs w:val="22"/>
        </w:rPr>
        <w:t xml:space="preserve"> potiahnutou papierom</w:t>
      </w:r>
      <w:r w:rsidR="00501BC0" w:rsidRPr="00BA0AF9">
        <w:rPr>
          <w:sz w:val="22"/>
          <w:szCs w:val="22"/>
        </w:rPr>
        <w:t>. Môže sa tiež použiť plastová nádobka (fľaška) vyrobená z polypropylénu s uzáverom z polyetylénu.</w:t>
      </w:r>
    </w:p>
    <w:p w14:paraId="51D36BBE" w14:textId="77777777" w:rsidR="00115319" w:rsidRPr="00BA0AF9" w:rsidRDefault="00115319">
      <w:pPr>
        <w:spacing w:line="260" w:lineRule="exact"/>
        <w:rPr>
          <w:sz w:val="22"/>
          <w:szCs w:val="22"/>
        </w:rPr>
      </w:pPr>
    </w:p>
    <w:p w14:paraId="36D930BD" w14:textId="77777777" w:rsidR="00140CF8" w:rsidRPr="00BA0AF9" w:rsidRDefault="00115319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Veľkosti balenia</w:t>
      </w:r>
      <w:r w:rsidR="00140CF8" w:rsidRPr="00BA0AF9">
        <w:rPr>
          <w:sz w:val="22"/>
          <w:szCs w:val="22"/>
        </w:rPr>
        <w:t xml:space="preserve">: </w:t>
      </w:r>
      <w:r w:rsidR="009B7F60" w:rsidRPr="00BA0AF9">
        <w:rPr>
          <w:sz w:val="22"/>
          <w:szCs w:val="22"/>
        </w:rPr>
        <w:t xml:space="preserve">28, </w:t>
      </w:r>
      <w:r w:rsidR="00140CF8" w:rsidRPr="00BA0AF9">
        <w:rPr>
          <w:sz w:val="22"/>
          <w:szCs w:val="22"/>
        </w:rPr>
        <w:t>30</w:t>
      </w:r>
      <w:r w:rsidR="00226C07" w:rsidRPr="00BA0AF9">
        <w:rPr>
          <w:sz w:val="22"/>
          <w:szCs w:val="22"/>
        </w:rPr>
        <w:t>,</w:t>
      </w:r>
      <w:r w:rsidR="00140CF8" w:rsidRPr="00BA0AF9">
        <w:rPr>
          <w:sz w:val="22"/>
          <w:szCs w:val="22"/>
        </w:rPr>
        <w:t xml:space="preserve"> </w:t>
      </w:r>
      <w:r w:rsidR="009B7F60" w:rsidRPr="00BA0AF9">
        <w:rPr>
          <w:sz w:val="22"/>
          <w:szCs w:val="22"/>
        </w:rPr>
        <w:t xml:space="preserve">56 </w:t>
      </w:r>
      <w:r w:rsidR="00226C07" w:rsidRPr="00BA0AF9">
        <w:rPr>
          <w:sz w:val="22"/>
          <w:szCs w:val="22"/>
        </w:rPr>
        <w:t>a 60 </w:t>
      </w:r>
      <w:r w:rsidR="00140CF8" w:rsidRPr="00BA0AF9">
        <w:rPr>
          <w:sz w:val="22"/>
          <w:szCs w:val="22"/>
        </w:rPr>
        <w:t>tabliet.</w:t>
      </w:r>
    </w:p>
    <w:p w14:paraId="452F9EE6" w14:textId="77777777" w:rsidR="009B7F60" w:rsidRPr="00BA0AF9" w:rsidRDefault="009B7F60">
      <w:pPr>
        <w:spacing w:line="260" w:lineRule="exact"/>
        <w:rPr>
          <w:sz w:val="22"/>
          <w:szCs w:val="22"/>
        </w:rPr>
      </w:pPr>
    </w:p>
    <w:p w14:paraId="4EEFA808" w14:textId="77777777" w:rsidR="009B7F60" w:rsidRPr="00BA0AF9" w:rsidRDefault="00EF7859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Na trh nemusia byť uvedené </w:t>
      </w:r>
      <w:r w:rsidR="009B7F60" w:rsidRPr="00BA0AF9">
        <w:rPr>
          <w:sz w:val="22"/>
          <w:szCs w:val="22"/>
        </w:rPr>
        <w:t>všetky veľkosti balenia</w:t>
      </w:r>
      <w:r w:rsidR="00866713" w:rsidRPr="00BA0AF9">
        <w:rPr>
          <w:sz w:val="22"/>
          <w:szCs w:val="22"/>
        </w:rPr>
        <w:t>.</w:t>
      </w:r>
    </w:p>
    <w:p w14:paraId="5B0E29E0" w14:textId="77777777" w:rsidR="00032BB2" w:rsidRPr="00BA0AF9" w:rsidRDefault="00032BB2">
      <w:pPr>
        <w:spacing w:line="260" w:lineRule="exact"/>
        <w:rPr>
          <w:sz w:val="22"/>
          <w:szCs w:val="22"/>
        </w:rPr>
      </w:pPr>
    </w:p>
    <w:p w14:paraId="49695097" w14:textId="77777777" w:rsidR="00324CDC" w:rsidRPr="00BA0AF9" w:rsidRDefault="00324CDC" w:rsidP="00324CDC">
      <w:pPr>
        <w:spacing w:line="260" w:lineRule="exact"/>
        <w:rPr>
          <w:b/>
          <w:bCs/>
          <w:noProof/>
          <w:sz w:val="22"/>
          <w:szCs w:val="22"/>
        </w:rPr>
      </w:pPr>
      <w:r w:rsidRPr="00BA0AF9">
        <w:rPr>
          <w:b/>
          <w:bCs/>
          <w:noProof/>
          <w:sz w:val="22"/>
          <w:szCs w:val="22"/>
        </w:rPr>
        <w:t>6.6</w:t>
      </w:r>
      <w:r w:rsidRPr="00BA0AF9">
        <w:rPr>
          <w:b/>
          <w:bCs/>
          <w:noProof/>
          <w:sz w:val="22"/>
          <w:szCs w:val="22"/>
        </w:rPr>
        <w:tab/>
      </w:r>
      <w:r w:rsidR="00032BB2" w:rsidRPr="00BA0AF9">
        <w:rPr>
          <w:b/>
          <w:bCs/>
          <w:noProof/>
          <w:sz w:val="22"/>
          <w:szCs w:val="22"/>
        </w:rPr>
        <w:t>Špeciálne opatrenia na likvidáciu</w:t>
      </w:r>
    </w:p>
    <w:p w14:paraId="68457F01" w14:textId="77777777" w:rsidR="00324CDC" w:rsidRPr="00BA0AF9" w:rsidRDefault="00324CDC" w:rsidP="00324CDC">
      <w:pPr>
        <w:spacing w:line="260" w:lineRule="exact"/>
        <w:rPr>
          <w:noProof/>
          <w:sz w:val="22"/>
          <w:szCs w:val="22"/>
        </w:rPr>
      </w:pPr>
    </w:p>
    <w:p w14:paraId="4D263483" w14:textId="77777777" w:rsidR="00032BB2" w:rsidRPr="00BA0AF9" w:rsidRDefault="00032BB2" w:rsidP="00324CDC">
      <w:pPr>
        <w:spacing w:line="260" w:lineRule="exact"/>
        <w:rPr>
          <w:noProof/>
          <w:sz w:val="22"/>
          <w:szCs w:val="22"/>
        </w:rPr>
      </w:pPr>
      <w:r w:rsidRPr="00BA0AF9">
        <w:rPr>
          <w:noProof/>
          <w:sz w:val="22"/>
          <w:szCs w:val="22"/>
        </w:rPr>
        <w:t>Žiadne zvláštne požiadavky.</w:t>
      </w:r>
    </w:p>
    <w:p w14:paraId="4DB955B0" w14:textId="497EB17D" w:rsidR="00C33B00" w:rsidRPr="00BA0AF9" w:rsidRDefault="00C33B00" w:rsidP="00324CDC">
      <w:pPr>
        <w:spacing w:line="260" w:lineRule="exact"/>
        <w:rPr>
          <w:b/>
          <w:sz w:val="22"/>
          <w:szCs w:val="22"/>
        </w:rPr>
      </w:pPr>
      <w:r w:rsidRPr="00BA0AF9">
        <w:rPr>
          <w:noProof/>
          <w:sz w:val="22"/>
          <w:szCs w:val="22"/>
        </w:rPr>
        <w:t>Nepoužitý liek alebo odpad vzniknutý z lieku</w:t>
      </w:r>
      <w:r w:rsidR="009A71BE" w:rsidRPr="00BA0AF9">
        <w:rPr>
          <w:sz w:val="22"/>
          <w:szCs w:val="22"/>
        </w:rPr>
        <w:t xml:space="preserve"> </w:t>
      </w:r>
      <w:r w:rsidRPr="00BA0AF9">
        <w:rPr>
          <w:noProof/>
          <w:sz w:val="22"/>
          <w:szCs w:val="22"/>
        </w:rPr>
        <w:t xml:space="preserve">treba vrátiť do lekárne. </w:t>
      </w:r>
    </w:p>
    <w:p w14:paraId="5A192172" w14:textId="77777777" w:rsidR="009B7F60" w:rsidRPr="00BA0AF9" w:rsidRDefault="009B7F60">
      <w:pPr>
        <w:spacing w:line="260" w:lineRule="exact"/>
        <w:rPr>
          <w:sz w:val="22"/>
          <w:szCs w:val="22"/>
        </w:rPr>
      </w:pPr>
    </w:p>
    <w:p w14:paraId="1124EA75" w14:textId="77777777" w:rsidR="00140CF8" w:rsidRPr="00BA0AF9" w:rsidRDefault="00140CF8">
      <w:pPr>
        <w:spacing w:line="260" w:lineRule="exact"/>
        <w:rPr>
          <w:caps/>
          <w:sz w:val="22"/>
          <w:szCs w:val="22"/>
          <w:highlight w:val="yellow"/>
        </w:rPr>
      </w:pPr>
    </w:p>
    <w:p w14:paraId="50434E63" w14:textId="77777777" w:rsidR="00140CF8" w:rsidRPr="00BA0AF9" w:rsidRDefault="00140CF8" w:rsidP="00BA0AF9">
      <w:pPr>
        <w:keepNext/>
        <w:keepLines/>
        <w:spacing w:line="260" w:lineRule="exact"/>
        <w:ind w:left="567" w:hanging="567"/>
        <w:rPr>
          <w:b/>
          <w:caps/>
          <w:sz w:val="22"/>
          <w:szCs w:val="22"/>
        </w:rPr>
      </w:pPr>
      <w:r w:rsidRPr="00BA0AF9">
        <w:rPr>
          <w:b/>
          <w:caps/>
          <w:sz w:val="22"/>
          <w:szCs w:val="22"/>
        </w:rPr>
        <w:lastRenderedPageBreak/>
        <w:t>7.</w:t>
      </w:r>
      <w:r w:rsidRPr="00BA0AF9">
        <w:rPr>
          <w:b/>
          <w:caps/>
          <w:sz w:val="22"/>
          <w:szCs w:val="22"/>
        </w:rPr>
        <w:tab/>
        <w:t>Držiteľ rozhodnutia o registrácii</w:t>
      </w:r>
    </w:p>
    <w:p w14:paraId="41231B89" w14:textId="77777777" w:rsidR="00140CF8" w:rsidRPr="00BA0AF9" w:rsidRDefault="00140CF8" w:rsidP="00BA0AF9">
      <w:pPr>
        <w:keepNext/>
        <w:keepLines/>
        <w:spacing w:line="260" w:lineRule="exact"/>
        <w:rPr>
          <w:sz w:val="22"/>
          <w:szCs w:val="22"/>
        </w:rPr>
      </w:pPr>
    </w:p>
    <w:p w14:paraId="7AE41C00" w14:textId="77777777" w:rsidR="001B6D4B" w:rsidRPr="00BA0AF9" w:rsidRDefault="00493320" w:rsidP="00BA0AF9">
      <w:pPr>
        <w:keepNext/>
        <w:keepLines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GlaxoSmith</w:t>
      </w:r>
      <w:r w:rsidR="00983510" w:rsidRPr="00BA0AF9">
        <w:rPr>
          <w:sz w:val="22"/>
          <w:szCs w:val="22"/>
        </w:rPr>
        <w:t>K</w:t>
      </w:r>
      <w:r w:rsidRPr="00BA0AF9">
        <w:rPr>
          <w:sz w:val="22"/>
          <w:szCs w:val="22"/>
        </w:rPr>
        <w:t xml:space="preserve">line Slovakia s.r.o., </w:t>
      </w:r>
    </w:p>
    <w:p w14:paraId="1C1325E9" w14:textId="77777777" w:rsidR="001B6D4B" w:rsidRPr="00BA0AF9" w:rsidRDefault="001B6D4B" w:rsidP="00BA0AF9">
      <w:pPr>
        <w:keepNext/>
        <w:keepLines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Galvaniho 7/A</w:t>
      </w:r>
    </w:p>
    <w:p w14:paraId="25A22381" w14:textId="77777777" w:rsidR="001B6D4B" w:rsidRPr="00BA0AF9" w:rsidRDefault="001B6D4B" w:rsidP="00BA0AF9">
      <w:pPr>
        <w:keepNext/>
        <w:keepLines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821 04 </w:t>
      </w:r>
      <w:r w:rsidR="00493320" w:rsidRPr="00BA0AF9">
        <w:rPr>
          <w:sz w:val="22"/>
          <w:szCs w:val="22"/>
        </w:rPr>
        <w:t>Bratislava</w:t>
      </w:r>
    </w:p>
    <w:p w14:paraId="5838C6C1" w14:textId="77777777" w:rsidR="00FA0475" w:rsidRPr="00BA0AF9" w:rsidRDefault="002A2EFA" w:rsidP="00BA0AF9">
      <w:pPr>
        <w:keepNext/>
        <w:keepLines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Slovenská republika</w:t>
      </w:r>
    </w:p>
    <w:p w14:paraId="152DD17A" w14:textId="77777777" w:rsidR="00FA0475" w:rsidRPr="00BA0AF9" w:rsidRDefault="00FA0475">
      <w:pPr>
        <w:spacing w:line="260" w:lineRule="exact"/>
        <w:rPr>
          <w:caps/>
          <w:sz w:val="22"/>
          <w:szCs w:val="22"/>
        </w:rPr>
      </w:pPr>
    </w:p>
    <w:p w14:paraId="19C9F65C" w14:textId="77777777" w:rsidR="00FA0475" w:rsidRPr="00BA0AF9" w:rsidRDefault="00FA0475">
      <w:pPr>
        <w:spacing w:line="260" w:lineRule="exact"/>
        <w:rPr>
          <w:caps/>
          <w:sz w:val="22"/>
          <w:szCs w:val="22"/>
        </w:rPr>
      </w:pPr>
    </w:p>
    <w:p w14:paraId="73FCF45F" w14:textId="77777777" w:rsidR="00140CF8" w:rsidRPr="00BA0AF9" w:rsidRDefault="00140CF8" w:rsidP="00105807">
      <w:pPr>
        <w:keepNext/>
        <w:spacing w:line="260" w:lineRule="exact"/>
        <w:ind w:left="567" w:hanging="567"/>
        <w:rPr>
          <w:b/>
          <w:caps/>
          <w:sz w:val="22"/>
          <w:szCs w:val="22"/>
        </w:rPr>
      </w:pPr>
      <w:r w:rsidRPr="00BA0AF9">
        <w:rPr>
          <w:b/>
          <w:caps/>
          <w:sz w:val="22"/>
          <w:szCs w:val="22"/>
        </w:rPr>
        <w:t>8.</w:t>
      </w:r>
      <w:r w:rsidRPr="00BA0AF9">
        <w:rPr>
          <w:b/>
          <w:caps/>
          <w:sz w:val="22"/>
          <w:szCs w:val="22"/>
        </w:rPr>
        <w:tab/>
        <w:t>REGISTRAČNÉ ČÍSL</w:t>
      </w:r>
      <w:r w:rsidR="002F3A8F" w:rsidRPr="00BA0AF9">
        <w:rPr>
          <w:b/>
          <w:caps/>
          <w:sz w:val="22"/>
          <w:szCs w:val="22"/>
        </w:rPr>
        <w:t>A</w:t>
      </w:r>
    </w:p>
    <w:p w14:paraId="4A37CF41" w14:textId="77777777" w:rsidR="00140CF8" w:rsidRPr="00BA0AF9" w:rsidRDefault="00140CF8" w:rsidP="00105807">
      <w:pPr>
        <w:keepNext/>
        <w:spacing w:line="260" w:lineRule="exact"/>
        <w:rPr>
          <w:sz w:val="22"/>
          <w:szCs w:val="22"/>
        </w:rPr>
      </w:pPr>
    </w:p>
    <w:p w14:paraId="5A16DC6F" w14:textId="77777777" w:rsidR="00E803A4" w:rsidRPr="00BA0AF9" w:rsidRDefault="00E803A4" w:rsidP="00105807">
      <w:pPr>
        <w:keepNext/>
        <w:spacing w:line="260" w:lineRule="exact"/>
        <w:rPr>
          <w:caps/>
          <w:sz w:val="22"/>
          <w:szCs w:val="22"/>
        </w:rPr>
      </w:pPr>
      <w:r w:rsidRPr="00BA0AF9">
        <w:rPr>
          <w:sz w:val="22"/>
          <w:szCs w:val="22"/>
        </w:rPr>
        <w:t>Seroxat 10 mg :</w:t>
      </w:r>
      <w:r w:rsidRPr="00BA0AF9">
        <w:rPr>
          <w:caps/>
          <w:sz w:val="22"/>
          <w:szCs w:val="22"/>
        </w:rPr>
        <w:t xml:space="preserve"> 30/0477/07-S</w:t>
      </w:r>
    </w:p>
    <w:p w14:paraId="3A1376C6" w14:textId="77777777" w:rsidR="00E803A4" w:rsidRPr="00BA0AF9" w:rsidRDefault="00E803A4" w:rsidP="00E803A4">
      <w:pPr>
        <w:spacing w:line="260" w:lineRule="exact"/>
        <w:rPr>
          <w:caps/>
          <w:sz w:val="22"/>
          <w:szCs w:val="22"/>
        </w:rPr>
      </w:pPr>
      <w:r w:rsidRPr="00BA0AF9">
        <w:rPr>
          <w:sz w:val="22"/>
          <w:szCs w:val="22"/>
        </w:rPr>
        <w:t xml:space="preserve">Seroxat 20 mg : </w:t>
      </w:r>
      <w:r w:rsidRPr="00BA0AF9">
        <w:rPr>
          <w:caps/>
          <w:sz w:val="22"/>
          <w:szCs w:val="22"/>
        </w:rPr>
        <w:t>30/0859/95-S</w:t>
      </w:r>
    </w:p>
    <w:p w14:paraId="17C06BB7" w14:textId="77777777" w:rsidR="00E803A4" w:rsidRPr="00BA0AF9" w:rsidRDefault="00E803A4" w:rsidP="00E803A4">
      <w:pPr>
        <w:spacing w:line="260" w:lineRule="exact"/>
        <w:rPr>
          <w:caps/>
          <w:sz w:val="22"/>
          <w:szCs w:val="22"/>
        </w:rPr>
      </w:pPr>
      <w:r w:rsidRPr="00BA0AF9">
        <w:rPr>
          <w:sz w:val="22"/>
          <w:szCs w:val="22"/>
        </w:rPr>
        <w:t xml:space="preserve">Seroxat 30 mg : </w:t>
      </w:r>
      <w:r w:rsidRPr="00BA0AF9">
        <w:rPr>
          <w:caps/>
          <w:sz w:val="22"/>
          <w:szCs w:val="22"/>
        </w:rPr>
        <w:t>30/0339/06-S</w:t>
      </w:r>
    </w:p>
    <w:p w14:paraId="4BF10088" w14:textId="77777777" w:rsidR="00E803A4" w:rsidRPr="00BA0AF9" w:rsidRDefault="00E803A4" w:rsidP="00E803A4">
      <w:pPr>
        <w:spacing w:line="260" w:lineRule="exact"/>
        <w:rPr>
          <w:sz w:val="22"/>
          <w:szCs w:val="22"/>
          <w:highlight w:val="yellow"/>
        </w:rPr>
      </w:pPr>
    </w:p>
    <w:p w14:paraId="77AE2BF5" w14:textId="77777777" w:rsidR="00140CF8" w:rsidRPr="00BA0AF9" w:rsidRDefault="00140CF8">
      <w:pPr>
        <w:spacing w:line="260" w:lineRule="exact"/>
        <w:rPr>
          <w:caps/>
          <w:sz w:val="22"/>
          <w:szCs w:val="22"/>
          <w:highlight w:val="yellow"/>
        </w:rPr>
      </w:pPr>
    </w:p>
    <w:p w14:paraId="6FD94BF0" w14:textId="77777777" w:rsidR="00140CF8" w:rsidRPr="00BA0AF9" w:rsidRDefault="00140CF8" w:rsidP="00BA0AF9">
      <w:pPr>
        <w:keepNext/>
        <w:spacing w:line="260" w:lineRule="exact"/>
        <w:ind w:left="567" w:hanging="567"/>
        <w:rPr>
          <w:b/>
          <w:caps/>
          <w:sz w:val="22"/>
          <w:szCs w:val="22"/>
        </w:rPr>
      </w:pPr>
      <w:r w:rsidRPr="00BA0AF9">
        <w:rPr>
          <w:b/>
          <w:caps/>
          <w:sz w:val="22"/>
          <w:szCs w:val="22"/>
        </w:rPr>
        <w:t>9.</w:t>
      </w:r>
      <w:r w:rsidRPr="00BA0AF9">
        <w:rPr>
          <w:b/>
          <w:caps/>
          <w:sz w:val="22"/>
          <w:szCs w:val="22"/>
        </w:rPr>
        <w:tab/>
        <w:t>Dátum prvej registrácIe/predĹženia registrácie</w:t>
      </w:r>
    </w:p>
    <w:p w14:paraId="7E4332CA" w14:textId="77777777" w:rsidR="00140CF8" w:rsidRPr="00BA0AF9" w:rsidRDefault="00140CF8" w:rsidP="00BA0AF9">
      <w:pPr>
        <w:keepNext/>
        <w:spacing w:line="260" w:lineRule="exact"/>
        <w:rPr>
          <w:sz w:val="22"/>
          <w:szCs w:val="22"/>
        </w:rPr>
      </w:pPr>
    </w:p>
    <w:p w14:paraId="73007248" w14:textId="55063519" w:rsidR="00141C0D" w:rsidRPr="00BA0AF9" w:rsidRDefault="00141C0D" w:rsidP="007A3DF3">
      <w:pPr>
        <w:keepNext/>
        <w:spacing w:line="260" w:lineRule="exact"/>
        <w:rPr>
          <w:sz w:val="22"/>
          <w:szCs w:val="22"/>
        </w:rPr>
      </w:pPr>
      <w:proofErr w:type="spellStart"/>
      <w:r w:rsidRPr="00BA0AF9">
        <w:rPr>
          <w:sz w:val="22"/>
          <w:szCs w:val="22"/>
        </w:rPr>
        <w:t>Seroxat</w:t>
      </w:r>
      <w:proofErr w:type="spellEnd"/>
      <w:r w:rsidRPr="00BA0AF9">
        <w:rPr>
          <w:sz w:val="22"/>
          <w:szCs w:val="22"/>
        </w:rPr>
        <w:t xml:space="preserve"> 10</w:t>
      </w:r>
      <w:r w:rsidR="00BC6ECC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mg:</w:t>
      </w:r>
    </w:p>
    <w:p w14:paraId="732D1A95" w14:textId="478C5371" w:rsidR="00140CF8" w:rsidRPr="00BA0AF9" w:rsidRDefault="00505B3C" w:rsidP="00BA0AF9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Dátum prvej registrácie: </w:t>
      </w:r>
      <w:r w:rsidR="00E2534A" w:rsidRPr="00BA0AF9">
        <w:rPr>
          <w:sz w:val="22"/>
          <w:szCs w:val="22"/>
        </w:rPr>
        <w:t>10</w:t>
      </w:r>
      <w:r w:rsidR="00141C0D" w:rsidRPr="00BA0AF9">
        <w:rPr>
          <w:sz w:val="22"/>
          <w:szCs w:val="22"/>
        </w:rPr>
        <w:t>. decemb</w:t>
      </w:r>
      <w:r w:rsidR="00E2534A" w:rsidRPr="00BA0AF9">
        <w:rPr>
          <w:sz w:val="22"/>
          <w:szCs w:val="22"/>
        </w:rPr>
        <w:t>ra</w:t>
      </w:r>
      <w:r w:rsidR="00141C0D" w:rsidRPr="00BA0AF9">
        <w:rPr>
          <w:sz w:val="22"/>
          <w:szCs w:val="22"/>
        </w:rPr>
        <w:t xml:space="preserve"> 2007</w:t>
      </w:r>
    </w:p>
    <w:p w14:paraId="2461ABA9" w14:textId="6D69F20F" w:rsidR="00032BB2" w:rsidRPr="00BA0AF9" w:rsidRDefault="00505B3C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 xml:space="preserve">Dátum </w:t>
      </w:r>
      <w:r w:rsidR="00C20D59" w:rsidRPr="00BA0AF9">
        <w:rPr>
          <w:sz w:val="22"/>
          <w:szCs w:val="22"/>
        </w:rPr>
        <w:t xml:space="preserve">posledného </w:t>
      </w:r>
      <w:r w:rsidRPr="00BA0AF9">
        <w:rPr>
          <w:sz w:val="22"/>
          <w:szCs w:val="22"/>
        </w:rPr>
        <w:t xml:space="preserve">predĺženia registrácie: </w:t>
      </w:r>
      <w:r w:rsidR="00E62CBE" w:rsidRPr="00BA0AF9">
        <w:rPr>
          <w:sz w:val="22"/>
          <w:szCs w:val="22"/>
        </w:rPr>
        <w:t>4. novemb</w:t>
      </w:r>
      <w:r w:rsidR="00E2534A" w:rsidRPr="00BA0AF9">
        <w:rPr>
          <w:sz w:val="22"/>
          <w:szCs w:val="22"/>
        </w:rPr>
        <w:t>ra</w:t>
      </w:r>
      <w:r w:rsidR="00E62CBE" w:rsidRPr="00BA0AF9">
        <w:rPr>
          <w:sz w:val="22"/>
          <w:szCs w:val="22"/>
        </w:rPr>
        <w:t xml:space="preserve"> 2011</w:t>
      </w:r>
    </w:p>
    <w:p w14:paraId="52032AAA" w14:textId="77777777" w:rsidR="00141C0D" w:rsidRPr="00BA0AF9" w:rsidRDefault="00141C0D">
      <w:pPr>
        <w:spacing w:line="260" w:lineRule="exact"/>
        <w:rPr>
          <w:sz w:val="22"/>
          <w:szCs w:val="22"/>
        </w:rPr>
      </w:pPr>
    </w:p>
    <w:p w14:paraId="5E88A568" w14:textId="483E0A9D" w:rsidR="00141C0D" w:rsidRPr="00BA0AF9" w:rsidRDefault="00141C0D">
      <w:pPr>
        <w:spacing w:line="260" w:lineRule="exact"/>
        <w:rPr>
          <w:sz w:val="22"/>
          <w:szCs w:val="22"/>
        </w:rPr>
      </w:pPr>
      <w:proofErr w:type="spellStart"/>
      <w:r w:rsidRPr="00BA0AF9">
        <w:rPr>
          <w:sz w:val="22"/>
          <w:szCs w:val="22"/>
        </w:rPr>
        <w:t>Seroxat</w:t>
      </w:r>
      <w:proofErr w:type="spellEnd"/>
      <w:r w:rsidRPr="00BA0AF9">
        <w:rPr>
          <w:sz w:val="22"/>
          <w:szCs w:val="22"/>
        </w:rPr>
        <w:t xml:space="preserve"> 20</w:t>
      </w:r>
      <w:r w:rsidR="00BC6ECC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mg:</w:t>
      </w:r>
    </w:p>
    <w:p w14:paraId="3B3E64F7" w14:textId="14782BC1" w:rsidR="00141C0D" w:rsidRPr="00BA0AF9" w:rsidRDefault="00141C0D" w:rsidP="00141C0D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Dátum prvej registrácie: 28. decemb</w:t>
      </w:r>
      <w:r w:rsidR="00E2534A" w:rsidRPr="00BA0AF9">
        <w:rPr>
          <w:sz w:val="22"/>
          <w:szCs w:val="22"/>
        </w:rPr>
        <w:t>ra</w:t>
      </w:r>
      <w:r w:rsidRPr="00BA0AF9">
        <w:rPr>
          <w:sz w:val="22"/>
          <w:szCs w:val="22"/>
        </w:rPr>
        <w:t xml:space="preserve"> 1995</w:t>
      </w:r>
    </w:p>
    <w:p w14:paraId="63B43DEE" w14:textId="613339CB" w:rsidR="00141C0D" w:rsidRPr="00BA0AF9" w:rsidRDefault="00141C0D" w:rsidP="00141C0D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Dátum posledného predĺženia registrácie: 4. novemb</w:t>
      </w:r>
      <w:r w:rsidR="00E2534A" w:rsidRPr="00BA0AF9">
        <w:rPr>
          <w:sz w:val="22"/>
          <w:szCs w:val="22"/>
        </w:rPr>
        <w:t>ra</w:t>
      </w:r>
      <w:r w:rsidRPr="00BA0AF9">
        <w:rPr>
          <w:sz w:val="22"/>
          <w:szCs w:val="22"/>
        </w:rPr>
        <w:t xml:space="preserve"> 2011</w:t>
      </w:r>
    </w:p>
    <w:p w14:paraId="14B8CA60" w14:textId="77777777" w:rsidR="00141C0D" w:rsidRPr="00BA0AF9" w:rsidRDefault="00141C0D">
      <w:pPr>
        <w:spacing w:line="260" w:lineRule="exact"/>
        <w:rPr>
          <w:sz w:val="22"/>
          <w:szCs w:val="22"/>
        </w:rPr>
      </w:pPr>
    </w:p>
    <w:p w14:paraId="10388278" w14:textId="0F2A086C" w:rsidR="00141C0D" w:rsidRPr="00BA0AF9" w:rsidRDefault="00141C0D">
      <w:pPr>
        <w:spacing w:line="260" w:lineRule="exact"/>
        <w:rPr>
          <w:sz w:val="22"/>
          <w:szCs w:val="22"/>
        </w:rPr>
      </w:pPr>
      <w:proofErr w:type="spellStart"/>
      <w:r w:rsidRPr="00BA0AF9">
        <w:rPr>
          <w:sz w:val="22"/>
          <w:szCs w:val="22"/>
        </w:rPr>
        <w:t>Seroxat</w:t>
      </w:r>
      <w:proofErr w:type="spellEnd"/>
      <w:r w:rsidRPr="00BA0AF9">
        <w:rPr>
          <w:sz w:val="22"/>
          <w:szCs w:val="22"/>
        </w:rPr>
        <w:t xml:space="preserve"> 30</w:t>
      </w:r>
      <w:r w:rsidR="00BC6ECC" w:rsidRPr="00BA0AF9">
        <w:rPr>
          <w:sz w:val="22"/>
          <w:szCs w:val="22"/>
        </w:rPr>
        <w:t> </w:t>
      </w:r>
      <w:r w:rsidRPr="00BA0AF9">
        <w:rPr>
          <w:sz w:val="22"/>
          <w:szCs w:val="22"/>
        </w:rPr>
        <w:t>mg:</w:t>
      </w:r>
    </w:p>
    <w:p w14:paraId="62F1F4E8" w14:textId="053D00CF" w:rsidR="00141C0D" w:rsidRPr="00BA0AF9" w:rsidRDefault="00141C0D" w:rsidP="00141C0D">
      <w:pPr>
        <w:keepNext/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Dátum prvej registrácie: 28. decemb</w:t>
      </w:r>
      <w:r w:rsidR="00E2534A" w:rsidRPr="00BA0AF9">
        <w:rPr>
          <w:sz w:val="22"/>
          <w:szCs w:val="22"/>
        </w:rPr>
        <w:t>ra</w:t>
      </w:r>
      <w:r w:rsidRPr="00BA0AF9">
        <w:rPr>
          <w:sz w:val="22"/>
          <w:szCs w:val="22"/>
        </w:rPr>
        <w:t xml:space="preserve"> 1995</w:t>
      </w:r>
    </w:p>
    <w:p w14:paraId="774D54C6" w14:textId="1054B36F" w:rsidR="00141C0D" w:rsidRPr="00BA0AF9" w:rsidRDefault="00141C0D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Dátum posledného predĺženia registrácie: 4. novemb</w:t>
      </w:r>
      <w:r w:rsidR="00E2534A" w:rsidRPr="00BA0AF9">
        <w:rPr>
          <w:sz w:val="22"/>
          <w:szCs w:val="22"/>
        </w:rPr>
        <w:t>ra</w:t>
      </w:r>
      <w:r w:rsidRPr="00BA0AF9">
        <w:rPr>
          <w:sz w:val="22"/>
          <w:szCs w:val="22"/>
        </w:rPr>
        <w:t xml:space="preserve"> 2011</w:t>
      </w:r>
    </w:p>
    <w:p w14:paraId="6CBA30BB" w14:textId="77777777" w:rsidR="00032BB2" w:rsidRPr="00BA0AF9" w:rsidRDefault="00032BB2">
      <w:pPr>
        <w:spacing w:line="260" w:lineRule="exact"/>
        <w:ind w:left="567" w:hanging="567"/>
        <w:rPr>
          <w:b/>
          <w:caps/>
          <w:sz w:val="22"/>
          <w:szCs w:val="22"/>
        </w:rPr>
      </w:pPr>
    </w:p>
    <w:p w14:paraId="3DEC5910" w14:textId="77777777" w:rsidR="00505B3C" w:rsidRPr="00BA0AF9" w:rsidRDefault="00505B3C">
      <w:pPr>
        <w:spacing w:line="260" w:lineRule="exact"/>
        <w:ind w:left="567" w:hanging="567"/>
        <w:rPr>
          <w:b/>
          <w:caps/>
          <w:sz w:val="22"/>
          <w:szCs w:val="22"/>
        </w:rPr>
      </w:pPr>
    </w:p>
    <w:p w14:paraId="2F21A0A4" w14:textId="77777777" w:rsidR="00140CF8" w:rsidRPr="00BA0AF9" w:rsidRDefault="00140CF8">
      <w:pPr>
        <w:spacing w:line="260" w:lineRule="exact"/>
        <w:ind w:left="567" w:hanging="567"/>
        <w:rPr>
          <w:b/>
          <w:caps/>
          <w:sz w:val="22"/>
          <w:szCs w:val="22"/>
        </w:rPr>
      </w:pPr>
      <w:r w:rsidRPr="00BA0AF9">
        <w:rPr>
          <w:b/>
          <w:caps/>
          <w:sz w:val="22"/>
          <w:szCs w:val="22"/>
        </w:rPr>
        <w:t>10.</w:t>
      </w:r>
      <w:r w:rsidRPr="00BA0AF9">
        <w:rPr>
          <w:b/>
          <w:caps/>
          <w:sz w:val="22"/>
          <w:szCs w:val="22"/>
        </w:rPr>
        <w:tab/>
        <w:t>DÁtum revÍZIe Textu</w:t>
      </w:r>
    </w:p>
    <w:p w14:paraId="381C87A6" w14:textId="77777777" w:rsidR="00140CF8" w:rsidRPr="00BA0AF9" w:rsidRDefault="00140CF8">
      <w:pPr>
        <w:spacing w:line="260" w:lineRule="exact"/>
        <w:rPr>
          <w:sz w:val="22"/>
          <w:szCs w:val="22"/>
        </w:rPr>
      </w:pPr>
    </w:p>
    <w:p w14:paraId="398CBD80" w14:textId="1D384FDF" w:rsidR="00140CF8" w:rsidRPr="00BA0AF9" w:rsidRDefault="004964CE">
      <w:pPr>
        <w:spacing w:line="260" w:lineRule="exact"/>
        <w:rPr>
          <w:sz w:val="22"/>
          <w:szCs w:val="22"/>
        </w:rPr>
      </w:pPr>
      <w:r w:rsidRPr="00BA0AF9">
        <w:rPr>
          <w:sz w:val="22"/>
          <w:szCs w:val="22"/>
        </w:rPr>
        <w:t>03</w:t>
      </w:r>
      <w:r w:rsidR="00E2534A" w:rsidRPr="00BA0AF9">
        <w:rPr>
          <w:sz w:val="22"/>
          <w:szCs w:val="22"/>
        </w:rPr>
        <w:t>/2019</w:t>
      </w:r>
    </w:p>
    <w:sectPr w:rsidR="00140CF8" w:rsidRPr="00BA0AF9" w:rsidSect="00BA0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DE533" w14:textId="77777777" w:rsidR="00387B69" w:rsidRDefault="00387B69">
      <w:r>
        <w:separator/>
      </w:r>
    </w:p>
  </w:endnote>
  <w:endnote w:type="continuationSeparator" w:id="0">
    <w:p w14:paraId="4C2A4929" w14:textId="77777777" w:rsidR="00387B69" w:rsidRDefault="00387B69">
      <w:r>
        <w:continuationSeparator/>
      </w:r>
    </w:p>
  </w:endnote>
  <w:endnote w:type="continuationNotice" w:id="1">
    <w:p w14:paraId="3319C6CA" w14:textId="77777777" w:rsidR="00387B69" w:rsidRDefault="00387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4C91C" w14:textId="77777777" w:rsidR="00C03F6F" w:rsidRDefault="00C03F6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A93DE49" w14:textId="77777777" w:rsidR="00C03F6F" w:rsidRDefault="00C03F6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C1741" w14:textId="77777777" w:rsidR="00C03F6F" w:rsidRPr="001C4791" w:rsidRDefault="00C03F6F">
    <w:pPr>
      <w:pStyle w:val="Pta"/>
      <w:framePr w:wrap="around" w:vAnchor="text" w:hAnchor="margin" w:xAlign="center" w:y="1"/>
      <w:rPr>
        <w:rStyle w:val="slostrany"/>
        <w:rFonts w:ascii="Arial" w:hAnsi="Arial" w:cs="Arial"/>
        <w:sz w:val="16"/>
        <w:szCs w:val="16"/>
      </w:rPr>
    </w:pPr>
    <w:r w:rsidRPr="001C4791">
      <w:rPr>
        <w:rStyle w:val="slostrany"/>
        <w:rFonts w:ascii="Arial" w:hAnsi="Arial" w:cs="Arial"/>
        <w:sz w:val="16"/>
        <w:szCs w:val="16"/>
      </w:rPr>
      <w:fldChar w:fldCharType="begin"/>
    </w:r>
    <w:r w:rsidRPr="001C4791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1C4791">
      <w:rPr>
        <w:rStyle w:val="slostrany"/>
        <w:rFonts w:ascii="Arial" w:hAnsi="Arial" w:cs="Arial"/>
        <w:sz w:val="16"/>
        <w:szCs w:val="16"/>
      </w:rPr>
      <w:fldChar w:fldCharType="separate"/>
    </w:r>
    <w:r w:rsidR="00BA0AF9">
      <w:rPr>
        <w:rStyle w:val="slostrany"/>
        <w:rFonts w:ascii="Arial" w:hAnsi="Arial" w:cs="Arial"/>
        <w:noProof/>
        <w:sz w:val="16"/>
        <w:szCs w:val="16"/>
      </w:rPr>
      <w:t>1</w:t>
    </w:r>
    <w:r w:rsidRPr="001C4791">
      <w:rPr>
        <w:rStyle w:val="slostrany"/>
        <w:rFonts w:ascii="Arial" w:hAnsi="Arial" w:cs="Arial"/>
        <w:sz w:val="16"/>
        <w:szCs w:val="16"/>
      </w:rPr>
      <w:fldChar w:fldCharType="end"/>
    </w:r>
  </w:p>
  <w:p w14:paraId="7904CF62" w14:textId="77777777" w:rsidR="00C03F6F" w:rsidRDefault="00C03F6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E067F" w14:textId="77777777" w:rsidR="00C03F6F" w:rsidRDefault="00C03F6F">
    <w:pPr>
      <w:pStyle w:val="Pta"/>
    </w:pPr>
    <w:r>
      <w:tab/>
      <w:t>1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47E3B" w14:textId="77777777" w:rsidR="00387B69" w:rsidRDefault="00387B69">
      <w:r>
        <w:separator/>
      </w:r>
    </w:p>
  </w:footnote>
  <w:footnote w:type="continuationSeparator" w:id="0">
    <w:p w14:paraId="1B301B2D" w14:textId="77777777" w:rsidR="00387B69" w:rsidRDefault="00387B69">
      <w:r>
        <w:continuationSeparator/>
      </w:r>
    </w:p>
  </w:footnote>
  <w:footnote w:type="continuationNotice" w:id="1">
    <w:p w14:paraId="276E1B4E" w14:textId="77777777" w:rsidR="00387B69" w:rsidRDefault="00387B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EBB4D" w14:textId="77777777" w:rsidR="00C03F6F" w:rsidRDefault="00C03F6F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2747713" w14:textId="77777777" w:rsidR="00C03F6F" w:rsidRDefault="00C03F6F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D5544" w14:textId="77777777" w:rsidR="001F45F1" w:rsidRDefault="001F45F1">
    <w:pPr>
      <w:pStyle w:val="Hlavika"/>
    </w:pPr>
    <w:r>
      <w:rPr>
        <w:sz w:val="18"/>
        <w:szCs w:val="18"/>
      </w:rPr>
      <w:t>P</w:t>
    </w:r>
    <w:r w:rsidR="00E63A72">
      <w:rPr>
        <w:sz w:val="18"/>
        <w:szCs w:val="18"/>
      </w:rPr>
      <w:t>ríloha č. 1</w:t>
    </w:r>
    <w:r>
      <w:rPr>
        <w:sz w:val="18"/>
        <w:szCs w:val="18"/>
      </w:rPr>
      <w:t xml:space="preserve"> k notifikácii o zmene, ev. č.:</w:t>
    </w:r>
    <w:r w:rsidR="005D2DB5">
      <w:rPr>
        <w:sz w:val="18"/>
        <w:szCs w:val="18"/>
      </w:rPr>
      <w:t xml:space="preserve"> </w:t>
    </w:r>
    <w:r w:rsidR="005D2DB5" w:rsidRPr="005D2DB5">
      <w:rPr>
        <w:sz w:val="18"/>
        <w:szCs w:val="18"/>
      </w:rPr>
      <w:t>2018/</w:t>
    </w:r>
    <w:proofErr w:type="spellStart"/>
    <w:r w:rsidR="005D2DB5" w:rsidRPr="005D2DB5">
      <w:rPr>
        <w:sz w:val="18"/>
        <w:szCs w:val="18"/>
      </w:rPr>
      <w:t>06721-Z1A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8F946" w14:textId="0CA5FE5D" w:rsidR="00C03F6F" w:rsidRPr="00BA0AF9" w:rsidRDefault="00C03F6F" w:rsidP="00C1633B">
    <w:pPr>
      <w:rPr>
        <w:sz w:val="18"/>
      </w:rPr>
    </w:pPr>
    <w:r>
      <w:rPr>
        <w:sz w:val="18"/>
        <w:szCs w:val="18"/>
      </w:rPr>
      <w:t>Príloha č.</w:t>
    </w:r>
    <w:r w:rsidR="00387B69">
      <w:rPr>
        <w:sz w:val="18"/>
        <w:szCs w:val="18"/>
      </w:rPr>
      <w:t>1</w:t>
    </w:r>
    <w:r w:rsidRPr="00990C3F">
      <w:rPr>
        <w:sz w:val="18"/>
        <w:szCs w:val="18"/>
      </w:rPr>
      <w:t xml:space="preserve"> k notifikácii </w:t>
    </w:r>
    <w:r>
      <w:rPr>
        <w:sz w:val="18"/>
        <w:szCs w:val="18"/>
      </w:rPr>
      <w:t xml:space="preserve">o zmene, ev.č.: </w:t>
    </w:r>
    <w:r w:rsidRPr="007448B6">
      <w:rPr>
        <w:sz w:val="18"/>
        <w:szCs w:val="18"/>
      </w:rPr>
      <w:t>2015/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7600"/>
    <w:multiLevelType w:val="hybridMultilevel"/>
    <w:tmpl w:val="04905C32"/>
    <w:lvl w:ilvl="0" w:tplc="83F604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8CA7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13C59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EEE9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4CE0B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15CB2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14A4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E4D5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21CDB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46533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8314784"/>
    <w:multiLevelType w:val="multilevel"/>
    <w:tmpl w:val="D0D63D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238735A"/>
    <w:multiLevelType w:val="hybridMultilevel"/>
    <w:tmpl w:val="827AE3AC"/>
    <w:lvl w:ilvl="0" w:tplc="82568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234D2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0A742E9"/>
    <w:multiLevelType w:val="multilevel"/>
    <w:tmpl w:val="3C6EDC54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E6C5091"/>
    <w:multiLevelType w:val="multilevel"/>
    <w:tmpl w:val="3D0A3B2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258"/>
    <w:rsid w:val="00002EF9"/>
    <w:rsid w:val="000072D4"/>
    <w:rsid w:val="00015C99"/>
    <w:rsid w:val="00017B0D"/>
    <w:rsid w:val="00017B2D"/>
    <w:rsid w:val="000217A0"/>
    <w:rsid w:val="00022B91"/>
    <w:rsid w:val="0002325A"/>
    <w:rsid w:val="00026FAB"/>
    <w:rsid w:val="000270CA"/>
    <w:rsid w:val="000300AE"/>
    <w:rsid w:val="000311D1"/>
    <w:rsid w:val="00031714"/>
    <w:rsid w:val="00032BB2"/>
    <w:rsid w:val="000337A7"/>
    <w:rsid w:val="000358A1"/>
    <w:rsid w:val="00050B53"/>
    <w:rsid w:val="0005167E"/>
    <w:rsid w:val="00072B5C"/>
    <w:rsid w:val="00073DB1"/>
    <w:rsid w:val="000770BC"/>
    <w:rsid w:val="0008213C"/>
    <w:rsid w:val="000822C9"/>
    <w:rsid w:val="00084117"/>
    <w:rsid w:val="00085A10"/>
    <w:rsid w:val="000877FC"/>
    <w:rsid w:val="00094ED6"/>
    <w:rsid w:val="000A41EB"/>
    <w:rsid w:val="000A4425"/>
    <w:rsid w:val="000A6D41"/>
    <w:rsid w:val="000A7125"/>
    <w:rsid w:val="000A7489"/>
    <w:rsid w:val="000B0DDA"/>
    <w:rsid w:val="000B6C90"/>
    <w:rsid w:val="000C336B"/>
    <w:rsid w:val="000C47A6"/>
    <w:rsid w:val="000D465C"/>
    <w:rsid w:val="000D61C4"/>
    <w:rsid w:val="000D6C4A"/>
    <w:rsid w:val="000E14DA"/>
    <w:rsid w:val="000F1DD6"/>
    <w:rsid w:val="000F6BF7"/>
    <w:rsid w:val="000F7D61"/>
    <w:rsid w:val="00102392"/>
    <w:rsid w:val="0010532D"/>
    <w:rsid w:val="00105807"/>
    <w:rsid w:val="001069D0"/>
    <w:rsid w:val="0011086C"/>
    <w:rsid w:val="00111CFB"/>
    <w:rsid w:val="00115319"/>
    <w:rsid w:val="0011662B"/>
    <w:rsid w:val="00120A60"/>
    <w:rsid w:val="00123416"/>
    <w:rsid w:val="00123D73"/>
    <w:rsid w:val="001241D0"/>
    <w:rsid w:val="0012584A"/>
    <w:rsid w:val="0012619A"/>
    <w:rsid w:val="00126455"/>
    <w:rsid w:val="00130D71"/>
    <w:rsid w:val="00140CF8"/>
    <w:rsid w:val="00141C0D"/>
    <w:rsid w:val="00150125"/>
    <w:rsid w:val="001511C4"/>
    <w:rsid w:val="00153769"/>
    <w:rsid w:val="00154768"/>
    <w:rsid w:val="00155ECF"/>
    <w:rsid w:val="00156173"/>
    <w:rsid w:val="0015623E"/>
    <w:rsid w:val="0015753C"/>
    <w:rsid w:val="00160231"/>
    <w:rsid w:val="00161EB9"/>
    <w:rsid w:val="001674E1"/>
    <w:rsid w:val="00175F65"/>
    <w:rsid w:val="00175FEF"/>
    <w:rsid w:val="00186A1C"/>
    <w:rsid w:val="00192984"/>
    <w:rsid w:val="00193569"/>
    <w:rsid w:val="001A20A2"/>
    <w:rsid w:val="001A688B"/>
    <w:rsid w:val="001B1724"/>
    <w:rsid w:val="001B275B"/>
    <w:rsid w:val="001B3CED"/>
    <w:rsid w:val="001B488D"/>
    <w:rsid w:val="001B6D4B"/>
    <w:rsid w:val="001C1142"/>
    <w:rsid w:val="001C1C56"/>
    <w:rsid w:val="001C4128"/>
    <w:rsid w:val="001C4791"/>
    <w:rsid w:val="001D62DB"/>
    <w:rsid w:val="001D764F"/>
    <w:rsid w:val="001E1701"/>
    <w:rsid w:val="001E69B6"/>
    <w:rsid w:val="001E716D"/>
    <w:rsid w:val="001E754E"/>
    <w:rsid w:val="001F45F1"/>
    <w:rsid w:val="001F5390"/>
    <w:rsid w:val="001F5F5A"/>
    <w:rsid w:val="001F6BE1"/>
    <w:rsid w:val="001F72E2"/>
    <w:rsid w:val="001F7686"/>
    <w:rsid w:val="002015A6"/>
    <w:rsid w:val="00202CC9"/>
    <w:rsid w:val="00203CF2"/>
    <w:rsid w:val="00210110"/>
    <w:rsid w:val="002107A9"/>
    <w:rsid w:val="00210A53"/>
    <w:rsid w:val="002118A5"/>
    <w:rsid w:val="0021292B"/>
    <w:rsid w:val="0021644E"/>
    <w:rsid w:val="00217B7C"/>
    <w:rsid w:val="00220F12"/>
    <w:rsid w:val="00226C07"/>
    <w:rsid w:val="00227DD0"/>
    <w:rsid w:val="00237D6A"/>
    <w:rsid w:val="00240E7D"/>
    <w:rsid w:val="00242438"/>
    <w:rsid w:val="00243F69"/>
    <w:rsid w:val="00244703"/>
    <w:rsid w:val="00244FB7"/>
    <w:rsid w:val="00247525"/>
    <w:rsid w:val="00247615"/>
    <w:rsid w:val="00250E16"/>
    <w:rsid w:val="00251793"/>
    <w:rsid w:val="00255905"/>
    <w:rsid w:val="00256212"/>
    <w:rsid w:val="00256E88"/>
    <w:rsid w:val="00257343"/>
    <w:rsid w:val="00262576"/>
    <w:rsid w:val="00262A12"/>
    <w:rsid w:val="00267422"/>
    <w:rsid w:val="002677F4"/>
    <w:rsid w:val="002737E0"/>
    <w:rsid w:val="00276AEC"/>
    <w:rsid w:val="002773CD"/>
    <w:rsid w:val="002835F3"/>
    <w:rsid w:val="00287486"/>
    <w:rsid w:val="00292992"/>
    <w:rsid w:val="002966D8"/>
    <w:rsid w:val="002A1AA9"/>
    <w:rsid w:val="002A2321"/>
    <w:rsid w:val="002A2D47"/>
    <w:rsid w:val="002A2EFA"/>
    <w:rsid w:val="002A662B"/>
    <w:rsid w:val="002A6BD1"/>
    <w:rsid w:val="002B3969"/>
    <w:rsid w:val="002B61F7"/>
    <w:rsid w:val="002C63E0"/>
    <w:rsid w:val="002C72D5"/>
    <w:rsid w:val="002C768C"/>
    <w:rsid w:val="002D6069"/>
    <w:rsid w:val="002D6223"/>
    <w:rsid w:val="002E1010"/>
    <w:rsid w:val="002E1610"/>
    <w:rsid w:val="002E1C7E"/>
    <w:rsid w:val="002E4013"/>
    <w:rsid w:val="002E40C0"/>
    <w:rsid w:val="002E56C0"/>
    <w:rsid w:val="002E6092"/>
    <w:rsid w:val="002E6360"/>
    <w:rsid w:val="002E7AD6"/>
    <w:rsid w:val="002F291C"/>
    <w:rsid w:val="002F29F8"/>
    <w:rsid w:val="002F354D"/>
    <w:rsid w:val="002F3A8F"/>
    <w:rsid w:val="0030028C"/>
    <w:rsid w:val="00302A3F"/>
    <w:rsid w:val="00307684"/>
    <w:rsid w:val="00312005"/>
    <w:rsid w:val="00314E77"/>
    <w:rsid w:val="00315499"/>
    <w:rsid w:val="00322B76"/>
    <w:rsid w:val="00324CDC"/>
    <w:rsid w:val="00325D87"/>
    <w:rsid w:val="00326EAB"/>
    <w:rsid w:val="0032755E"/>
    <w:rsid w:val="00332807"/>
    <w:rsid w:val="00333285"/>
    <w:rsid w:val="00341E52"/>
    <w:rsid w:val="0034433D"/>
    <w:rsid w:val="00355351"/>
    <w:rsid w:val="003565EC"/>
    <w:rsid w:val="00357AED"/>
    <w:rsid w:val="00361091"/>
    <w:rsid w:val="003616F8"/>
    <w:rsid w:val="00364FAB"/>
    <w:rsid w:val="00374A0F"/>
    <w:rsid w:val="003751C4"/>
    <w:rsid w:val="00375970"/>
    <w:rsid w:val="00377809"/>
    <w:rsid w:val="00380DFE"/>
    <w:rsid w:val="003864F1"/>
    <w:rsid w:val="00386F4E"/>
    <w:rsid w:val="00387B69"/>
    <w:rsid w:val="00397431"/>
    <w:rsid w:val="003A1298"/>
    <w:rsid w:val="003A1F55"/>
    <w:rsid w:val="003A3496"/>
    <w:rsid w:val="003A6FF9"/>
    <w:rsid w:val="003B3435"/>
    <w:rsid w:val="003C45B6"/>
    <w:rsid w:val="003D08DF"/>
    <w:rsid w:val="003D1480"/>
    <w:rsid w:val="003D3340"/>
    <w:rsid w:val="003D4DC3"/>
    <w:rsid w:val="003D5F61"/>
    <w:rsid w:val="003D65AC"/>
    <w:rsid w:val="003D68FA"/>
    <w:rsid w:val="003E1346"/>
    <w:rsid w:val="003E6E51"/>
    <w:rsid w:val="003F073A"/>
    <w:rsid w:val="003F7869"/>
    <w:rsid w:val="004031AA"/>
    <w:rsid w:val="004040A1"/>
    <w:rsid w:val="00405BB3"/>
    <w:rsid w:val="0041039F"/>
    <w:rsid w:val="004105A3"/>
    <w:rsid w:val="00415677"/>
    <w:rsid w:val="0043001A"/>
    <w:rsid w:val="00432861"/>
    <w:rsid w:val="00432BBE"/>
    <w:rsid w:val="0043567B"/>
    <w:rsid w:val="00435CEB"/>
    <w:rsid w:val="0043787B"/>
    <w:rsid w:val="00450A12"/>
    <w:rsid w:val="00456DEC"/>
    <w:rsid w:val="0045793F"/>
    <w:rsid w:val="004603CE"/>
    <w:rsid w:val="004626BF"/>
    <w:rsid w:val="0046418B"/>
    <w:rsid w:val="00464467"/>
    <w:rsid w:val="004704D4"/>
    <w:rsid w:val="004719D9"/>
    <w:rsid w:val="0047262B"/>
    <w:rsid w:val="00472F31"/>
    <w:rsid w:val="00475F3F"/>
    <w:rsid w:val="00485FAD"/>
    <w:rsid w:val="00487397"/>
    <w:rsid w:val="0049009E"/>
    <w:rsid w:val="0049101B"/>
    <w:rsid w:val="00492629"/>
    <w:rsid w:val="00493320"/>
    <w:rsid w:val="004964CE"/>
    <w:rsid w:val="00497758"/>
    <w:rsid w:val="004B12E7"/>
    <w:rsid w:val="004B23A1"/>
    <w:rsid w:val="004B48C0"/>
    <w:rsid w:val="004B4CEC"/>
    <w:rsid w:val="004B5894"/>
    <w:rsid w:val="004B7B54"/>
    <w:rsid w:val="004C1D08"/>
    <w:rsid w:val="004C5D2A"/>
    <w:rsid w:val="004C649B"/>
    <w:rsid w:val="004D0057"/>
    <w:rsid w:val="004D1435"/>
    <w:rsid w:val="004D5BD7"/>
    <w:rsid w:val="004F3975"/>
    <w:rsid w:val="004F4165"/>
    <w:rsid w:val="00501BC0"/>
    <w:rsid w:val="00501EC8"/>
    <w:rsid w:val="005020B8"/>
    <w:rsid w:val="005024F1"/>
    <w:rsid w:val="00505B3C"/>
    <w:rsid w:val="00511FE6"/>
    <w:rsid w:val="0051276C"/>
    <w:rsid w:val="0052119F"/>
    <w:rsid w:val="005232ED"/>
    <w:rsid w:val="00525786"/>
    <w:rsid w:val="005257AC"/>
    <w:rsid w:val="00531B25"/>
    <w:rsid w:val="00532378"/>
    <w:rsid w:val="00534ADF"/>
    <w:rsid w:val="00542FE2"/>
    <w:rsid w:val="005433A2"/>
    <w:rsid w:val="00543ED4"/>
    <w:rsid w:val="00555234"/>
    <w:rsid w:val="00565382"/>
    <w:rsid w:val="00565B47"/>
    <w:rsid w:val="00565D4A"/>
    <w:rsid w:val="00567993"/>
    <w:rsid w:val="00586B6F"/>
    <w:rsid w:val="00597AC5"/>
    <w:rsid w:val="00597ACD"/>
    <w:rsid w:val="005A562D"/>
    <w:rsid w:val="005B1D82"/>
    <w:rsid w:val="005B2874"/>
    <w:rsid w:val="005B4214"/>
    <w:rsid w:val="005C09F6"/>
    <w:rsid w:val="005C11AF"/>
    <w:rsid w:val="005C2C2E"/>
    <w:rsid w:val="005C4250"/>
    <w:rsid w:val="005C674C"/>
    <w:rsid w:val="005C6B18"/>
    <w:rsid w:val="005C6C9D"/>
    <w:rsid w:val="005C74DF"/>
    <w:rsid w:val="005D2DB5"/>
    <w:rsid w:val="005E2198"/>
    <w:rsid w:val="005E25D0"/>
    <w:rsid w:val="005E434F"/>
    <w:rsid w:val="005E5D38"/>
    <w:rsid w:val="005E71C3"/>
    <w:rsid w:val="0060063F"/>
    <w:rsid w:val="00600649"/>
    <w:rsid w:val="00607429"/>
    <w:rsid w:val="00614D1B"/>
    <w:rsid w:val="006164A9"/>
    <w:rsid w:val="006254D2"/>
    <w:rsid w:val="006269AC"/>
    <w:rsid w:val="006301CB"/>
    <w:rsid w:val="0063026B"/>
    <w:rsid w:val="006320D9"/>
    <w:rsid w:val="00634070"/>
    <w:rsid w:val="00634282"/>
    <w:rsid w:val="00634339"/>
    <w:rsid w:val="00635630"/>
    <w:rsid w:val="00635F8B"/>
    <w:rsid w:val="00637D2B"/>
    <w:rsid w:val="00640945"/>
    <w:rsid w:val="006531FC"/>
    <w:rsid w:val="0065663D"/>
    <w:rsid w:val="006608C8"/>
    <w:rsid w:val="00661289"/>
    <w:rsid w:val="00663455"/>
    <w:rsid w:val="00664414"/>
    <w:rsid w:val="0067287E"/>
    <w:rsid w:val="00673E5A"/>
    <w:rsid w:val="00673E7C"/>
    <w:rsid w:val="00674296"/>
    <w:rsid w:val="00683A16"/>
    <w:rsid w:val="00690925"/>
    <w:rsid w:val="00695861"/>
    <w:rsid w:val="006A02CB"/>
    <w:rsid w:val="006A489A"/>
    <w:rsid w:val="006B1702"/>
    <w:rsid w:val="006B1C41"/>
    <w:rsid w:val="006B511E"/>
    <w:rsid w:val="006B5832"/>
    <w:rsid w:val="006C17DB"/>
    <w:rsid w:val="006C1A90"/>
    <w:rsid w:val="006C3765"/>
    <w:rsid w:val="006D053F"/>
    <w:rsid w:val="006D0A2C"/>
    <w:rsid w:val="006D5BDA"/>
    <w:rsid w:val="006E0170"/>
    <w:rsid w:val="006E0309"/>
    <w:rsid w:val="006E37FF"/>
    <w:rsid w:val="006E6F05"/>
    <w:rsid w:val="006F207F"/>
    <w:rsid w:val="006F42E3"/>
    <w:rsid w:val="00700801"/>
    <w:rsid w:val="00700E0D"/>
    <w:rsid w:val="00705929"/>
    <w:rsid w:val="00713F49"/>
    <w:rsid w:val="00716377"/>
    <w:rsid w:val="00734BEF"/>
    <w:rsid w:val="00736F26"/>
    <w:rsid w:val="0074268A"/>
    <w:rsid w:val="007448B6"/>
    <w:rsid w:val="007472B7"/>
    <w:rsid w:val="00750317"/>
    <w:rsid w:val="00751DBD"/>
    <w:rsid w:val="00752419"/>
    <w:rsid w:val="00753539"/>
    <w:rsid w:val="00756A29"/>
    <w:rsid w:val="00760288"/>
    <w:rsid w:val="007675DC"/>
    <w:rsid w:val="0077084A"/>
    <w:rsid w:val="00770DD9"/>
    <w:rsid w:val="00775EF5"/>
    <w:rsid w:val="0078746F"/>
    <w:rsid w:val="007A048E"/>
    <w:rsid w:val="007A089E"/>
    <w:rsid w:val="007A3DF3"/>
    <w:rsid w:val="007A73A5"/>
    <w:rsid w:val="007B50D5"/>
    <w:rsid w:val="007B5B78"/>
    <w:rsid w:val="007B6328"/>
    <w:rsid w:val="007C236F"/>
    <w:rsid w:val="007C38DC"/>
    <w:rsid w:val="007D2E37"/>
    <w:rsid w:val="007E1C8A"/>
    <w:rsid w:val="007E5303"/>
    <w:rsid w:val="007E656F"/>
    <w:rsid w:val="007F10F4"/>
    <w:rsid w:val="007F1275"/>
    <w:rsid w:val="007F3C81"/>
    <w:rsid w:val="007F6A2D"/>
    <w:rsid w:val="007F6F1A"/>
    <w:rsid w:val="008015BF"/>
    <w:rsid w:val="008020CD"/>
    <w:rsid w:val="00813F30"/>
    <w:rsid w:val="00816D9B"/>
    <w:rsid w:val="00820AEF"/>
    <w:rsid w:val="00821829"/>
    <w:rsid w:val="00827B2B"/>
    <w:rsid w:val="00830A28"/>
    <w:rsid w:val="00837711"/>
    <w:rsid w:val="00843906"/>
    <w:rsid w:val="008474A5"/>
    <w:rsid w:val="00850ED4"/>
    <w:rsid w:val="00850F17"/>
    <w:rsid w:val="008529D3"/>
    <w:rsid w:val="00856A73"/>
    <w:rsid w:val="00856B4C"/>
    <w:rsid w:val="008606DA"/>
    <w:rsid w:val="00860A98"/>
    <w:rsid w:val="00863CD4"/>
    <w:rsid w:val="00863D48"/>
    <w:rsid w:val="00866713"/>
    <w:rsid w:val="00867D25"/>
    <w:rsid w:val="00876243"/>
    <w:rsid w:val="00881AFB"/>
    <w:rsid w:val="00881E45"/>
    <w:rsid w:val="00883EA8"/>
    <w:rsid w:val="0088500B"/>
    <w:rsid w:val="008909A5"/>
    <w:rsid w:val="00893614"/>
    <w:rsid w:val="008A339D"/>
    <w:rsid w:val="008A5841"/>
    <w:rsid w:val="008B0AD3"/>
    <w:rsid w:val="008B2E55"/>
    <w:rsid w:val="008B4343"/>
    <w:rsid w:val="008B5FF9"/>
    <w:rsid w:val="008C53FE"/>
    <w:rsid w:val="008D44A4"/>
    <w:rsid w:val="008D7E84"/>
    <w:rsid w:val="008E138A"/>
    <w:rsid w:val="008E5F45"/>
    <w:rsid w:val="008E653B"/>
    <w:rsid w:val="008F176E"/>
    <w:rsid w:val="008F5550"/>
    <w:rsid w:val="008F682F"/>
    <w:rsid w:val="00902209"/>
    <w:rsid w:val="0090329D"/>
    <w:rsid w:val="00910E03"/>
    <w:rsid w:val="00911377"/>
    <w:rsid w:val="00920EAF"/>
    <w:rsid w:val="00924838"/>
    <w:rsid w:val="00927F78"/>
    <w:rsid w:val="00930773"/>
    <w:rsid w:val="00930788"/>
    <w:rsid w:val="0093445E"/>
    <w:rsid w:val="009356A2"/>
    <w:rsid w:val="0093742E"/>
    <w:rsid w:val="00941CC1"/>
    <w:rsid w:val="009504B1"/>
    <w:rsid w:val="00952E83"/>
    <w:rsid w:val="00955598"/>
    <w:rsid w:val="00956254"/>
    <w:rsid w:val="009575CB"/>
    <w:rsid w:val="00964ADD"/>
    <w:rsid w:val="00965A6E"/>
    <w:rsid w:val="00970E6A"/>
    <w:rsid w:val="00975335"/>
    <w:rsid w:val="00976AC4"/>
    <w:rsid w:val="00977E73"/>
    <w:rsid w:val="00980C60"/>
    <w:rsid w:val="00982AE8"/>
    <w:rsid w:val="00983510"/>
    <w:rsid w:val="00990C3F"/>
    <w:rsid w:val="00993613"/>
    <w:rsid w:val="009A211A"/>
    <w:rsid w:val="009A71BE"/>
    <w:rsid w:val="009B1F87"/>
    <w:rsid w:val="009B420B"/>
    <w:rsid w:val="009B7F60"/>
    <w:rsid w:val="009C7FF9"/>
    <w:rsid w:val="009D02A5"/>
    <w:rsid w:val="009D34DD"/>
    <w:rsid w:val="009D4F11"/>
    <w:rsid w:val="009D7858"/>
    <w:rsid w:val="009E1730"/>
    <w:rsid w:val="009E5AC8"/>
    <w:rsid w:val="009F4873"/>
    <w:rsid w:val="00A002D1"/>
    <w:rsid w:val="00A00EFA"/>
    <w:rsid w:val="00A0165A"/>
    <w:rsid w:val="00A03DEA"/>
    <w:rsid w:val="00A073D0"/>
    <w:rsid w:val="00A17A24"/>
    <w:rsid w:val="00A22161"/>
    <w:rsid w:val="00A2305F"/>
    <w:rsid w:val="00A315BF"/>
    <w:rsid w:val="00A32BCB"/>
    <w:rsid w:val="00A338BA"/>
    <w:rsid w:val="00A367C9"/>
    <w:rsid w:val="00A36EBC"/>
    <w:rsid w:val="00A4047C"/>
    <w:rsid w:val="00A40F51"/>
    <w:rsid w:val="00A460F9"/>
    <w:rsid w:val="00A514C7"/>
    <w:rsid w:val="00A51FEE"/>
    <w:rsid w:val="00A5320A"/>
    <w:rsid w:val="00A54691"/>
    <w:rsid w:val="00A5601C"/>
    <w:rsid w:val="00A57BD0"/>
    <w:rsid w:val="00A6336A"/>
    <w:rsid w:val="00A64B70"/>
    <w:rsid w:val="00A70640"/>
    <w:rsid w:val="00A720C8"/>
    <w:rsid w:val="00A729A9"/>
    <w:rsid w:val="00A72FA8"/>
    <w:rsid w:val="00A73D27"/>
    <w:rsid w:val="00A75977"/>
    <w:rsid w:val="00A75D5F"/>
    <w:rsid w:val="00A80D44"/>
    <w:rsid w:val="00A86212"/>
    <w:rsid w:val="00A8664C"/>
    <w:rsid w:val="00A97700"/>
    <w:rsid w:val="00AA3F72"/>
    <w:rsid w:val="00AA55A7"/>
    <w:rsid w:val="00AB5C0C"/>
    <w:rsid w:val="00AC42D8"/>
    <w:rsid w:val="00AC67C1"/>
    <w:rsid w:val="00AD53A6"/>
    <w:rsid w:val="00AE58D8"/>
    <w:rsid w:val="00AE6DAC"/>
    <w:rsid w:val="00AF108B"/>
    <w:rsid w:val="00AF6B8B"/>
    <w:rsid w:val="00B0037E"/>
    <w:rsid w:val="00B028D1"/>
    <w:rsid w:val="00B036D0"/>
    <w:rsid w:val="00B039BC"/>
    <w:rsid w:val="00B123C7"/>
    <w:rsid w:val="00B130B5"/>
    <w:rsid w:val="00B132BF"/>
    <w:rsid w:val="00B16D00"/>
    <w:rsid w:val="00B16D02"/>
    <w:rsid w:val="00B21972"/>
    <w:rsid w:val="00B21E62"/>
    <w:rsid w:val="00B25BAA"/>
    <w:rsid w:val="00B27375"/>
    <w:rsid w:val="00B27398"/>
    <w:rsid w:val="00B3215F"/>
    <w:rsid w:val="00B33616"/>
    <w:rsid w:val="00B34243"/>
    <w:rsid w:val="00B353B2"/>
    <w:rsid w:val="00B37695"/>
    <w:rsid w:val="00B4340C"/>
    <w:rsid w:val="00B459E4"/>
    <w:rsid w:val="00B47147"/>
    <w:rsid w:val="00B537BD"/>
    <w:rsid w:val="00B55067"/>
    <w:rsid w:val="00B56CEF"/>
    <w:rsid w:val="00B60625"/>
    <w:rsid w:val="00B60801"/>
    <w:rsid w:val="00B61D29"/>
    <w:rsid w:val="00B637A2"/>
    <w:rsid w:val="00B63F1F"/>
    <w:rsid w:val="00B64112"/>
    <w:rsid w:val="00B64D8D"/>
    <w:rsid w:val="00B7309C"/>
    <w:rsid w:val="00B74360"/>
    <w:rsid w:val="00B77527"/>
    <w:rsid w:val="00B8593D"/>
    <w:rsid w:val="00B97014"/>
    <w:rsid w:val="00BA0AF9"/>
    <w:rsid w:val="00BA5A30"/>
    <w:rsid w:val="00BA7FF5"/>
    <w:rsid w:val="00BB2A25"/>
    <w:rsid w:val="00BB2FCD"/>
    <w:rsid w:val="00BB31E5"/>
    <w:rsid w:val="00BC2C19"/>
    <w:rsid w:val="00BC3AD8"/>
    <w:rsid w:val="00BC5A8F"/>
    <w:rsid w:val="00BC6143"/>
    <w:rsid w:val="00BC6ECC"/>
    <w:rsid w:val="00BD319C"/>
    <w:rsid w:val="00BD6428"/>
    <w:rsid w:val="00BD71C2"/>
    <w:rsid w:val="00BE1C79"/>
    <w:rsid w:val="00BE2A22"/>
    <w:rsid w:val="00BE3DDD"/>
    <w:rsid w:val="00BF0240"/>
    <w:rsid w:val="00BF2CF7"/>
    <w:rsid w:val="00BF43BE"/>
    <w:rsid w:val="00BF5172"/>
    <w:rsid w:val="00BF5B5A"/>
    <w:rsid w:val="00BF7DF5"/>
    <w:rsid w:val="00C024E6"/>
    <w:rsid w:val="00C03F04"/>
    <w:rsid w:val="00C03F6F"/>
    <w:rsid w:val="00C100C4"/>
    <w:rsid w:val="00C12E08"/>
    <w:rsid w:val="00C133C2"/>
    <w:rsid w:val="00C1347E"/>
    <w:rsid w:val="00C145F7"/>
    <w:rsid w:val="00C14A4B"/>
    <w:rsid w:val="00C14F17"/>
    <w:rsid w:val="00C1633B"/>
    <w:rsid w:val="00C20D59"/>
    <w:rsid w:val="00C2173A"/>
    <w:rsid w:val="00C30F6C"/>
    <w:rsid w:val="00C314B2"/>
    <w:rsid w:val="00C32D05"/>
    <w:rsid w:val="00C33B00"/>
    <w:rsid w:val="00C42A72"/>
    <w:rsid w:val="00C43AA5"/>
    <w:rsid w:val="00C45904"/>
    <w:rsid w:val="00C50BD5"/>
    <w:rsid w:val="00C53D64"/>
    <w:rsid w:val="00C5668B"/>
    <w:rsid w:val="00C570FE"/>
    <w:rsid w:val="00C600C7"/>
    <w:rsid w:val="00C61F91"/>
    <w:rsid w:val="00C637D9"/>
    <w:rsid w:val="00C721B8"/>
    <w:rsid w:val="00C738EE"/>
    <w:rsid w:val="00C74441"/>
    <w:rsid w:val="00C76242"/>
    <w:rsid w:val="00C83AE8"/>
    <w:rsid w:val="00C861B5"/>
    <w:rsid w:val="00C95FDA"/>
    <w:rsid w:val="00CC1FE6"/>
    <w:rsid w:val="00CC2026"/>
    <w:rsid w:val="00CC24FD"/>
    <w:rsid w:val="00CC48DC"/>
    <w:rsid w:val="00CC587F"/>
    <w:rsid w:val="00CD259C"/>
    <w:rsid w:val="00CD3188"/>
    <w:rsid w:val="00CD52F7"/>
    <w:rsid w:val="00CD5445"/>
    <w:rsid w:val="00CD5FCA"/>
    <w:rsid w:val="00CE3302"/>
    <w:rsid w:val="00CE3541"/>
    <w:rsid w:val="00CE38BB"/>
    <w:rsid w:val="00CE620A"/>
    <w:rsid w:val="00CE7510"/>
    <w:rsid w:val="00CF01A8"/>
    <w:rsid w:val="00CF16F7"/>
    <w:rsid w:val="00CF3551"/>
    <w:rsid w:val="00CF5A34"/>
    <w:rsid w:val="00D00747"/>
    <w:rsid w:val="00D04DE2"/>
    <w:rsid w:val="00D04FDA"/>
    <w:rsid w:val="00D10209"/>
    <w:rsid w:val="00D15830"/>
    <w:rsid w:val="00D2425F"/>
    <w:rsid w:val="00D26045"/>
    <w:rsid w:val="00D279D6"/>
    <w:rsid w:val="00D31265"/>
    <w:rsid w:val="00D37F3B"/>
    <w:rsid w:val="00D40D57"/>
    <w:rsid w:val="00D45F2B"/>
    <w:rsid w:val="00D466F3"/>
    <w:rsid w:val="00D47FD8"/>
    <w:rsid w:val="00D515DB"/>
    <w:rsid w:val="00D52712"/>
    <w:rsid w:val="00D55009"/>
    <w:rsid w:val="00D559CC"/>
    <w:rsid w:val="00D569AC"/>
    <w:rsid w:val="00D575EB"/>
    <w:rsid w:val="00D57F89"/>
    <w:rsid w:val="00D63CE5"/>
    <w:rsid w:val="00D65F82"/>
    <w:rsid w:val="00D7084D"/>
    <w:rsid w:val="00D74B71"/>
    <w:rsid w:val="00D82034"/>
    <w:rsid w:val="00D82C85"/>
    <w:rsid w:val="00D862E8"/>
    <w:rsid w:val="00D87A9C"/>
    <w:rsid w:val="00D90CDE"/>
    <w:rsid w:val="00D9505A"/>
    <w:rsid w:val="00D96227"/>
    <w:rsid w:val="00D966F4"/>
    <w:rsid w:val="00DA1CA1"/>
    <w:rsid w:val="00DA2864"/>
    <w:rsid w:val="00DA49B5"/>
    <w:rsid w:val="00DA4D39"/>
    <w:rsid w:val="00DA5879"/>
    <w:rsid w:val="00DA753B"/>
    <w:rsid w:val="00DB3113"/>
    <w:rsid w:val="00DB4433"/>
    <w:rsid w:val="00DB6359"/>
    <w:rsid w:val="00DC104D"/>
    <w:rsid w:val="00DC2611"/>
    <w:rsid w:val="00DC779A"/>
    <w:rsid w:val="00DD0080"/>
    <w:rsid w:val="00DD0969"/>
    <w:rsid w:val="00DD3112"/>
    <w:rsid w:val="00DE366E"/>
    <w:rsid w:val="00DF5E46"/>
    <w:rsid w:val="00E00048"/>
    <w:rsid w:val="00E01904"/>
    <w:rsid w:val="00E06F31"/>
    <w:rsid w:val="00E168EA"/>
    <w:rsid w:val="00E17A02"/>
    <w:rsid w:val="00E21083"/>
    <w:rsid w:val="00E23D87"/>
    <w:rsid w:val="00E2534A"/>
    <w:rsid w:val="00E25573"/>
    <w:rsid w:val="00E35027"/>
    <w:rsid w:val="00E36451"/>
    <w:rsid w:val="00E416BD"/>
    <w:rsid w:val="00E4757B"/>
    <w:rsid w:val="00E47E85"/>
    <w:rsid w:val="00E50836"/>
    <w:rsid w:val="00E51C9A"/>
    <w:rsid w:val="00E5286D"/>
    <w:rsid w:val="00E53487"/>
    <w:rsid w:val="00E53FF4"/>
    <w:rsid w:val="00E54CD2"/>
    <w:rsid w:val="00E576F1"/>
    <w:rsid w:val="00E61687"/>
    <w:rsid w:val="00E61E86"/>
    <w:rsid w:val="00E62CBE"/>
    <w:rsid w:val="00E63A72"/>
    <w:rsid w:val="00E64AD0"/>
    <w:rsid w:val="00E65765"/>
    <w:rsid w:val="00E803A4"/>
    <w:rsid w:val="00E818DA"/>
    <w:rsid w:val="00E83BB1"/>
    <w:rsid w:val="00E866F0"/>
    <w:rsid w:val="00E87173"/>
    <w:rsid w:val="00E90A99"/>
    <w:rsid w:val="00E91998"/>
    <w:rsid w:val="00E92927"/>
    <w:rsid w:val="00EA4A8B"/>
    <w:rsid w:val="00EA5258"/>
    <w:rsid w:val="00EA7AB7"/>
    <w:rsid w:val="00EB061E"/>
    <w:rsid w:val="00EB06F5"/>
    <w:rsid w:val="00EB1089"/>
    <w:rsid w:val="00EB2C13"/>
    <w:rsid w:val="00EB70E3"/>
    <w:rsid w:val="00ED52BC"/>
    <w:rsid w:val="00ED60AA"/>
    <w:rsid w:val="00ED6DDB"/>
    <w:rsid w:val="00EE5C33"/>
    <w:rsid w:val="00EF3C68"/>
    <w:rsid w:val="00EF76A3"/>
    <w:rsid w:val="00EF7859"/>
    <w:rsid w:val="00EF785A"/>
    <w:rsid w:val="00F00977"/>
    <w:rsid w:val="00F0125C"/>
    <w:rsid w:val="00F0212C"/>
    <w:rsid w:val="00F03529"/>
    <w:rsid w:val="00F0478B"/>
    <w:rsid w:val="00F133E8"/>
    <w:rsid w:val="00F140AA"/>
    <w:rsid w:val="00F14C37"/>
    <w:rsid w:val="00F16E66"/>
    <w:rsid w:val="00F16EC7"/>
    <w:rsid w:val="00F21AD0"/>
    <w:rsid w:val="00F21D0B"/>
    <w:rsid w:val="00F26895"/>
    <w:rsid w:val="00F26AEA"/>
    <w:rsid w:val="00F3079E"/>
    <w:rsid w:val="00F32A65"/>
    <w:rsid w:val="00F34298"/>
    <w:rsid w:val="00F35A3C"/>
    <w:rsid w:val="00F40883"/>
    <w:rsid w:val="00F56561"/>
    <w:rsid w:val="00F606A0"/>
    <w:rsid w:val="00F60E11"/>
    <w:rsid w:val="00F65925"/>
    <w:rsid w:val="00F73A55"/>
    <w:rsid w:val="00F766C2"/>
    <w:rsid w:val="00F7770F"/>
    <w:rsid w:val="00F8024A"/>
    <w:rsid w:val="00F80A6D"/>
    <w:rsid w:val="00F90D8F"/>
    <w:rsid w:val="00F96155"/>
    <w:rsid w:val="00F979ED"/>
    <w:rsid w:val="00FA0475"/>
    <w:rsid w:val="00FA6B66"/>
    <w:rsid w:val="00FB4A33"/>
    <w:rsid w:val="00FB56EB"/>
    <w:rsid w:val="00FC2221"/>
    <w:rsid w:val="00FC228E"/>
    <w:rsid w:val="00FC4585"/>
    <w:rsid w:val="00FC5DA9"/>
    <w:rsid w:val="00FC7331"/>
    <w:rsid w:val="00FC7C0D"/>
    <w:rsid w:val="00FD0248"/>
    <w:rsid w:val="00FD21C9"/>
    <w:rsid w:val="00FD4B74"/>
    <w:rsid w:val="00FD5A05"/>
    <w:rsid w:val="00FD7B06"/>
    <w:rsid w:val="00F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GSKSiteLocations-com/fourthcoffee" w:name="flavo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0801"/>
  </w:style>
  <w:style w:type="paragraph" w:styleId="Nadpis1">
    <w:name w:val="heading 1"/>
    <w:basedOn w:val="Normlny"/>
    <w:next w:val="Normlny"/>
    <w:qFormat/>
    <w:rsid w:val="00700801"/>
    <w:pPr>
      <w:keepNext/>
      <w:outlineLvl w:val="0"/>
    </w:pPr>
    <w:rPr>
      <w:rFonts w:ascii="Arial" w:hAnsi="Arial"/>
      <w:u w:val="single"/>
    </w:rPr>
  </w:style>
  <w:style w:type="paragraph" w:styleId="Nadpis2">
    <w:name w:val="heading 2"/>
    <w:basedOn w:val="Normlny"/>
    <w:next w:val="Normlny"/>
    <w:qFormat/>
    <w:rsid w:val="00700801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700801"/>
    <w:pPr>
      <w:keepNext/>
      <w:outlineLvl w:val="2"/>
    </w:pPr>
    <w:rPr>
      <w:rFonts w:ascii="Arial" w:hAnsi="Arial"/>
      <w:b/>
      <w:u w:val="single"/>
    </w:rPr>
  </w:style>
  <w:style w:type="paragraph" w:styleId="Nadpis4">
    <w:name w:val="heading 4"/>
    <w:basedOn w:val="Normlny"/>
    <w:next w:val="Normlny"/>
    <w:qFormat/>
    <w:rsid w:val="00700801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Nadpis5">
    <w:name w:val="heading 5"/>
    <w:basedOn w:val="Normlny"/>
    <w:next w:val="Normlny"/>
    <w:qFormat/>
    <w:rsid w:val="00700801"/>
    <w:pPr>
      <w:keepNext/>
      <w:outlineLvl w:val="4"/>
    </w:pPr>
    <w:rPr>
      <w:rFonts w:ascii="Arial" w:hAnsi="Arial"/>
      <w:color w:val="FF0000"/>
      <w:u w:val="single"/>
    </w:rPr>
  </w:style>
  <w:style w:type="paragraph" w:styleId="Nadpis6">
    <w:name w:val="heading 6"/>
    <w:basedOn w:val="Normlny"/>
    <w:next w:val="Normlny"/>
    <w:qFormat/>
    <w:rsid w:val="00700801"/>
    <w:pPr>
      <w:keepNext/>
      <w:outlineLvl w:val="5"/>
    </w:pPr>
    <w:rPr>
      <w:rFonts w:ascii="Arial" w:hAnsi="Arial"/>
      <w:b/>
      <w:color w:val="FF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00801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700801"/>
  </w:style>
  <w:style w:type="paragraph" w:styleId="Zkladntext">
    <w:name w:val="Body Text"/>
    <w:basedOn w:val="Normlny"/>
    <w:rsid w:val="00700801"/>
    <w:rPr>
      <w:rFonts w:ascii="Arial" w:hAnsi="Arial"/>
      <w:i/>
    </w:rPr>
  </w:style>
  <w:style w:type="paragraph" w:styleId="Zkladntext2">
    <w:name w:val="Body Text 2"/>
    <w:basedOn w:val="Normlny"/>
    <w:rsid w:val="00700801"/>
    <w:rPr>
      <w:rFonts w:ascii="Arial" w:hAnsi="Arial"/>
      <w:b/>
      <w:u w:val="single"/>
    </w:rPr>
  </w:style>
  <w:style w:type="paragraph" w:styleId="Zkladntext3">
    <w:name w:val="Body Text 3"/>
    <w:basedOn w:val="Normlny"/>
    <w:rsid w:val="00700801"/>
    <w:rPr>
      <w:rFonts w:ascii="Arial" w:hAnsi="Arial"/>
      <w:color w:val="FF0000"/>
    </w:rPr>
  </w:style>
  <w:style w:type="paragraph" w:customStyle="1" w:styleId="Textbubliny1">
    <w:name w:val="Text bubliny1"/>
    <w:basedOn w:val="Normlny"/>
    <w:semiHidden/>
    <w:rsid w:val="00700801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700801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y"/>
    <w:semiHidden/>
    <w:rsid w:val="00EF76A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803A4"/>
    <w:rPr>
      <w:sz w:val="16"/>
      <w:szCs w:val="16"/>
    </w:rPr>
  </w:style>
  <w:style w:type="paragraph" w:styleId="Textkomentra">
    <w:name w:val="annotation text"/>
    <w:basedOn w:val="Normlny"/>
    <w:semiHidden/>
    <w:rsid w:val="00E803A4"/>
  </w:style>
  <w:style w:type="paragraph" w:styleId="Predmetkomentra">
    <w:name w:val="annotation subject"/>
    <w:basedOn w:val="Textkomentra"/>
    <w:next w:val="Textkomentra"/>
    <w:semiHidden/>
    <w:rsid w:val="00E803A4"/>
    <w:rPr>
      <w:b/>
      <w:bCs/>
    </w:rPr>
  </w:style>
  <w:style w:type="character" w:styleId="PouitHypertextovPrepojenie">
    <w:name w:val="FollowedHyperlink"/>
    <w:rsid w:val="006B1702"/>
    <w:rPr>
      <w:color w:val="606420"/>
      <w:u w:val="single"/>
    </w:rPr>
  </w:style>
  <w:style w:type="paragraph" w:styleId="Revzia">
    <w:name w:val="Revision"/>
    <w:hidden/>
    <w:uiPriority w:val="99"/>
    <w:semiHidden/>
    <w:rsid w:val="00E61687"/>
  </w:style>
  <w:style w:type="character" w:styleId="Hypertextovprepojenie">
    <w:name w:val="Hyperlink"/>
    <w:rsid w:val="009D7858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387B69"/>
    <w:pPr>
      <w:suppressAutoHyphens/>
      <w:jc w:val="both"/>
    </w:pPr>
    <w:rPr>
      <w:rFonts w:ascii="TimesNewRoman" w:eastAsia="Calibri" w:hAnsi="TimesNewRoman"/>
      <w:sz w:val="22"/>
      <w:szCs w:val="24"/>
      <w:lang w:val="x-none" w:eastAsia="en-US"/>
    </w:rPr>
  </w:style>
  <w:style w:type="character" w:customStyle="1" w:styleId="NormlndoblokuChar">
    <w:name w:val="Normální do bloku Char"/>
    <w:link w:val="Normlndobloku"/>
    <w:rsid w:val="00BC6ECC"/>
    <w:rPr>
      <w:rFonts w:ascii="TimesNewRoman" w:eastAsia="Calibri" w:hAnsi="TimesNewRoman"/>
      <w:sz w:val="22"/>
      <w:szCs w:val="24"/>
      <w:lang w:val="x-none" w:eastAsia="en-US"/>
    </w:rPr>
  </w:style>
  <w:style w:type="paragraph" w:customStyle="1" w:styleId="Revzia1">
    <w:name w:val="Revízia1"/>
    <w:hidden/>
    <w:uiPriority w:val="99"/>
    <w:semiHidden/>
    <w:rsid w:val="00387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0801"/>
  </w:style>
  <w:style w:type="paragraph" w:styleId="Nadpis1">
    <w:name w:val="heading 1"/>
    <w:basedOn w:val="Normlny"/>
    <w:next w:val="Normlny"/>
    <w:qFormat/>
    <w:rsid w:val="00700801"/>
    <w:pPr>
      <w:keepNext/>
      <w:outlineLvl w:val="0"/>
    </w:pPr>
    <w:rPr>
      <w:rFonts w:ascii="Arial" w:hAnsi="Arial"/>
      <w:u w:val="single"/>
    </w:rPr>
  </w:style>
  <w:style w:type="paragraph" w:styleId="Nadpis2">
    <w:name w:val="heading 2"/>
    <w:basedOn w:val="Normlny"/>
    <w:next w:val="Normlny"/>
    <w:qFormat/>
    <w:rsid w:val="00700801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700801"/>
    <w:pPr>
      <w:keepNext/>
      <w:outlineLvl w:val="2"/>
    </w:pPr>
    <w:rPr>
      <w:rFonts w:ascii="Arial" w:hAnsi="Arial"/>
      <w:b/>
      <w:u w:val="single"/>
    </w:rPr>
  </w:style>
  <w:style w:type="paragraph" w:styleId="Nadpis4">
    <w:name w:val="heading 4"/>
    <w:basedOn w:val="Normlny"/>
    <w:next w:val="Normlny"/>
    <w:qFormat/>
    <w:rsid w:val="00700801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Nadpis5">
    <w:name w:val="heading 5"/>
    <w:basedOn w:val="Normlny"/>
    <w:next w:val="Normlny"/>
    <w:qFormat/>
    <w:rsid w:val="00700801"/>
    <w:pPr>
      <w:keepNext/>
      <w:outlineLvl w:val="4"/>
    </w:pPr>
    <w:rPr>
      <w:rFonts w:ascii="Arial" w:hAnsi="Arial"/>
      <w:color w:val="FF0000"/>
      <w:u w:val="single"/>
    </w:rPr>
  </w:style>
  <w:style w:type="paragraph" w:styleId="Nadpis6">
    <w:name w:val="heading 6"/>
    <w:basedOn w:val="Normlny"/>
    <w:next w:val="Normlny"/>
    <w:qFormat/>
    <w:rsid w:val="00700801"/>
    <w:pPr>
      <w:keepNext/>
      <w:outlineLvl w:val="5"/>
    </w:pPr>
    <w:rPr>
      <w:rFonts w:ascii="Arial" w:hAnsi="Arial"/>
      <w:b/>
      <w:color w:val="FF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00801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700801"/>
  </w:style>
  <w:style w:type="paragraph" w:styleId="Zkladntext">
    <w:name w:val="Body Text"/>
    <w:basedOn w:val="Normlny"/>
    <w:rsid w:val="00700801"/>
    <w:rPr>
      <w:rFonts w:ascii="Arial" w:hAnsi="Arial"/>
      <w:i/>
    </w:rPr>
  </w:style>
  <w:style w:type="paragraph" w:styleId="Zkladntext2">
    <w:name w:val="Body Text 2"/>
    <w:basedOn w:val="Normlny"/>
    <w:rsid w:val="00700801"/>
    <w:rPr>
      <w:rFonts w:ascii="Arial" w:hAnsi="Arial"/>
      <w:b/>
      <w:u w:val="single"/>
    </w:rPr>
  </w:style>
  <w:style w:type="paragraph" w:styleId="Zkladntext3">
    <w:name w:val="Body Text 3"/>
    <w:basedOn w:val="Normlny"/>
    <w:rsid w:val="00700801"/>
    <w:rPr>
      <w:rFonts w:ascii="Arial" w:hAnsi="Arial"/>
      <w:color w:val="FF0000"/>
    </w:rPr>
  </w:style>
  <w:style w:type="paragraph" w:customStyle="1" w:styleId="Textbubliny1">
    <w:name w:val="Text bubliny1"/>
    <w:basedOn w:val="Normlny"/>
    <w:semiHidden/>
    <w:rsid w:val="00700801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700801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y"/>
    <w:semiHidden/>
    <w:rsid w:val="00EF76A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803A4"/>
    <w:rPr>
      <w:sz w:val="16"/>
      <w:szCs w:val="16"/>
    </w:rPr>
  </w:style>
  <w:style w:type="paragraph" w:styleId="Textkomentra">
    <w:name w:val="annotation text"/>
    <w:basedOn w:val="Normlny"/>
    <w:semiHidden/>
    <w:rsid w:val="00E803A4"/>
  </w:style>
  <w:style w:type="paragraph" w:styleId="Predmetkomentra">
    <w:name w:val="annotation subject"/>
    <w:basedOn w:val="Textkomentra"/>
    <w:next w:val="Textkomentra"/>
    <w:semiHidden/>
    <w:rsid w:val="00E803A4"/>
    <w:rPr>
      <w:b/>
      <w:bCs/>
    </w:rPr>
  </w:style>
  <w:style w:type="character" w:styleId="PouitHypertextovPrepojenie">
    <w:name w:val="FollowedHyperlink"/>
    <w:rsid w:val="006B1702"/>
    <w:rPr>
      <w:color w:val="606420"/>
      <w:u w:val="single"/>
    </w:rPr>
  </w:style>
  <w:style w:type="paragraph" w:styleId="Revzia">
    <w:name w:val="Revision"/>
    <w:hidden/>
    <w:uiPriority w:val="99"/>
    <w:semiHidden/>
    <w:rsid w:val="00E61687"/>
  </w:style>
  <w:style w:type="character" w:styleId="Hypertextovprepojenie">
    <w:name w:val="Hyperlink"/>
    <w:rsid w:val="009D7858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387B69"/>
    <w:pPr>
      <w:suppressAutoHyphens/>
      <w:jc w:val="both"/>
    </w:pPr>
    <w:rPr>
      <w:rFonts w:ascii="TimesNewRoman" w:eastAsia="Calibri" w:hAnsi="TimesNewRoman"/>
      <w:sz w:val="22"/>
      <w:szCs w:val="24"/>
      <w:lang w:val="x-none" w:eastAsia="en-US"/>
    </w:rPr>
  </w:style>
  <w:style w:type="character" w:customStyle="1" w:styleId="NormlndoblokuChar">
    <w:name w:val="Normální do bloku Char"/>
    <w:link w:val="Normlndobloku"/>
    <w:rsid w:val="00BC6ECC"/>
    <w:rPr>
      <w:rFonts w:ascii="TimesNewRoman" w:eastAsia="Calibri" w:hAnsi="TimesNewRoman"/>
      <w:sz w:val="22"/>
      <w:szCs w:val="24"/>
      <w:lang w:val="x-none" w:eastAsia="en-US"/>
    </w:rPr>
  </w:style>
  <w:style w:type="paragraph" w:customStyle="1" w:styleId="Revzia1">
    <w:name w:val="Revízia1"/>
    <w:hidden/>
    <w:uiPriority w:val="99"/>
    <w:semiHidden/>
    <w:rsid w:val="00387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Sero%20SPC%204verzia%20NU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Sero SPC 4verzia NUL.dot</Template>
  <TotalTime>0</TotalTime>
  <Pages>17</Pages>
  <Words>6272</Words>
  <Characters>41162</Characters>
  <Application>Microsoft Office Word</Application>
  <DocSecurity>0</DocSecurity>
  <Lines>343</Lines>
  <Paragraphs>94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Příbalová informace pro lékaře</vt:lpstr>
      <vt:lpstr>Příbalová informace pro lékaře</vt:lpstr>
    </vt:vector>
  </TitlesOfParts>
  <Company>SmithKline Beecham</Company>
  <LinksUpToDate>false</LinksUpToDate>
  <CharactersWithSpaces>47340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 pro lékaře</dc:title>
  <dc:creator>Miso</dc:creator>
  <cp:lastModifiedBy>Natalia </cp:lastModifiedBy>
  <cp:revision>2</cp:revision>
  <cp:lastPrinted>2015-11-04T12:56:00Z</cp:lastPrinted>
  <dcterms:created xsi:type="dcterms:W3CDTF">2019-02-27T13:18:00Z</dcterms:created>
  <dcterms:modified xsi:type="dcterms:W3CDTF">2019-02-27T13:18:00Z</dcterms:modified>
</cp:coreProperties>
</file>